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96" w:rsidRPr="00ED103A" w:rsidRDefault="00AE3D96" w:rsidP="00107C9A">
      <w:pPr>
        <w:tabs>
          <w:tab w:val="left" w:pos="0"/>
        </w:tabs>
        <w:spacing w:line="360" w:lineRule="auto"/>
        <w:jc w:val="both"/>
        <w:rPr>
          <w:rFonts w:ascii="Palatino Linotype" w:hAnsi="Palatino Linotype"/>
          <w:color w:val="000000" w:themeColor="text1"/>
        </w:rPr>
      </w:pPr>
      <w:r w:rsidRPr="00ED103A">
        <w:rPr>
          <w:rFonts w:ascii="Palatino Linotype" w:hAnsi="Palatino Linotype"/>
          <w:color w:val="000000" w:themeColor="text1"/>
        </w:rPr>
        <w:t>Re</w:t>
      </w:r>
      <w:bookmarkStart w:id="0" w:name="_GoBack"/>
      <w:bookmarkEnd w:id="0"/>
      <w:r w:rsidRPr="00ED103A">
        <w:rPr>
          <w:rFonts w:ascii="Palatino Linotype" w:hAnsi="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00D16EEB">
        <w:rPr>
          <w:rFonts w:ascii="Palatino Linotype" w:hAnsi="Palatino Linotype"/>
          <w:b/>
          <w:color w:val="000000" w:themeColor="text1"/>
        </w:rPr>
        <w:t>de fecha</w:t>
      </w:r>
      <w:r w:rsidRPr="00ED103A">
        <w:rPr>
          <w:rFonts w:ascii="Palatino Linotype" w:hAnsi="Palatino Linotype"/>
          <w:b/>
          <w:color w:val="000000" w:themeColor="text1"/>
        </w:rPr>
        <w:t xml:space="preserve"> </w:t>
      </w:r>
      <w:r w:rsidR="00473F17" w:rsidRPr="00ED103A">
        <w:rPr>
          <w:rFonts w:ascii="Palatino Linotype" w:hAnsi="Palatino Linotype"/>
          <w:b/>
          <w:color w:val="000000" w:themeColor="text1"/>
        </w:rPr>
        <w:t>veinticinco</w:t>
      </w:r>
      <w:r w:rsidRPr="00ED103A">
        <w:rPr>
          <w:rFonts w:ascii="Palatino Linotype" w:hAnsi="Palatino Linotype"/>
          <w:b/>
          <w:color w:val="000000" w:themeColor="text1"/>
        </w:rPr>
        <w:t xml:space="preserve"> </w:t>
      </w:r>
      <w:r w:rsidR="00D16EEB">
        <w:rPr>
          <w:rFonts w:ascii="Palatino Linotype" w:hAnsi="Palatino Linotype"/>
          <w:b/>
          <w:color w:val="000000" w:themeColor="text1"/>
        </w:rPr>
        <w:t xml:space="preserve">(25) </w:t>
      </w:r>
      <w:r w:rsidRPr="00ED103A">
        <w:rPr>
          <w:rFonts w:ascii="Palatino Linotype" w:hAnsi="Palatino Linotype"/>
          <w:b/>
          <w:color w:val="000000" w:themeColor="text1"/>
        </w:rPr>
        <w:t>de junio de dos mil veinticinco.</w:t>
      </w:r>
      <w:r w:rsidRPr="00ED103A">
        <w:rPr>
          <w:rFonts w:ascii="Palatino Linotype" w:hAnsi="Palatino Linotype"/>
          <w:color w:val="000000" w:themeColor="text1"/>
        </w:rPr>
        <w:t xml:space="preserve"> </w:t>
      </w:r>
    </w:p>
    <w:p w:rsidR="00AE3D96" w:rsidRPr="00ED103A" w:rsidRDefault="00AE3D96" w:rsidP="00107C9A">
      <w:pPr>
        <w:tabs>
          <w:tab w:val="left" w:pos="0"/>
        </w:tabs>
        <w:spacing w:line="360" w:lineRule="auto"/>
        <w:jc w:val="both"/>
        <w:rPr>
          <w:rFonts w:ascii="Palatino Linotype" w:hAnsi="Palatino Linotype"/>
          <w:color w:val="000000" w:themeColor="text1"/>
        </w:rPr>
      </w:pPr>
    </w:p>
    <w:p w:rsidR="00AE3D96" w:rsidRPr="00ED103A" w:rsidRDefault="00AE3D96" w:rsidP="00107C9A">
      <w:pPr>
        <w:tabs>
          <w:tab w:val="left" w:pos="0"/>
        </w:tabs>
        <w:spacing w:line="360" w:lineRule="auto"/>
        <w:jc w:val="both"/>
        <w:rPr>
          <w:rFonts w:ascii="Palatino Linotype" w:hAnsi="Palatino Linotype"/>
          <w:color w:val="000000" w:themeColor="text1"/>
        </w:rPr>
      </w:pPr>
      <w:r w:rsidRPr="00ED103A">
        <w:rPr>
          <w:rFonts w:ascii="Palatino Linotype" w:hAnsi="Palatino Linotype"/>
          <w:b/>
          <w:color w:val="000000" w:themeColor="text1"/>
        </w:rPr>
        <w:t>VISTO</w:t>
      </w:r>
      <w:r w:rsidRPr="00ED103A">
        <w:rPr>
          <w:rFonts w:ascii="Palatino Linotype" w:hAnsi="Palatino Linotype"/>
          <w:color w:val="000000" w:themeColor="text1"/>
        </w:rPr>
        <w:t xml:space="preserve"> el expediente electrónico formado con motivo del recurso de revisión </w:t>
      </w:r>
      <w:r w:rsidR="00473F17" w:rsidRPr="00ED103A">
        <w:rPr>
          <w:rFonts w:ascii="Palatino Linotype" w:hAnsi="Palatino Linotype" w:cs="Arial"/>
          <w:b/>
          <w:bCs/>
          <w:color w:val="000000" w:themeColor="text1"/>
        </w:rPr>
        <w:t>02658</w:t>
      </w:r>
      <w:r w:rsidRPr="00ED103A">
        <w:rPr>
          <w:rFonts w:ascii="Palatino Linotype" w:hAnsi="Palatino Linotype" w:cs="Arial"/>
          <w:b/>
          <w:bCs/>
          <w:color w:val="000000" w:themeColor="text1"/>
        </w:rPr>
        <w:t xml:space="preserve">/INFOEM/IP/RR/2025, </w:t>
      </w:r>
      <w:r w:rsidRPr="00ED103A">
        <w:rPr>
          <w:rFonts w:ascii="Palatino Linotype" w:hAnsi="Palatino Linotype"/>
          <w:color w:val="000000" w:themeColor="text1"/>
        </w:rPr>
        <w:t xml:space="preserve">promovido por </w:t>
      </w:r>
      <w:r w:rsidRPr="00ED103A">
        <w:rPr>
          <w:rFonts w:ascii="Palatino Linotype" w:hAnsi="Palatino Linotype"/>
          <w:b/>
          <w:bCs/>
          <w:color w:val="000000" w:themeColor="text1"/>
        </w:rPr>
        <w:t>un usuario que no proporcionó nombre</w:t>
      </w:r>
      <w:r w:rsidRPr="00ED103A">
        <w:rPr>
          <w:rFonts w:ascii="Palatino Linotype" w:hAnsi="Palatino Linotype"/>
          <w:color w:val="000000" w:themeColor="text1"/>
        </w:rPr>
        <w:t xml:space="preserve">, quien en lo sucesivo se le identificara como </w:t>
      </w:r>
      <w:r w:rsidR="00FA4148" w:rsidRPr="00ED103A">
        <w:rPr>
          <w:rFonts w:ascii="Palatino Linotype" w:hAnsi="Palatino Linotype"/>
          <w:b/>
          <w:color w:val="000000" w:themeColor="text1"/>
        </w:rPr>
        <w:t xml:space="preserve">EL </w:t>
      </w:r>
      <w:r w:rsidRPr="00ED103A">
        <w:rPr>
          <w:rFonts w:ascii="Palatino Linotype" w:hAnsi="Palatino Linotype"/>
          <w:b/>
          <w:color w:val="000000" w:themeColor="text1"/>
        </w:rPr>
        <w:t>RECURRENTE</w:t>
      </w:r>
      <w:r w:rsidRPr="00ED103A">
        <w:rPr>
          <w:rFonts w:ascii="Palatino Linotype" w:hAnsi="Palatino Linotype"/>
          <w:color w:val="000000" w:themeColor="text1"/>
        </w:rPr>
        <w:t>, en contra de la</w:t>
      </w:r>
      <w:r w:rsidRPr="00ED103A">
        <w:rPr>
          <w:rFonts w:ascii="Palatino Linotype" w:hAnsi="Palatino Linotype" w:cs="Arial"/>
          <w:color w:val="000000" w:themeColor="text1"/>
        </w:rPr>
        <w:t xml:space="preserve"> respuesta del </w:t>
      </w:r>
      <w:r w:rsidR="00473F17" w:rsidRPr="00ED103A">
        <w:rPr>
          <w:rFonts w:ascii="Palatino Linotype" w:eastAsia="Calibri" w:hAnsi="Palatino Linotype" w:cs="Tahoma"/>
          <w:b/>
          <w:bCs/>
          <w:color w:val="000000" w:themeColor="text1"/>
          <w:lang w:eastAsia="en-US"/>
        </w:rPr>
        <w:t>Ayuntamiento de Toluca</w:t>
      </w:r>
      <w:r w:rsidRPr="00ED103A">
        <w:rPr>
          <w:rFonts w:ascii="Palatino Linotype" w:eastAsia="Calibri" w:hAnsi="Palatino Linotype" w:cs="Tahoma"/>
          <w:b/>
          <w:bCs/>
          <w:color w:val="000000" w:themeColor="text1"/>
          <w:lang w:eastAsia="en-US"/>
        </w:rPr>
        <w:t>,</w:t>
      </w:r>
      <w:r w:rsidRPr="00ED103A">
        <w:rPr>
          <w:rFonts w:ascii="Palatino Linotype" w:hAnsi="Palatino Linotype" w:cs="Arial"/>
          <w:b/>
          <w:color w:val="000000" w:themeColor="text1"/>
        </w:rPr>
        <w:t xml:space="preserve"> </w:t>
      </w:r>
      <w:r w:rsidRPr="00ED103A">
        <w:rPr>
          <w:rFonts w:ascii="Palatino Linotype" w:hAnsi="Palatino Linotype"/>
          <w:color w:val="000000" w:themeColor="text1"/>
        </w:rPr>
        <w:t>en lo sucesivo el</w:t>
      </w:r>
      <w:r w:rsidRPr="00ED103A">
        <w:rPr>
          <w:rFonts w:ascii="Palatino Linotype" w:hAnsi="Palatino Linotype"/>
          <w:b/>
          <w:color w:val="000000" w:themeColor="text1"/>
        </w:rPr>
        <w:t xml:space="preserve"> SUJETO OBLIGADO, </w:t>
      </w:r>
      <w:r w:rsidRPr="00ED103A">
        <w:rPr>
          <w:rFonts w:ascii="Palatino Linotype" w:hAnsi="Palatino Linotype"/>
          <w:color w:val="000000" w:themeColor="text1"/>
        </w:rPr>
        <w:t xml:space="preserve">se procede a dictar la presente resolución, con base en los siguientes: </w:t>
      </w:r>
    </w:p>
    <w:p w:rsidR="00AE3D96" w:rsidRPr="00ED103A" w:rsidRDefault="00AE3D96" w:rsidP="00107C9A">
      <w:pPr>
        <w:tabs>
          <w:tab w:val="left" w:pos="0"/>
        </w:tabs>
        <w:spacing w:line="360" w:lineRule="auto"/>
        <w:jc w:val="both"/>
        <w:rPr>
          <w:rFonts w:ascii="Palatino Linotype" w:hAnsi="Palatino Linotype"/>
          <w:color w:val="000000" w:themeColor="text1"/>
        </w:rPr>
      </w:pPr>
    </w:p>
    <w:p w:rsidR="00AE3D96" w:rsidRPr="00ED103A" w:rsidRDefault="00AE3D96" w:rsidP="00107C9A">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ED103A">
        <w:rPr>
          <w:rFonts w:ascii="Palatino Linotype" w:hAnsi="Palatino Linotype"/>
          <w:b/>
          <w:color w:val="000000" w:themeColor="text1"/>
          <w:lang w:eastAsia="en-US"/>
        </w:rPr>
        <w:t>A</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N</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T</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E</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C</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E</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D</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E</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N</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T</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E</w:t>
      </w:r>
      <w:r w:rsidR="00FA4148" w:rsidRPr="00ED103A">
        <w:rPr>
          <w:rFonts w:ascii="Palatino Linotype" w:hAnsi="Palatino Linotype"/>
          <w:b/>
          <w:color w:val="000000" w:themeColor="text1"/>
          <w:lang w:eastAsia="en-US"/>
        </w:rPr>
        <w:t xml:space="preserve"> </w:t>
      </w:r>
      <w:r w:rsidRPr="00ED103A">
        <w:rPr>
          <w:rFonts w:ascii="Palatino Linotype" w:hAnsi="Palatino Linotype"/>
          <w:b/>
          <w:color w:val="000000" w:themeColor="text1"/>
          <w:lang w:eastAsia="en-US"/>
        </w:rPr>
        <w:t>S</w:t>
      </w:r>
      <w:bookmarkEnd w:id="1"/>
      <w:bookmarkEnd w:id="2"/>
      <w:bookmarkEnd w:id="3"/>
      <w:bookmarkEnd w:id="4"/>
    </w:p>
    <w:p w:rsidR="00AE3D96" w:rsidRPr="00ED103A" w:rsidRDefault="00AE3D96" w:rsidP="00107C9A">
      <w:pPr>
        <w:keepNext/>
        <w:keepLines/>
        <w:tabs>
          <w:tab w:val="left" w:pos="0"/>
        </w:tabs>
        <w:spacing w:line="360" w:lineRule="auto"/>
        <w:jc w:val="center"/>
        <w:outlineLvl w:val="0"/>
        <w:rPr>
          <w:rFonts w:ascii="Palatino Linotype" w:hAnsi="Palatino Linotype"/>
          <w:b/>
          <w:color w:val="000000" w:themeColor="text1"/>
          <w:lang w:eastAsia="en-U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ED103A">
        <w:rPr>
          <w:rFonts w:ascii="Palatino Linotype" w:eastAsia="Calibri" w:hAnsi="Palatino Linotype" w:cs="Arial"/>
          <w:color w:val="000000" w:themeColor="text1"/>
          <w:lang w:val="es-ES"/>
        </w:rPr>
        <w:t xml:space="preserve">El </w:t>
      </w:r>
      <w:r w:rsidR="00473F17" w:rsidRPr="00ED103A">
        <w:rPr>
          <w:rFonts w:ascii="Palatino Linotype" w:eastAsia="Calibri" w:hAnsi="Palatino Linotype" w:cs="Arial"/>
          <w:b/>
          <w:color w:val="000000" w:themeColor="text1"/>
          <w:lang w:val="es-ES"/>
        </w:rPr>
        <w:t>diez de febrero</w:t>
      </w:r>
      <w:r w:rsidRPr="00ED103A">
        <w:rPr>
          <w:rFonts w:ascii="Palatino Linotype" w:eastAsia="Calibri" w:hAnsi="Palatino Linotype" w:cs="Arial"/>
          <w:b/>
          <w:color w:val="000000" w:themeColor="text1"/>
          <w:lang w:val="es-ES"/>
        </w:rPr>
        <w:t xml:space="preserve"> de dos mil veinticinco</w:t>
      </w:r>
      <w:r w:rsidRPr="00ED103A">
        <w:rPr>
          <w:rFonts w:ascii="Palatino Linotype" w:eastAsia="Calibri" w:hAnsi="Palatino Linotype" w:cs="Arial"/>
          <w:color w:val="000000" w:themeColor="text1"/>
          <w:lang w:val="es-ES"/>
        </w:rPr>
        <w:t>,</w:t>
      </w:r>
      <w:r w:rsidRPr="00ED103A">
        <w:rPr>
          <w:rFonts w:ascii="Palatino Linotype" w:eastAsia="Calibri" w:hAnsi="Palatino Linotype"/>
          <w:color w:val="000000" w:themeColor="text1"/>
          <w:lang w:val="es-ES"/>
        </w:rPr>
        <w:t xml:space="preserve"> </w:t>
      </w:r>
      <w:r w:rsidRPr="00ED103A">
        <w:rPr>
          <w:rFonts w:ascii="Palatino Linotype" w:hAnsi="Palatino Linotype"/>
          <w:color w:val="000000" w:themeColor="text1"/>
        </w:rPr>
        <w:t>el</w:t>
      </w:r>
      <w:r w:rsidRPr="00ED103A">
        <w:rPr>
          <w:rFonts w:ascii="Palatino Linotype" w:hAnsi="Palatino Linotype"/>
          <w:b/>
          <w:color w:val="000000" w:themeColor="text1"/>
        </w:rPr>
        <w:t xml:space="preserve"> </w:t>
      </w:r>
      <w:r w:rsidRPr="00ED103A">
        <w:rPr>
          <w:rFonts w:ascii="Palatino Linotype" w:hAnsi="Palatino Linotype"/>
          <w:color w:val="000000" w:themeColor="text1"/>
        </w:rPr>
        <w:t>solicitante</w:t>
      </w:r>
      <w:r w:rsidRPr="00ED103A">
        <w:rPr>
          <w:rFonts w:ascii="Palatino Linotype" w:hAnsi="Palatino Linotype"/>
          <w:b/>
          <w:color w:val="000000" w:themeColor="text1"/>
        </w:rPr>
        <w:t xml:space="preserve">  </w:t>
      </w:r>
      <w:r w:rsidRPr="00ED103A">
        <w:rPr>
          <w:rFonts w:ascii="Palatino Linotype" w:hAnsi="Palatino Linotype"/>
          <w:color w:val="000000" w:themeColor="text1"/>
        </w:rPr>
        <w:t>presentó</w:t>
      </w:r>
      <w:r w:rsidRPr="00ED103A">
        <w:rPr>
          <w:rFonts w:ascii="Palatino Linotype" w:hAnsi="Palatino Linotype"/>
          <w:b/>
          <w:color w:val="000000" w:themeColor="text1"/>
        </w:rPr>
        <w:t xml:space="preserve"> </w:t>
      </w:r>
      <w:r w:rsidRPr="00ED103A">
        <w:rPr>
          <w:rFonts w:ascii="Palatino Linotype" w:eastAsia="Calibri" w:hAnsi="Palatino Linotype" w:cs="Arial"/>
          <w:color w:val="000000" w:themeColor="text1"/>
          <w:lang w:val="es-ES"/>
        </w:rPr>
        <w:t xml:space="preserve">ante el </w:t>
      </w:r>
      <w:r w:rsidRPr="00ED103A">
        <w:rPr>
          <w:rFonts w:ascii="Palatino Linotype" w:eastAsia="Calibri" w:hAnsi="Palatino Linotype" w:cs="Arial"/>
          <w:b/>
          <w:color w:val="000000" w:themeColor="text1"/>
          <w:lang w:val="es-ES"/>
        </w:rPr>
        <w:t>SUJETO OBLIGADO,</w:t>
      </w:r>
      <w:r w:rsidRPr="00ED103A">
        <w:rPr>
          <w:rFonts w:ascii="Palatino Linotype" w:eastAsia="Calibri" w:hAnsi="Palatino Linotype" w:cs="Arial"/>
          <w:color w:val="000000" w:themeColor="text1"/>
        </w:rPr>
        <w:t xml:space="preserve"> a través del Sistema de Acceso a la Información Mexiquense (SAIMEX),</w:t>
      </w:r>
      <w:r w:rsidRPr="00ED103A">
        <w:rPr>
          <w:rFonts w:ascii="Palatino Linotype" w:eastAsia="Calibri" w:hAnsi="Palatino Linotype" w:cs="Arial"/>
          <w:color w:val="000000" w:themeColor="text1"/>
          <w:lang w:val="es-ES"/>
        </w:rPr>
        <w:t xml:space="preserve"> la solicitud de información pública registrada con el número </w:t>
      </w:r>
      <w:r w:rsidRPr="00ED103A">
        <w:rPr>
          <w:rFonts w:ascii="Palatino Linotype" w:hAnsi="Palatino Linotype"/>
          <w:b/>
          <w:bCs/>
          <w:color w:val="000000" w:themeColor="text1"/>
        </w:rPr>
        <w:t> </w:t>
      </w:r>
      <w:r w:rsidR="00473F17" w:rsidRPr="00ED103A">
        <w:rPr>
          <w:rFonts w:ascii="Palatino Linotype" w:hAnsi="Palatino Linotype"/>
          <w:b/>
          <w:bCs/>
          <w:color w:val="000000" w:themeColor="text1"/>
        </w:rPr>
        <w:t>00785/TOLUCA/IP/2025</w:t>
      </w:r>
      <w:r w:rsidRPr="00ED103A">
        <w:rPr>
          <w:rFonts w:ascii="Palatino Linotype" w:eastAsia="Calibri" w:hAnsi="Palatino Linotype" w:cs="Arial"/>
          <w:color w:val="000000" w:themeColor="text1"/>
          <w:lang w:val="es-ES"/>
        </w:rPr>
        <w:t xml:space="preserve">, </w:t>
      </w:r>
      <w:r w:rsidR="00D16EEB">
        <w:rPr>
          <w:rFonts w:ascii="Palatino Linotype" w:eastAsia="Calibri" w:hAnsi="Palatino Linotype" w:cs="Arial"/>
          <w:color w:val="000000" w:themeColor="text1"/>
          <w:lang w:val="es-ES"/>
        </w:rPr>
        <w:t>en la que</w:t>
      </w:r>
      <w:r w:rsidRPr="00ED103A">
        <w:rPr>
          <w:rFonts w:ascii="Palatino Linotype" w:eastAsia="Calibri" w:hAnsi="Palatino Linotype" w:cs="Arial"/>
          <w:color w:val="000000" w:themeColor="text1"/>
          <w:lang w:val="es-ES"/>
        </w:rPr>
        <w:t xml:space="preserve"> se solicitó:</w:t>
      </w:r>
    </w:p>
    <w:p w:rsidR="00AE3D96" w:rsidRPr="00ED103A" w:rsidRDefault="00AE3D96" w:rsidP="00107C9A">
      <w:pPr>
        <w:tabs>
          <w:tab w:val="left" w:pos="0"/>
        </w:tabs>
        <w:spacing w:line="360" w:lineRule="auto"/>
        <w:ind w:left="360"/>
        <w:contextualSpacing/>
        <w:jc w:val="both"/>
        <w:rPr>
          <w:rFonts w:ascii="Palatino Linotype" w:eastAsia="Calibri" w:hAnsi="Palatino Linotype" w:cs="Arial"/>
          <w:color w:val="000000" w:themeColor="text1"/>
          <w:lang w:val="es-ES"/>
        </w:rPr>
      </w:pPr>
    </w:p>
    <w:p w:rsidR="00AE3D96" w:rsidRPr="00ED103A" w:rsidRDefault="00AE3D96" w:rsidP="00107C9A">
      <w:pPr>
        <w:tabs>
          <w:tab w:val="left" w:pos="0"/>
        </w:tabs>
        <w:spacing w:line="360" w:lineRule="auto"/>
        <w:ind w:left="567"/>
        <w:contextualSpacing/>
        <w:jc w:val="both"/>
        <w:rPr>
          <w:rFonts w:ascii="Palatino Linotype" w:hAnsi="Palatino Linotype" w:cs="Arial"/>
          <w:i/>
          <w:color w:val="000000" w:themeColor="text1"/>
          <w:lang w:val="es-ES"/>
        </w:rPr>
      </w:pPr>
      <w:r w:rsidRPr="00ED103A">
        <w:rPr>
          <w:rFonts w:ascii="Palatino Linotype" w:hAnsi="Palatino Linotype" w:cs="Arial"/>
          <w:i/>
          <w:color w:val="000000" w:themeColor="text1"/>
          <w:lang w:val="es-ES"/>
        </w:rPr>
        <w:t>“</w:t>
      </w:r>
      <w:r w:rsidR="00473F17" w:rsidRPr="00ED103A">
        <w:rPr>
          <w:rFonts w:ascii="Palatino Linotype" w:hAnsi="Palatino Linotype"/>
          <w:i/>
          <w:color w:val="000000" w:themeColor="text1"/>
        </w:rPr>
        <w:t>El acta de la instalación de la comisión de derechos humanos, listas de asistencia, el justificante por que no asistio el presidente y la Defensora de derechos humanos. El nombre de quien integra esa comisión</w:t>
      </w:r>
      <w:r w:rsidRPr="00ED103A">
        <w:rPr>
          <w:rFonts w:ascii="Palatino Linotype" w:hAnsi="Palatino Linotype" w:cs="Arial"/>
          <w:i/>
          <w:color w:val="000000" w:themeColor="text1"/>
          <w:lang w:val="es-ES"/>
        </w:rPr>
        <w:t>” (Sic)</w:t>
      </w:r>
    </w:p>
    <w:p w:rsidR="00AE3D96" w:rsidRPr="00ED103A" w:rsidRDefault="00AE3D96" w:rsidP="00107C9A">
      <w:pPr>
        <w:tabs>
          <w:tab w:val="left" w:pos="0"/>
        </w:tabs>
        <w:spacing w:line="360" w:lineRule="auto"/>
        <w:jc w:val="both"/>
        <w:rPr>
          <w:rFonts w:ascii="Palatino Linotype" w:hAnsi="Palatino Linotype" w:cs="Arial"/>
          <w:color w:val="000000" w:themeColor="text1"/>
          <w:lang w:val="es-ES"/>
        </w:rPr>
      </w:pPr>
    </w:p>
    <w:p w:rsidR="00AE3D96" w:rsidRPr="00ED103A" w:rsidRDefault="00AE3D96" w:rsidP="00107C9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ED103A">
        <w:rPr>
          <w:rFonts w:ascii="Palatino Linotype" w:hAnsi="Palatino Linotype" w:cs="Arial"/>
          <w:color w:val="000000" w:themeColor="text1"/>
          <w:sz w:val="24"/>
        </w:rPr>
        <w:t>Se hace constar que se señaló como modalidad de entrega de la información a través de SAIMEX.</w:t>
      </w:r>
    </w:p>
    <w:p w:rsidR="00AE3D96" w:rsidRPr="00ED103A" w:rsidRDefault="00AE3D96" w:rsidP="00107C9A">
      <w:pPr>
        <w:tabs>
          <w:tab w:val="left" w:pos="0"/>
        </w:tabs>
        <w:spacing w:line="360" w:lineRule="auto"/>
        <w:rPr>
          <w:rFonts w:ascii="Palatino Linotype" w:hAnsi="Palatino Linotype" w:cs="Arial"/>
          <w:color w:val="000000" w:themeColor="text1"/>
          <w:lang w:val="es-ES"/>
        </w:rPr>
      </w:pPr>
    </w:p>
    <w:p w:rsidR="00ED77E0" w:rsidRPr="00ED103A" w:rsidRDefault="00ED77E0" w:rsidP="00107C9A">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ED103A">
        <w:rPr>
          <w:rFonts w:ascii="Palatino Linotype" w:hAnsi="Palatino Linotype" w:cs="Arial"/>
          <w:color w:val="000000" w:themeColor="text1"/>
          <w:lang w:val="es-ES"/>
        </w:rPr>
        <w:lastRenderedPageBreak/>
        <w:t xml:space="preserve">El </w:t>
      </w:r>
      <w:r w:rsidRPr="00ED103A">
        <w:rPr>
          <w:rFonts w:ascii="Palatino Linotype" w:hAnsi="Palatino Linotype" w:cs="Arial"/>
          <w:b/>
          <w:color w:val="000000" w:themeColor="text1"/>
          <w:lang w:val="es-ES"/>
        </w:rPr>
        <w:t>doce de febrero de dos mil veinticinco,</w:t>
      </w:r>
      <w:r w:rsidRPr="00ED103A">
        <w:rPr>
          <w:rFonts w:ascii="Palatino Linotype" w:hAnsi="Palatino Linotype" w:cs="Arial"/>
          <w:color w:val="000000" w:themeColor="text1"/>
          <w:lang w:val="es-ES"/>
        </w:rPr>
        <w:t xml:space="preserve"> se realizó un requerimiento al servidor público habilitado. </w:t>
      </w:r>
    </w:p>
    <w:p w:rsidR="00ED77E0" w:rsidRPr="00ED103A" w:rsidRDefault="00ED77E0" w:rsidP="00107C9A">
      <w:pPr>
        <w:pStyle w:val="Prrafodelista"/>
        <w:tabs>
          <w:tab w:val="left" w:pos="0"/>
        </w:tabs>
        <w:rPr>
          <w:rFonts w:ascii="Palatino Linotype" w:hAnsi="Palatino Linotype" w:cs="Arial"/>
          <w:color w:val="000000" w:themeColor="text1"/>
          <w:sz w:val="24"/>
          <w:lang w:val="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ED103A">
        <w:rPr>
          <w:rFonts w:ascii="Palatino Linotype" w:hAnsi="Palatino Linotype" w:cs="Arial"/>
          <w:color w:val="000000" w:themeColor="text1"/>
          <w:lang w:val="es-ES"/>
        </w:rPr>
        <w:t xml:space="preserve">El </w:t>
      </w:r>
      <w:r w:rsidR="00ED77E0" w:rsidRPr="00ED103A">
        <w:rPr>
          <w:rFonts w:ascii="Palatino Linotype" w:hAnsi="Palatino Linotype" w:cs="Arial"/>
          <w:b/>
          <w:color w:val="000000" w:themeColor="text1"/>
          <w:lang w:val="es-ES"/>
        </w:rPr>
        <w:t>cinco de marzo</w:t>
      </w:r>
      <w:r w:rsidRPr="00ED103A">
        <w:rPr>
          <w:rFonts w:ascii="Palatino Linotype" w:hAnsi="Palatino Linotype" w:cs="Arial"/>
          <w:b/>
          <w:color w:val="000000" w:themeColor="text1"/>
          <w:lang w:val="es-ES"/>
        </w:rPr>
        <w:t xml:space="preserve"> de dos mil veinticinco</w:t>
      </w:r>
      <w:r w:rsidRPr="00ED103A">
        <w:rPr>
          <w:rFonts w:ascii="Palatino Linotype" w:hAnsi="Palatino Linotype" w:cs="Arial"/>
          <w:color w:val="000000" w:themeColor="text1"/>
          <w:lang w:val="es-ES"/>
        </w:rPr>
        <w:t>, el Sujeto Obligado dio respuesta a la solicitud de información en el siguiente sentido:</w:t>
      </w:r>
    </w:p>
    <w:p w:rsidR="00AE3D96" w:rsidRPr="00ED103A" w:rsidRDefault="00AE3D96" w:rsidP="00107C9A">
      <w:pPr>
        <w:tabs>
          <w:tab w:val="left" w:pos="0"/>
        </w:tabs>
        <w:spacing w:line="360" w:lineRule="auto"/>
        <w:contextualSpacing/>
        <w:jc w:val="both"/>
        <w:rPr>
          <w:rFonts w:ascii="Palatino Linotype" w:hAnsi="Palatino Linotype" w:cs="Arial"/>
          <w:color w:val="000000" w:themeColor="text1"/>
          <w:lang w:val="es-ES"/>
        </w:rPr>
      </w:pPr>
    </w:p>
    <w:tbl>
      <w:tblPr>
        <w:tblW w:w="7660" w:type="dxa"/>
        <w:jc w:val="center"/>
        <w:tblCellSpacing w:w="0" w:type="dxa"/>
        <w:tblCellMar>
          <w:left w:w="0" w:type="dxa"/>
          <w:right w:w="0" w:type="dxa"/>
        </w:tblCellMar>
        <w:tblLook w:val="04A0" w:firstRow="1" w:lastRow="0" w:firstColumn="1" w:lastColumn="0" w:noHBand="0" w:noVBand="1"/>
      </w:tblPr>
      <w:tblGrid>
        <w:gridCol w:w="7660"/>
      </w:tblGrid>
      <w:tr w:rsidR="00107C9A" w:rsidRPr="00ED103A" w:rsidTr="00ED77E0">
        <w:trPr>
          <w:trHeight w:val="307"/>
          <w:tblCellSpacing w:w="0" w:type="dxa"/>
          <w:jc w:val="center"/>
        </w:trPr>
        <w:tc>
          <w:tcPr>
            <w:tcW w:w="0" w:type="auto"/>
            <w:vAlign w:val="center"/>
            <w:hideMark/>
          </w:tcPr>
          <w:p w:rsidR="00ED77E0" w:rsidRPr="00ED103A" w:rsidRDefault="00ED77E0" w:rsidP="00107C9A">
            <w:pPr>
              <w:tabs>
                <w:tab w:val="left" w:pos="0"/>
              </w:tabs>
              <w:jc w:val="right"/>
              <w:rPr>
                <w:rFonts w:ascii="Palatino Linotype" w:hAnsi="Palatino Linotype"/>
                <w:i/>
                <w:color w:val="000000" w:themeColor="text1"/>
              </w:rPr>
            </w:pPr>
            <w:r w:rsidRPr="00ED103A">
              <w:rPr>
                <w:rFonts w:ascii="Palatino Linotype" w:hAnsi="Palatino Linotype"/>
                <w:i/>
                <w:color w:val="000000" w:themeColor="text1"/>
              </w:rPr>
              <w:t>“Toluca, México a 05 de Marzo de 2025</w:t>
            </w:r>
          </w:p>
        </w:tc>
      </w:tr>
      <w:tr w:rsidR="00107C9A" w:rsidRPr="00ED103A" w:rsidTr="00ED77E0">
        <w:trPr>
          <w:trHeight w:val="307"/>
          <w:tblCellSpacing w:w="0" w:type="dxa"/>
          <w:jc w:val="center"/>
        </w:trPr>
        <w:tc>
          <w:tcPr>
            <w:tcW w:w="0" w:type="auto"/>
            <w:vAlign w:val="center"/>
            <w:hideMark/>
          </w:tcPr>
          <w:p w:rsidR="00ED77E0" w:rsidRPr="00ED103A" w:rsidRDefault="00ED77E0" w:rsidP="00107C9A">
            <w:pPr>
              <w:tabs>
                <w:tab w:val="left" w:pos="0"/>
              </w:tabs>
              <w:jc w:val="right"/>
              <w:rPr>
                <w:rFonts w:ascii="Palatino Linotype" w:hAnsi="Palatino Linotype"/>
                <w:i/>
                <w:color w:val="000000" w:themeColor="text1"/>
              </w:rPr>
            </w:pPr>
            <w:r w:rsidRPr="00ED103A">
              <w:rPr>
                <w:rFonts w:ascii="Palatino Linotype" w:hAnsi="Palatino Linotype"/>
                <w:i/>
                <w:color w:val="000000" w:themeColor="text1"/>
              </w:rPr>
              <w:t>Nombre del solicitante: C. Solicitante</w:t>
            </w:r>
          </w:p>
        </w:tc>
      </w:tr>
      <w:tr w:rsidR="00107C9A" w:rsidRPr="00ED103A" w:rsidTr="00ED77E0">
        <w:trPr>
          <w:trHeight w:val="307"/>
          <w:tblCellSpacing w:w="0" w:type="dxa"/>
          <w:jc w:val="center"/>
        </w:trPr>
        <w:tc>
          <w:tcPr>
            <w:tcW w:w="0" w:type="auto"/>
            <w:vAlign w:val="center"/>
            <w:hideMark/>
          </w:tcPr>
          <w:p w:rsidR="00ED77E0" w:rsidRPr="00ED103A" w:rsidRDefault="00ED77E0" w:rsidP="00107C9A">
            <w:pPr>
              <w:tabs>
                <w:tab w:val="left" w:pos="0"/>
              </w:tabs>
              <w:jc w:val="right"/>
              <w:rPr>
                <w:rFonts w:ascii="Palatino Linotype" w:hAnsi="Palatino Linotype"/>
                <w:i/>
                <w:color w:val="000000" w:themeColor="text1"/>
              </w:rPr>
            </w:pPr>
            <w:r w:rsidRPr="00ED103A">
              <w:rPr>
                <w:rFonts w:ascii="Palatino Linotype" w:hAnsi="Palatino Linotype"/>
                <w:i/>
                <w:color w:val="000000" w:themeColor="text1"/>
              </w:rPr>
              <w:t>Folio de la solicitud: 00785/TOLUCA/IP/2025</w:t>
            </w:r>
          </w:p>
        </w:tc>
      </w:tr>
      <w:tr w:rsidR="00107C9A" w:rsidRPr="00ED103A" w:rsidTr="00ED77E0">
        <w:trPr>
          <w:trHeight w:val="461"/>
          <w:tblCellSpacing w:w="0" w:type="dxa"/>
          <w:jc w:val="center"/>
        </w:trPr>
        <w:tc>
          <w:tcPr>
            <w:tcW w:w="0" w:type="auto"/>
            <w:vAlign w:val="center"/>
            <w:hideMark/>
          </w:tcPr>
          <w:p w:rsidR="00ED77E0" w:rsidRPr="00ED103A" w:rsidRDefault="00ED77E0" w:rsidP="00107C9A">
            <w:pPr>
              <w:tabs>
                <w:tab w:val="left" w:pos="0"/>
              </w:tabs>
              <w:jc w:val="right"/>
              <w:rPr>
                <w:rFonts w:ascii="Palatino Linotype" w:hAnsi="Palatino Linotype"/>
                <w:i/>
                <w:color w:val="000000" w:themeColor="text1"/>
              </w:rPr>
            </w:pPr>
          </w:p>
        </w:tc>
      </w:tr>
      <w:tr w:rsidR="00107C9A" w:rsidRPr="00ED103A" w:rsidTr="00ED77E0">
        <w:trPr>
          <w:trHeight w:val="153"/>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r w:rsidRPr="00ED103A">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07C9A" w:rsidRPr="00ED103A" w:rsidTr="00ED77E0">
        <w:trPr>
          <w:trHeight w:val="384"/>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p>
        </w:tc>
      </w:tr>
      <w:tr w:rsidR="00107C9A" w:rsidRPr="00ED103A" w:rsidTr="00ED77E0">
        <w:trPr>
          <w:trHeight w:val="153"/>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r w:rsidRPr="00ED103A">
              <w:rPr>
                <w:rFonts w:ascii="Palatino Linotype" w:hAnsi="Palatino Linotype"/>
                <w:i/>
                <w:color w:val="000000" w:themeColor="text1"/>
              </w:rPr>
              <w:t>En atención a la solicitud con folio 0785/TOLUCA/IP/2025, me permito adjuntar al presente la respuesta correspondiente. Sin más por el momento, reciba un saludo.</w:t>
            </w:r>
          </w:p>
        </w:tc>
      </w:tr>
      <w:tr w:rsidR="00107C9A" w:rsidRPr="00ED103A" w:rsidTr="00ED77E0">
        <w:trPr>
          <w:trHeight w:val="384"/>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p>
        </w:tc>
      </w:tr>
      <w:tr w:rsidR="00107C9A" w:rsidRPr="00ED103A" w:rsidTr="00ED77E0">
        <w:trPr>
          <w:trHeight w:val="153"/>
          <w:tblCellSpacing w:w="0" w:type="dxa"/>
          <w:jc w:val="center"/>
        </w:trPr>
        <w:tc>
          <w:tcPr>
            <w:tcW w:w="0" w:type="auto"/>
            <w:vAlign w:val="center"/>
            <w:hideMark/>
          </w:tcPr>
          <w:p w:rsidR="00ED77E0" w:rsidRPr="00ED103A" w:rsidRDefault="00ED77E0" w:rsidP="00107C9A">
            <w:pPr>
              <w:tabs>
                <w:tab w:val="left" w:pos="0"/>
              </w:tabs>
              <w:jc w:val="center"/>
              <w:rPr>
                <w:rFonts w:ascii="Palatino Linotype" w:hAnsi="Palatino Linotype"/>
                <w:i/>
                <w:color w:val="000000" w:themeColor="text1"/>
              </w:rPr>
            </w:pPr>
          </w:p>
        </w:tc>
      </w:tr>
      <w:tr w:rsidR="00107C9A" w:rsidRPr="00ED103A" w:rsidTr="00ED77E0">
        <w:trPr>
          <w:trHeight w:val="153"/>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p>
        </w:tc>
      </w:tr>
      <w:tr w:rsidR="00107C9A" w:rsidRPr="00ED103A" w:rsidTr="00ED77E0">
        <w:trPr>
          <w:trHeight w:val="153"/>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r w:rsidRPr="00ED103A">
              <w:rPr>
                <w:rFonts w:ascii="Palatino Linotype" w:hAnsi="Palatino Linotype"/>
                <w:i/>
                <w:color w:val="000000" w:themeColor="text1"/>
              </w:rPr>
              <w:t>ATENTAMENTE</w:t>
            </w:r>
          </w:p>
        </w:tc>
      </w:tr>
      <w:tr w:rsidR="00107C9A" w:rsidRPr="00ED103A" w:rsidTr="00ED77E0">
        <w:trPr>
          <w:trHeight w:val="230"/>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p>
        </w:tc>
      </w:tr>
      <w:tr w:rsidR="00ED77E0" w:rsidRPr="00ED103A" w:rsidTr="00ED77E0">
        <w:trPr>
          <w:trHeight w:val="153"/>
          <w:tblCellSpacing w:w="0" w:type="dxa"/>
          <w:jc w:val="center"/>
        </w:trPr>
        <w:tc>
          <w:tcPr>
            <w:tcW w:w="0" w:type="auto"/>
            <w:vAlign w:val="center"/>
            <w:hideMark/>
          </w:tcPr>
          <w:p w:rsidR="00ED77E0" w:rsidRPr="00ED103A" w:rsidRDefault="00ED77E0" w:rsidP="00107C9A">
            <w:pPr>
              <w:tabs>
                <w:tab w:val="left" w:pos="0"/>
              </w:tabs>
              <w:rPr>
                <w:rFonts w:ascii="Palatino Linotype" w:hAnsi="Palatino Linotype"/>
                <w:i/>
                <w:color w:val="000000" w:themeColor="text1"/>
              </w:rPr>
            </w:pPr>
            <w:r w:rsidRPr="00ED103A">
              <w:rPr>
                <w:rFonts w:ascii="Palatino Linotype" w:hAnsi="Palatino Linotype"/>
                <w:i/>
                <w:color w:val="000000" w:themeColor="text1"/>
              </w:rPr>
              <w:t>Dr. Nahum Miguel Mendoza Morales”</w:t>
            </w:r>
          </w:p>
        </w:tc>
      </w:tr>
    </w:tbl>
    <w:p w:rsidR="00AE3D96" w:rsidRPr="00ED103A" w:rsidRDefault="00AE3D96" w:rsidP="00107C9A">
      <w:pPr>
        <w:tabs>
          <w:tab w:val="left" w:pos="0"/>
        </w:tabs>
        <w:spacing w:line="360" w:lineRule="auto"/>
        <w:contextualSpacing/>
        <w:jc w:val="both"/>
        <w:rPr>
          <w:rFonts w:ascii="Palatino Linotype" w:hAnsi="Palatino Linotype" w:cs="Arial"/>
          <w:color w:val="000000" w:themeColor="text1"/>
          <w:lang w:val="es-ES"/>
        </w:rPr>
      </w:pPr>
    </w:p>
    <w:p w:rsidR="00FA4148" w:rsidRPr="00ED103A" w:rsidRDefault="00FA4148" w:rsidP="00107C9A">
      <w:pPr>
        <w:tabs>
          <w:tab w:val="left" w:pos="0"/>
        </w:tabs>
        <w:spacing w:line="360" w:lineRule="auto"/>
        <w:contextualSpacing/>
        <w:jc w:val="both"/>
        <w:rPr>
          <w:rFonts w:ascii="Palatino Linotype" w:hAnsi="Palatino Linotype" w:cs="Arial"/>
          <w:color w:val="000000" w:themeColor="text1"/>
          <w:lang w:val="es-ES"/>
        </w:rPr>
      </w:pPr>
    </w:p>
    <w:p w:rsidR="00AE3D96" w:rsidRPr="00ED103A" w:rsidRDefault="00AE3D96" w:rsidP="00107C9A">
      <w:pPr>
        <w:pStyle w:val="Prrafodelista"/>
        <w:numPr>
          <w:ilvl w:val="0"/>
          <w:numId w:val="3"/>
        </w:numPr>
        <w:tabs>
          <w:tab w:val="left" w:pos="0"/>
        </w:tabs>
        <w:spacing w:line="360" w:lineRule="auto"/>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ED103A">
        <w:rPr>
          <w:rFonts w:ascii="Palatino Linotype" w:eastAsia="Calibri" w:hAnsi="Palatino Linotype" w:cs="Arial"/>
          <w:color w:val="000000" w:themeColor="text1"/>
          <w:sz w:val="24"/>
          <w:lang w:val="es-AR"/>
        </w:rPr>
        <w:t xml:space="preserve">A la respuesta se adjuntó el archivo denominado </w:t>
      </w:r>
      <w:hyperlink r:id="rId7" w:tgtFrame="_blank" w:history="1">
        <w:r w:rsidR="00ED77E0" w:rsidRPr="00ED103A">
          <w:rPr>
            <w:rStyle w:val="Hipervnculo"/>
            <w:rFonts w:ascii="Palatino Linotype" w:eastAsia="Calibri" w:hAnsi="Palatino Linotype" w:cs="Arial"/>
            <w:b/>
            <w:bCs/>
            <w:color w:val="000000" w:themeColor="text1"/>
            <w:sz w:val="24"/>
          </w:rPr>
          <w:t>R. 0785. 2025.pdf</w:t>
        </w:r>
      </w:hyperlink>
      <w:r w:rsidR="00ED77E0" w:rsidRPr="00ED103A">
        <w:rPr>
          <w:rFonts w:ascii="Palatino Linotype" w:eastAsia="Calibri" w:hAnsi="Palatino Linotype" w:cs="Arial"/>
          <w:color w:val="000000" w:themeColor="text1"/>
          <w:sz w:val="24"/>
          <w:lang w:val="es-AR"/>
        </w:rPr>
        <w:t>, en el que se localiza el documento de respuesta emitido por el Titular de la Unidad de Transparencia, quien refirió que el servidor público habilitado de la Defensoría Municipal de Derechos Humanos señaló que, derivado de la búsqueda en los archivos no se localizó la información solicitada, asimismo, manifestó:</w:t>
      </w:r>
    </w:p>
    <w:p w:rsidR="00ED77E0" w:rsidRPr="00ED103A" w:rsidRDefault="00ED77E0" w:rsidP="00107C9A">
      <w:pPr>
        <w:pStyle w:val="Prrafodelista"/>
        <w:tabs>
          <w:tab w:val="left" w:pos="0"/>
        </w:tabs>
        <w:spacing w:line="360" w:lineRule="auto"/>
        <w:jc w:val="both"/>
        <w:rPr>
          <w:rFonts w:ascii="Palatino Linotype" w:hAnsi="Palatino Linotype" w:cs="Arial"/>
          <w:i/>
          <w:color w:val="000000" w:themeColor="text1"/>
          <w:sz w:val="24"/>
          <w:lang w:val="es-ES"/>
        </w:rPr>
      </w:pPr>
      <w:r w:rsidRPr="00ED103A">
        <w:rPr>
          <w:rFonts w:ascii="Palatino Linotype" w:hAnsi="Palatino Linotype" w:cs="Arial"/>
          <w:i/>
          <w:color w:val="000000" w:themeColor="text1"/>
          <w:sz w:val="24"/>
        </w:rPr>
        <w:lastRenderedPageBreak/>
        <w:t>“Cabe hacer mención, que dentro de las atribuciones establecidas a esta Defensoría Municipal en los artículos 147 K de la Ley Orgánica Municipal del Estado de México y 9 del Reglamento de Organización y Funcionamiento de las Defensorías Municipales de Derechos Humanos, no se establece que este Organismo sea: integrante de la Comisión Edilicia de Derechos Humanos. Sin embargo, no es posible pasar por alto que la no asistencia de la suscrita a la Sesión de Instalación de la Comisión Edilicia de Derechos Humanos, obedece al hecho de que el responsable de notificar el oficio por medio de cual se me corrió invitación para asistir al evento referido, por causas que desconozco, notificó el ocurso una hora treinta minutos aproximadamente antes del inicio del evento; luego entonces al no existir oportunidad y derivado de los compromisos de agenda para atender las funciones propias de mi encargo, me encontraba alejada del lugar donde se llevó a cabo la instalación de dicha sesión Comisión Edilicia.”</w:t>
      </w:r>
    </w:p>
    <w:p w:rsidR="00ED77E0" w:rsidRPr="00ED103A" w:rsidRDefault="00ED77E0" w:rsidP="00107C9A">
      <w:pPr>
        <w:pStyle w:val="Prrafodelista"/>
        <w:tabs>
          <w:tab w:val="left" w:pos="0"/>
        </w:tabs>
        <w:spacing w:line="360" w:lineRule="auto"/>
        <w:jc w:val="both"/>
        <w:rPr>
          <w:rFonts w:ascii="Palatino Linotype" w:hAnsi="Palatino Linotype" w:cs="Arial"/>
          <w:color w:val="000000" w:themeColor="text1"/>
          <w:sz w:val="24"/>
          <w:lang w:val="es-ES"/>
        </w:rPr>
      </w:pPr>
    </w:p>
    <w:p w:rsidR="00AE3D96" w:rsidRPr="00ED103A" w:rsidRDefault="00AE3D96" w:rsidP="00107C9A">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ED103A">
        <w:rPr>
          <w:rFonts w:ascii="Palatino Linotype" w:hAnsi="Palatino Linotype" w:cs="Arial"/>
          <w:color w:val="000000" w:themeColor="text1"/>
          <w:sz w:val="24"/>
          <w:lang w:val="es-ES"/>
        </w:rPr>
        <w:t xml:space="preserve">En lo sucesivo el </w:t>
      </w:r>
      <w:r w:rsidR="00ED77E0" w:rsidRPr="00ED103A">
        <w:rPr>
          <w:rFonts w:ascii="Palatino Linotype" w:hAnsi="Palatino Linotype" w:cs="Arial"/>
          <w:b/>
          <w:color w:val="000000" w:themeColor="text1"/>
          <w:sz w:val="24"/>
          <w:lang w:val="es-ES"/>
        </w:rPr>
        <w:t>ocho de marzo</w:t>
      </w:r>
      <w:r w:rsidRPr="00ED103A">
        <w:rPr>
          <w:rFonts w:ascii="Palatino Linotype" w:hAnsi="Palatino Linotype" w:cs="Arial"/>
          <w:b/>
          <w:color w:val="000000" w:themeColor="text1"/>
          <w:sz w:val="24"/>
          <w:lang w:val="es-ES"/>
        </w:rPr>
        <w:t xml:space="preserve"> de dos mil veinticinco,</w:t>
      </w:r>
      <w:r w:rsidRPr="00ED103A">
        <w:rPr>
          <w:rFonts w:ascii="Palatino Linotype" w:hAnsi="Palatino Linotype" w:cs="Arial"/>
          <w:color w:val="000000" w:themeColor="text1"/>
          <w:sz w:val="24"/>
          <w:lang w:val="es-ES"/>
        </w:rPr>
        <w:t xml:space="preserve"> </w:t>
      </w:r>
      <w:r w:rsidRPr="00ED103A">
        <w:rPr>
          <w:rFonts w:ascii="Palatino Linotype" w:hAnsi="Palatino Linotype" w:cs="Arial"/>
          <w:b/>
          <w:color w:val="000000" w:themeColor="text1"/>
          <w:sz w:val="24"/>
          <w:lang w:val="es-ES"/>
        </w:rPr>
        <w:t xml:space="preserve"> </w:t>
      </w:r>
      <w:r w:rsidRPr="00ED103A">
        <w:rPr>
          <w:rFonts w:ascii="Palatino Linotype" w:hAnsi="Palatino Linotype" w:cs="Arial"/>
          <w:color w:val="000000" w:themeColor="text1"/>
          <w:sz w:val="24"/>
          <w:lang w:val="es-ES"/>
        </w:rPr>
        <w:t>el solicitante interpuso el recurso de revisión, señalando como:</w:t>
      </w:r>
    </w:p>
    <w:p w:rsidR="00AE3D96" w:rsidRPr="00ED103A" w:rsidRDefault="00AE3D96" w:rsidP="00107C9A">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rsidR="00AE3D96" w:rsidRPr="00D16EEB" w:rsidRDefault="00AE3D96" w:rsidP="00D16EEB">
      <w:pPr>
        <w:pStyle w:val="Prrafodelista"/>
        <w:numPr>
          <w:ilvl w:val="0"/>
          <w:numId w:val="3"/>
        </w:numPr>
        <w:tabs>
          <w:tab w:val="left" w:pos="0"/>
          <w:tab w:val="left" w:pos="851"/>
          <w:tab w:val="left" w:pos="8222"/>
        </w:tabs>
        <w:spacing w:line="360" w:lineRule="auto"/>
        <w:jc w:val="both"/>
        <w:rPr>
          <w:rFonts w:ascii="Palatino Linotype" w:eastAsia="Calibri" w:hAnsi="Palatino Linotype" w:cs="Arial"/>
          <w:i/>
          <w:color w:val="000000" w:themeColor="text1"/>
          <w:lang w:val="es-ES"/>
        </w:rPr>
      </w:pPr>
      <w:r w:rsidRPr="00D16EEB">
        <w:rPr>
          <w:rFonts w:ascii="Palatino Linotype" w:eastAsia="Calibri" w:hAnsi="Palatino Linotype" w:cs="Arial"/>
          <w:b/>
          <w:color w:val="000000" w:themeColor="text1"/>
          <w:lang w:val="es-ES"/>
        </w:rPr>
        <w:t>Acto impugnado:</w:t>
      </w:r>
      <w:r w:rsidRPr="00D16EEB">
        <w:rPr>
          <w:rFonts w:ascii="Palatino Linotype" w:eastAsia="Calibri" w:hAnsi="Palatino Linotype" w:cs="Arial"/>
          <w:i/>
          <w:color w:val="000000" w:themeColor="text1"/>
          <w:lang w:val="es-ES"/>
        </w:rPr>
        <w:t xml:space="preserve"> </w:t>
      </w:r>
      <w:r w:rsidRPr="00D16EEB">
        <w:rPr>
          <w:rFonts w:ascii="Palatino Linotype" w:eastAsia="Calibri" w:hAnsi="Palatino Linotype" w:cs="Arial"/>
          <w:color w:val="000000" w:themeColor="text1"/>
          <w:lang w:val="es-ES"/>
        </w:rPr>
        <w:t>“</w:t>
      </w:r>
      <w:r w:rsidR="00ED77E0" w:rsidRPr="00D16EEB">
        <w:rPr>
          <w:rFonts w:ascii="Palatino Linotype" w:hAnsi="Palatino Linotype"/>
          <w:i/>
          <w:color w:val="000000" w:themeColor="text1"/>
        </w:rPr>
        <w:t>Niega la información apesar de ser publicada en su página</w:t>
      </w:r>
      <w:r w:rsidRPr="00D16EEB">
        <w:rPr>
          <w:rFonts w:ascii="Palatino Linotype" w:hAnsi="Palatino Linotype"/>
          <w:i/>
          <w:color w:val="000000" w:themeColor="text1"/>
        </w:rPr>
        <w:t>”</w:t>
      </w:r>
      <w:r w:rsidRPr="00D16EEB">
        <w:rPr>
          <w:rFonts w:ascii="Palatino Linotype" w:eastAsia="Calibri" w:hAnsi="Palatino Linotype" w:cs="Arial"/>
          <w:i/>
          <w:color w:val="000000" w:themeColor="text1"/>
          <w:lang w:val="es-ES"/>
        </w:rPr>
        <w:t xml:space="preserve"> (Sic) </w:t>
      </w:r>
    </w:p>
    <w:p w:rsidR="00AE3D96" w:rsidRPr="00ED103A" w:rsidRDefault="00AE3D96" w:rsidP="00107C9A">
      <w:pPr>
        <w:tabs>
          <w:tab w:val="left" w:pos="0"/>
        </w:tabs>
        <w:spacing w:line="360" w:lineRule="auto"/>
        <w:ind w:left="567" w:hanging="141"/>
        <w:contextualSpacing/>
        <w:rPr>
          <w:rFonts w:ascii="Palatino Linotype" w:eastAsia="Calibri" w:hAnsi="Palatino Linotype" w:cs="Arial"/>
          <w:i/>
          <w:color w:val="000000" w:themeColor="text1"/>
          <w:lang w:val="es-ES"/>
        </w:rPr>
      </w:pPr>
    </w:p>
    <w:p w:rsidR="00AE3D96" w:rsidRPr="00D16EEB" w:rsidRDefault="00AE3D96" w:rsidP="00D16EEB">
      <w:pPr>
        <w:pStyle w:val="Prrafodelista"/>
        <w:numPr>
          <w:ilvl w:val="0"/>
          <w:numId w:val="3"/>
        </w:numPr>
        <w:tabs>
          <w:tab w:val="left" w:pos="0"/>
          <w:tab w:val="left" w:pos="851"/>
        </w:tabs>
        <w:spacing w:line="360" w:lineRule="auto"/>
        <w:jc w:val="both"/>
        <w:rPr>
          <w:rFonts w:ascii="Palatino Linotype" w:eastAsia="MS Mincho" w:hAnsi="Palatino Linotype"/>
          <w:i/>
          <w:color w:val="000000" w:themeColor="text1"/>
        </w:rPr>
      </w:pPr>
      <w:r w:rsidRPr="00D16EEB">
        <w:rPr>
          <w:rFonts w:ascii="Palatino Linotype" w:eastAsia="MS Gothic" w:hAnsi="Palatino Linotype"/>
          <w:b/>
          <w:color w:val="000000" w:themeColor="text1"/>
          <w:lang w:val="es-ES"/>
        </w:rPr>
        <w:t>Razones o Motivos de inconformidad: “</w:t>
      </w:r>
      <w:r w:rsidR="00ED77E0" w:rsidRPr="00D16EEB">
        <w:rPr>
          <w:rFonts w:ascii="Palatino Linotype" w:eastAsia="MS Gothic" w:hAnsi="Palatino Linotype"/>
          <w:i/>
          <w:color w:val="000000" w:themeColor="text1"/>
        </w:rPr>
        <w:t>Niega la información</w:t>
      </w:r>
      <w:r w:rsidRPr="00D16EEB">
        <w:rPr>
          <w:rFonts w:ascii="Palatino Linotype" w:eastAsia="MS Gothic" w:hAnsi="Palatino Linotype"/>
          <w:i/>
          <w:color w:val="000000" w:themeColor="text1"/>
        </w:rPr>
        <w:t>” (sic)</w:t>
      </w:r>
    </w:p>
    <w:p w:rsidR="00AE3D96" w:rsidRPr="00ED103A" w:rsidRDefault="00AE3D96" w:rsidP="00107C9A">
      <w:pPr>
        <w:tabs>
          <w:tab w:val="left" w:pos="0"/>
          <w:tab w:val="left" w:pos="851"/>
        </w:tabs>
        <w:spacing w:line="360" w:lineRule="auto"/>
        <w:jc w:val="both"/>
        <w:rPr>
          <w:rFonts w:ascii="Palatino Linotype" w:eastAsia="Calibri" w:hAnsi="Palatino Linotype" w:cs="Arial"/>
          <w:color w:val="000000" w:themeColor="text1"/>
          <w:lang w:val="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ED103A">
        <w:rPr>
          <w:rFonts w:ascii="Palatino Linotype" w:hAnsi="Palatino Linotype" w:cs="Arial"/>
          <w:color w:val="000000" w:themeColor="text1"/>
          <w:lang w:val="es-ES"/>
        </w:rPr>
        <w:t xml:space="preserve">Se registró el recurso de revisión bajo el número de expediente </w:t>
      </w:r>
      <w:r w:rsidRPr="00ED103A">
        <w:rPr>
          <w:rFonts w:ascii="Palatino Linotype" w:eastAsia="MS Mincho" w:hAnsi="Palatino Linotype" w:cs="Arial"/>
          <w:bCs/>
          <w:color w:val="000000" w:themeColor="text1"/>
        </w:rPr>
        <w:t xml:space="preserve">al rubro indicado, asimismo con fundamento en lo dispuesto por el </w:t>
      </w:r>
      <w:r w:rsidRPr="00ED103A">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ED103A">
        <w:rPr>
          <w:rFonts w:ascii="Palatino Linotype" w:hAnsi="Palatino Linotype" w:cs="Arial"/>
          <w:color w:val="000000" w:themeColor="text1"/>
          <w:lang w:val="es-ES"/>
        </w:rPr>
        <w:t xml:space="preserve">se turnó a la </w:t>
      </w:r>
      <w:r w:rsidRPr="00ED103A">
        <w:rPr>
          <w:rFonts w:ascii="Palatino Linotype" w:hAnsi="Palatino Linotype" w:cs="Arial"/>
          <w:b/>
          <w:color w:val="000000" w:themeColor="text1"/>
          <w:lang w:val="es-ES"/>
        </w:rPr>
        <w:t>Comisionada María del Rosario Mejía Ayala</w:t>
      </w:r>
      <w:r w:rsidRPr="00ED103A">
        <w:rPr>
          <w:rFonts w:ascii="Palatino Linotype" w:hAnsi="Palatino Linotype" w:cs="Arial"/>
          <w:color w:val="000000" w:themeColor="text1"/>
          <w:lang w:val="es-ES"/>
        </w:rPr>
        <w:t xml:space="preserve"> </w:t>
      </w:r>
      <w:r w:rsidR="00D16EEB">
        <w:rPr>
          <w:rFonts w:ascii="Palatino Linotype" w:hAnsi="Palatino Linotype" w:cs="Arial"/>
          <w:color w:val="000000" w:themeColor="text1"/>
          <w:lang w:val="es-ES"/>
        </w:rPr>
        <w:t>para</w:t>
      </w:r>
      <w:r w:rsidRPr="00ED103A">
        <w:rPr>
          <w:rFonts w:ascii="Palatino Linotype" w:hAnsi="Palatino Linotype" w:cs="Arial"/>
          <w:color w:val="000000" w:themeColor="text1"/>
          <w:lang w:val="es-ES"/>
        </w:rPr>
        <w:t xml:space="preserve"> </w:t>
      </w:r>
      <w:r w:rsidRPr="00ED103A">
        <w:rPr>
          <w:rFonts w:ascii="Palatino Linotype" w:hAnsi="Palatino Linotype" w:cs="Arial"/>
          <w:color w:val="000000" w:themeColor="text1"/>
        </w:rPr>
        <w:t>su análisis.</w:t>
      </w:r>
    </w:p>
    <w:p w:rsidR="00AE3D96" w:rsidRPr="00ED103A" w:rsidRDefault="00AE3D96" w:rsidP="00107C9A">
      <w:pPr>
        <w:tabs>
          <w:tab w:val="left" w:pos="0"/>
        </w:tabs>
        <w:spacing w:line="360" w:lineRule="auto"/>
        <w:contextualSpacing/>
        <w:jc w:val="both"/>
        <w:rPr>
          <w:rFonts w:ascii="Palatino Linotype" w:eastAsia="MS Mincho" w:hAnsi="Palatino Linotype"/>
          <w:i/>
          <w:color w:val="000000" w:themeColor="text1"/>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ED103A">
        <w:rPr>
          <w:rFonts w:ascii="Palatino Linotype" w:eastAsia="Calibri" w:hAnsi="Palatino Linotype" w:cs="Arial"/>
          <w:color w:val="000000" w:themeColor="text1"/>
          <w:lang w:val="es-ES"/>
        </w:rPr>
        <w:lastRenderedPageBreak/>
        <w:t xml:space="preserve">La Comisionada Ponente con fundamento en lo dispuesto por el artículo 185 fracción II de la ley de la materia, a través del acuerdo de admisión del </w:t>
      </w:r>
      <w:r w:rsidR="00ED77E0" w:rsidRPr="00ED103A">
        <w:rPr>
          <w:rFonts w:ascii="Palatino Linotype" w:eastAsia="Calibri" w:hAnsi="Palatino Linotype" w:cs="Arial"/>
          <w:b/>
          <w:color w:val="000000" w:themeColor="text1"/>
          <w:lang w:val="es-ES"/>
        </w:rPr>
        <w:t>diez de marzo</w:t>
      </w:r>
      <w:r w:rsidRPr="00ED103A">
        <w:rPr>
          <w:rFonts w:ascii="Palatino Linotype" w:eastAsia="Calibri" w:hAnsi="Palatino Linotype" w:cs="Arial"/>
          <w:b/>
          <w:color w:val="000000" w:themeColor="text1"/>
          <w:lang w:val="es-ES"/>
        </w:rPr>
        <w:t xml:space="preserve"> de dos mil veinticinco</w:t>
      </w:r>
      <w:r w:rsidRPr="00ED103A">
        <w:rPr>
          <w:rFonts w:ascii="Palatino Linotype" w:eastAsia="Calibri" w:hAnsi="Palatino Linotype" w:cs="Arial"/>
          <w:color w:val="000000" w:themeColor="text1"/>
          <w:lang w:val="es-ES"/>
        </w:rPr>
        <w:t xml:space="preserve">, puso a disposición de las partes el expediente electrónico </w:t>
      </w:r>
      <w:r w:rsidRPr="00ED103A">
        <w:rPr>
          <w:rFonts w:ascii="Palatino Linotype" w:eastAsia="Calibri" w:hAnsi="Palatino Linotype" w:cs="Arial"/>
          <w:color w:val="000000" w:themeColor="text1"/>
        </w:rPr>
        <w:t xml:space="preserve">vía </w:t>
      </w:r>
      <w:r w:rsidRPr="00ED103A">
        <w:rPr>
          <w:rFonts w:ascii="Palatino Linotype" w:eastAsia="Calibri" w:hAnsi="Palatino Linotype" w:cs="Arial"/>
          <w:color w:val="000000" w:themeColor="text1"/>
          <w:lang w:val="es-ES"/>
        </w:rPr>
        <w:t xml:space="preserve">Sistema de Acceso a la Información Mexiquense </w:t>
      </w:r>
      <w:r w:rsidRPr="00ED103A">
        <w:rPr>
          <w:rFonts w:ascii="Palatino Linotype" w:eastAsia="Calibri" w:hAnsi="Palatino Linotype" w:cs="Arial"/>
          <w:b/>
          <w:color w:val="000000" w:themeColor="text1"/>
          <w:lang w:val="es-ES"/>
        </w:rPr>
        <w:t xml:space="preserve">(SAIMEX) </w:t>
      </w:r>
      <w:r w:rsidRPr="00ED103A">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ED103A">
        <w:rPr>
          <w:rFonts w:ascii="Palatino Linotype" w:eastAsia="Calibri" w:hAnsi="Palatino Linotype" w:cs="Arial"/>
          <w:b/>
          <w:color w:val="000000" w:themeColor="text1"/>
          <w:lang w:val="es-ES"/>
        </w:rPr>
        <w:t>SUJETO OBLIGADO</w:t>
      </w:r>
      <w:r w:rsidRPr="00ED103A">
        <w:rPr>
          <w:rFonts w:ascii="Palatino Linotype" w:eastAsia="Calibri" w:hAnsi="Palatino Linotype" w:cs="Arial"/>
          <w:color w:val="000000" w:themeColor="text1"/>
          <w:lang w:val="es-ES"/>
        </w:rPr>
        <w:t xml:space="preserve"> presentara el Informe Justificado procedente.  </w:t>
      </w:r>
    </w:p>
    <w:p w:rsidR="00FA4148" w:rsidRPr="00ED103A" w:rsidRDefault="00FA4148" w:rsidP="00FA4148">
      <w:pPr>
        <w:tabs>
          <w:tab w:val="left" w:pos="0"/>
        </w:tabs>
        <w:spacing w:line="360" w:lineRule="auto"/>
        <w:contextualSpacing/>
        <w:jc w:val="both"/>
        <w:rPr>
          <w:rFonts w:ascii="Palatino Linotype" w:eastAsia="MS Mincho" w:hAnsi="Palatino Linotype"/>
          <w:i/>
          <w:color w:val="000000" w:themeColor="text1"/>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ED103A">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w:t>
      </w:r>
      <w:r w:rsidR="00ED77E0" w:rsidRPr="00ED103A">
        <w:rPr>
          <w:rFonts w:ascii="Palatino Linotype" w:eastAsia="Calibri" w:hAnsi="Palatino Linotype" w:cs="Arial"/>
          <w:color w:val="000000" w:themeColor="text1"/>
          <w:lang w:val="es-ES"/>
        </w:rPr>
        <w:t xml:space="preserve">entregó informe justificado el veintisiete de marzo de dos mil veinticinco, mismo que se puso a la vista del particular el diecisiete de junio del mismo año, y que consta del archivo denominado </w:t>
      </w:r>
      <w:hyperlink r:id="rId8" w:history="1">
        <w:r w:rsidR="00ED77E0" w:rsidRPr="00ED103A">
          <w:rPr>
            <w:rStyle w:val="Hipervnculo"/>
            <w:rFonts w:ascii="Palatino Linotype" w:eastAsia="Calibri" w:hAnsi="Palatino Linotype" w:cs="Arial"/>
            <w:b/>
            <w:bCs/>
            <w:color w:val="000000" w:themeColor="text1"/>
          </w:rPr>
          <w:t>2. Ratificación 2658.pdf</w:t>
        </w:r>
      </w:hyperlink>
      <w:r w:rsidR="00ED77E0" w:rsidRPr="00ED103A">
        <w:rPr>
          <w:rFonts w:ascii="Palatino Linotype" w:eastAsia="Calibri" w:hAnsi="Palatino Linotype" w:cs="Arial"/>
          <w:color w:val="000000" w:themeColor="text1"/>
          <w:lang w:val="es-ES"/>
        </w:rPr>
        <w:t xml:space="preserve">, en el que se ratificó la respuesta por parte del Titular de la Unidad de Transparencia. </w:t>
      </w:r>
    </w:p>
    <w:p w:rsidR="00AE3D96" w:rsidRPr="00ED103A" w:rsidRDefault="00AE3D96" w:rsidP="00107C9A">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ED103A">
        <w:rPr>
          <w:rFonts w:ascii="Palatino Linotype" w:eastAsia="MS Mincho" w:hAnsi="Palatino Linotype"/>
          <w:color w:val="000000" w:themeColor="text1"/>
        </w:rPr>
        <w:t xml:space="preserve">El </w:t>
      </w:r>
      <w:r w:rsidR="000A4BEA" w:rsidRPr="00ED103A">
        <w:rPr>
          <w:rFonts w:ascii="Palatino Linotype" w:eastAsia="MS Mincho" w:hAnsi="Palatino Linotype"/>
          <w:b/>
          <w:color w:val="000000" w:themeColor="text1"/>
        </w:rPr>
        <w:t>veintitrés</w:t>
      </w:r>
      <w:r w:rsidR="00362148" w:rsidRPr="00ED103A">
        <w:rPr>
          <w:rFonts w:ascii="Palatino Linotype" w:eastAsia="MS Mincho" w:hAnsi="Palatino Linotype"/>
          <w:b/>
          <w:color w:val="000000" w:themeColor="text1"/>
        </w:rPr>
        <w:t xml:space="preserve"> de junio</w:t>
      </w:r>
      <w:r w:rsidRPr="00ED103A">
        <w:rPr>
          <w:rFonts w:ascii="Palatino Linotype" w:eastAsia="MS Mincho" w:hAnsi="Palatino Linotype"/>
          <w:b/>
          <w:color w:val="000000" w:themeColor="text1"/>
        </w:rPr>
        <w:t xml:space="preserve"> de dos mil veinticinco,</w:t>
      </w:r>
      <w:r w:rsidRPr="00ED103A">
        <w:rPr>
          <w:rFonts w:ascii="Palatino Linotype" w:eastAsia="MS Mincho" w:hAnsi="Palatino Linotype"/>
          <w:color w:val="000000" w:themeColor="text1"/>
        </w:rPr>
        <w:t xml:space="preserve"> se notificó acuerdo mediante el cual se decretó el cierre de instrucción. </w:t>
      </w:r>
    </w:p>
    <w:p w:rsidR="00AE3D96" w:rsidRPr="00ED103A" w:rsidRDefault="00AE3D96" w:rsidP="00107C9A">
      <w:pPr>
        <w:tabs>
          <w:tab w:val="left" w:pos="0"/>
        </w:tabs>
        <w:spacing w:line="360" w:lineRule="auto"/>
        <w:contextualSpacing/>
        <w:jc w:val="both"/>
        <w:rPr>
          <w:rFonts w:ascii="Palatino Linotype" w:eastAsia="MS Mincho" w:hAnsi="Palatino Linotype"/>
          <w:b/>
          <w:color w:val="000000" w:themeColor="text1"/>
        </w:rPr>
      </w:pPr>
    </w:p>
    <w:p w:rsidR="00AE3D96" w:rsidRPr="00ED103A" w:rsidRDefault="00AE3D96" w:rsidP="00107C9A">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ED103A">
        <w:rPr>
          <w:rFonts w:ascii="Palatino Linotype" w:eastAsia="MS Gothic" w:hAnsi="Palatino Linotype"/>
          <w:b/>
          <w:color w:val="000000" w:themeColor="text1"/>
          <w:lang w:eastAsia="en-US"/>
        </w:rPr>
        <w:t>C</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O</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N</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S</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I</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D</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E</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R</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A</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N</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D</w:t>
      </w:r>
      <w:r w:rsidR="00FA4148" w:rsidRPr="00ED103A">
        <w:rPr>
          <w:rFonts w:ascii="Palatino Linotype" w:eastAsia="MS Gothic" w:hAnsi="Palatino Linotype"/>
          <w:b/>
          <w:color w:val="000000" w:themeColor="text1"/>
          <w:lang w:eastAsia="en-US"/>
        </w:rPr>
        <w:t xml:space="preserve"> </w:t>
      </w:r>
      <w:r w:rsidRPr="00ED103A">
        <w:rPr>
          <w:rFonts w:ascii="Palatino Linotype" w:eastAsia="MS Gothic" w:hAnsi="Palatino Linotype"/>
          <w:b/>
          <w:color w:val="000000" w:themeColor="text1"/>
          <w:lang w:eastAsia="en-US"/>
        </w:rPr>
        <w:t>O</w:t>
      </w:r>
      <w:bookmarkEnd w:id="8"/>
      <w:bookmarkEnd w:id="9"/>
      <w:bookmarkEnd w:id="10"/>
    </w:p>
    <w:p w:rsidR="00AE3D96" w:rsidRPr="00ED103A" w:rsidRDefault="00AE3D96" w:rsidP="00107C9A">
      <w:pPr>
        <w:keepNext/>
        <w:keepLines/>
        <w:tabs>
          <w:tab w:val="left" w:pos="0"/>
        </w:tabs>
        <w:spacing w:line="360" w:lineRule="auto"/>
        <w:jc w:val="center"/>
        <w:outlineLvl w:val="0"/>
        <w:rPr>
          <w:rFonts w:ascii="Palatino Linotype" w:eastAsia="MS Gothic" w:hAnsi="Palatino Linotype"/>
          <w:b/>
          <w:color w:val="000000" w:themeColor="text1"/>
          <w:lang w:eastAsia="en-US"/>
        </w:rPr>
      </w:pPr>
    </w:p>
    <w:p w:rsidR="00AE3D96" w:rsidRPr="00ED103A" w:rsidRDefault="00AE3D96" w:rsidP="00107C9A">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ED103A">
        <w:rPr>
          <w:rFonts w:ascii="Palatino Linotype" w:eastAsia="MS Gothic" w:hAnsi="Palatino Linotype"/>
          <w:b/>
          <w:color w:val="000000" w:themeColor="text1"/>
          <w:lang w:eastAsia="en-US"/>
        </w:rPr>
        <w:t>PRIMERO. De la competencia</w:t>
      </w:r>
      <w:bookmarkEnd w:id="11"/>
      <w:bookmarkEnd w:id="12"/>
      <w:r w:rsidRPr="00ED103A">
        <w:rPr>
          <w:rFonts w:ascii="Palatino Linotype" w:eastAsia="MS Gothic" w:hAnsi="Palatino Linotype"/>
          <w:b/>
          <w:color w:val="000000" w:themeColor="text1"/>
          <w:lang w:eastAsia="en-US"/>
        </w:rPr>
        <w:t>.</w:t>
      </w:r>
      <w:bookmarkEnd w:id="13"/>
    </w:p>
    <w:p w:rsidR="00362148" w:rsidRPr="00ED103A" w:rsidRDefault="00362148" w:rsidP="00107C9A">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ED103A">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103A">
        <w:rPr>
          <w:rFonts w:ascii="Palatino Linotype" w:hAnsi="Palatino Linotype"/>
          <w:b/>
          <w:color w:val="000000" w:themeColor="text1"/>
          <w:sz w:val="24"/>
        </w:rPr>
        <w:t xml:space="preserve">Constitución </w:t>
      </w:r>
      <w:r w:rsidRPr="00ED103A">
        <w:rPr>
          <w:rFonts w:ascii="Palatino Linotype" w:hAnsi="Palatino Linotype"/>
          <w:b/>
          <w:color w:val="000000" w:themeColor="text1"/>
          <w:sz w:val="24"/>
        </w:rPr>
        <w:lastRenderedPageBreak/>
        <w:t>Política de los Estados Unidos Mexicanos</w:t>
      </w:r>
      <w:r w:rsidRPr="00ED103A">
        <w:rPr>
          <w:rFonts w:ascii="Palatino Linotype" w:hAnsi="Palatino Linotype"/>
          <w:color w:val="000000" w:themeColor="text1"/>
          <w:sz w:val="24"/>
        </w:rPr>
        <w:t xml:space="preserve">; 5, párrafos trigésimo séptimo, trigésimo octavo y trigésimo noveno, fracciones IV y V, de la </w:t>
      </w:r>
      <w:r w:rsidRPr="00ED103A">
        <w:rPr>
          <w:rFonts w:ascii="Palatino Linotype" w:hAnsi="Palatino Linotype"/>
          <w:b/>
          <w:color w:val="000000" w:themeColor="text1"/>
          <w:sz w:val="24"/>
        </w:rPr>
        <w:t>Constitución Política del Estado Libre y Soberano de México</w:t>
      </w:r>
      <w:r w:rsidRPr="00ED103A">
        <w:rPr>
          <w:rFonts w:ascii="Palatino Linotype" w:hAnsi="Palatino Linotype"/>
          <w:color w:val="000000" w:themeColor="text1"/>
          <w:sz w:val="24"/>
        </w:rPr>
        <w:t xml:space="preserve">; artículos 1, 2 fracción II, 13, 29, 36 fracciones I y II, 176, 178, 179, 181 párrafo tercero y 185 de la </w:t>
      </w:r>
      <w:r w:rsidRPr="00ED103A">
        <w:rPr>
          <w:rFonts w:ascii="Palatino Linotype" w:hAnsi="Palatino Linotype"/>
          <w:b/>
          <w:color w:val="000000" w:themeColor="text1"/>
          <w:sz w:val="24"/>
        </w:rPr>
        <w:t>Ley de Transparencia y Acceso a la Información Pública del Estado de México y Municipios</w:t>
      </w:r>
      <w:r w:rsidRPr="00ED103A">
        <w:rPr>
          <w:rFonts w:ascii="Palatino Linotype" w:hAnsi="Palatino Linotype"/>
          <w:color w:val="000000" w:themeColor="text1"/>
          <w:sz w:val="24"/>
        </w:rPr>
        <w:t xml:space="preserve">; y 7, 9 fracciones I y XXIII, y 11 del </w:t>
      </w:r>
      <w:r w:rsidRPr="00ED103A">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AE3D96" w:rsidRPr="00ED103A" w:rsidRDefault="00AE3D96" w:rsidP="00107C9A">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ED103A">
        <w:rPr>
          <w:rFonts w:ascii="Palatino Linotype" w:eastAsia="MS Gothic" w:hAnsi="Palatino Linotype"/>
          <w:b/>
          <w:color w:val="000000" w:themeColor="text1"/>
          <w:lang w:eastAsia="en-US"/>
        </w:rPr>
        <w:t>SEGUNDO. De la oportunidad y procedencia.</w:t>
      </w:r>
      <w:bookmarkEnd w:id="14"/>
      <w:bookmarkEnd w:id="15"/>
      <w:bookmarkEnd w:id="16"/>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Calibri" w:hAnsi="Palatino Linotype" w:cs="Arial"/>
          <w:color w:val="000000" w:themeColor="text1"/>
          <w:lang w:val="es-ES_tradnl" w:eastAsia="es-ES"/>
        </w:rPr>
        <w:t xml:space="preserve">El medio de impugnación fue presentado a través del </w:t>
      </w:r>
      <w:r w:rsidRPr="00ED103A">
        <w:rPr>
          <w:rFonts w:ascii="Palatino Linotype" w:eastAsia="Calibri" w:hAnsi="Palatino Linotype" w:cs="Arial"/>
          <w:b/>
          <w:color w:val="000000" w:themeColor="text1"/>
          <w:lang w:val="es-ES_tradnl" w:eastAsia="es-ES"/>
        </w:rPr>
        <w:t>SAIMEX,</w:t>
      </w:r>
      <w:r w:rsidRPr="00ED103A">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ED103A">
        <w:rPr>
          <w:rFonts w:ascii="Palatino Linotype" w:eastAsia="Calibri" w:hAnsi="Palatino Linotype" w:cs="Arial"/>
          <w:b/>
          <w:color w:val="000000" w:themeColor="text1"/>
          <w:lang w:val="es-ES_tradnl" w:eastAsia="es-ES"/>
        </w:rPr>
        <w:t>SUJETO OBLIGADO</w:t>
      </w:r>
      <w:r w:rsidRPr="00ED103A">
        <w:rPr>
          <w:rFonts w:ascii="Palatino Linotype" w:eastAsia="Calibri" w:hAnsi="Palatino Linotype" w:cs="Arial"/>
          <w:color w:val="000000" w:themeColor="text1"/>
          <w:lang w:val="es-ES_tradnl" w:eastAsia="es-ES"/>
        </w:rPr>
        <w:t xml:space="preserve"> entregó respuesta el día </w:t>
      </w:r>
      <w:r w:rsidR="00362148" w:rsidRPr="00ED103A">
        <w:rPr>
          <w:rFonts w:ascii="Palatino Linotype" w:eastAsia="Calibri" w:hAnsi="Palatino Linotype" w:cs="Arial"/>
          <w:b/>
          <w:color w:val="000000" w:themeColor="text1"/>
          <w:lang w:val="es-ES_tradnl" w:eastAsia="es-ES"/>
        </w:rPr>
        <w:t>seis de mayo</w:t>
      </w:r>
      <w:r w:rsidRPr="00ED103A">
        <w:rPr>
          <w:rFonts w:ascii="Palatino Linotype" w:eastAsia="Calibri" w:hAnsi="Palatino Linotype" w:cs="Arial"/>
          <w:b/>
          <w:color w:val="000000" w:themeColor="text1"/>
          <w:lang w:val="es-ES_tradnl" w:eastAsia="es-ES"/>
        </w:rPr>
        <w:t xml:space="preserve"> de dos mil veinticinco</w:t>
      </w:r>
      <w:r w:rsidRPr="00ED103A">
        <w:rPr>
          <w:rFonts w:ascii="Palatino Linotype" w:eastAsia="Calibri" w:hAnsi="Palatino Linotype" w:cs="Arial"/>
          <w:color w:val="000000" w:themeColor="text1"/>
          <w:lang w:val="es-ES_tradnl" w:eastAsia="es-ES"/>
        </w:rPr>
        <w:t xml:space="preserve">, </w:t>
      </w:r>
      <w:r w:rsidRPr="00ED103A">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362148" w:rsidRPr="00ED103A">
        <w:rPr>
          <w:rFonts w:ascii="Palatino Linotype" w:eastAsiaTheme="minorEastAsia" w:hAnsi="Palatino Linotype" w:cs="Arial"/>
          <w:b/>
          <w:color w:val="000000" w:themeColor="text1"/>
          <w:lang w:val="es-ES_tradnl" w:eastAsia="es-ES"/>
        </w:rPr>
        <w:t>siete al veintisiete de mayo</w:t>
      </w:r>
      <w:r w:rsidRPr="00ED103A">
        <w:rPr>
          <w:rFonts w:ascii="Palatino Linotype" w:eastAsiaTheme="minorEastAsia" w:hAnsi="Palatino Linotype" w:cs="Arial"/>
          <w:b/>
          <w:color w:val="000000" w:themeColor="text1"/>
          <w:lang w:val="es-ES_tradnl" w:eastAsia="es-ES"/>
        </w:rPr>
        <w:t xml:space="preserve"> de dos mil veinticinco</w:t>
      </w:r>
      <w:r w:rsidRPr="00ED103A">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362148" w:rsidRPr="00ED103A">
        <w:rPr>
          <w:rFonts w:ascii="Palatino Linotype" w:eastAsiaTheme="minorEastAsia" w:hAnsi="Palatino Linotype" w:cs="Arial"/>
          <w:b/>
          <w:color w:val="000000" w:themeColor="text1"/>
          <w:lang w:val="es-ES_tradnl" w:eastAsia="es-ES"/>
        </w:rPr>
        <w:t>siete de mayo</w:t>
      </w:r>
      <w:r w:rsidRPr="00ED103A">
        <w:rPr>
          <w:rFonts w:ascii="Palatino Linotype" w:eastAsiaTheme="minorEastAsia" w:hAnsi="Palatino Linotype" w:cs="Arial"/>
          <w:b/>
          <w:color w:val="000000" w:themeColor="text1"/>
          <w:lang w:val="es-ES_tradnl" w:eastAsia="es-ES"/>
        </w:rPr>
        <w:t xml:space="preserve"> de dos mil veinticinco</w:t>
      </w:r>
      <w:r w:rsidRPr="00ED103A">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ED103A">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ED103A">
        <w:rPr>
          <w:rFonts w:ascii="Palatino Linotype" w:eastAsiaTheme="minorEastAsia" w:hAnsi="Palatino Linotype" w:cs="Arial"/>
          <w:color w:val="000000" w:themeColor="text1"/>
          <w:lang w:val="es-ES_tradnl" w:eastAsia="es-ES"/>
        </w:rPr>
        <w:t>vigente.</w:t>
      </w:r>
    </w:p>
    <w:p w:rsidR="00AE3D96" w:rsidRPr="00ED103A" w:rsidRDefault="00AE3D96" w:rsidP="00107C9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ED103A">
        <w:rPr>
          <w:rFonts w:ascii="Palatino Linotype" w:eastAsia="Calibri" w:hAnsi="Palatino Linotype" w:cs="Arial"/>
          <w:color w:val="000000" w:themeColor="text1"/>
          <w:lang w:val="es-ES_tradnl" w:eastAsia="es-ES"/>
        </w:rPr>
        <w:t xml:space="preserve">Por otra parte, de la revisión al expediente electrónico del </w:t>
      </w:r>
      <w:r w:rsidRPr="00ED103A">
        <w:rPr>
          <w:rFonts w:ascii="Palatino Linotype" w:eastAsia="Calibri" w:hAnsi="Palatino Linotype" w:cs="Arial"/>
          <w:b/>
          <w:color w:val="000000" w:themeColor="text1"/>
          <w:lang w:val="es-ES_tradnl" w:eastAsia="es-ES"/>
        </w:rPr>
        <w:t>SAIMEX</w:t>
      </w:r>
      <w:r w:rsidRPr="00ED103A">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w:t>
      </w:r>
      <w:r w:rsidRPr="00ED103A">
        <w:rPr>
          <w:rFonts w:ascii="Palatino Linotype" w:eastAsia="Calibri" w:hAnsi="Palatino Linotype" w:cs="Arial"/>
          <w:color w:val="000000" w:themeColor="text1"/>
          <w:lang w:val="es-ES_tradnl" w:eastAsia="es-ES"/>
        </w:rPr>
        <w:lastRenderedPageBreak/>
        <w:t>no es requisito indispensable para la tramitación del acto procesal específico en materia de acceso a la información, ello en estricto apego al numeral 155 párrafo tercero de la Ley de la materia, en concatenación con el 180 del mismo ordenamiento.</w:t>
      </w:r>
    </w:p>
    <w:p w:rsidR="00AE3D96" w:rsidRPr="00ED103A" w:rsidRDefault="00AE3D96" w:rsidP="00107C9A">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ED103A">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ED103A">
        <w:rPr>
          <w:rFonts w:ascii="Palatino Linotype" w:eastAsia="Calibri" w:hAnsi="Palatino Linotype" w:cs="Arial"/>
          <w:bCs/>
          <w:color w:val="000000" w:themeColor="text1"/>
          <w:lang w:val="es-ES" w:eastAsia="es-ES"/>
        </w:rPr>
        <w:t>5, párrafos vigésimo, vigésimo primero y vigésimo segundo fracciones IV y V </w:t>
      </w:r>
      <w:r w:rsidRPr="00ED103A">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E3D96" w:rsidRPr="00ED103A" w:rsidRDefault="00AE3D96" w:rsidP="00107C9A">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ED103A">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E3D96" w:rsidRPr="00ED103A" w:rsidRDefault="00AE3D96" w:rsidP="00107C9A">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ED103A">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ED103A">
        <w:rPr>
          <w:rFonts w:ascii="Palatino Linotype" w:eastAsia="Calibri" w:hAnsi="Palatino Linotype" w:cs="Arial"/>
          <w:color w:val="000000" w:themeColor="text1"/>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E3D96" w:rsidRPr="00ED103A" w:rsidRDefault="00AE3D96" w:rsidP="00107C9A">
      <w:pPr>
        <w:pStyle w:val="Prrafodelista"/>
        <w:tabs>
          <w:tab w:val="left" w:pos="0"/>
        </w:tabs>
        <w:spacing w:line="360" w:lineRule="auto"/>
        <w:rPr>
          <w:rFonts w:ascii="Palatino Linotype" w:eastAsia="Calibri" w:hAnsi="Palatino Linotype" w:cs="Arial"/>
          <w:color w:val="000000" w:themeColor="text1"/>
          <w:sz w:val="24"/>
          <w:lang w:val="es-ES_tradnl" w:eastAsia="es-ES"/>
        </w:rPr>
      </w:pPr>
    </w:p>
    <w:p w:rsidR="00AE3D96" w:rsidRPr="00ED103A" w:rsidRDefault="00AE3D96" w:rsidP="00107C9A">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ED103A">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E3D96" w:rsidRPr="00ED103A" w:rsidRDefault="00AE3D96" w:rsidP="00107C9A">
      <w:pPr>
        <w:tabs>
          <w:tab w:val="left" w:pos="0"/>
        </w:tabs>
        <w:spacing w:line="360" w:lineRule="auto"/>
        <w:contextualSpacing/>
        <w:jc w:val="both"/>
        <w:rPr>
          <w:rFonts w:ascii="Palatino Linotype" w:eastAsia="Calibri" w:hAnsi="Palatino Linotype" w:cs="Arial"/>
          <w:b/>
          <w:color w:val="000000" w:themeColor="text1"/>
        </w:rPr>
      </w:pPr>
    </w:p>
    <w:p w:rsidR="00AE3D96" w:rsidRPr="00ED103A" w:rsidRDefault="00AE3D96" w:rsidP="00107C9A">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ED103A">
        <w:rPr>
          <w:rFonts w:ascii="Palatino Linotype" w:eastAsia="MS Mincho" w:hAnsi="Palatino Linotype" w:cstheme="majorBidi"/>
          <w:b/>
          <w:color w:val="000000" w:themeColor="text1"/>
          <w:lang w:val="es-ES_tradnl" w:eastAsia="es-ES"/>
        </w:rPr>
        <w:t>TERCERO. Planteamiento de la Litis</w:t>
      </w:r>
      <w:r w:rsidRPr="00ED103A">
        <w:rPr>
          <w:rFonts w:ascii="Palatino Linotype" w:eastAsia="MS Gothic" w:hAnsi="Palatino Linotype"/>
          <w:b/>
          <w:color w:val="000000" w:themeColor="text1"/>
        </w:rPr>
        <w:t>.</w:t>
      </w:r>
      <w:bookmarkEnd w:id="17"/>
      <w:bookmarkEnd w:id="18"/>
    </w:p>
    <w:p w:rsidR="00AE3D96" w:rsidRPr="00ED103A" w:rsidRDefault="00362148" w:rsidP="00107C9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ED103A">
        <w:rPr>
          <w:rFonts w:ascii="Palatino Linotype" w:hAnsi="Palatino Linotype" w:cs="Arial"/>
          <w:color w:val="000000" w:themeColor="text1"/>
          <w:sz w:val="24"/>
        </w:rPr>
        <w:t>El par</w:t>
      </w:r>
      <w:r w:rsidR="000A4BEA" w:rsidRPr="00ED103A">
        <w:rPr>
          <w:rFonts w:ascii="Palatino Linotype" w:hAnsi="Palatino Linotype" w:cs="Arial"/>
          <w:color w:val="000000" w:themeColor="text1"/>
          <w:sz w:val="24"/>
        </w:rPr>
        <w:t>ticular solicitó de la Comisión de Derechos Humanos, el acta de instalación, lista de asistencia, nombre de los integrantes</w:t>
      </w:r>
      <w:r w:rsidR="00E956A5" w:rsidRPr="00ED103A">
        <w:rPr>
          <w:rFonts w:ascii="Palatino Linotype" w:hAnsi="Palatino Linotype" w:cs="Arial"/>
          <w:color w:val="000000" w:themeColor="text1"/>
          <w:sz w:val="24"/>
        </w:rPr>
        <w:t xml:space="preserve"> y el</w:t>
      </w:r>
      <w:r w:rsidR="000A4BEA" w:rsidRPr="00ED103A">
        <w:rPr>
          <w:rFonts w:ascii="Palatino Linotype" w:hAnsi="Palatino Linotype" w:cs="Arial"/>
          <w:color w:val="000000" w:themeColor="text1"/>
          <w:sz w:val="24"/>
        </w:rPr>
        <w:t xml:space="preserve"> justificante </w:t>
      </w:r>
      <w:r w:rsidR="00E956A5" w:rsidRPr="00ED103A">
        <w:rPr>
          <w:rFonts w:ascii="Palatino Linotype" w:hAnsi="Palatino Linotype" w:cs="Arial"/>
          <w:color w:val="000000" w:themeColor="text1"/>
          <w:sz w:val="24"/>
        </w:rPr>
        <w:t xml:space="preserve">del porque no asistió el presidente y la defensora de derechos humanos a la instalación. </w:t>
      </w:r>
    </w:p>
    <w:p w:rsidR="00AE3D96" w:rsidRPr="00ED103A" w:rsidRDefault="00AE3D96" w:rsidP="00107C9A">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rsidR="00E956A5" w:rsidRPr="00ED103A" w:rsidRDefault="00AE3D96" w:rsidP="00107C9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ED103A">
        <w:rPr>
          <w:rFonts w:ascii="Palatino Linotype" w:eastAsia="MS Gothic" w:hAnsi="Palatino Linotype"/>
          <w:color w:val="000000" w:themeColor="text1"/>
          <w:sz w:val="24"/>
        </w:rPr>
        <w:t>En respue</w:t>
      </w:r>
      <w:r w:rsidR="00CE699D" w:rsidRPr="00ED103A">
        <w:rPr>
          <w:rFonts w:ascii="Palatino Linotype" w:eastAsia="MS Gothic" w:hAnsi="Palatino Linotype"/>
          <w:color w:val="000000" w:themeColor="text1"/>
          <w:sz w:val="24"/>
        </w:rPr>
        <w:t xml:space="preserve">sta, el Sujeto Obligado entregó, a través de la </w:t>
      </w:r>
      <w:r w:rsidR="00E956A5" w:rsidRPr="00ED103A">
        <w:rPr>
          <w:rFonts w:ascii="Palatino Linotype" w:eastAsia="MS Gothic" w:hAnsi="Palatino Linotype"/>
          <w:color w:val="000000" w:themeColor="text1"/>
          <w:sz w:val="24"/>
        </w:rPr>
        <w:t xml:space="preserve">Defensora Municipal de Derechos Humanos, documento en el que señaló que, de la búsqueda en sus archivos no se localizó la información solicitada ya que no está en sus atribuciones, asimismo, señaló que ella no asistió a la instalación de la comisión de derechos humanos, porque se le entregó el oficio de invitación una hora y media antes del evento, por lo que le fue imposible asistir. </w:t>
      </w:r>
      <w:r w:rsidR="00E956A5" w:rsidRPr="00ED103A">
        <w:rPr>
          <w:rFonts w:ascii="Palatino Linotype" w:eastAsia="MS Mincho" w:hAnsi="Palatino Linotype" w:cs="Arial"/>
          <w:color w:val="000000" w:themeColor="text1"/>
          <w:sz w:val="24"/>
          <w:lang w:val="es-ES_tradnl" w:eastAsia="es-ES"/>
        </w:rPr>
        <w:t xml:space="preserve">Posteriormente, el particular se inconformó por la negativa de la información. </w:t>
      </w:r>
    </w:p>
    <w:p w:rsidR="00AE3D96" w:rsidRPr="00ED103A" w:rsidRDefault="00AE3D96" w:rsidP="00107C9A">
      <w:pPr>
        <w:tabs>
          <w:tab w:val="left" w:pos="0"/>
        </w:tabs>
        <w:spacing w:line="360" w:lineRule="auto"/>
        <w:jc w:val="both"/>
        <w:rPr>
          <w:rFonts w:ascii="Palatino Linotype" w:hAnsi="Palatino Linotype" w:cs="Arial"/>
          <w:i/>
          <w:color w:val="000000" w:themeColor="text1"/>
        </w:rPr>
      </w:pPr>
    </w:p>
    <w:p w:rsidR="00AE3D96" w:rsidRPr="00ED103A" w:rsidRDefault="00AE3D96" w:rsidP="00107C9A">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ED103A">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ED103A">
        <w:rPr>
          <w:rFonts w:ascii="Palatino Linotype" w:hAnsi="Palatino Linotype"/>
          <w:color w:val="000000" w:themeColor="text1"/>
          <w:sz w:val="24"/>
        </w:rPr>
        <w:t>en e</w:t>
      </w:r>
      <w:r w:rsidR="00E956A5" w:rsidRPr="00ED103A">
        <w:rPr>
          <w:rFonts w:ascii="Palatino Linotype" w:hAnsi="Palatino Linotype"/>
          <w:color w:val="000000" w:themeColor="text1"/>
          <w:sz w:val="24"/>
        </w:rPr>
        <w:t xml:space="preserve">l </w:t>
      </w:r>
      <w:r w:rsidR="00E956A5" w:rsidRPr="00ED103A">
        <w:rPr>
          <w:rFonts w:ascii="Palatino Linotype" w:hAnsi="Palatino Linotype"/>
          <w:color w:val="000000" w:themeColor="text1"/>
          <w:sz w:val="24"/>
        </w:rPr>
        <w:lastRenderedPageBreak/>
        <w:t>artículo 179, fracción I</w:t>
      </w:r>
      <w:r w:rsidR="00CE699D" w:rsidRPr="00ED103A">
        <w:rPr>
          <w:rFonts w:ascii="Palatino Linotype" w:hAnsi="Palatino Linotype"/>
          <w:color w:val="000000" w:themeColor="text1"/>
          <w:sz w:val="24"/>
        </w:rPr>
        <w:t xml:space="preserve"> </w:t>
      </w:r>
      <w:r w:rsidRPr="00ED103A">
        <w:rPr>
          <w:rFonts w:ascii="Palatino Linotype" w:hAnsi="Palatino Linotype"/>
          <w:color w:val="000000" w:themeColor="text1"/>
          <w:sz w:val="24"/>
        </w:rPr>
        <w:t xml:space="preserve">de la Ley de Transparencia y Acceso a la Información Pública del Estado de México y Municipios; que establece la </w:t>
      </w:r>
      <w:r w:rsidR="00E956A5" w:rsidRPr="00ED103A">
        <w:rPr>
          <w:rFonts w:ascii="Palatino Linotype" w:hAnsi="Palatino Linotype"/>
          <w:color w:val="000000" w:themeColor="text1"/>
          <w:sz w:val="24"/>
        </w:rPr>
        <w:t xml:space="preserve">negativa de la información. </w:t>
      </w:r>
    </w:p>
    <w:p w:rsidR="00AE3D96" w:rsidRPr="00ED103A" w:rsidRDefault="00AE3D96" w:rsidP="00107C9A">
      <w:pPr>
        <w:pStyle w:val="Prrafodelista"/>
        <w:tabs>
          <w:tab w:val="left" w:pos="0"/>
        </w:tabs>
        <w:spacing w:line="360" w:lineRule="auto"/>
        <w:ind w:left="0"/>
        <w:jc w:val="both"/>
        <w:rPr>
          <w:rFonts w:ascii="Palatino Linotype" w:eastAsia="MS Gothic" w:hAnsi="Palatino Linotype"/>
          <w:color w:val="000000" w:themeColor="text1"/>
          <w:sz w:val="24"/>
        </w:rPr>
      </w:pPr>
    </w:p>
    <w:p w:rsidR="00AE3D96" w:rsidRPr="00ED103A" w:rsidRDefault="00AE3D96" w:rsidP="00107C9A">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ED103A">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rsidR="00AE3D96" w:rsidRPr="00ED103A" w:rsidRDefault="00AE3D96" w:rsidP="00107C9A">
      <w:pPr>
        <w:pStyle w:val="Ttulo1"/>
        <w:tabs>
          <w:tab w:val="left" w:pos="0"/>
        </w:tabs>
        <w:spacing w:before="0" w:line="360" w:lineRule="auto"/>
        <w:rPr>
          <w:rFonts w:ascii="Palatino Linotype" w:hAnsi="Palatino Linotype"/>
          <w:b/>
          <w:color w:val="000000" w:themeColor="text1"/>
          <w:sz w:val="24"/>
          <w:szCs w:val="24"/>
        </w:rPr>
      </w:pPr>
      <w:bookmarkStart w:id="21" w:name="_Toc80812777"/>
      <w:bookmarkStart w:id="22" w:name="_Toc83301641"/>
      <w:bookmarkStart w:id="23" w:name="_Toc94119617"/>
      <w:r w:rsidRPr="00ED103A">
        <w:rPr>
          <w:rFonts w:ascii="Palatino Linotype" w:hAnsi="Palatino Linotype"/>
          <w:b/>
          <w:color w:val="000000" w:themeColor="text1"/>
          <w:sz w:val="24"/>
          <w:szCs w:val="24"/>
        </w:rPr>
        <w:t>De la información solicitada</w:t>
      </w:r>
      <w:bookmarkEnd w:id="21"/>
      <w:bookmarkEnd w:id="22"/>
      <w:r w:rsidRPr="00ED103A">
        <w:rPr>
          <w:rFonts w:ascii="Palatino Linotype" w:hAnsi="Palatino Linotype"/>
          <w:b/>
          <w:color w:val="000000" w:themeColor="text1"/>
          <w:sz w:val="24"/>
          <w:szCs w:val="24"/>
        </w:rPr>
        <w:t xml:space="preserve"> y la respuesta del Sujeto Obligado</w:t>
      </w:r>
      <w:bookmarkEnd w:id="23"/>
    </w:p>
    <w:p w:rsidR="00AE3D96" w:rsidRPr="00ED103A" w:rsidRDefault="00AE3D96" w:rsidP="00107C9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ED103A">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E3D96" w:rsidRPr="00ED103A" w:rsidRDefault="00AE3D96" w:rsidP="00107C9A">
      <w:pPr>
        <w:pStyle w:val="Prrafodelista"/>
        <w:tabs>
          <w:tab w:val="left" w:pos="0"/>
        </w:tabs>
        <w:spacing w:line="360" w:lineRule="auto"/>
        <w:ind w:left="0"/>
        <w:jc w:val="both"/>
        <w:rPr>
          <w:rFonts w:ascii="Palatino Linotype" w:eastAsia="Calibri" w:hAnsi="Palatino Linotype" w:cs="Arial"/>
          <w:color w:val="000000" w:themeColor="text1"/>
          <w:sz w:val="24"/>
        </w:rPr>
      </w:pPr>
    </w:p>
    <w:p w:rsidR="00E71172" w:rsidRPr="00ED103A" w:rsidRDefault="00E71172" w:rsidP="00107C9A">
      <w:pPr>
        <w:pStyle w:val="Prrafodelista"/>
        <w:numPr>
          <w:ilvl w:val="0"/>
          <w:numId w:val="3"/>
        </w:numPr>
        <w:tabs>
          <w:tab w:val="left" w:pos="0"/>
        </w:tabs>
        <w:spacing w:line="360" w:lineRule="auto"/>
        <w:jc w:val="both"/>
        <w:rPr>
          <w:rFonts w:ascii="Palatino Linotype" w:eastAsia="Calibri" w:hAnsi="Palatino Linotype" w:cs="Arial"/>
          <w:b/>
          <w:color w:val="000000" w:themeColor="text1"/>
          <w:sz w:val="24"/>
        </w:rPr>
      </w:pPr>
      <w:r w:rsidRPr="00ED103A">
        <w:rPr>
          <w:rFonts w:ascii="Palatino Linotype" w:eastAsia="Calibri" w:hAnsi="Palatino Linotype" w:cs="Arial"/>
          <w:b/>
          <w:color w:val="000000" w:themeColor="text1"/>
          <w:sz w:val="24"/>
        </w:rPr>
        <w:t>De la naturaleza de la información solicitada.</w:t>
      </w:r>
    </w:p>
    <w:p w:rsidR="00CE699D" w:rsidRPr="00ED103A" w:rsidRDefault="00AE3D96" w:rsidP="00107C9A">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ED103A">
        <w:rPr>
          <w:rFonts w:ascii="Palatino Linotype" w:eastAsia="Calibri" w:hAnsi="Palatino Linotype" w:cs="Arial"/>
          <w:color w:val="000000" w:themeColor="text1"/>
          <w:sz w:val="24"/>
        </w:rPr>
        <w:t xml:space="preserve">Primeramente, debemos recapitular que el particular </w:t>
      </w:r>
      <w:r w:rsidRPr="00ED103A">
        <w:rPr>
          <w:rFonts w:ascii="Palatino Linotype" w:hAnsi="Palatino Linotype" w:cs="Arial"/>
          <w:color w:val="000000" w:themeColor="text1"/>
          <w:sz w:val="24"/>
        </w:rPr>
        <w:t>solicitó</w:t>
      </w:r>
      <w:r w:rsidRPr="00ED103A">
        <w:rPr>
          <w:rFonts w:ascii="Palatino Linotype" w:hAnsi="Palatino Linotype"/>
          <w:i/>
          <w:color w:val="000000" w:themeColor="text1"/>
          <w:sz w:val="24"/>
          <w:lang w:val="es-ES"/>
        </w:rPr>
        <w:t xml:space="preserve"> </w:t>
      </w:r>
      <w:r w:rsidR="00E71172" w:rsidRPr="00ED103A">
        <w:rPr>
          <w:rFonts w:ascii="Palatino Linotype" w:hAnsi="Palatino Linotype" w:cs="Arial"/>
          <w:color w:val="000000" w:themeColor="text1"/>
          <w:sz w:val="24"/>
        </w:rPr>
        <w:t>información de la instalación de la Comisión de Derechos Humanos.</w:t>
      </w:r>
    </w:p>
    <w:p w:rsidR="003D5596" w:rsidRPr="00ED103A" w:rsidRDefault="003D5596" w:rsidP="00107C9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E71172" w:rsidRPr="00ED103A" w:rsidRDefault="00E71172"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Al respecto, conviene traer a contexto el artículo 2.43 del Código Reglamentario Municipal de Toluca, que establece que para el eficaz desempeño de sus funciones, el Ayuntamiento de auxiliará de comisiones que serán permanentes o transitorias.</w:t>
      </w:r>
    </w:p>
    <w:p w:rsidR="00E71172" w:rsidRPr="00ED103A" w:rsidRDefault="00E71172" w:rsidP="00107C9A">
      <w:pPr>
        <w:pStyle w:val="Prrafodelista"/>
        <w:tabs>
          <w:tab w:val="left" w:pos="0"/>
        </w:tabs>
        <w:rPr>
          <w:rFonts w:ascii="Palatino Linotype" w:eastAsiaTheme="minorEastAsia" w:hAnsi="Palatino Linotype"/>
          <w:color w:val="000000" w:themeColor="text1"/>
          <w:sz w:val="24"/>
          <w:lang w:val="es-ES_tradnl" w:eastAsia="es-ES"/>
        </w:rPr>
      </w:pPr>
    </w:p>
    <w:p w:rsidR="00E71172" w:rsidRPr="00ED103A" w:rsidRDefault="00E71172"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 xml:space="preserve">La comisiones permanentes se harán a más tardar en la tercera sesión ordinaria de Cabildo, a propuesta de la Presidenta o Presidente Municipal y se conforman por una o un presidente, una o un secretario y tres vocales; las comisiones transitorias se integran cuando haya necesidad </w:t>
      </w:r>
      <w:r w:rsidRPr="00ED103A">
        <w:rPr>
          <w:rFonts w:ascii="Palatino Linotype" w:eastAsiaTheme="minorEastAsia" w:hAnsi="Palatino Linotype"/>
          <w:color w:val="000000" w:themeColor="text1"/>
          <w:lang w:eastAsia="es-ES"/>
        </w:rPr>
        <w:t xml:space="preserve">de constituirse para la atención de problemas especiales, situaciones </w:t>
      </w:r>
      <w:r w:rsidRPr="00ED103A">
        <w:rPr>
          <w:rFonts w:ascii="Palatino Linotype" w:eastAsiaTheme="minorEastAsia" w:hAnsi="Palatino Linotype"/>
          <w:color w:val="000000" w:themeColor="text1"/>
          <w:lang w:eastAsia="es-ES"/>
        </w:rPr>
        <w:lastRenderedPageBreak/>
        <w:t xml:space="preserve">emergentes o eventuales, y su duración se ajustará al tiempo necesario para el cumplimiento de su objeto y se integra de la misma forma que las comisiones permanentes. </w:t>
      </w:r>
    </w:p>
    <w:p w:rsidR="00E956A5" w:rsidRPr="00ED103A" w:rsidRDefault="00E956A5" w:rsidP="00107C9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E956A5" w:rsidRPr="00ED103A" w:rsidRDefault="00E71172"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 xml:space="preserve">El mismo artículo, establece que las comisiones </w:t>
      </w:r>
      <w:r w:rsidRPr="00ED103A">
        <w:rPr>
          <w:rFonts w:ascii="Palatino Linotype" w:eastAsiaTheme="minorEastAsia" w:hAnsi="Palatino Linotype"/>
          <w:color w:val="000000" w:themeColor="text1"/>
          <w:lang w:eastAsia="es-ES"/>
        </w:rPr>
        <w:t>se conformarán de forma plural y proporcional, tomando en cuenta el número de sus integrantes y la importancia de los ramos encomendados a las mismas; en su integración se deberá tomar en consideración el conocimiento, profesión, vocación y experiencia de las y los integrantes del Ayuntamiento, garantizando la paridad de género en la designación de presidentes. En caso de que las o los Regidores no sean integrantes de las comisiones, podrán integrarse a las mismas como invitados, quienes sólo tendrán derecho a voz.</w:t>
      </w:r>
    </w:p>
    <w:p w:rsidR="00E71172" w:rsidRPr="00ED103A" w:rsidRDefault="00E71172" w:rsidP="00107C9A">
      <w:pPr>
        <w:pStyle w:val="Prrafodelista"/>
        <w:tabs>
          <w:tab w:val="left" w:pos="0"/>
        </w:tabs>
        <w:rPr>
          <w:rFonts w:ascii="Palatino Linotype" w:eastAsiaTheme="minorEastAsia" w:hAnsi="Palatino Linotype"/>
          <w:color w:val="000000" w:themeColor="text1"/>
          <w:sz w:val="24"/>
          <w:lang w:val="es-ES_tradnl" w:eastAsia="es-ES"/>
        </w:rPr>
      </w:pPr>
    </w:p>
    <w:p w:rsidR="00E71172" w:rsidRPr="00ED103A" w:rsidRDefault="00E71172"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 xml:space="preserve">Por su parte, el artículo 2.44 </w:t>
      </w:r>
      <w:r w:rsidR="00A851AC" w:rsidRPr="00ED103A">
        <w:rPr>
          <w:rFonts w:ascii="Palatino Linotype" w:eastAsiaTheme="minorEastAsia" w:hAnsi="Palatino Linotype"/>
          <w:color w:val="000000" w:themeColor="text1"/>
          <w:lang w:val="es-ES_tradnl" w:eastAsia="es-ES"/>
        </w:rPr>
        <w:t xml:space="preserve">y 2.45 </w:t>
      </w:r>
      <w:r w:rsidRPr="00ED103A">
        <w:rPr>
          <w:rFonts w:ascii="Palatino Linotype" w:eastAsiaTheme="minorEastAsia" w:hAnsi="Palatino Linotype"/>
          <w:color w:val="000000" w:themeColor="text1"/>
          <w:lang w:val="es-ES_tradnl" w:eastAsia="es-ES"/>
        </w:rPr>
        <w:t>del Código Reglamentario Municipal de Toluca, establece que el Ayuntamiento se auxiliara de diversas comisiones permanentes, entre las que se encuen</w:t>
      </w:r>
      <w:r w:rsidR="00A851AC" w:rsidRPr="00ED103A">
        <w:rPr>
          <w:rFonts w:ascii="Palatino Linotype" w:eastAsiaTheme="minorEastAsia" w:hAnsi="Palatino Linotype"/>
          <w:color w:val="000000" w:themeColor="text1"/>
          <w:lang w:val="es-ES_tradnl" w:eastAsia="es-ES"/>
        </w:rPr>
        <w:t xml:space="preserve">tra la Comisión de Derechos Humanos. </w:t>
      </w:r>
    </w:p>
    <w:p w:rsidR="00E956A5" w:rsidRPr="00ED103A" w:rsidRDefault="00E956A5" w:rsidP="00107C9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A851AC" w:rsidRPr="00ED103A" w:rsidRDefault="00A851AC" w:rsidP="00107C9A">
      <w:pPr>
        <w:pStyle w:val="Prrafodelista"/>
        <w:numPr>
          <w:ilvl w:val="0"/>
          <w:numId w:val="3"/>
        </w:numPr>
        <w:tabs>
          <w:tab w:val="left" w:pos="0"/>
        </w:tabs>
        <w:spacing w:line="360" w:lineRule="auto"/>
        <w:jc w:val="both"/>
        <w:rPr>
          <w:rFonts w:ascii="Palatino Linotype" w:eastAsiaTheme="minorEastAsia" w:hAnsi="Palatino Linotype"/>
          <w:color w:val="000000" w:themeColor="text1"/>
          <w:sz w:val="24"/>
          <w:lang w:val="es-ES_tradnl" w:eastAsia="es-ES"/>
        </w:rPr>
      </w:pPr>
      <w:r w:rsidRPr="00ED103A">
        <w:rPr>
          <w:rFonts w:ascii="Palatino Linotype" w:eastAsiaTheme="minorEastAsia" w:hAnsi="Palatino Linotype"/>
          <w:color w:val="000000" w:themeColor="text1"/>
          <w:sz w:val="24"/>
          <w:lang w:val="es-ES_tradnl" w:eastAsia="es-ES"/>
        </w:rPr>
        <w:t>De la búsqueda exhaustiva</w:t>
      </w:r>
    </w:p>
    <w:p w:rsidR="00AD2870" w:rsidRPr="00ED103A" w:rsidRDefault="00AD2870" w:rsidP="00107C9A">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ED103A">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ED103A">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ED103A">
        <w:rPr>
          <w:rFonts w:ascii="Palatino Linotype" w:eastAsia="Calibri" w:hAnsi="Palatino Linotype"/>
          <w:i/>
          <w:color w:val="000000" w:themeColor="text1"/>
          <w:sz w:val="24"/>
          <w:lang w:val="es-ES"/>
        </w:rPr>
        <w:t xml:space="preserve">en el ámbito de sus atribuciones, de promover, respetar, proteger y </w:t>
      </w:r>
      <w:r w:rsidRPr="00ED103A">
        <w:rPr>
          <w:rFonts w:ascii="Palatino Linotype" w:eastAsia="Calibri" w:hAnsi="Palatino Linotype"/>
          <w:b/>
          <w:i/>
          <w:color w:val="000000" w:themeColor="text1"/>
          <w:sz w:val="24"/>
          <w:lang w:val="es-ES"/>
        </w:rPr>
        <w:t>garantizar</w:t>
      </w:r>
      <w:r w:rsidRPr="00ED103A">
        <w:rPr>
          <w:rFonts w:ascii="Palatino Linotype" w:eastAsia="Calibri" w:hAnsi="Palatino Linotype"/>
          <w:i/>
          <w:color w:val="000000" w:themeColor="text1"/>
          <w:sz w:val="24"/>
          <w:lang w:val="es-ES"/>
        </w:rPr>
        <w:t xml:space="preserve"> los derechos humanos. </w:t>
      </w:r>
      <w:r w:rsidRPr="00ED103A">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ED103A">
        <w:rPr>
          <w:rFonts w:ascii="Palatino Linotype" w:hAnsi="Palatino Linotype"/>
          <w:i/>
          <w:color w:val="000000" w:themeColor="text1"/>
          <w:sz w:val="24"/>
        </w:rPr>
        <w:t xml:space="preserve">l procedimiento de acceso a la información es la garantía primaria del derecho en cuestión y se rige por los principios de simplicidad, rapidez y gratuidad del procedimiento, auxilio y </w:t>
      </w:r>
      <w:r w:rsidRPr="00ED103A">
        <w:rPr>
          <w:rFonts w:ascii="Palatino Linotype" w:hAnsi="Palatino Linotype"/>
          <w:i/>
          <w:color w:val="000000" w:themeColor="text1"/>
          <w:sz w:val="24"/>
        </w:rPr>
        <w:lastRenderedPageBreak/>
        <w:t>orientación a los particulares</w:t>
      </w:r>
      <w:r w:rsidRPr="00ED103A">
        <w:rPr>
          <w:rStyle w:val="Refdenotaalpie"/>
          <w:rFonts w:ascii="Palatino Linotype" w:hAnsi="Palatino Linotype"/>
          <w:i/>
          <w:color w:val="000000" w:themeColor="text1"/>
          <w:sz w:val="24"/>
        </w:rPr>
        <w:footnoteReference w:id="1"/>
      </w:r>
      <w:r w:rsidRPr="00ED103A">
        <w:rPr>
          <w:rFonts w:ascii="Palatino Linotype" w:hAnsi="Palatino Linotype"/>
          <w:i/>
          <w:color w:val="000000" w:themeColor="text1"/>
          <w:sz w:val="24"/>
        </w:rPr>
        <w:t xml:space="preserve">, </w:t>
      </w:r>
      <w:r w:rsidRPr="00ED103A">
        <w:rPr>
          <w:rFonts w:ascii="Palatino Linotype" w:hAnsi="Palatino Linotype"/>
          <w:color w:val="000000" w:themeColor="text1"/>
          <w:sz w:val="24"/>
        </w:rPr>
        <w:t>asimismo establece</w:t>
      </w:r>
      <w:r w:rsidRPr="00ED103A">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D2870" w:rsidRPr="00ED103A" w:rsidRDefault="00AD2870" w:rsidP="00107C9A">
      <w:pPr>
        <w:pStyle w:val="Prrafodelista"/>
        <w:tabs>
          <w:tab w:val="left" w:pos="0"/>
        </w:tabs>
        <w:rPr>
          <w:rFonts w:ascii="Palatino Linotype" w:eastAsia="Calibri" w:hAnsi="Palatino Linotype" w:cs="Arial"/>
          <w:color w:val="000000" w:themeColor="text1"/>
          <w:sz w:val="24"/>
        </w:rPr>
      </w:pPr>
    </w:p>
    <w:p w:rsidR="00AD2870" w:rsidRPr="00ED103A" w:rsidRDefault="00AD2870" w:rsidP="00107C9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ED103A">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AD2870" w:rsidRPr="00ED103A" w:rsidRDefault="00AD2870" w:rsidP="00107C9A">
      <w:pPr>
        <w:pStyle w:val="Prrafodelista"/>
        <w:tabs>
          <w:tab w:val="left" w:pos="0"/>
        </w:tabs>
        <w:rPr>
          <w:rFonts w:ascii="Palatino Linotype" w:hAnsi="Palatino Linotype"/>
          <w:color w:val="000000" w:themeColor="text1"/>
          <w:sz w:val="24"/>
        </w:rPr>
      </w:pPr>
    </w:p>
    <w:p w:rsidR="00AD2870" w:rsidRPr="00ED103A" w:rsidRDefault="00AD2870" w:rsidP="00107C9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ED103A">
        <w:rPr>
          <w:rFonts w:ascii="Palatino Linotype" w:hAnsi="Palatino Linotype"/>
          <w:color w:val="000000" w:themeColor="text1"/>
          <w:sz w:val="24"/>
        </w:rPr>
        <w:t xml:space="preserve">Es así que, su obligación es </w:t>
      </w:r>
      <w:r w:rsidRPr="00ED103A">
        <w:rPr>
          <w:rFonts w:ascii="Palatino Linotype" w:hAnsi="Palatino Linotype"/>
          <w:i/>
          <w:color w:val="000000" w:themeColor="text1"/>
          <w:sz w:val="24"/>
        </w:rPr>
        <w:t>realizar, con efectividad, los trámites internos necesarios para la atención de las solicitudes de información</w:t>
      </w:r>
      <w:r w:rsidRPr="00ED103A">
        <w:rPr>
          <w:rStyle w:val="Refdenotaalpie"/>
          <w:rFonts w:ascii="Palatino Linotype" w:hAnsi="Palatino Linotype"/>
          <w:color w:val="000000" w:themeColor="text1"/>
          <w:sz w:val="24"/>
        </w:rPr>
        <w:footnoteReference w:id="2"/>
      </w:r>
      <w:r w:rsidRPr="00ED103A">
        <w:rPr>
          <w:rFonts w:ascii="Palatino Linotype" w:hAnsi="Palatino Linotype"/>
          <w:color w:val="000000" w:themeColor="text1"/>
          <w:sz w:val="24"/>
        </w:rPr>
        <w:t>, es decir, deben otorgar respuestas concisas, contundentes y sobre todo que den la certeza de los actos que realizan.</w:t>
      </w:r>
    </w:p>
    <w:p w:rsidR="00AD2870" w:rsidRPr="00ED103A" w:rsidRDefault="00AD2870" w:rsidP="00107C9A">
      <w:pPr>
        <w:pStyle w:val="Prrafodelista"/>
        <w:tabs>
          <w:tab w:val="left" w:pos="0"/>
        </w:tabs>
        <w:rPr>
          <w:rFonts w:ascii="Palatino Linotype" w:eastAsia="Calibri" w:hAnsi="Palatino Linotype" w:cs="Arial"/>
          <w:color w:val="000000" w:themeColor="text1"/>
          <w:sz w:val="24"/>
        </w:rPr>
      </w:pPr>
    </w:p>
    <w:p w:rsidR="00AD2870" w:rsidRPr="00ED103A" w:rsidRDefault="00AD2870" w:rsidP="00107C9A">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ED103A">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ED103A">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i/>
          <w:iCs/>
          <w:color w:val="000000" w:themeColor="text1"/>
        </w:rPr>
        <w:t xml:space="preserve">Artículo 50. </w:t>
      </w:r>
      <w:r w:rsidRPr="00ED103A">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i/>
          <w:iCs/>
          <w:color w:val="000000" w:themeColor="text1"/>
        </w:rPr>
        <w:t xml:space="preserve">Artículo 53. </w:t>
      </w:r>
      <w:r w:rsidRPr="00ED103A">
        <w:rPr>
          <w:rFonts w:ascii="Palatino Linotype" w:eastAsia="Palatino Linotype" w:hAnsi="Palatino Linotype" w:cs="Palatino Linotype"/>
          <w:i/>
          <w:iCs/>
          <w:color w:val="000000" w:themeColor="text1"/>
        </w:rPr>
        <w:t>Las Unidades de Transparencia tendrán las siguientes funciones:</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i/>
          <w:iCs/>
          <w:color w:val="000000" w:themeColor="text1"/>
        </w:rPr>
        <w:lastRenderedPageBreak/>
        <w:t>(…)</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bCs/>
          <w:i/>
          <w:iCs/>
          <w:color w:val="000000" w:themeColor="text1"/>
        </w:rPr>
        <w:t>II.</w:t>
      </w:r>
      <w:r w:rsidRPr="00ED103A">
        <w:rPr>
          <w:rFonts w:ascii="Palatino Linotype" w:eastAsia="Palatino Linotype" w:hAnsi="Palatino Linotype" w:cs="Palatino Linotype"/>
          <w:i/>
          <w:iCs/>
          <w:color w:val="000000" w:themeColor="text1"/>
        </w:rPr>
        <w:t xml:space="preserve"> Recibir, tramitar y dar respuesta a las solicitudes de acceso a la información;</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i/>
          <w:iCs/>
          <w:color w:val="000000" w:themeColor="text1"/>
        </w:rPr>
        <w:t>(…)</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bCs/>
          <w:i/>
          <w:iCs/>
          <w:color w:val="000000" w:themeColor="text1"/>
        </w:rPr>
        <w:t>IV.</w:t>
      </w:r>
      <w:r w:rsidRPr="00ED103A">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bCs/>
          <w:i/>
          <w:iCs/>
          <w:color w:val="000000" w:themeColor="text1"/>
        </w:rPr>
        <w:t>V.</w:t>
      </w:r>
      <w:r w:rsidRPr="00ED103A">
        <w:rPr>
          <w:rFonts w:ascii="Palatino Linotype" w:eastAsia="Palatino Linotype" w:hAnsi="Palatino Linotype" w:cs="Palatino Linotype"/>
          <w:i/>
          <w:iCs/>
          <w:color w:val="000000" w:themeColor="text1"/>
        </w:rPr>
        <w:t xml:space="preserve"> Entregar, en su caso, a los particulares la información solicitada;</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i/>
          <w:iCs/>
          <w:color w:val="000000" w:themeColor="text1"/>
        </w:rPr>
        <w:t>(…)</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i/>
          <w:iCs/>
          <w:color w:val="000000" w:themeColor="text1"/>
        </w:rPr>
        <w:t xml:space="preserve">Artículo 58. </w:t>
      </w:r>
      <w:r w:rsidRPr="00ED103A">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i/>
          <w:iCs/>
          <w:color w:val="000000" w:themeColor="text1"/>
        </w:rPr>
        <w:t xml:space="preserve">Artículo 59. </w:t>
      </w:r>
      <w:r w:rsidRPr="00ED103A">
        <w:rPr>
          <w:rFonts w:ascii="Palatino Linotype" w:eastAsia="Palatino Linotype" w:hAnsi="Palatino Linotype" w:cs="Palatino Linotype"/>
          <w:i/>
          <w:iCs/>
          <w:color w:val="000000" w:themeColor="text1"/>
        </w:rPr>
        <w:t>Los servidores públicos habilitados tendrán las funciones siguientes:</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bCs/>
          <w:i/>
          <w:iCs/>
          <w:color w:val="000000" w:themeColor="text1"/>
        </w:rPr>
        <w:t>I.</w:t>
      </w:r>
      <w:r w:rsidRPr="00ED103A">
        <w:rPr>
          <w:rFonts w:ascii="Palatino Linotype" w:eastAsia="Palatino Linotype" w:hAnsi="Palatino Linotype" w:cs="Palatino Linotype"/>
          <w:i/>
          <w:iCs/>
          <w:color w:val="000000" w:themeColor="text1"/>
        </w:rPr>
        <w:t xml:space="preserve"> Localizar la información que le solicite la Unidad de Transparencia;</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bCs/>
          <w:i/>
          <w:iCs/>
          <w:color w:val="000000" w:themeColor="text1"/>
        </w:rPr>
        <w:t>II.</w:t>
      </w:r>
      <w:r w:rsidRPr="00ED103A">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i/>
          <w:iCs/>
          <w:color w:val="000000" w:themeColor="text1"/>
        </w:rPr>
        <w:t>(...)</w:t>
      </w: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p>
    <w:p w:rsidR="00AD2870" w:rsidRPr="00ED103A" w:rsidRDefault="00AD2870" w:rsidP="00107C9A">
      <w:pPr>
        <w:tabs>
          <w:tab w:val="left" w:pos="0"/>
        </w:tabs>
        <w:ind w:left="567"/>
        <w:jc w:val="both"/>
        <w:rPr>
          <w:rFonts w:ascii="Palatino Linotype" w:eastAsia="Palatino Linotype" w:hAnsi="Palatino Linotype" w:cs="Palatino Linotype"/>
          <w:i/>
          <w:iCs/>
          <w:color w:val="000000" w:themeColor="text1"/>
        </w:rPr>
      </w:pPr>
      <w:r w:rsidRPr="00ED103A">
        <w:rPr>
          <w:rFonts w:ascii="Palatino Linotype" w:eastAsia="Palatino Linotype" w:hAnsi="Palatino Linotype" w:cs="Palatino Linotype"/>
          <w:b/>
          <w:i/>
          <w:iCs/>
          <w:color w:val="000000" w:themeColor="text1"/>
        </w:rPr>
        <w:t xml:space="preserve">Artículo 162. </w:t>
      </w:r>
      <w:r w:rsidRPr="00ED103A">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D2870" w:rsidRPr="00ED103A" w:rsidRDefault="00AD2870" w:rsidP="00107C9A">
      <w:pPr>
        <w:tabs>
          <w:tab w:val="left" w:pos="0"/>
        </w:tabs>
        <w:spacing w:line="360" w:lineRule="auto"/>
        <w:jc w:val="both"/>
        <w:rPr>
          <w:rFonts w:ascii="Palatino Linotype" w:eastAsia="Palatino Linotype" w:hAnsi="Palatino Linotype" w:cs="Palatino Linotype"/>
          <w:color w:val="000000" w:themeColor="text1"/>
        </w:rPr>
      </w:pPr>
    </w:p>
    <w:p w:rsidR="00AD2870" w:rsidRPr="00ED103A" w:rsidRDefault="00AD2870" w:rsidP="00107C9A">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ED103A">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ED103A">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8E04D5" w:rsidRPr="00ED103A">
        <w:rPr>
          <w:rFonts w:ascii="Palatino Linotype" w:eastAsia="Arial Unicode MS" w:hAnsi="Palatino Linotype" w:cs="Arial"/>
          <w:color w:val="000000" w:themeColor="text1"/>
          <w:sz w:val="24"/>
          <w:lang w:eastAsia="en-US"/>
        </w:rPr>
        <w:t>s</w:t>
      </w:r>
      <w:r w:rsidRPr="00ED103A">
        <w:rPr>
          <w:rFonts w:ascii="Palatino Linotype" w:eastAsia="Arial Unicode MS" w:hAnsi="Palatino Linotype" w:cs="Arial"/>
          <w:color w:val="000000" w:themeColor="text1"/>
          <w:sz w:val="24"/>
          <w:lang w:eastAsia="en-US"/>
        </w:rPr>
        <w:t xml:space="preserve"> Unidades de Transparencia turnar a todas las áreas que se consideren competentes para que realicen una búsqueda </w:t>
      </w:r>
      <w:r w:rsidRPr="00ED103A">
        <w:rPr>
          <w:rFonts w:ascii="Palatino Linotype" w:eastAsia="Arial Unicode MS" w:hAnsi="Palatino Linotype" w:cs="Arial"/>
          <w:color w:val="000000" w:themeColor="text1"/>
          <w:sz w:val="24"/>
          <w:lang w:eastAsia="en-US"/>
        </w:rPr>
        <w:lastRenderedPageBreak/>
        <w:t>exhaustiva y razonable de la información solicitada a fin de que ésta sea entregada a los solicitantes.</w:t>
      </w:r>
    </w:p>
    <w:p w:rsidR="00AD2870" w:rsidRPr="00ED103A" w:rsidRDefault="00AD2870" w:rsidP="00107C9A">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AD2870" w:rsidRPr="00ED103A" w:rsidRDefault="00AD2870" w:rsidP="00107C9A">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ED103A">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AD2870" w:rsidRPr="00ED103A" w:rsidRDefault="00AD2870" w:rsidP="00107C9A">
      <w:pPr>
        <w:pStyle w:val="Prrafodelista"/>
        <w:tabs>
          <w:tab w:val="left" w:pos="0"/>
        </w:tabs>
        <w:rPr>
          <w:rFonts w:ascii="Palatino Linotype" w:eastAsia="Arial Unicode MS" w:hAnsi="Palatino Linotype" w:cs="Arial"/>
          <w:color w:val="000000" w:themeColor="text1"/>
          <w:sz w:val="24"/>
          <w:lang w:eastAsia="en-US"/>
        </w:rPr>
      </w:pPr>
    </w:p>
    <w:p w:rsidR="008E04D5" w:rsidRPr="00ED103A" w:rsidRDefault="00AD2870" w:rsidP="00107C9A">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ED103A">
        <w:rPr>
          <w:rFonts w:ascii="Palatino Linotype" w:eastAsia="Arial Unicode MS" w:hAnsi="Palatino Linotype" w:cs="Arial"/>
          <w:color w:val="000000" w:themeColor="text1"/>
          <w:sz w:val="24"/>
          <w:lang w:eastAsia="en-US"/>
        </w:rPr>
        <w:t xml:space="preserve">En el caso que se resuelve, </w:t>
      </w:r>
      <w:r w:rsidR="008E04D5" w:rsidRPr="00ED103A">
        <w:rPr>
          <w:rFonts w:ascii="Palatino Linotype" w:eastAsia="Arial Unicode MS" w:hAnsi="Palatino Linotype" w:cs="Arial"/>
          <w:color w:val="000000" w:themeColor="text1"/>
          <w:sz w:val="24"/>
          <w:lang w:eastAsia="en-US"/>
        </w:rPr>
        <w:t xml:space="preserve">la respuesta se turnó y fue contestada por la Defensora Municipal de Derechos Humanos, quien señaló las razones por la que no acudió a la instalación de la Comisión de Derechos Humanos, sin embargo, la solicitud no se turnó a otras áreas en las que se pudiera localizar la información y que de acuerdo a sus facultades generen, administren o posean la información requerida por el Recurrente.  </w:t>
      </w:r>
    </w:p>
    <w:p w:rsidR="008E04D5" w:rsidRPr="00ED103A" w:rsidRDefault="008E04D5" w:rsidP="00107C9A">
      <w:pPr>
        <w:pStyle w:val="Prrafodelista"/>
        <w:tabs>
          <w:tab w:val="left" w:pos="0"/>
        </w:tabs>
        <w:rPr>
          <w:rFonts w:ascii="Palatino Linotype" w:eastAsia="Arial Unicode MS" w:hAnsi="Palatino Linotype" w:cs="Arial"/>
          <w:color w:val="000000" w:themeColor="text1"/>
          <w:sz w:val="24"/>
          <w:lang w:eastAsia="en-US"/>
        </w:rPr>
      </w:pPr>
    </w:p>
    <w:p w:rsidR="00AD2870" w:rsidRPr="00ED103A" w:rsidRDefault="008E04D5" w:rsidP="00107C9A">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ED103A">
        <w:rPr>
          <w:rFonts w:ascii="Palatino Linotype" w:eastAsia="Arial Unicode MS" w:hAnsi="Palatino Linotype" w:cs="Arial"/>
          <w:color w:val="000000" w:themeColor="text1"/>
          <w:sz w:val="24"/>
          <w:lang w:eastAsia="en-US"/>
        </w:rPr>
        <w:t xml:space="preserve">En ese sentido, debemos recordar que el artículo 2.43 del Código </w:t>
      </w:r>
      <w:r w:rsidRPr="00ED103A">
        <w:rPr>
          <w:rFonts w:ascii="Palatino Linotype" w:eastAsiaTheme="minorEastAsia" w:hAnsi="Palatino Linotype"/>
          <w:color w:val="000000" w:themeColor="text1"/>
          <w:sz w:val="24"/>
          <w:lang w:val="es-ES_tradnl" w:eastAsia="es-ES"/>
        </w:rPr>
        <w:t>Reglamentario Municipal de Toluca, establece que las comisiones permanentes se instalaran a más tardar en la tercera sesión ordinaria de Cabildo, asimismo, conviene traer a contexto el artículo 2.41 del mismo ordenamiento, que establece que el Secretario del Ayuntamiento levantará el acta de cada sesión de cabildo, es decir, que la solicitud se debió turnar también a</w:t>
      </w:r>
      <w:r w:rsidR="007830DB" w:rsidRPr="00ED103A">
        <w:rPr>
          <w:rFonts w:ascii="Palatino Linotype" w:eastAsiaTheme="minorEastAsia" w:hAnsi="Palatino Linotype"/>
          <w:color w:val="000000" w:themeColor="text1"/>
          <w:sz w:val="24"/>
          <w:lang w:val="es-ES_tradnl" w:eastAsia="es-ES"/>
        </w:rPr>
        <w:t xml:space="preserve"> </w:t>
      </w:r>
      <w:r w:rsidRPr="00ED103A">
        <w:rPr>
          <w:rFonts w:ascii="Palatino Linotype" w:eastAsiaTheme="minorEastAsia" w:hAnsi="Palatino Linotype"/>
          <w:color w:val="000000" w:themeColor="text1"/>
          <w:sz w:val="24"/>
          <w:lang w:val="es-ES_tradnl" w:eastAsia="es-ES"/>
        </w:rPr>
        <w:t>l</w:t>
      </w:r>
      <w:r w:rsidR="007830DB" w:rsidRPr="00ED103A">
        <w:rPr>
          <w:rFonts w:ascii="Palatino Linotype" w:eastAsiaTheme="minorEastAsia" w:hAnsi="Palatino Linotype"/>
          <w:color w:val="000000" w:themeColor="text1"/>
          <w:sz w:val="24"/>
          <w:lang w:val="es-ES_tradnl" w:eastAsia="es-ES"/>
        </w:rPr>
        <w:t>a</w:t>
      </w:r>
      <w:r w:rsidRPr="00ED103A">
        <w:rPr>
          <w:rFonts w:ascii="Palatino Linotype" w:eastAsiaTheme="minorEastAsia" w:hAnsi="Palatino Linotype"/>
          <w:color w:val="000000" w:themeColor="text1"/>
          <w:sz w:val="24"/>
          <w:lang w:val="es-ES_tradnl" w:eastAsia="es-ES"/>
        </w:rPr>
        <w:t xml:space="preserve"> Secretaria del Ayuntamiento, que por sus atribuciones genera, posee y administra la información relativa al acta de instalación de la Comisión de Derechos Humanos, la lista de asistencia y los nombres de </w:t>
      </w:r>
      <w:r w:rsidR="007830DB" w:rsidRPr="00ED103A">
        <w:rPr>
          <w:rFonts w:ascii="Palatino Linotype" w:eastAsiaTheme="minorEastAsia" w:hAnsi="Palatino Linotype"/>
          <w:color w:val="000000" w:themeColor="text1"/>
          <w:sz w:val="24"/>
          <w:lang w:val="es-ES_tradnl" w:eastAsia="es-ES"/>
        </w:rPr>
        <w:t>sus</w:t>
      </w:r>
      <w:r w:rsidRPr="00ED103A">
        <w:rPr>
          <w:rFonts w:ascii="Palatino Linotype" w:eastAsiaTheme="minorEastAsia" w:hAnsi="Palatino Linotype"/>
          <w:color w:val="000000" w:themeColor="text1"/>
          <w:sz w:val="24"/>
          <w:lang w:val="es-ES_tradnl" w:eastAsia="es-ES"/>
        </w:rPr>
        <w:t xml:space="preserve"> integrantes. </w:t>
      </w:r>
    </w:p>
    <w:p w:rsidR="00AD2870" w:rsidRPr="00ED103A" w:rsidRDefault="00AD2870" w:rsidP="00107C9A">
      <w:pPr>
        <w:pStyle w:val="Prrafodelista"/>
        <w:tabs>
          <w:tab w:val="left" w:pos="0"/>
        </w:tabs>
        <w:rPr>
          <w:rFonts w:ascii="Palatino Linotype" w:eastAsia="Arial Unicode MS" w:hAnsi="Palatino Linotype" w:cs="Arial"/>
          <w:color w:val="000000" w:themeColor="text1"/>
          <w:sz w:val="24"/>
          <w:lang w:eastAsia="en-US"/>
        </w:rPr>
      </w:pPr>
    </w:p>
    <w:p w:rsidR="007830DB" w:rsidRPr="00ED103A" w:rsidRDefault="007830DB"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 xml:space="preserve">Finalmente, respecto a la información relativa a la justificación de la inasistencia de la Defensora Municipal de Derechos Humanos y el Presidente a la instalación de la Comisión de Derechos Humanos, se trata de un derecho de petición, aunado a que no hay fuente </w:t>
      </w:r>
      <w:r w:rsidRPr="00ED103A">
        <w:rPr>
          <w:rFonts w:ascii="Palatino Linotype" w:eastAsiaTheme="minorEastAsia" w:hAnsi="Palatino Linotype"/>
          <w:color w:val="000000" w:themeColor="text1"/>
          <w:lang w:val="es-ES_tradnl" w:eastAsia="es-ES"/>
        </w:rPr>
        <w:lastRenderedPageBreak/>
        <w:t xml:space="preserve">obligacional que constriña al Sujeto Obligado a generar, poseer o administrar la información solicitada, sin embargo, cabe recordar que la Defensora de Derechos Humanos si señaló las razones por las cuales no acudió a dicho evento. </w:t>
      </w:r>
    </w:p>
    <w:p w:rsidR="007830DB" w:rsidRPr="00ED103A" w:rsidRDefault="007830DB" w:rsidP="00107C9A">
      <w:pPr>
        <w:pStyle w:val="Prrafodelista"/>
        <w:tabs>
          <w:tab w:val="left" w:pos="0"/>
        </w:tabs>
        <w:rPr>
          <w:rFonts w:ascii="Palatino Linotype" w:eastAsiaTheme="minorEastAsia" w:hAnsi="Palatino Linotype"/>
          <w:color w:val="000000" w:themeColor="text1"/>
          <w:sz w:val="24"/>
          <w:lang w:val="es-ES_tradnl" w:eastAsia="es-ES"/>
        </w:rPr>
      </w:pPr>
    </w:p>
    <w:p w:rsidR="007830DB" w:rsidRPr="00ED103A" w:rsidRDefault="007830DB"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 xml:space="preserve"> </w:t>
      </w:r>
      <w:r w:rsidRPr="00ED103A">
        <w:rPr>
          <w:rFonts w:ascii="Palatino Linotype" w:eastAsia="MS Mincho" w:hAnsi="Palatino Linotype" w:cs="Arial"/>
          <w:color w:val="000000" w:themeColor="text1"/>
          <w:lang w:val="es-ES_tradnl"/>
        </w:rPr>
        <w:t xml:space="preserve">Ahora bien, </w:t>
      </w:r>
      <w:r w:rsidRPr="00ED103A">
        <w:rPr>
          <w:rFonts w:ascii="Palatino Linotype" w:eastAsia="MS Mincho" w:hAnsi="Palatino Linotype"/>
          <w:color w:val="000000" w:themeColor="text1"/>
          <w:lang w:val="es-ES_tradnl"/>
        </w:rPr>
        <w:t xml:space="preserve">este Órgano Garante advierte que </w:t>
      </w:r>
      <w:r w:rsidRPr="00ED103A">
        <w:rPr>
          <w:rFonts w:ascii="Palatino Linotype" w:eastAsia="MS Mincho" w:hAnsi="Palatino Linotype" w:cs="Arial"/>
          <w:color w:val="000000" w:themeColor="text1"/>
          <w:lang w:val="es-ES_tradnl" w:eastAsia="es-ES"/>
        </w:rPr>
        <w:t xml:space="preserve">dicha justificación solicitada no constituye un derecho de acceso a la información pública, sino más bien un derecho de petición, debido a que se tratan de manifestaciones subjetivas vertidas por el entonces solicitante, interrogantes y declaraciones que no se colman con la entrega de documentos, situación que conlleva a afirmar que se está en presencia del ejercicio del derecho enunciado. </w:t>
      </w:r>
    </w:p>
    <w:p w:rsidR="007830DB" w:rsidRPr="00ED103A" w:rsidRDefault="007830DB" w:rsidP="00107C9A">
      <w:pPr>
        <w:pStyle w:val="Prrafodelista"/>
        <w:tabs>
          <w:tab w:val="left" w:pos="0"/>
        </w:tabs>
        <w:rPr>
          <w:rFonts w:ascii="Palatino Linotype" w:eastAsia="MS Mincho" w:hAnsi="Palatino Linotype" w:cs="Arial"/>
          <w:color w:val="000000" w:themeColor="text1"/>
          <w:sz w:val="24"/>
          <w:lang w:val="es-ES_tradnl" w:eastAsia="es-ES"/>
        </w:rPr>
      </w:pPr>
    </w:p>
    <w:p w:rsidR="007830DB" w:rsidRPr="00ED103A" w:rsidRDefault="007830DB"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MS Mincho" w:hAnsi="Palatino Linotype" w:cs="Arial"/>
          <w:color w:val="000000" w:themeColor="text1"/>
          <w:lang w:val="es-ES_tradnl" w:eastAsia="es-ES"/>
        </w:rPr>
        <w:t>Bajo ese contexto, es importante dejar en claro lo que debe entenderse por derecho de petición y por derecho de acceso a la información pública.</w:t>
      </w:r>
    </w:p>
    <w:p w:rsidR="007830DB" w:rsidRPr="00ED103A" w:rsidRDefault="007830DB" w:rsidP="00107C9A">
      <w:pPr>
        <w:pStyle w:val="Prrafodelista"/>
        <w:tabs>
          <w:tab w:val="left" w:pos="0"/>
        </w:tabs>
        <w:rPr>
          <w:rFonts w:ascii="Palatino Linotype" w:eastAsia="MS Mincho" w:hAnsi="Palatino Linotype" w:cs="Arial"/>
          <w:color w:val="000000" w:themeColor="text1"/>
          <w:sz w:val="24"/>
          <w:lang w:val="es-ES_tradnl" w:eastAsia="es-ES"/>
        </w:rPr>
      </w:pPr>
    </w:p>
    <w:p w:rsidR="007830DB" w:rsidRPr="00ED103A" w:rsidRDefault="007830DB"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MS Mincho" w:hAnsi="Palatino Linotype" w:cs="Arial"/>
          <w:color w:val="000000" w:themeColor="text1"/>
          <w:lang w:val="es-ES_tradnl" w:eastAsia="es-ES"/>
        </w:rPr>
        <w:t xml:space="preserve">Por lo que respecta a la definición de Derecho de Petición, el Maestro Ignacio Burgoa Orihuela refiere: </w:t>
      </w:r>
    </w:p>
    <w:p w:rsidR="007830DB" w:rsidRPr="00ED103A" w:rsidRDefault="007830DB" w:rsidP="00107C9A">
      <w:pPr>
        <w:tabs>
          <w:tab w:val="left" w:pos="0"/>
        </w:tabs>
        <w:autoSpaceDE w:val="0"/>
        <w:autoSpaceDN w:val="0"/>
        <w:adjustRightInd w:val="0"/>
        <w:spacing w:line="360" w:lineRule="auto"/>
        <w:ind w:left="851"/>
        <w:jc w:val="both"/>
        <w:rPr>
          <w:rFonts w:ascii="Palatino Linotype" w:eastAsia="MS Mincho" w:hAnsi="Palatino Linotype" w:cs="Arial"/>
          <w:i/>
          <w:color w:val="000000" w:themeColor="text1"/>
          <w:lang w:val="es-ES_tradnl" w:eastAsia="es-ES"/>
        </w:rPr>
      </w:pPr>
      <w:r w:rsidRPr="00ED103A">
        <w:rPr>
          <w:rFonts w:ascii="Palatino Linotype" w:eastAsia="MS Mincho" w:hAnsi="Palatino Linotype" w:cs="Arial"/>
          <w:b/>
          <w:color w:val="000000" w:themeColor="text1"/>
          <w:lang w:val="es-ES_tradnl" w:eastAsia="es-ES"/>
        </w:rPr>
        <w:t>“</w:t>
      </w:r>
      <w:r w:rsidRPr="00ED103A">
        <w:rPr>
          <w:rFonts w:ascii="Palatino Linotype" w:eastAsia="MS Mincho" w:hAnsi="Palatino Linotype" w:cs="Arial"/>
          <w:color w:val="000000" w:themeColor="text1"/>
          <w:lang w:val="es-ES_tradnl" w:eastAsia="es-ES"/>
        </w:rPr>
        <w:t>…</w:t>
      </w:r>
      <w:r w:rsidRPr="00ED103A">
        <w:rPr>
          <w:rFonts w:ascii="Palatino Linotype" w:eastAsia="MS Mincho" w:hAnsi="Palatino Linotype" w:cs="Arial"/>
          <w:i/>
          <w:color w:val="000000" w:themeColor="text1"/>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FA4148" w:rsidRPr="00ED103A">
        <w:rPr>
          <w:rFonts w:ascii="Palatino Linotype" w:eastAsia="MS Mincho" w:hAnsi="Palatino Linotype" w:cs="Arial"/>
          <w:i/>
          <w:color w:val="000000" w:themeColor="text1"/>
          <w:lang w:val="es-ES_tradnl" w:eastAsia="es-ES"/>
        </w:rPr>
        <w:t>.</w:t>
      </w:r>
      <w:r w:rsidR="00FA4148" w:rsidRPr="00ED103A">
        <w:rPr>
          <w:rFonts w:ascii="Palatino Linotype" w:eastAsia="MS Mincho" w:hAnsi="Palatino Linotype"/>
          <w:b/>
          <w:i/>
          <w:color w:val="000000" w:themeColor="text1"/>
          <w:lang w:val="es-ES_tradnl" w:eastAsia="es-ES"/>
        </w:rPr>
        <w:t xml:space="preserve"> “</w:t>
      </w:r>
      <w:r w:rsidRPr="00ED103A">
        <w:rPr>
          <w:rFonts w:ascii="Palatino Linotype" w:eastAsia="MS Mincho" w:hAnsi="Palatino Linotype" w:cs="Arial"/>
          <w:i/>
          <w:color w:val="000000" w:themeColor="text1"/>
          <w:lang w:val="es-ES_tradnl" w:eastAsia="es-ES"/>
        </w:rPr>
        <w:t xml:space="preserve"> (sic)</w:t>
      </w:r>
    </w:p>
    <w:p w:rsidR="007830DB" w:rsidRPr="00ED103A" w:rsidRDefault="007830DB" w:rsidP="00107C9A">
      <w:pPr>
        <w:tabs>
          <w:tab w:val="left" w:pos="0"/>
        </w:tabs>
        <w:autoSpaceDE w:val="0"/>
        <w:autoSpaceDN w:val="0"/>
        <w:adjustRightInd w:val="0"/>
        <w:spacing w:line="360" w:lineRule="auto"/>
        <w:ind w:left="720"/>
        <w:contextualSpacing/>
        <w:jc w:val="both"/>
        <w:rPr>
          <w:rFonts w:ascii="Palatino Linotype" w:eastAsia="MS Mincho" w:hAnsi="Palatino Linotype" w:cs="Arial"/>
          <w:i/>
          <w:color w:val="000000" w:themeColor="text1"/>
          <w:lang w:val="es-ES_tradnl" w:eastAsia="es-ES"/>
        </w:rPr>
      </w:pPr>
    </w:p>
    <w:p w:rsidR="007830DB" w:rsidRPr="00ED103A" w:rsidRDefault="007830DB" w:rsidP="00107C9A">
      <w:pPr>
        <w:pStyle w:val="Prrafodelista"/>
        <w:numPr>
          <w:ilvl w:val="0"/>
          <w:numId w:val="1"/>
        </w:numPr>
        <w:tabs>
          <w:tab w:val="left" w:pos="0"/>
        </w:tabs>
        <w:autoSpaceDE w:val="0"/>
        <w:autoSpaceDN w:val="0"/>
        <w:adjustRightInd w:val="0"/>
        <w:spacing w:before="240" w:after="240" w:line="360" w:lineRule="auto"/>
        <w:jc w:val="both"/>
        <w:rPr>
          <w:rFonts w:ascii="Palatino Linotype" w:eastAsia="MS Mincho" w:hAnsi="Palatino Linotype" w:cs="Arial"/>
          <w:color w:val="000000" w:themeColor="text1"/>
          <w:sz w:val="24"/>
          <w:lang w:val="es-ES_tradnl" w:eastAsia="es-ES"/>
        </w:rPr>
      </w:pPr>
      <w:r w:rsidRPr="00ED103A">
        <w:rPr>
          <w:rFonts w:ascii="Palatino Linotype" w:eastAsia="MS Mincho" w:hAnsi="Palatino Linotype" w:cs="Arial"/>
          <w:color w:val="000000" w:themeColor="text1"/>
          <w:sz w:val="24"/>
          <w:lang w:val="es-ES_tradnl" w:eastAsia="es-ES"/>
        </w:rPr>
        <w:t xml:space="preserve">Por su parte, David Cienfuegos Salgado, concibe al derecho de petición como: </w:t>
      </w:r>
    </w:p>
    <w:p w:rsidR="007830DB" w:rsidRPr="00ED103A" w:rsidRDefault="007830DB" w:rsidP="00107C9A">
      <w:pPr>
        <w:tabs>
          <w:tab w:val="left" w:pos="0"/>
        </w:tabs>
        <w:autoSpaceDE w:val="0"/>
        <w:autoSpaceDN w:val="0"/>
        <w:adjustRightInd w:val="0"/>
        <w:spacing w:line="276" w:lineRule="auto"/>
        <w:ind w:left="720"/>
        <w:contextualSpacing/>
        <w:jc w:val="both"/>
        <w:rPr>
          <w:rFonts w:ascii="Palatino Linotype" w:eastAsia="MS Mincho" w:hAnsi="Palatino Linotype" w:cs="Arial"/>
          <w:i/>
          <w:color w:val="000000" w:themeColor="text1"/>
          <w:lang w:val="es-ES_tradnl" w:eastAsia="es-ES"/>
        </w:rPr>
      </w:pPr>
      <w:r w:rsidRPr="00ED103A">
        <w:rPr>
          <w:rFonts w:ascii="Palatino Linotype" w:eastAsia="MS Mincho" w:hAnsi="Palatino Linotype" w:cs="Arial"/>
          <w:b/>
          <w:i/>
          <w:color w:val="000000" w:themeColor="text1"/>
          <w:lang w:val="es-ES_tradnl" w:eastAsia="es-ES"/>
        </w:rPr>
        <w:t>“</w:t>
      </w:r>
      <w:r w:rsidRPr="00ED103A">
        <w:rPr>
          <w:rFonts w:ascii="Palatino Linotype" w:eastAsia="MS Mincho" w:hAnsi="Palatino Linotype" w:cs="Arial"/>
          <w:i/>
          <w:color w:val="000000" w:themeColor="text1"/>
          <w:lang w:val="es-ES_tradnl" w:eastAsia="es-ES"/>
        </w:rPr>
        <w:t>el derecho de toda persona a ser escuchado por quienes ejercen el poder público.</w:t>
      </w:r>
      <w:r w:rsidRPr="00ED103A">
        <w:rPr>
          <w:rFonts w:ascii="Palatino Linotype" w:eastAsia="MS Mincho" w:hAnsi="Palatino Linotype" w:cs="Arial"/>
          <w:b/>
          <w:i/>
          <w:color w:val="000000" w:themeColor="text1"/>
          <w:lang w:val="es-ES_tradnl" w:eastAsia="es-ES"/>
        </w:rPr>
        <w:t>”</w:t>
      </w:r>
      <w:r w:rsidRPr="00ED103A">
        <w:rPr>
          <w:rFonts w:ascii="Palatino Linotype" w:eastAsia="MS Mincho" w:hAnsi="Palatino Linotype" w:cs="Arial"/>
          <w:i/>
          <w:color w:val="000000" w:themeColor="text1"/>
          <w:lang w:val="es-ES_tradnl" w:eastAsia="es-ES"/>
        </w:rPr>
        <w:t xml:space="preserve"> (sic) </w:t>
      </w:r>
    </w:p>
    <w:p w:rsidR="007830DB" w:rsidRPr="00ED103A" w:rsidRDefault="007830DB" w:rsidP="00107C9A">
      <w:pPr>
        <w:tabs>
          <w:tab w:val="left" w:pos="0"/>
        </w:tabs>
        <w:autoSpaceDE w:val="0"/>
        <w:autoSpaceDN w:val="0"/>
        <w:adjustRightInd w:val="0"/>
        <w:spacing w:line="276" w:lineRule="auto"/>
        <w:contextualSpacing/>
        <w:jc w:val="both"/>
        <w:rPr>
          <w:rFonts w:ascii="Palatino Linotype" w:eastAsia="MS Mincho" w:hAnsi="Palatino Linotype" w:cs="Arial"/>
          <w:i/>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lastRenderedPageBreak/>
        <w:t xml:space="preserve"> A este respecto, para diferenciar el derecho de petición al derecho de acceso a la información, resulta conducente señalar que José Guadalupe Robles, conceptualiza el derecho a la información como: </w:t>
      </w:r>
    </w:p>
    <w:p w:rsidR="007830DB" w:rsidRPr="00ED103A" w:rsidRDefault="007830DB" w:rsidP="00107C9A">
      <w:pPr>
        <w:tabs>
          <w:tab w:val="left" w:pos="0"/>
        </w:tabs>
        <w:autoSpaceDE w:val="0"/>
        <w:autoSpaceDN w:val="0"/>
        <w:adjustRightInd w:val="0"/>
        <w:spacing w:before="240" w:after="240" w:line="360" w:lineRule="auto"/>
        <w:ind w:left="851"/>
        <w:contextualSpacing/>
        <w:jc w:val="both"/>
        <w:rPr>
          <w:rFonts w:ascii="Palatino Linotype" w:eastAsia="MS Mincho" w:hAnsi="Palatino Linotype" w:cs="Arial"/>
          <w:i/>
          <w:color w:val="000000" w:themeColor="text1"/>
          <w:lang w:val="es-ES_tradnl" w:eastAsia="es-ES"/>
        </w:rPr>
      </w:pPr>
      <w:r w:rsidRPr="00ED103A">
        <w:rPr>
          <w:rFonts w:ascii="Palatino Linotype" w:eastAsia="MS Mincho" w:hAnsi="Palatino Linotype" w:cs="Arial"/>
          <w:b/>
          <w:i/>
          <w:color w:val="000000" w:themeColor="text1"/>
          <w:lang w:val="es-ES_tradnl" w:eastAsia="es-ES"/>
        </w:rPr>
        <w:t>“</w:t>
      </w:r>
      <w:r w:rsidRPr="00ED103A">
        <w:rPr>
          <w:rFonts w:ascii="Palatino Linotype" w:eastAsia="MS Mincho" w:hAnsi="Palatino Linotype" w:cs="Arial"/>
          <w:i/>
          <w:color w:val="000000" w:themeColor="text1"/>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D103A">
        <w:rPr>
          <w:rFonts w:ascii="Palatino Linotype" w:eastAsia="MS Mincho" w:hAnsi="Palatino Linotype" w:cs="Arial"/>
          <w:b/>
          <w:i/>
          <w:color w:val="000000" w:themeColor="text1"/>
          <w:lang w:val="es-ES_tradnl" w:eastAsia="es-ES"/>
        </w:rPr>
        <w:t>”</w:t>
      </w:r>
      <w:r w:rsidRPr="00ED103A">
        <w:rPr>
          <w:rFonts w:ascii="Palatino Linotype" w:eastAsia="MS Mincho" w:hAnsi="Palatino Linotype" w:cs="Arial"/>
          <w:i/>
          <w:color w:val="000000" w:themeColor="text1"/>
          <w:lang w:val="es-ES_tradnl" w:eastAsia="es-ES"/>
        </w:rPr>
        <w:t xml:space="preserve"> (sic) </w:t>
      </w:r>
    </w:p>
    <w:p w:rsidR="007830DB" w:rsidRPr="00ED103A" w:rsidRDefault="007830DB" w:rsidP="00107C9A">
      <w:pPr>
        <w:tabs>
          <w:tab w:val="left" w:pos="0"/>
        </w:tabs>
        <w:spacing w:line="360" w:lineRule="auto"/>
        <w:ind w:left="720"/>
        <w:contextualSpacing/>
        <w:jc w:val="both"/>
        <w:rPr>
          <w:rFonts w:ascii="Palatino Linotype" w:eastAsia="MS Mincho" w:hAnsi="Palatino Linotype" w:cs="Arial"/>
          <w:i/>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olor w:val="000000" w:themeColor="text1"/>
          <w:lang w:val="es-ES_tradnl" w:eastAsia="es-ES"/>
        </w:rPr>
      </w:pPr>
      <w:r w:rsidRPr="00ED103A">
        <w:rPr>
          <w:rFonts w:ascii="Palatino Linotype" w:eastAsia="MS Mincho" w:hAnsi="Palatino Linotype" w:cs="Arial"/>
          <w:color w:val="000000" w:themeColor="text1"/>
          <w:lang w:val="es-ES_tradnl" w:eastAsia="es-ES"/>
        </w:rPr>
        <w:t xml:space="preserve">Ahora bien, el derecho </w:t>
      </w:r>
      <w:r w:rsidRPr="00ED103A">
        <w:rPr>
          <w:rFonts w:ascii="Palatino Linotype" w:eastAsia="MS Mincho" w:hAnsi="Palatino Linotype"/>
          <w:color w:val="000000" w:themeColor="text1"/>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7830DB" w:rsidRPr="00ED103A" w:rsidRDefault="007830DB" w:rsidP="00107C9A">
      <w:pPr>
        <w:tabs>
          <w:tab w:val="left" w:pos="0"/>
        </w:tabs>
        <w:spacing w:line="360" w:lineRule="auto"/>
        <w:contextualSpacing/>
        <w:jc w:val="both"/>
        <w:rPr>
          <w:rFonts w:ascii="Palatino Linotype" w:eastAsia="MS Mincho" w:hAnsi="Palatino Linotype"/>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830DB" w:rsidRPr="00ED103A" w:rsidRDefault="007830DB" w:rsidP="00107C9A">
      <w:pPr>
        <w:tabs>
          <w:tab w:val="left" w:pos="0"/>
        </w:tabs>
        <w:spacing w:line="360" w:lineRule="auto"/>
        <w:contextualSpacing/>
        <w:jc w:val="both"/>
        <w:rPr>
          <w:rFonts w:ascii="Palatino Linotype" w:eastAsia="MS Mincho" w:hAnsi="Palatino Linotype" w:cs="Arial"/>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ED103A">
        <w:rPr>
          <w:rFonts w:ascii="Palatino Linotype" w:eastAsia="MS Mincho" w:hAnsi="Palatino Linotype" w:cs="Arial"/>
          <w:color w:val="000000" w:themeColor="text1"/>
          <w:lang w:val="es-ES_tradnl" w:eastAsia="es-ES"/>
        </w:rPr>
        <w:lastRenderedPageBreak/>
        <w:t xml:space="preserve">los que el Estado mexicano sea parte, en la Ley General, la Ley de Transparencia vigente en nuestra entidad y demás disposiciones de la materia, privilegiando el principio de máxima publicidad de la información. </w:t>
      </w:r>
    </w:p>
    <w:p w:rsidR="007830DB" w:rsidRPr="00ED103A" w:rsidRDefault="007830DB" w:rsidP="00107C9A">
      <w:pPr>
        <w:tabs>
          <w:tab w:val="left" w:pos="0"/>
        </w:tabs>
        <w:spacing w:line="360" w:lineRule="auto"/>
        <w:contextualSpacing/>
        <w:jc w:val="both"/>
        <w:rPr>
          <w:rFonts w:ascii="Palatino Linotype" w:eastAsia="MS Mincho" w:hAnsi="Palatino Linotype" w:cs="Arial"/>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7830DB" w:rsidRPr="00ED103A" w:rsidRDefault="007830DB" w:rsidP="00107C9A">
      <w:pPr>
        <w:tabs>
          <w:tab w:val="left" w:pos="0"/>
        </w:tabs>
        <w:spacing w:line="360" w:lineRule="auto"/>
        <w:contextualSpacing/>
        <w:jc w:val="both"/>
        <w:rPr>
          <w:rFonts w:ascii="Palatino Linotype" w:eastAsia="MS Mincho" w:hAnsi="Palatino Linotype" w:cs="Arial"/>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30DB" w:rsidRPr="00ED103A" w:rsidRDefault="007830DB" w:rsidP="00107C9A">
      <w:pPr>
        <w:tabs>
          <w:tab w:val="left" w:pos="0"/>
        </w:tabs>
        <w:spacing w:line="360" w:lineRule="auto"/>
        <w:contextualSpacing/>
        <w:jc w:val="both"/>
        <w:rPr>
          <w:rFonts w:ascii="Palatino Linotype" w:eastAsia="MS Mincho" w:hAnsi="Palatino Linotype" w:cs="Arial"/>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w:t>
      </w:r>
      <w:r w:rsidRPr="00ED103A">
        <w:rPr>
          <w:rFonts w:ascii="Palatino Linotype" w:eastAsia="MS Mincho" w:hAnsi="Palatino Linotype" w:cs="Arial"/>
          <w:color w:val="000000" w:themeColor="text1"/>
          <w:lang w:val="es-ES_tradnl" w:eastAsia="es-ES"/>
        </w:rPr>
        <w:lastRenderedPageBreak/>
        <w:t>misma, ni el presentarla conforme al interés del solicitante ya que no estarán constreñidos a generarla, resumirla, efectuar cálculos o practicar investigaciones.</w:t>
      </w:r>
    </w:p>
    <w:p w:rsidR="007830DB" w:rsidRPr="00ED103A" w:rsidRDefault="007830DB" w:rsidP="00107C9A">
      <w:pPr>
        <w:tabs>
          <w:tab w:val="left" w:pos="0"/>
        </w:tabs>
        <w:spacing w:line="360" w:lineRule="auto"/>
        <w:contextualSpacing/>
        <w:jc w:val="both"/>
        <w:rPr>
          <w:rFonts w:ascii="Palatino Linotype" w:eastAsia="MS Mincho" w:hAnsi="Palatino Linotype" w:cs="Arial"/>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rPr>
      </w:pPr>
      <w:r w:rsidRPr="00ED103A">
        <w:rPr>
          <w:rFonts w:ascii="Palatino Linotype" w:eastAsia="MS Mincho" w:hAnsi="Palatino Linotype" w:cs="Arial"/>
          <w:color w:val="000000" w:themeColor="text1"/>
          <w:lang w:val="es-ES_tradnl"/>
        </w:rPr>
        <w:t xml:space="preserve">Corolario a lo anterior, el doctrinario Ernesto Villanueva Villanueva define al derecho de acceso a la información como: </w:t>
      </w:r>
    </w:p>
    <w:p w:rsidR="007830DB" w:rsidRPr="00ED103A" w:rsidRDefault="007830DB" w:rsidP="00107C9A">
      <w:pPr>
        <w:tabs>
          <w:tab w:val="left" w:pos="0"/>
        </w:tabs>
        <w:spacing w:line="276" w:lineRule="auto"/>
        <w:ind w:left="720"/>
        <w:contextualSpacing/>
        <w:jc w:val="both"/>
        <w:rPr>
          <w:rFonts w:ascii="Palatino Linotype" w:eastAsia="MS Mincho" w:hAnsi="Palatino Linotype" w:cs="Arial"/>
          <w:i/>
          <w:color w:val="000000" w:themeColor="text1"/>
          <w:lang w:val="es-ES_tradnl"/>
        </w:rPr>
      </w:pPr>
      <w:r w:rsidRPr="00ED103A">
        <w:rPr>
          <w:rFonts w:ascii="Palatino Linotype" w:eastAsia="MS Mincho" w:hAnsi="Palatino Linotype" w:cs="Arial"/>
          <w:b/>
          <w:i/>
          <w:color w:val="000000" w:themeColor="text1"/>
          <w:lang w:val="es-ES_tradnl"/>
        </w:rPr>
        <w:t>“</w:t>
      </w:r>
      <w:r w:rsidRPr="00ED103A">
        <w:rPr>
          <w:rFonts w:ascii="Palatino Linotype" w:eastAsia="MS Mincho" w:hAnsi="Palatino Linotype" w:cs="Arial"/>
          <w:i/>
          <w:color w:val="000000" w:themeColor="text1"/>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D103A">
        <w:rPr>
          <w:rFonts w:ascii="Palatino Linotype" w:eastAsia="MS Mincho" w:hAnsi="Palatino Linotype" w:cs="Arial"/>
          <w:b/>
          <w:i/>
          <w:color w:val="000000" w:themeColor="text1"/>
          <w:lang w:val="es-ES_tradnl"/>
        </w:rPr>
        <w:t>”</w:t>
      </w:r>
      <w:r w:rsidRPr="00ED103A">
        <w:rPr>
          <w:rFonts w:ascii="Palatino Linotype" w:eastAsia="MS Mincho" w:hAnsi="Palatino Linotype" w:cs="Arial"/>
          <w:i/>
          <w:color w:val="000000" w:themeColor="text1"/>
          <w:vertAlign w:val="superscript"/>
          <w:lang w:val="es-ES_tradnl"/>
        </w:rPr>
        <w:t xml:space="preserve"> </w:t>
      </w:r>
      <w:r w:rsidRPr="00ED103A">
        <w:rPr>
          <w:rFonts w:ascii="Palatino Linotype" w:eastAsia="MS Mincho" w:hAnsi="Palatino Linotype" w:cs="Arial"/>
          <w:i/>
          <w:color w:val="000000" w:themeColor="text1"/>
          <w:lang w:val="es-ES_tradnl"/>
        </w:rPr>
        <w:t xml:space="preserve">(sic) </w:t>
      </w:r>
    </w:p>
    <w:p w:rsidR="007830DB" w:rsidRPr="00ED103A" w:rsidRDefault="007830DB" w:rsidP="00107C9A">
      <w:pPr>
        <w:tabs>
          <w:tab w:val="left" w:pos="0"/>
        </w:tabs>
        <w:spacing w:line="360" w:lineRule="auto"/>
        <w:ind w:left="720"/>
        <w:contextualSpacing/>
        <w:jc w:val="both"/>
        <w:rPr>
          <w:rFonts w:ascii="Palatino Linotype" w:eastAsia="MS Mincho" w:hAnsi="Palatino Linotype" w:cs="Arial"/>
          <w:i/>
          <w:color w:val="000000" w:themeColor="text1"/>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b/>
          <w:color w:val="000000" w:themeColor="text1"/>
          <w:u w:val="single"/>
          <w:lang w:val="es-ES_tradnl" w:eastAsia="es-ES"/>
        </w:rPr>
      </w:pPr>
      <w:r w:rsidRPr="00ED103A">
        <w:rPr>
          <w:rFonts w:ascii="Palatino Linotype" w:eastAsia="MS Mincho" w:hAnsi="Palatino Linotype" w:cs="Arial"/>
          <w:color w:val="000000" w:themeColor="text1"/>
          <w:lang w:val="es-ES_tradnl" w:eastAsia="es-ES"/>
        </w:rPr>
        <w:t xml:space="preserve">De lo anterior, se puede concluir que la distinción entre el derecho de petición y el derecho de acceso a la información estriba principalmente en que en el primero de ellos, </w:t>
      </w:r>
      <w:r w:rsidRPr="00ED103A">
        <w:rPr>
          <w:rFonts w:ascii="Palatino Linotype" w:eastAsia="MS Mincho" w:hAnsi="Palatino Linotype" w:cs="Arial"/>
          <w:color w:val="000000" w:themeColor="text1"/>
          <w:lang w:val="es-ES_tradnl"/>
        </w:rPr>
        <w:t xml:space="preserve">la pretensión del peticionario consiste generalmente en obligar a la autoridad responsable a que actúe en el sentido de contestar lo solicitado, mientras que en el </w:t>
      </w:r>
      <w:r w:rsidRPr="00ED103A">
        <w:rPr>
          <w:rFonts w:ascii="Palatino Linotype" w:eastAsia="MS Mincho" w:hAnsi="Palatino Linotype" w:cs="Arial"/>
          <w:bCs/>
          <w:color w:val="000000" w:themeColor="text1"/>
          <w:lang w:val="es-ES_tradnl" w:eastAsia="es-CO"/>
        </w:rPr>
        <w:t xml:space="preserve">segundo supuesto </w:t>
      </w:r>
      <w:r w:rsidRPr="00ED103A">
        <w:rPr>
          <w:rFonts w:ascii="Palatino Linotype" w:eastAsia="MS Mincho" w:hAnsi="Palatino Linotype" w:cs="Arial"/>
          <w:b/>
          <w:bCs/>
          <w:color w:val="000000" w:themeColor="text1"/>
          <w:u w:val="single"/>
          <w:lang w:val="es-ES_tradnl" w:eastAsia="es-CO"/>
        </w:rPr>
        <w:t>la solicitud de acceso a la información pública se encamina primordialmente a</w:t>
      </w:r>
      <w:r w:rsidRPr="00ED103A">
        <w:rPr>
          <w:rFonts w:ascii="Palatino Linotype" w:eastAsia="MS Mincho" w:hAnsi="Palatino Linotype" w:cs="Arial"/>
          <w:b/>
          <w:color w:val="000000" w:themeColor="text1"/>
          <w:u w:val="single"/>
          <w:lang w:val="es-ES_tradnl" w:eastAsia="es-ES"/>
        </w:rPr>
        <w:t xml:space="preserve"> permitir el </w:t>
      </w:r>
      <w:r w:rsidRPr="00ED103A">
        <w:rPr>
          <w:rFonts w:ascii="Palatino Linotype" w:eastAsia="MS Mincho" w:hAnsi="Palatino Linotype" w:cs="Arial"/>
          <w:b/>
          <w:color w:val="000000" w:themeColor="text1"/>
          <w:u w:val="single"/>
          <w:lang w:val="es-ES_tradnl" w:eastAsia="es-CO"/>
        </w:rPr>
        <w:t xml:space="preserve">acceso a datos, registros y todo tipo de información pública que conste en documentos, sea generada o se encuentre en posesión de </w:t>
      </w:r>
      <w:r w:rsidRPr="00ED103A">
        <w:rPr>
          <w:rFonts w:ascii="Palatino Linotype" w:eastAsia="MS Mincho" w:hAnsi="Palatino Linotype" w:cs="Arial"/>
          <w:b/>
          <w:color w:val="000000" w:themeColor="text1"/>
          <w:u w:val="single"/>
          <w:lang w:val="es-ES_tradnl" w:eastAsia="es-ES"/>
        </w:rPr>
        <w:t xml:space="preserve">la autoridad. </w:t>
      </w:r>
    </w:p>
    <w:p w:rsidR="007830DB" w:rsidRPr="00ED103A" w:rsidRDefault="007830DB" w:rsidP="00107C9A">
      <w:pPr>
        <w:tabs>
          <w:tab w:val="left" w:pos="0"/>
        </w:tabs>
        <w:spacing w:line="360" w:lineRule="auto"/>
        <w:contextualSpacing/>
        <w:jc w:val="both"/>
        <w:rPr>
          <w:rFonts w:ascii="Palatino Linotype" w:eastAsia="MS Mincho" w:hAnsi="Palatino Linotype" w:cs="Arial"/>
          <w:b/>
          <w:color w:val="000000" w:themeColor="text1"/>
          <w:u w:val="single"/>
          <w:lang w:val="es-ES_tradnl" w:eastAsia="es-ES"/>
        </w:rPr>
      </w:pPr>
    </w:p>
    <w:p w:rsidR="007830DB" w:rsidRPr="00ED103A" w:rsidRDefault="007830DB" w:rsidP="00107C9A">
      <w:pPr>
        <w:numPr>
          <w:ilvl w:val="0"/>
          <w:numId w:val="1"/>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ED103A">
        <w:rPr>
          <w:rFonts w:ascii="Palatino Linotype" w:eastAsia="MS Mincho" w:hAnsi="Palatino Linotype" w:cs="Arial"/>
          <w:color w:val="000000" w:themeColor="text1"/>
          <w:lang w:val="es-ES_tradnl" w:eastAsia="es-ES"/>
        </w:rPr>
        <w:t xml:space="preserve">Por lo que la entrega de una razón o un razonamiento por parte de </w:t>
      </w:r>
      <w:r w:rsidRPr="00ED103A">
        <w:rPr>
          <w:rFonts w:ascii="Palatino Linotype" w:eastAsia="MS Mincho" w:hAnsi="Palatino Linotype" w:cs="Arial"/>
          <w:b/>
          <w:color w:val="000000" w:themeColor="text1"/>
        </w:rPr>
        <w:t>EL SUJETO OBLIGADO</w:t>
      </w:r>
      <w:r w:rsidRPr="00ED103A">
        <w:rPr>
          <w:rFonts w:ascii="Palatino Linotype" w:eastAsia="MS Mincho" w:hAnsi="Palatino Linotype" w:cs="Arial"/>
          <w:color w:val="000000" w:themeColor="text1"/>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E956A5" w:rsidRPr="00ED103A" w:rsidRDefault="00E956A5" w:rsidP="00107C9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4C7264" w:rsidRPr="00ED103A" w:rsidRDefault="00AE3D96" w:rsidP="00107C9A">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ED103A">
        <w:rPr>
          <w:rFonts w:ascii="Palatino Linotype" w:eastAsiaTheme="minorEastAsia" w:hAnsi="Palatino Linotype"/>
          <w:color w:val="000000" w:themeColor="text1"/>
          <w:lang w:val="es-ES_tradnl" w:eastAsia="es-ES"/>
        </w:rPr>
        <w:t xml:space="preserve">Por lo anteriormente señalado, se puede concluir que el Sujeto Obligado </w:t>
      </w:r>
      <w:r w:rsidR="004C7264" w:rsidRPr="00ED103A">
        <w:rPr>
          <w:rFonts w:ascii="Palatino Linotype" w:eastAsiaTheme="minorEastAsia" w:hAnsi="Palatino Linotype"/>
          <w:color w:val="000000" w:themeColor="text1"/>
          <w:lang w:val="es-ES_tradnl" w:eastAsia="es-ES"/>
        </w:rPr>
        <w:t>no entregó los documentos solicitados</w:t>
      </w:r>
      <w:r w:rsidRPr="00ED103A">
        <w:rPr>
          <w:rFonts w:ascii="Palatino Linotype" w:eastAsia="MS Mincho" w:hAnsi="Palatino Linotype" w:cstheme="majorBidi"/>
          <w:color w:val="000000" w:themeColor="text1"/>
        </w:rPr>
        <w:t>,</w:t>
      </w:r>
      <w:r w:rsidR="004C7264" w:rsidRPr="00ED103A">
        <w:rPr>
          <w:rFonts w:ascii="Palatino Linotype" w:eastAsia="MS Mincho" w:hAnsi="Palatino Linotype" w:cstheme="majorBidi"/>
          <w:color w:val="000000" w:themeColor="text1"/>
          <w:lang w:val="es-ES"/>
        </w:rPr>
        <w:t xml:space="preserve"> por lo tanto, </w:t>
      </w:r>
      <w:r w:rsidRPr="00ED103A">
        <w:rPr>
          <w:rFonts w:ascii="Palatino Linotype" w:eastAsia="MS Mincho" w:hAnsi="Palatino Linotype" w:cstheme="majorBidi"/>
          <w:color w:val="000000" w:themeColor="text1"/>
          <w:lang w:val="es-ES"/>
        </w:rPr>
        <w:t xml:space="preserve"> en mérito de lo expuesto en líneas anteriores, resultan  fundadas las razones o motivos de inconformidad hechos valer por el </w:t>
      </w:r>
      <w:r w:rsidRPr="00ED103A">
        <w:rPr>
          <w:rFonts w:ascii="Palatino Linotype" w:eastAsia="MS Mincho" w:hAnsi="Palatino Linotype" w:cstheme="majorBidi"/>
          <w:b/>
          <w:color w:val="000000" w:themeColor="text1"/>
          <w:lang w:val="es-ES"/>
        </w:rPr>
        <w:lastRenderedPageBreak/>
        <w:t>RECURRENTE</w:t>
      </w:r>
      <w:r w:rsidRPr="00ED103A">
        <w:rPr>
          <w:rFonts w:ascii="Palatino Linotype" w:eastAsia="MS Mincho" w:hAnsi="Palatino Linotype" w:cstheme="majorBidi"/>
          <w:color w:val="000000" w:themeColor="text1"/>
          <w:lang w:val="es-ES"/>
        </w:rPr>
        <w:t xml:space="preserve"> dentro del recurso de revisión </w:t>
      </w:r>
      <w:r w:rsidR="004C7264" w:rsidRPr="00ED103A">
        <w:rPr>
          <w:rFonts w:ascii="Palatino Linotype" w:eastAsia="MS Mincho" w:hAnsi="Palatino Linotype" w:cstheme="majorBidi"/>
          <w:b/>
          <w:bCs/>
          <w:color w:val="000000" w:themeColor="text1"/>
          <w:lang w:val="es-ES"/>
        </w:rPr>
        <w:t>05183</w:t>
      </w:r>
      <w:r w:rsidRPr="00ED103A">
        <w:rPr>
          <w:rFonts w:ascii="Palatino Linotype" w:eastAsia="MS Mincho" w:hAnsi="Palatino Linotype" w:cstheme="majorBidi"/>
          <w:b/>
          <w:bCs/>
          <w:color w:val="000000" w:themeColor="text1"/>
          <w:lang w:val="es-ES"/>
        </w:rPr>
        <w:t>/INFOEM/IP/RR/2025</w:t>
      </w:r>
      <w:r w:rsidRPr="00ED103A">
        <w:rPr>
          <w:rFonts w:ascii="Palatino Linotype" w:eastAsia="MS Mincho" w:hAnsi="Palatino Linotype" w:cstheme="majorBidi"/>
          <w:color w:val="000000" w:themeColor="text1"/>
          <w:lang w:val="es-ES"/>
        </w:rPr>
        <w:t xml:space="preserve">; por ello, y con fundamento en la fracción III del numeral 186 de la Ley de Transparencia y Acceso a la Información Pública del Estado de México y Municipios, se </w:t>
      </w:r>
      <w:r w:rsidRPr="00ED103A">
        <w:rPr>
          <w:rFonts w:ascii="Palatino Linotype" w:eastAsia="MS Mincho" w:hAnsi="Palatino Linotype" w:cstheme="majorBidi"/>
          <w:b/>
          <w:color w:val="000000" w:themeColor="text1"/>
          <w:lang w:val="es-ES"/>
        </w:rPr>
        <w:t>MODIFICA</w:t>
      </w:r>
      <w:r w:rsidRPr="00ED103A">
        <w:rPr>
          <w:rFonts w:ascii="Palatino Linotype" w:eastAsia="MS Mincho" w:hAnsi="Palatino Linotype" w:cstheme="majorBidi"/>
          <w:color w:val="000000" w:themeColor="text1"/>
          <w:lang w:val="es-ES"/>
        </w:rPr>
        <w:t xml:space="preserve"> la respuesta del Sujeto Obligado y se ORDENA la entrega, en versión pública, </w:t>
      </w:r>
      <w:r w:rsidR="004C7264" w:rsidRPr="00ED103A">
        <w:rPr>
          <w:rFonts w:ascii="Palatino Linotype" w:eastAsia="MS Mincho" w:hAnsi="Palatino Linotype" w:cstheme="majorBidi"/>
          <w:color w:val="000000" w:themeColor="text1"/>
          <w:lang w:val="es-ES"/>
        </w:rPr>
        <w:t xml:space="preserve">de </w:t>
      </w:r>
      <w:r w:rsidRPr="00ED103A">
        <w:rPr>
          <w:rFonts w:ascii="Palatino Linotype" w:eastAsia="MS Mincho" w:hAnsi="Palatino Linotype" w:cstheme="majorBidi"/>
          <w:color w:val="000000" w:themeColor="text1"/>
          <w:lang w:val="es-ES"/>
        </w:rPr>
        <w:t xml:space="preserve">los recibos de nómina </w:t>
      </w:r>
      <w:r w:rsidR="004C7264" w:rsidRPr="00ED103A">
        <w:rPr>
          <w:rFonts w:ascii="Palatino Linotype" w:eastAsia="MS Mincho" w:hAnsi="Palatino Linotype" w:cstheme="majorBidi"/>
          <w:color w:val="000000" w:themeColor="text1"/>
          <w:lang w:val="es-ES"/>
        </w:rPr>
        <w:t xml:space="preserve">de los servidores públicos del </w:t>
      </w:r>
      <w:r w:rsidR="004C7264" w:rsidRPr="00ED103A">
        <w:rPr>
          <w:rFonts w:ascii="Palatino Linotype" w:eastAsia="MS Mincho" w:hAnsi="Palatino Linotype" w:cstheme="majorBidi"/>
          <w:b/>
          <w:bCs/>
          <w:color w:val="000000" w:themeColor="text1"/>
        </w:rPr>
        <w:t>Sistema Municipal Para el Desarrollo Integral de la Familia de Huehuetoca</w:t>
      </w:r>
      <w:r w:rsidR="004C7264" w:rsidRPr="00ED103A">
        <w:rPr>
          <w:rFonts w:ascii="Palatino Linotype" w:eastAsia="MS Mincho" w:hAnsi="Palatino Linotype" w:cstheme="majorBidi"/>
          <w:color w:val="000000" w:themeColor="text1"/>
          <w:lang w:val="es-ES"/>
        </w:rPr>
        <w:t xml:space="preserve">, correspondientes a la segunda quincena de diciembre de dos mil veinticuatro. </w:t>
      </w:r>
      <w:r w:rsidRPr="00ED103A">
        <w:rPr>
          <w:rFonts w:ascii="Palatino Linotype" w:eastAsia="MS Mincho" w:hAnsi="Palatino Linotype" w:cstheme="majorBidi"/>
          <w:color w:val="000000" w:themeColor="text1"/>
          <w:lang w:val="es-ES"/>
        </w:rPr>
        <w:t xml:space="preserve"> </w:t>
      </w:r>
    </w:p>
    <w:p w:rsidR="00AE3D96" w:rsidRPr="00ED103A" w:rsidRDefault="00AE3D96" w:rsidP="00107C9A">
      <w:pPr>
        <w:pStyle w:val="Prrafodelista"/>
        <w:tabs>
          <w:tab w:val="left" w:pos="0"/>
        </w:tabs>
        <w:rPr>
          <w:rFonts w:ascii="Palatino Linotype" w:eastAsiaTheme="minorEastAsia" w:hAnsi="Palatino Linotype"/>
          <w:color w:val="000000" w:themeColor="text1"/>
          <w:sz w:val="24"/>
          <w:lang w:val="es-ES_tradnl" w:eastAsia="es-ES"/>
        </w:rPr>
      </w:pPr>
    </w:p>
    <w:p w:rsidR="00AE3D96" w:rsidRPr="00ED103A" w:rsidRDefault="00AE3D96" w:rsidP="00107C9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ED103A">
        <w:rPr>
          <w:rFonts w:ascii="Palatino Linotype" w:eastAsia="Palatino Linotype" w:hAnsi="Palatino Linotype" w:cs="Palatino Linotype"/>
          <w:b/>
          <w:color w:val="000000" w:themeColor="text1"/>
        </w:rPr>
        <w:t>QUINTO. De la versión pública.</w:t>
      </w:r>
    </w:p>
    <w:p w:rsidR="00AE3D96" w:rsidRPr="00ED103A" w:rsidRDefault="00AE3D96" w:rsidP="00107C9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D103A">
        <w:rPr>
          <w:rFonts w:ascii="Palatino Linotype" w:eastAsia="Palatino Linotype" w:hAnsi="Palatino Linotype" w:cs="Palatino Linotype"/>
          <w:color w:val="000000" w:themeColor="text1"/>
        </w:rPr>
        <w:t>Debe destacarse que, debido a la naturaleza de la información solicitada</w:t>
      </w:r>
      <w:r w:rsidRPr="00ED103A">
        <w:rPr>
          <w:rFonts w:ascii="Palatino Linotype" w:eastAsia="Palatino Linotype" w:hAnsi="Palatino Linotype" w:cs="Palatino Linotype"/>
          <w:b/>
          <w:color w:val="000000" w:themeColor="text1"/>
        </w:rPr>
        <w:t xml:space="preserve"> </w:t>
      </w:r>
      <w:r w:rsidRPr="00ED103A">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E3D96" w:rsidRPr="00ED103A" w:rsidRDefault="00AE3D96" w:rsidP="00107C9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AE3D96" w:rsidRPr="00ED103A" w:rsidRDefault="00AE3D96" w:rsidP="00107C9A">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D103A">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AE3D96" w:rsidRPr="00ED103A" w:rsidRDefault="00AE3D96" w:rsidP="00107C9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7211"/>
      </w:tblGrid>
      <w:tr w:rsidR="00107C9A" w:rsidRPr="00ED103A" w:rsidTr="00D16EEB">
        <w:tc>
          <w:tcPr>
            <w:tcW w:w="2565" w:type="dxa"/>
          </w:tcPr>
          <w:p w:rsidR="00AE3D96" w:rsidRPr="00ED103A" w:rsidRDefault="00AE3D96" w:rsidP="00107C9A">
            <w:pPr>
              <w:tabs>
                <w:tab w:val="left" w:pos="0"/>
              </w:tabs>
              <w:spacing w:line="360" w:lineRule="auto"/>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a) Requisitos previos.</w:t>
            </w:r>
          </w:p>
        </w:tc>
        <w:tc>
          <w:tcPr>
            <w:tcW w:w="7211" w:type="dxa"/>
          </w:tcPr>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D103A">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ED103A">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107C9A" w:rsidRPr="00ED103A" w:rsidTr="00D16EEB">
        <w:tc>
          <w:tcPr>
            <w:tcW w:w="2565" w:type="dxa"/>
          </w:tcPr>
          <w:p w:rsidR="00AE3D96" w:rsidRPr="00ED103A" w:rsidRDefault="00AE3D96" w:rsidP="00107C9A">
            <w:pPr>
              <w:tabs>
                <w:tab w:val="left" w:pos="0"/>
              </w:tabs>
              <w:spacing w:line="360" w:lineRule="auto"/>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b) Supuestos de clasificación.</w:t>
            </w:r>
          </w:p>
        </w:tc>
        <w:tc>
          <w:tcPr>
            <w:tcW w:w="7211" w:type="dxa"/>
          </w:tcPr>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w:t>
            </w:r>
            <w:r w:rsidRPr="00ED103A">
              <w:rPr>
                <w:rFonts w:ascii="Palatino Linotype" w:eastAsia="Palatino Linotype" w:hAnsi="Palatino Linotype" w:cs="Palatino Linotype"/>
                <w:color w:val="000000" w:themeColor="text1"/>
              </w:rPr>
              <w:lastRenderedPageBreak/>
              <w:t>o supuestos de clasificación aduciendo analogía o mayoría de razón.</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07C9A" w:rsidRPr="00ED103A" w:rsidTr="00D16EEB">
        <w:tc>
          <w:tcPr>
            <w:tcW w:w="2565" w:type="dxa"/>
          </w:tcPr>
          <w:p w:rsidR="00AE3D96" w:rsidRPr="00ED103A" w:rsidRDefault="00AE3D96" w:rsidP="00107C9A">
            <w:pPr>
              <w:tabs>
                <w:tab w:val="left" w:pos="0"/>
              </w:tabs>
              <w:spacing w:line="360" w:lineRule="auto"/>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c) Formalidades para emitir el acuerdo de clasificación.</w:t>
            </w:r>
          </w:p>
        </w:tc>
        <w:tc>
          <w:tcPr>
            <w:tcW w:w="7211" w:type="dxa"/>
          </w:tcPr>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Es necesario que </w:t>
            </w:r>
            <w:r w:rsidRPr="00ED103A">
              <w:rPr>
                <w:rFonts w:ascii="Palatino Linotype" w:eastAsia="Palatino Linotype" w:hAnsi="Palatino Linotype" w:cs="Palatino Linotype"/>
                <w:color w:val="000000" w:themeColor="text1"/>
                <w:u w:val="single"/>
              </w:rPr>
              <w:t>el acto reúna con los requisitos elementales</w:t>
            </w:r>
            <w:r w:rsidRPr="00ED103A">
              <w:rPr>
                <w:rFonts w:ascii="Palatino Linotype" w:eastAsia="Palatino Linotype" w:hAnsi="Palatino Linotype" w:cs="Palatino Linotype"/>
                <w:color w:val="000000" w:themeColor="text1"/>
              </w:rPr>
              <w:t>, entre ellos, que la autoridad que va a emitir el acto de autoridad sea la legalmente facultada para ello.</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07C9A" w:rsidRPr="00ED103A" w:rsidTr="00D16EEB">
        <w:tc>
          <w:tcPr>
            <w:tcW w:w="2565" w:type="dxa"/>
          </w:tcPr>
          <w:p w:rsidR="00AE3D96" w:rsidRPr="00ED103A" w:rsidRDefault="00AE3D96" w:rsidP="00107C9A">
            <w:pPr>
              <w:tabs>
                <w:tab w:val="left" w:pos="0"/>
              </w:tabs>
              <w:spacing w:line="360" w:lineRule="auto"/>
              <w:rPr>
                <w:rFonts w:ascii="Palatino Linotype" w:eastAsia="Palatino Linotype" w:hAnsi="Palatino Linotype" w:cs="Palatino Linotype"/>
                <w:color w:val="000000" w:themeColor="text1"/>
              </w:rPr>
            </w:pP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 xml:space="preserve">d) Requisitos de fondo del acuerdo de clasificación. </w:t>
            </w:r>
          </w:p>
        </w:tc>
        <w:tc>
          <w:tcPr>
            <w:tcW w:w="7211" w:type="dxa"/>
          </w:tcPr>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w:t>
            </w:r>
            <w:r w:rsidRPr="00ED103A">
              <w:rPr>
                <w:rFonts w:ascii="Palatino Linotype" w:eastAsia="Palatino Linotype" w:hAnsi="Palatino Linotype" w:cs="Palatino Linotype"/>
                <w:color w:val="000000" w:themeColor="text1"/>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 xml:space="preserve">Ahora bien, </w:t>
            </w:r>
            <w:r w:rsidRPr="00ED103A">
              <w:rPr>
                <w:rFonts w:ascii="Palatino Linotype" w:eastAsia="Palatino Linotype" w:hAnsi="Palatino Linotype" w:cs="Palatino Linotype"/>
                <w:color w:val="000000" w:themeColor="text1"/>
                <w:u w:val="single"/>
              </w:rPr>
              <w:t>para cada caso además de fundar y motivar</w:t>
            </w:r>
            <w:r w:rsidRPr="00ED103A">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E3D96" w:rsidRPr="00ED103A" w:rsidTr="00D16EEB">
        <w:tc>
          <w:tcPr>
            <w:tcW w:w="2565" w:type="dxa"/>
          </w:tcPr>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AE3D96" w:rsidRPr="00ED103A" w:rsidRDefault="00AE3D96" w:rsidP="00107C9A">
            <w:pPr>
              <w:tabs>
                <w:tab w:val="left" w:pos="0"/>
              </w:tabs>
              <w:spacing w:line="360" w:lineRule="auto"/>
              <w:rPr>
                <w:rFonts w:ascii="Palatino Linotype" w:eastAsia="Palatino Linotype" w:hAnsi="Palatino Linotype" w:cs="Palatino Linotype"/>
                <w:color w:val="000000" w:themeColor="text1"/>
              </w:rPr>
            </w:pPr>
          </w:p>
        </w:tc>
        <w:tc>
          <w:tcPr>
            <w:tcW w:w="7211" w:type="dxa"/>
          </w:tcPr>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E3D96" w:rsidRPr="00ED103A" w:rsidRDefault="00AE3D96" w:rsidP="00107C9A">
            <w:pPr>
              <w:tabs>
                <w:tab w:val="left" w:pos="0"/>
              </w:tabs>
              <w:spacing w:line="360" w:lineRule="auto"/>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E3D96" w:rsidRPr="00ED103A" w:rsidRDefault="00AE3D96" w:rsidP="00107C9A">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AE3D96" w:rsidRPr="00ED103A" w:rsidRDefault="00AE3D96" w:rsidP="00107C9A">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ED103A">
        <w:rPr>
          <w:rFonts w:ascii="Palatino Linotype" w:hAnsi="Palatino Linotype"/>
          <w:color w:val="000000" w:themeColor="text1"/>
          <w:lang w:val="es-ES"/>
        </w:rPr>
        <w:t xml:space="preserve">Por lo anteriormente expuesto y fundado, este </w:t>
      </w:r>
      <w:r w:rsidRPr="00ED103A">
        <w:rPr>
          <w:rFonts w:ascii="Palatino Linotype" w:hAnsi="Palatino Linotype"/>
          <w:b/>
          <w:bCs/>
          <w:color w:val="000000" w:themeColor="text1"/>
          <w:lang w:val="es-ES"/>
        </w:rPr>
        <w:t>ÓRGANO GARANTE</w:t>
      </w:r>
      <w:r w:rsidRPr="00ED103A">
        <w:rPr>
          <w:rFonts w:ascii="Palatino Linotype" w:hAnsi="Palatino Linotype"/>
          <w:color w:val="000000" w:themeColor="text1"/>
          <w:lang w:val="es-ES"/>
        </w:rPr>
        <w:t xml:space="preserve"> emite los siguientes:</w:t>
      </w:r>
      <w:r w:rsidR="00D16EEB">
        <w:rPr>
          <w:rFonts w:ascii="Palatino Linotype" w:hAnsi="Palatino Linotype"/>
          <w:color w:val="000000" w:themeColor="text1"/>
          <w:lang w:val="es-ES"/>
        </w:rPr>
        <w:t>-----------------------------------------------------------------------------------------------------------</w:t>
      </w:r>
    </w:p>
    <w:p w:rsidR="00AE3D96" w:rsidRPr="00ED103A" w:rsidRDefault="00AE3D96" w:rsidP="00107C9A">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94119621"/>
      <w:r w:rsidRPr="00ED103A">
        <w:rPr>
          <w:rFonts w:ascii="Palatino Linotype" w:eastAsiaTheme="majorEastAsia" w:hAnsi="Palatino Linotype" w:cstheme="majorBidi"/>
          <w:b/>
          <w:color w:val="000000" w:themeColor="text1"/>
          <w:lang w:eastAsia="en-US"/>
        </w:rPr>
        <w:lastRenderedPageBreak/>
        <w:t>R E S O L U T I V O S</w:t>
      </w:r>
      <w:bookmarkEnd w:id="24"/>
      <w:bookmarkEnd w:id="25"/>
    </w:p>
    <w:p w:rsidR="00AE3D96" w:rsidRPr="00ED103A" w:rsidRDefault="00AE3D96" w:rsidP="00107C9A">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AE3D96" w:rsidRPr="00ED103A" w:rsidRDefault="00AE3D96" w:rsidP="00107C9A">
      <w:pPr>
        <w:tabs>
          <w:tab w:val="left" w:pos="0"/>
        </w:tabs>
        <w:spacing w:line="360" w:lineRule="auto"/>
        <w:jc w:val="both"/>
        <w:rPr>
          <w:rFonts w:ascii="Palatino Linotype" w:hAnsi="Palatino Linotype" w:cs="Arial"/>
          <w:bCs/>
          <w:color w:val="000000" w:themeColor="text1"/>
          <w:lang w:eastAsia="es-ES"/>
        </w:rPr>
      </w:pPr>
      <w:r w:rsidRPr="00ED103A">
        <w:rPr>
          <w:rFonts w:ascii="Palatino Linotype" w:hAnsi="Palatino Linotype" w:cs="Arial"/>
          <w:b/>
          <w:color w:val="000000" w:themeColor="text1"/>
          <w:lang w:eastAsia="es-ES"/>
        </w:rPr>
        <w:t xml:space="preserve">PRIMERO. </w:t>
      </w:r>
      <w:r w:rsidRPr="00ED103A">
        <w:rPr>
          <w:rFonts w:ascii="Palatino Linotype" w:hAnsi="Palatino Linotype" w:cs="Arial"/>
          <w:color w:val="000000" w:themeColor="text1"/>
          <w:lang w:eastAsia="es-ES"/>
        </w:rPr>
        <w:t>Resultan parcialmente fundadas las</w:t>
      </w:r>
      <w:r w:rsidRPr="00ED103A">
        <w:rPr>
          <w:rFonts w:ascii="Palatino Linotype" w:hAnsi="Palatino Linotype" w:cs="Arial"/>
          <w:b/>
          <w:color w:val="000000" w:themeColor="text1"/>
          <w:lang w:eastAsia="es-ES"/>
        </w:rPr>
        <w:t xml:space="preserve"> </w:t>
      </w:r>
      <w:r w:rsidRPr="00ED103A">
        <w:rPr>
          <w:rFonts w:ascii="Palatino Linotype" w:hAnsi="Palatino Linotype" w:cs="Arial"/>
          <w:color w:val="000000" w:themeColor="text1"/>
          <w:lang w:val="es-ES" w:eastAsia="es-ES"/>
        </w:rPr>
        <w:t xml:space="preserve">razones o motivos de inconformidad hechos valer </w:t>
      </w:r>
      <w:r w:rsidRPr="00ED103A">
        <w:rPr>
          <w:rFonts w:ascii="Palatino Linotype" w:eastAsia="Calibri" w:hAnsi="Palatino Linotype" w:cs="Arial"/>
          <w:color w:val="000000" w:themeColor="text1"/>
          <w:lang w:val="es-ES" w:eastAsia="es-ES"/>
        </w:rPr>
        <w:t xml:space="preserve">en el recurso de revisión </w:t>
      </w:r>
      <w:r w:rsidR="007830DB" w:rsidRPr="00ED103A">
        <w:rPr>
          <w:rFonts w:ascii="Palatino Linotype" w:hAnsi="Palatino Linotype" w:cs="Arial"/>
          <w:b/>
          <w:bCs/>
          <w:color w:val="000000" w:themeColor="text1"/>
          <w:lang w:eastAsia="es-ES"/>
        </w:rPr>
        <w:t>02658</w:t>
      </w:r>
      <w:r w:rsidRPr="00ED103A">
        <w:rPr>
          <w:rFonts w:ascii="Palatino Linotype" w:hAnsi="Palatino Linotype" w:cs="Arial"/>
          <w:b/>
          <w:bCs/>
          <w:color w:val="000000" w:themeColor="text1"/>
          <w:lang w:eastAsia="es-ES"/>
        </w:rPr>
        <w:t xml:space="preserve">/INFOEM/IP/RR/2025, </w:t>
      </w:r>
      <w:r w:rsidRPr="00ED103A">
        <w:rPr>
          <w:rFonts w:ascii="Palatino Linotype" w:hAnsi="Palatino Linotype" w:cs="Arial"/>
          <w:bCs/>
          <w:color w:val="000000" w:themeColor="text1"/>
          <w:lang w:eastAsia="es-ES"/>
        </w:rPr>
        <w:t xml:space="preserve">en términos del </w:t>
      </w:r>
      <w:r w:rsidRPr="00ED103A">
        <w:rPr>
          <w:rFonts w:ascii="Palatino Linotype" w:hAnsi="Palatino Linotype" w:cs="Arial"/>
          <w:b/>
          <w:bCs/>
          <w:color w:val="000000" w:themeColor="text1"/>
          <w:lang w:eastAsia="es-ES"/>
        </w:rPr>
        <w:t>Considerando</w:t>
      </w:r>
      <w:r w:rsidRPr="00ED103A">
        <w:rPr>
          <w:rFonts w:ascii="Palatino Linotype" w:hAnsi="Palatino Linotype" w:cs="Arial"/>
          <w:bCs/>
          <w:color w:val="000000" w:themeColor="text1"/>
          <w:lang w:eastAsia="es-ES"/>
        </w:rPr>
        <w:t xml:space="preserve"> </w:t>
      </w:r>
      <w:r w:rsidRPr="00ED103A">
        <w:rPr>
          <w:rFonts w:ascii="Palatino Linotype" w:hAnsi="Palatino Linotype" w:cs="Arial"/>
          <w:b/>
          <w:bCs/>
          <w:color w:val="000000" w:themeColor="text1"/>
          <w:lang w:eastAsia="es-ES"/>
        </w:rPr>
        <w:t>CUARTO y QUINTO de</w:t>
      </w:r>
      <w:r w:rsidRPr="00ED103A">
        <w:rPr>
          <w:rFonts w:ascii="Palatino Linotype" w:hAnsi="Palatino Linotype" w:cs="Arial"/>
          <w:bCs/>
          <w:color w:val="000000" w:themeColor="text1"/>
          <w:lang w:eastAsia="es-ES"/>
        </w:rPr>
        <w:t xml:space="preserve"> la presente resolución.</w:t>
      </w:r>
    </w:p>
    <w:p w:rsidR="00AE3D96" w:rsidRPr="00ED103A" w:rsidRDefault="00AE3D96" w:rsidP="00107C9A">
      <w:pPr>
        <w:tabs>
          <w:tab w:val="left" w:pos="0"/>
        </w:tabs>
        <w:spacing w:line="360" w:lineRule="auto"/>
        <w:jc w:val="both"/>
        <w:rPr>
          <w:rFonts w:ascii="Palatino Linotype" w:hAnsi="Palatino Linotype" w:cs="Arial"/>
          <w:bCs/>
          <w:color w:val="000000" w:themeColor="text1"/>
          <w:lang w:eastAsia="es-ES"/>
        </w:rPr>
      </w:pPr>
    </w:p>
    <w:p w:rsidR="00AE3D96" w:rsidRPr="00ED103A" w:rsidRDefault="00AE3D96" w:rsidP="00107C9A">
      <w:pPr>
        <w:tabs>
          <w:tab w:val="left" w:pos="0"/>
        </w:tabs>
        <w:spacing w:line="360" w:lineRule="auto"/>
        <w:jc w:val="both"/>
        <w:rPr>
          <w:rFonts w:ascii="Palatino Linotype" w:hAnsi="Palatino Linotype" w:cs="Arial"/>
          <w:bCs/>
          <w:color w:val="000000" w:themeColor="text1"/>
          <w:lang w:eastAsia="es-E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ED103A">
        <w:rPr>
          <w:rFonts w:ascii="Palatino Linotype" w:hAnsi="Palatino Linotype"/>
          <w:b/>
          <w:color w:val="000000" w:themeColor="text1"/>
          <w:lang w:eastAsia="es-ES"/>
        </w:rPr>
        <w:t>SEGUNDO.</w:t>
      </w:r>
      <w:r w:rsidRPr="00ED103A">
        <w:rPr>
          <w:rFonts w:ascii="Palatino Linotype" w:eastAsia="DengXian Light" w:hAnsi="Palatino Linotype"/>
          <w:color w:val="000000" w:themeColor="text1"/>
          <w:lang w:eastAsia="es-ES"/>
        </w:rPr>
        <w:t xml:space="preserve"> </w:t>
      </w:r>
      <w:bookmarkEnd w:id="26"/>
      <w:bookmarkEnd w:id="27"/>
      <w:bookmarkEnd w:id="28"/>
      <w:bookmarkEnd w:id="29"/>
      <w:bookmarkEnd w:id="30"/>
      <w:bookmarkEnd w:id="31"/>
      <w:bookmarkEnd w:id="32"/>
      <w:r w:rsidRPr="00ED103A">
        <w:rPr>
          <w:rFonts w:ascii="Palatino Linotype" w:eastAsia="Calibri" w:hAnsi="Palatino Linotype" w:cs="Arial"/>
          <w:color w:val="000000" w:themeColor="text1"/>
          <w:lang w:val="es-ES" w:eastAsia="es-ES"/>
        </w:rPr>
        <w:t>Se</w:t>
      </w:r>
      <w:r w:rsidRPr="00ED103A">
        <w:rPr>
          <w:rFonts w:ascii="Palatino Linotype" w:eastAsia="Calibri" w:hAnsi="Palatino Linotype" w:cs="Arial"/>
          <w:b/>
          <w:color w:val="000000" w:themeColor="text1"/>
          <w:lang w:val="es-ES" w:eastAsia="es-ES"/>
        </w:rPr>
        <w:t xml:space="preserve"> MODIFICA </w:t>
      </w:r>
      <w:r w:rsidRPr="00ED103A">
        <w:rPr>
          <w:rFonts w:ascii="Palatino Linotype" w:eastAsia="Calibri" w:hAnsi="Palatino Linotype" w:cs="Arial"/>
          <w:color w:val="000000" w:themeColor="text1"/>
          <w:lang w:val="es-ES" w:eastAsia="es-ES"/>
        </w:rPr>
        <w:t xml:space="preserve">la respuesta emitida por el </w:t>
      </w:r>
      <w:r w:rsidR="00D25A42" w:rsidRPr="00ED103A">
        <w:rPr>
          <w:rFonts w:ascii="Palatino Linotype" w:eastAsia="Calibri" w:hAnsi="Palatino Linotype" w:cs="Tahoma"/>
          <w:b/>
          <w:bCs/>
          <w:color w:val="000000" w:themeColor="text1"/>
          <w:lang w:eastAsia="en-US"/>
        </w:rPr>
        <w:t>Ayuntamiento de Toluca</w:t>
      </w:r>
      <w:r w:rsidRPr="00ED103A">
        <w:rPr>
          <w:rFonts w:ascii="Palatino Linotype" w:eastAsia="Calibri" w:hAnsi="Palatino Linotype" w:cs="Tahoma"/>
          <w:b/>
          <w:color w:val="000000" w:themeColor="text1"/>
          <w:lang w:val="es-ES" w:eastAsia="en-US"/>
        </w:rPr>
        <w:t xml:space="preserve"> </w:t>
      </w:r>
      <w:r w:rsidRPr="00ED103A">
        <w:rPr>
          <w:rFonts w:ascii="Palatino Linotype" w:eastAsia="Calibri" w:hAnsi="Palatino Linotype" w:cs="Arial"/>
          <w:color w:val="000000" w:themeColor="text1"/>
          <w:lang w:val="es-ES" w:eastAsia="es-ES"/>
        </w:rPr>
        <w:t>y se</w:t>
      </w:r>
      <w:r w:rsidRPr="00ED103A">
        <w:rPr>
          <w:rFonts w:ascii="Palatino Linotype" w:eastAsia="Calibri" w:hAnsi="Palatino Linotype" w:cs="Arial"/>
          <w:b/>
          <w:color w:val="000000" w:themeColor="text1"/>
          <w:lang w:val="es-ES" w:eastAsia="es-ES"/>
        </w:rPr>
        <w:t xml:space="preserve"> ORDENA </w:t>
      </w:r>
      <w:r w:rsidRPr="00ED103A">
        <w:rPr>
          <w:rFonts w:ascii="Palatino Linotype" w:hAnsi="Palatino Linotype" w:cs="Arial"/>
          <w:color w:val="000000" w:themeColor="text1"/>
          <w:lang w:val="es-ES" w:eastAsia="es-ES"/>
        </w:rPr>
        <w:t xml:space="preserve">entregar vía Sistema de Accesos a la Información Mexiquense (SAIMEX), </w:t>
      </w:r>
      <w:r w:rsidR="00D25A42" w:rsidRPr="00ED103A">
        <w:rPr>
          <w:rFonts w:ascii="Palatino Linotype" w:hAnsi="Palatino Linotype" w:cs="Arial"/>
          <w:color w:val="000000" w:themeColor="text1"/>
          <w:lang w:val="es-ES" w:eastAsia="es-ES"/>
        </w:rPr>
        <w:t xml:space="preserve">de ser procedente </w:t>
      </w:r>
      <w:r w:rsidRPr="00ED103A">
        <w:rPr>
          <w:rFonts w:ascii="Palatino Linotype" w:hAnsi="Palatino Linotype" w:cs="Arial"/>
          <w:color w:val="000000" w:themeColor="text1"/>
          <w:lang w:val="es-ES" w:eastAsia="es-ES"/>
        </w:rPr>
        <w:t>en versión pública, la siguiente información</w:t>
      </w:r>
      <w:r w:rsidRPr="00ED103A">
        <w:rPr>
          <w:rFonts w:ascii="Palatino Linotype" w:hAnsi="Palatino Linotype" w:cs="Arial"/>
          <w:bCs/>
          <w:color w:val="000000" w:themeColor="text1"/>
          <w:lang w:eastAsia="es-ES"/>
        </w:rPr>
        <w:t>:</w:t>
      </w:r>
    </w:p>
    <w:p w:rsidR="00AE3D96" w:rsidRPr="00ED103A" w:rsidRDefault="00AE3D96" w:rsidP="00107C9A">
      <w:pPr>
        <w:tabs>
          <w:tab w:val="left" w:pos="0"/>
        </w:tabs>
        <w:spacing w:line="360" w:lineRule="auto"/>
        <w:jc w:val="both"/>
        <w:rPr>
          <w:rFonts w:ascii="Palatino Linotype" w:hAnsi="Palatino Linotype" w:cs="Arial"/>
          <w:bCs/>
          <w:color w:val="000000" w:themeColor="text1"/>
          <w:lang w:eastAsia="es-ES"/>
        </w:rPr>
      </w:pPr>
    </w:p>
    <w:p w:rsidR="00AE3D96" w:rsidRPr="00ED103A" w:rsidRDefault="00D25A42" w:rsidP="00107C9A">
      <w:pPr>
        <w:pStyle w:val="Prrafodelista"/>
        <w:numPr>
          <w:ilvl w:val="0"/>
          <w:numId w:val="13"/>
        </w:numPr>
        <w:tabs>
          <w:tab w:val="left" w:pos="0"/>
        </w:tabs>
        <w:spacing w:line="360" w:lineRule="auto"/>
        <w:jc w:val="both"/>
        <w:rPr>
          <w:rFonts w:ascii="Palatino Linotype" w:hAnsi="Palatino Linotype"/>
          <w:b/>
          <w:bCs/>
          <w:color w:val="000000" w:themeColor="text1"/>
          <w:sz w:val="24"/>
        </w:rPr>
      </w:pPr>
      <w:r w:rsidRPr="00ED103A">
        <w:rPr>
          <w:rFonts w:ascii="Palatino Linotype" w:hAnsi="Palatino Linotype"/>
          <w:b/>
          <w:bCs/>
          <w:color w:val="000000" w:themeColor="text1"/>
          <w:sz w:val="24"/>
        </w:rPr>
        <w:t>Acta de instalación de la Comisión de Derechos Humanos, lista de asistencia y nombre de sus integrantes, a la fecha de la solicitud.</w:t>
      </w:r>
    </w:p>
    <w:p w:rsidR="00AE3D96" w:rsidRPr="00ED103A" w:rsidRDefault="00AE3D96" w:rsidP="00107C9A">
      <w:pPr>
        <w:tabs>
          <w:tab w:val="left" w:pos="0"/>
        </w:tabs>
        <w:spacing w:line="360" w:lineRule="auto"/>
        <w:ind w:left="851"/>
        <w:jc w:val="both"/>
        <w:rPr>
          <w:rFonts w:ascii="Palatino Linotype" w:hAnsi="Palatino Linotype"/>
          <w:b/>
          <w:bCs/>
          <w:color w:val="000000" w:themeColor="text1"/>
        </w:rPr>
      </w:pPr>
    </w:p>
    <w:p w:rsidR="00AE3D96" w:rsidRPr="00ED103A" w:rsidRDefault="00AE3D96" w:rsidP="00107C9A">
      <w:pPr>
        <w:tabs>
          <w:tab w:val="left" w:pos="0"/>
        </w:tabs>
        <w:spacing w:line="360" w:lineRule="auto"/>
        <w:jc w:val="both"/>
        <w:rPr>
          <w:rFonts w:ascii="Palatino Linotype" w:eastAsia="Palatino Linotype" w:hAnsi="Palatino Linotype" w:cs="Palatino Linotype"/>
          <w:color w:val="000000" w:themeColor="text1"/>
        </w:rPr>
      </w:pPr>
      <w:r w:rsidRPr="00ED103A">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B858FD" w:rsidRPr="00ED103A" w:rsidRDefault="00B858FD" w:rsidP="00107C9A">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AE3D96" w:rsidRPr="00ED103A" w:rsidRDefault="00AE3D96" w:rsidP="00107C9A">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ED103A">
        <w:rPr>
          <w:rFonts w:ascii="Palatino Linotype" w:eastAsia="Palatino Linotype" w:hAnsi="Palatino Linotype" w:cs="Palatino Linotype"/>
          <w:b/>
          <w:color w:val="000000" w:themeColor="text1"/>
        </w:rPr>
        <w:t xml:space="preserve">TERCERO. Notifíquese </w:t>
      </w:r>
      <w:r w:rsidRPr="00ED103A">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D103A">
        <w:rPr>
          <w:rFonts w:ascii="Palatino Linotype" w:eastAsia="Palatino Linotype" w:hAnsi="Palatino Linotype" w:cs="Palatino Linotype"/>
          <w:b/>
          <w:color w:val="000000" w:themeColor="text1"/>
        </w:rPr>
        <w:t>dé cumplimiento a lo ordenado dentro del plazo de diez días hábiles</w:t>
      </w:r>
      <w:r w:rsidRPr="00ED103A">
        <w:rPr>
          <w:rFonts w:ascii="Palatino Linotype" w:eastAsia="Palatino Linotype" w:hAnsi="Palatino Linotype" w:cs="Palatino Linotype"/>
          <w:color w:val="000000" w:themeColor="text1"/>
        </w:rPr>
        <w:t xml:space="preserve">, e informe a este Instituto en un plazo de tres días hábiles siguientes sobre el </w:t>
      </w:r>
      <w:r w:rsidRPr="00ED103A">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E3D96" w:rsidRPr="00ED103A" w:rsidRDefault="00AE3D96" w:rsidP="00107C9A">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AE3D96" w:rsidRPr="00ED103A" w:rsidRDefault="00AE3D96" w:rsidP="00107C9A">
      <w:pPr>
        <w:shd w:val="clear" w:color="auto" w:fill="FFFFFF"/>
        <w:tabs>
          <w:tab w:val="left" w:pos="0"/>
        </w:tabs>
        <w:spacing w:line="360" w:lineRule="auto"/>
        <w:jc w:val="both"/>
        <w:rPr>
          <w:rFonts w:ascii="Palatino Linotype" w:hAnsi="Palatino Linotype"/>
          <w:color w:val="000000" w:themeColor="text1"/>
        </w:rPr>
      </w:pPr>
      <w:r w:rsidRPr="00ED103A">
        <w:rPr>
          <w:rFonts w:ascii="Palatino Linotype" w:hAnsi="Palatino Linotype" w:cs="Arial"/>
          <w:b/>
          <w:color w:val="000000" w:themeColor="text1"/>
        </w:rPr>
        <w:t xml:space="preserve">CUARTO. </w:t>
      </w:r>
      <w:r w:rsidRPr="00ED103A">
        <w:rPr>
          <w:rFonts w:ascii="Palatino Linotype" w:hAnsi="Palatino Linotype"/>
          <w:b/>
          <w:bCs/>
          <w:color w:val="000000" w:themeColor="text1"/>
          <w:lang w:val="es-ES"/>
        </w:rPr>
        <w:t>Notifíquese al RECURRENTE</w:t>
      </w:r>
      <w:r w:rsidRPr="00ED103A">
        <w:rPr>
          <w:rFonts w:ascii="Palatino Linotype" w:hAnsi="Palatino Linotype"/>
          <w:color w:val="000000" w:themeColor="text1"/>
        </w:rPr>
        <w:t xml:space="preserve"> la presente resolución vía SAIMEX.</w:t>
      </w:r>
    </w:p>
    <w:p w:rsidR="00AE3D96" w:rsidRPr="00ED103A" w:rsidRDefault="00AE3D96" w:rsidP="00107C9A">
      <w:pPr>
        <w:shd w:val="clear" w:color="auto" w:fill="FFFFFF"/>
        <w:tabs>
          <w:tab w:val="left" w:pos="0"/>
        </w:tabs>
        <w:spacing w:line="360" w:lineRule="auto"/>
        <w:jc w:val="both"/>
        <w:rPr>
          <w:rFonts w:ascii="Palatino Linotype" w:hAnsi="Palatino Linotype"/>
          <w:b/>
          <w:color w:val="000000" w:themeColor="text1"/>
        </w:rPr>
      </w:pPr>
    </w:p>
    <w:p w:rsidR="00AE3D96" w:rsidRPr="00ED103A" w:rsidRDefault="00AE3D96" w:rsidP="00107C9A">
      <w:pPr>
        <w:tabs>
          <w:tab w:val="left" w:pos="0"/>
        </w:tabs>
        <w:spacing w:line="360" w:lineRule="auto"/>
        <w:jc w:val="both"/>
        <w:rPr>
          <w:rFonts w:ascii="Palatino Linotype" w:eastAsia="MS Mincho" w:hAnsi="Palatino Linotype"/>
          <w:color w:val="000000" w:themeColor="text1"/>
          <w:lang w:val="es-ES"/>
        </w:rPr>
      </w:pPr>
      <w:r w:rsidRPr="00ED103A">
        <w:rPr>
          <w:rFonts w:ascii="Palatino Linotype" w:eastAsia="MS Mincho" w:hAnsi="Palatino Linotype"/>
          <w:b/>
          <w:color w:val="000000" w:themeColor="text1"/>
        </w:rPr>
        <w:t>QUINTO.</w:t>
      </w:r>
      <w:r w:rsidRPr="00ED103A">
        <w:rPr>
          <w:rFonts w:ascii="Palatino Linotype" w:eastAsia="MS Mincho" w:hAnsi="Palatino Linotype"/>
          <w:color w:val="000000" w:themeColor="text1"/>
        </w:rPr>
        <w:t xml:space="preserve"> </w:t>
      </w:r>
      <w:r w:rsidRPr="00ED103A">
        <w:rPr>
          <w:rFonts w:ascii="Palatino Linotype" w:eastAsia="MS Mincho" w:hAnsi="Palatino Linotype"/>
          <w:color w:val="000000" w:themeColor="text1"/>
          <w:lang w:val="es-ES"/>
        </w:rPr>
        <w:t xml:space="preserve">Se hace del conocimiento del </w:t>
      </w:r>
      <w:r w:rsidRPr="00ED103A">
        <w:rPr>
          <w:rFonts w:ascii="Palatino Linotype" w:hAnsi="Palatino Linotype"/>
          <w:b/>
          <w:color w:val="000000" w:themeColor="text1"/>
        </w:rPr>
        <w:t>RECURRENTE</w:t>
      </w:r>
      <w:r w:rsidRPr="00ED103A">
        <w:rPr>
          <w:rFonts w:ascii="Palatino Linotype" w:hAnsi="Palatino Linotype"/>
          <w:color w:val="000000" w:themeColor="text1"/>
        </w:rPr>
        <w:t xml:space="preserve"> </w:t>
      </w:r>
      <w:r w:rsidRPr="00ED103A">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D103A">
        <w:rPr>
          <w:rFonts w:ascii="Palatino Linotype" w:eastAsia="MS Mincho" w:hAnsi="Palatino Linotype"/>
          <w:bCs/>
          <w:color w:val="000000" w:themeColor="text1"/>
          <w:lang w:val="es-ES"/>
        </w:rPr>
        <w:t>vía juicio de amparo</w:t>
      </w:r>
      <w:r w:rsidRPr="00ED103A">
        <w:rPr>
          <w:rFonts w:ascii="Palatino Linotype" w:eastAsia="MS Mincho" w:hAnsi="Palatino Linotype"/>
          <w:color w:val="000000" w:themeColor="text1"/>
          <w:lang w:val="es-ES"/>
        </w:rPr>
        <w:t> en los términos de las leyes aplicables.</w:t>
      </w:r>
    </w:p>
    <w:p w:rsidR="00AE3D96" w:rsidRPr="00ED103A" w:rsidRDefault="00AE3D96" w:rsidP="00107C9A">
      <w:pPr>
        <w:tabs>
          <w:tab w:val="left" w:pos="0"/>
        </w:tabs>
        <w:spacing w:line="360" w:lineRule="auto"/>
        <w:jc w:val="both"/>
        <w:rPr>
          <w:rFonts w:ascii="Palatino Linotype" w:hAnsi="Palatino Linotype"/>
          <w:color w:val="000000" w:themeColor="text1"/>
          <w:shd w:val="clear" w:color="auto" w:fill="FFFFFF"/>
        </w:rPr>
      </w:pPr>
    </w:p>
    <w:p w:rsidR="00AE3D96" w:rsidRPr="00ED103A" w:rsidRDefault="00AE3D96" w:rsidP="00107C9A">
      <w:pPr>
        <w:tabs>
          <w:tab w:val="left" w:pos="0"/>
        </w:tabs>
        <w:spacing w:line="360" w:lineRule="auto"/>
        <w:jc w:val="both"/>
        <w:rPr>
          <w:rFonts w:ascii="Palatino Linotype" w:eastAsia="Calibri" w:hAnsi="Palatino Linotype" w:cs="Arial"/>
          <w:bCs/>
          <w:color w:val="000000" w:themeColor="text1"/>
        </w:rPr>
      </w:pPr>
      <w:r w:rsidRPr="00ED103A">
        <w:rPr>
          <w:rFonts w:ascii="Palatino Linotype" w:hAnsi="Palatino Linotype"/>
          <w:b/>
          <w:color w:val="000000" w:themeColor="text1"/>
          <w:shd w:val="clear" w:color="auto" w:fill="FFFFFF"/>
        </w:rPr>
        <w:t xml:space="preserve">SEXTO. </w:t>
      </w:r>
      <w:r w:rsidRPr="00ED103A">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E3D96" w:rsidRPr="00ED103A" w:rsidRDefault="00AE3D96" w:rsidP="00107C9A">
      <w:pPr>
        <w:shd w:val="clear" w:color="auto" w:fill="FFFFFF"/>
        <w:tabs>
          <w:tab w:val="left" w:pos="0"/>
        </w:tabs>
        <w:spacing w:line="360" w:lineRule="auto"/>
        <w:jc w:val="both"/>
        <w:rPr>
          <w:rFonts w:ascii="Palatino Linotype" w:hAnsi="Palatino Linotype"/>
          <w:color w:val="000000" w:themeColor="text1"/>
          <w:lang w:val="es-ES"/>
        </w:rPr>
      </w:pPr>
    </w:p>
    <w:p w:rsidR="00AE3D96" w:rsidRDefault="00ED103A" w:rsidP="00107C9A">
      <w:pPr>
        <w:tabs>
          <w:tab w:val="left" w:pos="0"/>
        </w:tabs>
        <w:spacing w:line="360" w:lineRule="auto"/>
        <w:jc w:val="both"/>
        <w:rPr>
          <w:rFonts w:ascii="Palatino Linotype" w:hAnsi="Palatino Linotype"/>
          <w:color w:val="000000" w:themeColor="text1"/>
        </w:rPr>
      </w:pPr>
      <w:r w:rsidRPr="00ED103A">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w:t>
      </w:r>
      <w:r w:rsidRPr="00ED103A">
        <w:rPr>
          <w:rFonts w:ascii="Palatino Linotype" w:eastAsia="Palatino Linotype" w:hAnsi="Palatino Linotype" w:cs="Palatino Linotype"/>
          <w:color w:val="000000" w:themeColor="text1"/>
        </w:rPr>
        <w:lastRenderedPageBreak/>
        <w:t>VEINTICINCO (25) DE JUNIO DE DOS MIL VEINTICINCO, ANTE EL SECRETARIO TÉCNICO DEL PLENO ALEXIS TAPIA RAMÍREZ</w:t>
      </w:r>
      <w:r w:rsidR="00FA4148" w:rsidRPr="00ED103A">
        <w:rPr>
          <w:rFonts w:ascii="Palatino Linotype" w:hAnsi="Palatino Linotype"/>
          <w:color w:val="000000" w:themeColor="text1"/>
        </w:rPr>
        <w:t>.</w:t>
      </w: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Default="00D16EEB" w:rsidP="00107C9A">
      <w:pPr>
        <w:tabs>
          <w:tab w:val="left" w:pos="0"/>
        </w:tabs>
        <w:spacing w:line="360" w:lineRule="auto"/>
        <w:jc w:val="both"/>
        <w:rPr>
          <w:rFonts w:ascii="Palatino Linotype" w:hAnsi="Palatino Linotype"/>
          <w:color w:val="000000" w:themeColor="text1"/>
        </w:rPr>
      </w:pPr>
    </w:p>
    <w:p w:rsidR="00D16EEB" w:rsidRPr="00107C9A" w:rsidRDefault="00D16EEB" w:rsidP="00107C9A">
      <w:pPr>
        <w:tabs>
          <w:tab w:val="left" w:pos="0"/>
        </w:tabs>
        <w:spacing w:line="360" w:lineRule="auto"/>
        <w:jc w:val="both"/>
        <w:rPr>
          <w:rFonts w:ascii="Palatino Linotype" w:hAnsi="Palatino Linotype" w:cstheme="minorBidi"/>
          <w:color w:val="000000" w:themeColor="text1"/>
          <w:lang w:eastAsia="en-US"/>
        </w:rPr>
      </w:pPr>
    </w:p>
    <w:p w:rsidR="00AE3D96" w:rsidRPr="00107C9A" w:rsidRDefault="00AE3D96" w:rsidP="00107C9A">
      <w:pPr>
        <w:tabs>
          <w:tab w:val="left" w:pos="0"/>
        </w:tabs>
        <w:spacing w:line="360" w:lineRule="auto"/>
        <w:jc w:val="both"/>
        <w:rPr>
          <w:rFonts w:ascii="Palatino Linotype" w:hAnsi="Palatino Linotype" w:cs="Arial"/>
          <w:color w:val="000000" w:themeColor="text1"/>
        </w:rPr>
      </w:pPr>
    </w:p>
    <w:p w:rsidR="00AE3D96" w:rsidRPr="00107C9A" w:rsidRDefault="00AE3D96" w:rsidP="00107C9A">
      <w:pPr>
        <w:tabs>
          <w:tab w:val="left" w:pos="0"/>
        </w:tabs>
        <w:spacing w:line="360" w:lineRule="auto"/>
        <w:jc w:val="both"/>
        <w:rPr>
          <w:rFonts w:ascii="Palatino Linotype" w:hAnsi="Palatino Linotype" w:cs="Arial"/>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spacing w:line="360" w:lineRule="auto"/>
        <w:rPr>
          <w:rFonts w:ascii="Palatino Linotype" w:hAnsi="Palatino Linotype"/>
          <w:color w:val="000000" w:themeColor="text1"/>
        </w:rPr>
      </w:pPr>
    </w:p>
    <w:p w:rsidR="00AE3D96" w:rsidRPr="00107C9A" w:rsidRDefault="00AE3D96" w:rsidP="00107C9A">
      <w:pPr>
        <w:tabs>
          <w:tab w:val="left" w:pos="0"/>
        </w:tabs>
        <w:rPr>
          <w:rFonts w:ascii="Palatino Linotype" w:hAnsi="Palatino Linotype"/>
          <w:color w:val="000000" w:themeColor="text1"/>
        </w:rPr>
      </w:pPr>
    </w:p>
    <w:p w:rsidR="00EA3B97" w:rsidRPr="00107C9A" w:rsidRDefault="00EA3B97" w:rsidP="00107C9A">
      <w:pPr>
        <w:tabs>
          <w:tab w:val="left" w:pos="0"/>
        </w:tabs>
        <w:rPr>
          <w:rFonts w:ascii="Palatino Linotype" w:hAnsi="Palatino Linotype"/>
          <w:color w:val="000000" w:themeColor="text1"/>
        </w:rPr>
      </w:pPr>
    </w:p>
    <w:sectPr w:rsidR="00EA3B97" w:rsidRPr="00107C9A" w:rsidSect="00D16EEB">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443" w:rsidRDefault="00550443" w:rsidP="00AE3D96">
      <w:r>
        <w:separator/>
      </w:r>
    </w:p>
  </w:endnote>
  <w:endnote w:type="continuationSeparator" w:id="0">
    <w:p w:rsidR="00550443" w:rsidRDefault="00550443" w:rsidP="00AE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D5" w:rsidRDefault="008E04D5">
    <w:pPr>
      <w:pStyle w:val="Piedepgina"/>
      <w:jc w:val="right"/>
    </w:pPr>
    <w:r>
      <w:rPr>
        <w:lang w:val="es-ES"/>
      </w:rPr>
      <w:t xml:space="preserve">Página </w:t>
    </w:r>
    <w:r>
      <w:rPr>
        <w:b/>
        <w:bCs/>
      </w:rPr>
      <w:fldChar w:fldCharType="begin"/>
    </w:r>
    <w:r>
      <w:rPr>
        <w:b/>
        <w:bCs/>
      </w:rPr>
      <w:instrText>PAGE</w:instrText>
    </w:r>
    <w:r>
      <w:rPr>
        <w:b/>
        <w:bCs/>
      </w:rPr>
      <w:fldChar w:fldCharType="separate"/>
    </w:r>
    <w:r w:rsidR="00D16EE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16EEB">
      <w:rPr>
        <w:b/>
        <w:bCs/>
        <w:noProof/>
      </w:rPr>
      <w:t>25</w:t>
    </w:r>
    <w:r>
      <w:rPr>
        <w:b/>
        <w:bCs/>
      </w:rPr>
      <w:fldChar w:fldCharType="end"/>
    </w:r>
  </w:p>
  <w:p w:rsidR="008E04D5" w:rsidRDefault="008E04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D5" w:rsidRDefault="008E04D5">
    <w:pPr>
      <w:pStyle w:val="Piedepgina"/>
      <w:jc w:val="right"/>
    </w:pPr>
    <w:r>
      <w:rPr>
        <w:lang w:val="es-ES"/>
      </w:rPr>
      <w:t xml:space="preserve">Página </w:t>
    </w:r>
    <w:r>
      <w:rPr>
        <w:b/>
        <w:bCs/>
      </w:rPr>
      <w:fldChar w:fldCharType="begin"/>
    </w:r>
    <w:r>
      <w:rPr>
        <w:b/>
        <w:bCs/>
      </w:rPr>
      <w:instrText>PAGE</w:instrText>
    </w:r>
    <w:r>
      <w:rPr>
        <w:b/>
        <w:bCs/>
      </w:rPr>
      <w:fldChar w:fldCharType="separate"/>
    </w:r>
    <w:r w:rsidR="00D16EE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16EEB">
      <w:rPr>
        <w:b/>
        <w:bCs/>
        <w:noProof/>
      </w:rPr>
      <w:t>25</w:t>
    </w:r>
    <w:r>
      <w:rPr>
        <w:b/>
        <w:bCs/>
      </w:rPr>
      <w:fldChar w:fldCharType="end"/>
    </w:r>
  </w:p>
  <w:p w:rsidR="008E04D5" w:rsidRDefault="008E04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443" w:rsidRDefault="00550443" w:rsidP="00AE3D96">
      <w:r>
        <w:separator/>
      </w:r>
    </w:p>
  </w:footnote>
  <w:footnote w:type="continuationSeparator" w:id="0">
    <w:p w:rsidR="00550443" w:rsidRDefault="00550443" w:rsidP="00AE3D96">
      <w:r>
        <w:continuationSeparator/>
      </w:r>
    </w:p>
  </w:footnote>
  <w:footnote w:id="1">
    <w:p w:rsidR="008E04D5" w:rsidRDefault="008E04D5" w:rsidP="00AD2870">
      <w:pPr>
        <w:pStyle w:val="Textonotapie"/>
      </w:pPr>
      <w:r>
        <w:rPr>
          <w:rStyle w:val="Refdenotaalpie"/>
        </w:rPr>
        <w:footnoteRef/>
      </w:r>
      <w:r>
        <w:t xml:space="preserve"> Artículo 150. Ley de Transparencia y Acceso a la Información Pública del Estado de México y Municipios.</w:t>
      </w:r>
    </w:p>
    <w:p w:rsidR="008E04D5" w:rsidRDefault="008E04D5" w:rsidP="00AD2870">
      <w:pPr>
        <w:pStyle w:val="Textonotapie"/>
      </w:pPr>
      <w:r>
        <w:t>Artículo 151. Ibídem.</w:t>
      </w:r>
    </w:p>
  </w:footnote>
  <w:footnote w:id="2">
    <w:p w:rsidR="008E04D5" w:rsidRDefault="008E04D5" w:rsidP="00AD2870">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D5" w:rsidRDefault="005504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552"/>
      <w:gridCol w:w="7513"/>
    </w:tblGrid>
    <w:tr w:rsidR="008E04D5" w:rsidRPr="005C106F" w:rsidTr="00D16EEB">
      <w:trPr>
        <w:trHeight w:val="1435"/>
      </w:trPr>
      <w:tc>
        <w:tcPr>
          <w:tcW w:w="2552" w:type="dxa"/>
          <w:shd w:val="clear" w:color="auto" w:fill="auto"/>
        </w:tcPr>
        <w:p w:rsidR="008E04D5" w:rsidRPr="005C106F" w:rsidRDefault="008E04D5" w:rsidP="00AE3D96">
          <w:pPr>
            <w:tabs>
              <w:tab w:val="right" w:pos="4273"/>
            </w:tabs>
            <w:rPr>
              <w:rFonts w:ascii="Garamond" w:eastAsia="Calibri" w:hAnsi="Garamond"/>
              <w:sz w:val="16"/>
              <w:szCs w:val="16"/>
              <w:lang w:eastAsia="en-US"/>
            </w:rPr>
          </w:pPr>
        </w:p>
      </w:tc>
      <w:tc>
        <w:tcPr>
          <w:tcW w:w="7513" w:type="dxa"/>
          <w:shd w:val="clear" w:color="auto" w:fill="auto"/>
        </w:tcPr>
        <w:tbl>
          <w:tblPr>
            <w:tblW w:w="6798" w:type="dxa"/>
            <w:tblInd w:w="1026" w:type="dxa"/>
            <w:tblLayout w:type="fixed"/>
            <w:tblLook w:val="0420" w:firstRow="1" w:lastRow="0" w:firstColumn="0" w:lastColumn="0" w:noHBand="0" w:noVBand="1"/>
          </w:tblPr>
          <w:tblGrid>
            <w:gridCol w:w="2687"/>
            <w:gridCol w:w="4111"/>
          </w:tblGrid>
          <w:tr w:rsidR="008E04D5" w:rsidRPr="00107C9A" w:rsidTr="00D16EEB">
            <w:trPr>
              <w:trHeight w:val="150"/>
            </w:trPr>
            <w:tc>
              <w:tcPr>
                <w:tcW w:w="2687" w:type="dxa"/>
                <w:shd w:val="clear" w:color="auto" w:fill="auto"/>
              </w:tcPr>
              <w:p w:rsidR="008E04D5" w:rsidRPr="00107C9A" w:rsidRDefault="008E04D5" w:rsidP="00107C9A">
                <w:pPr>
                  <w:tabs>
                    <w:tab w:val="right" w:pos="8838"/>
                  </w:tabs>
                  <w:ind w:right="-10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Recurso de Revisión:</w:t>
                </w:r>
              </w:p>
            </w:tc>
            <w:tc>
              <w:tcPr>
                <w:tcW w:w="4111" w:type="dxa"/>
                <w:shd w:val="clear" w:color="auto" w:fill="auto"/>
              </w:tcPr>
              <w:p w:rsidR="008E04D5" w:rsidRPr="00107C9A" w:rsidRDefault="008E04D5" w:rsidP="00107C9A">
                <w:pPr>
                  <w:tabs>
                    <w:tab w:val="right" w:pos="8838"/>
                  </w:tabs>
                  <w:ind w:left="34" w:right="-102"/>
                  <w:jc w:val="both"/>
                  <w:rPr>
                    <w:rFonts w:ascii="Palatino Linotype" w:eastAsia="Calibri" w:hAnsi="Palatino Linotype" w:cs="Tahoma"/>
                    <w:bCs/>
                    <w:lang w:val="es-ES" w:eastAsia="en-US"/>
                  </w:rPr>
                </w:pPr>
                <w:r w:rsidRPr="00107C9A">
                  <w:rPr>
                    <w:rFonts w:ascii="Palatino Linotype" w:eastAsia="Calibri" w:hAnsi="Palatino Linotype" w:cs="Tahoma"/>
                    <w:bCs/>
                    <w:lang w:eastAsia="en-US"/>
                  </w:rPr>
                  <w:t>02658/INFOEM/IP/RR/2025</w:t>
                </w:r>
              </w:p>
            </w:tc>
          </w:tr>
          <w:tr w:rsidR="008E04D5" w:rsidRPr="00107C9A" w:rsidTr="00D16EEB">
            <w:trPr>
              <w:trHeight w:val="295"/>
            </w:trPr>
            <w:tc>
              <w:tcPr>
                <w:tcW w:w="2687" w:type="dxa"/>
                <w:shd w:val="clear" w:color="auto" w:fill="auto"/>
              </w:tcPr>
              <w:p w:rsidR="008E04D5" w:rsidRPr="00107C9A" w:rsidRDefault="008E04D5" w:rsidP="00107C9A">
                <w:pPr>
                  <w:tabs>
                    <w:tab w:val="right" w:pos="8838"/>
                  </w:tabs>
                  <w:ind w:right="-10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Sujeto Obligado:</w:t>
                </w:r>
              </w:p>
            </w:tc>
            <w:tc>
              <w:tcPr>
                <w:tcW w:w="4111" w:type="dxa"/>
                <w:shd w:val="clear" w:color="auto" w:fill="auto"/>
              </w:tcPr>
              <w:p w:rsidR="008E04D5" w:rsidRPr="00107C9A" w:rsidRDefault="008E04D5" w:rsidP="00107C9A">
                <w:pPr>
                  <w:tabs>
                    <w:tab w:val="left" w:pos="2834"/>
                    <w:tab w:val="right" w:pos="8838"/>
                  </w:tabs>
                  <w:ind w:left="34" w:right="-102"/>
                  <w:jc w:val="both"/>
                  <w:rPr>
                    <w:rFonts w:ascii="Palatino Linotype" w:eastAsia="Calibri" w:hAnsi="Palatino Linotype" w:cs="Tahoma"/>
                    <w:lang w:val="es-ES" w:eastAsia="en-US"/>
                  </w:rPr>
                </w:pPr>
                <w:r w:rsidRPr="00107C9A">
                  <w:rPr>
                    <w:rFonts w:ascii="Palatino Linotype" w:eastAsia="Calibri" w:hAnsi="Palatino Linotype" w:cs="Tahoma"/>
                    <w:bCs/>
                    <w:lang w:eastAsia="en-US"/>
                  </w:rPr>
                  <w:t>Ayuntamiento de Toluca</w:t>
                </w:r>
              </w:p>
            </w:tc>
          </w:tr>
          <w:tr w:rsidR="008E04D5" w:rsidRPr="00107C9A" w:rsidTr="00D16EEB">
            <w:trPr>
              <w:trHeight w:val="295"/>
            </w:trPr>
            <w:tc>
              <w:tcPr>
                <w:tcW w:w="2687" w:type="dxa"/>
                <w:shd w:val="clear" w:color="auto" w:fill="auto"/>
              </w:tcPr>
              <w:p w:rsidR="008E04D5" w:rsidRPr="00107C9A" w:rsidRDefault="008E04D5" w:rsidP="00107C9A">
                <w:pPr>
                  <w:tabs>
                    <w:tab w:val="right" w:pos="8838"/>
                  </w:tabs>
                  <w:ind w:right="-10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Comisionada ponente:</w:t>
                </w:r>
              </w:p>
            </w:tc>
            <w:tc>
              <w:tcPr>
                <w:tcW w:w="4111" w:type="dxa"/>
                <w:shd w:val="clear" w:color="auto" w:fill="auto"/>
              </w:tcPr>
              <w:p w:rsidR="008E04D5" w:rsidRPr="00107C9A" w:rsidRDefault="008E04D5" w:rsidP="00107C9A">
                <w:pPr>
                  <w:tabs>
                    <w:tab w:val="right" w:pos="8838"/>
                  </w:tabs>
                  <w:ind w:left="34" w:right="171"/>
                  <w:jc w:val="both"/>
                  <w:rPr>
                    <w:rFonts w:ascii="Palatino Linotype" w:eastAsia="Calibri" w:hAnsi="Palatino Linotype" w:cs="Tahoma"/>
                    <w:lang w:val="es-ES" w:eastAsia="en-US"/>
                  </w:rPr>
                </w:pPr>
                <w:r w:rsidRPr="00107C9A">
                  <w:rPr>
                    <w:rFonts w:ascii="Palatino Linotype" w:eastAsia="Calibri" w:hAnsi="Palatino Linotype" w:cs="Tahoma"/>
                    <w:lang w:val="es-ES" w:eastAsia="en-US"/>
                  </w:rPr>
                  <w:t>María del Rosario Mejía Ayala</w:t>
                </w:r>
              </w:p>
              <w:p w:rsidR="008E04D5" w:rsidRPr="00107C9A" w:rsidRDefault="008E04D5" w:rsidP="00107C9A">
                <w:pPr>
                  <w:tabs>
                    <w:tab w:val="right" w:pos="8838"/>
                  </w:tabs>
                  <w:ind w:left="34" w:right="171"/>
                  <w:jc w:val="both"/>
                  <w:rPr>
                    <w:rFonts w:ascii="Palatino Linotype" w:eastAsia="Calibri" w:hAnsi="Palatino Linotype" w:cs="Tahoma"/>
                    <w:lang w:val="es-ES" w:eastAsia="en-US"/>
                  </w:rPr>
                </w:pPr>
              </w:p>
            </w:tc>
          </w:tr>
        </w:tbl>
        <w:p w:rsidR="008E04D5" w:rsidRPr="005C106F" w:rsidRDefault="008E04D5" w:rsidP="00AE3D96">
          <w:pPr>
            <w:tabs>
              <w:tab w:val="right" w:pos="8838"/>
            </w:tabs>
            <w:ind w:left="-28"/>
            <w:jc w:val="both"/>
            <w:rPr>
              <w:rFonts w:ascii="Arial" w:eastAsia="Calibri" w:hAnsi="Arial" w:cs="Arial"/>
              <w:b/>
              <w:sz w:val="22"/>
              <w:szCs w:val="22"/>
              <w:lang w:eastAsia="en-US"/>
            </w:rPr>
          </w:pPr>
        </w:p>
      </w:tc>
    </w:tr>
  </w:tbl>
  <w:p w:rsidR="008E04D5" w:rsidRPr="00443C6B" w:rsidRDefault="00550443" w:rsidP="00AE3D9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8E04D5" w:rsidRPr="00330DA7" w:rsidTr="00D16EEB">
      <w:trPr>
        <w:trHeight w:val="1435"/>
      </w:trPr>
      <w:tc>
        <w:tcPr>
          <w:tcW w:w="2268" w:type="dxa"/>
          <w:shd w:val="clear" w:color="auto" w:fill="auto"/>
        </w:tcPr>
        <w:p w:rsidR="008E04D5" w:rsidRPr="00330DA7" w:rsidRDefault="008E04D5" w:rsidP="00AE3D96">
          <w:pPr>
            <w:tabs>
              <w:tab w:val="right" w:pos="4273"/>
            </w:tabs>
            <w:rPr>
              <w:rFonts w:ascii="Garamond" w:eastAsia="Calibri" w:hAnsi="Garamond"/>
              <w:sz w:val="22"/>
              <w:szCs w:val="22"/>
              <w:lang w:eastAsia="en-US"/>
            </w:rPr>
          </w:pPr>
        </w:p>
      </w:tc>
      <w:tc>
        <w:tcPr>
          <w:tcW w:w="7797" w:type="dxa"/>
          <w:shd w:val="clear" w:color="auto" w:fill="auto"/>
        </w:tcPr>
        <w:tbl>
          <w:tblPr>
            <w:tblW w:w="6769" w:type="dxa"/>
            <w:tblInd w:w="1593" w:type="dxa"/>
            <w:tblLayout w:type="fixed"/>
            <w:tblLook w:val="0420" w:firstRow="1" w:lastRow="0" w:firstColumn="0" w:lastColumn="0" w:noHBand="0" w:noVBand="1"/>
          </w:tblPr>
          <w:tblGrid>
            <w:gridCol w:w="2551"/>
            <w:gridCol w:w="4218"/>
          </w:tblGrid>
          <w:tr w:rsidR="008E04D5" w:rsidRPr="00107C9A" w:rsidTr="00D16EEB">
            <w:trPr>
              <w:trHeight w:val="144"/>
            </w:trPr>
            <w:tc>
              <w:tcPr>
                <w:tcW w:w="2551" w:type="dxa"/>
                <w:shd w:val="clear" w:color="auto" w:fill="auto"/>
              </w:tcPr>
              <w:p w:rsidR="008E04D5" w:rsidRPr="00107C9A" w:rsidRDefault="008E04D5" w:rsidP="00107C9A">
                <w:pPr>
                  <w:tabs>
                    <w:tab w:val="right" w:pos="8838"/>
                  </w:tabs>
                  <w:ind w:left="-264" w:right="-105" w:firstLine="19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Recurso de Revisión:</w:t>
                </w:r>
              </w:p>
            </w:tc>
            <w:tc>
              <w:tcPr>
                <w:tcW w:w="4218" w:type="dxa"/>
                <w:shd w:val="clear" w:color="auto" w:fill="auto"/>
              </w:tcPr>
              <w:p w:rsidR="008E04D5" w:rsidRPr="00107C9A" w:rsidRDefault="008E04D5" w:rsidP="00107C9A">
                <w:pPr>
                  <w:tabs>
                    <w:tab w:val="right" w:pos="8838"/>
                  </w:tabs>
                  <w:ind w:left="34" w:right="-105"/>
                  <w:jc w:val="both"/>
                  <w:rPr>
                    <w:rFonts w:ascii="Palatino Linotype" w:eastAsia="Calibri" w:hAnsi="Palatino Linotype" w:cs="Tahoma"/>
                    <w:bCs/>
                    <w:lang w:val="es-ES" w:eastAsia="en-US"/>
                  </w:rPr>
                </w:pPr>
                <w:r w:rsidRPr="00107C9A">
                  <w:rPr>
                    <w:rFonts w:ascii="Palatino Linotype" w:eastAsia="Calibri" w:hAnsi="Palatino Linotype" w:cs="Tahoma"/>
                    <w:lang w:eastAsia="en-US"/>
                  </w:rPr>
                  <w:t>02658/INFOEM/IP/RR/2025</w:t>
                </w:r>
              </w:p>
            </w:tc>
          </w:tr>
          <w:tr w:rsidR="008E04D5" w:rsidRPr="00107C9A" w:rsidTr="00D16EEB">
            <w:trPr>
              <w:trHeight w:val="144"/>
            </w:trPr>
            <w:tc>
              <w:tcPr>
                <w:tcW w:w="2551" w:type="dxa"/>
                <w:shd w:val="clear" w:color="auto" w:fill="auto"/>
              </w:tcPr>
              <w:p w:rsidR="008E04D5" w:rsidRPr="00107C9A" w:rsidRDefault="008E04D5" w:rsidP="00107C9A">
                <w:pPr>
                  <w:tabs>
                    <w:tab w:val="right" w:pos="8838"/>
                  </w:tabs>
                  <w:ind w:left="-74" w:right="-10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Recurrente:</w:t>
                </w:r>
              </w:p>
            </w:tc>
            <w:tc>
              <w:tcPr>
                <w:tcW w:w="4218" w:type="dxa"/>
                <w:shd w:val="clear" w:color="auto" w:fill="auto"/>
              </w:tcPr>
              <w:p w:rsidR="008E04D5" w:rsidRPr="00107C9A" w:rsidRDefault="008E04D5" w:rsidP="00107C9A">
                <w:pPr>
                  <w:tabs>
                    <w:tab w:val="left" w:pos="3122"/>
                    <w:tab w:val="right" w:pos="8838"/>
                  </w:tabs>
                  <w:ind w:left="34" w:right="-105"/>
                  <w:jc w:val="both"/>
                  <w:rPr>
                    <w:rFonts w:ascii="Palatino Linotype" w:eastAsia="Calibri" w:hAnsi="Palatino Linotype" w:cs="Tahoma"/>
                    <w:lang w:val="es-ES" w:eastAsia="en-US"/>
                  </w:rPr>
                </w:pPr>
              </w:p>
            </w:tc>
          </w:tr>
          <w:tr w:rsidR="008E04D5" w:rsidRPr="00107C9A" w:rsidTr="00D16EEB">
            <w:trPr>
              <w:trHeight w:val="283"/>
            </w:trPr>
            <w:tc>
              <w:tcPr>
                <w:tcW w:w="2551" w:type="dxa"/>
                <w:shd w:val="clear" w:color="auto" w:fill="auto"/>
              </w:tcPr>
              <w:p w:rsidR="008E04D5" w:rsidRPr="00107C9A" w:rsidRDefault="008E04D5" w:rsidP="00107C9A">
                <w:pPr>
                  <w:tabs>
                    <w:tab w:val="right" w:pos="8838"/>
                  </w:tabs>
                  <w:ind w:left="-74" w:right="-10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Sujeto Obligado:</w:t>
                </w:r>
              </w:p>
            </w:tc>
            <w:tc>
              <w:tcPr>
                <w:tcW w:w="4218" w:type="dxa"/>
                <w:shd w:val="clear" w:color="auto" w:fill="auto"/>
              </w:tcPr>
              <w:p w:rsidR="008E04D5" w:rsidRPr="00107C9A" w:rsidRDefault="008E04D5" w:rsidP="00D16EEB">
                <w:pPr>
                  <w:tabs>
                    <w:tab w:val="right" w:pos="8838"/>
                  </w:tabs>
                  <w:ind w:left="34" w:right="-105"/>
                  <w:jc w:val="both"/>
                  <w:rPr>
                    <w:rFonts w:ascii="Palatino Linotype" w:eastAsia="Calibri" w:hAnsi="Palatino Linotype" w:cs="Tahoma"/>
                    <w:lang w:val="es-ES" w:eastAsia="en-US"/>
                  </w:rPr>
                </w:pPr>
                <w:r w:rsidRPr="00107C9A">
                  <w:rPr>
                    <w:rFonts w:ascii="Palatino Linotype" w:eastAsia="Calibri" w:hAnsi="Palatino Linotype" w:cs="Tahoma"/>
                    <w:bCs/>
                    <w:lang w:eastAsia="en-US"/>
                  </w:rPr>
                  <w:t>Ayuntamiento de Toluca</w:t>
                </w:r>
              </w:p>
            </w:tc>
          </w:tr>
          <w:tr w:rsidR="008E04D5" w:rsidRPr="00107C9A" w:rsidTr="00D16EEB">
            <w:trPr>
              <w:trHeight w:val="283"/>
            </w:trPr>
            <w:tc>
              <w:tcPr>
                <w:tcW w:w="2551" w:type="dxa"/>
                <w:shd w:val="clear" w:color="auto" w:fill="auto"/>
              </w:tcPr>
              <w:p w:rsidR="008E04D5" w:rsidRPr="00107C9A" w:rsidRDefault="008E04D5" w:rsidP="00107C9A">
                <w:pPr>
                  <w:tabs>
                    <w:tab w:val="right" w:pos="8838"/>
                  </w:tabs>
                  <w:ind w:left="-74" w:right="-105"/>
                  <w:jc w:val="right"/>
                  <w:rPr>
                    <w:rFonts w:ascii="Palatino Linotype" w:eastAsia="Calibri" w:hAnsi="Palatino Linotype" w:cs="Tahoma"/>
                    <w:b/>
                    <w:lang w:val="es-ES" w:eastAsia="en-US"/>
                  </w:rPr>
                </w:pPr>
                <w:r w:rsidRPr="00107C9A">
                  <w:rPr>
                    <w:rFonts w:ascii="Palatino Linotype" w:eastAsia="Calibri" w:hAnsi="Palatino Linotype" w:cs="Tahoma"/>
                    <w:b/>
                    <w:lang w:val="es-ES" w:eastAsia="en-US"/>
                  </w:rPr>
                  <w:t>Comisionada ponente:</w:t>
                </w:r>
              </w:p>
            </w:tc>
            <w:tc>
              <w:tcPr>
                <w:tcW w:w="4218" w:type="dxa"/>
                <w:shd w:val="clear" w:color="auto" w:fill="auto"/>
              </w:tcPr>
              <w:p w:rsidR="008E04D5" w:rsidRPr="00107C9A" w:rsidRDefault="008E04D5" w:rsidP="00107C9A">
                <w:pPr>
                  <w:tabs>
                    <w:tab w:val="right" w:pos="8838"/>
                  </w:tabs>
                  <w:ind w:left="34" w:right="-105"/>
                  <w:jc w:val="both"/>
                  <w:rPr>
                    <w:rFonts w:ascii="Palatino Linotype" w:eastAsia="Calibri" w:hAnsi="Palatino Linotype" w:cs="Tahoma"/>
                    <w:lang w:val="es-ES" w:eastAsia="en-US"/>
                  </w:rPr>
                </w:pPr>
                <w:r w:rsidRPr="00107C9A">
                  <w:rPr>
                    <w:rFonts w:ascii="Palatino Linotype" w:eastAsia="Calibri" w:hAnsi="Palatino Linotype" w:cs="Tahoma"/>
                    <w:lang w:val="es-ES" w:eastAsia="en-US"/>
                  </w:rPr>
                  <w:t>María del Rosario Mejía Ayala</w:t>
                </w:r>
              </w:p>
              <w:p w:rsidR="008E04D5" w:rsidRPr="00107C9A" w:rsidRDefault="008E04D5" w:rsidP="00107C9A">
                <w:pPr>
                  <w:tabs>
                    <w:tab w:val="right" w:pos="8838"/>
                  </w:tabs>
                  <w:ind w:left="34" w:right="-105"/>
                  <w:jc w:val="both"/>
                  <w:rPr>
                    <w:rFonts w:ascii="Palatino Linotype" w:eastAsia="Calibri" w:hAnsi="Palatino Linotype" w:cs="Tahoma"/>
                    <w:lang w:val="es-ES" w:eastAsia="en-US"/>
                  </w:rPr>
                </w:pPr>
              </w:p>
            </w:tc>
          </w:tr>
        </w:tbl>
        <w:p w:rsidR="008E04D5" w:rsidRPr="00330DA7" w:rsidRDefault="008E04D5" w:rsidP="00AE3D96">
          <w:pPr>
            <w:tabs>
              <w:tab w:val="right" w:pos="8838"/>
            </w:tabs>
            <w:ind w:left="-28"/>
            <w:jc w:val="both"/>
            <w:rPr>
              <w:rFonts w:ascii="Arial" w:eastAsia="Calibri" w:hAnsi="Arial" w:cs="Arial"/>
              <w:b/>
              <w:sz w:val="22"/>
              <w:szCs w:val="22"/>
              <w:lang w:eastAsia="en-US"/>
            </w:rPr>
          </w:pPr>
        </w:p>
      </w:tc>
    </w:tr>
  </w:tbl>
  <w:p w:rsidR="008E04D5" w:rsidRPr="00827FA0" w:rsidRDefault="00550443" w:rsidP="00AE3D9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55746"/>
    <w:multiLevelType w:val="hybridMultilevel"/>
    <w:tmpl w:val="ACFA75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E011CFD"/>
    <w:multiLevelType w:val="hybridMultilevel"/>
    <w:tmpl w:val="5C5C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4D46FF"/>
    <w:multiLevelType w:val="hybridMultilevel"/>
    <w:tmpl w:val="EA00B2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224EBC"/>
    <w:multiLevelType w:val="hybridMultilevel"/>
    <w:tmpl w:val="9B7699E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A045A3"/>
    <w:multiLevelType w:val="hybridMultilevel"/>
    <w:tmpl w:val="7936A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2"/>
  </w:num>
  <w:num w:numId="5">
    <w:abstractNumId w:val="7"/>
  </w:num>
  <w:num w:numId="6">
    <w:abstractNumId w:val="8"/>
  </w:num>
  <w:num w:numId="7">
    <w:abstractNumId w:val="3"/>
  </w:num>
  <w:num w:numId="8">
    <w:abstractNumId w:val="11"/>
  </w:num>
  <w:num w:numId="9">
    <w:abstractNumId w:val="4"/>
  </w:num>
  <w:num w:numId="10">
    <w:abstractNumId w:val="5"/>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96"/>
    <w:rsid w:val="00075840"/>
    <w:rsid w:val="000A4BEA"/>
    <w:rsid w:val="00107C9A"/>
    <w:rsid w:val="00362148"/>
    <w:rsid w:val="003D5596"/>
    <w:rsid w:val="00473F17"/>
    <w:rsid w:val="004C7264"/>
    <w:rsid w:val="004F52FF"/>
    <w:rsid w:val="00550443"/>
    <w:rsid w:val="006E038C"/>
    <w:rsid w:val="007813CE"/>
    <w:rsid w:val="007830DB"/>
    <w:rsid w:val="007D581F"/>
    <w:rsid w:val="008E04D5"/>
    <w:rsid w:val="009B3471"/>
    <w:rsid w:val="009E3F3C"/>
    <w:rsid w:val="00A851AC"/>
    <w:rsid w:val="00AD2870"/>
    <w:rsid w:val="00AE3D96"/>
    <w:rsid w:val="00B858FD"/>
    <w:rsid w:val="00CE699D"/>
    <w:rsid w:val="00D16EEB"/>
    <w:rsid w:val="00D25A42"/>
    <w:rsid w:val="00DC7E18"/>
    <w:rsid w:val="00E640E8"/>
    <w:rsid w:val="00E71172"/>
    <w:rsid w:val="00E956A5"/>
    <w:rsid w:val="00EA3B97"/>
    <w:rsid w:val="00ED103A"/>
    <w:rsid w:val="00ED77E0"/>
    <w:rsid w:val="00FA4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49B512F-B828-4DAE-90C2-778EFC8F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D9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E3D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E3D96"/>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D96"/>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AE3D96"/>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AE3D96"/>
    <w:pPr>
      <w:tabs>
        <w:tab w:val="center" w:pos="4419"/>
        <w:tab w:val="right" w:pos="8838"/>
      </w:tabs>
    </w:pPr>
  </w:style>
  <w:style w:type="character" w:customStyle="1" w:styleId="EncabezadoCar">
    <w:name w:val="Encabezado Car"/>
    <w:basedOn w:val="Fuentedeprrafopredeter"/>
    <w:link w:val="Encabezado"/>
    <w:uiPriority w:val="99"/>
    <w:rsid w:val="00AE3D9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E3D96"/>
    <w:pPr>
      <w:tabs>
        <w:tab w:val="center" w:pos="4419"/>
        <w:tab w:val="right" w:pos="8838"/>
      </w:tabs>
    </w:pPr>
  </w:style>
  <w:style w:type="character" w:customStyle="1" w:styleId="PiedepginaCar">
    <w:name w:val="Pie de página Car"/>
    <w:basedOn w:val="Fuentedeprrafopredeter"/>
    <w:link w:val="Piedepgina"/>
    <w:uiPriority w:val="99"/>
    <w:rsid w:val="00AE3D9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3D9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E3D9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E3D96"/>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E3D9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E3D9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E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1006709826">
      <w:bodyDiv w:val="1"/>
      <w:marLeft w:val="0"/>
      <w:marRight w:val="0"/>
      <w:marTop w:val="0"/>
      <w:marBottom w:val="0"/>
      <w:divBdr>
        <w:top w:val="none" w:sz="0" w:space="0" w:color="auto"/>
        <w:left w:val="none" w:sz="0" w:space="0" w:color="auto"/>
        <w:bottom w:val="none" w:sz="0" w:space="0" w:color="auto"/>
        <w:right w:val="none" w:sz="0" w:space="0" w:color="auto"/>
      </w:divBdr>
    </w:div>
    <w:div w:id="18917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4950.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69964.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5721</Words>
  <Characters>31467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5</cp:revision>
  <cp:lastPrinted>2025-06-27T16:09:00Z</cp:lastPrinted>
  <dcterms:created xsi:type="dcterms:W3CDTF">2025-06-19T19:46:00Z</dcterms:created>
  <dcterms:modified xsi:type="dcterms:W3CDTF">2025-07-01T17:47:00Z</dcterms:modified>
</cp:coreProperties>
</file>