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9BE" w:rsidRPr="00F76FD8" w:rsidRDefault="00C644B0" w:rsidP="00F76FD8">
      <w:pPr>
        <w:spacing w:line="360" w:lineRule="auto"/>
        <w:ind w:right="49"/>
        <w:jc w:val="both"/>
        <w:rPr>
          <w:rFonts w:ascii="Palatino Linotype" w:eastAsia="Palatino Linotype" w:hAnsi="Palatino Linotype" w:cs="Palatino Linotype"/>
          <w:color w:val="000000" w:themeColor="text1"/>
        </w:rPr>
      </w:pPr>
      <w:bookmarkStart w:id="0" w:name="_GoBack"/>
      <w:bookmarkEnd w:id="0"/>
      <w:r w:rsidRPr="00F76FD8">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F76FD8">
        <w:rPr>
          <w:rFonts w:ascii="Palatino Linotype" w:eastAsia="Palatino Linotype" w:hAnsi="Palatino Linotype" w:cs="Palatino Linotype"/>
          <w:b/>
          <w:color w:val="000000" w:themeColor="text1"/>
        </w:rPr>
        <w:t xml:space="preserve">de fecha quince (15) </w:t>
      </w:r>
      <w:r w:rsidR="00F76FD8" w:rsidRPr="00157555">
        <w:rPr>
          <w:rFonts w:ascii="Palatino Linotype" w:eastAsia="Palatino Linotype" w:hAnsi="Palatino Linotype" w:cs="Palatino Linotype"/>
          <w:b/>
          <w:color w:val="000000" w:themeColor="text1"/>
        </w:rPr>
        <w:t xml:space="preserve">de </w:t>
      </w:r>
      <w:r w:rsidR="00F76FD8">
        <w:rPr>
          <w:rFonts w:ascii="Palatino Linotype" w:eastAsia="Palatino Linotype" w:hAnsi="Palatino Linotype" w:cs="Palatino Linotype"/>
          <w:b/>
          <w:color w:val="000000" w:themeColor="text1"/>
        </w:rPr>
        <w:t xml:space="preserve">octubre </w:t>
      </w:r>
      <w:r w:rsidR="00F76FD8" w:rsidRPr="00157555">
        <w:rPr>
          <w:rFonts w:ascii="Palatino Linotype" w:eastAsia="Palatino Linotype" w:hAnsi="Palatino Linotype" w:cs="Palatino Linotype"/>
          <w:b/>
          <w:color w:val="000000" w:themeColor="text1"/>
        </w:rPr>
        <w:t>de dos mil veinticinco</w:t>
      </w:r>
      <w:r w:rsidRPr="00F76FD8">
        <w:rPr>
          <w:rFonts w:ascii="Palatino Linotype" w:eastAsia="Palatino Linotype" w:hAnsi="Palatino Linotype" w:cs="Palatino Linotype"/>
          <w:color w:val="000000" w:themeColor="text1"/>
        </w:rPr>
        <w:t xml:space="preserve">. </w:t>
      </w:r>
    </w:p>
    <w:p w:rsidR="003C69BE" w:rsidRPr="00F76FD8" w:rsidRDefault="003C69BE" w:rsidP="00F76FD8">
      <w:pPr>
        <w:spacing w:line="360" w:lineRule="auto"/>
        <w:jc w:val="both"/>
        <w:rPr>
          <w:rFonts w:ascii="Palatino Linotype" w:eastAsia="Palatino Linotype" w:hAnsi="Palatino Linotype" w:cs="Palatino Linotype"/>
          <w:color w:val="000000" w:themeColor="text1"/>
        </w:rPr>
      </w:pPr>
    </w:p>
    <w:p w:rsidR="003C69BE" w:rsidRPr="00F76FD8" w:rsidRDefault="00C644B0" w:rsidP="00F76FD8">
      <w:pPr>
        <w:spacing w:line="360" w:lineRule="auto"/>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b/>
          <w:color w:val="000000" w:themeColor="text1"/>
        </w:rPr>
        <w:t>VISTO</w:t>
      </w:r>
      <w:r w:rsidRPr="00F76FD8">
        <w:rPr>
          <w:rFonts w:ascii="Palatino Linotype" w:eastAsia="Palatino Linotype" w:hAnsi="Palatino Linotype" w:cs="Palatino Linotype"/>
          <w:color w:val="000000" w:themeColor="text1"/>
        </w:rPr>
        <w:t xml:space="preserve"> el expediente electrónico formado con motivo del recurso de revisión </w:t>
      </w:r>
      <w:r w:rsidRPr="00F76FD8">
        <w:rPr>
          <w:rFonts w:ascii="Palatino Linotype" w:eastAsia="Palatino Linotype" w:hAnsi="Palatino Linotype" w:cs="Palatino Linotype"/>
          <w:b/>
          <w:color w:val="000000" w:themeColor="text1"/>
        </w:rPr>
        <w:t xml:space="preserve"> 04168/INFOEM/IP/RR/2025, </w:t>
      </w:r>
      <w:r w:rsidRPr="00F76FD8">
        <w:rPr>
          <w:rFonts w:ascii="Palatino Linotype" w:eastAsia="Palatino Linotype" w:hAnsi="Palatino Linotype" w:cs="Palatino Linotype"/>
          <w:color w:val="000000" w:themeColor="text1"/>
        </w:rPr>
        <w:t>promovido por</w:t>
      </w:r>
      <w:r w:rsidRPr="00F76FD8">
        <w:rPr>
          <w:rFonts w:ascii="Palatino Linotype" w:eastAsia="Palatino Linotype" w:hAnsi="Palatino Linotype" w:cs="Palatino Linotype"/>
          <w:b/>
          <w:color w:val="000000" w:themeColor="text1"/>
        </w:rPr>
        <w:t xml:space="preserve"> </w:t>
      </w:r>
      <w:r w:rsidR="00AA08C2">
        <w:rPr>
          <w:rFonts w:ascii="Palatino Linotype" w:eastAsia="Palatino Linotype" w:hAnsi="Palatino Linotype" w:cs="Palatino Linotype"/>
          <w:b/>
          <w:color w:val="000000" w:themeColor="text1"/>
        </w:rPr>
        <w:t>XXXX</w:t>
      </w:r>
      <w:r w:rsidRPr="00F76FD8">
        <w:rPr>
          <w:rFonts w:ascii="Palatino Linotype" w:eastAsia="Palatino Linotype" w:hAnsi="Palatino Linotype" w:cs="Palatino Linotype"/>
          <w:b/>
          <w:color w:val="000000" w:themeColor="text1"/>
        </w:rPr>
        <w:t>,</w:t>
      </w:r>
      <w:r w:rsidRPr="00F76FD8">
        <w:rPr>
          <w:rFonts w:ascii="Palatino Linotype" w:eastAsia="Palatino Linotype" w:hAnsi="Palatino Linotype" w:cs="Palatino Linotype"/>
          <w:color w:val="000000" w:themeColor="text1"/>
        </w:rPr>
        <w:t xml:space="preserve"> a quien en lo sucesivo se identificará como </w:t>
      </w:r>
      <w:r w:rsidRPr="00F76FD8">
        <w:rPr>
          <w:rFonts w:ascii="Palatino Linotype" w:eastAsia="Palatino Linotype" w:hAnsi="Palatino Linotype" w:cs="Palatino Linotype"/>
          <w:b/>
          <w:color w:val="000000" w:themeColor="text1"/>
        </w:rPr>
        <w:t>EL RECURRENTE</w:t>
      </w:r>
      <w:r w:rsidRPr="00F76FD8">
        <w:rPr>
          <w:rFonts w:ascii="Palatino Linotype" w:eastAsia="Palatino Linotype" w:hAnsi="Palatino Linotype" w:cs="Palatino Linotype"/>
          <w:color w:val="000000" w:themeColor="text1"/>
        </w:rPr>
        <w:t xml:space="preserve">, en contra de la respuesta del </w:t>
      </w:r>
      <w:r w:rsidRPr="00F76FD8">
        <w:rPr>
          <w:rFonts w:ascii="Palatino Linotype" w:eastAsia="Palatino Linotype" w:hAnsi="Palatino Linotype" w:cs="Palatino Linotype"/>
          <w:b/>
          <w:color w:val="000000" w:themeColor="text1"/>
        </w:rPr>
        <w:t xml:space="preserve">Ayuntamiento de Nextlalpan, </w:t>
      </w:r>
      <w:r w:rsidRPr="00F76FD8">
        <w:rPr>
          <w:rFonts w:ascii="Palatino Linotype" w:eastAsia="Palatino Linotype" w:hAnsi="Palatino Linotype" w:cs="Palatino Linotype"/>
          <w:color w:val="000000" w:themeColor="text1"/>
        </w:rPr>
        <w:t>en adelante el</w:t>
      </w:r>
      <w:r w:rsidRPr="00F76FD8">
        <w:rPr>
          <w:rFonts w:ascii="Palatino Linotype" w:eastAsia="Palatino Linotype" w:hAnsi="Palatino Linotype" w:cs="Palatino Linotype"/>
          <w:b/>
          <w:color w:val="000000" w:themeColor="text1"/>
        </w:rPr>
        <w:t xml:space="preserve"> SUJETO OBLIGADO</w:t>
      </w:r>
      <w:r w:rsidRPr="00F76FD8">
        <w:rPr>
          <w:rFonts w:ascii="Palatino Linotype" w:eastAsia="Palatino Linotype" w:hAnsi="Palatino Linotype" w:cs="Palatino Linotype"/>
          <w:color w:val="000000" w:themeColor="text1"/>
        </w:rPr>
        <w:t>, por lo que se procede a dictar la presente resolución, con base en los siguientes:</w:t>
      </w:r>
    </w:p>
    <w:p w:rsidR="003C69BE" w:rsidRPr="00F76FD8" w:rsidRDefault="003C69BE" w:rsidP="00F76FD8">
      <w:pPr>
        <w:spacing w:line="360" w:lineRule="auto"/>
        <w:jc w:val="both"/>
        <w:rPr>
          <w:rFonts w:ascii="Palatino Linotype" w:eastAsia="Palatino Linotype" w:hAnsi="Palatino Linotype" w:cs="Palatino Linotype"/>
          <w:b/>
          <w:color w:val="000000" w:themeColor="text1"/>
        </w:rPr>
      </w:pPr>
    </w:p>
    <w:p w:rsidR="003C69BE" w:rsidRPr="00F76FD8" w:rsidRDefault="00C644B0" w:rsidP="00F76FD8">
      <w:pPr>
        <w:keepNext/>
        <w:keepLines/>
        <w:spacing w:line="360" w:lineRule="auto"/>
        <w:jc w:val="center"/>
        <w:rPr>
          <w:rFonts w:ascii="Palatino Linotype" w:eastAsia="Palatino Linotype" w:hAnsi="Palatino Linotype" w:cs="Palatino Linotype"/>
          <w:b/>
          <w:color w:val="000000" w:themeColor="text1"/>
        </w:rPr>
      </w:pPr>
      <w:r w:rsidRPr="00F76FD8">
        <w:rPr>
          <w:rFonts w:ascii="Palatino Linotype" w:eastAsia="Palatino Linotype" w:hAnsi="Palatino Linotype" w:cs="Palatino Linotype"/>
          <w:b/>
          <w:color w:val="000000" w:themeColor="text1"/>
        </w:rPr>
        <w:t>A N T E C E D E N T E S</w:t>
      </w:r>
    </w:p>
    <w:p w:rsidR="003C69BE" w:rsidRPr="00F76FD8" w:rsidRDefault="003C69BE" w:rsidP="00F76FD8">
      <w:pPr>
        <w:spacing w:line="360" w:lineRule="auto"/>
        <w:rPr>
          <w:rFonts w:ascii="Palatino Linotype" w:eastAsia="Palatino Linotype" w:hAnsi="Palatino Linotype" w:cs="Palatino Linotype"/>
          <w:color w:val="000000" w:themeColor="text1"/>
        </w:rPr>
      </w:pPr>
    </w:p>
    <w:p w:rsidR="003C69BE" w:rsidRPr="00F76FD8" w:rsidRDefault="00C644B0" w:rsidP="00F76FD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 xml:space="preserve">El diez de marzo de dos mil veinticinco, </w:t>
      </w:r>
      <w:r w:rsidRPr="00F76FD8">
        <w:rPr>
          <w:rFonts w:ascii="Palatino Linotype" w:eastAsia="Palatino Linotype" w:hAnsi="Palatino Linotype" w:cs="Palatino Linotype"/>
          <w:b/>
          <w:color w:val="000000" w:themeColor="text1"/>
        </w:rPr>
        <w:t>EL RECURRENTE,</w:t>
      </w:r>
      <w:r w:rsidRPr="00F76FD8">
        <w:rPr>
          <w:rFonts w:ascii="Palatino Linotype" w:eastAsia="Palatino Linotype" w:hAnsi="Palatino Linotype" w:cs="Palatino Linotype"/>
          <w:color w:val="000000" w:themeColor="text1"/>
        </w:rPr>
        <w:t xml:space="preserve"> ante el </w:t>
      </w:r>
      <w:r w:rsidRPr="00F76FD8">
        <w:rPr>
          <w:rFonts w:ascii="Palatino Linotype" w:eastAsia="Palatino Linotype" w:hAnsi="Palatino Linotype" w:cs="Palatino Linotype"/>
          <w:b/>
          <w:color w:val="000000" w:themeColor="text1"/>
        </w:rPr>
        <w:t>SUJETO OBLIGADO</w:t>
      </w:r>
      <w:r w:rsidRPr="00F76FD8">
        <w:rPr>
          <w:rFonts w:ascii="Palatino Linotype" w:eastAsia="Palatino Linotype" w:hAnsi="Palatino Linotype" w:cs="Palatino Linotype"/>
          <w:color w:val="000000" w:themeColor="text1"/>
        </w:rPr>
        <w:t xml:space="preserve"> a través del Sistema de Acceso a la Información Mexiquense (SAIMEX), presentó una solicitud de información registrada con el número </w:t>
      </w:r>
      <w:r w:rsidRPr="00F76FD8">
        <w:rPr>
          <w:rFonts w:ascii="Palatino Linotype" w:eastAsia="Palatino Linotype" w:hAnsi="Palatino Linotype" w:cs="Palatino Linotype"/>
          <w:b/>
          <w:color w:val="000000" w:themeColor="text1"/>
        </w:rPr>
        <w:t xml:space="preserve">00031/NEXTLAL/IP/2025, </w:t>
      </w:r>
      <w:r w:rsidRPr="00F76FD8">
        <w:rPr>
          <w:rFonts w:ascii="Palatino Linotype" w:eastAsia="Palatino Linotype" w:hAnsi="Palatino Linotype" w:cs="Palatino Linotype"/>
          <w:color w:val="000000" w:themeColor="text1"/>
        </w:rPr>
        <w:t>en la que se solicitó lo siguiente:</w:t>
      </w:r>
    </w:p>
    <w:p w:rsidR="003C69BE" w:rsidRPr="00F76FD8" w:rsidRDefault="003C69BE" w:rsidP="00F76FD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C69BE" w:rsidRPr="00F76FD8" w:rsidRDefault="00C644B0" w:rsidP="00F76FD8">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 xml:space="preserve">“Cuántos y cuáles fueron los permisos otorgados y a qué dependencia se otorgo; para la realización de la obra y/o proyecto de reparación y/o reconstrucción del puente conocido como “Puente de Santiago”, que atraviesa el Gran Canal de Desagüe en el municipio de Nextlalpan, Estado de México.” (Sic) </w:t>
      </w:r>
    </w:p>
    <w:p w:rsidR="003C69BE" w:rsidRPr="00F76FD8" w:rsidRDefault="003C69BE" w:rsidP="00F76FD8">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3C69BE" w:rsidRPr="00F76FD8" w:rsidRDefault="00C644B0" w:rsidP="00EB071B">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Se señaló como modalidad de entrega a través de SAIMEX.</w:t>
      </w:r>
    </w:p>
    <w:p w:rsidR="003C69BE" w:rsidRDefault="003C69BE" w:rsidP="00F76FD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EB071B" w:rsidRPr="00F76FD8" w:rsidRDefault="00EB071B" w:rsidP="00F76FD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C69BE" w:rsidRPr="00F76FD8" w:rsidRDefault="00C644B0" w:rsidP="00F76FD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lastRenderedPageBreak/>
        <w:t xml:space="preserve">El </w:t>
      </w:r>
      <w:r w:rsidRPr="00F76FD8">
        <w:rPr>
          <w:rFonts w:ascii="Palatino Linotype" w:eastAsia="Palatino Linotype" w:hAnsi="Palatino Linotype" w:cs="Palatino Linotype"/>
          <w:b/>
          <w:color w:val="000000" w:themeColor="text1"/>
        </w:rPr>
        <w:t>primero de abril de dos mil veinticinco</w:t>
      </w:r>
      <w:r w:rsidRPr="00F76FD8">
        <w:rPr>
          <w:rFonts w:ascii="Palatino Linotype" w:eastAsia="Palatino Linotype" w:hAnsi="Palatino Linotype" w:cs="Palatino Linotype"/>
          <w:color w:val="000000" w:themeColor="text1"/>
        </w:rPr>
        <w:t>, el Sujeto Obligado dio respuesta a la solicitud de información en el siguiente sentido:</w:t>
      </w:r>
    </w:p>
    <w:p w:rsidR="003C69BE" w:rsidRPr="00F76FD8" w:rsidRDefault="003C69BE" w:rsidP="00F76FD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tbl>
      <w:tblPr>
        <w:tblStyle w:val="a4"/>
        <w:tblW w:w="6949" w:type="dxa"/>
        <w:jc w:val="center"/>
        <w:tblInd w:w="0" w:type="dxa"/>
        <w:tblLayout w:type="fixed"/>
        <w:tblLook w:val="0400" w:firstRow="0" w:lastRow="0" w:firstColumn="0" w:lastColumn="0" w:noHBand="0" w:noVBand="1"/>
      </w:tblPr>
      <w:tblGrid>
        <w:gridCol w:w="6949"/>
      </w:tblGrid>
      <w:tr w:rsidR="00F76FD8" w:rsidRPr="00F76FD8">
        <w:trPr>
          <w:trHeight w:val="303"/>
          <w:jc w:val="center"/>
        </w:trPr>
        <w:tc>
          <w:tcPr>
            <w:tcW w:w="6949" w:type="dxa"/>
            <w:vAlign w:val="center"/>
          </w:tcPr>
          <w:p w:rsidR="003C69BE" w:rsidRPr="00F76FD8" w:rsidRDefault="00C644B0" w:rsidP="00F76FD8">
            <w:pPr>
              <w:jc w:val="right"/>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Nextlalpan, México a 01 de Abril de 2025</w:t>
            </w:r>
          </w:p>
        </w:tc>
      </w:tr>
      <w:tr w:rsidR="00F76FD8" w:rsidRPr="00F76FD8">
        <w:trPr>
          <w:trHeight w:val="303"/>
          <w:jc w:val="center"/>
        </w:trPr>
        <w:tc>
          <w:tcPr>
            <w:tcW w:w="6949" w:type="dxa"/>
            <w:vAlign w:val="center"/>
          </w:tcPr>
          <w:p w:rsidR="003C69BE" w:rsidRPr="00F76FD8" w:rsidRDefault="00C644B0" w:rsidP="00F76FD8">
            <w:pPr>
              <w:jc w:val="right"/>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Nombre del solicitante: C. Solicitante</w:t>
            </w:r>
          </w:p>
        </w:tc>
      </w:tr>
      <w:tr w:rsidR="00F76FD8" w:rsidRPr="00F76FD8">
        <w:trPr>
          <w:trHeight w:val="303"/>
          <w:jc w:val="center"/>
        </w:trPr>
        <w:tc>
          <w:tcPr>
            <w:tcW w:w="6949" w:type="dxa"/>
            <w:vAlign w:val="center"/>
          </w:tcPr>
          <w:p w:rsidR="003C69BE" w:rsidRPr="00F76FD8" w:rsidRDefault="00C644B0" w:rsidP="00F76FD8">
            <w:pPr>
              <w:jc w:val="right"/>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Folio de la solicitud: 00031/NEXTLAL/IP/2025</w:t>
            </w:r>
          </w:p>
        </w:tc>
      </w:tr>
      <w:tr w:rsidR="00F76FD8" w:rsidRPr="00F76FD8">
        <w:trPr>
          <w:trHeight w:val="455"/>
          <w:jc w:val="center"/>
        </w:trPr>
        <w:tc>
          <w:tcPr>
            <w:tcW w:w="6949" w:type="dxa"/>
            <w:vAlign w:val="center"/>
          </w:tcPr>
          <w:p w:rsidR="003C69BE" w:rsidRPr="00F76FD8" w:rsidRDefault="003C69BE" w:rsidP="00F76FD8">
            <w:pPr>
              <w:jc w:val="right"/>
              <w:rPr>
                <w:rFonts w:ascii="Palatino Linotype" w:eastAsia="Palatino Linotype" w:hAnsi="Palatino Linotype" w:cs="Palatino Linotype"/>
                <w:i/>
                <w:color w:val="000000" w:themeColor="text1"/>
              </w:rPr>
            </w:pPr>
          </w:p>
        </w:tc>
      </w:tr>
      <w:tr w:rsidR="00F76FD8" w:rsidRPr="00F76FD8">
        <w:trPr>
          <w:trHeight w:val="151"/>
          <w:jc w:val="center"/>
        </w:trPr>
        <w:tc>
          <w:tcPr>
            <w:tcW w:w="6949" w:type="dxa"/>
            <w:vAlign w:val="center"/>
          </w:tcPr>
          <w:p w:rsidR="003C69BE" w:rsidRPr="00F76FD8" w:rsidRDefault="003C69BE" w:rsidP="00F76FD8">
            <w:pPr>
              <w:jc w:val="center"/>
              <w:rPr>
                <w:rFonts w:ascii="Palatino Linotype" w:eastAsia="Palatino Linotype" w:hAnsi="Palatino Linotype" w:cs="Palatino Linotype"/>
                <w:i/>
                <w:color w:val="000000" w:themeColor="text1"/>
              </w:rPr>
            </w:pPr>
          </w:p>
        </w:tc>
      </w:tr>
      <w:tr w:rsidR="00F76FD8" w:rsidRPr="00F76FD8">
        <w:trPr>
          <w:trHeight w:val="379"/>
          <w:jc w:val="center"/>
        </w:trPr>
        <w:tc>
          <w:tcPr>
            <w:tcW w:w="6949" w:type="dxa"/>
            <w:vAlign w:val="center"/>
          </w:tcPr>
          <w:p w:rsidR="003C69BE" w:rsidRPr="00F76FD8" w:rsidRDefault="003C69BE" w:rsidP="00F76FD8">
            <w:pPr>
              <w:rPr>
                <w:rFonts w:ascii="Palatino Linotype" w:eastAsia="Palatino Linotype" w:hAnsi="Palatino Linotype" w:cs="Palatino Linotype"/>
                <w:i/>
                <w:color w:val="000000" w:themeColor="text1"/>
              </w:rPr>
            </w:pPr>
          </w:p>
        </w:tc>
      </w:tr>
      <w:tr w:rsidR="00F76FD8" w:rsidRPr="00F76FD8">
        <w:trPr>
          <w:trHeight w:val="151"/>
          <w:jc w:val="center"/>
        </w:trPr>
        <w:tc>
          <w:tcPr>
            <w:tcW w:w="6949" w:type="dxa"/>
            <w:vAlign w:val="center"/>
          </w:tcPr>
          <w:p w:rsidR="003C69BE" w:rsidRPr="00F76FD8" w:rsidRDefault="00C644B0" w:rsidP="00F76FD8">
            <w:pPr>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Esperando se encuentre con bienestar y salud, reciba un cordial saludo y al mismo tiempo hago envío de la respuesta a su solicitud de información pública.</w:t>
            </w:r>
          </w:p>
        </w:tc>
      </w:tr>
      <w:tr w:rsidR="00F76FD8" w:rsidRPr="00F76FD8">
        <w:trPr>
          <w:trHeight w:val="379"/>
          <w:jc w:val="center"/>
        </w:trPr>
        <w:tc>
          <w:tcPr>
            <w:tcW w:w="6949" w:type="dxa"/>
            <w:vAlign w:val="center"/>
          </w:tcPr>
          <w:p w:rsidR="003C69BE" w:rsidRPr="00F76FD8" w:rsidRDefault="003C69BE" w:rsidP="00F76FD8">
            <w:pPr>
              <w:rPr>
                <w:rFonts w:ascii="Palatino Linotype" w:eastAsia="Palatino Linotype" w:hAnsi="Palatino Linotype" w:cs="Palatino Linotype"/>
                <w:i/>
                <w:color w:val="000000" w:themeColor="text1"/>
              </w:rPr>
            </w:pPr>
          </w:p>
        </w:tc>
      </w:tr>
      <w:tr w:rsidR="00F76FD8" w:rsidRPr="00F76FD8">
        <w:trPr>
          <w:trHeight w:val="151"/>
          <w:jc w:val="center"/>
        </w:trPr>
        <w:tc>
          <w:tcPr>
            <w:tcW w:w="6949" w:type="dxa"/>
            <w:vAlign w:val="center"/>
          </w:tcPr>
          <w:p w:rsidR="003C69BE" w:rsidRPr="00F76FD8" w:rsidRDefault="003C69BE" w:rsidP="00F76FD8">
            <w:pPr>
              <w:jc w:val="center"/>
              <w:rPr>
                <w:rFonts w:ascii="Palatino Linotype" w:eastAsia="Palatino Linotype" w:hAnsi="Palatino Linotype" w:cs="Palatino Linotype"/>
                <w:i/>
                <w:color w:val="000000" w:themeColor="text1"/>
              </w:rPr>
            </w:pPr>
          </w:p>
        </w:tc>
      </w:tr>
      <w:tr w:rsidR="00F76FD8" w:rsidRPr="00F76FD8">
        <w:trPr>
          <w:trHeight w:val="151"/>
          <w:jc w:val="center"/>
        </w:trPr>
        <w:tc>
          <w:tcPr>
            <w:tcW w:w="6949" w:type="dxa"/>
            <w:vAlign w:val="center"/>
          </w:tcPr>
          <w:p w:rsidR="003C69BE" w:rsidRPr="00F76FD8" w:rsidRDefault="003C69BE" w:rsidP="00F76FD8">
            <w:pPr>
              <w:rPr>
                <w:rFonts w:ascii="Palatino Linotype" w:eastAsia="Palatino Linotype" w:hAnsi="Palatino Linotype" w:cs="Palatino Linotype"/>
                <w:i/>
                <w:color w:val="000000" w:themeColor="text1"/>
              </w:rPr>
            </w:pPr>
          </w:p>
        </w:tc>
      </w:tr>
      <w:tr w:rsidR="00F76FD8" w:rsidRPr="00F76FD8">
        <w:trPr>
          <w:trHeight w:val="151"/>
          <w:jc w:val="center"/>
        </w:trPr>
        <w:tc>
          <w:tcPr>
            <w:tcW w:w="6949" w:type="dxa"/>
            <w:vAlign w:val="center"/>
          </w:tcPr>
          <w:p w:rsidR="003C69BE" w:rsidRPr="00F76FD8" w:rsidRDefault="00C644B0" w:rsidP="00F76FD8">
            <w:pPr>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ATENTAMENTE</w:t>
            </w:r>
          </w:p>
        </w:tc>
      </w:tr>
      <w:tr w:rsidR="00F76FD8" w:rsidRPr="00F76FD8">
        <w:trPr>
          <w:trHeight w:val="227"/>
          <w:jc w:val="center"/>
        </w:trPr>
        <w:tc>
          <w:tcPr>
            <w:tcW w:w="6949" w:type="dxa"/>
            <w:vAlign w:val="center"/>
          </w:tcPr>
          <w:p w:rsidR="003C69BE" w:rsidRPr="00F76FD8" w:rsidRDefault="003C69BE" w:rsidP="00F76FD8">
            <w:pPr>
              <w:rPr>
                <w:rFonts w:ascii="Palatino Linotype" w:eastAsia="Palatino Linotype" w:hAnsi="Palatino Linotype" w:cs="Palatino Linotype"/>
                <w:i/>
                <w:color w:val="000000" w:themeColor="text1"/>
              </w:rPr>
            </w:pPr>
          </w:p>
        </w:tc>
      </w:tr>
      <w:tr w:rsidR="00F76FD8" w:rsidRPr="00F76FD8">
        <w:trPr>
          <w:trHeight w:val="151"/>
          <w:jc w:val="center"/>
        </w:trPr>
        <w:tc>
          <w:tcPr>
            <w:tcW w:w="6949" w:type="dxa"/>
            <w:vAlign w:val="center"/>
          </w:tcPr>
          <w:p w:rsidR="003C69BE" w:rsidRPr="00F76FD8" w:rsidRDefault="00C644B0" w:rsidP="00F76FD8">
            <w:pPr>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LIC. DALIA ELIZABETH AQUINO MENDOZA</w:t>
            </w:r>
          </w:p>
        </w:tc>
      </w:tr>
    </w:tbl>
    <w:p w:rsidR="003C69BE" w:rsidRPr="00F76FD8" w:rsidRDefault="003C69BE" w:rsidP="00F76FD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C69BE" w:rsidRPr="00F76FD8" w:rsidRDefault="003C69BE" w:rsidP="00F76FD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C69BE" w:rsidRPr="00F76FD8" w:rsidRDefault="00C644B0" w:rsidP="00EB071B">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 xml:space="preserve">A la solicitud se adjuntó el archivo denominado </w:t>
      </w:r>
      <w:hyperlink r:id="rId8">
        <w:r w:rsidRPr="00F76FD8">
          <w:rPr>
            <w:rFonts w:ascii="Palatino Linotype" w:eastAsia="Palatino Linotype" w:hAnsi="Palatino Linotype" w:cs="Palatino Linotype"/>
            <w:b/>
            <w:color w:val="000000" w:themeColor="text1"/>
            <w:u w:val="single"/>
          </w:rPr>
          <w:t>OFICIO EXT 010 DESARROLLO URBANO.pdf</w:t>
        </w:r>
      </w:hyperlink>
      <w:r w:rsidRPr="00F76FD8">
        <w:rPr>
          <w:rFonts w:ascii="Palatino Linotype" w:eastAsia="Palatino Linotype" w:hAnsi="Palatino Linotype" w:cs="Palatino Linotype"/>
          <w:color w:val="000000" w:themeColor="text1"/>
        </w:rPr>
        <w:t>, en el que se advierten los oficios que, grosso modo, refieren lo siguiente:</w:t>
      </w:r>
    </w:p>
    <w:p w:rsidR="003C69BE" w:rsidRPr="00F76FD8" w:rsidRDefault="00C644B0" w:rsidP="00EB071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Oficio número NEXUTAIPPDP/EXT/010/2025 de fecha primero de abril de dos mil veinticinco, suscrito por el Responsable de la Unidad de Transparencia, quien señaló que se proporciona información brindada por la Dirección de Desarrollo Urbano.</w:t>
      </w:r>
    </w:p>
    <w:p w:rsidR="003C69BE" w:rsidRPr="00F76FD8" w:rsidRDefault="00C644B0" w:rsidP="00EB071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Oficio número DDU/049/2025 de fecha treinta y uno de marzo de dos mil veinticinco, suscrito por el Director de Desarrollo Urbano, quien señaló:</w:t>
      </w:r>
    </w:p>
    <w:p w:rsidR="003C69BE" w:rsidRPr="00F76FD8" w:rsidRDefault="00C644B0" w:rsidP="00F76FD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w:t>
      </w:r>
      <w:r w:rsidRPr="00F76FD8">
        <w:rPr>
          <w:rFonts w:ascii="Palatino Linotype" w:eastAsia="Palatino Linotype" w:hAnsi="Palatino Linotype" w:cs="Palatino Linotype"/>
          <w:i/>
          <w:color w:val="000000" w:themeColor="text1"/>
        </w:rPr>
        <w:t xml:space="preserve">Al respecto, a efecto de dar cumplimiento con su Solicitud de Información Pública emitida, por cuanto hace al punto controvertido por el Solicitante me permito informarle que previa búsqueda exhaustiva y </w:t>
      </w:r>
      <w:r w:rsidRPr="00F76FD8">
        <w:rPr>
          <w:rFonts w:ascii="Palatino Linotype" w:eastAsia="Palatino Linotype" w:hAnsi="Palatino Linotype" w:cs="Palatino Linotype"/>
          <w:i/>
          <w:color w:val="000000" w:themeColor="text1"/>
        </w:rPr>
        <w:lastRenderedPageBreak/>
        <w:t>razonable en los archivos que obran en esta Dirección de Desarrollo Urbano de Nextlalpan, no se tiene la información sobre "cuántos y cuáles fueron los permisos otorgados y a qué dependencia se otorgó; para la realización de la obra y/o proyecto de reconstrucción del puente conocido como "Puente de Santiago", que atraviesa el Gran Canal de Desagüe en el municipio de Nextlalpan, Estado de México", ya que, dicha obra, fue realizada en cumplimiento de los acuerdos firmados entre la Secretaría de la Defensa Nacional (SEDENA), la Secretaría de Desarrollo Agrario, Territorial y Urbano (SEDATU), con el Comisariado Ejidal de Santa Ana Nextlalpan. Por lo tanto, una vez realizada la búsqueda exhaustiva y razonable de la información solicitada, se notifica que no se cuenta con los archivos de estas Dependencias, puesto que dichas dependencias son de gobierno mexicano federal y el Comisariado Ejidal; de acuerdo con la Ley Agraria, Artículos 9 y 10, y demás leyes aplicables, los Ejidos tienen personalidad jurídica, patrimonio propio y operan de acuerdo con su reglamento interno.</w:t>
      </w:r>
      <w:r w:rsidRPr="00F76FD8">
        <w:rPr>
          <w:rFonts w:ascii="Palatino Linotype" w:eastAsia="Palatino Linotype" w:hAnsi="Palatino Linotype" w:cs="Palatino Linotype"/>
          <w:color w:val="000000" w:themeColor="text1"/>
        </w:rPr>
        <w:t>”</w:t>
      </w:r>
    </w:p>
    <w:p w:rsidR="003C69BE" w:rsidRPr="00F76FD8" w:rsidRDefault="003C69BE" w:rsidP="00F76FD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C69BE" w:rsidRPr="00F76FD8" w:rsidRDefault="00C644B0" w:rsidP="00F76FD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 xml:space="preserve">El ocho de abril de dos mil veinticinco, </w:t>
      </w:r>
      <w:r w:rsidRPr="00F76FD8">
        <w:rPr>
          <w:rFonts w:ascii="Palatino Linotype" w:eastAsia="Palatino Linotype" w:hAnsi="Palatino Linotype" w:cs="Palatino Linotype"/>
          <w:b/>
          <w:color w:val="000000" w:themeColor="text1"/>
        </w:rPr>
        <w:t>EL RECURRENTE</w:t>
      </w:r>
      <w:r w:rsidRPr="00F76FD8">
        <w:rPr>
          <w:rFonts w:ascii="Palatino Linotype" w:eastAsia="Palatino Linotype" w:hAnsi="Palatino Linotype" w:cs="Palatino Linotype"/>
          <w:color w:val="000000" w:themeColor="text1"/>
        </w:rPr>
        <w:t xml:space="preserve"> interpuso el recurso de revisión, en contra de la respuesta, señalando como:</w:t>
      </w:r>
    </w:p>
    <w:p w:rsidR="003C69BE" w:rsidRPr="00F76FD8" w:rsidRDefault="003C69BE" w:rsidP="00F76FD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C69BE" w:rsidRPr="00EB071B" w:rsidRDefault="00C644B0" w:rsidP="00EB071B">
      <w:pPr>
        <w:pStyle w:val="Prrafodelista"/>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EB071B">
        <w:rPr>
          <w:rFonts w:ascii="Palatino Linotype" w:eastAsia="Palatino Linotype" w:hAnsi="Palatino Linotype" w:cs="Palatino Linotype"/>
          <w:b/>
          <w:color w:val="000000" w:themeColor="text1"/>
        </w:rPr>
        <w:t>Acto impugnado</w:t>
      </w:r>
      <w:r w:rsidRPr="00EB071B">
        <w:rPr>
          <w:rFonts w:ascii="Palatino Linotype" w:eastAsia="Palatino Linotype" w:hAnsi="Palatino Linotype" w:cs="Palatino Linotype"/>
          <w:b/>
          <w:i/>
          <w:color w:val="000000" w:themeColor="text1"/>
        </w:rPr>
        <w:t>:</w:t>
      </w:r>
      <w:r w:rsidRPr="00EB071B">
        <w:rPr>
          <w:rFonts w:ascii="Palatino Linotype" w:eastAsia="Palatino Linotype" w:hAnsi="Palatino Linotype" w:cs="Palatino Linotype"/>
          <w:i/>
          <w:color w:val="000000" w:themeColor="text1"/>
        </w:rPr>
        <w:t xml:space="preserve"> "Cuántos y cuáles fueron los permisos otorgados y a qué dependencia se otorgo; para la realización de la obra y/o proyecto de reparación y/o reconstrucción del puente conocido como “Puente de Santiago”, que atraviesa el Gran Canal de Desagüe en el municipio de Nextlalpan, Estado de México." (Sic)</w:t>
      </w:r>
    </w:p>
    <w:p w:rsidR="003C69BE" w:rsidRPr="00F76FD8" w:rsidRDefault="003C69BE" w:rsidP="00F76FD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C69BE" w:rsidRPr="00EB071B" w:rsidRDefault="00C644B0" w:rsidP="00EB071B">
      <w:pPr>
        <w:pStyle w:val="Prrafodelista"/>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EB071B">
        <w:rPr>
          <w:rFonts w:ascii="Palatino Linotype" w:eastAsia="Palatino Linotype" w:hAnsi="Palatino Linotype" w:cs="Palatino Linotype"/>
          <w:b/>
          <w:color w:val="000000" w:themeColor="text1"/>
        </w:rPr>
        <w:t xml:space="preserve">Razones o Motivos de inconformidad: </w:t>
      </w:r>
      <w:r w:rsidRPr="00EB071B">
        <w:rPr>
          <w:rFonts w:ascii="Palatino Linotype" w:eastAsia="Palatino Linotype" w:hAnsi="Palatino Linotype" w:cs="Palatino Linotype"/>
          <w:i/>
          <w:color w:val="000000" w:themeColor="text1"/>
        </w:rPr>
        <w:t>"Es inconcebible que argumenten que no cuentan con registro alguno de la obra en comento porque aunque fuera realizada con recursos federales el Ayuntamiento debe de tener conocimiento de las obras que se realizan en su demarcación y más este tipo de obras que son de beneficio a la comunidad. Por lo tanto solicito se haga una búsqueda exhaustiva.” (Sic)</w:t>
      </w:r>
    </w:p>
    <w:p w:rsidR="003C69BE" w:rsidRPr="00F76FD8" w:rsidRDefault="00C644B0" w:rsidP="00F76FD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lastRenderedPageBreak/>
        <w:t xml:space="preserve">Se registró el recurso de revisión bajo el número de expediente al rubro indicado, asimismo con fundamento en lo dispuesto por el artículo 185 fracción I de la </w:t>
      </w:r>
      <w:r w:rsidRPr="00F76FD8">
        <w:rPr>
          <w:rFonts w:ascii="Palatino Linotype" w:eastAsia="Palatino Linotype" w:hAnsi="Palatino Linotype" w:cs="Palatino Linotype"/>
          <w:b/>
          <w:color w:val="000000" w:themeColor="text1"/>
        </w:rPr>
        <w:t xml:space="preserve">Ley de Transparencia y Acceso a la Información Pública del Estado de México y Municipios </w:t>
      </w:r>
      <w:r w:rsidRPr="00F76FD8">
        <w:rPr>
          <w:rFonts w:ascii="Palatino Linotype" w:eastAsia="Palatino Linotype" w:hAnsi="Palatino Linotype" w:cs="Palatino Linotype"/>
          <w:color w:val="000000" w:themeColor="text1"/>
        </w:rPr>
        <w:t xml:space="preserve">se turna a la </w:t>
      </w:r>
      <w:r w:rsidRPr="00F76FD8">
        <w:rPr>
          <w:rFonts w:ascii="Palatino Linotype" w:eastAsia="Palatino Linotype" w:hAnsi="Palatino Linotype" w:cs="Palatino Linotype"/>
          <w:b/>
          <w:color w:val="000000" w:themeColor="text1"/>
        </w:rPr>
        <w:t xml:space="preserve">Comisionada María del Rosario Mejía Ayala, </w:t>
      </w:r>
      <w:r w:rsidRPr="00F76FD8">
        <w:rPr>
          <w:rFonts w:ascii="Palatino Linotype" w:eastAsia="Palatino Linotype" w:hAnsi="Palatino Linotype" w:cs="Palatino Linotype"/>
          <w:color w:val="000000" w:themeColor="text1"/>
        </w:rPr>
        <w:t xml:space="preserve">para su análisis. </w:t>
      </w:r>
    </w:p>
    <w:p w:rsidR="003C69BE" w:rsidRPr="00F76FD8" w:rsidRDefault="003C69BE" w:rsidP="00F76FD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C69BE" w:rsidRPr="00F76FD8" w:rsidRDefault="00C644B0" w:rsidP="00F76FD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 xml:space="preserve">La Comisionada Ponente con fundamento en lo dispuesto por el artículo 185 fracción II de la ley de la materia, a través del acuerdo de admisión del dieciséis de enero de dos mil veinticinco, puso a disposición de las partes el expediente electrónico vía </w:t>
      </w:r>
      <w:r w:rsidRPr="00F76FD8">
        <w:rPr>
          <w:rFonts w:ascii="Palatino Linotype" w:eastAsia="Palatino Linotype" w:hAnsi="Palatino Linotype" w:cs="Palatino Linotype"/>
          <w:b/>
          <w:color w:val="000000" w:themeColor="text1"/>
        </w:rPr>
        <w:t xml:space="preserve">SAIMEX </w:t>
      </w:r>
      <w:r w:rsidRPr="00F76FD8">
        <w:rPr>
          <w:rFonts w:ascii="Palatino Linotype" w:eastAsia="Palatino Linotype" w:hAnsi="Palatino Linotype" w:cs="Palatino Linotype"/>
          <w:color w:val="000000" w:themeColor="text1"/>
        </w:rPr>
        <w:t xml:space="preserve">a efecto de que en un plazo máximo de siete días manifestara lo que a derecho conviniera, ofreciera pruebas y alegatos según corresponda al caso concreto, de esta forma para que el </w:t>
      </w:r>
      <w:r w:rsidRPr="00F76FD8">
        <w:rPr>
          <w:rFonts w:ascii="Palatino Linotype" w:eastAsia="Palatino Linotype" w:hAnsi="Palatino Linotype" w:cs="Palatino Linotype"/>
          <w:b/>
          <w:color w:val="000000" w:themeColor="text1"/>
        </w:rPr>
        <w:t>SUJETO OBLIGADO</w:t>
      </w:r>
      <w:r w:rsidRPr="00F76FD8">
        <w:rPr>
          <w:rFonts w:ascii="Palatino Linotype" w:eastAsia="Palatino Linotype" w:hAnsi="Palatino Linotype" w:cs="Palatino Linotype"/>
          <w:color w:val="000000" w:themeColor="text1"/>
        </w:rPr>
        <w:t xml:space="preserve"> presentará el informe justificado procedente. </w:t>
      </w:r>
    </w:p>
    <w:p w:rsidR="003C69BE" w:rsidRPr="00F76FD8" w:rsidRDefault="003C69BE" w:rsidP="00F76FD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C69BE" w:rsidRPr="00F76FD8" w:rsidRDefault="00C644B0" w:rsidP="00F76FD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De las constancias del expediente electrónico SAIMEX, se advierte que el Recurrente y el Sujeto Obligado dejaron  de realizar manifestaciones que a su derecho conviniera y asistiera.</w:t>
      </w:r>
    </w:p>
    <w:p w:rsidR="003C69BE" w:rsidRPr="00F76FD8" w:rsidRDefault="003C69BE" w:rsidP="00F76FD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C69BE" w:rsidRPr="00F76FD8" w:rsidRDefault="00C644B0" w:rsidP="00F76FD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 xml:space="preserve">El </w:t>
      </w:r>
      <w:r w:rsidRPr="00F76FD8">
        <w:rPr>
          <w:rFonts w:ascii="Palatino Linotype" w:eastAsia="Palatino Linotype" w:hAnsi="Palatino Linotype" w:cs="Palatino Linotype"/>
          <w:b/>
          <w:color w:val="000000" w:themeColor="text1"/>
        </w:rPr>
        <w:t>ocho de septiembre de dos mil veinticinco</w:t>
      </w:r>
      <w:r w:rsidRPr="00F76FD8">
        <w:rPr>
          <w:rFonts w:ascii="Palatino Linotype" w:eastAsia="Palatino Linotype" w:hAnsi="Palatino Linotype" w:cs="Palatino Linotype"/>
          <w:color w:val="000000" w:themeColor="text1"/>
        </w:rPr>
        <w:t xml:space="preserve">, se notificó el acuerdo mediante el cual se aprobó la ampliación de plazo para emitir resolución. </w:t>
      </w:r>
    </w:p>
    <w:p w:rsidR="003C69BE" w:rsidRPr="00F76FD8" w:rsidRDefault="003C69BE" w:rsidP="00F76FD8">
      <w:pPr>
        <w:pBdr>
          <w:top w:val="nil"/>
          <w:left w:val="nil"/>
          <w:bottom w:val="nil"/>
          <w:right w:val="nil"/>
          <w:between w:val="nil"/>
        </w:pBdr>
        <w:rPr>
          <w:rFonts w:ascii="Palatino Linotype" w:eastAsia="Palatino Linotype" w:hAnsi="Palatino Linotype" w:cs="Palatino Linotype"/>
          <w:color w:val="000000" w:themeColor="text1"/>
        </w:rPr>
      </w:pPr>
    </w:p>
    <w:p w:rsidR="003C69BE" w:rsidRDefault="00C644B0" w:rsidP="00F76FD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F76FD8">
        <w:rPr>
          <w:rFonts w:ascii="Palatino Linotype" w:eastAsia="Palatino Linotype" w:hAnsi="Palatino Linotype" w:cs="Palatino Linotype"/>
          <w:color w:val="000000" w:themeColor="text1"/>
        </w:rPr>
        <w:t xml:space="preserve">La Comisionada Ponente decretó el cierre de instrucción mediante el acuerdo del </w:t>
      </w:r>
      <w:r w:rsidRPr="00F76FD8">
        <w:rPr>
          <w:rFonts w:ascii="Palatino Linotype" w:eastAsia="Palatino Linotype" w:hAnsi="Palatino Linotype" w:cs="Palatino Linotype"/>
          <w:b/>
          <w:color w:val="000000" w:themeColor="text1"/>
        </w:rPr>
        <w:t>treinta de septiembre de dos mil veinticinco.</w:t>
      </w:r>
      <w:r w:rsidR="00EB071B">
        <w:rPr>
          <w:rFonts w:ascii="Palatino Linotype" w:eastAsia="Palatino Linotype" w:hAnsi="Palatino Linotype" w:cs="Palatino Linotype"/>
          <w:b/>
          <w:color w:val="000000" w:themeColor="text1"/>
        </w:rPr>
        <w:t xml:space="preserve"> </w:t>
      </w:r>
      <w:r w:rsidR="00EB071B" w:rsidRPr="00AA08C2">
        <w:rPr>
          <w:rFonts w:ascii="Palatino Linotype" w:eastAsia="Palatino Linotype" w:hAnsi="Palatino Linotype" w:cs="Palatino Linotype"/>
          <w:color w:val="000000" w:themeColor="text1"/>
        </w:rPr>
        <w:t>--------------------------------------------------------------</w:t>
      </w:r>
    </w:p>
    <w:p w:rsidR="00EB071B" w:rsidRDefault="00EB071B" w:rsidP="00EB071B">
      <w:pPr>
        <w:pStyle w:val="Prrafodelista"/>
        <w:rPr>
          <w:rFonts w:ascii="Palatino Linotype" w:eastAsia="Palatino Linotype" w:hAnsi="Palatino Linotype" w:cs="Palatino Linotype"/>
          <w:b/>
          <w:color w:val="000000" w:themeColor="text1"/>
        </w:rPr>
      </w:pPr>
    </w:p>
    <w:p w:rsidR="00EB071B" w:rsidRDefault="00EB071B" w:rsidP="00EB071B">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EB071B" w:rsidRPr="00F76FD8" w:rsidRDefault="00EB071B" w:rsidP="00EB071B">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3C69BE" w:rsidRPr="00F76FD8" w:rsidRDefault="003C69BE" w:rsidP="00F76FD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C69BE" w:rsidRPr="00F76FD8" w:rsidRDefault="003C69BE" w:rsidP="00F76FD8">
      <w:pPr>
        <w:spacing w:line="360" w:lineRule="auto"/>
        <w:rPr>
          <w:rFonts w:ascii="Palatino Linotype" w:eastAsia="Palatino Linotype" w:hAnsi="Palatino Linotype" w:cs="Palatino Linotype"/>
          <w:color w:val="000000" w:themeColor="text1"/>
        </w:rPr>
      </w:pPr>
    </w:p>
    <w:p w:rsidR="003C69BE" w:rsidRPr="00F76FD8" w:rsidRDefault="00C644B0" w:rsidP="00F76FD8">
      <w:pPr>
        <w:spacing w:line="360" w:lineRule="auto"/>
        <w:jc w:val="center"/>
        <w:rPr>
          <w:rFonts w:ascii="Palatino Linotype" w:eastAsia="Palatino Linotype" w:hAnsi="Palatino Linotype" w:cs="Palatino Linotype"/>
          <w:color w:val="000000" w:themeColor="text1"/>
        </w:rPr>
      </w:pPr>
      <w:bookmarkStart w:id="1" w:name="_heading=h.30j0zll" w:colFirst="0" w:colLast="0"/>
      <w:bookmarkEnd w:id="1"/>
      <w:r w:rsidRPr="00F76FD8">
        <w:rPr>
          <w:rFonts w:ascii="Palatino Linotype" w:eastAsia="Palatino Linotype" w:hAnsi="Palatino Linotype" w:cs="Palatino Linotype"/>
          <w:b/>
          <w:color w:val="000000" w:themeColor="text1"/>
        </w:rPr>
        <w:lastRenderedPageBreak/>
        <w:t>C O N S I D E R A N D O</w:t>
      </w:r>
    </w:p>
    <w:p w:rsidR="003C69BE" w:rsidRPr="00F76FD8" w:rsidRDefault="003C69BE" w:rsidP="00F76FD8">
      <w:pPr>
        <w:spacing w:line="360" w:lineRule="auto"/>
        <w:jc w:val="center"/>
        <w:rPr>
          <w:rFonts w:ascii="Palatino Linotype" w:eastAsia="Palatino Linotype" w:hAnsi="Palatino Linotype" w:cs="Palatino Linotype"/>
          <w:color w:val="000000" w:themeColor="text1"/>
        </w:rPr>
      </w:pPr>
    </w:p>
    <w:p w:rsidR="003C69BE" w:rsidRPr="00F76FD8" w:rsidRDefault="00C644B0" w:rsidP="00F76FD8">
      <w:pPr>
        <w:spacing w:line="360" w:lineRule="auto"/>
        <w:jc w:val="both"/>
        <w:rPr>
          <w:rFonts w:ascii="Palatino Linotype" w:eastAsia="Palatino Linotype" w:hAnsi="Palatino Linotype" w:cs="Palatino Linotype"/>
          <w:b/>
          <w:color w:val="000000" w:themeColor="text1"/>
        </w:rPr>
      </w:pPr>
      <w:bookmarkStart w:id="2" w:name="_heading=h.1fob9te" w:colFirst="0" w:colLast="0"/>
      <w:bookmarkEnd w:id="2"/>
      <w:r w:rsidRPr="00F76FD8">
        <w:rPr>
          <w:rFonts w:ascii="Palatino Linotype" w:eastAsia="Palatino Linotype" w:hAnsi="Palatino Linotype" w:cs="Palatino Linotype"/>
          <w:b/>
          <w:color w:val="000000" w:themeColor="text1"/>
        </w:rPr>
        <w:t>PRIMERO. De la competencia</w:t>
      </w:r>
    </w:p>
    <w:p w:rsidR="003C69BE" w:rsidRPr="00F76FD8" w:rsidRDefault="00C644B0" w:rsidP="00F76FD8">
      <w:pPr>
        <w:numPr>
          <w:ilvl w:val="0"/>
          <w:numId w:val="3"/>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noveno, cuadragésimo y cuadragésimo primero,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rsidR="003C69BE" w:rsidRPr="00F76FD8" w:rsidRDefault="003C69BE" w:rsidP="00F76FD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C69BE" w:rsidRPr="00F76FD8" w:rsidRDefault="00C644B0" w:rsidP="00F76FD8">
      <w:pPr>
        <w:keepNext/>
        <w:keepLines/>
        <w:spacing w:line="360" w:lineRule="auto"/>
        <w:rPr>
          <w:rFonts w:ascii="Palatino Linotype" w:eastAsia="Palatino Linotype" w:hAnsi="Palatino Linotype" w:cs="Palatino Linotype"/>
          <w:b/>
          <w:color w:val="000000" w:themeColor="text1"/>
        </w:rPr>
      </w:pPr>
      <w:bookmarkStart w:id="3" w:name="_heading=h.3znysh7" w:colFirst="0" w:colLast="0"/>
      <w:bookmarkEnd w:id="3"/>
      <w:r w:rsidRPr="00F76FD8">
        <w:rPr>
          <w:rFonts w:ascii="Palatino Linotype" w:eastAsia="Palatino Linotype" w:hAnsi="Palatino Linotype" w:cs="Palatino Linotype"/>
          <w:b/>
          <w:color w:val="000000" w:themeColor="text1"/>
        </w:rPr>
        <w:t>SEGUNDO. De la oportunidad y procedencia.</w:t>
      </w:r>
    </w:p>
    <w:p w:rsidR="003C69BE" w:rsidRPr="00F76FD8" w:rsidRDefault="00C644B0" w:rsidP="00F76FD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 xml:space="preserve">El medio de impugnación fue presentado a través del </w:t>
      </w:r>
      <w:r w:rsidRPr="00F76FD8">
        <w:rPr>
          <w:rFonts w:ascii="Palatino Linotype" w:eastAsia="Palatino Linotype" w:hAnsi="Palatino Linotype" w:cs="Palatino Linotype"/>
          <w:b/>
          <w:color w:val="000000" w:themeColor="text1"/>
        </w:rPr>
        <w:t>SAIMEX,</w:t>
      </w:r>
      <w:r w:rsidRPr="00F76FD8">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siendo así que el </w:t>
      </w:r>
      <w:r w:rsidRPr="00F76FD8">
        <w:rPr>
          <w:rFonts w:ascii="Palatino Linotype" w:eastAsia="Palatino Linotype" w:hAnsi="Palatino Linotype" w:cs="Palatino Linotype"/>
          <w:b/>
          <w:color w:val="000000" w:themeColor="text1"/>
        </w:rPr>
        <w:t>SUJETO OBLIGADO</w:t>
      </w:r>
      <w:r w:rsidRPr="00F76FD8">
        <w:rPr>
          <w:rFonts w:ascii="Palatino Linotype" w:eastAsia="Palatino Linotype" w:hAnsi="Palatino Linotype" w:cs="Palatino Linotype"/>
          <w:color w:val="000000" w:themeColor="text1"/>
        </w:rPr>
        <w:t xml:space="preserve"> entregó respuesta a la solicitud el </w:t>
      </w:r>
      <w:r w:rsidRPr="00F76FD8">
        <w:rPr>
          <w:rFonts w:ascii="Palatino Linotype" w:eastAsia="Palatino Linotype" w:hAnsi="Palatino Linotype" w:cs="Palatino Linotype"/>
          <w:b/>
          <w:color w:val="000000" w:themeColor="text1"/>
        </w:rPr>
        <w:t>primero de abril de dos mil veinticinco</w:t>
      </w:r>
      <w:r w:rsidRPr="00F76FD8">
        <w:rPr>
          <w:rFonts w:ascii="Palatino Linotype" w:eastAsia="Palatino Linotype" w:hAnsi="Palatino Linotype" w:cs="Palatino Linotype"/>
          <w:color w:val="000000" w:themeColor="text1"/>
        </w:rPr>
        <w:t xml:space="preserve">, de tal forma que el plazo para interponer el recurso de revisión transcurrió del </w:t>
      </w:r>
      <w:r w:rsidRPr="00F76FD8">
        <w:rPr>
          <w:rFonts w:ascii="Palatino Linotype" w:eastAsia="Palatino Linotype" w:hAnsi="Palatino Linotype" w:cs="Palatino Linotype"/>
          <w:b/>
          <w:color w:val="000000" w:themeColor="text1"/>
        </w:rPr>
        <w:t>dos al veintinueve de abril de dos mil veinticinco</w:t>
      </w:r>
      <w:r w:rsidRPr="00F76FD8">
        <w:rPr>
          <w:rFonts w:ascii="Palatino Linotype" w:eastAsia="Palatino Linotype" w:hAnsi="Palatino Linotype" w:cs="Palatino Linotype"/>
          <w:color w:val="000000" w:themeColor="text1"/>
        </w:rPr>
        <w:t xml:space="preserve">; en consecuencia, presentó su inconformidad el </w:t>
      </w:r>
      <w:r w:rsidRPr="00F76FD8">
        <w:rPr>
          <w:rFonts w:ascii="Palatino Linotype" w:eastAsia="Palatino Linotype" w:hAnsi="Palatino Linotype" w:cs="Palatino Linotype"/>
          <w:b/>
          <w:color w:val="000000" w:themeColor="text1"/>
        </w:rPr>
        <w:t>día ocho de abril de dos mil veinticinco</w:t>
      </w:r>
      <w:r w:rsidRPr="00F76FD8">
        <w:rPr>
          <w:rFonts w:ascii="Palatino Linotype" w:eastAsia="Palatino Linotype" w:hAnsi="Palatino Linotype" w:cs="Palatino Linotype"/>
          <w:color w:val="000000" w:themeColor="text1"/>
        </w:rPr>
        <w:t xml:space="preserve">; por lo que se encuentra dentro de los márgenes temporales previstos en el artículo 178 de la </w:t>
      </w:r>
      <w:r w:rsidRPr="00F76FD8">
        <w:rPr>
          <w:rFonts w:ascii="Palatino Linotype" w:eastAsia="Palatino Linotype" w:hAnsi="Palatino Linotype" w:cs="Palatino Linotype"/>
          <w:b/>
          <w:color w:val="000000" w:themeColor="text1"/>
        </w:rPr>
        <w:t xml:space="preserve">Ley de Transparencia y Acceso a la Información Pública del Estado de México y Municipios </w:t>
      </w:r>
      <w:r w:rsidRPr="00F76FD8">
        <w:rPr>
          <w:rFonts w:ascii="Palatino Linotype" w:eastAsia="Palatino Linotype" w:hAnsi="Palatino Linotype" w:cs="Palatino Linotype"/>
          <w:color w:val="000000" w:themeColor="text1"/>
        </w:rPr>
        <w:t>vigente.</w:t>
      </w:r>
    </w:p>
    <w:p w:rsidR="003C69BE" w:rsidRPr="00F76FD8" w:rsidRDefault="003C69BE" w:rsidP="00F76FD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C69BE" w:rsidRPr="00F76FD8" w:rsidRDefault="00C644B0" w:rsidP="00F76FD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lastRenderedPageBreak/>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3C69BE" w:rsidRPr="00F76FD8" w:rsidRDefault="003C69BE" w:rsidP="00F76FD8">
      <w:pPr>
        <w:pBdr>
          <w:top w:val="nil"/>
          <w:left w:val="nil"/>
          <w:bottom w:val="nil"/>
          <w:right w:val="nil"/>
          <w:between w:val="nil"/>
        </w:pBdr>
        <w:rPr>
          <w:rFonts w:ascii="Palatino Linotype" w:eastAsia="Palatino Linotype" w:hAnsi="Palatino Linotype" w:cs="Palatino Linotype"/>
          <w:color w:val="000000" w:themeColor="text1"/>
        </w:rPr>
      </w:pPr>
    </w:p>
    <w:p w:rsidR="003C69BE" w:rsidRPr="00F76FD8" w:rsidRDefault="00C644B0" w:rsidP="00F76FD8">
      <w:pPr>
        <w:spacing w:line="360" w:lineRule="auto"/>
        <w:jc w:val="both"/>
        <w:rPr>
          <w:rFonts w:ascii="Palatino Linotype" w:eastAsia="Palatino Linotype" w:hAnsi="Palatino Linotype" w:cs="Palatino Linotype"/>
          <w:b/>
          <w:color w:val="000000" w:themeColor="text1"/>
        </w:rPr>
      </w:pPr>
      <w:bookmarkStart w:id="4" w:name="_heading=h.2et92p0" w:colFirst="0" w:colLast="0"/>
      <w:bookmarkEnd w:id="4"/>
      <w:r w:rsidRPr="00F76FD8">
        <w:rPr>
          <w:rFonts w:ascii="Palatino Linotype" w:eastAsia="Palatino Linotype" w:hAnsi="Palatino Linotype" w:cs="Palatino Linotype"/>
          <w:b/>
          <w:color w:val="000000" w:themeColor="text1"/>
        </w:rPr>
        <w:t>TERCERO. Planteamiento de la Litis.</w:t>
      </w:r>
    </w:p>
    <w:p w:rsidR="003C69BE" w:rsidRPr="00F76FD8" w:rsidRDefault="00C644B0" w:rsidP="00F76FD8">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 xml:space="preserve">Se solicitó los permisos que fueron otorgados y a quienes les fueron otorgados para la obra y/o proyecto de reparación y/o reconstrucción del “Puente Santiago”, que atraviesa el Gran Canal de Desagüe en el municipio de Nextlalpan.  </w:t>
      </w:r>
    </w:p>
    <w:p w:rsidR="003C69BE" w:rsidRPr="00F76FD8" w:rsidRDefault="003C69BE" w:rsidP="00F76FD8">
      <w:pPr>
        <w:spacing w:line="360" w:lineRule="auto"/>
        <w:jc w:val="both"/>
        <w:rPr>
          <w:rFonts w:ascii="Palatino Linotype" w:eastAsia="Palatino Linotype" w:hAnsi="Palatino Linotype" w:cs="Palatino Linotype"/>
          <w:i/>
          <w:color w:val="000000" w:themeColor="text1"/>
        </w:rPr>
      </w:pPr>
    </w:p>
    <w:p w:rsidR="003C69BE" w:rsidRPr="00F76FD8" w:rsidRDefault="00C644B0" w:rsidP="00F76FD8">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En respuesta, el Sujeto Obligado informó a través de la Dirección de Desarrollo Urbano que derivado de la búsqueda exhaustiva no se tiene la información solicitada, ya que, dicha obra, fue realizada en cumplimiento de los acuerdos firmados entre la Secretaría de la Defensa Nacional (SEDENA), la Secretaría de Desarrollo Agrario, Territorial y Urbano (SEDATU), con el Comisariado Ejidal de Santa Ana Nextlalpan.</w:t>
      </w:r>
    </w:p>
    <w:p w:rsidR="003C69BE" w:rsidRPr="00F76FD8" w:rsidRDefault="003C69BE" w:rsidP="00F76FD8">
      <w:pPr>
        <w:rPr>
          <w:rFonts w:ascii="Palatino Linotype" w:eastAsia="Palatino Linotype" w:hAnsi="Palatino Linotype" w:cs="Palatino Linotype"/>
          <w:color w:val="000000" w:themeColor="text1"/>
        </w:rPr>
      </w:pPr>
    </w:p>
    <w:p w:rsidR="003C69BE" w:rsidRPr="00F76FD8" w:rsidRDefault="00C644B0" w:rsidP="00F76FD8">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 xml:space="preserve">Posteriormente, el Recurrente interpuso recurso de revisión en el que, de forma medular, se inconformó por la negativa de la información.  </w:t>
      </w:r>
    </w:p>
    <w:p w:rsidR="003C69BE" w:rsidRPr="00F76FD8" w:rsidRDefault="003C69BE" w:rsidP="00F76FD8">
      <w:pPr>
        <w:spacing w:line="360" w:lineRule="auto"/>
        <w:jc w:val="both"/>
        <w:rPr>
          <w:rFonts w:ascii="Palatino Linotype" w:eastAsia="Palatino Linotype" w:hAnsi="Palatino Linotype" w:cs="Palatino Linotype"/>
          <w:color w:val="000000" w:themeColor="text1"/>
        </w:rPr>
      </w:pPr>
    </w:p>
    <w:p w:rsidR="003C69BE" w:rsidRPr="00F76FD8" w:rsidRDefault="00C644B0" w:rsidP="00F76FD8">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 xml:space="preserve">En consecuencia, la Litis a resolver en este recurso, se circunscribe a determinar si la respuesta colma con lo solicitado o si se actualiza la causal de procedencia prevista en el artículo 179, fracción I  de la Ley de Transparencia y Acceso a la Información Pública del Estado de México y Municipios; que establece la negativa de la información.   </w:t>
      </w:r>
    </w:p>
    <w:p w:rsidR="003C69BE" w:rsidRPr="00F76FD8" w:rsidRDefault="003C69BE" w:rsidP="00F76FD8">
      <w:pPr>
        <w:spacing w:line="360" w:lineRule="auto"/>
        <w:jc w:val="both"/>
        <w:rPr>
          <w:rFonts w:ascii="Palatino Linotype" w:eastAsia="Palatino Linotype" w:hAnsi="Palatino Linotype" w:cs="Palatino Linotype"/>
          <w:color w:val="000000" w:themeColor="text1"/>
        </w:rPr>
      </w:pPr>
    </w:p>
    <w:p w:rsidR="003C69BE" w:rsidRPr="00F76FD8" w:rsidRDefault="00C644B0" w:rsidP="00F76FD8">
      <w:pPr>
        <w:keepNext/>
        <w:keepLines/>
        <w:spacing w:line="360" w:lineRule="auto"/>
        <w:rPr>
          <w:rFonts w:ascii="Palatino Linotype" w:eastAsia="Palatino Linotype" w:hAnsi="Palatino Linotype" w:cs="Palatino Linotype"/>
          <w:b/>
          <w:color w:val="000000" w:themeColor="text1"/>
        </w:rPr>
      </w:pPr>
      <w:bookmarkStart w:id="5" w:name="_heading=h.tyjcwt" w:colFirst="0" w:colLast="0"/>
      <w:bookmarkEnd w:id="5"/>
      <w:r w:rsidRPr="00F76FD8">
        <w:rPr>
          <w:rFonts w:ascii="Palatino Linotype" w:eastAsia="Palatino Linotype" w:hAnsi="Palatino Linotype" w:cs="Palatino Linotype"/>
          <w:b/>
          <w:color w:val="000000" w:themeColor="text1"/>
        </w:rPr>
        <w:lastRenderedPageBreak/>
        <w:t>CUARTO. Del estudio y resolución del recurso de revisión.</w:t>
      </w:r>
    </w:p>
    <w:p w:rsidR="003C69BE" w:rsidRPr="00F76FD8" w:rsidRDefault="00C644B0" w:rsidP="00F76FD8">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Se 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Ley de Transparencia y Acceso a la Información Pública del Estado de México y Municipios.</w:t>
      </w:r>
    </w:p>
    <w:p w:rsidR="003C69BE" w:rsidRPr="00F76FD8" w:rsidRDefault="003C69BE" w:rsidP="00F76FD8">
      <w:pPr>
        <w:spacing w:line="360" w:lineRule="auto"/>
        <w:jc w:val="both"/>
        <w:rPr>
          <w:rFonts w:ascii="Palatino Linotype" w:eastAsia="Palatino Linotype" w:hAnsi="Palatino Linotype" w:cs="Palatino Linotype"/>
          <w:color w:val="000000" w:themeColor="text1"/>
        </w:rPr>
      </w:pPr>
    </w:p>
    <w:p w:rsidR="003C69BE" w:rsidRPr="00F76FD8" w:rsidRDefault="00C644B0" w:rsidP="00F76FD8">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 xml:space="preserve">Ahora bien, en el presente caso, el Recurrente solicitó los permisos que fueron otorgados y a quienes les fueron otorgados para la obra y/o proyecto de reparación y/o reconstrucción del “Puente Santiago”, que atraviesa el Gran Canal de Desagüe en el municipio de Nextlalpan.  </w:t>
      </w:r>
    </w:p>
    <w:p w:rsidR="003C69BE" w:rsidRPr="00F76FD8" w:rsidRDefault="003C69BE" w:rsidP="00F76FD8">
      <w:pPr>
        <w:pBdr>
          <w:top w:val="nil"/>
          <w:left w:val="nil"/>
          <w:bottom w:val="nil"/>
          <w:right w:val="nil"/>
          <w:between w:val="nil"/>
        </w:pBdr>
        <w:rPr>
          <w:rFonts w:ascii="Palatino Linotype" w:eastAsia="Palatino Linotype" w:hAnsi="Palatino Linotype" w:cs="Palatino Linotype"/>
          <w:color w:val="000000" w:themeColor="text1"/>
        </w:rPr>
      </w:pPr>
    </w:p>
    <w:p w:rsidR="003C69BE" w:rsidRPr="00F76FD8" w:rsidRDefault="00C644B0" w:rsidP="00F76FD8">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En respuesta, el Sujeto Obligado informó a través de la Dirección de Desarrollo Urbano que, después de una búsqueda exhaustiva no se ha encontrado registro alguno de la información solicitada, pues se trata de una obra que fue realizada  en cumplimiento de los acuerdos firmados entre la Secretaría de la Defensa Nacional (SEDENA), la Secretaría de Desarrollo Agrario, Territorial y Urbano (SEDATU), con el Comisariado Ejidal de Santa Ana Nextlalpan.</w:t>
      </w:r>
    </w:p>
    <w:p w:rsidR="003C69BE" w:rsidRPr="00F76FD8" w:rsidRDefault="003C69BE" w:rsidP="00F76FD8">
      <w:pPr>
        <w:pBdr>
          <w:top w:val="nil"/>
          <w:left w:val="nil"/>
          <w:bottom w:val="nil"/>
          <w:right w:val="nil"/>
          <w:between w:val="nil"/>
        </w:pBdr>
        <w:rPr>
          <w:rFonts w:ascii="Palatino Linotype" w:eastAsia="Palatino Linotype" w:hAnsi="Palatino Linotype" w:cs="Palatino Linotype"/>
          <w:color w:val="000000" w:themeColor="text1"/>
        </w:rPr>
      </w:pPr>
    </w:p>
    <w:p w:rsidR="003C69BE" w:rsidRPr="00F76FD8" w:rsidRDefault="00C644B0" w:rsidP="00F76FD8">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 xml:space="preserve">Derivado de la solicitud del Recurrente, resulta necesario señalar de manera enunciativa mas no limitativa que la información que pudiera colmar lo solicitado por el Recurrente, pudieran ser licencias de construcción, por lo que es oportuno señalar al respecto sobre las </w:t>
      </w:r>
      <w:r w:rsidRPr="00F76FD8">
        <w:rPr>
          <w:rFonts w:ascii="Palatino Linotype" w:eastAsia="Palatino Linotype" w:hAnsi="Palatino Linotype" w:cs="Palatino Linotype"/>
          <w:b/>
          <w:color w:val="000000" w:themeColor="text1"/>
          <w:u w:val="single"/>
        </w:rPr>
        <w:t>licencias de construcción</w:t>
      </w:r>
      <w:r w:rsidRPr="00F76FD8">
        <w:rPr>
          <w:rFonts w:ascii="Palatino Linotype" w:eastAsia="Palatino Linotype" w:hAnsi="Palatino Linotype" w:cs="Palatino Linotype"/>
          <w:color w:val="000000" w:themeColor="text1"/>
        </w:rPr>
        <w:t>, por lo que  se trae a colación lo establecido por el Código Administrativo del Estado de México el cual establece lo siguiente:</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b/>
          <w:i/>
          <w:color w:val="000000" w:themeColor="text1"/>
        </w:rPr>
        <w:t>Artículo 18.20.-</w:t>
      </w:r>
      <w:r w:rsidRPr="00F76FD8">
        <w:rPr>
          <w:rFonts w:ascii="Palatino Linotype" w:eastAsia="Palatino Linotype" w:hAnsi="Palatino Linotype" w:cs="Palatino Linotype"/>
          <w:i/>
          <w:color w:val="000000" w:themeColor="text1"/>
        </w:rPr>
        <w:t xml:space="preserve"> La licencia de construcción tiene por objeto autorizar:</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I. Obra nueva;</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lastRenderedPageBreak/>
        <w:t>II. Ampliación, modificación o reparación que afecte elementos estructurales de la obra existente;</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III. Demolición parcial o total;</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IV. Excavación o relleno;</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V. Construcción de bardas;</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VI. Obras de conexión a las redes de agua potable y drenaje;</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VII. Modificación del proyecto de una obra autorizada;</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VIII. Construcción e instalación de estaciones repetidoras y antenas para radiotelecomunicaciones;</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IX. Anuncios publicitarios que requieran de elementos estructurales; y</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X. Instalaciones o modificaciones de ascensores para personas, montacargas, escaleras mecánicas o cualquier otro mecanismo de transporte electromecánico.</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La licencia de construcción tendrá vigencia de un año y podrá autorizar, además del uso de la vía pública, uno o más de los rubros señalados, conforme a la solicitud que se presente.</w:t>
      </w:r>
    </w:p>
    <w:p w:rsidR="003C69BE" w:rsidRPr="00F76FD8" w:rsidRDefault="003C69BE" w:rsidP="00F76FD8">
      <w:pPr>
        <w:spacing w:line="360" w:lineRule="auto"/>
        <w:jc w:val="both"/>
        <w:rPr>
          <w:rFonts w:ascii="Palatino Linotype" w:eastAsia="Palatino Linotype" w:hAnsi="Palatino Linotype" w:cs="Palatino Linotype"/>
          <w:i/>
          <w:color w:val="000000" w:themeColor="text1"/>
        </w:rPr>
      </w:pP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La autoridad municipal que emita la licencia de construcción deberá revisar que en el proyecto que autoriza se observen las disposiciones de este Libro, las Normas Técnicas y demás disposiciones jurídicas aplicables y deberá otorgar o negar la misma dando respuesta en un plazo no mayor de tres días hábiles posteriores a la fecha de presentación o recepción de la solicitud que reúna todos los requisitos establecidos en la Ley.</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w:t>
      </w:r>
    </w:p>
    <w:p w:rsidR="003C69BE" w:rsidRPr="00F76FD8" w:rsidRDefault="003C69BE" w:rsidP="00F76FD8">
      <w:pPr>
        <w:spacing w:line="360" w:lineRule="auto"/>
        <w:jc w:val="both"/>
        <w:rPr>
          <w:rFonts w:ascii="Palatino Linotype" w:eastAsia="Palatino Linotype" w:hAnsi="Palatino Linotype" w:cs="Palatino Linotype"/>
          <w:i/>
          <w:color w:val="000000" w:themeColor="text1"/>
        </w:rPr>
      </w:pPr>
    </w:p>
    <w:p w:rsidR="003C69BE" w:rsidRPr="00F76FD8" w:rsidRDefault="00C644B0" w:rsidP="00F76FD8">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Con la normatividad transcrita, se concluye que el Sujeto Obligado tiene la facultad para emitir licencias de construcción, mismas que son interés del Particular, por lo que debe tener en sus archivos los documentos de los que se desprenda lo que el Recurrente solicita; respecto las licencias de construcción.</w:t>
      </w:r>
    </w:p>
    <w:p w:rsidR="003C69BE" w:rsidRPr="00F76FD8" w:rsidRDefault="003C69BE" w:rsidP="00F76FD8">
      <w:pPr>
        <w:spacing w:line="360" w:lineRule="auto"/>
        <w:jc w:val="both"/>
        <w:rPr>
          <w:rFonts w:ascii="Palatino Linotype" w:eastAsia="Palatino Linotype" w:hAnsi="Palatino Linotype" w:cs="Palatino Linotype"/>
          <w:color w:val="000000" w:themeColor="text1"/>
        </w:rPr>
      </w:pPr>
    </w:p>
    <w:p w:rsidR="003C69BE" w:rsidRPr="00F76FD8" w:rsidRDefault="00C644B0" w:rsidP="00F76FD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lastRenderedPageBreak/>
        <w:t xml:space="preserve">Ahora bien, debemos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F76FD8">
        <w:rPr>
          <w:rFonts w:ascii="Palatino Linotype" w:eastAsia="Palatino Linotype" w:hAnsi="Palatino Linotype" w:cs="Palatino Linotype"/>
          <w:i/>
          <w:color w:val="000000" w:themeColor="text1"/>
        </w:rPr>
        <w:t xml:space="preserve">en el ámbito de sus atribuciones, de promover, respetar, proteger y </w:t>
      </w:r>
      <w:r w:rsidRPr="00F76FD8">
        <w:rPr>
          <w:rFonts w:ascii="Palatino Linotype" w:eastAsia="Palatino Linotype" w:hAnsi="Palatino Linotype" w:cs="Palatino Linotype"/>
          <w:b/>
          <w:i/>
          <w:color w:val="000000" w:themeColor="text1"/>
        </w:rPr>
        <w:t>garantizar</w:t>
      </w:r>
      <w:r w:rsidRPr="00F76FD8">
        <w:rPr>
          <w:rFonts w:ascii="Palatino Linotype" w:eastAsia="Palatino Linotype" w:hAnsi="Palatino Linotype" w:cs="Palatino Linotype"/>
          <w:i/>
          <w:color w:val="000000" w:themeColor="text1"/>
        </w:rPr>
        <w:t xml:space="preserve"> los derechos humanos. </w:t>
      </w:r>
      <w:r w:rsidRPr="00F76FD8">
        <w:rPr>
          <w:rFonts w:ascii="Palatino Linotype" w:eastAsia="Palatino Linotype" w:hAnsi="Palatino Linotype" w:cs="Palatino Linotype"/>
          <w:b/>
          <w:i/>
          <w:color w:val="000000" w:themeColor="text1"/>
        </w:rPr>
        <w:t>En cuanto al derecho de acceso a la información, la Ley de Transparencia y Acceso a la Información Pública del Estado de México y Municipios prevé establece que e</w:t>
      </w:r>
      <w:r w:rsidRPr="00F76FD8">
        <w:rPr>
          <w:rFonts w:ascii="Palatino Linotype" w:eastAsia="Palatino Linotype" w:hAnsi="Palatino Linotype" w:cs="Palatino Linotype"/>
          <w:i/>
          <w:color w:val="000000" w:themeColor="text1"/>
        </w:rPr>
        <w:t>l procedimiento de acceso a la información es la garantía primaria del derecho en cuestión y se rige por los principios de simplicidad, rapidez y gratuidad del procedimiento, auxilio y orientación a los particulares</w:t>
      </w:r>
      <w:r w:rsidRPr="00F76FD8">
        <w:rPr>
          <w:rFonts w:ascii="Palatino Linotype" w:eastAsia="Palatino Linotype" w:hAnsi="Palatino Linotype" w:cs="Palatino Linotype"/>
          <w:i/>
          <w:color w:val="000000" w:themeColor="text1"/>
          <w:vertAlign w:val="superscript"/>
        </w:rPr>
        <w:footnoteReference w:id="1"/>
      </w:r>
      <w:r w:rsidRPr="00F76FD8">
        <w:rPr>
          <w:rFonts w:ascii="Palatino Linotype" w:eastAsia="Palatino Linotype" w:hAnsi="Palatino Linotype" w:cs="Palatino Linotype"/>
          <w:i/>
          <w:color w:val="000000" w:themeColor="text1"/>
        </w:rPr>
        <w:t xml:space="preserve">, </w:t>
      </w:r>
      <w:r w:rsidRPr="00F76FD8">
        <w:rPr>
          <w:rFonts w:ascii="Palatino Linotype" w:eastAsia="Palatino Linotype" w:hAnsi="Palatino Linotype" w:cs="Palatino Linotype"/>
          <w:color w:val="000000" w:themeColor="text1"/>
        </w:rPr>
        <w:t>asimismo establece</w:t>
      </w:r>
      <w:r w:rsidRPr="00F76FD8">
        <w:rPr>
          <w:rFonts w:ascii="Palatino Linotype" w:eastAsia="Palatino Linotype" w:hAnsi="Palatino Linotype" w:cs="Palatino Linotype"/>
          <w:i/>
          <w:color w:val="000000" w:themeColor="text1"/>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3C69BE" w:rsidRPr="00F76FD8" w:rsidRDefault="003C69BE" w:rsidP="00F76FD8">
      <w:pPr>
        <w:pBdr>
          <w:top w:val="nil"/>
          <w:left w:val="nil"/>
          <w:bottom w:val="nil"/>
          <w:right w:val="nil"/>
          <w:between w:val="nil"/>
        </w:pBdr>
        <w:rPr>
          <w:rFonts w:ascii="Palatino Linotype" w:eastAsia="Palatino Linotype" w:hAnsi="Palatino Linotype" w:cs="Palatino Linotype"/>
          <w:color w:val="000000" w:themeColor="text1"/>
        </w:rPr>
      </w:pPr>
    </w:p>
    <w:p w:rsidR="003C69BE" w:rsidRPr="00F76FD8" w:rsidRDefault="00C644B0" w:rsidP="00F76FD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rsidR="003C69BE" w:rsidRPr="00F76FD8" w:rsidRDefault="003C69BE" w:rsidP="00F76FD8">
      <w:pPr>
        <w:pBdr>
          <w:top w:val="nil"/>
          <w:left w:val="nil"/>
          <w:bottom w:val="nil"/>
          <w:right w:val="nil"/>
          <w:between w:val="nil"/>
        </w:pBdr>
        <w:rPr>
          <w:rFonts w:ascii="Palatino Linotype" w:eastAsia="Palatino Linotype" w:hAnsi="Palatino Linotype" w:cs="Palatino Linotype"/>
          <w:color w:val="000000" w:themeColor="text1"/>
        </w:rPr>
      </w:pPr>
    </w:p>
    <w:p w:rsidR="003C69BE" w:rsidRPr="00F76FD8" w:rsidRDefault="00C644B0" w:rsidP="00F76FD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lastRenderedPageBreak/>
        <w:t xml:space="preserve">Es así que, su obligación es </w:t>
      </w:r>
      <w:r w:rsidRPr="00F76FD8">
        <w:rPr>
          <w:rFonts w:ascii="Palatino Linotype" w:eastAsia="Palatino Linotype" w:hAnsi="Palatino Linotype" w:cs="Palatino Linotype"/>
          <w:i/>
          <w:color w:val="000000" w:themeColor="text1"/>
        </w:rPr>
        <w:t>realizar, con efectividad, los trámites internos necesarios para la atención de las solicitudes de información</w:t>
      </w:r>
      <w:r w:rsidRPr="00F76FD8">
        <w:rPr>
          <w:rFonts w:ascii="Palatino Linotype" w:eastAsia="Palatino Linotype" w:hAnsi="Palatino Linotype" w:cs="Palatino Linotype"/>
          <w:color w:val="000000" w:themeColor="text1"/>
          <w:vertAlign w:val="superscript"/>
        </w:rPr>
        <w:footnoteReference w:id="2"/>
      </w:r>
      <w:r w:rsidRPr="00F76FD8">
        <w:rPr>
          <w:rFonts w:ascii="Palatino Linotype" w:eastAsia="Palatino Linotype" w:hAnsi="Palatino Linotype" w:cs="Palatino Linotype"/>
          <w:color w:val="000000" w:themeColor="text1"/>
        </w:rPr>
        <w:t>, es decir, deben otorgar respuestas concisas, contundentes y sobre todo que den la certeza de los actos que realizan.</w:t>
      </w:r>
    </w:p>
    <w:p w:rsidR="003C69BE" w:rsidRPr="00F76FD8" w:rsidRDefault="003C69BE" w:rsidP="00F76FD8">
      <w:pPr>
        <w:pBdr>
          <w:top w:val="nil"/>
          <w:left w:val="nil"/>
          <w:bottom w:val="nil"/>
          <w:right w:val="nil"/>
          <w:between w:val="nil"/>
        </w:pBdr>
        <w:rPr>
          <w:rFonts w:ascii="Palatino Linotype" w:eastAsia="Palatino Linotype" w:hAnsi="Palatino Linotype" w:cs="Palatino Linotype"/>
          <w:color w:val="000000" w:themeColor="text1"/>
        </w:rPr>
      </w:pPr>
    </w:p>
    <w:p w:rsidR="003C69BE" w:rsidRPr="00F76FD8" w:rsidRDefault="00C644B0" w:rsidP="00F76FD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Al respecto, es menester hacer referencia a lo establecido en los artículos 50, 53 fracciones II, IV y V, 58, 59 fracciones I y II, y 162 de la Ley de Transparencia y Acceso a la Información del Estado de México y Municipios, que a la letra estipulan lo siguiente:</w:t>
      </w:r>
    </w:p>
    <w:p w:rsidR="003C69BE" w:rsidRPr="00F76FD8" w:rsidRDefault="00C644B0" w:rsidP="00F76FD8">
      <w:pPr>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b/>
          <w:i/>
          <w:color w:val="000000" w:themeColor="text1"/>
        </w:rPr>
        <w:t xml:space="preserve">Artículo 50. </w:t>
      </w:r>
      <w:r w:rsidRPr="00F76FD8">
        <w:rPr>
          <w:rFonts w:ascii="Palatino Linotype" w:eastAsia="Palatino Linotype" w:hAnsi="Palatino Linotype" w:cs="Palatino Linotype"/>
          <w:i/>
          <w:color w:val="000000" w:themeColor="text1"/>
        </w:rPr>
        <w:t>Los sujetos obligados contarán con un área responsable para la atención de las solicitudes de información, a la que se le denominará Unidad de Transparencia.</w:t>
      </w:r>
    </w:p>
    <w:p w:rsidR="003C69BE" w:rsidRPr="00F76FD8" w:rsidRDefault="003C69BE" w:rsidP="00F76FD8">
      <w:pPr>
        <w:jc w:val="both"/>
        <w:rPr>
          <w:rFonts w:ascii="Palatino Linotype" w:eastAsia="Palatino Linotype" w:hAnsi="Palatino Linotype" w:cs="Palatino Linotype"/>
          <w:i/>
          <w:color w:val="000000" w:themeColor="text1"/>
        </w:rPr>
      </w:pPr>
    </w:p>
    <w:p w:rsidR="003C69BE" w:rsidRPr="00F76FD8" w:rsidRDefault="00C644B0" w:rsidP="00F76FD8">
      <w:pPr>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b/>
          <w:i/>
          <w:color w:val="000000" w:themeColor="text1"/>
        </w:rPr>
        <w:t xml:space="preserve">Artículo 53. </w:t>
      </w:r>
      <w:r w:rsidRPr="00F76FD8">
        <w:rPr>
          <w:rFonts w:ascii="Palatino Linotype" w:eastAsia="Palatino Linotype" w:hAnsi="Palatino Linotype" w:cs="Palatino Linotype"/>
          <w:i/>
          <w:color w:val="000000" w:themeColor="text1"/>
        </w:rPr>
        <w:t>Las Unidades de Transparencia tendrán las siguientes funciones:</w:t>
      </w:r>
    </w:p>
    <w:p w:rsidR="003C69BE" w:rsidRPr="00F76FD8" w:rsidRDefault="00C644B0" w:rsidP="00F76FD8">
      <w:pPr>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w:t>
      </w:r>
    </w:p>
    <w:p w:rsidR="003C69BE" w:rsidRPr="00F76FD8" w:rsidRDefault="00C644B0" w:rsidP="00F76FD8">
      <w:pPr>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b/>
          <w:i/>
          <w:color w:val="000000" w:themeColor="text1"/>
        </w:rPr>
        <w:t>II.</w:t>
      </w:r>
      <w:r w:rsidRPr="00F76FD8">
        <w:rPr>
          <w:rFonts w:ascii="Palatino Linotype" w:eastAsia="Palatino Linotype" w:hAnsi="Palatino Linotype" w:cs="Palatino Linotype"/>
          <w:i/>
          <w:color w:val="000000" w:themeColor="text1"/>
        </w:rPr>
        <w:t xml:space="preserve"> Recibir, tramitar y dar respuesta a las solicitudes de acceso a la información;</w:t>
      </w:r>
    </w:p>
    <w:p w:rsidR="003C69BE" w:rsidRPr="00F76FD8" w:rsidRDefault="00C644B0" w:rsidP="00F76FD8">
      <w:pPr>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w:t>
      </w:r>
    </w:p>
    <w:p w:rsidR="003C69BE" w:rsidRPr="00F76FD8" w:rsidRDefault="00C644B0" w:rsidP="00F76FD8">
      <w:pPr>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b/>
          <w:i/>
          <w:color w:val="000000" w:themeColor="text1"/>
        </w:rPr>
        <w:t>IV.</w:t>
      </w:r>
      <w:r w:rsidRPr="00F76FD8">
        <w:rPr>
          <w:rFonts w:ascii="Palatino Linotype" w:eastAsia="Palatino Linotype" w:hAnsi="Palatino Linotype" w:cs="Palatino Linotype"/>
          <w:i/>
          <w:color w:val="000000" w:themeColor="text1"/>
        </w:rPr>
        <w:t xml:space="preserve"> Realizar, con efectividad, los trámites internos necesarios para la atención de las solicitudes de acceso a la información;</w:t>
      </w:r>
    </w:p>
    <w:p w:rsidR="003C69BE" w:rsidRPr="00F76FD8" w:rsidRDefault="00C644B0" w:rsidP="00F76FD8">
      <w:pPr>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b/>
          <w:i/>
          <w:color w:val="000000" w:themeColor="text1"/>
        </w:rPr>
        <w:t>V.</w:t>
      </w:r>
      <w:r w:rsidRPr="00F76FD8">
        <w:rPr>
          <w:rFonts w:ascii="Palatino Linotype" w:eastAsia="Palatino Linotype" w:hAnsi="Palatino Linotype" w:cs="Palatino Linotype"/>
          <w:i/>
          <w:color w:val="000000" w:themeColor="text1"/>
        </w:rPr>
        <w:t xml:space="preserve"> Entregar, en su caso, a los particulares la información solicitada;</w:t>
      </w:r>
    </w:p>
    <w:p w:rsidR="003C69BE" w:rsidRPr="00F76FD8" w:rsidRDefault="00C644B0" w:rsidP="00F76FD8">
      <w:pPr>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w:t>
      </w:r>
    </w:p>
    <w:p w:rsidR="003C69BE" w:rsidRPr="00F76FD8" w:rsidRDefault="003C69BE" w:rsidP="00F76FD8">
      <w:pPr>
        <w:jc w:val="both"/>
        <w:rPr>
          <w:rFonts w:ascii="Palatino Linotype" w:eastAsia="Palatino Linotype" w:hAnsi="Palatino Linotype" w:cs="Palatino Linotype"/>
          <w:i/>
          <w:color w:val="000000" w:themeColor="text1"/>
        </w:rPr>
      </w:pPr>
    </w:p>
    <w:p w:rsidR="003C69BE" w:rsidRPr="00F76FD8" w:rsidRDefault="00C644B0" w:rsidP="00F76FD8">
      <w:pPr>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b/>
          <w:i/>
          <w:color w:val="000000" w:themeColor="text1"/>
        </w:rPr>
        <w:t xml:space="preserve">Artículo 58. </w:t>
      </w:r>
      <w:r w:rsidRPr="00F76FD8">
        <w:rPr>
          <w:rFonts w:ascii="Palatino Linotype" w:eastAsia="Palatino Linotype" w:hAnsi="Palatino Linotype" w:cs="Palatino Linotype"/>
          <w:i/>
          <w:color w:val="000000" w:themeColor="text1"/>
        </w:rPr>
        <w:t>Los servidores públicos habilitados serán designados por el titular del sujeto obligado a propuesta del responsable de la Unidad de Transparencia.</w:t>
      </w:r>
    </w:p>
    <w:p w:rsidR="003C69BE" w:rsidRPr="00F76FD8" w:rsidRDefault="003C69BE" w:rsidP="00F76FD8">
      <w:pPr>
        <w:jc w:val="both"/>
        <w:rPr>
          <w:rFonts w:ascii="Palatino Linotype" w:eastAsia="Palatino Linotype" w:hAnsi="Palatino Linotype" w:cs="Palatino Linotype"/>
          <w:i/>
          <w:color w:val="000000" w:themeColor="text1"/>
        </w:rPr>
      </w:pPr>
    </w:p>
    <w:p w:rsidR="003C69BE" w:rsidRPr="00F76FD8" w:rsidRDefault="00C644B0" w:rsidP="00F76FD8">
      <w:pPr>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b/>
          <w:i/>
          <w:color w:val="000000" w:themeColor="text1"/>
        </w:rPr>
        <w:t xml:space="preserve">Artículo 59. </w:t>
      </w:r>
      <w:r w:rsidRPr="00F76FD8">
        <w:rPr>
          <w:rFonts w:ascii="Palatino Linotype" w:eastAsia="Palatino Linotype" w:hAnsi="Palatino Linotype" w:cs="Palatino Linotype"/>
          <w:i/>
          <w:color w:val="000000" w:themeColor="text1"/>
        </w:rPr>
        <w:t>Los servidores públicos habilitados tendrán las funciones siguientes:</w:t>
      </w:r>
    </w:p>
    <w:p w:rsidR="003C69BE" w:rsidRPr="00F76FD8" w:rsidRDefault="003C69BE" w:rsidP="00F76FD8">
      <w:pPr>
        <w:jc w:val="both"/>
        <w:rPr>
          <w:rFonts w:ascii="Palatino Linotype" w:eastAsia="Palatino Linotype" w:hAnsi="Palatino Linotype" w:cs="Palatino Linotype"/>
          <w:i/>
          <w:color w:val="000000" w:themeColor="text1"/>
        </w:rPr>
      </w:pPr>
    </w:p>
    <w:p w:rsidR="003C69BE" w:rsidRPr="00F76FD8" w:rsidRDefault="00C644B0" w:rsidP="00F76FD8">
      <w:pPr>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b/>
          <w:i/>
          <w:color w:val="000000" w:themeColor="text1"/>
        </w:rPr>
        <w:t>I.</w:t>
      </w:r>
      <w:r w:rsidRPr="00F76FD8">
        <w:rPr>
          <w:rFonts w:ascii="Palatino Linotype" w:eastAsia="Palatino Linotype" w:hAnsi="Palatino Linotype" w:cs="Palatino Linotype"/>
          <w:i/>
          <w:color w:val="000000" w:themeColor="text1"/>
        </w:rPr>
        <w:t xml:space="preserve"> Localizar la información que le solicite la Unidad de Transparencia;</w:t>
      </w:r>
    </w:p>
    <w:p w:rsidR="003C69BE" w:rsidRPr="00F76FD8" w:rsidRDefault="00C644B0" w:rsidP="00F76FD8">
      <w:pPr>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b/>
          <w:i/>
          <w:color w:val="000000" w:themeColor="text1"/>
        </w:rPr>
        <w:t>II.</w:t>
      </w:r>
      <w:r w:rsidRPr="00F76FD8">
        <w:rPr>
          <w:rFonts w:ascii="Palatino Linotype" w:eastAsia="Palatino Linotype" w:hAnsi="Palatino Linotype" w:cs="Palatino Linotype"/>
          <w:i/>
          <w:color w:val="000000" w:themeColor="text1"/>
        </w:rPr>
        <w:t xml:space="preserve"> Proporcionar la información que obre en los archivos y que le sea solicitada por la Unidad de Transparencia;</w:t>
      </w:r>
    </w:p>
    <w:p w:rsidR="003C69BE" w:rsidRPr="00F76FD8" w:rsidRDefault="00C644B0" w:rsidP="00F76FD8">
      <w:pPr>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w:t>
      </w:r>
    </w:p>
    <w:p w:rsidR="003C69BE" w:rsidRPr="00F76FD8" w:rsidRDefault="003C69BE" w:rsidP="00F76FD8">
      <w:pPr>
        <w:jc w:val="both"/>
        <w:rPr>
          <w:rFonts w:ascii="Palatino Linotype" w:eastAsia="Palatino Linotype" w:hAnsi="Palatino Linotype" w:cs="Palatino Linotype"/>
          <w:i/>
          <w:color w:val="000000" w:themeColor="text1"/>
        </w:rPr>
      </w:pPr>
    </w:p>
    <w:p w:rsidR="003C69BE" w:rsidRPr="00F76FD8" w:rsidRDefault="00C644B0" w:rsidP="00F76FD8">
      <w:pPr>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b/>
          <w:i/>
          <w:color w:val="000000" w:themeColor="text1"/>
        </w:rPr>
        <w:t xml:space="preserve">Artículo 162. </w:t>
      </w:r>
      <w:r w:rsidRPr="00F76FD8">
        <w:rPr>
          <w:rFonts w:ascii="Palatino Linotype" w:eastAsia="Palatino Linotype" w:hAnsi="Palatino Linotype" w:cs="Palatino Linotype"/>
          <w:i/>
          <w:color w:val="000000" w:themeColor="text1"/>
        </w:rPr>
        <w:t xml:space="preserve">Las unidades de transparencia deberán garantizar que las solicitudes se turnen a todas las Áreas competentes que cuenten con la información o deban tenerla de acuerdo a sus facultades, </w:t>
      </w:r>
      <w:r w:rsidRPr="00F76FD8">
        <w:rPr>
          <w:rFonts w:ascii="Palatino Linotype" w:eastAsia="Palatino Linotype" w:hAnsi="Palatino Linotype" w:cs="Palatino Linotype"/>
          <w:i/>
          <w:color w:val="000000" w:themeColor="text1"/>
        </w:rPr>
        <w:lastRenderedPageBreak/>
        <w:t>competencias y funciones, con el objeto de que realicen una búsqueda exhaustiva y razonable de la información solicitada.</w:t>
      </w:r>
    </w:p>
    <w:p w:rsidR="003C69BE" w:rsidRPr="00F76FD8" w:rsidRDefault="003C69BE" w:rsidP="00F76FD8">
      <w:pPr>
        <w:spacing w:line="360" w:lineRule="auto"/>
        <w:jc w:val="both"/>
        <w:rPr>
          <w:rFonts w:ascii="Palatino Linotype" w:eastAsia="Palatino Linotype" w:hAnsi="Palatino Linotype" w:cs="Palatino Linotype"/>
          <w:color w:val="000000" w:themeColor="text1"/>
        </w:rPr>
      </w:pPr>
    </w:p>
    <w:p w:rsidR="003C69BE" w:rsidRPr="00F76FD8" w:rsidRDefault="00C644B0" w:rsidP="00F76FD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De los artículos citados se desprende que las Unidades de Transparencia de los sujetos obligados son las encargadas de tramitar internamente las solicitudes de información y tienen, entre otras funciones, las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 Por su parte, los servidores públicos habilitados auxiliarán a las Unidades de Transparencia localizando la información solicitada y proporcionando la misma que obre en sus archivos. Asimismo, es una obligación de la Unidades de Transparencia turnar a todas las áreas que se consideren competentes para que realicen una búsqueda exhaustiva y razonable de la información solicitada a fin de que ésta sea entregada a los solicitantes.</w:t>
      </w:r>
    </w:p>
    <w:p w:rsidR="003C69BE" w:rsidRPr="00F76FD8" w:rsidRDefault="003C69BE" w:rsidP="00F76FD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C69BE" w:rsidRPr="00F76FD8" w:rsidRDefault="00C644B0" w:rsidP="00F76FD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Así, se debe entender que el trámite interno que se realice a las solicitudes de acceso a la información, es con el propósito de que se realice una búsqueda exhaustiva y razonable de la información entre sus archivos y, en su caso, se entregue la información de interés para el particular.</w:t>
      </w:r>
    </w:p>
    <w:p w:rsidR="003C69BE" w:rsidRPr="00F76FD8" w:rsidRDefault="003C69BE" w:rsidP="00F76FD8">
      <w:pPr>
        <w:pBdr>
          <w:top w:val="nil"/>
          <w:left w:val="nil"/>
          <w:bottom w:val="nil"/>
          <w:right w:val="nil"/>
          <w:between w:val="nil"/>
        </w:pBdr>
        <w:rPr>
          <w:rFonts w:ascii="Palatino Linotype" w:eastAsia="Palatino Linotype" w:hAnsi="Palatino Linotype" w:cs="Palatino Linotype"/>
          <w:color w:val="000000" w:themeColor="text1"/>
        </w:rPr>
      </w:pPr>
    </w:p>
    <w:p w:rsidR="003C69BE" w:rsidRPr="00F76FD8" w:rsidRDefault="00C644B0" w:rsidP="00F76FD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En el caso que se resuelve, la respuesta fue emitida por la Dirección de Desarrollo Urbano, quien de acuerdo al Bando Municipal de Nextlalpan 2025, artículo 57, tiene entre otras, las siguientes atribuciones:</w:t>
      </w:r>
    </w:p>
    <w:p w:rsidR="003C69BE" w:rsidRPr="00F76FD8" w:rsidRDefault="00C644B0" w:rsidP="00F76FD8">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 xml:space="preserve">“I. Formular, aprobar, ejecutar, evaluar, modificar y actualizar los planes municipales de desarrollo urbano y los par- 37 ciales que de ellos deriven; </w:t>
      </w:r>
    </w:p>
    <w:p w:rsidR="003C69BE" w:rsidRPr="00F76FD8" w:rsidRDefault="00C644B0" w:rsidP="00F76FD8">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II. Participar en la elaboración o modificación del respectivo plan regional de desarrollo urbano o de los parciales que de éste deriven, cuando incluya parte o la totalidad de su territorio;</w:t>
      </w:r>
    </w:p>
    <w:p w:rsidR="003C69BE" w:rsidRPr="00F76FD8" w:rsidRDefault="00C644B0" w:rsidP="00F76FD8">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lastRenderedPageBreak/>
        <w:t xml:space="preserve">III. Aprobar los proyectos ejecutivos, las memorias de cálculo y las especificaciones técnicas de las obras de infraestructura hidráulica, sanitaria y de urbanización, que establezcan los acuerdos de autorización de conjuntos urbanos, subdivisiones y condominios, con excepción de los proyectos que sean de competencia de las autoridades estatales o federales; </w:t>
      </w:r>
    </w:p>
    <w:p w:rsidR="003C69BE" w:rsidRPr="00F76FD8" w:rsidRDefault="00C644B0" w:rsidP="00F76FD8">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IV. Supervisar la ejecución de las obras de urbanización e infraestructura hidráulica y sanitaria que establezcan los acuerdos de autorización de conjuntos urbanos, subdivisiones y condominios, que sean de su ámbito de competencia, verificando que éstos cumplan las condiciones para la adecuada prestación de servicios públicos;</w:t>
      </w:r>
    </w:p>
    <w:p w:rsidR="003C69BE" w:rsidRPr="00F76FD8" w:rsidRDefault="00C644B0" w:rsidP="00F76FD8">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w:t>
      </w:r>
    </w:p>
    <w:p w:rsidR="003C69BE" w:rsidRPr="00F76FD8" w:rsidRDefault="00C644B0" w:rsidP="00F76FD8">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 xml:space="preserve">VIII. Autorizar, controlar y vigilar la utilización y aprovechamiento del suelo con fines urbanos, en sus circunscripciones territoriales; </w:t>
      </w:r>
    </w:p>
    <w:p w:rsidR="003C69BE" w:rsidRPr="00F76FD8" w:rsidRDefault="00C644B0" w:rsidP="00F76FD8">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 xml:space="preserve">IX. Difundir los planes de desarrollo urbano, así como los trámites para obtener las autorizaciones y licencias; </w:t>
      </w:r>
    </w:p>
    <w:p w:rsidR="003C69BE" w:rsidRPr="00F76FD8" w:rsidRDefault="00C644B0" w:rsidP="00F76FD8">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X. Participar en los órganos de coordinación estatal, regional y metropolitana, en materia de ordenamiento territorial de los asentamientos humanos, desarrollo urbano de los centros de población y vivienda;</w:t>
      </w:r>
    </w:p>
    <w:p w:rsidR="003C69BE" w:rsidRPr="00F76FD8" w:rsidRDefault="00C644B0" w:rsidP="00F76FD8">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w:t>
      </w:r>
    </w:p>
    <w:p w:rsidR="003C69BE" w:rsidRPr="00F76FD8" w:rsidRDefault="00C644B0" w:rsidP="00F76FD8">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 xml:space="preserve">XIV. Celebrar convenios, acuerdos y contratos en materia de desarrollo urbano dentro del territorio municipal; </w:t>
      </w:r>
    </w:p>
    <w:p w:rsidR="003C69BE" w:rsidRPr="00F76FD8" w:rsidRDefault="00C644B0" w:rsidP="00F76FD8">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XV. Emitir dictámenes, factibilidades y opiniones técnicas en materia de desarrollo urbano;</w:t>
      </w:r>
    </w:p>
    <w:p w:rsidR="003C69BE" w:rsidRDefault="00C644B0" w:rsidP="00F76FD8">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w:t>
      </w:r>
    </w:p>
    <w:p w:rsidR="00EB071B" w:rsidRPr="00F76FD8" w:rsidRDefault="00EB071B" w:rsidP="00F76FD8">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3C69BE" w:rsidRPr="00F76FD8" w:rsidRDefault="00C644B0" w:rsidP="00F76FD8">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 xml:space="preserve">Como se advierte de los preceptos legales la Dirección de Desarrollo Urbano es la encargada del ordenamiento de los Asentamientos Humanos y del control del desarrollo urbano, mediante funciones de planeación, regulación, supervisión, autorización, cuidando </w:t>
      </w:r>
      <w:r w:rsidRPr="00F76FD8">
        <w:rPr>
          <w:rFonts w:ascii="Palatino Linotype" w:eastAsia="Palatino Linotype" w:hAnsi="Palatino Linotype" w:cs="Palatino Linotype"/>
          <w:color w:val="000000" w:themeColor="text1"/>
        </w:rPr>
        <w:lastRenderedPageBreak/>
        <w:t>aspectos de vialidad, equipamiento, urbanización, servicios, regularización de la tenencia de la tierra y uso de suelo, es decir, que puede conocer de la información requerida por el Recurrente; sin embargo, se considera que la solicitud también se debió turnar a la Dirección de Obras Públicas, ya que de acuerdo al artículo 58 del Bando Municipal, tiene como objetivo planear, programar, presupuestar, adjudicar, contratar, ejecutar, vigilar, supervisar, controlar, recibir, conservar y mantener las obras públicas municipales, y conforme al artículo 59 del mismo ordenamiento legal, tiene las siguientes atribuciones:</w:t>
      </w:r>
    </w:p>
    <w:p w:rsidR="003C69BE" w:rsidRPr="00F76FD8" w:rsidRDefault="003C69BE" w:rsidP="00F76FD8">
      <w:pPr>
        <w:spacing w:line="360" w:lineRule="auto"/>
        <w:jc w:val="both"/>
        <w:rPr>
          <w:rFonts w:ascii="Palatino Linotype" w:eastAsia="Palatino Linotype" w:hAnsi="Palatino Linotype" w:cs="Palatino Linotype"/>
          <w:color w:val="000000" w:themeColor="text1"/>
        </w:rPr>
      </w:pP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 xml:space="preserve">“I. Elaborar los programas anuales de obras públicas de conformidad con las prioridades, objetivos y lineamiento del plan de desarrollo municipal, los planes de desarrollo federal y estatal; y los planes metropolitanos, integrando en la medida de lo posible la participación ciudadana; </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 xml:space="preserve">II. Ejecutar las obras públicas de los programas anuales aprobados, por administración o contrato; </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 xml:space="preserve">III. Licitar, concursar o asignar, según sea el caso, servicios de obras y las obras publicas aprobadas en los programas anuales, de conformidad con la normatividad de la fuente de recursos y los montos aprobados; </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 xml:space="preserve">IV. Ejecutar las obras por administración directa aprobadas en el programa anual; </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 xml:space="preserve">V. Supervisar y solicitar pruebas de control de calidad, a fin de verificar que todas las obras del programa anual se ejecuten de conformidad con el proyecto y las especificaciones técnicas respectivas; </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 xml:space="preserve">VII. Elaborar estudios y proyectos de ingeniería vial; </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 xml:space="preserve">XI. Planear, coordinar y ejecutar los proyectos de obras públicas y servicios que autorice el Ayuntamiento, una vez que se cumplan los requisitos de licitación y otros que determine la ley de la materia; </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lastRenderedPageBreak/>
        <w:t xml:space="preserve">XII. Proyectar las obras públicas y servicios relacionados, que realice el municipio, incluyendo la conservación y mantenimiento de edificios, monumentos, calles, parques y jardines; </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 xml:space="preserve">XIII. Construir y ejecutar todas aquellas obras públicas y servicios relacionados, que aumenten y mantengan la infraestructura municipal y que estén consideradas en el programa respectivo; </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 xml:space="preserve">XIV. Determinar y cuantificar los materiales y trabajos necesarios para programas de construcción y mantenimiento de obras públicas y servicios relacionados; </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 xml:space="preserve">XV. Vigilar que se cumplan y lleven a cabo los programas de construcción y mantenimiento de obras públicas y servicios relacionados; </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 xml:space="preserve">XVI. Cuidar que las obras públicas y servicios relacionados cumplan con los requisitos de seguridad y observen las normas de construcción y términos establecidos; </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 xml:space="preserve">XVII. Vigilar la construcción en las obras por contrato y por administración que hayan sido adjudicadas a los contratistas; </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 xml:space="preserve">XVIII. Administrar y ejercer, en el ámbito de su competencia, de manera coordinada con el tesorero municipal, los recursos públicos destinados a la planeación, programación, presupuestario, adjudicación, contratación, ejecución y control de la obra pública, conforme a las disposiciones legales aplicables y en congruencia con los planes, programas, especificaciones técnicas, controles y procedimientos administrativos aprobados; </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 xml:space="preserve">XIX. Verificar que las obras públicas y los servicios relacionados con la misma, hayan sido programadas, presupuestadas, ejecutadas, adquiridas y contratadas en estricto apego a las disposiciones legales aplicables; </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 xml:space="preserve">XX. Integrar y verificar que se elaboren de manera correcta y completa las bitácoras y/o expedientes abiertos con motivo de la obra pública y servicios relacionados con la misma, conforme a lo establecido en las disposiciones legales aplicables; </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 xml:space="preserve">XXI. Formular y conducir la política municipal en materia de obras públicas e infraestructura para el desarrollo; </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lastRenderedPageBreak/>
        <w:t>…</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 xml:space="preserve">XXIII. Ejecutar y mantener las obras públicas que acuerde el Ayuntamiento, de acuerdo a la legislación y normatividad aplicable, a los planes, presupuestos y programas previamente establecidos, coordinándose, en su caso, previo acuerdo con la Presidenta Municipal, con las autoridades federales, estatales 41 y municipales correspondientes; </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 xml:space="preserve">XXIV. Vigilar que la ejecución de la obra pública adjudicada y los servicios relacionados con ésta, se sujeten a las condiciones contratadas; </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 xml:space="preserve">XXV. Establecer los lineamientos para la realización de estudios y proyectos de construcción de obras públicas; </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 xml:space="preserve">XXVI. Autorizar para su pago, previa validación del avance y calidad de las obras, los presupuestos y estimaciones que presenten los contratistas de obras públicas Municipales; </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 xml:space="preserve">XXVIII. Coordinar y supervisar que todo el proceso de las obras públicas que se realicen en el Municipio se realice conforme a la legislación y normatividad en materia de obra pública; </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w:t>
      </w:r>
    </w:p>
    <w:p w:rsidR="003C69BE" w:rsidRPr="00F76FD8" w:rsidRDefault="003C69BE" w:rsidP="00F76FD8">
      <w:pPr>
        <w:pBdr>
          <w:top w:val="nil"/>
          <w:left w:val="nil"/>
          <w:bottom w:val="nil"/>
          <w:right w:val="nil"/>
          <w:between w:val="nil"/>
        </w:pBdr>
        <w:rPr>
          <w:rFonts w:ascii="Palatino Linotype" w:eastAsia="Palatino Linotype" w:hAnsi="Palatino Linotype" w:cs="Palatino Linotype"/>
          <w:color w:val="000000" w:themeColor="text1"/>
        </w:rPr>
      </w:pPr>
    </w:p>
    <w:p w:rsidR="003C69BE" w:rsidRPr="00F76FD8" w:rsidRDefault="00C644B0" w:rsidP="00F76FD8">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 xml:space="preserve">Como se advierte de los preceptos legales señalados, en los archivos de la Dirección de Obras Públicas también puede obrar información relativa a lo peticionado por el Recurrente, por ello, es procedente ordenar una búsqueda exhaustiva. </w:t>
      </w:r>
    </w:p>
    <w:p w:rsidR="003C69BE" w:rsidRPr="00F76FD8" w:rsidRDefault="003C69BE" w:rsidP="00F76FD8">
      <w:pPr>
        <w:spacing w:line="360" w:lineRule="auto"/>
        <w:jc w:val="both"/>
        <w:rPr>
          <w:rFonts w:ascii="Palatino Linotype" w:eastAsia="Palatino Linotype" w:hAnsi="Palatino Linotype" w:cs="Palatino Linotype"/>
          <w:color w:val="000000" w:themeColor="text1"/>
        </w:rPr>
      </w:pPr>
    </w:p>
    <w:p w:rsidR="003C69BE" w:rsidRPr="00F76FD8" w:rsidRDefault="00C644B0" w:rsidP="00F76FD8">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 xml:space="preserve">Ahora bien, este Órgano Garante determinó conveniente realizar una búsqueda de la que se localizó lo siguiente: </w:t>
      </w:r>
    </w:p>
    <w:p w:rsidR="003C69BE" w:rsidRPr="00F76FD8" w:rsidRDefault="00C644B0" w:rsidP="00F76FD8">
      <w:pPr>
        <w:spacing w:line="360" w:lineRule="auto"/>
        <w:jc w:val="center"/>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noProof/>
          <w:color w:val="000000" w:themeColor="text1"/>
        </w:rPr>
        <w:lastRenderedPageBreak/>
        <w:drawing>
          <wp:inline distT="0" distB="0" distL="0" distR="0">
            <wp:extent cx="5012566" cy="6451796"/>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012566" cy="6451796"/>
                    </a:xfrm>
                    <a:prstGeom prst="rect">
                      <a:avLst/>
                    </a:prstGeom>
                    <a:ln/>
                  </pic:spPr>
                </pic:pic>
              </a:graphicData>
            </a:graphic>
          </wp:inline>
        </w:drawing>
      </w:r>
    </w:p>
    <w:p w:rsidR="003C69BE" w:rsidRPr="00F76FD8" w:rsidRDefault="00C644B0" w:rsidP="00F76FD8">
      <w:pPr>
        <w:spacing w:line="360" w:lineRule="auto"/>
        <w:jc w:val="center"/>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noProof/>
          <w:color w:val="000000" w:themeColor="text1"/>
        </w:rPr>
        <w:lastRenderedPageBreak/>
        <w:drawing>
          <wp:inline distT="0" distB="0" distL="0" distR="0">
            <wp:extent cx="4877481" cy="304058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b="55484"/>
                    <a:stretch>
                      <a:fillRect/>
                    </a:stretch>
                  </pic:blipFill>
                  <pic:spPr>
                    <a:xfrm>
                      <a:off x="0" y="0"/>
                      <a:ext cx="4877481" cy="3040585"/>
                    </a:xfrm>
                    <a:prstGeom prst="rect">
                      <a:avLst/>
                    </a:prstGeom>
                    <a:ln/>
                  </pic:spPr>
                </pic:pic>
              </a:graphicData>
            </a:graphic>
          </wp:inline>
        </w:drawing>
      </w:r>
    </w:p>
    <w:p w:rsidR="003C69BE" w:rsidRPr="00F76FD8" w:rsidRDefault="003C69BE" w:rsidP="00F76FD8">
      <w:pPr>
        <w:spacing w:line="360" w:lineRule="auto"/>
        <w:jc w:val="both"/>
        <w:rPr>
          <w:rFonts w:ascii="Palatino Linotype" w:eastAsia="Palatino Linotype" w:hAnsi="Palatino Linotype" w:cs="Palatino Linotype"/>
          <w:color w:val="000000" w:themeColor="text1"/>
        </w:rPr>
      </w:pPr>
    </w:p>
    <w:p w:rsidR="003C69BE" w:rsidRPr="00F76FD8" w:rsidRDefault="00C644B0" w:rsidP="00F76FD8">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De las capturas anteriores, que corresponden a la página del Comisariado Ejidal de Santa Ana Nextlalpan, se observa que en efecto se llevaron a cabo obras para la reconstrucción del puente de Santiago Atocán, así como el hecho de que el Ayuntamiento de Nextlalpan</w:t>
      </w:r>
      <w:r w:rsidRPr="00F76FD8">
        <w:rPr>
          <w:rFonts w:ascii="Palatino Linotype" w:eastAsia="Palatino Linotype" w:hAnsi="Palatino Linotype" w:cs="Palatino Linotype"/>
          <w:b/>
          <w:color w:val="000000" w:themeColor="text1"/>
        </w:rPr>
        <w:t xml:space="preserve"> </w:t>
      </w:r>
      <w:r w:rsidRPr="00F76FD8">
        <w:rPr>
          <w:rFonts w:ascii="Palatino Linotype" w:eastAsia="Palatino Linotype" w:hAnsi="Palatino Linotype" w:cs="Palatino Linotype"/>
          <w:color w:val="000000" w:themeColor="text1"/>
        </w:rPr>
        <w:t xml:space="preserve">intervino en dicha obra, en tal virtud, al obrar indicios de la información en páginas de internet, como es el caso, demuestran que cuenta con información en alguna de sus áreas administrativas, este tipo de información es susceptible de considerarse como un hecho notorio el cual puede ser valorado, por formar parte del conocimiento público, lo cual se robustece con la siguiente tesis aislada emitida por los Tribunales Colegiados de Circuito y publicada en el Semanario Judicial de la Federación: </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b/>
          <w:i/>
          <w:color w:val="000000" w:themeColor="text1"/>
        </w:rPr>
        <w:t xml:space="preserve">“PÁGINAS WEB O ELECTRÓNICAS. SU CONTENIDO ES UN HECHO NOTORIO Y SUSCEPTIBLE DE SER VALORADO EN UNA DECISIÓN JUDICIAL. </w:t>
      </w:r>
      <w:r w:rsidRPr="00F76FD8">
        <w:rPr>
          <w:rFonts w:ascii="Palatino Linotype" w:eastAsia="Palatino Linotype" w:hAnsi="Palatino Linotype" w:cs="Palatino Linotype"/>
          <w:i/>
          <w:color w:val="000000" w:themeColor="text1"/>
        </w:rPr>
        <w:t xml:space="preserve">Los datos publicados en documentos o páginas situados en redes informáticas constituyen un hecho notorio por formar parte del conocimiento público a través de tales medios al momento en que se dicta una resolución judicial, de </w:t>
      </w:r>
      <w:r w:rsidRPr="00F76FD8">
        <w:rPr>
          <w:rFonts w:ascii="Palatino Linotype" w:eastAsia="Palatino Linotype" w:hAnsi="Palatino Linotype" w:cs="Palatino Linotype"/>
          <w:i/>
          <w:color w:val="000000" w:themeColor="text1"/>
        </w:rPr>
        <w:lastRenderedPageBreak/>
        <w:t>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1 2004949. I.3o.C.35 K (10a.). Tribunales Colegiados de Circuito. Décima Época. Semanario Judicial de la Federación y su Gaceta. Libro XXVI, Noviembre de 2013, Pág. 1373. Recurso de Revisión: 03023/INFOEM/IP/RR/2021 Sujeto Obligado: Ayuntamiento de Coacalco de Berriozábal Comisionado por returno: Luis Gustavo Parra Noriega Página 21 de 28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 xml:space="preserve"> TERCER TRIBUNAL COLEGIADO EN MATERIA CIVIL DEL PRIMER CIRCUITO. </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 xml:space="preserve">Amparo en revisión 365/2012. Mardygras, S.A. de C.V. 7 de diciembre de 2012. Unanimidad de votos. Ponente: Neófito López Ramos. Secretaria: Ana Lilia Osorno Arroyo.” </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 xml:space="preserve">(Énfasis añadido) </w:t>
      </w:r>
    </w:p>
    <w:p w:rsidR="003C69BE" w:rsidRPr="00F76FD8" w:rsidRDefault="003C69BE" w:rsidP="00F76FD8">
      <w:pPr>
        <w:spacing w:line="360" w:lineRule="auto"/>
        <w:jc w:val="both"/>
        <w:rPr>
          <w:rFonts w:ascii="Palatino Linotype" w:eastAsia="Palatino Linotype" w:hAnsi="Palatino Linotype" w:cs="Palatino Linotype"/>
          <w:i/>
          <w:color w:val="000000" w:themeColor="text1"/>
        </w:rPr>
      </w:pPr>
    </w:p>
    <w:p w:rsidR="003C69BE" w:rsidRPr="00F76FD8" w:rsidRDefault="00C644B0" w:rsidP="00F76FD8">
      <w:pPr>
        <w:numPr>
          <w:ilvl w:val="0"/>
          <w:numId w:val="3"/>
        </w:numPr>
        <w:spacing w:line="360" w:lineRule="auto"/>
        <w:ind w:left="0" w:firstLine="0"/>
        <w:jc w:val="both"/>
        <w:rPr>
          <w:rFonts w:ascii="Palatino Linotype" w:hAnsi="Palatino Linotype"/>
          <w:color w:val="000000" w:themeColor="text1"/>
        </w:rPr>
      </w:pPr>
      <w:r w:rsidRPr="00F76FD8">
        <w:rPr>
          <w:rFonts w:ascii="Palatino Linotype" w:eastAsia="Palatino Linotype" w:hAnsi="Palatino Linotype" w:cs="Palatino Linotype"/>
          <w:color w:val="000000" w:themeColor="text1"/>
        </w:rPr>
        <w:t>Es así que, aún y cuando la información proviene de una publicación en una página oficial, muestra elementos que permiten presumir la existencia del hecho, razón por la que es dable ordenar la entrega de la información.</w:t>
      </w:r>
    </w:p>
    <w:p w:rsidR="003C69BE" w:rsidRPr="00F76FD8" w:rsidRDefault="003C69BE" w:rsidP="00F76FD8">
      <w:pPr>
        <w:spacing w:line="360" w:lineRule="auto"/>
        <w:jc w:val="both"/>
        <w:rPr>
          <w:rFonts w:ascii="Palatino Linotype" w:hAnsi="Palatino Linotype"/>
          <w:color w:val="000000" w:themeColor="text1"/>
        </w:rPr>
      </w:pPr>
    </w:p>
    <w:p w:rsidR="003C69BE" w:rsidRPr="00F76FD8" w:rsidRDefault="00C644B0" w:rsidP="00F76FD8">
      <w:pPr>
        <w:numPr>
          <w:ilvl w:val="0"/>
          <w:numId w:val="3"/>
        </w:numPr>
        <w:spacing w:line="360" w:lineRule="auto"/>
        <w:ind w:left="0" w:firstLine="0"/>
        <w:jc w:val="both"/>
        <w:rPr>
          <w:rFonts w:ascii="Palatino Linotype" w:hAnsi="Palatino Linotype"/>
          <w:color w:val="000000" w:themeColor="text1"/>
        </w:rPr>
      </w:pPr>
      <w:r w:rsidRPr="00F76FD8">
        <w:rPr>
          <w:rFonts w:ascii="Palatino Linotype" w:eastAsia="Palatino Linotype" w:hAnsi="Palatino Linotype" w:cs="Palatino Linotype"/>
          <w:color w:val="000000" w:themeColor="text1"/>
        </w:rPr>
        <w:lastRenderedPageBreak/>
        <w:t>De lo anterior, se presume la existencia de documentación relacionada con lo requerido por el Recurrente, toda vez que el SUJETO OBLIGADO se encuentra constreñido a documentar todo acto de autoridad que éste realice derivado de sus funciones, atribuciones y competencias, por lo que debemos tomar en cuenta los artículos 4 y 12, de la Ley de Transparencia y Acceso a la Información Pública del Estado de México y Municipios, los cuales establecen lo siguiente:</w:t>
      </w:r>
    </w:p>
    <w:p w:rsidR="003C69BE" w:rsidRPr="00F76FD8" w:rsidRDefault="00C644B0" w:rsidP="00F76FD8">
      <w:pPr>
        <w:spacing w:line="276"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b/>
          <w:i/>
          <w:color w:val="000000" w:themeColor="text1"/>
        </w:rPr>
        <w:t xml:space="preserve">Artículo 4. </w:t>
      </w:r>
      <w:r w:rsidRPr="00F76FD8">
        <w:rPr>
          <w:rFonts w:ascii="Palatino Linotype" w:eastAsia="Palatino Linotype" w:hAnsi="Palatino Linotype" w:cs="Palatino Linotype"/>
          <w:i/>
          <w:color w:val="000000" w:themeColor="text1"/>
        </w:rPr>
        <w:t>El derecho humano de acceso a la información pública es la prerrogativa de las personas para buscar, difundir, investigar, recabar, recibir y solicitar información pública, sin necesidad de acreditar personalidad ni interés jurídico.</w:t>
      </w:r>
    </w:p>
    <w:p w:rsidR="003C69BE" w:rsidRPr="00F76FD8" w:rsidRDefault="003C69BE" w:rsidP="00F76FD8">
      <w:pPr>
        <w:spacing w:line="276" w:lineRule="auto"/>
        <w:jc w:val="both"/>
        <w:rPr>
          <w:rFonts w:ascii="Palatino Linotype" w:eastAsia="Palatino Linotype" w:hAnsi="Palatino Linotype" w:cs="Palatino Linotype"/>
          <w:i/>
          <w:color w:val="000000" w:themeColor="text1"/>
        </w:rPr>
      </w:pPr>
    </w:p>
    <w:p w:rsidR="003C69BE" w:rsidRPr="00F76FD8" w:rsidRDefault="00C644B0" w:rsidP="00F76FD8">
      <w:pPr>
        <w:spacing w:line="276"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3C69BE" w:rsidRPr="00F76FD8" w:rsidRDefault="003C69BE" w:rsidP="00F76FD8">
      <w:pPr>
        <w:spacing w:line="276" w:lineRule="auto"/>
        <w:jc w:val="both"/>
        <w:rPr>
          <w:rFonts w:ascii="Palatino Linotype" w:eastAsia="Palatino Linotype" w:hAnsi="Palatino Linotype" w:cs="Palatino Linotype"/>
          <w:i/>
          <w:color w:val="000000" w:themeColor="text1"/>
        </w:rPr>
      </w:pPr>
    </w:p>
    <w:p w:rsidR="003C69BE" w:rsidRPr="00F76FD8" w:rsidRDefault="00C644B0" w:rsidP="00F76FD8">
      <w:pPr>
        <w:spacing w:line="276"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3C69BE" w:rsidRPr="00F76FD8" w:rsidRDefault="003C69BE" w:rsidP="00F76FD8">
      <w:pPr>
        <w:spacing w:line="276" w:lineRule="auto"/>
        <w:jc w:val="both"/>
        <w:rPr>
          <w:rFonts w:ascii="Palatino Linotype" w:eastAsia="Palatino Linotype" w:hAnsi="Palatino Linotype" w:cs="Palatino Linotype"/>
          <w:i/>
          <w:color w:val="000000" w:themeColor="text1"/>
        </w:rPr>
      </w:pPr>
    </w:p>
    <w:p w:rsidR="003C69BE" w:rsidRPr="00F76FD8" w:rsidRDefault="00C644B0" w:rsidP="00F76FD8">
      <w:pPr>
        <w:spacing w:line="276"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b/>
          <w:i/>
          <w:color w:val="000000" w:themeColor="text1"/>
        </w:rPr>
        <w:t xml:space="preserve">Artículo 12. </w:t>
      </w:r>
      <w:r w:rsidRPr="00F76FD8">
        <w:rPr>
          <w:rFonts w:ascii="Palatino Linotype" w:eastAsia="Palatino Linotype" w:hAnsi="Palatino Linotype" w:cs="Palatino Linotype"/>
          <w:i/>
          <w:color w:val="000000" w:themeColor="text1"/>
        </w:rPr>
        <w:t xml:space="preserve">Quienes generen, recopilen, administren, manejen, procesen, archiven o conserven información pública serán responsables de la misma en los términos de las disposiciones jurídicas aplicables. </w:t>
      </w:r>
    </w:p>
    <w:p w:rsidR="003C69BE" w:rsidRPr="00F76FD8" w:rsidRDefault="003C69BE" w:rsidP="00F76FD8">
      <w:pPr>
        <w:spacing w:line="276" w:lineRule="auto"/>
        <w:jc w:val="both"/>
        <w:rPr>
          <w:rFonts w:ascii="Palatino Linotype" w:eastAsia="Palatino Linotype" w:hAnsi="Palatino Linotype" w:cs="Palatino Linotype"/>
          <w:i/>
          <w:color w:val="000000" w:themeColor="text1"/>
        </w:rPr>
      </w:pPr>
    </w:p>
    <w:p w:rsidR="003C69BE" w:rsidRPr="00F76FD8" w:rsidRDefault="00C644B0" w:rsidP="00F76FD8">
      <w:pPr>
        <w:spacing w:line="276"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 xml:space="preserve">Los sujetos obligados sólo proporcionarán la información pública que se les requiera y que obre en sus archivos y en el estado en que ésta se encuentre. </w:t>
      </w:r>
      <w:r w:rsidRPr="00F76FD8">
        <w:rPr>
          <w:rFonts w:ascii="Palatino Linotype" w:eastAsia="Palatino Linotype" w:hAnsi="Palatino Linotype" w:cs="Palatino Linotype"/>
          <w:b/>
          <w:i/>
          <w:color w:val="000000" w:themeColor="text1"/>
        </w:rPr>
        <w:t>La obligación de proporcionar información no comprende el procesamiento de la misma, ni el presentarla conforme al interés del solicitante; no estarán obligados a generarla, resumirla, efectuar cálculos o practicar investigaciones.</w:t>
      </w:r>
    </w:p>
    <w:p w:rsidR="003C69BE" w:rsidRPr="00F76FD8" w:rsidRDefault="00C644B0" w:rsidP="00F76FD8">
      <w:pPr>
        <w:numPr>
          <w:ilvl w:val="0"/>
          <w:numId w:val="3"/>
        </w:numPr>
        <w:pBdr>
          <w:top w:val="nil"/>
          <w:left w:val="nil"/>
          <w:bottom w:val="nil"/>
          <w:right w:val="nil"/>
          <w:between w:val="nil"/>
        </w:pBdr>
        <w:tabs>
          <w:tab w:val="left" w:pos="851"/>
        </w:tabs>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lastRenderedPageBreak/>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F76FD8">
        <w:rPr>
          <w:rFonts w:ascii="Palatino Linotype" w:eastAsia="Palatino Linotype" w:hAnsi="Palatino Linotype" w:cs="Palatino Linotype"/>
          <w:color w:val="000000" w:themeColor="text1"/>
          <w:vertAlign w:val="superscript"/>
        </w:rPr>
        <w:footnoteReference w:id="3"/>
      </w:r>
      <w:r w:rsidRPr="00F76FD8">
        <w:rPr>
          <w:rFonts w:ascii="Palatino Linotype" w:eastAsia="Palatino Linotype" w:hAnsi="Palatino Linotype" w:cs="Palatino Linotype"/>
          <w:color w:val="000000" w:themeColor="text1"/>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3C69BE" w:rsidRPr="00F76FD8" w:rsidRDefault="003C69BE" w:rsidP="00F76FD8">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rPr>
      </w:pPr>
    </w:p>
    <w:p w:rsidR="003C69BE" w:rsidRPr="00F76FD8" w:rsidRDefault="00C644B0" w:rsidP="00F76FD8">
      <w:pPr>
        <w:numPr>
          <w:ilvl w:val="0"/>
          <w:numId w:val="3"/>
        </w:numPr>
        <w:pBdr>
          <w:top w:val="nil"/>
          <w:left w:val="nil"/>
          <w:bottom w:val="nil"/>
          <w:right w:val="nil"/>
          <w:between w:val="nil"/>
        </w:pBdr>
        <w:tabs>
          <w:tab w:val="left" w:pos="851"/>
        </w:tabs>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3C69BE" w:rsidRPr="00F76FD8" w:rsidRDefault="00C644B0" w:rsidP="00F76FD8">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b/>
          <w:i/>
          <w:color w:val="000000" w:themeColor="text1"/>
        </w:rPr>
        <w:t>ACCESO A LA INFORMACIÓN. IMPLICACIÓN DEL PRINCIPIO DE MÁXIMA PUBLICIDAD EN EL DERECHO FUNDAMENTAL RELATIVO.</w:t>
      </w:r>
      <w:r w:rsidRPr="00F76FD8">
        <w:rPr>
          <w:rFonts w:ascii="Palatino Linotype" w:eastAsia="Palatino Linotype" w:hAnsi="Palatino Linotype" w:cs="Palatino Linotype"/>
          <w:i/>
          <w:color w:val="000000" w:themeColor="text1"/>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w:t>
      </w:r>
      <w:r w:rsidRPr="00F76FD8">
        <w:rPr>
          <w:rFonts w:ascii="Palatino Linotype" w:eastAsia="Palatino Linotype" w:hAnsi="Palatino Linotype" w:cs="Palatino Linotype"/>
          <w:i/>
          <w:color w:val="000000" w:themeColor="text1"/>
        </w:rPr>
        <w:lastRenderedPageBreak/>
        <w:t xml:space="preserve">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3C69BE" w:rsidRPr="00F76FD8" w:rsidRDefault="003C69BE" w:rsidP="00F76FD8">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p>
    <w:p w:rsidR="003C69BE" w:rsidRPr="00F76FD8" w:rsidRDefault="00C644B0" w:rsidP="00F76FD8">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 xml:space="preserve">CUARTO TRIBUNAL COLEGIADO EN MATERIA ADMINISTRATIVA DEL PRIMER CIRCUITO. </w:t>
      </w:r>
    </w:p>
    <w:p w:rsidR="003C69BE" w:rsidRPr="00F76FD8" w:rsidRDefault="003C69BE" w:rsidP="00F76FD8">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p>
    <w:p w:rsidR="003C69BE" w:rsidRPr="00F76FD8" w:rsidRDefault="00C644B0" w:rsidP="00F76FD8">
      <w:pPr>
        <w:pBdr>
          <w:top w:val="nil"/>
          <w:left w:val="nil"/>
          <w:bottom w:val="nil"/>
          <w:right w:val="nil"/>
          <w:between w:val="nil"/>
        </w:pBdr>
        <w:tabs>
          <w:tab w:val="left" w:pos="851"/>
        </w:tabs>
        <w:spacing w:line="276"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i/>
          <w:color w:val="000000" w:themeColor="text1"/>
        </w:rPr>
        <w:t>Amparo en revisión 257/2012. Ruth Corona Muñoz. 6 de diciembre de 2012. Unanimidad de votos. Ponente: Jean Claude Tron Petit. Secretaria: Mayra Susana Martínez López.</w:t>
      </w:r>
    </w:p>
    <w:p w:rsidR="003C69BE" w:rsidRPr="00F76FD8" w:rsidRDefault="003C69BE" w:rsidP="00F76FD8">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3C69BE" w:rsidRPr="00F76FD8" w:rsidRDefault="00C644B0" w:rsidP="00F76FD8">
      <w:pPr>
        <w:numPr>
          <w:ilvl w:val="0"/>
          <w:numId w:val="3"/>
        </w:numPr>
        <w:pBdr>
          <w:top w:val="nil"/>
          <w:left w:val="nil"/>
          <w:bottom w:val="nil"/>
          <w:right w:val="nil"/>
          <w:between w:val="nil"/>
        </w:pBdr>
        <w:tabs>
          <w:tab w:val="left" w:pos="851"/>
        </w:tabs>
        <w:spacing w:after="240"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El derecho de acceso a la información encuentra su materia elemental en los documentos, y la Ley de Transparencia local  nos brinda el siguiente concepto, para darnos un mejor panorama:</w:t>
      </w:r>
    </w:p>
    <w:p w:rsidR="003C69BE" w:rsidRPr="00F76FD8" w:rsidRDefault="00C644B0" w:rsidP="00F76FD8">
      <w:pPr>
        <w:spacing w:line="360" w:lineRule="auto"/>
        <w:jc w:val="both"/>
        <w:rPr>
          <w:rFonts w:ascii="Palatino Linotype" w:eastAsia="Palatino Linotype" w:hAnsi="Palatino Linotype" w:cs="Palatino Linotype"/>
          <w:i/>
          <w:color w:val="000000" w:themeColor="text1"/>
        </w:rPr>
      </w:pPr>
      <w:r w:rsidRPr="00F76FD8">
        <w:rPr>
          <w:rFonts w:ascii="Palatino Linotype" w:eastAsia="Palatino Linotype" w:hAnsi="Palatino Linotype" w:cs="Palatino Linotype"/>
          <w:b/>
          <w:i/>
          <w:color w:val="000000" w:themeColor="text1"/>
        </w:rPr>
        <w:t xml:space="preserve">XI. Documento: </w:t>
      </w:r>
      <w:r w:rsidRPr="00F76FD8">
        <w:rPr>
          <w:rFonts w:ascii="Palatino Linotype" w:eastAsia="Palatino Linotype" w:hAnsi="Palatino Linotype" w:cs="Palatino Linotype"/>
          <w:i/>
          <w:color w:val="000000" w:themeColor="text1"/>
        </w:rPr>
        <w:t xml:space="preserve">Los expedientes, reportes, estudios, actas, resoluciones, oficios, correspondencia, acuerdos, directivas, directrices, circulares, contratos, convenios, instructivos, notas, memorandos, estadísticas o bien, </w:t>
      </w:r>
      <w:r w:rsidRPr="00F76FD8">
        <w:rPr>
          <w:rFonts w:ascii="Palatino Linotype" w:eastAsia="Palatino Linotype" w:hAnsi="Palatino Linotype" w:cs="Palatino Linotype"/>
          <w:b/>
          <w:i/>
          <w:color w:val="000000" w:themeColor="text1"/>
        </w:rPr>
        <w:t>cualquier otro registro</w:t>
      </w:r>
      <w:r w:rsidRPr="00F76FD8">
        <w:rPr>
          <w:rFonts w:ascii="Palatino Linotype" w:eastAsia="Palatino Linotype" w:hAnsi="Palatino Linotype" w:cs="Palatino Linotype"/>
          <w:i/>
          <w:color w:val="000000" w:themeColor="text1"/>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3C69BE" w:rsidRPr="00F76FD8" w:rsidRDefault="003C69BE" w:rsidP="00F76FD8">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rPr>
      </w:pPr>
    </w:p>
    <w:p w:rsidR="003C69BE" w:rsidRPr="00F76FD8" w:rsidRDefault="00C644B0" w:rsidP="00F76FD8">
      <w:pPr>
        <w:numPr>
          <w:ilvl w:val="0"/>
          <w:numId w:val="3"/>
        </w:numPr>
        <w:pBdr>
          <w:top w:val="nil"/>
          <w:left w:val="nil"/>
          <w:bottom w:val="nil"/>
          <w:right w:val="nil"/>
          <w:between w:val="nil"/>
        </w:pBdr>
        <w:tabs>
          <w:tab w:val="left" w:pos="851"/>
        </w:tabs>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3C69BE" w:rsidRPr="00F76FD8" w:rsidRDefault="003C69BE" w:rsidP="00F76FD8">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rPr>
      </w:pPr>
    </w:p>
    <w:p w:rsidR="003C69BE" w:rsidRPr="00F76FD8" w:rsidRDefault="00C644B0" w:rsidP="00F76FD8">
      <w:pPr>
        <w:numPr>
          <w:ilvl w:val="0"/>
          <w:numId w:val="3"/>
        </w:numPr>
        <w:pBdr>
          <w:top w:val="nil"/>
          <w:left w:val="nil"/>
          <w:bottom w:val="nil"/>
          <w:right w:val="nil"/>
          <w:between w:val="nil"/>
        </w:pBdr>
        <w:tabs>
          <w:tab w:val="left" w:pos="851"/>
        </w:tabs>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lastRenderedPageBreak/>
        <w:t xml:space="preserve">No obstante lo anterior, conviene señalar que no se tiene la certeza del tipo de participación que tuvo el Ayuntamiento en la realización de la obra, por ello, en caso de no contar con la información requerida, el Sujeto Obligado deberá hacerlo del conocimiento del Recurrente, en términos del párrafo segundo del artículo 19 de la Ley de Transparencia y Acceso a la Información Pública del Estado de México y Municipios. </w:t>
      </w:r>
    </w:p>
    <w:p w:rsidR="003C69BE" w:rsidRPr="00F76FD8" w:rsidRDefault="003C69BE" w:rsidP="00F76FD8">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rPr>
      </w:pPr>
    </w:p>
    <w:p w:rsidR="003C69BE" w:rsidRPr="00F76FD8" w:rsidRDefault="00C644B0" w:rsidP="00F76FD8">
      <w:pPr>
        <w:numPr>
          <w:ilvl w:val="0"/>
          <w:numId w:val="3"/>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bookmarkStart w:id="6" w:name="_heading=h.2s8eyo1" w:colFirst="0" w:colLast="0"/>
      <w:bookmarkEnd w:id="6"/>
      <w:r w:rsidRPr="00F76FD8">
        <w:rPr>
          <w:rFonts w:ascii="Palatino Linotype" w:eastAsia="Palatino Linotype" w:hAnsi="Palatino Linotype" w:cs="Palatino Linotype"/>
          <w:color w:val="000000" w:themeColor="text1"/>
        </w:rPr>
        <w:t xml:space="preserve">Por lo tanto, en consecuencia y en mérito de lo expuesto en líneas anteriores, resultan fundadas las razones o motivos de inconformidad hechos valer por el </w:t>
      </w:r>
      <w:r w:rsidRPr="00F76FD8">
        <w:rPr>
          <w:rFonts w:ascii="Palatino Linotype" w:eastAsia="Palatino Linotype" w:hAnsi="Palatino Linotype" w:cs="Palatino Linotype"/>
          <w:b/>
          <w:color w:val="000000" w:themeColor="text1"/>
        </w:rPr>
        <w:t>RECURRENTE</w:t>
      </w:r>
      <w:r w:rsidRPr="00F76FD8">
        <w:rPr>
          <w:rFonts w:ascii="Palatino Linotype" w:eastAsia="Palatino Linotype" w:hAnsi="Palatino Linotype" w:cs="Palatino Linotype"/>
          <w:color w:val="000000" w:themeColor="text1"/>
        </w:rPr>
        <w:t xml:space="preserve"> dentro del recurso de revisión </w:t>
      </w:r>
      <w:r w:rsidRPr="00F76FD8">
        <w:rPr>
          <w:rFonts w:ascii="Palatino Linotype" w:eastAsia="Palatino Linotype" w:hAnsi="Palatino Linotype" w:cs="Palatino Linotype"/>
          <w:b/>
          <w:color w:val="000000" w:themeColor="text1"/>
        </w:rPr>
        <w:t>04168/INFOEM/IP/RR/2025</w:t>
      </w:r>
      <w:r w:rsidRPr="00F76FD8">
        <w:rPr>
          <w:rFonts w:ascii="Palatino Linotype" w:eastAsia="Palatino Linotype" w:hAnsi="Palatino Linotype" w:cs="Palatino Linotype"/>
          <w:color w:val="000000" w:themeColor="text1"/>
        </w:rPr>
        <w:t xml:space="preserve">; por ello, y con fundamento en la fracción III del numeral 186 de la Ley de Transparencia y Acceso a la Información Pública del Estado de México y Municipios, se </w:t>
      </w:r>
      <w:r w:rsidRPr="00F76FD8">
        <w:rPr>
          <w:rFonts w:ascii="Palatino Linotype" w:eastAsia="Palatino Linotype" w:hAnsi="Palatino Linotype" w:cs="Palatino Linotype"/>
          <w:b/>
          <w:color w:val="000000" w:themeColor="text1"/>
        </w:rPr>
        <w:t>REVOCA</w:t>
      </w:r>
      <w:r w:rsidRPr="00F76FD8">
        <w:rPr>
          <w:rFonts w:ascii="Palatino Linotype" w:eastAsia="Palatino Linotype" w:hAnsi="Palatino Linotype" w:cs="Palatino Linotype"/>
          <w:color w:val="000000" w:themeColor="text1"/>
        </w:rPr>
        <w:t xml:space="preserve"> la respuesta a la solicitud de información número </w:t>
      </w:r>
      <w:r w:rsidRPr="00F76FD8">
        <w:rPr>
          <w:rFonts w:ascii="Palatino Linotype" w:eastAsia="Palatino Linotype" w:hAnsi="Palatino Linotype" w:cs="Palatino Linotype"/>
          <w:b/>
          <w:color w:val="000000" w:themeColor="text1"/>
        </w:rPr>
        <w:t>00031/NEXTLAL/IP/2025</w:t>
      </w:r>
      <w:r w:rsidRPr="00F76FD8">
        <w:rPr>
          <w:rFonts w:ascii="Palatino Linotype" w:eastAsia="Palatino Linotype" w:hAnsi="Palatino Linotype" w:cs="Palatino Linotype"/>
          <w:color w:val="000000" w:themeColor="text1"/>
        </w:rPr>
        <w:t xml:space="preserve"> y ordenar la entrega, de ser procedente en versión pública, de la siguiente información:</w:t>
      </w:r>
    </w:p>
    <w:p w:rsidR="003C69BE" w:rsidRPr="00F76FD8" w:rsidRDefault="003C69BE" w:rsidP="00F76FD8">
      <w:pPr>
        <w:spacing w:line="360" w:lineRule="auto"/>
        <w:jc w:val="both"/>
        <w:rPr>
          <w:rFonts w:ascii="Palatino Linotype" w:eastAsia="Palatino Linotype" w:hAnsi="Palatino Linotype" w:cs="Palatino Linotype"/>
          <w:color w:val="000000" w:themeColor="text1"/>
        </w:rPr>
      </w:pPr>
    </w:p>
    <w:p w:rsidR="003C69BE" w:rsidRPr="00F76FD8" w:rsidRDefault="00C644B0" w:rsidP="00EB071B">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Permisos para la obra y/o proyecto de reparación y/o reconstrucción del  “Puente de Santiago”, que atraviesa el Gran Canal de Desagüe en el municipio de Nextlalpan, Estado de México.</w:t>
      </w:r>
    </w:p>
    <w:p w:rsidR="003C69BE" w:rsidRPr="00F76FD8" w:rsidRDefault="003C69BE" w:rsidP="00F76FD8">
      <w:pPr>
        <w:shd w:val="clear" w:color="auto" w:fill="FFFFFF"/>
        <w:spacing w:line="360" w:lineRule="auto"/>
        <w:jc w:val="both"/>
        <w:rPr>
          <w:rFonts w:ascii="Palatino Linotype" w:eastAsia="Palatino Linotype" w:hAnsi="Palatino Linotype" w:cs="Palatino Linotype"/>
          <w:b/>
          <w:color w:val="000000" w:themeColor="text1"/>
        </w:rPr>
      </w:pPr>
    </w:p>
    <w:p w:rsidR="003C69BE" w:rsidRPr="00F76FD8" w:rsidRDefault="00C644B0" w:rsidP="00F76FD8">
      <w:pPr>
        <w:keepNext/>
        <w:keepLines/>
        <w:rPr>
          <w:rFonts w:ascii="Palatino Linotype" w:eastAsia="Palatino Linotype" w:hAnsi="Palatino Linotype" w:cs="Palatino Linotype"/>
          <w:b/>
          <w:color w:val="000000" w:themeColor="text1"/>
        </w:rPr>
      </w:pPr>
      <w:r w:rsidRPr="00F76FD8">
        <w:rPr>
          <w:rFonts w:ascii="Palatino Linotype" w:eastAsia="Palatino Linotype" w:hAnsi="Palatino Linotype" w:cs="Palatino Linotype"/>
          <w:b/>
          <w:color w:val="000000" w:themeColor="text1"/>
        </w:rPr>
        <w:t>QUINTO. De la versión pública.</w:t>
      </w:r>
    </w:p>
    <w:p w:rsidR="003C69BE" w:rsidRPr="00F76FD8" w:rsidRDefault="00C644B0" w:rsidP="00F76FD8">
      <w:pPr>
        <w:keepNext/>
        <w:keepLines/>
        <w:numPr>
          <w:ilvl w:val="0"/>
          <w:numId w:val="5"/>
        </w:numPr>
        <w:tabs>
          <w:tab w:val="left" w:pos="284"/>
        </w:tabs>
        <w:spacing w:line="360" w:lineRule="auto"/>
        <w:ind w:left="0" w:firstLine="0"/>
        <w:rPr>
          <w:rFonts w:ascii="Palatino Linotype" w:eastAsia="Palatino Linotype" w:hAnsi="Palatino Linotype" w:cs="Palatino Linotype"/>
          <w:b/>
          <w:color w:val="000000" w:themeColor="text1"/>
        </w:rPr>
      </w:pPr>
      <w:bookmarkStart w:id="7" w:name="_heading=h.4d34og8" w:colFirst="0" w:colLast="0"/>
      <w:bookmarkEnd w:id="7"/>
      <w:r w:rsidRPr="00F76FD8">
        <w:rPr>
          <w:rFonts w:ascii="Palatino Linotype" w:eastAsia="Palatino Linotype" w:hAnsi="Palatino Linotype" w:cs="Palatino Linotype"/>
          <w:b/>
          <w:color w:val="000000" w:themeColor="text1"/>
        </w:rPr>
        <w:t xml:space="preserve">Nociones generales. </w:t>
      </w:r>
    </w:p>
    <w:p w:rsidR="003C69BE" w:rsidRPr="00F76FD8" w:rsidRDefault="00C644B0" w:rsidP="00F76FD8">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 xml:space="preserve"> Debe destacarse que, debido a la naturaleza de la información solicitada</w:t>
      </w:r>
      <w:r w:rsidRPr="00F76FD8">
        <w:rPr>
          <w:rFonts w:ascii="Palatino Linotype" w:eastAsia="Palatino Linotype" w:hAnsi="Palatino Linotype" w:cs="Palatino Linotype"/>
          <w:b/>
          <w:color w:val="000000" w:themeColor="text1"/>
        </w:rPr>
        <w:t xml:space="preserve">, </w:t>
      </w:r>
      <w:r w:rsidRPr="00F76FD8">
        <w:rPr>
          <w:rFonts w:ascii="Palatino Linotype" w:eastAsia="Palatino Linotype" w:hAnsi="Palatino Linotype" w:cs="Palatino Linotype"/>
          <w:color w:val="000000" w:themeColor="text1"/>
        </w:rPr>
        <w:t xml:space="preserve">eventualmente pudiera obrar datos personales susceptibles de protegerse, así como información susceptible de clasificarse como reservada, el </w:t>
      </w:r>
      <w:r w:rsidRPr="00F76FD8">
        <w:rPr>
          <w:rFonts w:ascii="Palatino Linotype" w:eastAsia="Palatino Linotype" w:hAnsi="Palatino Linotype" w:cs="Palatino Linotype"/>
          <w:b/>
          <w:color w:val="000000" w:themeColor="text1"/>
        </w:rPr>
        <w:t xml:space="preserve">Sujeto Obligado </w:t>
      </w:r>
      <w:r w:rsidRPr="00F76FD8">
        <w:rPr>
          <w:rFonts w:ascii="Palatino Linotype" w:eastAsia="Palatino Linotype" w:hAnsi="Palatino Linotype" w:cs="Palatino Linotype"/>
          <w:color w:val="000000" w:themeColor="text1"/>
        </w:rPr>
        <w:t>deberá de hacer la adecuada versión pública, protegiendo los datos que no son susceptibles de ser proporcionados.</w:t>
      </w:r>
    </w:p>
    <w:tbl>
      <w:tblPr>
        <w:tblStyle w:val="a5"/>
        <w:tblW w:w="989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5"/>
        <w:gridCol w:w="7371"/>
      </w:tblGrid>
      <w:tr w:rsidR="00F76FD8" w:rsidRPr="00F76FD8" w:rsidTr="00EB071B">
        <w:tc>
          <w:tcPr>
            <w:tcW w:w="2525" w:type="dxa"/>
          </w:tcPr>
          <w:p w:rsidR="003C69BE" w:rsidRPr="00F76FD8" w:rsidRDefault="00C644B0" w:rsidP="00F76FD8">
            <w:pPr>
              <w:tabs>
                <w:tab w:val="left" w:pos="284"/>
              </w:tabs>
              <w:spacing w:line="360" w:lineRule="auto"/>
              <w:rPr>
                <w:rFonts w:ascii="Palatino Linotype" w:eastAsia="Palatino Linotype" w:hAnsi="Palatino Linotype" w:cs="Palatino Linotype"/>
                <w:color w:val="000000" w:themeColor="text1"/>
              </w:rPr>
            </w:pPr>
            <w:bookmarkStart w:id="8" w:name="_heading=h.gjdgxs" w:colFirst="0" w:colLast="0"/>
            <w:bookmarkEnd w:id="8"/>
            <w:r w:rsidRPr="00F76FD8">
              <w:rPr>
                <w:rFonts w:ascii="Palatino Linotype" w:eastAsia="Palatino Linotype" w:hAnsi="Palatino Linotype" w:cs="Palatino Linotype"/>
                <w:color w:val="000000" w:themeColor="text1"/>
              </w:rPr>
              <w:lastRenderedPageBreak/>
              <w:t>a) Requisitos previos.</w:t>
            </w:r>
          </w:p>
        </w:tc>
        <w:tc>
          <w:tcPr>
            <w:tcW w:w="7371" w:type="dxa"/>
          </w:tcPr>
          <w:p w:rsidR="003C69BE" w:rsidRPr="00F76FD8" w:rsidRDefault="00C644B0" w:rsidP="00F76FD8">
            <w:pPr>
              <w:tabs>
                <w:tab w:val="left" w:pos="284"/>
              </w:tabs>
              <w:spacing w:line="360" w:lineRule="auto"/>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3C69BE" w:rsidRPr="00F76FD8" w:rsidRDefault="00C644B0" w:rsidP="00F76FD8">
            <w:pPr>
              <w:tabs>
                <w:tab w:val="left" w:pos="284"/>
              </w:tabs>
              <w:spacing w:line="360" w:lineRule="auto"/>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rsidR="003C69BE" w:rsidRPr="00F76FD8" w:rsidRDefault="00C644B0" w:rsidP="00F76FD8">
            <w:pPr>
              <w:tabs>
                <w:tab w:val="left" w:pos="284"/>
              </w:tabs>
              <w:spacing w:line="360" w:lineRule="auto"/>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Además, se debe señalar el procedimiento, de los tres que establecen los artículos 132 y 106 de la Ley Estatal y General, respectivamente.</w:t>
            </w:r>
          </w:p>
          <w:p w:rsidR="003C69BE" w:rsidRPr="00F76FD8" w:rsidRDefault="00C644B0" w:rsidP="00F76FD8">
            <w:pPr>
              <w:tabs>
                <w:tab w:val="left" w:pos="284"/>
              </w:tabs>
              <w:spacing w:line="360" w:lineRule="auto"/>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 xml:space="preserve">El último de estos requisitos previos consiste en que no se pueden emitir acuerdos de carácter general ni particular, esto es, </w:t>
            </w:r>
            <w:r w:rsidRPr="00F76FD8">
              <w:rPr>
                <w:rFonts w:ascii="Palatino Linotype" w:eastAsia="Palatino Linotype" w:hAnsi="Palatino Linotype" w:cs="Palatino Linotype"/>
                <w:color w:val="000000" w:themeColor="text1"/>
                <w:u w:val="single"/>
              </w:rPr>
              <w:t>no se puede hacer un acuerdo para clasificar de manera general todos los documentos de un expediente o área, sin</w:t>
            </w:r>
            <w:r w:rsidRPr="00F76FD8">
              <w:rPr>
                <w:rFonts w:ascii="Palatino Linotype" w:eastAsia="Palatino Linotype" w:hAnsi="Palatino Linotype" w:cs="Palatino Linotype"/>
                <w:color w:val="000000" w:themeColor="text1"/>
              </w:rPr>
              <w:t xml:space="preserve"> individualizar su análisis y tampoco se puede hacer un acuerdo por cada dato que se vaya a clasificar dentro de un documento con diez datos, por ejemplo, susceptibles de ser clasificados.</w:t>
            </w:r>
          </w:p>
        </w:tc>
      </w:tr>
      <w:tr w:rsidR="00F76FD8" w:rsidRPr="00F76FD8" w:rsidTr="00EB071B">
        <w:tc>
          <w:tcPr>
            <w:tcW w:w="2525" w:type="dxa"/>
          </w:tcPr>
          <w:p w:rsidR="003C69BE" w:rsidRPr="00F76FD8" w:rsidRDefault="00C644B0" w:rsidP="00F76FD8">
            <w:pPr>
              <w:tabs>
                <w:tab w:val="left" w:pos="284"/>
              </w:tabs>
              <w:spacing w:line="360" w:lineRule="auto"/>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b) Supuestos de clasificación.</w:t>
            </w:r>
          </w:p>
        </w:tc>
        <w:tc>
          <w:tcPr>
            <w:tcW w:w="7371" w:type="dxa"/>
          </w:tcPr>
          <w:p w:rsidR="003C69BE" w:rsidRPr="00F76FD8" w:rsidRDefault="00C644B0" w:rsidP="00F76FD8">
            <w:pPr>
              <w:tabs>
                <w:tab w:val="left" w:pos="284"/>
              </w:tabs>
              <w:spacing w:line="360" w:lineRule="auto"/>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3C69BE" w:rsidRPr="00F76FD8" w:rsidRDefault="00C644B0" w:rsidP="00F76FD8">
            <w:pPr>
              <w:tabs>
                <w:tab w:val="left" w:pos="284"/>
              </w:tabs>
              <w:spacing w:line="360" w:lineRule="auto"/>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w:t>
            </w:r>
            <w:r w:rsidRPr="00F76FD8">
              <w:rPr>
                <w:rFonts w:ascii="Palatino Linotype" w:eastAsia="Palatino Linotype" w:hAnsi="Palatino Linotype" w:cs="Palatino Linotype"/>
                <w:color w:val="000000" w:themeColor="text1"/>
              </w:rPr>
              <w:lastRenderedPageBreak/>
              <w:t>manera restrictiva y limitada, por lo que debe acreditarse que se cumple con esta condición y no se pueden ampliar las excepciones o supuestos de clasificación aduciendo analogía o mayoría de razón.</w:t>
            </w:r>
          </w:p>
          <w:p w:rsidR="003C69BE" w:rsidRPr="00F76FD8" w:rsidRDefault="00C644B0" w:rsidP="00F76FD8">
            <w:pPr>
              <w:tabs>
                <w:tab w:val="left" w:pos="284"/>
              </w:tabs>
              <w:spacing w:line="360" w:lineRule="auto"/>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 xml:space="preserve">El </w:t>
            </w:r>
            <w:r w:rsidRPr="00F76FD8">
              <w:rPr>
                <w:rFonts w:ascii="Palatino Linotype" w:eastAsia="Palatino Linotype" w:hAnsi="Palatino Linotype" w:cs="Palatino Linotype"/>
                <w:b/>
                <w:color w:val="000000" w:themeColor="text1"/>
              </w:rPr>
              <w:t>Sujeto Obligado</w:t>
            </w:r>
            <w:r w:rsidRPr="00F76FD8">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F76FD8" w:rsidRPr="00F76FD8" w:rsidTr="00EB071B">
        <w:tc>
          <w:tcPr>
            <w:tcW w:w="2525" w:type="dxa"/>
          </w:tcPr>
          <w:p w:rsidR="003C69BE" w:rsidRPr="00F76FD8" w:rsidRDefault="00C644B0" w:rsidP="00F76FD8">
            <w:pPr>
              <w:tabs>
                <w:tab w:val="left" w:pos="284"/>
              </w:tabs>
              <w:spacing w:line="360" w:lineRule="auto"/>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lastRenderedPageBreak/>
              <w:t>c) Formalidades para emitir el acuerdo de clasificación.</w:t>
            </w:r>
          </w:p>
        </w:tc>
        <w:tc>
          <w:tcPr>
            <w:tcW w:w="7371" w:type="dxa"/>
          </w:tcPr>
          <w:p w:rsidR="003C69BE" w:rsidRPr="00F76FD8" w:rsidRDefault="00C644B0" w:rsidP="00F76FD8">
            <w:pPr>
              <w:tabs>
                <w:tab w:val="left" w:pos="284"/>
              </w:tabs>
              <w:spacing w:line="360" w:lineRule="auto"/>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3C69BE" w:rsidRPr="00F76FD8" w:rsidRDefault="00C644B0" w:rsidP="00F76FD8">
            <w:pPr>
              <w:tabs>
                <w:tab w:val="left" w:pos="284"/>
              </w:tabs>
              <w:spacing w:line="360" w:lineRule="auto"/>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 xml:space="preserve">Es necesario que </w:t>
            </w:r>
            <w:r w:rsidRPr="00F76FD8">
              <w:rPr>
                <w:rFonts w:ascii="Palatino Linotype" w:eastAsia="Palatino Linotype" w:hAnsi="Palatino Linotype" w:cs="Palatino Linotype"/>
                <w:b/>
                <w:color w:val="000000" w:themeColor="text1"/>
                <w:u w:val="single"/>
              </w:rPr>
              <w:t>el acto reúna con los requisitos elementales</w:t>
            </w:r>
            <w:r w:rsidRPr="00F76FD8">
              <w:rPr>
                <w:rFonts w:ascii="Palatino Linotype" w:eastAsia="Palatino Linotype" w:hAnsi="Palatino Linotype" w:cs="Palatino Linotype"/>
                <w:color w:val="000000" w:themeColor="text1"/>
              </w:rPr>
              <w:t>, entre ellos, que la autoridad que va a emitir el acto de autoridad sea la legalmente facultada para ello.</w:t>
            </w:r>
          </w:p>
          <w:p w:rsidR="003C69BE" w:rsidRPr="00F76FD8" w:rsidRDefault="00C644B0" w:rsidP="00F76FD8">
            <w:pPr>
              <w:tabs>
                <w:tab w:val="left" w:pos="284"/>
              </w:tabs>
              <w:spacing w:line="360" w:lineRule="auto"/>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F76FD8" w:rsidRPr="00F76FD8" w:rsidTr="00EB071B">
        <w:tc>
          <w:tcPr>
            <w:tcW w:w="2525" w:type="dxa"/>
          </w:tcPr>
          <w:p w:rsidR="003C69BE" w:rsidRPr="00F76FD8" w:rsidRDefault="003C69BE" w:rsidP="00F76FD8">
            <w:pPr>
              <w:tabs>
                <w:tab w:val="left" w:pos="284"/>
              </w:tabs>
              <w:spacing w:line="360" w:lineRule="auto"/>
              <w:rPr>
                <w:rFonts w:ascii="Palatino Linotype" w:eastAsia="Palatino Linotype" w:hAnsi="Palatino Linotype" w:cs="Palatino Linotype"/>
                <w:color w:val="000000" w:themeColor="text1"/>
              </w:rPr>
            </w:pPr>
          </w:p>
          <w:p w:rsidR="003C69BE" w:rsidRPr="00F76FD8" w:rsidRDefault="00C644B0" w:rsidP="00F76FD8">
            <w:pPr>
              <w:tabs>
                <w:tab w:val="left" w:pos="284"/>
              </w:tabs>
              <w:spacing w:line="360" w:lineRule="auto"/>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lastRenderedPageBreak/>
              <w:t xml:space="preserve">d) Requisitos de fondo del acuerdo de clasificación. </w:t>
            </w:r>
          </w:p>
        </w:tc>
        <w:tc>
          <w:tcPr>
            <w:tcW w:w="7371" w:type="dxa"/>
          </w:tcPr>
          <w:p w:rsidR="003C69BE" w:rsidRPr="00F76FD8" w:rsidRDefault="00C644B0" w:rsidP="00F76FD8">
            <w:pPr>
              <w:tabs>
                <w:tab w:val="left" w:pos="284"/>
              </w:tabs>
              <w:spacing w:line="360" w:lineRule="auto"/>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lastRenderedPageBreak/>
              <w:t xml:space="preserve">Como se ha señalado antes, al hacer el juicio de subsunción o encaje entre el supuesto de hecho y la hipótesis jurídica, se debe acreditar </w:t>
            </w:r>
            <w:r w:rsidRPr="00F76FD8">
              <w:rPr>
                <w:rFonts w:ascii="Palatino Linotype" w:eastAsia="Palatino Linotype" w:hAnsi="Palatino Linotype" w:cs="Palatino Linotype"/>
                <w:color w:val="000000" w:themeColor="text1"/>
              </w:rPr>
              <w:lastRenderedPageBreak/>
              <w:t xml:space="preserve">la estricta correspondencia entre un elemento y otro. Ahora, en esta parte del procedimiento, que se desahoga en sede del Comité de Transparencia, la ley señala que la carga de la prueba, para justificar las restricciones, corresponde a los </w:t>
            </w:r>
            <w:r w:rsidRPr="00F76FD8">
              <w:rPr>
                <w:rFonts w:ascii="Palatino Linotype" w:eastAsia="Palatino Linotype" w:hAnsi="Palatino Linotype" w:cs="Palatino Linotype"/>
                <w:b/>
                <w:color w:val="000000" w:themeColor="text1"/>
              </w:rPr>
              <w:t>Sujetos Obligados</w:t>
            </w:r>
            <w:r w:rsidRPr="00F76FD8">
              <w:rPr>
                <w:rFonts w:ascii="Palatino Linotype" w:eastAsia="Palatino Linotype" w:hAnsi="Palatino Linotype" w:cs="Palatino Linotype"/>
                <w:color w:val="000000" w:themeColor="text1"/>
              </w:rPr>
              <w:t xml:space="preserve">, por lo que deberán fundar y motivar debidamente la clasificación. </w:t>
            </w:r>
          </w:p>
          <w:p w:rsidR="003C69BE" w:rsidRPr="00F76FD8" w:rsidRDefault="00C644B0" w:rsidP="00F76FD8">
            <w:pPr>
              <w:tabs>
                <w:tab w:val="left" w:pos="284"/>
              </w:tabs>
              <w:spacing w:line="360" w:lineRule="auto"/>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 xml:space="preserve">De lo anterior, se desprende que para una correcta </w:t>
            </w:r>
            <w:r w:rsidRPr="00F76FD8">
              <w:rPr>
                <w:rFonts w:ascii="Palatino Linotype" w:eastAsia="Palatino Linotype" w:hAnsi="Palatino Linotype" w:cs="Palatino Linotype"/>
                <w:b/>
                <w:color w:val="000000" w:themeColor="text1"/>
              </w:rPr>
              <w:t>clasificación total o parcial</w:t>
            </w:r>
            <w:r w:rsidRPr="00F76FD8">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3C69BE" w:rsidRPr="00F76FD8" w:rsidRDefault="00C644B0" w:rsidP="00F76FD8">
            <w:pPr>
              <w:tabs>
                <w:tab w:val="left" w:pos="284"/>
              </w:tabs>
              <w:spacing w:line="360" w:lineRule="auto"/>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3C69BE" w:rsidRPr="00F76FD8" w:rsidRDefault="00C644B0" w:rsidP="00F76FD8">
            <w:pPr>
              <w:tabs>
                <w:tab w:val="left" w:pos="284"/>
              </w:tabs>
              <w:spacing w:line="360" w:lineRule="auto"/>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rsidR="003C69BE" w:rsidRPr="00F76FD8" w:rsidRDefault="00C644B0" w:rsidP="00F76FD8">
            <w:pPr>
              <w:tabs>
                <w:tab w:val="left" w:pos="284"/>
              </w:tabs>
              <w:spacing w:line="360" w:lineRule="auto"/>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 xml:space="preserve">Ahora bien, </w:t>
            </w:r>
            <w:r w:rsidRPr="00F76FD8">
              <w:rPr>
                <w:rFonts w:ascii="Palatino Linotype" w:eastAsia="Palatino Linotype" w:hAnsi="Palatino Linotype" w:cs="Palatino Linotype"/>
                <w:b/>
                <w:color w:val="000000" w:themeColor="text1"/>
                <w:u w:val="single"/>
              </w:rPr>
              <w:t>para cada caso además de fundar y motivar</w:t>
            </w:r>
            <w:r w:rsidRPr="00F76FD8">
              <w:rPr>
                <w:rFonts w:ascii="Palatino Linotype" w:eastAsia="Palatino Linotype" w:hAnsi="Palatino Linotype" w:cs="Palatino Linotype"/>
                <w:color w:val="000000" w:themeColor="text1"/>
              </w:rPr>
              <w:t xml:space="preserve">, se debe identificar con claridad que datos contenidos en las documentales </w:t>
            </w:r>
            <w:r w:rsidRPr="00F76FD8">
              <w:rPr>
                <w:rFonts w:ascii="Palatino Linotype" w:eastAsia="Palatino Linotype" w:hAnsi="Palatino Linotype" w:cs="Palatino Linotype"/>
                <w:color w:val="000000" w:themeColor="text1"/>
              </w:rPr>
              <w:lastRenderedPageBreak/>
              <w:t>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F76FD8" w:rsidRPr="00F76FD8" w:rsidTr="00EB071B">
        <w:tc>
          <w:tcPr>
            <w:tcW w:w="2525" w:type="dxa"/>
          </w:tcPr>
          <w:p w:rsidR="003C69BE" w:rsidRPr="00F76FD8" w:rsidRDefault="00C644B0" w:rsidP="00F76FD8">
            <w:pPr>
              <w:tabs>
                <w:tab w:val="left" w:pos="284"/>
              </w:tabs>
              <w:spacing w:line="360" w:lineRule="auto"/>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lastRenderedPageBreak/>
              <w:t xml:space="preserve">e) Condiciones especiales de la clasificación de la información como confidencial. </w:t>
            </w:r>
          </w:p>
        </w:tc>
        <w:tc>
          <w:tcPr>
            <w:tcW w:w="7371" w:type="dxa"/>
          </w:tcPr>
          <w:p w:rsidR="003C69BE" w:rsidRPr="00F76FD8" w:rsidRDefault="00C644B0" w:rsidP="00F76FD8">
            <w:pPr>
              <w:tabs>
                <w:tab w:val="left" w:pos="284"/>
              </w:tabs>
              <w:spacing w:line="360" w:lineRule="auto"/>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rsidR="003C69BE" w:rsidRPr="00F76FD8" w:rsidRDefault="00C644B0" w:rsidP="00F76FD8">
            <w:pPr>
              <w:tabs>
                <w:tab w:val="left" w:pos="284"/>
              </w:tabs>
              <w:spacing w:line="360" w:lineRule="auto"/>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3C69BE" w:rsidRPr="00F76FD8" w:rsidRDefault="00C644B0" w:rsidP="00F76FD8">
            <w:pPr>
              <w:tabs>
                <w:tab w:val="left" w:pos="284"/>
              </w:tabs>
              <w:spacing w:line="360" w:lineRule="auto"/>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3C69BE" w:rsidRPr="00F76FD8" w:rsidRDefault="003C69BE" w:rsidP="00F76FD8">
      <w:pPr>
        <w:pBdr>
          <w:top w:val="nil"/>
          <w:left w:val="nil"/>
          <w:bottom w:val="nil"/>
          <w:right w:val="nil"/>
          <w:between w:val="nil"/>
        </w:pBdr>
        <w:tabs>
          <w:tab w:val="left" w:pos="284"/>
        </w:tabs>
        <w:rPr>
          <w:rFonts w:ascii="Palatino Linotype" w:eastAsia="Palatino Linotype" w:hAnsi="Palatino Linotype" w:cs="Palatino Linotype"/>
          <w:color w:val="000000" w:themeColor="text1"/>
        </w:rPr>
      </w:pPr>
    </w:p>
    <w:p w:rsidR="003C69BE" w:rsidRPr="00F76FD8" w:rsidRDefault="00C644B0" w:rsidP="00F76FD8">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b/>
          <w:color w:val="000000" w:themeColor="text1"/>
        </w:rPr>
        <w:t xml:space="preserve"> </w:t>
      </w:r>
      <w:r w:rsidRPr="00F76FD8">
        <w:rPr>
          <w:rFonts w:ascii="Palatino Linotype" w:eastAsia="Palatino Linotype" w:hAnsi="Palatino Linotype" w:cs="Palatino Linotype"/>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3C69BE" w:rsidRPr="00F76FD8" w:rsidRDefault="003C69BE" w:rsidP="00F76FD8">
      <w:pPr>
        <w:shd w:val="clear" w:color="auto" w:fill="FFFFFF"/>
        <w:spacing w:line="360" w:lineRule="auto"/>
        <w:jc w:val="both"/>
        <w:rPr>
          <w:rFonts w:ascii="Palatino Linotype" w:eastAsia="Palatino Linotype" w:hAnsi="Palatino Linotype" w:cs="Palatino Linotype"/>
          <w:b/>
          <w:color w:val="000000" w:themeColor="text1"/>
        </w:rPr>
      </w:pPr>
    </w:p>
    <w:p w:rsidR="003C69BE" w:rsidRPr="00F76FD8" w:rsidRDefault="00C644B0" w:rsidP="00F76FD8">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lastRenderedPageBreak/>
        <w:t xml:space="preserve">Por lo anteriormente expuesto y fundado, este </w:t>
      </w:r>
      <w:r w:rsidRPr="00F76FD8">
        <w:rPr>
          <w:rFonts w:ascii="Palatino Linotype" w:eastAsia="Palatino Linotype" w:hAnsi="Palatino Linotype" w:cs="Palatino Linotype"/>
          <w:b/>
          <w:color w:val="000000" w:themeColor="text1"/>
        </w:rPr>
        <w:t>ÓRGANO GARANTE</w:t>
      </w:r>
      <w:r w:rsidRPr="00F76FD8">
        <w:rPr>
          <w:rFonts w:ascii="Palatino Linotype" w:eastAsia="Palatino Linotype" w:hAnsi="Palatino Linotype" w:cs="Palatino Linotype"/>
          <w:color w:val="000000" w:themeColor="text1"/>
        </w:rPr>
        <w:t xml:space="preserve"> emite los siguientes:</w:t>
      </w:r>
    </w:p>
    <w:p w:rsidR="003C69BE" w:rsidRPr="00F76FD8" w:rsidRDefault="003C69BE" w:rsidP="00F76FD8">
      <w:pPr>
        <w:pBdr>
          <w:top w:val="nil"/>
          <w:left w:val="nil"/>
          <w:bottom w:val="nil"/>
          <w:right w:val="nil"/>
          <w:between w:val="nil"/>
        </w:pBdr>
        <w:rPr>
          <w:rFonts w:ascii="Palatino Linotype" w:eastAsia="Palatino Linotype" w:hAnsi="Palatino Linotype" w:cs="Palatino Linotype"/>
          <w:color w:val="000000" w:themeColor="text1"/>
        </w:rPr>
      </w:pPr>
    </w:p>
    <w:p w:rsidR="003C69BE" w:rsidRPr="00F76FD8" w:rsidRDefault="00C644B0" w:rsidP="00F76FD8">
      <w:pPr>
        <w:pStyle w:val="Ttulo1"/>
        <w:jc w:val="center"/>
        <w:rPr>
          <w:rFonts w:ascii="Palatino Linotype" w:eastAsia="Palatino Linotype" w:hAnsi="Palatino Linotype" w:cs="Palatino Linotype"/>
          <w:b/>
          <w:color w:val="000000" w:themeColor="text1"/>
          <w:sz w:val="24"/>
          <w:szCs w:val="24"/>
        </w:rPr>
      </w:pPr>
      <w:r w:rsidRPr="00F76FD8">
        <w:rPr>
          <w:rFonts w:ascii="Palatino Linotype" w:eastAsia="Palatino Linotype" w:hAnsi="Palatino Linotype" w:cs="Palatino Linotype"/>
          <w:b/>
          <w:color w:val="000000" w:themeColor="text1"/>
          <w:sz w:val="24"/>
          <w:szCs w:val="24"/>
        </w:rPr>
        <w:t>R E S O L U T I V O S</w:t>
      </w:r>
    </w:p>
    <w:p w:rsidR="003C69BE" w:rsidRPr="00F76FD8" w:rsidRDefault="003C69BE" w:rsidP="00F76FD8">
      <w:pPr>
        <w:keepNext/>
        <w:keepLines/>
        <w:spacing w:line="360" w:lineRule="auto"/>
        <w:jc w:val="center"/>
        <w:rPr>
          <w:rFonts w:ascii="Palatino Linotype" w:eastAsia="Palatino Linotype" w:hAnsi="Palatino Linotype" w:cs="Palatino Linotype"/>
          <w:b/>
          <w:color w:val="000000" w:themeColor="text1"/>
        </w:rPr>
      </w:pPr>
    </w:p>
    <w:p w:rsidR="003C69BE" w:rsidRPr="00F76FD8" w:rsidRDefault="00C644B0" w:rsidP="00F76FD8">
      <w:pPr>
        <w:spacing w:line="360" w:lineRule="auto"/>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b/>
          <w:color w:val="000000" w:themeColor="text1"/>
        </w:rPr>
        <w:t xml:space="preserve">PRIMERO. </w:t>
      </w:r>
      <w:r w:rsidRPr="00F76FD8">
        <w:rPr>
          <w:rFonts w:ascii="Palatino Linotype" w:eastAsia="Palatino Linotype" w:hAnsi="Palatino Linotype" w:cs="Palatino Linotype"/>
          <w:color w:val="000000" w:themeColor="text1"/>
        </w:rPr>
        <w:t>Resultan fundadas las</w:t>
      </w:r>
      <w:r w:rsidRPr="00F76FD8">
        <w:rPr>
          <w:rFonts w:ascii="Palatino Linotype" w:eastAsia="Palatino Linotype" w:hAnsi="Palatino Linotype" w:cs="Palatino Linotype"/>
          <w:b/>
          <w:color w:val="000000" w:themeColor="text1"/>
        </w:rPr>
        <w:t xml:space="preserve"> </w:t>
      </w:r>
      <w:r w:rsidRPr="00F76FD8">
        <w:rPr>
          <w:rFonts w:ascii="Palatino Linotype" w:eastAsia="Palatino Linotype" w:hAnsi="Palatino Linotype" w:cs="Palatino Linotype"/>
          <w:color w:val="000000" w:themeColor="text1"/>
        </w:rPr>
        <w:t xml:space="preserve">razones o motivos de inconformidad hechos valer en el recurso de revisión </w:t>
      </w:r>
      <w:r w:rsidRPr="00F76FD8">
        <w:rPr>
          <w:rFonts w:ascii="Palatino Linotype" w:eastAsia="Palatino Linotype" w:hAnsi="Palatino Linotype" w:cs="Palatino Linotype"/>
          <w:b/>
          <w:color w:val="000000" w:themeColor="text1"/>
        </w:rPr>
        <w:t xml:space="preserve"> 04168/INFOEM/IP/RR/2025 </w:t>
      </w:r>
      <w:r w:rsidRPr="00F76FD8">
        <w:rPr>
          <w:rFonts w:ascii="Palatino Linotype" w:eastAsia="Palatino Linotype" w:hAnsi="Palatino Linotype" w:cs="Palatino Linotype"/>
          <w:color w:val="000000" w:themeColor="text1"/>
        </w:rPr>
        <w:t>en términos del</w:t>
      </w:r>
      <w:r w:rsidRPr="00F76FD8">
        <w:rPr>
          <w:rFonts w:ascii="Palatino Linotype" w:eastAsia="Palatino Linotype" w:hAnsi="Palatino Linotype" w:cs="Palatino Linotype"/>
          <w:b/>
          <w:color w:val="000000" w:themeColor="text1"/>
        </w:rPr>
        <w:t xml:space="preserve"> Considerando</w:t>
      </w:r>
      <w:r w:rsidRPr="00F76FD8">
        <w:rPr>
          <w:rFonts w:ascii="Palatino Linotype" w:eastAsia="Palatino Linotype" w:hAnsi="Palatino Linotype" w:cs="Palatino Linotype"/>
          <w:color w:val="000000" w:themeColor="text1"/>
        </w:rPr>
        <w:t xml:space="preserve"> </w:t>
      </w:r>
      <w:r w:rsidRPr="00F76FD8">
        <w:rPr>
          <w:rFonts w:ascii="Palatino Linotype" w:eastAsia="Palatino Linotype" w:hAnsi="Palatino Linotype" w:cs="Palatino Linotype"/>
          <w:b/>
          <w:color w:val="000000" w:themeColor="text1"/>
        </w:rPr>
        <w:t xml:space="preserve">CUARTO </w:t>
      </w:r>
      <w:r w:rsidRPr="00F76FD8">
        <w:rPr>
          <w:rFonts w:ascii="Palatino Linotype" w:eastAsia="Palatino Linotype" w:hAnsi="Palatino Linotype" w:cs="Palatino Linotype"/>
          <w:color w:val="000000" w:themeColor="text1"/>
        </w:rPr>
        <w:t>de la presente Resolución.</w:t>
      </w:r>
    </w:p>
    <w:p w:rsidR="003C69BE" w:rsidRPr="00F76FD8" w:rsidRDefault="003C69BE" w:rsidP="00F76FD8">
      <w:pPr>
        <w:spacing w:line="360" w:lineRule="auto"/>
        <w:jc w:val="both"/>
        <w:rPr>
          <w:rFonts w:ascii="Palatino Linotype" w:eastAsia="Palatino Linotype" w:hAnsi="Palatino Linotype" w:cs="Palatino Linotype"/>
          <w:b/>
          <w:color w:val="000000" w:themeColor="text1"/>
        </w:rPr>
      </w:pPr>
    </w:p>
    <w:p w:rsidR="003C69BE" w:rsidRPr="00F76FD8" w:rsidRDefault="00C644B0" w:rsidP="00F76FD8">
      <w:pPr>
        <w:spacing w:line="360" w:lineRule="auto"/>
        <w:jc w:val="both"/>
        <w:rPr>
          <w:rFonts w:ascii="Palatino Linotype" w:eastAsia="Palatino Linotype" w:hAnsi="Palatino Linotype" w:cs="Palatino Linotype"/>
          <w:color w:val="000000" w:themeColor="text1"/>
        </w:rPr>
      </w:pPr>
      <w:bookmarkStart w:id="9" w:name="_heading=h.17dp8vu" w:colFirst="0" w:colLast="0"/>
      <w:bookmarkEnd w:id="9"/>
      <w:r w:rsidRPr="00F76FD8">
        <w:rPr>
          <w:rFonts w:ascii="Palatino Linotype" w:eastAsia="Palatino Linotype" w:hAnsi="Palatino Linotype" w:cs="Palatino Linotype"/>
          <w:b/>
          <w:color w:val="000000" w:themeColor="text1"/>
        </w:rPr>
        <w:t xml:space="preserve">SEGUNDO. </w:t>
      </w:r>
      <w:r w:rsidRPr="00F76FD8">
        <w:rPr>
          <w:rFonts w:ascii="Palatino Linotype" w:eastAsia="Palatino Linotype" w:hAnsi="Palatino Linotype" w:cs="Palatino Linotype"/>
          <w:color w:val="000000" w:themeColor="text1"/>
        </w:rPr>
        <w:t xml:space="preserve">Se </w:t>
      </w:r>
      <w:r w:rsidRPr="00F76FD8">
        <w:rPr>
          <w:rFonts w:ascii="Palatino Linotype" w:eastAsia="Palatino Linotype" w:hAnsi="Palatino Linotype" w:cs="Palatino Linotype"/>
          <w:b/>
          <w:color w:val="000000" w:themeColor="text1"/>
        </w:rPr>
        <w:t>REVOCA</w:t>
      </w:r>
      <w:r w:rsidRPr="00F76FD8">
        <w:rPr>
          <w:rFonts w:ascii="Palatino Linotype" w:eastAsia="Palatino Linotype" w:hAnsi="Palatino Linotype" w:cs="Palatino Linotype"/>
          <w:color w:val="000000" w:themeColor="text1"/>
        </w:rPr>
        <w:t xml:space="preserve"> la respuesta emitida por el Ayuntamiento de Nextlalpan y se ORDENA entregar vía Sistema de Acceso a la Información Mexiquense (SAIMEX), de ser procedente en versión pública, la siguiente información al diez de marzo de dos mil veinticinco:</w:t>
      </w:r>
    </w:p>
    <w:p w:rsidR="003C69BE" w:rsidRPr="00F76FD8" w:rsidRDefault="003C69BE" w:rsidP="00F76FD8">
      <w:pPr>
        <w:spacing w:line="360" w:lineRule="auto"/>
        <w:jc w:val="both"/>
        <w:rPr>
          <w:rFonts w:ascii="Palatino Linotype" w:eastAsia="Palatino Linotype" w:hAnsi="Palatino Linotype" w:cs="Palatino Linotype"/>
          <w:color w:val="000000" w:themeColor="text1"/>
        </w:rPr>
      </w:pPr>
    </w:p>
    <w:p w:rsidR="003C69BE" w:rsidRPr="00F76FD8" w:rsidRDefault="00C644B0" w:rsidP="00F76FD8">
      <w:pPr>
        <w:numPr>
          <w:ilvl w:val="1"/>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F76FD8">
        <w:rPr>
          <w:rFonts w:ascii="Palatino Linotype" w:eastAsia="Palatino Linotype" w:hAnsi="Palatino Linotype" w:cs="Palatino Linotype"/>
          <w:b/>
          <w:color w:val="000000" w:themeColor="text1"/>
        </w:rPr>
        <w:t>Permisos para la obra y/o proyecto de reparación y/o reconstrucción del  “Puente de Santiago”, que atraviesa el Gran Canal de Desagüe en el municipio de Nextlalpan, Estado de México.</w:t>
      </w:r>
    </w:p>
    <w:p w:rsidR="003C69BE" w:rsidRPr="00F76FD8" w:rsidRDefault="003C69BE" w:rsidP="00F76FD8">
      <w:pPr>
        <w:spacing w:line="360" w:lineRule="auto"/>
        <w:jc w:val="both"/>
        <w:rPr>
          <w:rFonts w:ascii="Palatino Linotype" w:eastAsia="Palatino Linotype" w:hAnsi="Palatino Linotype" w:cs="Palatino Linotype"/>
          <w:color w:val="000000" w:themeColor="text1"/>
        </w:rPr>
      </w:pPr>
      <w:bookmarkStart w:id="10" w:name="_heading=h.pl6usxycqlmu" w:colFirst="0" w:colLast="0"/>
      <w:bookmarkEnd w:id="10"/>
    </w:p>
    <w:p w:rsidR="003C69BE" w:rsidRPr="00F76FD8" w:rsidRDefault="00C644B0" w:rsidP="00F76FD8">
      <w:pPr>
        <w:tabs>
          <w:tab w:val="left" w:pos="0"/>
        </w:tabs>
        <w:spacing w:line="360" w:lineRule="auto"/>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F76FD8">
        <w:rPr>
          <w:rFonts w:ascii="Palatino Linotype" w:eastAsia="Palatino Linotype" w:hAnsi="Palatino Linotype" w:cs="Palatino Linotype"/>
          <w:b/>
          <w:color w:val="000000" w:themeColor="text1"/>
        </w:rPr>
        <w:t>LA RECURRENTE</w:t>
      </w:r>
      <w:r w:rsidRPr="00F76FD8">
        <w:rPr>
          <w:rFonts w:ascii="Palatino Linotype" w:eastAsia="Palatino Linotype" w:hAnsi="Palatino Linotype" w:cs="Palatino Linotype"/>
          <w:color w:val="000000" w:themeColor="text1"/>
        </w:rPr>
        <w:t>.</w:t>
      </w:r>
    </w:p>
    <w:p w:rsidR="003C69BE" w:rsidRPr="00F76FD8" w:rsidRDefault="003C69BE" w:rsidP="00F76FD8">
      <w:pPr>
        <w:tabs>
          <w:tab w:val="left" w:pos="0"/>
        </w:tabs>
        <w:spacing w:line="360" w:lineRule="auto"/>
        <w:jc w:val="both"/>
        <w:rPr>
          <w:rFonts w:ascii="Palatino Linotype" w:eastAsia="Palatino Linotype" w:hAnsi="Palatino Linotype" w:cs="Palatino Linotype"/>
          <w:color w:val="000000" w:themeColor="text1"/>
        </w:rPr>
      </w:pPr>
    </w:p>
    <w:p w:rsidR="003C69BE" w:rsidRPr="00F76FD8" w:rsidRDefault="00C644B0" w:rsidP="00F76FD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lastRenderedPageBreak/>
        <w:t xml:space="preserve">Para el caso de que la información que se ordena entregar, no obre en los archivos del Sujeto Obligado, bastará con que así se haga del conocimiento del Particular en términos del artículo 19, párrafo segundo, de la Ley de Transparencia y Acceso a la Información Pública del Estado de México y Municipios, para tenerse por colmado dicho requerimiento. </w:t>
      </w:r>
    </w:p>
    <w:p w:rsidR="003C69BE" w:rsidRPr="00F76FD8" w:rsidRDefault="003C69BE" w:rsidP="00F76FD8">
      <w:pPr>
        <w:spacing w:line="360" w:lineRule="auto"/>
        <w:jc w:val="both"/>
        <w:rPr>
          <w:rFonts w:ascii="Palatino Linotype" w:eastAsia="Palatino Linotype" w:hAnsi="Palatino Linotype" w:cs="Palatino Linotype"/>
          <w:color w:val="000000" w:themeColor="text1"/>
        </w:rPr>
      </w:pPr>
    </w:p>
    <w:p w:rsidR="003C69BE" w:rsidRPr="00F76FD8" w:rsidRDefault="00C644B0" w:rsidP="00F76FD8">
      <w:pPr>
        <w:tabs>
          <w:tab w:val="left" w:pos="8080"/>
        </w:tabs>
        <w:spacing w:line="360" w:lineRule="auto"/>
        <w:jc w:val="both"/>
        <w:rPr>
          <w:rFonts w:ascii="Palatino Linotype" w:eastAsia="Palatino Linotype" w:hAnsi="Palatino Linotype" w:cs="Palatino Linotype"/>
          <w:b/>
          <w:color w:val="000000" w:themeColor="text1"/>
        </w:rPr>
      </w:pPr>
      <w:r w:rsidRPr="00F76FD8">
        <w:rPr>
          <w:rFonts w:ascii="Palatino Linotype" w:eastAsia="Palatino Linotype" w:hAnsi="Palatino Linotype" w:cs="Palatino Linotype"/>
          <w:b/>
          <w:color w:val="000000" w:themeColor="text1"/>
        </w:rPr>
        <w:t>TERCERO.</w:t>
      </w:r>
      <w:r w:rsidRPr="00F76FD8">
        <w:rPr>
          <w:rFonts w:ascii="Palatino Linotype" w:eastAsia="Palatino Linotype" w:hAnsi="Palatino Linotype" w:cs="Palatino Linotype"/>
          <w:color w:val="000000" w:themeColor="text1"/>
        </w:rPr>
        <w:t xml:space="preserve"> </w:t>
      </w:r>
      <w:r w:rsidRPr="00F76FD8">
        <w:rPr>
          <w:rFonts w:ascii="Palatino Linotype" w:eastAsia="Palatino Linotype" w:hAnsi="Palatino Linotype" w:cs="Palatino Linotype"/>
          <w:b/>
          <w:color w:val="000000" w:themeColor="text1"/>
        </w:rPr>
        <w:t xml:space="preserve">Notifíquese </w:t>
      </w:r>
      <w:r w:rsidRPr="00F76FD8">
        <w:rPr>
          <w:rFonts w:ascii="Palatino Linotype" w:eastAsia="Palatino Linotype" w:hAnsi="Palatino Linotype" w:cs="Palatino Linotype"/>
          <w:color w:val="000000" w:themeColor="text1"/>
        </w:rPr>
        <w:t xml:space="preserve">la presente resolución al Titular de la Unidad de Transparencia del Sujeto Obligado vía </w:t>
      </w:r>
      <w:r w:rsidRPr="00F76FD8">
        <w:rPr>
          <w:rFonts w:ascii="Palatino Linotype" w:eastAsia="Palatino Linotype" w:hAnsi="Palatino Linotype" w:cs="Palatino Linotype"/>
          <w:b/>
          <w:color w:val="000000" w:themeColor="text1"/>
        </w:rPr>
        <w:t>SAIMEX</w:t>
      </w:r>
      <w:r w:rsidRPr="00F76FD8">
        <w:rPr>
          <w:rFonts w:ascii="Palatino Linotype" w:eastAsia="Palatino Linotype" w:hAnsi="Palatino Linotype" w:cs="Palatino Linotype"/>
          <w:color w:val="000000" w:themeColor="text1"/>
        </w:rPr>
        <w:t xml:space="preserve">, para que conforme al artículo 186 último párrafo, 189 segundo párrafo y 194 de la Ley de Transparencia y Acceso a la Información Pública del Estado de México y Municipios </w:t>
      </w:r>
      <w:r w:rsidRPr="00F76FD8">
        <w:rPr>
          <w:rFonts w:ascii="Palatino Linotype" w:eastAsia="Palatino Linotype" w:hAnsi="Palatino Linotype" w:cs="Palatino Linotype"/>
          <w:b/>
          <w:color w:val="000000" w:themeColor="text1"/>
        </w:rPr>
        <w:t>dé cumplimiento a lo ordenado dentro del plazo de diez días hábiles,</w:t>
      </w:r>
      <w:r w:rsidRPr="00F76FD8">
        <w:rPr>
          <w:rFonts w:ascii="Palatino Linotype" w:eastAsia="Palatino Linotype" w:hAnsi="Palatino Linotype" w:cs="Palatino Linotype"/>
          <w:color w:val="000000" w:themeColor="text1"/>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3C69BE" w:rsidRPr="00F76FD8" w:rsidRDefault="003C69BE" w:rsidP="00F76FD8">
      <w:pPr>
        <w:tabs>
          <w:tab w:val="left" w:pos="8080"/>
        </w:tabs>
        <w:spacing w:line="360" w:lineRule="auto"/>
        <w:jc w:val="both"/>
        <w:rPr>
          <w:rFonts w:ascii="Palatino Linotype" w:eastAsia="Palatino Linotype" w:hAnsi="Palatino Linotype" w:cs="Palatino Linotype"/>
          <w:b/>
          <w:color w:val="000000" w:themeColor="text1"/>
        </w:rPr>
      </w:pPr>
    </w:p>
    <w:p w:rsidR="003C69BE" w:rsidRPr="00F76FD8" w:rsidRDefault="00C644B0" w:rsidP="00F76FD8">
      <w:pPr>
        <w:shd w:val="clear" w:color="auto" w:fill="FFFFFF"/>
        <w:spacing w:line="360" w:lineRule="auto"/>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b/>
          <w:color w:val="000000" w:themeColor="text1"/>
        </w:rPr>
        <w:t>CUARTO. Notifíquese al RECURRENTE</w:t>
      </w:r>
      <w:r w:rsidRPr="00F76FD8">
        <w:rPr>
          <w:rFonts w:ascii="Palatino Linotype" w:eastAsia="Palatino Linotype" w:hAnsi="Palatino Linotype" w:cs="Palatino Linotype"/>
          <w:color w:val="000000" w:themeColor="text1"/>
        </w:rPr>
        <w:t xml:space="preserve"> la presente resolución, vía Sistema de Acceso a la Información Mexiquense (SAIMEX).</w:t>
      </w:r>
    </w:p>
    <w:p w:rsidR="003C69BE" w:rsidRPr="00F76FD8" w:rsidRDefault="003C69BE" w:rsidP="00F76FD8">
      <w:pPr>
        <w:shd w:val="clear" w:color="auto" w:fill="FFFFFF"/>
        <w:spacing w:line="360" w:lineRule="auto"/>
        <w:jc w:val="both"/>
        <w:rPr>
          <w:rFonts w:ascii="Palatino Linotype" w:eastAsia="Palatino Linotype" w:hAnsi="Palatino Linotype" w:cs="Palatino Linotype"/>
          <w:color w:val="000000" w:themeColor="text1"/>
        </w:rPr>
      </w:pPr>
    </w:p>
    <w:p w:rsidR="003C69BE" w:rsidRPr="00F76FD8" w:rsidRDefault="00C644B0" w:rsidP="00F76FD8">
      <w:pPr>
        <w:spacing w:line="360" w:lineRule="auto"/>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b/>
          <w:color w:val="000000" w:themeColor="text1"/>
        </w:rPr>
        <w:t>QUINTO.</w:t>
      </w:r>
      <w:r w:rsidRPr="00F76FD8">
        <w:rPr>
          <w:rFonts w:ascii="Palatino Linotype" w:eastAsia="Palatino Linotype" w:hAnsi="Palatino Linotype" w:cs="Palatino Linotype"/>
          <w:color w:val="000000" w:themeColor="text1"/>
        </w:rPr>
        <w:t xml:space="preserve"> Se hace del conocimiento del</w:t>
      </w:r>
      <w:r w:rsidRPr="00F76FD8">
        <w:rPr>
          <w:rFonts w:ascii="Palatino Linotype" w:eastAsia="Palatino Linotype" w:hAnsi="Palatino Linotype" w:cs="Palatino Linotype"/>
          <w:b/>
          <w:color w:val="000000" w:themeColor="text1"/>
        </w:rPr>
        <w:t xml:space="preserve"> Recurrente </w:t>
      </w:r>
      <w:r w:rsidRPr="00F76FD8">
        <w:rPr>
          <w:rFonts w:ascii="Palatino Linotype" w:eastAsia="Palatino Linotype" w:hAnsi="Palatino Linotype" w:cs="Palatino Linotype"/>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 a través del juicio de amparo en los términos de las leyes aplicables.</w:t>
      </w:r>
    </w:p>
    <w:p w:rsidR="003C69BE" w:rsidRPr="00F76FD8" w:rsidRDefault="003C69BE" w:rsidP="00F76FD8">
      <w:pPr>
        <w:spacing w:line="360" w:lineRule="auto"/>
        <w:jc w:val="both"/>
        <w:rPr>
          <w:rFonts w:ascii="Palatino Linotype" w:eastAsia="Palatino Linotype" w:hAnsi="Palatino Linotype" w:cs="Palatino Linotype"/>
          <w:color w:val="000000" w:themeColor="text1"/>
        </w:rPr>
      </w:pPr>
    </w:p>
    <w:p w:rsidR="003C69BE" w:rsidRPr="00F76FD8" w:rsidRDefault="00C644B0" w:rsidP="00F76FD8">
      <w:pPr>
        <w:spacing w:line="360" w:lineRule="auto"/>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b/>
          <w:color w:val="000000" w:themeColor="text1"/>
        </w:rPr>
        <w:t>SEXTO.-</w:t>
      </w:r>
      <w:r w:rsidRPr="00F76FD8">
        <w:rPr>
          <w:rFonts w:ascii="Palatino Linotype" w:eastAsia="Palatino Linotype" w:hAnsi="Palatino Linotype" w:cs="Palatino Linotype"/>
          <w:color w:val="000000" w:themeColor="text1"/>
        </w:rPr>
        <w:t xml:space="preserve"> De conformidad con el artículo 198 de la Ley de Transparencia y Acceso a la Información Pública del Estado de México y Municipios, de considerarlo procedente, el Sujeto </w:t>
      </w:r>
      <w:r w:rsidRPr="00F76FD8">
        <w:rPr>
          <w:rFonts w:ascii="Palatino Linotype" w:eastAsia="Palatino Linotype" w:hAnsi="Palatino Linotype" w:cs="Palatino Linotype"/>
          <w:color w:val="000000" w:themeColor="text1"/>
        </w:rPr>
        <w:lastRenderedPageBreak/>
        <w:t>Obligado de manera fundada y motivada, podrá solicitar una ampliación de plazo para el cumplimiento de la presente resolución.</w:t>
      </w:r>
    </w:p>
    <w:p w:rsidR="003C69BE" w:rsidRDefault="003C69BE" w:rsidP="00F76FD8">
      <w:pPr>
        <w:spacing w:line="360" w:lineRule="auto"/>
        <w:jc w:val="both"/>
        <w:rPr>
          <w:rFonts w:ascii="Palatino Linotype" w:eastAsia="Palatino Linotype" w:hAnsi="Palatino Linotype" w:cs="Palatino Linotype"/>
          <w:color w:val="000000" w:themeColor="text1"/>
        </w:rPr>
      </w:pPr>
    </w:p>
    <w:p w:rsidR="005D7F49" w:rsidRPr="00444783" w:rsidRDefault="005D7F49" w:rsidP="005D7F49">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Pr>
          <w:rFonts w:ascii="Palatino Linotype" w:eastAsia="Palatino Linotype" w:hAnsi="Palatino Linotype" w:cs="Palatino Linotype"/>
        </w:rPr>
        <w:t xml:space="preserve">SÉPTIMA </w:t>
      </w:r>
      <w:r w:rsidRPr="00575AE2">
        <w:rPr>
          <w:rFonts w:ascii="Palatino Linotype" w:eastAsia="Palatino Linotype" w:hAnsi="Palatino Linotype" w:cs="Palatino Linotype"/>
        </w:rPr>
        <w:t xml:space="preserve">SESIÓN ORDINARIA, CELEBRADA EL </w:t>
      </w:r>
      <w:r>
        <w:rPr>
          <w:rFonts w:ascii="Palatino Linotype" w:eastAsia="Palatino Linotype" w:hAnsi="Palatino Linotype" w:cs="Palatino Linotype"/>
        </w:rPr>
        <w:t>QUINCE (15</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OCTUBRE </w:t>
      </w:r>
      <w:r w:rsidRPr="00575AE2">
        <w:rPr>
          <w:rFonts w:ascii="Palatino Linotype" w:eastAsia="Palatino Linotype" w:hAnsi="Palatino Linotype" w:cs="Palatino Linotype"/>
        </w:rPr>
        <w:t>DE DOS MIL VEINTICINCO, ANTE EL SECRETARIO TÉCNICO DEL PLENO ALEXIS TAPIA RAMÍREZ.</w:t>
      </w:r>
    </w:p>
    <w:p w:rsidR="003C69BE" w:rsidRPr="00F76FD8" w:rsidRDefault="003C69BE" w:rsidP="00F76FD8">
      <w:pPr>
        <w:spacing w:before="240" w:after="240" w:line="360" w:lineRule="auto"/>
        <w:jc w:val="both"/>
        <w:rPr>
          <w:rFonts w:ascii="Palatino Linotype" w:eastAsia="Palatino Linotype" w:hAnsi="Palatino Linotype" w:cs="Palatino Linotype"/>
          <w:color w:val="000000" w:themeColor="text1"/>
        </w:rPr>
      </w:pPr>
    </w:p>
    <w:p w:rsidR="003C69BE" w:rsidRPr="00F76FD8" w:rsidRDefault="003C69BE" w:rsidP="00F76FD8">
      <w:pPr>
        <w:spacing w:before="240" w:after="240" w:line="360" w:lineRule="auto"/>
        <w:jc w:val="both"/>
        <w:rPr>
          <w:rFonts w:ascii="Palatino Linotype" w:eastAsia="Palatino Linotype" w:hAnsi="Palatino Linotype" w:cs="Palatino Linotype"/>
          <w:color w:val="000000" w:themeColor="text1"/>
        </w:rPr>
      </w:pPr>
    </w:p>
    <w:p w:rsidR="003C69BE" w:rsidRPr="00F76FD8" w:rsidRDefault="003C69BE" w:rsidP="00F76FD8">
      <w:pPr>
        <w:spacing w:before="240" w:after="240" w:line="360" w:lineRule="auto"/>
        <w:jc w:val="both"/>
        <w:rPr>
          <w:rFonts w:ascii="Palatino Linotype" w:eastAsia="Palatino Linotype" w:hAnsi="Palatino Linotype" w:cs="Palatino Linotype"/>
          <w:color w:val="000000" w:themeColor="text1"/>
        </w:rPr>
      </w:pPr>
    </w:p>
    <w:p w:rsidR="003C69BE" w:rsidRPr="00F76FD8" w:rsidRDefault="003C69BE" w:rsidP="00F76FD8">
      <w:pPr>
        <w:spacing w:before="240" w:after="240" w:line="360" w:lineRule="auto"/>
        <w:jc w:val="both"/>
        <w:rPr>
          <w:rFonts w:ascii="Palatino Linotype" w:eastAsia="Palatino Linotype" w:hAnsi="Palatino Linotype" w:cs="Palatino Linotype"/>
          <w:color w:val="000000" w:themeColor="text1"/>
        </w:rPr>
      </w:pPr>
    </w:p>
    <w:p w:rsidR="003C69BE" w:rsidRPr="00F76FD8" w:rsidRDefault="003C69BE" w:rsidP="00F76FD8">
      <w:pPr>
        <w:spacing w:before="240" w:after="240" w:line="360" w:lineRule="auto"/>
        <w:jc w:val="both"/>
        <w:rPr>
          <w:rFonts w:ascii="Palatino Linotype" w:eastAsia="Palatino Linotype" w:hAnsi="Palatino Linotype" w:cs="Palatino Linotype"/>
          <w:color w:val="000000" w:themeColor="text1"/>
        </w:rPr>
      </w:pPr>
    </w:p>
    <w:p w:rsidR="003C69BE" w:rsidRPr="00F76FD8" w:rsidRDefault="003C69BE" w:rsidP="00F76FD8">
      <w:pPr>
        <w:spacing w:before="240" w:after="240" w:line="360" w:lineRule="auto"/>
        <w:jc w:val="both"/>
        <w:rPr>
          <w:rFonts w:ascii="Palatino Linotype" w:eastAsia="Palatino Linotype" w:hAnsi="Palatino Linotype" w:cs="Palatino Linotype"/>
          <w:color w:val="000000" w:themeColor="text1"/>
        </w:rPr>
      </w:pPr>
    </w:p>
    <w:p w:rsidR="003C69BE" w:rsidRPr="00F76FD8" w:rsidRDefault="003C69BE" w:rsidP="00F76FD8">
      <w:pPr>
        <w:spacing w:before="240" w:after="240" w:line="360" w:lineRule="auto"/>
        <w:jc w:val="both"/>
        <w:rPr>
          <w:rFonts w:ascii="Palatino Linotype" w:eastAsia="Palatino Linotype" w:hAnsi="Palatino Linotype" w:cs="Palatino Linotype"/>
          <w:b/>
          <w:color w:val="000000" w:themeColor="text1"/>
        </w:rPr>
      </w:pPr>
    </w:p>
    <w:p w:rsidR="003C69BE" w:rsidRPr="00F76FD8" w:rsidRDefault="003C69BE" w:rsidP="00F76FD8">
      <w:pPr>
        <w:spacing w:line="360" w:lineRule="auto"/>
        <w:jc w:val="both"/>
        <w:rPr>
          <w:rFonts w:ascii="Palatino Linotype" w:eastAsia="Palatino Linotype" w:hAnsi="Palatino Linotype" w:cs="Palatino Linotype"/>
          <w:color w:val="000000" w:themeColor="text1"/>
        </w:rPr>
      </w:pPr>
    </w:p>
    <w:p w:rsidR="003C69BE" w:rsidRPr="00F76FD8" w:rsidRDefault="003C69BE" w:rsidP="00F76FD8">
      <w:pPr>
        <w:rPr>
          <w:rFonts w:ascii="Palatino Linotype" w:eastAsia="Palatino Linotype" w:hAnsi="Palatino Linotype" w:cs="Palatino Linotype"/>
          <w:color w:val="000000" w:themeColor="text1"/>
        </w:rPr>
      </w:pPr>
    </w:p>
    <w:p w:rsidR="003C69BE" w:rsidRPr="00F76FD8" w:rsidRDefault="003C69BE" w:rsidP="00F76FD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C69BE" w:rsidRPr="00F76FD8" w:rsidRDefault="003C69BE" w:rsidP="00F76FD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C69BE" w:rsidRPr="00F76FD8" w:rsidRDefault="003C69BE" w:rsidP="00F76FD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C69BE" w:rsidRPr="00F76FD8" w:rsidRDefault="003C69BE" w:rsidP="00F76FD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C69BE" w:rsidRPr="00F76FD8" w:rsidRDefault="003C69BE" w:rsidP="00F76FD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C69BE" w:rsidRPr="00F76FD8" w:rsidRDefault="003C69BE" w:rsidP="00F76FD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C69BE" w:rsidRPr="00F76FD8" w:rsidRDefault="003C69BE" w:rsidP="00F76FD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C69BE" w:rsidRPr="00F76FD8" w:rsidRDefault="003C69BE" w:rsidP="00F76FD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C69BE" w:rsidRPr="00F76FD8" w:rsidRDefault="003C69BE" w:rsidP="00F76FD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C69BE" w:rsidRPr="00F76FD8" w:rsidRDefault="003C69BE" w:rsidP="00F76FD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C69BE" w:rsidRPr="00F76FD8" w:rsidRDefault="003C69BE" w:rsidP="00F76FD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C69BE" w:rsidRPr="00F76FD8" w:rsidRDefault="003C69BE" w:rsidP="00F76FD8">
      <w:pPr>
        <w:rPr>
          <w:rFonts w:ascii="Palatino Linotype" w:eastAsia="Palatino Linotype" w:hAnsi="Palatino Linotype" w:cs="Palatino Linotype"/>
          <w:color w:val="000000" w:themeColor="text1"/>
        </w:rPr>
      </w:pPr>
    </w:p>
    <w:p w:rsidR="003C69BE" w:rsidRPr="00F76FD8" w:rsidRDefault="003C69BE" w:rsidP="00F76FD8">
      <w:pPr>
        <w:rPr>
          <w:rFonts w:ascii="Palatino Linotype" w:eastAsia="Palatino Linotype" w:hAnsi="Palatino Linotype" w:cs="Palatino Linotype"/>
          <w:color w:val="000000" w:themeColor="text1"/>
        </w:rPr>
      </w:pPr>
    </w:p>
    <w:p w:rsidR="003C69BE" w:rsidRPr="00F76FD8" w:rsidRDefault="003C69BE" w:rsidP="00F76FD8">
      <w:pPr>
        <w:rPr>
          <w:rFonts w:ascii="Palatino Linotype" w:eastAsia="Palatino Linotype" w:hAnsi="Palatino Linotype" w:cs="Palatino Linotype"/>
          <w:color w:val="000000" w:themeColor="text1"/>
        </w:rPr>
      </w:pPr>
    </w:p>
    <w:p w:rsidR="003C69BE" w:rsidRPr="00F76FD8" w:rsidRDefault="003C69BE" w:rsidP="00F76FD8">
      <w:pPr>
        <w:rPr>
          <w:rFonts w:ascii="Palatino Linotype" w:eastAsia="Palatino Linotype" w:hAnsi="Palatino Linotype" w:cs="Palatino Linotype"/>
          <w:color w:val="000000" w:themeColor="text1"/>
        </w:rPr>
      </w:pPr>
    </w:p>
    <w:p w:rsidR="003C69BE" w:rsidRPr="00F76FD8" w:rsidRDefault="003C69BE" w:rsidP="00F76FD8">
      <w:pPr>
        <w:rPr>
          <w:rFonts w:ascii="Palatino Linotype" w:eastAsia="Palatino Linotype" w:hAnsi="Palatino Linotype" w:cs="Palatino Linotype"/>
          <w:color w:val="000000" w:themeColor="text1"/>
        </w:rPr>
      </w:pPr>
    </w:p>
    <w:p w:rsidR="003C69BE" w:rsidRPr="00F76FD8" w:rsidRDefault="003C69BE" w:rsidP="00F76FD8">
      <w:pPr>
        <w:rPr>
          <w:rFonts w:ascii="Palatino Linotype" w:eastAsia="Palatino Linotype" w:hAnsi="Palatino Linotype" w:cs="Palatino Linotype"/>
          <w:color w:val="000000" w:themeColor="text1"/>
        </w:rPr>
      </w:pPr>
    </w:p>
    <w:p w:rsidR="003C69BE" w:rsidRPr="00F76FD8" w:rsidRDefault="003C69BE" w:rsidP="00F76FD8">
      <w:pPr>
        <w:rPr>
          <w:rFonts w:ascii="Palatino Linotype" w:eastAsia="Palatino Linotype" w:hAnsi="Palatino Linotype" w:cs="Palatino Linotype"/>
          <w:color w:val="000000" w:themeColor="text1"/>
        </w:rPr>
      </w:pPr>
    </w:p>
    <w:p w:rsidR="003C69BE" w:rsidRPr="00F76FD8" w:rsidRDefault="003C69BE" w:rsidP="00F76FD8">
      <w:pPr>
        <w:rPr>
          <w:rFonts w:ascii="Palatino Linotype" w:eastAsia="Palatino Linotype" w:hAnsi="Palatino Linotype" w:cs="Palatino Linotype"/>
          <w:b/>
          <w:color w:val="000000" w:themeColor="text1"/>
        </w:rPr>
      </w:pPr>
    </w:p>
    <w:sectPr w:rsidR="003C69BE" w:rsidRPr="00F76FD8" w:rsidSect="00EB071B">
      <w:headerReference w:type="even" r:id="rId11"/>
      <w:headerReference w:type="default" r:id="rId12"/>
      <w:footerReference w:type="default" r:id="rId13"/>
      <w:headerReference w:type="first" r:id="rId14"/>
      <w:footerReference w:type="first" r:id="rId15"/>
      <w:pgSz w:w="12240" w:h="15840"/>
      <w:pgMar w:top="80" w:right="75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14C" w:rsidRDefault="0090014C">
      <w:r>
        <w:separator/>
      </w:r>
    </w:p>
  </w:endnote>
  <w:endnote w:type="continuationSeparator" w:id="0">
    <w:p w:rsidR="0090014C" w:rsidRDefault="00900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9BE" w:rsidRDefault="00C644B0">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AA08C2">
      <w:rPr>
        <w:b/>
        <w:noProof/>
        <w:color w:val="000000"/>
      </w:rPr>
      <w:t>2</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AA08C2">
      <w:rPr>
        <w:b/>
        <w:noProof/>
        <w:color w:val="000000"/>
      </w:rPr>
      <w:t>30</w:t>
    </w:r>
    <w:r>
      <w:rPr>
        <w:b/>
        <w:color w:val="000000"/>
      </w:rPr>
      <w:fldChar w:fldCharType="end"/>
    </w:r>
  </w:p>
  <w:p w:rsidR="003C69BE" w:rsidRDefault="003C69B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9BE" w:rsidRDefault="00C644B0">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AA08C2">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AA08C2">
      <w:rPr>
        <w:b/>
        <w:noProof/>
        <w:color w:val="000000"/>
      </w:rPr>
      <w:t>30</w:t>
    </w:r>
    <w:r>
      <w:rPr>
        <w:b/>
        <w:color w:val="000000"/>
      </w:rPr>
      <w:fldChar w:fldCharType="end"/>
    </w:r>
  </w:p>
  <w:p w:rsidR="003C69BE" w:rsidRDefault="003C69B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14C" w:rsidRDefault="0090014C">
      <w:r>
        <w:separator/>
      </w:r>
    </w:p>
  </w:footnote>
  <w:footnote w:type="continuationSeparator" w:id="0">
    <w:p w:rsidR="0090014C" w:rsidRDefault="0090014C">
      <w:r>
        <w:continuationSeparator/>
      </w:r>
    </w:p>
  </w:footnote>
  <w:footnote w:id="1">
    <w:p w:rsidR="003C69BE" w:rsidRDefault="00C644B0">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Ley de Transparencia y Acceso a la Información Pública del Estado de México y Municipios.</w:t>
      </w:r>
    </w:p>
    <w:p w:rsidR="003C69BE" w:rsidRDefault="00C644B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Artículo 151. Ibídem.</w:t>
      </w:r>
    </w:p>
  </w:footnote>
  <w:footnote w:id="2">
    <w:p w:rsidR="003C69BE" w:rsidRDefault="00C644B0">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Fracción IV. Artículo 53. Ibídem.</w:t>
      </w:r>
    </w:p>
  </w:footnote>
  <w:footnote w:id="3">
    <w:p w:rsidR="003C69BE" w:rsidRDefault="00C644B0">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Ley de Transparencia y Acceso a la Información Pública del Estado de México y Municipios. Artículo 9. …</w:t>
      </w:r>
    </w:p>
    <w:p w:rsidR="003C69BE" w:rsidRDefault="00C644B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II. Eficacia: Obligación del Instituto para tutelar, de manera efectiva, el derecho de acceso a la información;</w:t>
      </w:r>
    </w:p>
    <w:p w:rsidR="003C69BE" w:rsidRDefault="00C644B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9BE" w:rsidRDefault="0090014C">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6"/>
      <w:tblW w:w="9896" w:type="dxa"/>
      <w:tblInd w:w="-115" w:type="dxa"/>
      <w:tblLayout w:type="fixed"/>
      <w:tblLook w:val="0400" w:firstRow="0" w:lastRow="0" w:firstColumn="0" w:lastColumn="0" w:noHBand="0" w:noVBand="1"/>
    </w:tblPr>
    <w:tblGrid>
      <w:gridCol w:w="2268"/>
      <w:gridCol w:w="7628"/>
    </w:tblGrid>
    <w:tr w:rsidR="003C69BE" w:rsidTr="00EB071B">
      <w:trPr>
        <w:trHeight w:val="1435"/>
      </w:trPr>
      <w:tc>
        <w:tcPr>
          <w:tcW w:w="2268" w:type="dxa"/>
          <w:shd w:val="clear" w:color="auto" w:fill="auto"/>
        </w:tcPr>
        <w:p w:rsidR="003C69BE" w:rsidRDefault="003C69BE">
          <w:pPr>
            <w:tabs>
              <w:tab w:val="right" w:pos="4273"/>
            </w:tabs>
            <w:rPr>
              <w:rFonts w:ascii="Garamond" w:eastAsia="Garamond" w:hAnsi="Garamond" w:cs="Garamond"/>
              <w:sz w:val="16"/>
              <w:szCs w:val="16"/>
            </w:rPr>
          </w:pPr>
        </w:p>
      </w:tc>
      <w:tc>
        <w:tcPr>
          <w:tcW w:w="7628" w:type="dxa"/>
          <w:shd w:val="clear" w:color="auto" w:fill="auto"/>
        </w:tcPr>
        <w:tbl>
          <w:tblPr>
            <w:tblStyle w:val="a7"/>
            <w:tblW w:w="7048" w:type="dxa"/>
            <w:tblInd w:w="1418" w:type="dxa"/>
            <w:tblLayout w:type="fixed"/>
            <w:tblLook w:val="0400" w:firstRow="0" w:lastRow="0" w:firstColumn="0" w:lastColumn="0" w:noHBand="0" w:noVBand="1"/>
          </w:tblPr>
          <w:tblGrid>
            <w:gridCol w:w="2654"/>
            <w:gridCol w:w="4394"/>
          </w:tblGrid>
          <w:tr w:rsidR="003C69BE" w:rsidTr="00EB071B">
            <w:trPr>
              <w:trHeight w:val="150"/>
            </w:trPr>
            <w:tc>
              <w:tcPr>
                <w:tcW w:w="2654" w:type="dxa"/>
                <w:shd w:val="clear" w:color="auto" w:fill="auto"/>
              </w:tcPr>
              <w:p w:rsidR="003C69BE" w:rsidRPr="00F76FD8" w:rsidRDefault="00C644B0" w:rsidP="00F76FD8">
                <w:pPr>
                  <w:tabs>
                    <w:tab w:val="right" w:pos="8838"/>
                  </w:tabs>
                  <w:ind w:right="-105"/>
                  <w:rPr>
                    <w:rFonts w:ascii="Palatino Linotype" w:eastAsia="Palatino Linotype" w:hAnsi="Palatino Linotype" w:cs="Palatino Linotype"/>
                    <w:b/>
                    <w:color w:val="000000" w:themeColor="text1"/>
                  </w:rPr>
                </w:pPr>
                <w:r w:rsidRPr="00F76FD8">
                  <w:rPr>
                    <w:rFonts w:ascii="Palatino Linotype" w:eastAsia="Palatino Linotype" w:hAnsi="Palatino Linotype" w:cs="Palatino Linotype"/>
                    <w:b/>
                    <w:color w:val="000000" w:themeColor="text1"/>
                  </w:rPr>
                  <w:t>Recurso de Revisión:</w:t>
                </w:r>
              </w:p>
            </w:tc>
            <w:tc>
              <w:tcPr>
                <w:tcW w:w="4394" w:type="dxa"/>
                <w:shd w:val="clear" w:color="auto" w:fill="auto"/>
              </w:tcPr>
              <w:p w:rsidR="003C69BE" w:rsidRPr="00F76FD8" w:rsidRDefault="00C644B0" w:rsidP="00F76FD8">
                <w:pPr>
                  <w:tabs>
                    <w:tab w:val="right" w:pos="8838"/>
                  </w:tabs>
                  <w:ind w:left="-108" w:right="-102"/>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04168/INFOEM/IP/RR/2025</w:t>
                </w:r>
                <w:r w:rsidRPr="00F76FD8">
                  <w:rPr>
                    <w:rFonts w:ascii="Palatino Linotype" w:eastAsia="Palatino Linotype" w:hAnsi="Palatino Linotype" w:cs="Palatino Linotype"/>
                    <w:b/>
                    <w:color w:val="000000" w:themeColor="text1"/>
                  </w:rPr>
                  <w:t xml:space="preserve"> </w:t>
                </w:r>
              </w:p>
            </w:tc>
          </w:tr>
          <w:tr w:rsidR="003C69BE" w:rsidTr="00EB071B">
            <w:trPr>
              <w:trHeight w:val="295"/>
            </w:trPr>
            <w:tc>
              <w:tcPr>
                <w:tcW w:w="2654" w:type="dxa"/>
                <w:shd w:val="clear" w:color="auto" w:fill="auto"/>
              </w:tcPr>
              <w:p w:rsidR="003C69BE" w:rsidRPr="00F76FD8" w:rsidRDefault="00C644B0" w:rsidP="00F76FD8">
                <w:pPr>
                  <w:tabs>
                    <w:tab w:val="right" w:pos="8838"/>
                  </w:tabs>
                  <w:ind w:right="-105"/>
                  <w:rPr>
                    <w:rFonts w:ascii="Palatino Linotype" w:eastAsia="Palatino Linotype" w:hAnsi="Palatino Linotype" w:cs="Palatino Linotype"/>
                    <w:b/>
                    <w:color w:val="000000" w:themeColor="text1"/>
                  </w:rPr>
                </w:pPr>
                <w:r w:rsidRPr="00F76FD8">
                  <w:rPr>
                    <w:rFonts w:ascii="Palatino Linotype" w:eastAsia="Palatino Linotype" w:hAnsi="Palatino Linotype" w:cs="Palatino Linotype"/>
                    <w:b/>
                    <w:color w:val="000000" w:themeColor="text1"/>
                  </w:rPr>
                  <w:t>Sujeto Obligado:</w:t>
                </w:r>
              </w:p>
            </w:tc>
            <w:tc>
              <w:tcPr>
                <w:tcW w:w="4394" w:type="dxa"/>
                <w:shd w:val="clear" w:color="auto" w:fill="auto"/>
              </w:tcPr>
              <w:p w:rsidR="003C69BE" w:rsidRPr="00F76FD8" w:rsidRDefault="00C644B0" w:rsidP="00F76FD8">
                <w:pPr>
                  <w:tabs>
                    <w:tab w:val="left" w:pos="2834"/>
                    <w:tab w:val="right" w:pos="8838"/>
                  </w:tabs>
                  <w:ind w:left="-108" w:right="-102"/>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Ayuntamiento de Nextlalpan</w:t>
                </w:r>
              </w:p>
            </w:tc>
          </w:tr>
          <w:tr w:rsidR="003C69BE" w:rsidTr="00EB071B">
            <w:trPr>
              <w:trHeight w:val="295"/>
            </w:trPr>
            <w:tc>
              <w:tcPr>
                <w:tcW w:w="2654" w:type="dxa"/>
                <w:shd w:val="clear" w:color="auto" w:fill="auto"/>
              </w:tcPr>
              <w:p w:rsidR="003C69BE" w:rsidRPr="00F76FD8" w:rsidRDefault="00C644B0" w:rsidP="00F76FD8">
                <w:pPr>
                  <w:tabs>
                    <w:tab w:val="right" w:pos="8838"/>
                  </w:tabs>
                  <w:ind w:right="-105"/>
                  <w:rPr>
                    <w:rFonts w:ascii="Palatino Linotype" w:eastAsia="Palatino Linotype" w:hAnsi="Palatino Linotype" w:cs="Palatino Linotype"/>
                    <w:b/>
                    <w:color w:val="000000" w:themeColor="text1"/>
                  </w:rPr>
                </w:pPr>
                <w:r w:rsidRPr="00F76FD8">
                  <w:rPr>
                    <w:rFonts w:ascii="Palatino Linotype" w:eastAsia="Palatino Linotype" w:hAnsi="Palatino Linotype" w:cs="Palatino Linotype"/>
                    <w:b/>
                    <w:color w:val="000000" w:themeColor="text1"/>
                  </w:rPr>
                  <w:t>Comisionado ponente:</w:t>
                </w:r>
              </w:p>
            </w:tc>
            <w:tc>
              <w:tcPr>
                <w:tcW w:w="4394" w:type="dxa"/>
                <w:shd w:val="clear" w:color="auto" w:fill="auto"/>
              </w:tcPr>
              <w:p w:rsidR="003C69BE" w:rsidRPr="00F76FD8" w:rsidRDefault="00C644B0" w:rsidP="00F76FD8">
                <w:pPr>
                  <w:tabs>
                    <w:tab w:val="right" w:pos="8838"/>
                  </w:tabs>
                  <w:ind w:left="-108" w:right="171"/>
                  <w:jc w:val="both"/>
                  <w:rPr>
                    <w:rFonts w:ascii="Palatino Linotype" w:eastAsia="Palatino Linotype" w:hAnsi="Palatino Linotype" w:cs="Palatino Linotype"/>
                    <w:color w:val="000000" w:themeColor="text1"/>
                  </w:rPr>
                </w:pPr>
                <w:r w:rsidRPr="00F76FD8">
                  <w:rPr>
                    <w:rFonts w:ascii="Palatino Linotype" w:eastAsia="Palatino Linotype" w:hAnsi="Palatino Linotype" w:cs="Palatino Linotype"/>
                    <w:color w:val="000000" w:themeColor="text1"/>
                  </w:rPr>
                  <w:t>María del Rosario Mejía Ayala</w:t>
                </w:r>
              </w:p>
              <w:p w:rsidR="003C69BE" w:rsidRPr="00F76FD8" w:rsidRDefault="003C69BE" w:rsidP="00F76FD8">
                <w:pPr>
                  <w:tabs>
                    <w:tab w:val="right" w:pos="8838"/>
                  </w:tabs>
                  <w:ind w:left="-108" w:right="171"/>
                  <w:jc w:val="both"/>
                  <w:rPr>
                    <w:rFonts w:ascii="Palatino Linotype" w:eastAsia="Palatino Linotype" w:hAnsi="Palatino Linotype" w:cs="Palatino Linotype"/>
                    <w:b/>
                    <w:color w:val="000000" w:themeColor="text1"/>
                  </w:rPr>
                </w:pPr>
              </w:p>
            </w:tc>
          </w:tr>
        </w:tbl>
        <w:p w:rsidR="003C69BE" w:rsidRDefault="003C69BE">
          <w:pPr>
            <w:tabs>
              <w:tab w:val="right" w:pos="8838"/>
            </w:tabs>
            <w:ind w:left="-28"/>
            <w:jc w:val="both"/>
            <w:rPr>
              <w:rFonts w:ascii="Arial" w:eastAsia="Arial" w:hAnsi="Arial" w:cs="Arial"/>
              <w:b/>
              <w:sz w:val="22"/>
              <w:szCs w:val="22"/>
            </w:rPr>
          </w:pPr>
        </w:p>
      </w:tc>
    </w:tr>
  </w:tbl>
  <w:p w:rsidR="003C69BE" w:rsidRDefault="0090014C">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8"/>
      <w:tblW w:w="10463" w:type="dxa"/>
      <w:tblInd w:w="-115" w:type="dxa"/>
      <w:tblLayout w:type="fixed"/>
      <w:tblLook w:val="0400" w:firstRow="0" w:lastRow="0" w:firstColumn="0" w:lastColumn="0" w:noHBand="0" w:noVBand="1"/>
    </w:tblPr>
    <w:tblGrid>
      <w:gridCol w:w="2268"/>
      <w:gridCol w:w="8195"/>
    </w:tblGrid>
    <w:tr w:rsidR="003C69BE" w:rsidTr="00F76FD8">
      <w:trPr>
        <w:trHeight w:val="1435"/>
      </w:trPr>
      <w:tc>
        <w:tcPr>
          <w:tcW w:w="2268" w:type="dxa"/>
          <w:shd w:val="clear" w:color="auto" w:fill="auto"/>
        </w:tcPr>
        <w:p w:rsidR="003C69BE" w:rsidRDefault="003C69BE">
          <w:pPr>
            <w:tabs>
              <w:tab w:val="right" w:pos="4273"/>
            </w:tabs>
            <w:rPr>
              <w:rFonts w:ascii="Garamond" w:eastAsia="Garamond" w:hAnsi="Garamond" w:cs="Garamond"/>
              <w:sz w:val="22"/>
              <w:szCs w:val="22"/>
            </w:rPr>
          </w:pPr>
        </w:p>
      </w:tc>
      <w:tc>
        <w:tcPr>
          <w:tcW w:w="8195" w:type="dxa"/>
          <w:shd w:val="clear" w:color="auto" w:fill="auto"/>
        </w:tcPr>
        <w:tbl>
          <w:tblPr>
            <w:tblStyle w:val="a9"/>
            <w:tblW w:w="8534" w:type="dxa"/>
            <w:tblInd w:w="567" w:type="dxa"/>
            <w:tblLayout w:type="fixed"/>
            <w:tblLook w:val="0400" w:firstRow="0" w:lastRow="0" w:firstColumn="0" w:lastColumn="0" w:noHBand="0" w:noVBand="1"/>
          </w:tblPr>
          <w:tblGrid>
            <w:gridCol w:w="2654"/>
            <w:gridCol w:w="5880"/>
          </w:tblGrid>
          <w:tr w:rsidR="003C69BE" w:rsidTr="00EB071B">
            <w:trPr>
              <w:trHeight w:val="281"/>
            </w:trPr>
            <w:tc>
              <w:tcPr>
                <w:tcW w:w="2654" w:type="dxa"/>
                <w:shd w:val="clear" w:color="auto" w:fill="auto"/>
              </w:tcPr>
              <w:p w:rsidR="003C69BE" w:rsidRPr="00F76FD8" w:rsidRDefault="00C644B0" w:rsidP="00F76FD8">
                <w:pPr>
                  <w:tabs>
                    <w:tab w:val="right" w:pos="8838"/>
                  </w:tabs>
                  <w:ind w:left="-264" w:right="-105" w:firstLine="195"/>
                  <w:rPr>
                    <w:rFonts w:ascii="Palatino Linotype" w:eastAsia="Palatino Linotype" w:hAnsi="Palatino Linotype" w:cs="Palatino Linotype"/>
                    <w:b/>
                  </w:rPr>
                </w:pPr>
                <w:r w:rsidRPr="00F76FD8">
                  <w:rPr>
                    <w:rFonts w:ascii="Palatino Linotype" w:eastAsia="Palatino Linotype" w:hAnsi="Palatino Linotype" w:cs="Palatino Linotype"/>
                    <w:b/>
                  </w:rPr>
                  <w:t>Recurso de Revisión:</w:t>
                </w:r>
              </w:p>
            </w:tc>
            <w:tc>
              <w:tcPr>
                <w:tcW w:w="5880" w:type="dxa"/>
                <w:shd w:val="clear" w:color="auto" w:fill="auto"/>
              </w:tcPr>
              <w:p w:rsidR="003C69BE" w:rsidRPr="00F76FD8" w:rsidRDefault="00C644B0" w:rsidP="00F76FD8">
                <w:pPr>
                  <w:tabs>
                    <w:tab w:val="right" w:pos="8838"/>
                  </w:tabs>
                  <w:ind w:left="-74"/>
                  <w:jc w:val="both"/>
                  <w:rPr>
                    <w:rFonts w:ascii="Palatino Linotype" w:eastAsia="Palatino Linotype" w:hAnsi="Palatino Linotype" w:cs="Palatino Linotype"/>
                  </w:rPr>
                </w:pPr>
                <w:r w:rsidRPr="00F76FD8">
                  <w:rPr>
                    <w:rFonts w:ascii="Palatino Linotype" w:eastAsia="Palatino Linotype" w:hAnsi="Palatino Linotype" w:cs="Palatino Linotype"/>
                  </w:rPr>
                  <w:t>04168/INFOEM/IP/RR/2025</w:t>
                </w:r>
              </w:p>
            </w:tc>
          </w:tr>
          <w:tr w:rsidR="003C69BE" w:rsidTr="00EB071B">
            <w:trPr>
              <w:trHeight w:val="281"/>
            </w:trPr>
            <w:tc>
              <w:tcPr>
                <w:tcW w:w="2654" w:type="dxa"/>
                <w:shd w:val="clear" w:color="auto" w:fill="auto"/>
              </w:tcPr>
              <w:p w:rsidR="003C69BE" w:rsidRPr="00F76FD8" w:rsidRDefault="00C644B0" w:rsidP="00F76FD8">
                <w:pPr>
                  <w:tabs>
                    <w:tab w:val="right" w:pos="8838"/>
                  </w:tabs>
                  <w:ind w:left="-74" w:right="-105"/>
                  <w:rPr>
                    <w:rFonts w:ascii="Palatino Linotype" w:eastAsia="Palatino Linotype" w:hAnsi="Palatino Linotype" w:cs="Palatino Linotype"/>
                    <w:b/>
                  </w:rPr>
                </w:pPr>
                <w:r w:rsidRPr="00F76FD8">
                  <w:rPr>
                    <w:rFonts w:ascii="Palatino Linotype" w:eastAsia="Palatino Linotype" w:hAnsi="Palatino Linotype" w:cs="Palatino Linotype"/>
                    <w:b/>
                  </w:rPr>
                  <w:t>Recurrente:</w:t>
                </w:r>
              </w:p>
            </w:tc>
            <w:tc>
              <w:tcPr>
                <w:tcW w:w="5880" w:type="dxa"/>
                <w:shd w:val="clear" w:color="auto" w:fill="auto"/>
              </w:tcPr>
              <w:p w:rsidR="003C69BE" w:rsidRPr="00F76FD8" w:rsidRDefault="00AA08C2" w:rsidP="00F76FD8">
                <w:pPr>
                  <w:tabs>
                    <w:tab w:val="left" w:pos="3122"/>
                    <w:tab w:val="right" w:pos="8838"/>
                  </w:tabs>
                  <w:ind w:left="-74"/>
                  <w:jc w:val="both"/>
                  <w:rPr>
                    <w:rFonts w:ascii="Palatino Linotype" w:eastAsia="Palatino Linotype" w:hAnsi="Palatino Linotype" w:cs="Palatino Linotype"/>
                  </w:rPr>
                </w:pPr>
                <w:r>
                  <w:rPr>
                    <w:rFonts w:ascii="Palatino Linotype" w:eastAsia="Palatino Linotype" w:hAnsi="Palatino Linotype" w:cs="Palatino Linotype"/>
                  </w:rPr>
                  <w:t>XXXX</w:t>
                </w:r>
              </w:p>
            </w:tc>
          </w:tr>
          <w:tr w:rsidR="003C69BE" w:rsidTr="00EB071B">
            <w:trPr>
              <w:trHeight w:val="281"/>
            </w:trPr>
            <w:tc>
              <w:tcPr>
                <w:tcW w:w="2654" w:type="dxa"/>
                <w:shd w:val="clear" w:color="auto" w:fill="auto"/>
              </w:tcPr>
              <w:p w:rsidR="003C69BE" w:rsidRPr="00F76FD8" w:rsidRDefault="00C644B0" w:rsidP="00F76FD8">
                <w:pPr>
                  <w:tabs>
                    <w:tab w:val="right" w:pos="8838"/>
                  </w:tabs>
                  <w:ind w:left="-74" w:right="-105"/>
                  <w:rPr>
                    <w:rFonts w:ascii="Palatino Linotype" w:eastAsia="Palatino Linotype" w:hAnsi="Palatino Linotype" w:cs="Palatino Linotype"/>
                    <w:b/>
                  </w:rPr>
                </w:pPr>
                <w:r w:rsidRPr="00F76FD8">
                  <w:rPr>
                    <w:rFonts w:ascii="Palatino Linotype" w:eastAsia="Palatino Linotype" w:hAnsi="Palatino Linotype" w:cs="Palatino Linotype"/>
                    <w:b/>
                  </w:rPr>
                  <w:t>Sujeto Obligado:</w:t>
                </w:r>
              </w:p>
            </w:tc>
            <w:tc>
              <w:tcPr>
                <w:tcW w:w="5880" w:type="dxa"/>
                <w:shd w:val="clear" w:color="auto" w:fill="auto"/>
              </w:tcPr>
              <w:p w:rsidR="003C69BE" w:rsidRPr="00F76FD8" w:rsidRDefault="00F76FD8" w:rsidP="00F76FD8">
                <w:pPr>
                  <w:tabs>
                    <w:tab w:val="left" w:pos="2834"/>
                    <w:tab w:val="right" w:pos="8838"/>
                  </w:tabs>
                  <w:ind w:left="-74"/>
                  <w:jc w:val="both"/>
                  <w:rPr>
                    <w:rFonts w:ascii="Palatino Linotype" w:eastAsia="Palatino Linotype" w:hAnsi="Palatino Linotype" w:cs="Palatino Linotype"/>
                  </w:rPr>
                </w:pPr>
                <w:r>
                  <w:rPr>
                    <w:rFonts w:ascii="Palatino Linotype" w:eastAsia="Palatino Linotype" w:hAnsi="Palatino Linotype" w:cs="Palatino Linotype"/>
                  </w:rPr>
                  <w:t>Ayuntamiento de Nextlalpan</w:t>
                </w:r>
              </w:p>
            </w:tc>
          </w:tr>
          <w:tr w:rsidR="003C69BE" w:rsidTr="00EB071B">
            <w:trPr>
              <w:trHeight w:val="563"/>
            </w:trPr>
            <w:tc>
              <w:tcPr>
                <w:tcW w:w="2654" w:type="dxa"/>
                <w:shd w:val="clear" w:color="auto" w:fill="auto"/>
              </w:tcPr>
              <w:p w:rsidR="003C69BE" w:rsidRPr="00F76FD8" w:rsidRDefault="00C644B0" w:rsidP="00F76FD8">
                <w:pPr>
                  <w:tabs>
                    <w:tab w:val="right" w:pos="8838"/>
                  </w:tabs>
                  <w:ind w:left="-74" w:right="-105"/>
                  <w:rPr>
                    <w:rFonts w:ascii="Palatino Linotype" w:eastAsia="Palatino Linotype" w:hAnsi="Palatino Linotype" w:cs="Palatino Linotype"/>
                    <w:b/>
                  </w:rPr>
                </w:pPr>
                <w:r w:rsidRPr="00F76FD8">
                  <w:rPr>
                    <w:rFonts w:ascii="Palatino Linotype" w:eastAsia="Palatino Linotype" w:hAnsi="Palatino Linotype" w:cs="Palatino Linotype"/>
                    <w:b/>
                  </w:rPr>
                  <w:t>Comisionado ponente:</w:t>
                </w:r>
              </w:p>
            </w:tc>
            <w:tc>
              <w:tcPr>
                <w:tcW w:w="5880" w:type="dxa"/>
                <w:shd w:val="clear" w:color="auto" w:fill="auto"/>
              </w:tcPr>
              <w:p w:rsidR="003C69BE" w:rsidRPr="00F76FD8" w:rsidRDefault="00C644B0" w:rsidP="00F76FD8">
                <w:pPr>
                  <w:tabs>
                    <w:tab w:val="right" w:pos="8838"/>
                  </w:tabs>
                  <w:ind w:left="-74"/>
                  <w:jc w:val="both"/>
                  <w:rPr>
                    <w:rFonts w:ascii="Palatino Linotype" w:eastAsia="Palatino Linotype" w:hAnsi="Palatino Linotype" w:cs="Palatino Linotype"/>
                  </w:rPr>
                </w:pPr>
                <w:r w:rsidRPr="00F76FD8">
                  <w:rPr>
                    <w:rFonts w:ascii="Palatino Linotype" w:eastAsia="Palatino Linotype" w:hAnsi="Palatino Linotype" w:cs="Palatino Linotype"/>
                  </w:rPr>
                  <w:t>María del Rosario Mejía Ayala</w:t>
                </w:r>
              </w:p>
              <w:p w:rsidR="003C69BE" w:rsidRPr="00F76FD8" w:rsidRDefault="003C69BE" w:rsidP="00F76FD8">
                <w:pPr>
                  <w:tabs>
                    <w:tab w:val="right" w:pos="8838"/>
                  </w:tabs>
                  <w:ind w:left="-74"/>
                  <w:jc w:val="both"/>
                  <w:rPr>
                    <w:rFonts w:ascii="Palatino Linotype" w:eastAsia="Palatino Linotype" w:hAnsi="Palatino Linotype" w:cs="Palatino Linotype"/>
                    <w:b/>
                  </w:rPr>
                </w:pPr>
              </w:p>
            </w:tc>
          </w:tr>
        </w:tbl>
        <w:p w:rsidR="003C69BE" w:rsidRDefault="003C69BE">
          <w:pPr>
            <w:tabs>
              <w:tab w:val="right" w:pos="8838"/>
            </w:tabs>
            <w:ind w:left="-28"/>
            <w:jc w:val="both"/>
            <w:rPr>
              <w:rFonts w:ascii="Arial" w:eastAsia="Arial" w:hAnsi="Arial" w:cs="Arial"/>
              <w:b/>
              <w:sz w:val="22"/>
              <w:szCs w:val="22"/>
            </w:rPr>
          </w:pPr>
        </w:p>
      </w:tc>
    </w:tr>
  </w:tbl>
  <w:p w:rsidR="003C69BE" w:rsidRDefault="0090014C">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3C6CBE"/>
    <w:multiLevelType w:val="multilevel"/>
    <w:tmpl w:val="E8CA30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04E11A6"/>
    <w:multiLevelType w:val="multilevel"/>
    <w:tmpl w:val="7270C32A"/>
    <w:lvl w:ilvl="0">
      <w:numFmt w:val="bullet"/>
      <w:lvlText w:val="-"/>
      <w:lvlJc w:val="left"/>
      <w:pPr>
        <w:ind w:left="1080" w:hanging="360"/>
      </w:pPr>
      <w:rPr>
        <w:rFonts w:ascii="Palatino Linotype" w:eastAsia="Palatino Linotype" w:hAnsi="Palatino Linotype" w:cs="Palatino Linotyp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50686BA2"/>
    <w:multiLevelType w:val="multilevel"/>
    <w:tmpl w:val="F1F6F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98473DC"/>
    <w:multiLevelType w:val="hybridMultilevel"/>
    <w:tmpl w:val="054CB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99E4842"/>
    <w:multiLevelType w:val="multilevel"/>
    <w:tmpl w:val="7F5A14C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DB16966"/>
    <w:multiLevelType w:val="multilevel"/>
    <w:tmpl w:val="51C8E264"/>
    <w:lvl w:ilvl="0">
      <w:start w:val="1"/>
      <w:numFmt w:val="decimal"/>
      <w:lvlText w:val="%1."/>
      <w:lvlJc w:val="left"/>
      <w:pPr>
        <w:ind w:left="720" w:hanging="36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5"/>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9BE"/>
    <w:rsid w:val="00131C11"/>
    <w:rsid w:val="003C69BE"/>
    <w:rsid w:val="004475A9"/>
    <w:rsid w:val="005D7F49"/>
    <w:rsid w:val="0090014C"/>
    <w:rsid w:val="00AA08C2"/>
    <w:rsid w:val="00C644B0"/>
    <w:rsid w:val="00E627DA"/>
    <w:rsid w:val="00EB071B"/>
    <w:rsid w:val="00F31F17"/>
    <w:rsid w:val="00F76F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8E4CC832-2F15-46E7-9FFD-8C1BF730F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outlineLvl w:val="2"/>
    </w:pPr>
    <w:rPr>
      <w:rFonts w:ascii="Calibri" w:eastAsia="Calibri" w:hAnsi="Calibri" w:cs="Calibri"/>
      <w:color w:val="1E4D7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3Car">
    <w:name w:val="Título 3 Car"/>
    <w:basedOn w:val="Fuentedeprrafopredeter"/>
    <w:uiPriority w:val="9"/>
    <w:rsid w:val="002457DB"/>
    <w:rPr>
      <w:rFonts w:asciiTheme="majorHAnsi" w:eastAsiaTheme="majorEastAsia" w:hAnsiTheme="majorHAnsi" w:cstheme="majorBidi"/>
      <w:color w:val="1F4D78" w:themeColor="accent1" w:themeShade="7F"/>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2457DB"/>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457D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2457DB"/>
    <w:rPr>
      <w:rFonts w:ascii="Times New Roman" w:eastAsia="Times New Roman" w:hAnsi="Times New Roman" w:cs="Times New Roman"/>
      <w:sz w:val="24"/>
      <w:szCs w:val="24"/>
      <w:lang w:eastAsia="es-MX"/>
    </w:rPr>
  </w:style>
  <w:style w:type="table" w:styleId="Tabladecuadrcula4-nfasis3">
    <w:name w:val="Grid Table 4 Accent 3"/>
    <w:basedOn w:val="Tablanormal"/>
    <w:uiPriority w:val="49"/>
    <w:rsid w:val="002457D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457DB"/>
    <w:rPr>
      <w:rFonts w:ascii="Calibri" w:eastAsia="Calibri" w:hAnsi="Calibr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457DB"/>
    <w:rPr>
      <w:rFonts w:ascii="Calibri" w:eastAsia="Calibri" w:hAnsi="Calibri" w:cs="Times New Roman"/>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2457DB"/>
    <w:rPr>
      <w:vertAlign w:val="superscript"/>
    </w:rPr>
  </w:style>
  <w:style w:type="paragraph" w:customStyle="1" w:styleId="Default">
    <w:name w:val="Default"/>
    <w:rsid w:val="002457DB"/>
    <w:pPr>
      <w:autoSpaceDE w:val="0"/>
      <w:autoSpaceDN w:val="0"/>
      <w:adjustRightInd w:val="0"/>
    </w:pPr>
    <w:rPr>
      <w:rFonts w:ascii="Arial" w:hAnsi="Arial" w:cs="Arial"/>
      <w:color w:val="000000"/>
    </w:rPr>
  </w:style>
  <w:style w:type="paragraph" w:styleId="Piedepgina">
    <w:name w:val="footer"/>
    <w:basedOn w:val="Normal"/>
    <w:link w:val="PiedepginaCar"/>
    <w:uiPriority w:val="99"/>
    <w:unhideWhenUsed/>
    <w:rsid w:val="002457DB"/>
    <w:pPr>
      <w:tabs>
        <w:tab w:val="center" w:pos="4419"/>
        <w:tab w:val="right" w:pos="8838"/>
      </w:tabs>
    </w:pPr>
  </w:style>
  <w:style w:type="character" w:customStyle="1" w:styleId="PiedepginaCar">
    <w:name w:val="Pie de página Car"/>
    <w:basedOn w:val="Fuentedeprrafopredeter"/>
    <w:link w:val="Piedepgina"/>
    <w:uiPriority w:val="99"/>
    <w:rsid w:val="002457DB"/>
    <w:rPr>
      <w:rFonts w:ascii="Times New Roman" w:eastAsia="Times New Roman" w:hAnsi="Times New Roman" w:cs="Times New Roman"/>
      <w:sz w:val="24"/>
      <w:szCs w:val="24"/>
      <w:lang w:eastAsia="es-MX"/>
    </w:rPr>
  </w:style>
  <w:style w:type="character" w:customStyle="1" w:styleId="Ttulo1Car">
    <w:name w:val="Título 1 Car"/>
    <w:basedOn w:val="Fuentedeprrafopredeter"/>
    <w:uiPriority w:val="9"/>
    <w:rsid w:val="00077FA9"/>
    <w:rPr>
      <w:rFonts w:asciiTheme="majorHAnsi" w:eastAsiaTheme="majorEastAsia" w:hAnsiTheme="majorHAnsi" w:cstheme="majorBidi"/>
      <w:color w:val="2E74B5" w:themeColor="accent1" w:themeShade="BF"/>
      <w:sz w:val="32"/>
      <w:szCs w:val="32"/>
      <w:lang w:eastAsia="es-ES"/>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399448.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cM8s4mQ+eFUGbRQuJzc3Y1+JKw==">CgMxLjAyCWguMzBqMHpsbDIJaC4xZm9iOXRlMgloLjN6bnlzaDcyCWguMmV0OTJwMDIIaC50eWpjd3QyCWguMnM4ZXlvMTIJaC40ZDM0b2c4MghoLmdqZGd4czIJaC4xN2RwOHZ1Mg5oLnBsNnVzeHljcWxtdTgAciExZW0wNVAwWHhPZHI5TnMtd25rc0tXVW5OM05wZE5ZdGo=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30</Pages>
  <Words>6940</Words>
  <Characters>38170</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45020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INFOEM549</dc:creator>
  <cp:lastModifiedBy>Cuenta Microsoft</cp:lastModifiedBy>
  <cp:revision>7</cp:revision>
  <cp:lastPrinted>2025-10-17T17:23:00Z</cp:lastPrinted>
  <dcterms:created xsi:type="dcterms:W3CDTF">2025-10-01T23:32:00Z</dcterms:created>
  <dcterms:modified xsi:type="dcterms:W3CDTF">2025-11-07T17:41:00Z</dcterms:modified>
</cp:coreProperties>
</file>