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17" w:rsidRPr="00963E8F" w:rsidRDefault="000A7117" w:rsidP="000A7117">
      <w:pPr>
        <w:spacing w:line="360" w:lineRule="auto"/>
        <w:jc w:val="both"/>
        <w:rPr>
          <w:rFonts w:ascii="Palatino Linotype" w:eastAsiaTheme="minorEastAsia" w:hAnsi="Palatino Linotype"/>
          <w:sz w:val="22"/>
          <w:szCs w:val="22"/>
          <w:lang w:val="es-ES_tradnl" w:eastAsia="es-ES"/>
        </w:rPr>
      </w:pPr>
      <w:r w:rsidRPr="00963E8F">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en Metepec, Estado de México; de fecha doce de marzo de dos mil veinticinco.</w:t>
      </w:r>
    </w:p>
    <w:p w:rsidR="000A7117" w:rsidRPr="00963E8F" w:rsidRDefault="000A7117" w:rsidP="000A7117">
      <w:pPr>
        <w:spacing w:line="360" w:lineRule="auto"/>
        <w:jc w:val="both"/>
        <w:rPr>
          <w:rFonts w:ascii="Palatino Linotype" w:eastAsiaTheme="minorEastAsia" w:hAnsi="Palatino Linotype"/>
          <w:sz w:val="22"/>
          <w:szCs w:val="22"/>
          <w:lang w:val="es-ES_tradnl" w:eastAsia="es-ES"/>
        </w:rPr>
      </w:pPr>
    </w:p>
    <w:p w:rsidR="000A7117" w:rsidRPr="00963E8F" w:rsidRDefault="000A7117" w:rsidP="000A7117">
      <w:pPr>
        <w:spacing w:line="360" w:lineRule="auto"/>
        <w:jc w:val="both"/>
        <w:rPr>
          <w:rFonts w:ascii="Palatino Linotype" w:hAnsi="Palatino Linotype"/>
          <w:sz w:val="22"/>
          <w:szCs w:val="22"/>
        </w:rPr>
      </w:pPr>
      <w:r w:rsidRPr="00963E8F">
        <w:rPr>
          <w:rFonts w:ascii="Palatino Linotype" w:hAnsi="Palatino Linotype"/>
          <w:b/>
          <w:sz w:val="22"/>
          <w:szCs w:val="22"/>
        </w:rPr>
        <w:t>VISTO</w:t>
      </w:r>
      <w:r w:rsidRPr="00963E8F">
        <w:rPr>
          <w:rFonts w:ascii="Palatino Linotype" w:hAnsi="Palatino Linotype"/>
          <w:sz w:val="22"/>
          <w:szCs w:val="22"/>
        </w:rPr>
        <w:t xml:space="preserve"> el expediente electrónico formado con motivo del recurso de revisión </w:t>
      </w:r>
      <w:r w:rsidRPr="00963E8F">
        <w:rPr>
          <w:rFonts w:ascii="Palatino Linotype" w:hAnsi="Palatino Linotype"/>
          <w:b/>
          <w:sz w:val="22"/>
          <w:szCs w:val="22"/>
        </w:rPr>
        <w:t>05623/INFOEM/IP/RR/2024,</w:t>
      </w:r>
      <w:r w:rsidRPr="00963E8F">
        <w:rPr>
          <w:rFonts w:ascii="Palatino Linotype" w:hAnsi="Palatino Linotype" w:cs="Arial"/>
          <w:b/>
          <w:bCs/>
          <w:sz w:val="22"/>
          <w:szCs w:val="22"/>
        </w:rPr>
        <w:t xml:space="preserve"> </w:t>
      </w:r>
      <w:r w:rsidRPr="00963E8F">
        <w:rPr>
          <w:rFonts w:ascii="Palatino Linotype" w:eastAsiaTheme="minorEastAsia" w:hAnsi="Palatino Linotype"/>
          <w:sz w:val="22"/>
          <w:szCs w:val="22"/>
          <w:lang w:val="es-ES_tradnl" w:eastAsia="es-ES"/>
        </w:rPr>
        <w:t xml:space="preserve">promovido </w:t>
      </w:r>
      <w:r w:rsidRPr="00963E8F">
        <w:rPr>
          <w:rFonts w:ascii="Palatino Linotype" w:eastAsiaTheme="minorEastAsia" w:hAnsi="Palatino Linotype"/>
          <w:bCs/>
          <w:sz w:val="22"/>
          <w:szCs w:val="22"/>
          <w:lang w:eastAsia="es-ES"/>
        </w:rPr>
        <w:t xml:space="preserve">por </w:t>
      </w:r>
      <w:r w:rsidR="00812CE3">
        <w:rPr>
          <w:rFonts w:ascii="Palatino Linotype" w:eastAsiaTheme="minorEastAsia" w:hAnsi="Palatino Linotype"/>
          <w:b/>
          <w:bCs/>
          <w:sz w:val="22"/>
          <w:szCs w:val="22"/>
          <w:lang w:eastAsia="es-ES"/>
        </w:rPr>
        <w:t>XXXX</w:t>
      </w:r>
      <w:r w:rsidRPr="00963E8F">
        <w:rPr>
          <w:rFonts w:ascii="Palatino Linotype" w:eastAsiaTheme="minorEastAsia" w:hAnsi="Palatino Linotype"/>
          <w:b/>
          <w:sz w:val="22"/>
          <w:szCs w:val="22"/>
          <w:lang w:val="es-ES_tradnl" w:eastAsia="es-ES"/>
        </w:rPr>
        <w:t>,</w:t>
      </w:r>
      <w:r w:rsidRPr="00963E8F">
        <w:rPr>
          <w:rFonts w:ascii="Palatino Linotype" w:hAnsi="Palatino Linotype"/>
          <w:sz w:val="22"/>
          <w:szCs w:val="22"/>
        </w:rPr>
        <w:t xml:space="preserve"> quien en lo sucesivo se identificará como </w:t>
      </w:r>
      <w:r w:rsidRPr="00963E8F">
        <w:rPr>
          <w:rFonts w:ascii="Palatino Linotype" w:hAnsi="Palatino Linotype"/>
          <w:b/>
          <w:sz w:val="22"/>
          <w:szCs w:val="22"/>
        </w:rPr>
        <w:t xml:space="preserve">EL </w:t>
      </w:r>
      <w:r w:rsidRPr="00963E8F">
        <w:rPr>
          <w:rFonts w:ascii="Palatino Linotype" w:hAnsi="Palatino Linotype" w:cs="Arial"/>
          <w:b/>
          <w:sz w:val="22"/>
          <w:szCs w:val="22"/>
        </w:rPr>
        <w:t>RECURRENTE</w:t>
      </w:r>
      <w:r w:rsidRPr="00963E8F">
        <w:rPr>
          <w:rFonts w:ascii="Palatino Linotype" w:hAnsi="Palatino Linotype" w:cs="Arial"/>
          <w:sz w:val="22"/>
          <w:szCs w:val="22"/>
        </w:rPr>
        <w:t>, en cont</w:t>
      </w:r>
      <w:r w:rsidR="00F34741" w:rsidRPr="00963E8F">
        <w:rPr>
          <w:rFonts w:ascii="Palatino Linotype" w:hAnsi="Palatino Linotype" w:cs="Arial"/>
          <w:sz w:val="22"/>
          <w:szCs w:val="22"/>
        </w:rPr>
        <w:t>ra de la respuesta del</w:t>
      </w:r>
      <w:r w:rsidRPr="00963E8F">
        <w:rPr>
          <w:rFonts w:ascii="Palatino Linotype" w:hAnsi="Palatino Linotype" w:cs="Arial"/>
          <w:sz w:val="22"/>
          <w:szCs w:val="22"/>
        </w:rPr>
        <w:t xml:space="preserve"> </w:t>
      </w:r>
      <w:r w:rsidRPr="00963E8F">
        <w:rPr>
          <w:rFonts w:ascii="Palatino Linotype" w:hAnsi="Palatino Linotype" w:cs="Arial"/>
          <w:b/>
          <w:bCs/>
          <w:sz w:val="22"/>
          <w:szCs w:val="22"/>
        </w:rPr>
        <w:t>Ayuntamiento de Polotitlán</w:t>
      </w:r>
      <w:r w:rsidRPr="00963E8F">
        <w:rPr>
          <w:rFonts w:ascii="Palatino Linotype" w:hAnsi="Palatino Linotype" w:cs="Arial"/>
          <w:b/>
          <w:sz w:val="22"/>
          <w:szCs w:val="22"/>
        </w:rPr>
        <w:t>,</w:t>
      </w:r>
      <w:r w:rsidRPr="00963E8F">
        <w:rPr>
          <w:rFonts w:ascii="Palatino Linotype" w:hAnsi="Palatino Linotype"/>
          <w:b/>
          <w:sz w:val="22"/>
          <w:szCs w:val="22"/>
        </w:rPr>
        <w:t xml:space="preserve"> </w:t>
      </w:r>
      <w:r w:rsidRPr="00963E8F">
        <w:rPr>
          <w:rFonts w:ascii="Palatino Linotype" w:hAnsi="Palatino Linotype"/>
          <w:sz w:val="22"/>
          <w:szCs w:val="22"/>
        </w:rPr>
        <w:t>en lo sucesivo el</w:t>
      </w:r>
      <w:r w:rsidRPr="00963E8F">
        <w:rPr>
          <w:rFonts w:ascii="Palatino Linotype" w:hAnsi="Palatino Linotype"/>
          <w:b/>
          <w:sz w:val="22"/>
          <w:szCs w:val="22"/>
        </w:rPr>
        <w:t xml:space="preserve"> SUJETO OBLIGADO</w:t>
      </w:r>
      <w:r w:rsidRPr="00963E8F">
        <w:rPr>
          <w:rFonts w:ascii="Palatino Linotype" w:hAnsi="Palatino Linotype"/>
          <w:sz w:val="22"/>
          <w:szCs w:val="22"/>
        </w:rPr>
        <w:t>, por lo que se procede a dictar la presente resolución, con base en los siguientes:</w:t>
      </w:r>
    </w:p>
    <w:p w:rsidR="000A7117" w:rsidRPr="00963E8F" w:rsidRDefault="000A7117" w:rsidP="000A7117">
      <w:pPr>
        <w:spacing w:line="360" w:lineRule="auto"/>
        <w:jc w:val="both"/>
        <w:rPr>
          <w:rFonts w:ascii="Palatino Linotype" w:hAnsi="Palatino Linotype"/>
          <w:b/>
          <w:sz w:val="22"/>
          <w:szCs w:val="22"/>
        </w:rPr>
      </w:pPr>
    </w:p>
    <w:p w:rsidR="000A7117" w:rsidRPr="00963E8F" w:rsidRDefault="000A7117" w:rsidP="000A7117">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963E8F">
        <w:rPr>
          <w:rFonts w:ascii="Palatino Linotype" w:eastAsiaTheme="majorEastAsia" w:hAnsi="Palatino Linotype" w:cstheme="majorBidi"/>
          <w:b/>
          <w:sz w:val="22"/>
          <w:szCs w:val="22"/>
        </w:rPr>
        <w:t>ANTECEDENTES</w:t>
      </w:r>
      <w:bookmarkEnd w:id="0"/>
    </w:p>
    <w:p w:rsidR="000A7117" w:rsidRPr="00963E8F" w:rsidRDefault="000A7117" w:rsidP="000A7117">
      <w:pPr>
        <w:spacing w:line="360" w:lineRule="auto"/>
        <w:rPr>
          <w:rFonts w:ascii="Palatino Linotype" w:eastAsiaTheme="minorEastAsia" w:hAnsi="Palatino Linotype"/>
          <w:sz w:val="22"/>
          <w:szCs w:val="22"/>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eastAsia="Calibri" w:hAnsi="Palatino Linotype" w:cs="Arial"/>
          <w:szCs w:val="22"/>
          <w:lang w:val="es-ES" w:eastAsia="es-ES"/>
        </w:rPr>
        <w:t xml:space="preserve">El </w:t>
      </w:r>
      <w:r w:rsidRPr="00963E8F">
        <w:rPr>
          <w:rFonts w:ascii="Palatino Linotype" w:eastAsia="Calibri" w:hAnsi="Palatino Linotype" w:cs="Arial"/>
          <w:b/>
          <w:szCs w:val="22"/>
          <w:lang w:val="es-ES" w:eastAsia="es-ES"/>
        </w:rPr>
        <w:t>veintiuno de agosto de dos mil veinticuatro</w:t>
      </w:r>
      <w:r w:rsidRPr="00963E8F">
        <w:rPr>
          <w:rFonts w:ascii="Palatino Linotype" w:eastAsia="Calibri" w:hAnsi="Palatino Linotype" w:cs="Arial"/>
          <w:szCs w:val="22"/>
          <w:lang w:val="es-ES" w:eastAsia="es-ES"/>
        </w:rPr>
        <w:t>,</w:t>
      </w:r>
      <w:r w:rsidRPr="00963E8F">
        <w:rPr>
          <w:rFonts w:ascii="Palatino Linotype" w:eastAsia="Calibri" w:hAnsi="Palatino Linotype"/>
          <w:szCs w:val="22"/>
          <w:lang w:val="es-ES" w:eastAsia="es-ES"/>
        </w:rPr>
        <w:t xml:space="preserve"> </w:t>
      </w:r>
      <w:r w:rsidRPr="00963E8F">
        <w:rPr>
          <w:rFonts w:ascii="Palatino Linotype" w:eastAsia="Calibri" w:hAnsi="Palatino Linotype"/>
          <w:b/>
          <w:szCs w:val="22"/>
          <w:lang w:val="es-ES" w:eastAsia="es-ES"/>
        </w:rPr>
        <w:t>EL RECURRENTE</w:t>
      </w:r>
      <w:r w:rsidRPr="00963E8F">
        <w:rPr>
          <w:rFonts w:ascii="Palatino Linotype" w:eastAsiaTheme="minorEastAsia" w:hAnsi="Palatino Linotype"/>
          <w:b/>
          <w:szCs w:val="22"/>
          <w:lang w:val="es-ES_tradnl" w:eastAsia="es-ES"/>
        </w:rPr>
        <w:t>,</w:t>
      </w:r>
      <w:r w:rsidRPr="00963E8F">
        <w:rPr>
          <w:rFonts w:ascii="Palatino Linotype" w:eastAsia="Calibri" w:hAnsi="Palatino Linotype" w:cs="Arial"/>
          <w:szCs w:val="22"/>
          <w:lang w:val="es-ES" w:eastAsia="es-ES"/>
        </w:rPr>
        <w:t xml:space="preserve"> ante el </w:t>
      </w:r>
      <w:r w:rsidRPr="00963E8F">
        <w:rPr>
          <w:rFonts w:ascii="Palatino Linotype" w:eastAsia="Calibri" w:hAnsi="Palatino Linotype" w:cs="Arial"/>
          <w:b/>
          <w:szCs w:val="22"/>
          <w:lang w:val="es-ES" w:eastAsia="es-ES"/>
        </w:rPr>
        <w:t>SUJETO OBLIGADO</w:t>
      </w:r>
      <w:r w:rsidRPr="00963E8F">
        <w:rPr>
          <w:rFonts w:ascii="Palatino Linotype" w:eastAsia="Calibri" w:hAnsi="Palatino Linotype" w:cs="Arial"/>
          <w:szCs w:val="22"/>
          <w:lang w:val="es-ES_tradnl" w:eastAsia="es-ES"/>
        </w:rPr>
        <w:t xml:space="preserve"> a través del Sistema de Acceso a la Información Mexiquense (SAIMEX)</w:t>
      </w:r>
      <w:r w:rsidRPr="00963E8F">
        <w:rPr>
          <w:rFonts w:ascii="Palatino Linotype" w:eastAsia="Calibri" w:hAnsi="Palatino Linotype" w:cs="Arial"/>
          <w:szCs w:val="22"/>
          <w:lang w:val="es-ES" w:eastAsia="es-ES"/>
        </w:rPr>
        <w:t xml:space="preserve">, presentó una solicitud de información registrada con el número </w:t>
      </w:r>
      <w:r w:rsidRPr="00963E8F">
        <w:rPr>
          <w:rFonts w:ascii="Palatino Linotype" w:hAnsi="Palatino Linotype"/>
          <w:b/>
          <w:bCs/>
          <w:szCs w:val="22"/>
        </w:rPr>
        <w:t>00039/POLOTI/IP/2024</w:t>
      </w:r>
      <w:r w:rsidRPr="00963E8F">
        <w:rPr>
          <w:rFonts w:ascii="Palatino Linotype" w:eastAsiaTheme="minorEastAsia" w:hAnsi="Palatino Linotype"/>
          <w:b/>
          <w:szCs w:val="22"/>
          <w:lang w:val="es-ES_tradnl" w:eastAsia="es-ES"/>
        </w:rPr>
        <w:t xml:space="preserve">, </w:t>
      </w:r>
      <w:r w:rsidRPr="00963E8F">
        <w:rPr>
          <w:rFonts w:ascii="Palatino Linotype" w:eastAsia="Calibri" w:hAnsi="Palatino Linotype" w:cs="Arial"/>
          <w:szCs w:val="22"/>
          <w:lang w:val="es-ES" w:eastAsia="es-ES"/>
        </w:rPr>
        <w:t>mediante la cual solicitó lo siguiente:</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pStyle w:val="Prrafodelista"/>
        <w:spacing w:line="360" w:lineRule="auto"/>
        <w:ind w:right="567"/>
        <w:jc w:val="both"/>
        <w:rPr>
          <w:rFonts w:ascii="Palatino Linotype" w:hAnsi="Palatino Linotype"/>
          <w:i/>
          <w:color w:val="000000"/>
          <w:szCs w:val="22"/>
        </w:rPr>
      </w:pPr>
      <w:r w:rsidRPr="00963E8F">
        <w:rPr>
          <w:rFonts w:ascii="Palatino Linotype" w:hAnsi="Palatino Linotype"/>
          <w:i/>
          <w:color w:val="000000"/>
          <w:szCs w:val="22"/>
        </w:rPr>
        <w:t xml:space="preserve">“Por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dd/mm/aaaa) DEL INCIDENTE O EVENTO • LUGAR DEL INCIDENTE O EVENTO • UBICACIÓN DEL INCIDENTE O EVENTO • LAS COORDENADAS GEOGRÁFICAS DEL INCIDENTE O EVENTO. ESTABLECIDAS EN LA SECCIÓN “LUGAR DE LA INTERVENCIÓN” </w:t>
      </w:r>
      <w:r w:rsidRPr="00963E8F">
        <w:rPr>
          <w:rFonts w:ascii="Palatino Linotype" w:hAnsi="Palatino Linotype"/>
          <w:i/>
          <w:color w:val="000000"/>
          <w:szCs w:val="22"/>
        </w:rPr>
        <w:lastRenderedPageBreak/>
        <w:t xml:space="preserve">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corresponde.Requiero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 DATOS QUE FACILITEN LA BÚSQUEDA Y EVENTUAL LOCALIZACIÓN DE LA INFORMACIÓN Previamente, vía Plataforma Nacional de Transparencia, realicé una </w:t>
      </w:r>
      <w:r w:rsidRPr="00963E8F">
        <w:rPr>
          <w:rFonts w:ascii="Palatino Linotype" w:hAnsi="Palatino Linotype"/>
          <w:i/>
          <w:color w:val="000000"/>
          <w:szCs w:val="22"/>
        </w:rPr>
        <w:lastRenderedPageBreak/>
        <w:t xml:space="preserve">Solicitud de Acceso a la Información similar a este Sujeto Obligado donde me entregó la información solicitada. Por lo anterior, únicamente estoy solicitando una actualización a la información previamente compartida. Los datos de la solicitud previa son los siguientes: Sujeto Obligado: Polotitlán No de folio PNT: 00082/POLOTI/IP/2022 Fecha de Solicitud: 31/05/2022 Fecha de Respuesta: 20/06/2022” (Sic) </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hAnsi="Palatino Linotype" w:cs="Arial"/>
          <w:szCs w:val="22"/>
          <w:lang w:val="es-ES" w:eastAsia="es-ES"/>
        </w:rPr>
        <w:t>Se señaló como modalidad de entrega a través de SAIMEX.</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hAnsi="Palatino Linotype" w:cs="Arial"/>
          <w:szCs w:val="22"/>
          <w:lang w:val="es-ES" w:eastAsia="es-ES"/>
        </w:rPr>
        <w:t xml:space="preserve">El </w:t>
      </w:r>
      <w:r w:rsidRPr="00963E8F">
        <w:rPr>
          <w:rFonts w:ascii="Palatino Linotype" w:hAnsi="Palatino Linotype" w:cs="Arial"/>
          <w:b/>
          <w:szCs w:val="22"/>
          <w:lang w:val="es-ES" w:eastAsia="es-ES"/>
        </w:rPr>
        <w:t>diez de septiembre de dos mil veinticuatro</w:t>
      </w:r>
      <w:r w:rsidRPr="00963E8F">
        <w:rPr>
          <w:rFonts w:ascii="Palatino Linotype" w:hAnsi="Palatino Linotype" w:cs="Arial"/>
          <w:szCs w:val="22"/>
          <w:lang w:val="es-ES" w:eastAsia="es-ES"/>
        </w:rPr>
        <w:t>, el Sujeto Obligado dio respuesta a la solicitud de información en los siguientes términos:</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tbl>
      <w:tblPr>
        <w:tblW w:w="7682" w:type="dxa"/>
        <w:jc w:val="center"/>
        <w:tblCellSpacing w:w="0" w:type="dxa"/>
        <w:tblCellMar>
          <w:left w:w="0" w:type="dxa"/>
          <w:right w:w="0" w:type="dxa"/>
        </w:tblCellMar>
        <w:tblLook w:val="04A0" w:firstRow="1" w:lastRow="0" w:firstColumn="1" w:lastColumn="0" w:noHBand="0" w:noVBand="1"/>
      </w:tblPr>
      <w:tblGrid>
        <w:gridCol w:w="7682"/>
      </w:tblGrid>
      <w:tr w:rsidR="000A7117" w:rsidRPr="00963E8F" w:rsidTr="000A7117">
        <w:trPr>
          <w:trHeight w:val="313"/>
          <w:tblCellSpacing w:w="0" w:type="dxa"/>
          <w:jc w:val="center"/>
        </w:trPr>
        <w:tc>
          <w:tcPr>
            <w:tcW w:w="0" w:type="auto"/>
            <w:vAlign w:val="center"/>
            <w:hideMark/>
          </w:tcPr>
          <w:p w:rsidR="000A7117" w:rsidRPr="00963E8F" w:rsidRDefault="000A7117" w:rsidP="000A7117">
            <w:pPr>
              <w:jc w:val="right"/>
              <w:rPr>
                <w:rFonts w:ascii="Palatino Linotype" w:hAnsi="Palatino Linotype" w:cs="Arial"/>
                <w:i/>
                <w:sz w:val="22"/>
                <w:szCs w:val="22"/>
              </w:rPr>
            </w:pPr>
            <w:r w:rsidRPr="00963E8F">
              <w:rPr>
                <w:rFonts w:ascii="Palatino Linotype" w:hAnsi="Palatino Linotype" w:cs="Arial"/>
                <w:i/>
                <w:sz w:val="22"/>
                <w:szCs w:val="22"/>
              </w:rPr>
              <w:br/>
              <w:t>Polotitlán, México a 10 de Septiembre de 2024</w:t>
            </w:r>
          </w:p>
        </w:tc>
      </w:tr>
      <w:tr w:rsidR="000A7117" w:rsidRPr="00963E8F" w:rsidTr="000A7117">
        <w:trPr>
          <w:trHeight w:val="313"/>
          <w:tblCellSpacing w:w="0" w:type="dxa"/>
          <w:jc w:val="center"/>
        </w:trPr>
        <w:tc>
          <w:tcPr>
            <w:tcW w:w="0" w:type="auto"/>
            <w:vAlign w:val="center"/>
            <w:hideMark/>
          </w:tcPr>
          <w:p w:rsidR="000A7117" w:rsidRPr="00963E8F" w:rsidRDefault="000A7117" w:rsidP="000A7117">
            <w:pPr>
              <w:jc w:val="right"/>
              <w:rPr>
                <w:rFonts w:ascii="Palatino Linotype" w:hAnsi="Palatino Linotype" w:cs="Arial"/>
                <w:i/>
                <w:sz w:val="22"/>
                <w:szCs w:val="22"/>
              </w:rPr>
            </w:pPr>
            <w:r w:rsidRPr="00963E8F">
              <w:rPr>
                <w:rFonts w:ascii="Palatino Linotype" w:hAnsi="Palatino Linotype" w:cs="Arial"/>
                <w:i/>
                <w:sz w:val="22"/>
                <w:szCs w:val="22"/>
              </w:rPr>
              <w:t>Nombre del solicitante: C. Solicitante</w:t>
            </w:r>
          </w:p>
        </w:tc>
      </w:tr>
      <w:tr w:rsidR="000A7117" w:rsidRPr="00963E8F" w:rsidTr="000A7117">
        <w:trPr>
          <w:trHeight w:val="313"/>
          <w:tblCellSpacing w:w="0" w:type="dxa"/>
          <w:jc w:val="center"/>
        </w:trPr>
        <w:tc>
          <w:tcPr>
            <w:tcW w:w="0" w:type="auto"/>
            <w:vAlign w:val="center"/>
            <w:hideMark/>
          </w:tcPr>
          <w:p w:rsidR="000A7117" w:rsidRPr="00963E8F" w:rsidRDefault="000A7117" w:rsidP="000A7117">
            <w:pPr>
              <w:jc w:val="right"/>
              <w:rPr>
                <w:rFonts w:ascii="Palatino Linotype" w:hAnsi="Palatino Linotype" w:cs="Arial"/>
                <w:i/>
                <w:sz w:val="22"/>
                <w:szCs w:val="22"/>
              </w:rPr>
            </w:pPr>
            <w:r w:rsidRPr="00963E8F">
              <w:rPr>
                <w:rFonts w:ascii="Palatino Linotype" w:hAnsi="Palatino Linotype" w:cs="Arial"/>
                <w:i/>
                <w:sz w:val="22"/>
                <w:szCs w:val="22"/>
              </w:rPr>
              <w:t>Folio de la solicitud: 00039/POLOTI/IP/2024</w:t>
            </w:r>
          </w:p>
        </w:tc>
      </w:tr>
      <w:tr w:rsidR="000A7117" w:rsidRPr="00963E8F" w:rsidTr="000A7117">
        <w:trPr>
          <w:trHeight w:val="156"/>
          <w:tblCellSpacing w:w="0" w:type="dxa"/>
          <w:jc w:val="center"/>
        </w:trPr>
        <w:tc>
          <w:tcPr>
            <w:tcW w:w="0" w:type="auto"/>
            <w:vAlign w:val="center"/>
            <w:hideMark/>
          </w:tcPr>
          <w:p w:rsidR="000A7117" w:rsidRPr="00963E8F" w:rsidRDefault="000A7117" w:rsidP="000A7117">
            <w:pPr>
              <w:jc w:val="center"/>
              <w:rPr>
                <w:rFonts w:ascii="Palatino Linotype" w:hAnsi="Palatino Linotype" w:cs="Arial"/>
                <w:i/>
                <w:sz w:val="22"/>
                <w:szCs w:val="22"/>
              </w:rPr>
            </w:pPr>
          </w:p>
        </w:tc>
      </w:tr>
      <w:tr w:rsidR="000A7117" w:rsidRPr="00963E8F" w:rsidTr="000A7117">
        <w:trPr>
          <w:trHeight w:val="392"/>
          <w:tblCellSpacing w:w="0" w:type="dxa"/>
          <w:jc w:val="center"/>
        </w:trPr>
        <w:tc>
          <w:tcPr>
            <w:tcW w:w="0" w:type="auto"/>
            <w:vAlign w:val="center"/>
            <w:hideMark/>
          </w:tcPr>
          <w:p w:rsidR="000A7117" w:rsidRPr="00963E8F" w:rsidRDefault="000A7117" w:rsidP="000A7117">
            <w:pPr>
              <w:rPr>
                <w:rFonts w:ascii="Palatino Linotype" w:hAnsi="Palatino Linotype" w:cs="Arial"/>
                <w:i/>
                <w:sz w:val="22"/>
                <w:szCs w:val="22"/>
              </w:rPr>
            </w:pPr>
          </w:p>
        </w:tc>
      </w:tr>
      <w:tr w:rsidR="000A7117" w:rsidRPr="00963E8F" w:rsidTr="000A7117">
        <w:trPr>
          <w:trHeight w:val="156"/>
          <w:tblCellSpacing w:w="0" w:type="dxa"/>
          <w:jc w:val="center"/>
        </w:trPr>
        <w:tc>
          <w:tcPr>
            <w:tcW w:w="0" w:type="auto"/>
            <w:vAlign w:val="center"/>
            <w:hideMark/>
          </w:tcPr>
          <w:p w:rsidR="000A7117" w:rsidRPr="00963E8F" w:rsidRDefault="000A7117" w:rsidP="000A7117">
            <w:pPr>
              <w:jc w:val="both"/>
              <w:rPr>
                <w:rFonts w:ascii="Palatino Linotype" w:hAnsi="Palatino Linotype" w:cs="Arial"/>
                <w:i/>
                <w:sz w:val="22"/>
                <w:szCs w:val="22"/>
              </w:rPr>
            </w:pPr>
            <w:r w:rsidRPr="00963E8F">
              <w:rPr>
                <w:rFonts w:ascii="Palatino Linotype" w:hAnsi="Palatino Linotype" w:cs="Arial"/>
                <w:i/>
                <w:sz w:val="22"/>
                <w:szCs w:val="22"/>
              </w:rPr>
              <w:t>A QUIEN CORRESPONDA PRESENTE Sirva el presente para enviarle un afectuoso saludo, así mismo y con fundamento en el artículo 4, 12, 16, 19, 23 fracción IV, 24 fracción XI y último párrafo, 53, Fracciones: II, V y VI de la Ley de Transparencia y Acceso a la Información Pública del Estado de México y Municipios, en el sentido de dar respuesta a la solicitud de información No. 00039/POLOTI/IP/2024, recibida a través del sistema de acceso a la información (SAIMEX), con fecha 28/08/2024, dirigida al ayuntamiento de Polotitlán, Estado de México, En base a lo anterior y conforme al artículo 152 de la Ley de Transparencia y Acceso a la Información Pública del Estado de México y Municipios, se adjunta en formato pdf la información solicitada. No omito hacer de su conocimiento que podrá interponer por si o a través de su representante, el recurso de revisión previsto por los artículos 176, 179, 178 y 180 de la Ley de Transparencia y Acceso a la Información Pública del Estado de México y Municipios, ante este Sujeto Obligado. Sin más por el momento, le reitero la más alta de mi estima personal</w:t>
            </w:r>
          </w:p>
        </w:tc>
      </w:tr>
      <w:tr w:rsidR="000A7117" w:rsidRPr="00963E8F" w:rsidTr="000A7117">
        <w:trPr>
          <w:trHeight w:val="392"/>
          <w:tblCellSpacing w:w="0" w:type="dxa"/>
          <w:jc w:val="center"/>
        </w:trPr>
        <w:tc>
          <w:tcPr>
            <w:tcW w:w="0" w:type="auto"/>
            <w:vAlign w:val="center"/>
            <w:hideMark/>
          </w:tcPr>
          <w:p w:rsidR="000A7117" w:rsidRPr="00963E8F" w:rsidRDefault="000A7117" w:rsidP="000A7117">
            <w:pPr>
              <w:rPr>
                <w:rFonts w:ascii="Palatino Linotype" w:hAnsi="Palatino Linotype" w:cs="Arial"/>
                <w:i/>
                <w:sz w:val="22"/>
                <w:szCs w:val="22"/>
              </w:rPr>
            </w:pPr>
          </w:p>
        </w:tc>
      </w:tr>
      <w:tr w:rsidR="000A7117" w:rsidRPr="00963E8F" w:rsidTr="000A7117">
        <w:trPr>
          <w:trHeight w:val="156"/>
          <w:tblCellSpacing w:w="0" w:type="dxa"/>
          <w:jc w:val="center"/>
        </w:trPr>
        <w:tc>
          <w:tcPr>
            <w:tcW w:w="0" w:type="auto"/>
            <w:vAlign w:val="center"/>
            <w:hideMark/>
          </w:tcPr>
          <w:p w:rsidR="000A7117" w:rsidRPr="00963E8F" w:rsidRDefault="000A7117" w:rsidP="000A7117">
            <w:pPr>
              <w:jc w:val="center"/>
              <w:rPr>
                <w:rFonts w:ascii="Palatino Linotype" w:hAnsi="Palatino Linotype" w:cs="Arial"/>
                <w:i/>
                <w:sz w:val="22"/>
                <w:szCs w:val="22"/>
              </w:rPr>
            </w:pPr>
          </w:p>
        </w:tc>
      </w:tr>
      <w:tr w:rsidR="000A7117" w:rsidRPr="00963E8F" w:rsidTr="000A7117">
        <w:trPr>
          <w:trHeight w:val="156"/>
          <w:tblCellSpacing w:w="0" w:type="dxa"/>
          <w:jc w:val="center"/>
        </w:trPr>
        <w:tc>
          <w:tcPr>
            <w:tcW w:w="0" w:type="auto"/>
            <w:vAlign w:val="center"/>
            <w:hideMark/>
          </w:tcPr>
          <w:p w:rsidR="000A7117" w:rsidRPr="00963E8F" w:rsidRDefault="000A7117" w:rsidP="000A7117">
            <w:pPr>
              <w:rPr>
                <w:rFonts w:ascii="Palatino Linotype" w:hAnsi="Palatino Linotype" w:cs="Arial"/>
                <w:i/>
                <w:sz w:val="22"/>
                <w:szCs w:val="22"/>
              </w:rPr>
            </w:pPr>
          </w:p>
        </w:tc>
      </w:tr>
      <w:tr w:rsidR="000A7117" w:rsidRPr="00963E8F" w:rsidTr="000A7117">
        <w:trPr>
          <w:trHeight w:val="156"/>
          <w:tblCellSpacing w:w="0" w:type="dxa"/>
          <w:jc w:val="center"/>
        </w:trPr>
        <w:tc>
          <w:tcPr>
            <w:tcW w:w="0" w:type="auto"/>
            <w:vAlign w:val="center"/>
            <w:hideMark/>
          </w:tcPr>
          <w:p w:rsidR="000A7117" w:rsidRPr="00963E8F" w:rsidRDefault="000A7117" w:rsidP="000A7117">
            <w:pPr>
              <w:rPr>
                <w:rFonts w:ascii="Palatino Linotype" w:hAnsi="Palatino Linotype" w:cs="Arial"/>
                <w:i/>
                <w:sz w:val="22"/>
                <w:szCs w:val="22"/>
              </w:rPr>
            </w:pPr>
            <w:r w:rsidRPr="00963E8F">
              <w:rPr>
                <w:rFonts w:ascii="Palatino Linotype" w:hAnsi="Palatino Linotype" w:cs="Arial"/>
                <w:i/>
                <w:sz w:val="22"/>
                <w:szCs w:val="22"/>
              </w:rPr>
              <w:t>ATENTAMENTE</w:t>
            </w:r>
          </w:p>
        </w:tc>
      </w:tr>
      <w:tr w:rsidR="000A7117" w:rsidRPr="00963E8F" w:rsidTr="000A7117">
        <w:trPr>
          <w:trHeight w:val="235"/>
          <w:tblCellSpacing w:w="0" w:type="dxa"/>
          <w:jc w:val="center"/>
        </w:trPr>
        <w:tc>
          <w:tcPr>
            <w:tcW w:w="0" w:type="auto"/>
            <w:vAlign w:val="center"/>
            <w:hideMark/>
          </w:tcPr>
          <w:p w:rsidR="000A7117" w:rsidRPr="00963E8F" w:rsidRDefault="000A7117" w:rsidP="000A7117">
            <w:pPr>
              <w:rPr>
                <w:rFonts w:ascii="Palatino Linotype" w:hAnsi="Palatino Linotype" w:cs="Arial"/>
                <w:i/>
                <w:sz w:val="22"/>
                <w:szCs w:val="22"/>
              </w:rPr>
            </w:pPr>
          </w:p>
        </w:tc>
      </w:tr>
      <w:tr w:rsidR="000A7117" w:rsidRPr="00963E8F" w:rsidTr="000A7117">
        <w:trPr>
          <w:trHeight w:val="156"/>
          <w:tblCellSpacing w:w="0" w:type="dxa"/>
          <w:jc w:val="center"/>
        </w:trPr>
        <w:tc>
          <w:tcPr>
            <w:tcW w:w="0" w:type="auto"/>
            <w:vAlign w:val="center"/>
            <w:hideMark/>
          </w:tcPr>
          <w:p w:rsidR="000A7117" w:rsidRPr="00963E8F" w:rsidRDefault="000A7117" w:rsidP="000A7117">
            <w:pPr>
              <w:rPr>
                <w:rFonts w:ascii="Palatino Linotype" w:hAnsi="Palatino Linotype" w:cs="Arial"/>
                <w:i/>
                <w:sz w:val="22"/>
                <w:szCs w:val="22"/>
              </w:rPr>
            </w:pPr>
            <w:r w:rsidRPr="00963E8F">
              <w:rPr>
                <w:rFonts w:ascii="Palatino Linotype" w:hAnsi="Palatino Linotype" w:cs="Arial"/>
                <w:i/>
                <w:sz w:val="22"/>
                <w:szCs w:val="22"/>
              </w:rPr>
              <w:t>ING FREDDY CASTILLO ROSALES</w:t>
            </w:r>
          </w:p>
        </w:tc>
      </w:tr>
    </w:tbl>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spacing w:line="360" w:lineRule="auto"/>
        <w:jc w:val="both"/>
        <w:rPr>
          <w:rFonts w:ascii="Palatino Linotype" w:hAnsi="Palatino Linotype" w:cs="Arial"/>
          <w:sz w:val="22"/>
          <w:szCs w:val="22"/>
          <w:lang w:val="es-ES" w:eastAsia="es-ES"/>
        </w:rPr>
      </w:pPr>
    </w:p>
    <w:p w:rsidR="000A7117" w:rsidRPr="00963E8F" w:rsidRDefault="000A7117" w:rsidP="000A7117">
      <w:pPr>
        <w:pStyle w:val="Prrafodelista"/>
        <w:numPr>
          <w:ilvl w:val="0"/>
          <w:numId w:val="2"/>
        </w:numPr>
        <w:spacing w:line="360" w:lineRule="auto"/>
        <w:jc w:val="both"/>
        <w:rPr>
          <w:rFonts w:ascii="Palatino Linotype" w:hAnsi="Palatino Linotype" w:cs="Arial"/>
          <w:szCs w:val="22"/>
          <w:lang w:val="es-ES" w:eastAsia="es-ES"/>
        </w:rPr>
      </w:pPr>
      <w:r w:rsidRPr="00963E8F">
        <w:rPr>
          <w:rFonts w:ascii="Palatino Linotype" w:hAnsi="Palatino Linotype" w:cs="Arial"/>
          <w:szCs w:val="22"/>
          <w:lang w:val="es-ES" w:eastAsia="es-ES"/>
        </w:rPr>
        <w:t xml:space="preserve">A la respuesta se adjuntó el archivo denominado soli39.pdf. en el que se advierte el oficio número OF/197/DIR/2024 de fecha veintiocho de agosto de dos mil veinticuatro, suscrito por el Director de Seguridad Pública, en el que señaló </w:t>
      </w:r>
      <w:r w:rsidR="00584172" w:rsidRPr="00963E8F">
        <w:rPr>
          <w:rFonts w:ascii="Palatino Linotype" w:hAnsi="Palatino Linotype" w:cs="Arial"/>
          <w:szCs w:val="22"/>
          <w:lang w:val="es-ES" w:eastAsia="es-ES"/>
        </w:rPr>
        <w:t>que se remite anexo con la información solicitada. Asimismo, dentro del archivo se encuentra el anexo 1, con una tabla que señala las faltas administrativas y faltas del fuero común o federal, con información referente al número de evento, hora, fecha, lugar, ubicación y coordenadas del incidente.</w:t>
      </w:r>
    </w:p>
    <w:p w:rsidR="000A7117" w:rsidRPr="00963E8F" w:rsidRDefault="000A7117" w:rsidP="000A7117">
      <w:pPr>
        <w:spacing w:line="360" w:lineRule="auto"/>
        <w:jc w:val="both"/>
        <w:rPr>
          <w:rFonts w:ascii="Palatino Linotype" w:hAnsi="Palatino Linotype" w:cs="Arial"/>
          <w:sz w:val="22"/>
          <w:szCs w:val="22"/>
          <w:lang w:val="es-ES" w:eastAsia="es-ES"/>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eastAsia="Calibri" w:hAnsi="Palatino Linotype" w:cs="Arial"/>
          <w:szCs w:val="22"/>
          <w:lang w:val="es-AR" w:eastAsia="es-ES"/>
        </w:rPr>
        <w:t xml:space="preserve">El </w:t>
      </w:r>
      <w:r w:rsidR="00584172" w:rsidRPr="00963E8F">
        <w:rPr>
          <w:rFonts w:ascii="Palatino Linotype" w:eastAsia="Calibri" w:hAnsi="Palatino Linotype" w:cs="Arial"/>
          <w:b/>
          <w:szCs w:val="22"/>
          <w:lang w:val="es-AR" w:eastAsia="es-ES"/>
        </w:rPr>
        <w:t>doce de septiembre</w:t>
      </w:r>
      <w:r w:rsidRPr="00963E8F">
        <w:rPr>
          <w:rFonts w:ascii="Palatino Linotype" w:eastAsia="Calibri" w:hAnsi="Palatino Linotype" w:cs="Arial"/>
          <w:b/>
          <w:szCs w:val="22"/>
          <w:lang w:val="es-AR" w:eastAsia="es-ES"/>
        </w:rPr>
        <w:t xml:space="preserve"> de dos mil veinticuatro</w:t>
      </w:r>
      <w:r w:rsidRPr="00963E8F">
        <w:rPr>
          <w:rFonts w:ascii="Palatino Linotype" w:hAnsi="Palatino Linotype" w:cs="Arial"/>
          <w:szCs w:val="22"/>
          <w:lang w:val="es-ES" w:eastAsia="es-ES"/>
        </w:rPr>
        <w:t xml:space="preserve">, </w:t>
      </w:r>
      <w:r w:rsidRPr="00963E8F">
        <w:rPr>
          <w:rFonts w:ascii="Palatino Linotype" w:eastAsiaTheme="minorEastAsia" w:hAnsi="Palatino Linotype"/>
          <w:b/>
          <w:szCs w:val="22"/>
          <w:lang w:val="es-ES_tradnl" w:eastAsia="es-ES"/>
        </w:rPr>
        <w:t>EL RECURRENTE</w:t>
      </w:r>
      <w:r w:rsidRPr="00963E8F">
        <w:rPr>
          <w:rFonts w:ascii="Palatino Linotype" w:hAnsi="Palatino Linotype" w:cs="Arial"/>
          <w:szCs w:val="22"/>
          <w:lang w:val="es-ES" w:eastAsia="es-ES"/>
        </w:rPr>
        <w:t xml:space="preserve"> interpuso el recurso de revisión, en contra de la respuesta, señalando como:</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spacing w:line="360" w:lineRule="auto"/>
        <w:ind w:left="567" w:right="567"/>
        <w:contextualSpacing/>
        <w:jc w:val="both"/>
        <w:rPr>
          <w:rFonts w:ascii="Palatino Linotype" w:eastAsia="Calibri" w:hAnsi="Palatino Linotype" w:cs="Arial"/>
          <w:i/>
          <w:sz w:val="22"/>
          <w:szCs w:val="22"/>
          <w:lang w:val="es-ES" w:eastAsia="es-ES"/>
        </w:rPr>
      </w:pPr>
      <w:r w:rsidRPr="00963E8F">
        <w:rPr>
          <w:rFonts w:ascii="Palatino Linotype" w:eastAsiaTheme="minorEastAsia" w:hAnsi="Palatino Linotype"/>
          <w:b/>
          <w:sz w:val="22"/>
          <w:szCs w:val="22"/>
          <w:lang w:val="es-ES_tradnl" w:eastAsia="es-ES"/>
        </w:rPr>
        <w:t>Acto impugnado</w:t>
      </w:r>
      <w:r w:rsidRPr="00963E8F">
        <w:rPr>
          <w:rFonts w:ascii="Palatino Linotype" w:eastAsiaTheme="minorEastAsia" w:hAnsi="Palatino Linotype"/>
          <w:b/>
          <w:i/>
          <w:sz w:val="22"/>
          <w:szCs w:val="22"/>
          <w:lang w:val="es-ES_tradnl" w:eastAsia="es-ES"/>
        </w:rPr>
        <w:t>:</w:t>
      </w:r>
      <w:r w:rsidRPr="00963E8F">
        <w:rPr>
          <w:rFonts w:ascii="Palatino Linotype" w:hAnsi="Palatino Linotype"/>
          <w:i/>
          <w:color w:val="000000"/>
          <w:sz w:val="22"/>
          <w:szCs w:val="22"/>
        </w:rPr>
        <w:t xml:space="preserve"> "</w:t>
      </w:r>
      <w:r w:rsidR="00584172" w:rsidRPr="00963E8F">
        <w:rPr>
          <w:rFonts w:ascii="Verdana" w:hAnsi="Verdana"/>
          <w:color w:val="000000"/>
          <w:sz w:val="22"/>
          <w:szCs w:val="22"/>
        </w:rPr>
        <w:t xml:space="preserve"> </w:t>
      </w:r>
      <w:r w:rsidR="00584172" w:rsidRPr="00963E8F">
        <w:rPr>
          <w:rFonts w:ascii="Palatino Linotype" w:hAnsi="Palatino Linotype"/>
          <w:i/>
          <w:color w:val="000000"/>
          <w:sz w:val="22"/>
          <w:szCs w:val="22"/>
        </w:rPr>
        <w:t>Entrega incompleta</w:t>
      </w:r>
      <w:r w:rsidRPr="00963E8F">
        <w:rPr>
          <w:rFonts w:ascii="Palatino Linotype" w:hAnsi="Palatino Linotype"/>
          <w:i/>
          <w:color w:val="000000"/>
          <w:sz w:val="22"/>
          <w:szCs w:val="22"/>
        </w:rPr>
        <w:t>" (Sic)</w:t>
      </w:r>
    </w:p>
    <w:p w:rsidR="000A7117" w:rsidRPr="00963E8F" w:rsidRDefault="000A7117" w:rsidP="000A7117">
      <w:pPr>
        <w:spacing w:line="360" w:lineRule="auto"/>
        <w:ind w:left="567" w:right="567"/>
        <w:contextualSpacing/>
        <w:jc w:val="both"/>
        <w:rPr>
          <w:rFonts w:ascii="Palatino Linotype" w:eastAsia="Calibri" w:hAnsi="Palatino Linotype" w:cs="Arial"/>
          <w:sz w:val="22"/>
          <w:szCs w:val="22"/>
          <w:lang w:val="es-ES" w:eastAsia="es-ES"/>
        </w:rPr>
      </w:pPr>
      <w:bookmarkStart w:id="1" w:name="_GoBack"/>
      <w:bookmarkEnd w:id="1"/>
    </w:p>
    <w:p w:rsidR="000A7117" w:rsidRPr="00963E8F" w:rsidRDefault="000A7117" w:rsidP="000A7117">
      <w:pPr>
        <w:spacing w:line="360" w:lineRule="auto"/>
        <w:ind w:left="567" w:right="567"/>
        <w:contextualSpacing/>
        <w:jc w:val="both"/>
        <w:rPr>
          <w:rFonts w:ascii="Palatino Linotype" w:eastAsiaTheme="minorEastAsia" w:hAnsi="Palatino Linotype"/>
          <w:b/>
          <w:sz w:val="22"/>
          <w:szCs w:val="22"/>
          <w:lang w:val="es-ES_tradnl" w:eastAsia="es-ES"/>
        </w:rPr>
      </w:pPr>
      <w:r w:rsidRPr="00963E8F">
        <w:rPr>
          <w:rFonts w:ascii="Palatino Linotype" w:eastAsiaTheme="minorEastAsia" w:hAnsi="Palatino Linotype"/>
          <w:b/>
          <w:sz w:val="22"/>
          <w:szCs w:val="22"/>
          <w:lang w:val="es-ES_tradnl" w:eastAsia="es-ES"/>
        </w:rPr>
        <w:t xml:space="preserve">Razones o Motivos de inconformidad: </w:t>
      </w:r>
      <w:r w:rsidRPr="00963E8F">
        <w:rPr>
          <w:rFonts w:ascii="Palatino Linotype" w:eastAsiaTheme="minorEastAsia" w:hAnsi="Palatino Linotype"/>
          <w:i/>
          <w:sz w:val="22"/>
          <w:szCs w:val="22"/>
          <w:lang w:eastAsia="es-ES"/>
        </w:rPr>
        <w:t>"</w:t>
      </w:r>
      <w:r w:rsidR="00584172" w:rsidRPr="00963E8F">
        <w:rPr>
          <w:rFonts w:ascii="Palatino Linotype" w:hAnsi="Palatino Linotype"/>
          <w:i/>
          <w:color w:val="000000"/>
          <w:sz w:val="22"/>
          <w:szCs w:val="22"/>
        </w:rPr>
        <w:t xml:space="preserve"> En la respuesta recibida vía Plataforma Nacional de Transparencia (PNT), el Sujeto Obligado entrega la información de manera incompleta y en un formato el cual no fue el solicitado. Lo anterior es así, debido a que se omite la información en su gran mayoría sobre las coordenadas geográficas de cada incidente reportado, además, la información se entrega en archivo .pdf cuando expresamente la requerí en formato abierto (xls o cvs)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w:t>
      </w:r>
      <w:r w:rsidR="00584172" w:rsidRPr="00963E8F">
        <w:rPr>
          <w:rFonts w:ascii="Palatino Linotype" w:hAnsi="Palatino Linotype"/>
          <w:i/>
          <w:color w:val="000000"/>
          <w:sz w:val="22"/>
          <w:szCs w:val="22"/>
        </w:rPr>
        <w:lastRenderedPageBreak/>
        <w:t xml:space="preserve">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w:t>
      </w:r>
      <w:r w:rsidR="00584172" w:rsidRPr="00963E8F">
        <w:rPr>
          <w:rFonts w:ascii="Palatino Linotype" w:hAnsi="Palatino Linotype"/>
          <w:i/>
          <w:color w:val="000000"/>
          <w:sz w:val="22"/>
          <w:szCs w:val="22"/>
        </w:rPr>
        <w:lastRenderedPageBreak/>
        <w:t>Criterio 02/171, emitido por el Peno del Instituto Nacional de Transparencia, Acceso a la Información Pública y Protección de Datos Personales.</w:t>
      </w:r>
      <w:r w:rsidRPr="00963E8F">
        <w:rPr>
          <w:rFonts w:ascii="Palatino Linotype" w:eastAsiaTheme="minorEastAsia" w:hAnsi="Palatino Linotype"/>
          <w:i/>
          <w:sz w:val="22"/>
          <w:szCs w:val="22"/>
          <w:lang w:eastAsia="es-ES"/>
        </w:rPr>
        <w:t>"</w:t>
      </w:r>
      <w:r w:rsidRPr="00963E8F">
        <w:rPr>
          <w:rFonts w:ascii="Palatino Linotype" w:eastAsiaTheme="minorEastAsia" w:hAnsi="Palatino Linotype"/>
          <w:sz w:val="22"/>
          <w:szCs w:val="22"/>
          <w:lang w:eastAsia="es-ES"/>
        </w:rPr>
        <w:t xml:space="preserve"> (Sic)</w:t>
      </w:r>
    </w:p>
    <w:p w:rsidR="000A7117" w:rsidRPr="00963E8F" w:rsidRDefault="000A7117" w:rsidP="000A7117">
      <w:pPr>
        <w:spacing w:line="360" w:lineRule="auto"/>
        <w:ind w:right="567"/>
        <w:contextualSpacing/>
        <w:jc w:val="both"/>
        <w:rPr>
          <w:rFonts w:ascii="Palatino Linotype" w:hAnsi="Palatino Linotype" w:cs="Arial"/>
          <w:sz w:val="22"/>
          <w:szCs w:val="22"/>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hAnsi="Palatino Linotype" w:cs="Arial"/>
          <w:szCs w:val="22"/>
          <w:lang w:val="es-ES" w:eastAsia="es-ES"/>
        </w:rPr>
        <w:t xml:space="preserve">Se registró el recurso de revisión bajo el número de expediente </w:t>
      </w:r>
      <w:r w:rsidRPr="00963E8F">
        <w:rPr>
          <w:rFonts w:ascii="Palatino Linotype" w:eastAsiaTheme="minorEastAsia" w:hAnsi="Palatino Linotype" w:cs="Arial"/>
          <w:bCs/>
          <w:szCs w:val="22"/>
          <w:lang w:val="es-ES_tradnl" w:eastAsia="es-ES"/>
        </w:rPr>
        <w:t xml:space="preserve">al rubro indicado, asimismo con fundamento en lo dispuesto por el </w:t>
      </w:r>
      <w:r w:rsidRPr="00963E8F">
        <w:rPr>
          <w:rFonts w:ascii="Palatino Linotype" w:eastAsia="Calibri" w:hAnsi="Palatino Linotype" w:cs="Arial"/>
          <w:szCs w:val="22"/>
          <w:lang w:val="es-ES" w:eastAsia="es-ES"/>
        </w:rPr>
        <w:t xml:space="preserve">artículo 185 fracción I de la </w:t>
      </w:r>
      <w:r w:rsidRPr="00963E8F">
        <w:rPr>
          <w:rFonts w:ascii="Palatino Linotype" w:eastAsia="Calibri" w:hAnsi="Palatino Linotype" w:cs="Arial"/>
          <w:b/>
          <w:szCs w:val="22"/>
          <w:lang w:val="es-ES" w:eastAsia="es-ES"/>
        </w:rPr>
        <w:t xml:space="preserve">Ley de Transparencia y Acceso a la Información Pública del Estado de México y Municipios </w:t>
      </w:r>
      <w:r w:rsidRPr="00963E8F">
        <w:rPr>
          <w:rFonts w:ascii="Palatino Linotype" w:hAnsi="Palatino Linotype" w:cs="Arial"/>
          <w:szCs w:val="22"/>
          <w:lang w:val="es-ES" w:eastAsia="es-ES"/>
        </w:rPr>
        <w:t xml:space="preserve">se turnó a la </w:t>
      </w:r>
      <w:r w:rsidRPr="00963E8F">
        <w:rPr>
          <w:rFonts w:ascii="Palatino Linotype" w:hAnsi="Palatino Linotype" w:cs="Arial"/>
          <w:b/>
          <w:szCs w:val="22"/>
          <w:lang w:val="es-ES" w:eastAsia="es-ES"/>
        </w:rPr>
        <w:t xml:space="preserve">Comisionada María del Rosario Mejía Ayala, </w:t>
      </w:r>
      <w:r w:rsidRPr="00963E8F">
        <w:rPr>
          <w:rFonts w:ascii="Palatino Linotype" w:hAnsi="Palatino Linotype" w:cs="Arial"/>
          <w:szCs w:val="22"/>
          <w:lang w:val="es-ES" w:eastAsia="es-ES"/>
        </w:rPr>
        <w:t xml:space="preserve">con el objeto de </w:t>
      </w:r>
      <w:r w:rsidRPr="00963E8F">
        <w:rPr>
          <w:rFonts w:ascii="Palatino Linotype" w:hAnsi="Palatino Linotype" w:cs="Arial"/>
          <w:szCs w:val="22"/>
          <w:lang w:eastAsia="es-ES"/>
        </w:rPr>
        <w:t xml:space="preserve">su análisis. </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eastAsia="Calibri" w:hAnsi="Palatino Linotype" w:cs="Arial"/>
          <w:szCs w:val="22"/>
          <w:lang w:val="es-ES" w:eastAsia="es-ES"/>
        </w:rPr>
        <w:t xml:space="preserve">El Comisionado Ponente con fundamento en lo dispuesto por el artículo 185 fracción II de la ley de la materia, a través del acuerdo de admisión del </w:t>
      </w:r>
      <w:r w:rsidR="00065D15" w:rsidRPr="00963E8F">
        <w:rPr>
          <w:rFonts w:ascii="Palatino Linotype" w:eastAsia="Calibri" w:hAnsi="Palatino Linotype" w:cs="Arial"/>
          <w:b/>
          <w:szCs w:val="22"/>
          <w:lang w:val="es-ES" w:eastAsia="es-ES"/>
        </w:rPr>
        <w:t>diecisiete de septiembre</w:t>
      </w:r>
      <w:r w:rsidRPr="00963E8F">
        <w:rPr>
          <w:rFonts w:ascii="Palatino Linotype" w:eastAsia="Calibri" w:hAnsi="Palatino Linotype" w:cs="Arial"/>
          <w:b/>
          <w:szCs w:val="22"/>
          <w:lang w:val="es-ES" w:eastAsia="es-ES"/>
        </w:rPr>
        <w:t xml:space="preserve"> de dos mil veinticuatro</w:t>
      </w:r>
      <w:r w:rsidRPr="00963E8F">
        <w:rPr>
          <w:rFonts w:ascii="Palatino Linotype" w:eastAsia="Calibri" w:hAnsi="Palatino Linotype" w:cs="Arial"/>
          <w:szCs w:val="22"/>
          <w:lang w:val="es-ES" w:eastAsia="es-ES"/>
        </w:rPr>
        <w:t xml:space="preserve">, puso a disposición de las partes el expediente electrónico </w:t>
      </w:r>
      <w:r w:rsidRPr="00963E8F">
        <w:rPr>
          <w:rFonts w:ascii="Palatino Linotype" w:eastAsia="Calibri" w:hAnsi="Palatino Linotype" w:cs="Arial"/>
          <w:szCs w:val="22"/>
          <w:lang w:val="es-ES_tradnl" w:eastAsia="es-ES"/>
        </w:rPr>
        <w:t xml:space="preserve">vía </w:t>
      </w:r>
      <w:r w:rsidRPr="00963E8F">
        <w:rPr>
          <w:rFonts w:ascii="Palatino Linotype" w:eastAsia="Calibri" w:hAnsi="Palatino Linotype" w:cs="Arial"/>
          <w:b/>
          <w:szCs w:val="22"/>
          <w:lang w:val="es-ES" w:eastAsia="es-ES"/>
        </w:rPr>
        <w:t xml:space="preserve">SAIMEX </w:t>
      </w:r>
      <w:r w:rsidRPr="00963E8F">
        <w:rPr>
          <w:rFonts w:ascii="Palatino Linotype" w:eastAsia="Calibri" w:hAnsi="Palatino Linotype" w:cs="Arial"/>
          <w:szCs w:val="22"/>
          <w:lang w:val="es-ES" w:eastAsia="es-ES"/>
        </w:rPr>
        <w:t xml:space="preserve">a efecto de que en un plazo máximo de siete días manifestaran lo que a derecho convinieran, ofrecieran pruebas y alegatos según corresponda al caso concreto, de esta forma para que el </w:t>
      </w:r>
      <w:r w:rsidRPr="00963E8F">
        <w:rPr>
          <w:rFonts w:ascii="Palatino Linotype" w:eastAsia="Calibri" w:hAnsi="Palatino Linotype" w:cs="Arial"/>
          <w:b/>
          <w:szCs w:val="22"/>
          <w:lang w:val="es-ES" w:eastAsia="es-ES"/>
        </w:rPr>
        <w:t>SUJETO OBLIGADO</w:t>
      </w:r>
      <w:r w:rsidRPr="00963E8F">
        <w:rPr>
          <w:rFonts w:ascii="Palatino Linotype" w:eastAsia="Calibri" w:hAnsi="Palatino Linotype" w:cs="Arial"/>
          <w:szCs w:val="22"/>
          <w:lang w:val="es-ES" w:eastAsia="es-ES"/>
        </w:rPr>
        <w:t xml:space="preserve"> presentara el informe justificado procedente. </w:t>
      </w:r>
    </w:p>
    <w:p w:rsidR="000A7117" w:rsidRPr="00963E8F" w:rsidRDefault="000A7117" w:rsidP="000A7117">
      <w:pPr>
        <w:pStyle w:val="Prrafodelista"/>
        <w:rPr>
          <w:rFonts w:ascii="Palatino Linotype" w:eastAsia="Calibri" w:hAnsi="Palatino Linotype" w:cs="Arial"/>
          <w:szCs w:val="22"/>
          <w:lang w:val="es-ES" w:eastAsia="es-ES"/>
        </w:rPr>
      </w:pPr>
    </w:p>
    <w:p w:rsidR="000A7117" w:rsidRPr="00963E8F" w:rsidRDefault="000A7117" w:rsidP="00065D15">
      <w:pPr>
        <w:pStyle w:val="Prrafodelista"/>
        <w:numPr>
          <w:ilvl w:val="0"/>
          <w:numId w:val="1"/>
        </w:numPr>
        <w:spacing w:line="360" w:lineRule="auto"/>
        <w:ind w:left="0" w:firstLine="0"/>
        <w:jc w:val="both"/>
        <w:rPr>
          <w:rFonts w:ascii="Palatino Linotype" w:eastAsiaTheme="majorEastAsia" w:hAnsi="Palatino Linotype" w:cs="Arial"/>
          <w:bCs/>
          <w:szCs w:val="22"/>
        </w:rPr>
      </w:pPr>
      <w:r w:rsidRPr="00963E8F">
        <w:rPr>
          <w:rFonts w:ascii="Palatino Linotype" w:eastAsia="Calibri" w:hAnsi="Palatino Linotype" w:cs="Arial"/>
          <w:szCs w:val="22"/>
          <w:lang w:val="es-ES" w:eastAsia="es-ES"/>
        </w:rPr>
        <w:t xml:space="preserve">De las constancias del expediente electrónico SAIMEX se advierte que el Recurrente no realizó manifestaciones; </w:t>
      </w:r>
      <w:r w:rsidRPr="00963E8F">
        <w:rPr>
          <w:rFonts w:ascii="Palatino Linotype" w:hAnsi="Palatino Linotype" w:cs="Arial"/>
          <w:szCs w:val="22"/>
          <w:lang w:val="es-ES" w:eastAsia="es-ES"/>
        </w:rPr>
        <w:t>p</w:t>
      </w:r>
      <w:r w:rsidRPr="00963E8F">
        <w:rPr>
          <w:rFonts w:ascii="Palatino Linotype" w:eastAsia="Calibri" w:hAnsi="Palatino Linotype" w:cs="Arial"/>
          <w:szCs w:val="22"/>
          <w:lang w:val="es-ES" w:eastAsia="es-ES"/>
        </w:rPr>
        <w:t xml:space="preserve">or su parte, el Sujeto Obligado </w:t>
      </w:r>
      <w:r w:rsidR="00065D15" w:rsidRPr="00963E8F">
        <w:rPr>
          <w:rFonts w:ascii="Palatino Linotype" w:eastAsia="Calibri" w:hAnsi="Palatino Linotype" w:cs="Arial"/>
          <w:szCs w:val="22"/>
          <w:lang w:val="es-ES" w:eastAsia="es-ES"/>
        </w:rPr>
        <w:t>no entregó informe justificado.</w:t>
      </w:r>
    </w:p>
    <w:p w:rsidR="00065D15" w:rsidRPr="00963E8F" w:rsidRDefault="00065D15" w:rsidP="00065D15">
      <w:pPr>
        <w:pStyle w:val="Prrafodelista"/>
        <w:spacing w:line="360" w:lineRule="auto"/>
        <w:ind w:left="0"/>
        <w:jc w:val="both"/>
        <w:rPr>
          <w:rFonts w:ascii="Palatino Linotype" w:eastAsiaTheme="majorEastAsia" w:hAnsi="Palatino Linotype" w:cs="Arial"/>
          <w:bCs/>
          <w:szCs w:val="22"/>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hAnsi="Palatino Linotype" w:cs="Arial"/>
          <w:szCs w:val="22"/>
          <w:lang w:val="es-ES" w:eastAsia="es-ES"/>
        </w:rPr>
        <w:t xml:space="preserve">El </w:t>
      </w:r>
      <w:r w:rsidR="00065D15" w:rsidRPr="00963E8F">
        <w:rPr>
          <w:rFonts w:ascii="Palatino Linotype" w:hAnsi="Palatino Linotype" w:cs="Arial"/>
          <w:b/>
          <w:szCs w:val="22"/>
          <w:lang w:val="es-ES" w:eastAsia="es-ES"/>
        </w:rPr>
        <w:t>catorce</w:t>
      </w:r>
      <w:r w:rsidRPr="00963E8F">
        <w:rPr>
          <w:rFonts w:ascii="Palatino Linotype" w:hAnsi="Palatino Linotype" w:cs="Arial"/>
          <w:b/>
          <w:szCs w:val="22"/>
          <w:lang w:val="es-ES" w:eastAsia="es-ES"/>
        </w:rPr>
        <w:t xml:space="preserve"> de enero de dos mil veinticinco,</w:t>
      </w:r>
      <w:r w:rsidRPr="00963E8F">
        <w:rPr>
          <w:rFonts w:ascii="Palatino Linotype" w:hAnsi="Palatino Linotype" w:cs="Arial"/>
          <w:szCs w:val="22"/>
          <w:lang w:val="es-ES" w:eastAsia="es-ES"/>
        </w:rPr>
        <w:t xml:space="preserve"> se notificó el acuerdo a través del cual se aprobó la ampliación de plazo para emitir resolución. </w:t>
      </w:r>
    </w:p>
    <w:p w:rsidR="000A7117" w:rsidRPr="00963E8F" w:rsidRDefault="000A7117" w:rsidP="000A7117">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eastAsiaTheme="minorEastAsia" w:hAnsi="Palatino Linotype"/>
          <w:szCs w:val="22"/>
          <w:lang w:val="es-ES_tradnl" w:eastAsia="es-ES"/>
        </w:rPr>
        <w:t>La Comisionada Ponente decretó el cierre de instrucción</w:t>
      </w:r>
      <w:r w:rsidRPr="00963E8F">
        <w:rPr>
          <w:rFonts w:ascii="Palatino Linotype" w:eastAsiaTheme="minorEastAsia" w:hAnsi="Palatino Linotype" w:cs="Arial"/>
          <w:szCs w:val="22"/>
          <w:lang w:val="es-ES_tradnl" w:eastAsia="es-ES"/>
        </w:rPr>
        <w:t xml:space="preserve"> </w:t>
      </w:r>
      <w:r w:rsidRPr="00963E8F">
        <w:rPr>
          <w:rFonts w:ascii="Palatino Linotype" w:eastAsiaTheme="minorEastAsia" w:hAnsi="Palatino Linotype"/>
          <w:szCs w:val="22"/>
          <w:lang w:val="es-ES_tradnl" w:eastAsia="es-ES"/>
        </w:rPr>
        <w:t xml:space="preserve">mediante el acuerdo del </w:t>
      </w:r>
      <w:r w:rsidR="00065D15" w:rsidRPr="00963E8F">
        <w:rPr>
          <w:rFonts w:ascii="Palatino Linotype" w:eastAsiaTheme="minorEastAsia" w:hAnsi="Palatino Linotype"/>
          <w:b/>
          <w:szCs w:val="22"/>
          <w:lang w:val="es-ES_tradnl" w:eastAsia="es-ES"/>
        </w:rPr>
        <w:t>cinco de marzo</w:t>
      </w:r>
      <w:r w:rsidRPr="00963E8F">
        <w:rPr>
          <w:rFonts w:ascii="Palatino Linotype" w:eastAsiaTheme="minorEastAsia" w:hAnsi="Palatino Linotype"/>
          <w:b/>
          <w:szCs w:val="22"/>
          <w:lang w:val="es-ES_tradnl" w:eastAsia="es-ES"/>
        </w:rPr>
        <w:t xml:space="preserve"> de dos mil veinticinco.</w:t>
      </w:r>
    </w:p>
    <w:p w:rsidR="000A7117" w:rsidRPr="00963E8F" w:rsidRDefault="000A7117" w:rsidP="000A7117">
      <w:pPr>
        <w:pStyle w:val="Prrafodelista"/>
        <w:rPr>
          <w:rFonts w:ascii="Palatino Linotype" w:hAnsi="Palatino Linotype" w:cs="Arial"/>
          <w:szCs w:val="22"/>
          <w:lang w:val="es-ES" w:eastAsia="es-ES"/>
        </w:rPr>
      </w:pP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spacing w:line="360" w:lineRule="auto"/>
        <w:rPr>
          <w:rFonts w:ascii="Palatino Linotype" w:hAnsi="Palatino Linotype" w:cs="Arial"/>
          <w:sz w:val="22"/>
          <w:szCs w:val="22"/>
          <w:lang w:val="es-ES" w:eastAsia="es-ES"/>
        </w:rPr>
      </w:pPr>
    </w:p>
    <w:p w:rsidR="000A7117" w:rsidRPr="00963E8F" w:rsidRDefault="000A7117" w:rsidP="000A7117">
      <w:pPr>
        <w:spacing w:line="360" w:lineRule="auto"/>
        <w:jc w:val="center"/>
        <w:rPr>
          <w:rFonts w:ascii="Palatino Linotype" w:hAnsi="Palatino Linotype" w:cs="Arial"/>
          <w:sz w:val="22"/>
          <w:szCs w:val="22"/>
          <w:lang w:eastAsia="es-ES"/>
        </w:rPr>
      </w:pPr>
      <w:bookmarkStart w:id="2" w:name="_Toc66992242"/>
      <w:r w:rsidRPr="00963E8F">
        <w:rPr>
          <w:rFonts w:ascii="Palatino Linotype" w:hAnsi="Palatino Linotype" w:cs="Arial"/>
          <w:b/>
          <w:sz w:val="22"/>
          <w:szCs w:val="22"/>
          <w:lang w:eastAsia="es-ES"/>
        </w:rPr>
        <w:t>CONSIDERANDO</w:t>
      </w:r>
      <w:bookmarkEnd w:id="2"/>
    </w:p>
    <w:p w:rsidR="000A7117" w:rsidRPr="00963E8F" w:rsidRDefault="000A7117" w:rsidP="000A7117">
      <w:pPr>
        <w:spacing w:line="360" w:lineRule="auto"/>
        <w:jc w:val="center"/>
        <w:rPr>
          <w:rFonts w:ascii="Palatino Linotype" w:hAnsi="Palatino Linotype" w:cs="Arial"/>
          <w:sz w:val="22"/>
          <w:szCs w:val="22"/>
          <w:lang w:eastAsia="es-ES"/>
        </w:rPr>
      </w:pPr>
    </w:p>
    <w:p w:rsidR="000A7117" w:rsidRPr="00963E8F" w:rsidRDefault="000A7117" w:rsidP="000A7117">
      <w:pPr>
        <w:spacing w:line="360" w:lineRule="auto"/>
        <w:jc w:val="both"/>
        <w:rPr>
          <w:rFonts w:ascii="Palatino Linotype" w:hAnsi="Palatino Linotype" w:cs="Arial"/>
          <w:b/>
          <w:sz w:val="22"/>
          <w:szCs w:val="22"/>
          <w:lang w:eastAsia="es-ES"/>
        </w:rPr>
      </w:pPr>
      <w:bookmarkStart w:id="3" w:name="_Toc66992243"/>
      <w:r w:rsidRPr="00963E8F">
        <w:rPr>
          <w:rFonts w:ascii="Palatino Linotype" w:hAnsi="Palatino Linotype" w:cs="Arial"/>
          <w:b/>
          <w:sz w:val="22"/>
          <w:szCs w:val="22"/>
          <w:lang w:eastAsia="es-ES"/>
        </w:rPr>
        <w:t>PRIMERO. De la competencia</w:t>
      </w:r>
      <w:bookmarkEnd w:id="3"/>
    </w:p>
    <w:p w:rsidR="000A7117" w:rsidRPr="00963E8F" w:rsidRDefault="000A7117" w:rsidP="000A7117">
      <w:pPr>
        <w:pStyle w:val="Prrafodelista"/>
        <w:numPr>
          <w:ilvl w:val="0"/>
          <w:numId w:val="1"/>
        </w:numPr>
        <w:spacing w:before="240" w:after="240" w:line="360" w:lineRule="auto"/>
        <w:ind w:left="0" w:firstLine="0"/>
        <w:jc w:val="both"/>
        <w:rPr>
          <w:rFonts w:ascii="Palatino Linotype" w:hAnsi="Palatino Linotype"/>
          <w:szCs w:val="22"/>
        </w:rPr>
      </w:pPr>
      <w:r w:rsidRPr="00963E8F">
        <w:rPr>
          <w:rFonts w:ascii="Palatino Linotype" w:hAnsi="Palatino Linotype"/>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keepNext/>
        <w:keepLines/>
        <w:spacing w:line="360" w:lineRule="auto"/>
        <w:outlineLvl w:val="1"/>
        <w:rPr>
          <w:rFonts w:ascii="Palatino Linotype" w:eastAsiaTheme="majorEastAsia" w:hAnsi="Palatino Linotype" w:cstheme="majorBidi"/>
          <w:b/>
          <w:sz w:val="22"/>
          <w:szCs w:val="22"/>
        </w:rPr>
      </w:pPr>
      <w:bookmarkStart w:id="4" w:name="_Toc66992244"/>
      <w:r w:rsidRPr="00963E8F">
        <w:rPr>
          <w:rFonts w:ascii="Palatino Linotype" w:eastAsiaTheme="majorEastAsia" w:hAnsi="Palatino Linotype" w:cstheme="majorBidi"/>
          <w:b/>
          <w:sz w:val="22"/>
          <w:szCs w:val="22"/>
        </w:rPr>
        <w:t>SEGUNDO. De la oportunidad y procedencia.</w:t>
      </w:r>
      <w:bookmarkEnd w:id="4"/>
    </w:p>
    <w:p w:rsidR="000A7117" w:rsidRPr="00963E8F" w:rsidRDefault="000A7117" w:rsidP="000A7117">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eastAsia="Calibri" w:hAnsi="Palatino Linotype" w:cs="Arial"/>
          <w:szCs w:val="22"/>
          <w:lang w:val="es-ES_tradnl" w:eastAsia="es-ES"/>
        </w:rPr>
        <w:t xml:space="preserve">El medio de impugnación fue presentado a través del </w:t>
      </w:r>
      <w:r w:rsidRPr="00963E8F">
        <w:rPr>
          <w:rFonts w:ascii="Palatino Linotype" w:eastAsia="Calibri" w:hAnsi="Palatino Linotype" w:cs="Arial"/>
          <w:b/>
          <w:szCs w:val="22"/>
          <w:lang w:val="es-ES_tradnl" w:eastAsia="es-ES"/>
        </w:rPr>
        <w:t>SAIMEX,</w:t>
      </w:r>
      <w:r w:rsidRPr="00963E8F">
        <w:rPr>
          <w:rFonts w:ascii="Palatino Linotype" w:eastAsia="Calibri" w:hAnsi="Palatino Linotype" w:cs="Arial"/>
          <w:szCs w:val="22"/>
          <w:lang w:val="es-ES_tradnl" w:eastAsia="es-ES"/>
        </w:rPr>
        <w:t xml:space="preserve"> en el formato previamente aprobado para tal efecto y dentro del plazo legal de quince días hábiles otorgados; siendo así que el </w:t>
      </w:r>
      <w:r w:rsidRPr="00963E8F">
        <w:rPr>
          <w:rFonts w:ascii="Palatino Linotype" w:eastAsia="Calibri" w:hAnsi="Palatino Linotype" w:cs="Arial"/>
          <w:b/>
          <w:szCs w:val="22"/>
          <w:lang w:val="es-ES_tradnl" w:eastAsia="es-ES"/>
        </w:rPr>
        <w:t>SUJETO OBLIGADO</w:t>
      </w:r>
      <w:r w:rsidRPr="00963E8F">
        <w:rPr>
          <w:rFonts w:ascii="Palatino Linotype" w:eastAsia="Calibri" w:hAnsi="Palatino Linotype" w:cs="Arial"/>
          <w:szCs w:val="22"/>
          <w:lang w:val="es-ES_tradnl" w:eastAsia="es-ES"/>
        </w:rPr>
        <w:t xml:space="preserve"> entregó respuesta a la solicitud el día </w:t>
      </w:r>
      <w:r w:rsidR="00065D15" w:rsidRPr="00963E8F">
        <w:rPr>
          <w:rFonts w:ascii="Palatino Linotype" w:eastAsia="Calibri" w:hAnsi="Palatino Linotype" w:cs="Arial"/>
          <w:b/>
          <w:szCs w:val="22"/>
          <w:lang w:val="es-ES_tradnl" w:eastAsia="es-ES"/>
        </w:rPr>
        <w:t>diez de septiembre</w:t>
      </w:r>
      <w:r w:rsidRPr="00963E8F">
        <w:rPr>
          <w:rFonts w:ascii="Palatino Linotype" w:eastAsia="Calibri" w:hAnsi="Palatino Linotype" w:cs="Arial"/>
          <w:b/>
          <w:szCs w:val="22"/>
          <w:lang w:val="es-ES_tradnl" w:eastAsia="es-ES"/>
        </w:rPr>
        <w:t xml:space="preserve"> de dos mil veinticuatro</w:t>
      </w:r>
      <w:r w:rsidRPr="00963E8F">
        <w:rPr>
          <w:rFonts w:ascii="Palatino Linotype" w:eastAsia="Calibri" w:hAnsi="Palatino Linotype" w:cs="Arial"/>
          <w:szCs w:val="22"/>
          <w:lang w:val="es-ES_tradnl" w:eastAsia="es-ES"/>
        </w:rPr>
        <w:t xml:space="preserve">, </w:t>
      </w:r>
      <w:r w:rsidRPr="00963E8F">
        <w:rPr>
          <w:rFonts w:ascii="Palatino Linotype" w:eastAsiaTheme="minorEastAsia" w:hAnsi="Palatino Linotype" w:cs="Arial"/>
          <w:szCs w:val="22"/>
          <w:lang w:val="es-ES_tradnl" w:eastAsia="es-ES"/>
        </w:rPr>
        <w:t>de tal forma que el plazo para interponer el recurso de revisión transcurrió del</w:t>
      </w:r>
      <w:r w:rsidRPr="00963E8F">
        <w:rPr>
          <w:rFonts w:ascii="Palatino Linotype" w:eastAsiaTheme="minorEastAsia" w:hAnsi="Palatino Linotype" w:cs="Arial"/>
          <w:b/>
          <w:szCs w:val="22"/>
          <w:lang w:val="es-ES_tradnl" w:eastAsia="es-ES"/>
        </w:rPr>
        <w:t xml:space="preserve"> </w:t>
      </w:r>
      <w:r w:rsidR="00065D15" w:rsidRPr="00963E8F">
        <w:rPr>
          <w:rFonts w:ascii="Palatino Linotype" w:eastAsiaTheme="minorEastAsia" w:hAnsi="Palatino Linotype" w:cs="Arial"/>
          <w:b/>
          <w:szCs w:val="22"/>
          <w:lang w:val="es-ES_tradnl" w:eastAsia="es-ES"/>
        </w:rPr>
        <w:t>once de septiembre al tres de octubre</w:t>
      </w:r>
      <w:r w:rsidRPr="00963E8F">
        <w:rPr>
          <w:rFonts w:ascii="Palatino Linotype" w:eastAsiaTheme="minorEastAsia" w:hAnsi="Palatino Linotype" w:cs="Arial"/>
          <w:b/>
          <w:szCs w:val="22"/>
          <w:lang w:val="es-ES_tradnl" w:eastAsia="es-ES"/>
        </w:rPr>
        <w:t xml:space="preserve"> de dos mil veinticuatro</w:t>
      </w:r>
      <w:r w:rsidRPr="00963E8F">
        <w:rPr>
          <w:rFonts w:ascii="Palatino Linotype" w:eastAsiaTheme="minorEastAsia" w:hAnsi="Palatino Linotype" w:cs="Arial"/>
          <w:szCs w:val="22"/>
          <w:lang w:val="es-ES_tradnl" w:eastAsia="es-ES"/>
        </w:rPr>
        <w:t xml:space="preserve">; en consecuencia, presentó su inconformidad el día </w:t>
      </w:r>
      <w:r w:rsidR="00065D15" w:rsidRPr="00963E8F">
        <w:rPr>
          <w:rFonts w:ascii="Palatino Linotype" w:eastAsiaTheme="minorEastAsia" w:hAnsi="Palatino Linotype" w:cs="Arial"/>
          <w:b/>
          <w:szCs w:val="22"/>
          <w:lang w:val="es-ES_tradnl" w:eastAsia="es-ES"/>
        </w:rPr>
        <w:t>doce de septiembre</w:t>
      </w:r>
      <w:r w:rsidRPr="00963E8F">
        <w:rPr>
          <w:rFonts w:ascii="Palatino Linotype" w:eastAsiaTheme="minorEastAsia" w:hAnsi="Palatino Linotype" w:cs="Arial"/>
          <w:b/>
          <w:szCs w:val="22"/>
          <w:lang w:val="es-ES_tradnl" w:eastAsia="es-ES"/>
        </w:rPr>
        <w:t xml:space="preserve"> de dos mil veinticuatro</w:t>
      </w:r>
      <w:r w:rsidRPr="00963E8F">
        <w:rPr>
          <w:rFonts w:ascii="Palatino Linotype" w:eastAsiaTheme="minorEastAsia" w:hAnsi="Palatino Linotype" w:cs="Arial"/>
          <w:szCs w:val="22"/>
          <w:lang w:val="es-ES_tradnl" w:eastAsia="es-ES"/>
        </w:rPr>
        <w:t xml:space="preserve">, por lo que se encuentra dentro de los márgenes temporales previstos en el artículo 178 de la </w:t>
      </w:r>
      <w:r w:rsidRPr="00963E8F">
        <w:rPr>
          <w:rFonts w:ascii="Palatino Linotype" w:eastAsiaTheme="minorEastAsia" w:hAnsi="Palatino Linotype" w:cs="Arial"/>
          <w:b/>
          <w:szCs w:val="22"/>
          <w:lang w:val="es-ES_tradnl" w:eastAsia="es-ES"/>
        </w:rPr>
        <w:t xml:space="preserve">Ley de Transparencia y Acceso a la Información Pública del Estado de México y Municipios </w:t>
      </w:r>
      <w:r w:rsidRPr="00963E8F">
        <w:rPr>
          <w:rFonts w:ascii="Palatino Linotype" w:eastAsiaTheme="minorEastAsia" w:hAnsi="Palatino Linotype" w:cs="Arial"/>
          <w:szCs w:val="22"/>
          <w:lang w:val="es-ES_tradnl" w:eastAsia="es-ES"/>
        </w:rPr>
        <w:t>vigente.</w:t>
      </w:r>
    </w:p>
    <w:p w:rsidR="000A7117" w:rsidRPr="00963E8F" w:rsidRDefault="000A7117" w:rsidP="000A7117">
      <w:pPr>
        <w:spacing w:line="360" w:lineRule="auto"/>
        <w:rPr>
          <w:rFonts w:ascii="Palatino Linotype" w:eastAsia="Calibri" w:hAnsi="Palatino Linotype" w:cs="Arial"/>
          <w:sz w:val="22"/>
          <w:szCs w:val="22"/>
          <w:lang w:val="es-ES_tradnl" w:eastAsia="es-ES"/>
        </w:rPr>
      </w:pPr>
    </w:p>
    <w:p w:rsidR="000A7117" w:rsidRPr="00963E8F" w:rsidRDefault="000A7117" w:rsidP="000A7117">
      <w:pPr>
        <w:pStyle w:val="Prrafodelista"/>
        <w:numPr>
          <w:ilvl w:val="0"/>
          <w:numId w:val="1"/>
        </w:numPr>
        <w:spacing w:line="360" w:lineRule="auto"/>
        <w:ind w:left="0" w:firstLine="0"/>
        <w:jc w:val="both"/>
        <w:rPr>
          <w:rFonts w:ascii="Palatino Linotype" w:hAnsi="Palatino Linotype" w:cs="Arial"/>
          <w:szCs w:val="22"/>
          <w:lang w:val="es-ES" w:eastAsia="es-ES"/>
        </w:rPr>
      </w:pPr>
      <w:r w:rsidRPr="00963E8F">
        <w:rPr>
          <w:rFonts w:ascii="Palatino Linotype" w:eastAsia="Calibri" w:hAnsi="Palatino Linotype" w:cs="Arial"/>
          <w:szCs w:val="22"/>
          <w:lang w:val="es-ES_tradnl" w:eastAsia="es-ES"/>
        </w:rPr>
        <w:t xml:space="preserve">Por otro lado, el escrito contiene las formalidades previstas por el artículo 180 último párrafo de la Ley de la materia actual, por lo que es procedente que este Instituto de </w:t>
      </w:r>
      <w:r w:rsidRPr="00963E8F">
        <w:rPr>
          <w:rFonts w:ascii="Palatino Linotype" w:eastAsia="Calibri" w:hAnsi="Palatino Linotype" w:cs="Arial"/>
          <w:szCs w:val="22"/>
          <w:lang w:val="es-ES_tradnl" w:eastAsia="es-ES"/>
        </w:rPr>
        <w:lastRenderedPageBreak/>
        <w:t>Transparencia, Acceso a la Información Pública y Protección de Datos Personales del Estado de México y Municipios, conozca y resuelva el presente recurso.</w:t>
      </w:r>
    </w:p>
    <w:p w:rsidR="00AB22AD" w:rsidRPr="00963E8F" w:rsidRDefault="00AB22AD" w:rsidP="00AB22AD">
      <w:pPr>
        <w:pStyle w:val="Prrafodelista"/>
        <w:rPr>
          <w:rFonts w:ascii="Palatino Linotype" w:hAnsi="Palatino Linotype" w:cs="Arial"/>
          <w:szCs w:val="22"/>
          <w:lang w:val="es-ES" w:eastAsia="es-ES"/>
        </w:rPr>
      </w:pPr>
    </w:p>
    <w:p w:rsidR="00AB22AD" w:rsidRPr="00963E8F" w:rsidRDefault="00AB22AD" w:rsidP="00AB22AD">
      <w:pPr>
        <w:pStyle w:val="Ttulo2"/>
        <w:spacing w:before="0" w:line="360" w:lineRule="auto"/>
        <w:ind w:right="1"/>
        <w:rPr>
          <w:rFonts w:ascii="Palatino Linotype" w:eastAsia="Palatino Linotype" w:hAnsi="Palatino Linotype" w:cs="Palatino Linotype"/>
          <w:b/>
          <w:color w:val="000000"/>
          <w:sz w:val="22"/>
          <w:szCs w:val="22"/>
        </w:rPr>
      </w:pPr>
      <w:r w:rsidRPr="00963E8F">
        <w:rPr>
          <w:rFonts w:ascii="Palatino Linotype" w:eastAsia="Palatino Linotype" w:hAnsi="Palatino Linotype" w:cs="Palatino Linotype"/>
          <w:b/>
          <w:color w:val="000000"/>
          <w:sz w:val="22"/>
          <w:szCs w:val="22"/>
        </w:rPr>
        <w:t>TERCERO. De las causales del sobreseimiento.</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bookmarkStart w:id="5" w:name="_heading=h.30j0zll" w:colFirst="0" w:colLast="0"/>
      <w:bookmarkEnd w:id="5"/>
      <w:r w:rsidRPr="00963E8F">
        <w:rPr>
          <w:rFonts w:ascii="Palatino Linotype" w:eastAsia="Calibri" w:hAnsi="Palatino Linotype" w:cs="Arial"/>
          <w:color w:val="000000" w:themeColor="text1"/>
          <w:szCs w:val="22"/>
        </w:rPr>
        <w:t xml:space="preserve">El recurso de revisión </w:t>
      </w:r>
      <w:r w:rsidRPr="00963E8F">
        <w:rPr>
          <w:rFonts w:ascii="Palatino Linotype" w:hAnsi="Palatino Linotype" w:cs="Arial"/>
          <w:szCs w:val="22"/>
        </w:rPr>
        <w:t xml:space="preserve">tiene como finalidad reparar cualquier posible afectación al derecho de acceso a la información pública en términos del Título Octavo de la Ley de </w:t>
      </w:r>
      <w:r w:rsidRPr="00963E8F">
        <w:rPr>
          <w:rFonts w:ascii="Palatino Linotype" w:eastAsia="Calibri" w:hAnsi="Palatino Linotype" w:cs="Arial"/>
          <w:szCs w:val="22"/>
        </w:rPr>
        <w:t>Transparencia, Acceso a la Información Pública del Estado de México y Municipios</w:t>
      </w:r>
      <w:r w:rsidRPr="00963E8F">
        <w:rPr>
          <w:rFonts w:ascii="Palatino Linotype" w:hAnsi="Palatino Linotype" w:cs="Arial"/>
          <w:szCs w:val="22"/>
        </w:rPr>
        <w:t xml:space="preserve">, y determinar la confirmación; revocación o modificación; desechamiento o </w:t>
      </w:r>
      <w:r w:rsidRPr="00963E8F">
        <w:rPr>
          <w:rFonts w:ascii="Palatino Linotype" w:hAnsi="Palatino Linotype" w:cs="Arial"/>
          <w:b/>
          <w:szCs w:val="22"/>
          <w:u w:val="single"/>
        </w:rPr>
        <w:t>sobreseimiento</w:t>
      </w:r>
      <w:r w:rsidRPr="00963E8F">
        <w:rPr>
          <w:rFonts w:ascii="Palatino Linotype" w:hAnsi="Palatino Linotype" w:cs="Arial"/>
          <w:szCs w:val="22"/>
        </w:rPr>
        <w:t xml:space="preserve">; y en su caso ordenar la entrega de la información con respecto a la respuesta emitida por el </w:t>
      </w:r>
      <w:r w:rsidRPr="00963E8F">
        <w:rPr>
          <w:rFonts w:ascii="Palatino Linotype" w:hAnsi="Palatino Linotype" w:cs="Arial"/>
          <w:b/>
          <w:szCs w:val="22"/>
        </w:rPr>
        <w:t>SUJETO</w:t>
      </w:r>
      <w:r w:rsidRPr="00963E8F">
        <w:rPr>
          <w:rFonts w:ascii="Palatino Linotype" w:hAnsi="Palatino Linotype" w:cs="Arial"/>
          <w:szCs w:val="22"/>
        </w:rPr>
        <w:t xml:space="preserve"> </w:t>
      </w:r>
      <w:r w:rsidRPr="00963E8F">
        <w:rPr>
          <w:rFonts w:ascii="Palatino Linotype" w:hAnsi="Palatino Linotype" w:cs="Arial"/>
          <w:b/>
          <w:szCs w:val="22"/>
        </w:rPr>
        <w:t>OBLIGADO</w:t>
      </w:r>
      <w:r w:rsidRPr="00963E8F">
        <w:rPr>
          <w:rFonts w:ascii="Palatino Linotype" w:hAnsi="Palatino Linotype" w:cs="Arial"/>
          <w:szCs w:val="22"/>
        </w:rPr>
        <w:t>.</w:t>
      </w:r>
    </w:p>
    <w:p w:rsidR="00AB22AD" w:rsidRPr="00963E8F" w:rsidRDefault="00AB22AD" w:rsidP="00AB22AD">
      <w:pPr>
        <w:pStyle w:val="Prrafodelista"/>
        <w:spacing w:line="360" w:lineRule="auto"/>
        <w:ind w:left="0" w:right="1"/>
        <w:jc w:val="both"/>
        <w:rPr>
          <w:rFonts w:ascii="Palatino Linotype" w:eastAsia="Palatino Linotype" w:hAnsi="Palatino Linotype" w:cs="Palatino Linotype"/>
          <w:b/>
          <w:szCs w:val="22"/>
        </w:rPr>
      </w:pPr>
    </w:p>
    <w:p w:rsidR="00AB22AD" w:rsidRPr="00963E8F" w:rsidRDefault="00AB22AD" w:rsidP="00AB22AD">
      <w:pPr>
        <w:pStyle w:val="Prrafodelista"/>
        <w:numPr>
          <w:ilvl w:val="0"/>
          <w:numId w:val="1"/>
        </w:numPr>
        <w:spacing w:line="360" w:lineRule="auto"/>
        <w:ind w:left="0" w:right="1" w:firstLine="0"/>
        <w:jc w:val="both"/>
        <w:rPr>
          <w:rFonts w:ascii="Palatino Linotype" w:eastAsia="Palatino Linotype" w:hAnsi="Palatino Linotype" w:cs="Palatino Linotype"/>
          <w:b/>
          <w:szCs w:val="22"/>
        </w:rPr>
      </w:pPr>
      <w:r w:rsidRPr="00963E8F">
        <w:rPr>
          <w:rFonts w:ascii="Palatino Linotype" w:eastAsia="Palatino Linotype" w:hAnsi="Palatino Linotype" w:cs="Palatino Linotype"/>
          <w:szCs w:val="22"/>
        </w:rPr>
        <w:t xml:space="preserve">El </w:t>
      </w:r>
      <w:r w:rsidRPr="00963E8F">
        <w:rPr>
          <w:rFonts w:ascii="Palatino Linotype" w:eastAsia="Palatino Linotype" w:hAnsi="Palatino Linotype" w:cs="Palatino Linotype"/>
          <w:b/>
          <w:szCs w:val="22"/>
        </w:rPr>
        <w:t>RECURRENTE</w:t>
      </w:r>
      <w:r w:rsidRPr="00963E8F">
        <w:rPr>
          <w:rFonts w:ascii="Palatino Linotype" w:eastAsia="Palatino Linotype" w:hAnsi="Palatino Linotype" w:cs="Palatino Linotype"/>
          <w:szCs w:val="22"/>
        </w:rPr>
        <w:t xml:space="preserve"> solicitó  una base de datos sobre incidencia delictiva o reporte de incidentes, eventos o cualquier otro registro o documento que genere, posea o administra el Sujeto Obligado, del periodo comprendido del </w:t>
      </w:r>
      <w:r w:rsidR="00AA07C0" w:rsidRPr="00963E8F">
        <w:rPr>
          <w:rFonts w:ascii="Palatino Linotype" w:eastAsia="Palatino Linotype" w:hAnsi="Palatino Linotype" w:cs="Palatino Linotype"/>
          <w:szCs w:val="22"/>
        </w:rPr>
        <w:t xml:space="preserve">doce de marzo de dos mil veinticuatro al veintiuno de agosto del mismo año. </w:t>
      </w:r>
    </w:p>
    <w:p w:rsidR="00AB22AD" w:rsidRPr="00963E8F" w:rsidRDefault="00AB22AD" w:rsidP="00AA07C0">
      <w:pPr>
        <w:pStyle w:val="Prrafodelista"/>
        <w:spacing w:line="360" w:lineRule="auto"/>
        <w:ind w:left="0" w:right="1"/>
        <w:jc w:val="both"/>
        <w:rPr>
          <w:rFonts w:ascii="Palatino Linotype" w:eastAsia="Palatino Linotype" w:hAnsi="Palatino Linotype" w:cs="Palatino Linotype"/>
          <w:b/>
          <w:szCs w:val="22"/>
        </w:rPr>
      </w:pPr>
    </w:p>
    <w:p w:rsidR="00AB22AD" w:rsidRPr="00963E8F" w:rsidRDefault="009A56B9" w:rsidP="00AB22AD">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EL Sujeto Obligado, a través del Director de Seguridad Pública Municipal, señaló que se adjunta la información solicitada, posteriormente, el Recurrente se inconformó por las siguientes razones:</w:t>
      </w:r>
    </w:p>
    <w:p w:rsidR="009A56B9" w:rsidRPr="00963E8F" w:rsidRDefault="009A56B9" w:rsidP="009A56B9">
      <w:pPr>
        <w:pStyle w:val="Prrafodelista"/>
        <w:rPr>
          <w:rFonts w:ascii="Palatino Linotype" w:eastAsia="Palatino Linotype" w:hAnsi="Palatino Linotype" w:cs="Palatino Linotype"/>
          <w:szCs w:val="22"/>
        </w:rPr>
      </w:pPr>
    </w:p>
    <w:p w:rsidR="00AB22AD" w:rsidRPr="00963E8F" w:rsidRDefault="009A56B9" w:rsidP="009A56B9">
      <w:pPr>
        <w:spacing w:line="360" w:lineRule="auto"/>
        <w:ind w:left="851" w:right="822"/>
        <w:jc w:val="both"/>
        <w:rPr>
          <w:rFonts w:ascii="Palatino Linotype" w:eastAsia="Palatino Linotype" w:hAnsi="Palatino Linotype" w:cs="Palatino Linotype"/>
          <w:i/>
          <w:sz w:val="22"/>
          <w:szCs w:val="22"/>
        </w:rPr>
      </w:pPr>
      <w:r w:rsidRPr="00963E8F">
        <w:rPr>
          <w:rFonts w:ascii="Palatino Linotype" w:hAnsi="Palatino Linotype"/>
          <w:i/>
          <w:color w:val="000000"/>
          <w:sz w:val="22"/>
          <w:szCs w:val="22"/>
        </w:rPr>
        <w:t xml:space="preserve">En la respuesta recibida vía Plataforma Nacional de Transparencia (PNT), el Sujeto Obligado entrega la información de manera incompleta y en un formato el cual no fue el solicitado. Lo anterior es así, debido a que se omite la información en su gran mayoría sobre las coordenadas geográficas de cada incidente reportado, además, la información se entrega en archivo .pdf cuando expresamente la requerí en formato abierto (xls o cvs) En virtud de tal respuesta, es mi deseo recurrir en este acto la </w:t>
      </w:r>
      <w:r w:rsidRPr="00963E8F">
        <w:rPr>
          <w:rFonts w:ascii="Palatino Linotype" w:hAnsi="Palatino Linotype"/>
          <w:i/>
          <w:color w:val="000000"/>
          <w:sz w:val="22"/>
          <w:szCs w:val="22"/>
        </w:rPr>
        <w:lastRenderedPageBreak/>
        <w:t xml:space="preserve">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w:t>
      </w:r>
      <w:r w:rsidRPr="00963E8F">
        <w:rPr>
          <w:rFonts w:ascii="Palatino Linotype" w:hAnsi="Palatino Linotype"/>
          <w:i/>
          <w:color w:val="000000"/>
          <w:sz w:val="22"/>
          <w:szCs w:val="22"/>
        </w:rPr>
        <w:lastRenderedPageBreak/>
        <w:t>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 (Sic)</w:t>
      </w:r>
    </w:p>
    <w:p w:rsidR="00AB22AD" w:rsidRPr="00963E8F" w:rsidRDefault="00AB22AD" w:rsidP="00AB22AD">
      <w:pPr>
        <w:pBdr>
          <w:top w:val="nil"/>
          <w:left w:val="nil"/>
          <w:bottom w:val="nil"/>
          <w:right w:val="nil"/>
          <w:between w:val="nil"/>
        </w:pBdr>
        <w:rPr>
          <w:rFonts w:ascii="Palatino Linotype" w:eastAsia="Palatino Linotype" w:hAnsi="Palatino Linotype" w:cs="Palatino Linotype"/>
          <w:color w:val="000000"/>
          <w:sz w:val="22"/>
          <w:szCs w:val="22"/>
        </w:rPr>
      </w:pPr>
    </w:p>
    <w:p w:rsidR="009A56B9" w:rsidRPr="00963E8F" w:rsidRDefault="009A56B9" w:rsidP="009A56B9">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 xml:space="preserve">Como se advierte, el Recurrente únicamente se inconformó por el tema de las coordenadas y del formato en el que entregó la información, es decir, </w:t>
      </w:r>
      <w:r w:rsidRPr="00963E8F">
        <w:rPr>
          <w:rFonts w:ascii="Palatino Linotype" w:eastAsia="MS Mincho" w:hAnsi="Palatino Linotype" w:cs="Arial"/>
          <w:sz w:val="22"/>
          <w:szCs w:val="22"/>
          <w:lang w:eastAsia="es-ES"/>
        </w:rPr>
        <w:t xml:space="preserve">que el Recurrente no se inconformó por la totalidad de la información solicitada;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9A56B9" w:rsidRPr="00963E8F" w:rsidRDefault="009A56B9" w:rsidP="009A56B9">
      <w:pPr>
        <w:pStyle w:val="Prrafodelista"/>
        <w:spacing w:before="240" w:after="240" w:line="360" w:lineRule="auto"/>
        <w:ind w:left="0" w:right="48"/>
        <w:jc w:val="both"/>
        <w:rPr>
          <w:rFonts w:ascii="Palatino Linotype" w:eastAsia="MS Mincho" w:hAnsi="Palatino Linotype" w:cs="Arial"/>
          <w:szCs w:val="22"/>
          <w:lang w:eastAsia="es-ES"/>
        </w:rPr>
      </w:pPr>
    </w:p>
    <w:p w:rsidR="009A56B9" w:rsidRPr="00963E8F" w:rsidRDefault="009A56B9" w:rsidP="009A56B9">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963E8F">
        <w:rPr>
          <w:rFonts w:ascii="Palatino Linotype" w:eastAsia="MS Mincho" w:hAnsi="Palatino Linotype" w:cs="Arial"/>
          <w:szCs w:val="22"/>
          <w:lang w:eastAsia="es-ES"/>
        </w:rPr>
        <w:t>Sirve de sustento, la tesis jurisprudencial número VI.3o.C. J/60, publicada en el Semanario Judicial de la Federación y su Gaceta bajo el número de registro 176,608 que a la letra dice:</w:t>
      </w:r>
    </w:p>
    <w:p w:rsidR="009A56B9" w:rsidRPr="00963E8F" w:rsidRDefault="009A56B9" w:rsidP="009A56B9">
      <w:pPr>
        <w:pStyle w:val="Prrafodelista"/>
        <w:spacing w:before="240" w:after="240" w:line="360" w:lineRule="auto"/>
        <w:ind w:left="0" w:right="48"/>
        <w:jc w:val="both"/>
        <w:rPr>
          <w:rFonts w:ascii="Palatino Linotype" w:eastAsia="MS Mincho" w:hAnsi="Palatino Linotype" w:cs="Arial"/>
          <w:szCs w:val="22"/>
          <w:lang w:eastAsia="es-ES"/>
        </w:rPr>
      </w:pPr>
    </w:p>
    <w:p w:rsidR="009A56B9" w:rsidRPr="00963E8F" w:rsidRDefault="009A56B9" w:rsidP="009A56B9">
      <w:pPr>
        <w:pStyle w:val="Prrafodelista"/>
        <w:spacing w:before="240" w:after="240" w:line="360" w:lineRule="auto"/>
        <w:ind w:left="851" w:right="822"/>
        <w:jc w:val="both"/>
        <w:rPr>
          <w:rFonts w:ascii="Palatino Linotype" w:eastAsia="MS Mincho" w:hAnsi="Palatino Linotype" w:cs="Arial"/>
          <w:i/>
          <w:szCs w:val="22"/>
          <w:lang w:eastAsia="es-ES"/>
        </w:rPr>
      </w:pPr>
      <w:r w:rsidRPr="00963E8F">
        <w:rPr>
          <w:rFonts w:ascii="Palatino Linotype" w:eastAsia="MS Mincho" w:hAnsi="Palatino Linotype" w:cs="Arial"/>
          <w:i/>
          <w:szCs w:val="22"/>
          <w:lang w:eastAsia="es-ES"/>
        </w:rPr>
        <w:t xml:space="preserve">“ACTOS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w:t>
      </w:r>
      <w:r w:rsidRPr="00963E8F">
        <w:rPr>
          <w:rFonts w:ascii="Palatino Linotype" w:eastAsia="MS Mincho" w:hAnsi="Palatino Linotype" w:cs="Arial"/>
          <w:i/>
          <w:szCs w:val="22"/>
          <w:lang w:eastAsia="es-ES"/>
        </w:rPr>
        <w:lastRenderedPageBreak/>
        <w:t>reclamado en amparo, lo que significa consentimiento del mismo por falta de impugnación eficaz.”</w:t>
      </w:r>
    </w:p>
    <w:p w:rsidR="009A56B9" w:rsidRPr="00963E8F" w:rsidRDefault="009A56B9" w:rsidP="009A56B9">
      <w:pPr>
        <w:pStyle w:val="Prrafodelista"/>
        <w:spacing w:before="240" w:after="240" w:line="360" w:lineRule="auto"/>
        <w:ind w:left="851" w:right="822"/>
        <w:jc w:val="both"/>
        <w:rPr>
          <w:rFonts w:ascii="Palatino Linotype" w:eastAsia="MS Mincho" w:hAnsi="Palatino Linotype" w:cs="Arial"/>
          <w:i/>
          <w:szCs w:val="22"/>
          <w:lang w:eastAsia="es-ES"/>
        </w:rPr>
      </w:pPr>
    </w:p>
    <w:p w:rsidR="009A56B9" w:rsidRPr="00963E8F" w:rsidRDefault="009A56B9" w:rsidP="009A56B9">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963E8F">
        <w:rPr>
          <w:rFonts w:ascii="Palatino Linotype" w:eastAsia="MS Mincho" w:hAnsi="Palatino Linotype" w:cs="Arial"/>
          <w:szCs w:val="22"/>
          <w:lang w:eastAsia="es-ES"/>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rsidR="009A56B9" w:rsidRPr="00963E8F" w:rsidRDefault="009A56B9" w:rsidP="009A56B9">
      <w:pPr>
        <w:pStyle w:val="Prrafodelista"/>
        <w:spacing w:before="240" w:after="240" w:line="360" w:lineRule="auto"/>
        <w:ind w:left="0" w:right="48"/>
        <w:jc w:val="both"/>
        <w:rPr>
          <w:rFonts w:ascii="Palatino Linotype" w:eastAsia="MS Mincho" w:hAnsi="Palatino Linotype" w:cs="Arial"/>
          <w:szCs w:val="22"/>
          <w:lang w:eastAsia="es-ES"/>
        </w:rPr>
      </w:pPr>
    </w:p>
    <w:p w:rsidR="009A56B9" w:rsidRPr="00963E8F" w:rsidRDefault="009A56B9" w:rsidP="009A56B9">
      <w:pPr>
        <w:pStyle w:val="Prrafodelista"/>
        <w:numPr>
          <w:ilvl w:val="0"/>
          <w:numId w:val="1"/>
        </w:numPr>
        <w:spacing w:before="240" w:after="240" w:line="360" w:lineRule="auto"/>
        <w:ind w:left="0" w:right="48" w:firstLine="0"/>
        <w:jc w:val="both"/>
        <w:rPr>
          <w:rFonts w:ascii="Palatino Linotype" w:eastAsia="MS Mincho" w:hAnsi="Palatino Linotype" w:cs="Arial"/>
          <w:szCs w:val="22"/>
          <w:lang w:eastAsia="es-ES"/>
        </w:rPr>
      </w:pPr>
      <w:r w:rsidRPr="00963E8F">
        <w:rPr>
          <w:rFonts w:ascii="Palatino Linotype" w:eastAsia="MS Mincho" w:hAnsi="Palatino Linotype" w:cs="Arial"/>
          <w:szCs w:val="22"/>
          <w:lang w:eastAsia="es-ES"/>
        </w:rPr>
        <w:t>Atento a ello, es importante traer a contexto la Tesis Jurisprudencial Número 3ª./J.7/91, Publicada en el Semanario Judicial de la Federación y su Gaceta bajo el número de registro 174,177, que establece lo siguiente:</w:t>
      </w:r>
    </w:p>
    <w:p w:rsidR="009A56B9" w:rsidRPr="00963E8F" w:rsidRDefault="009A56B9" w:rsidP="009A56B9">
      <w:pPr>
        <w:pStyle w:val="Prrafodelista"/>
        <w:spacing w:before="240" w:after="240" w:line="360" w:lineRule="auto"/>
        <w:ind w:left="0" w:right="48"/>
        <w:jc w:val="both"/>
        <w:rPr>
          <w:rFonts w:ascii="Palatino Linotype" w:eastAsia="MS Mincho" w:hAnsi="Palatino Linotype" w:cs="Arial"/>
          <w:szCs w:val="22"/>
          <w:lang w:eastAsia="es-ES"/>
        </w:rPr>
      </w:pPr>
    </w:p>
    <w:p w:rsidR="009A56B9" w:rsidRPr="00963E8F" w:rsidRDefault="009A56B9" w:rsidP="009A56B9">
      <w:pPr>
        <w:pStyle w:val="Prrafodelista"/>
        <w:spacing w:before="240" w:after="240" w:line="360" w:lineRule="auto"/>
        <w:ind w:left="851" w:right="822"/>
        <w:jc w:val="both"/>
        <w:rPr>
          <w:rFonts w:ascii="Palatino Linotype" w:eastAsia="MS Mincho" w:hAnsi="Palatino Linotype" w:cs="Arial"/>
          <w:i/>
          <w:szCs w:val="22"/>
          <w:lang w:eastAsia="es-ES"/>
        </w:rPr>
      </w:pPr>
      <w:r w:rsidRPr="00963E8F">
        <w:rPr>
          <w:rFonts w:ascii="Palatino Linotype" w:eastAsia="MS Mincho" w:hAnsi="Palatino Linotype" w:cs="Arial"/>
          <w:i/>
          <w:szCs w:val="22"/>
          <w:lang w:eastAsia="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9A56B9" w:rsidRPr="00963E8F" w:rsidRDefault="009A56B9" w:rsidP="009A56B9">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963E8F">
        <w:rPr>
          <w:rFonts w:ascii="Palatino Linotype" w:hAnsi="Palatino Linotype" w:cs="Tahoma"/>
          <w:bCs/>
          <w:sz w:val="22"/>
          <w:szCs w:val="22"/>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w:t>
      </w:r>
      <w:r w:rsidRPr="00963E8F">
        <w:rPr>
          <w:rFonts w:ascii="Palatino Linotype" w:hAnsi="Palatino Linotype" w:cs="Tahoma"/>
          <w:bCs/>
          <w:sz w:val="22"/>
          <w:szCs w:val="22"/>
          <w:lang w:eastAsia="es-ES"/>
        </w:rPr>
        <w:lastRenderedPageBreak/>
        <w:t xml:space="preserve">Recurrido, en respuesta. </w:t>
      </w:r>
      <w:r w:rsidRPr="00963E8F">
        <w:rPr>
          <w:rFonts w:ascii="Palatino Linotype" w:hAnsi="Palatino Linotype" w:cs="Tahoma"/>
          <w:bCs/>
          <w:iCs/>
          <w:sz w:val="22"/>
          <w:szCs w:val="22"/>
          <w:lang w:eastAsia="es-ES"/>
        </w:rPr>
        <w:t xml:space="preserve">En este contexto, se hará pronunciamiento, únicamente por el tema de las coordenadas y el formato en que se entregó. </w:t>
      </w:r>
    </w:p>
    <w:p w:rsidR="00A7785F" w:rsidRPr="00963E8F" w:rsidRDefault="00A7785F" w:rsidP="00A7785F">
      <w:pPr>
        <w:spacing w:line="360" w:lineRule="auto"/>
        <w:ind w:right="49"/>
        <w:contextualSpacing/>
        <w:jc w:val="both"/>
        <w:rPr>
          <w:rFonts w:ascii="Palatino Linotype" w:eastAsiaTheme="minorEastAsia" w:hAnsi="Palatino Linotype"/>
          <w:sz w:val="22"/>
          <w:szCs w:val="22"/>
          <w:lang w:val="es-ES_tradnl" w:eastAsia="es-ES"/>
        </w:rPr>
      </w:pPr>
    </w:p>
    <w:p w:rsidR="00A7785F" w:rsidRPr="00963E8F" w:rsidRDefault="00A7785F" w:rsidP="00A7785F">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963E8F">
        <w:rPr>
          <w:rFonts w:ascii="Palatino Linotype" w:eastAsiaTheme="minorEastAsia" w:hAnsi="Palatino Linotype"/>
          <w:sz w:val="22"/>
          <w:szCs w:val="22"/>
          <w:lang w:val="es-ES_tradnl" w:eastAsia="es-ES"/>
        </w:rPr>
        <w:t xml:space="preserve">Ahora bien, </w:t>
      </w:r>
      <w:r w:rsidRPr="00963E8F">
        <w:rPr>
          <w:rFonts w:ascii="Palatino Linotype" w:eastAsia="MS Mincho" w:hAnsi="Palatino Linotype"/>
          <w:sz w:val="22"/>
          <w:szCs w:val="22"/>
        </w:rPr>
        <w:t xml:space="preserve">debemos mencionar que el acceso a la información es un derecho humano constitucional y convencionalmente reconocido y para tal efecto </w:t>
      </w:r>
      <w:r w:rsidRPr="00963E8F">
        <w:rPr>
          <w:rFonts w:ascii="Palatino Linotype" w:eastAsia="Calibri" w:hAnsi="Palatino Linotype"/>
          <w:sz w:val="22"/>
          <w:szCs w:val="22"/>
          <w:lang w:val="es-ES"/>
        </w:rPr>
        <w:t xml:space="preserve">el párrafo tercero del artículo primero de la Constitución Política de los Estados Unidos Mexicanos establece que el deber de todas las autoridades, </w:t>
      </w:r>
      <w:r w:rsidRPr="00963E8F">
        <w:rPr>
          <w:rFonts w:ascii="Palatino Linotype" w:eastAsia="Calibri" w:hAnsi="Palatino Linotype"/>
          <w:i/>
          <w:sz w:val="22"/>
          <w:szCs w:val="22"/>
          <w:lang w:val="es-ES"/>
        </w:rPr>
        <w:t xml:space="preserve">en el ámbito de sus atribuciones, de promover, respetar, proteger y </w:t>
      </w:r>
      <w:r w:rsidRPr="00963E8F">
        <w:rPr>
          <w:rFonts w:ascii="Palatino Linotype" w:eastAsia="Calibri" w:hAnsi="Palatino Linotype"/>
          <w:b/>
          <w:i/>
          <w:sz w:val="22"/>
          <w:szCs w:val="22"/>
          <w:lang w:val="es-ES"/>
        </w:rPr>
        <w:t>garantizar</w:t>
      </w:r>
      <w:r w:rsidRPr="00963E8F">
        <w:rPr>
          <w:rFonts w:ascii="Palatino Linotype" w:eastAsia="Calibri" w:hAnsi="Palatino Linotype"/>
          <w:i/>
          <w:sz w:val="22"/>
          <w:szCs w:val="22"/>
          <w:lang w:val="es-ES"/>
        </w:rPr>
        <w:t xml:space="preserve"> los derechos humanos. </w:t>
      </w:r>
      <w:r w:rsidRPr="00963E8F">
        <w:rPr>
          <w:rFonts w:ascii="Palatino Linotype" w:eastAsia="Calibri" w:hAnsi="Palatino Linotype"/>
          <w:b/>
          <w:i/>
          <w:sz w:val="22"/>
          <w:szCs w:val="22"/>
          <w:lang w:val="es-ES"/>
        </w:rPr>
        <w:t>En cuanto al derecho de acceso a la información, la Ley de Transparencia y Acceso a la Información Pública del Estado de México y Municipios prevé establece que e</w:t>
      </w:r>
      <w:r w:rsidRPr="00963E8F">
        <w:rPr>
          <w:rFonts w:ascii="Palatino Linotype" w:hAnsi="Palatino Linotype"/>
          <w:i/>
          <w:sz w:val="22"/>
          <w:szCs w:val="22"/>
        </w:rPr>
        <w:t>l procedimiento de acceso a la información es la garantía primaria del derecho en cuestión y se rige por los principios de simplicidad, rapidez y gratuidad del procedimiento, auxilio y orientación a los particulares</w:t>
      </w:r>
      <w:r w:rsidRPr="00963E8F">
        <w:rPr>
          <w:rStyle w:val="Refdenotaalpie"/>
          <w:i/>
          <w:sz w:val="22"/>
          <w:szCs w:val="22"/>
        </w:rPr>
        <w:footnoteReference w:id="1"/>
      </w:r>
      <w:r w:rsidRPr="00963E8F">
        <w:rPr>
          <w:rFonts w:ascii="Palatino Linotype" w:hAnsi="Palatino Linotype"/>
          <w:i/>
          <w:sz w:val="22"/>
          <w:szCs w:val="22"/>
        </w:rPr>
        <w:t xml:space="preserve">, </w:t>
      </w:r>
      <w:r w:rsidRPr="00963E8F">
        <w:rPr>
          <w:rFonts w:ascii="Palatino Linotype" w:hAnsi="Palatino Linotype"/>
          <w:sz w:val="22"/>
          <w:szCs w:val="22"/>
        </w:rPr>
        <w:t>asimismo establece</w:t>
      </w:r>
      <w:r w:rsidRPr="00963E8F">
        <w:rPr>
          <w:rFonts w:ascii="Palatino Linotype" w:hAnsi="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A7785F" w:rsidRPr="00963E8F" w:rsidRDefault="00A7785F" w:rsidP="00A7785F">
      <w:pPr>
        <w:pStyle w:val="Prrafodelista"/>
        <w:rPr>
          <w:rFonts w:ascii="Palatino Linotype" w:eastAsia="Calibri" w:hAnsi="Palatino Linotype" w:cs="Arial"/>
          <w:szCs w:val="22"/>
        </w:rPr>
      </w:pPr>
    </w:p>
    <w:p w:rsidR="00A7785F" w:rsidRPr="00963E8F" w:rsidRDefault="00A7785F" w:rsidP="00A7785F">
      <w:pPr>
        <w:pStyle w:val="Prrafodelista"/>
        <w:numPr>
          <w:ilvl w:val="0"/>
          <w:numId w:val="1"/>
        </w:numPr>
        <w:spacing w:line="360" w:lineRule="auto"/>
        <w:ind w:left="0" w:firstLine="0"/>
        <w:jc w:val="both"/>
        <w:rPr>
          <w:rFonts w:ascii="Palatino Linotype" w:eastAsia="Calibri" w:hAnsi="Palatino Linotype" w:cs="Arial"/>
          <w:szCs w:val="22"/>
        </w:rPr>
      </w:pPr>
      <w:r w:rsidRPr="00963E8F">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A7785F" w:rsidRPr="00963E8F" w:rsidRDefault="00A7785F" w:rsidP="00A7785F">
      <w:pPr>
        <w:pStyle w:val="Prrafodelista"/>
        <w:rPr>
          <w:rFonts w:ascii="Palatino Linotype" w:hAnsi="Palatino Linotype"/>
          <w:szCs w:val="22"/>
        </w:rPr>
      </w:pPr>
    </w:p>
    <w:p w:rsidR="00A7785F" w:rsidRPr="00963E8F" w:rsidRDefault="00A7785F" w:rsidP="00A7785F">
      <w:pPr>
        <w:pStyle w:val="Prrafodelista"/>
        <w:numPr>
          <w:ilvl w:val="0"/>
          <w:numId w:val="1"/>
        </w:numPr>
        <w:spacing w:line="360" w:lineRule="auto"/>
        <w:ind w:left="0" w:firstLine="0"/>
        <w:jc w:val="both"/>
        <w:rPr>
          <w:rFonts w:ascii="Palatino Linotype" w:eastAsia="Calibri" w:hAnsi="Palatino Linotype" w:cs="Arial"/>
          <w:szCs w:val="22"/>
        </w:rPr>
      </w:pPr>
      <w:r w:rsidRPr="00963E8F">
        <w:rPr>
          <w:rFonts w:ascii="Palatino Linotype" w:hAnsi="Palatino Linotype"/>
          <w:szCs w:val="22"/>
        </w:rPr>
        <w:lastRenderedPageBreak/>
        <w:t xml:space="preserve">Es así que, su obligación es </w:t>
      </w:r>
      <w:r w:rsidRPr="00963E8F">
        <w:rPr>
          <w:rFonts w:ascii="Palatino Linotype" w:hAnsi="Palatino Linotype"/>
          <w:i/>
          <w:szCs w:val="22"/>
        </w:rPr>
        <w:t>realizar, con efectividad, los trámites internos necesarios para la atención de las solicitudes de información</w:t>
      </w:r>
      <w:r w:rsidRPr="00963E8F">
        <w:rPr>
          <w:rStyle w:val="Refdenotaalpie"/>
          <w:szCs w:val="22"/>
        </w:rPr>
        <w:footnoteReference w:id="2"/>
      </w:r>
      <w:r w:rsidRPr="00963E8F">
        <w:rPr>
          <w:rFonts w:ascii="Palatino Linotype" w:hAnsi="Palatino Linotype"/>
          <w:szCs w:val="22"/>
        </w:rPr>
        <w:t>, es decir, deben otorgar respuestas concisas, contundentes y sobre todo que den la certeza de los actos que realizan.</w:t>
      </w:r>
    </w:p>
    <w:p w:rsidR="00A7785F" w:rsidRPr="00963E8F" w:rsidRDefault="00A7785F" w:rsidP="00A7785F">
      <w:pPr>
        <w:pStyle w:val="Prrafodelista"/>
        <w:ind w:left="0"/>
        <w:rPr>
          <w:rFonts w:ascii="Palatino Linotype" w:eastAsia="Calibri" w:hAnsi="Palatino Linotype" w:cs="Arial"/>
          <w:szCs w:val="22"/>
        </w:rPr>
      </w:pPr>
    </w:p>
    <w:p w:rsidR="00A7785F" w:rsidRPr="00963E8F" w:rsidRDefault="00A7785F" w:rsidP="00A7785F">
      <w:pPr>
        <w:pStyle w:val="Prrafodelista"/>
        <w:numPr>
          <w:ilvl w:val="0"/>
          <w:numId w:val="1"/>
        </w:numPr>
        <w:spacing w:line="360" w:lineRule="auto"/>
        <w:ind w:left="0" w:firstLine="0"/>
        <w:jc w:val="both"/>
        <w:rPr>
          <w:rFonts w:ascii="Palatino Linotype" w:eastAsia="MS Mincho" w:hAnsi="Palatino Linotype"/>
          <w:szCs w:val="22"/>
        </w:rPr>
      </w:pPr>
      <w:r w:rsidRPr="00963E8F">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963E8F">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A7785F" w:rsidRPr="00963E8F" w:rsidRDefault="00A7785F" w:rsidP="00A7785F">
      <w:pPr>
        <w:spacing w:line="360" w:lineRule="auto"/>
        <w:jc w:val="both"/>
        <w:rPr>
          <w:rFonts w:ascii="Palatino Linotype" w:eastAsia="Arial Unicode MS" w:hAnsi="Palatino Linotype" w:cs="Arial"/>
          <w:sz w:val="22"/>
          <w:szCs w:val="22"/>
          <w:lang w:eastAsia="en-US"/>
        </w:rPr>
      </w:pP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i/>
          <w:iCs/>
          <w:sz w:val="22"/>
          <w:szCs w:val="22"/>
        </w:rPr>
        <w:t xml:space="preserve">Artículo 50. </w:t>
      </w:r>
      <w:r w:rsidRPr="00963E8F">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A7785F" w:rsidRPr="00963E8F" w:rsidRDefault="00A7785F" w:rsidP="00A7785F">
      <w:pPr>
        <w:ind w:left="567" w:right="616"/>
        <w:jc w:val="both"/>
        <w:rPr>
          <w:rFonts w:ascii="Palatino Linotype" w:eastAsia="Palatino Linotype" w:hAnsi="Palatino Linotype" w:cs="Palatino Linotype"/>
          <w:i/>
          <w:iCs/>
          <w:sz w:val="22"/>
          <w:szCs w:val="22"/>
        </w:rPr>
      </w:pP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i/>
          <w:iCs/>
          <w:sz w:val="22"/>
          <w:szCs w:val="22"/>
        </w:rPr>
        <w:t xml:space="preserve">Artículo 53. </w:t>
      </w:r>
      <w:r w:rsidRPr="00963E8F">
        <w:rPr>
          <w:rFonts w:ascii="Palatino Linotype" w:eastAsia="Palatino Linotype" w:hAnsi="Palatino Linotype" w:cs="Palatino Linotype"/>
          <w:i/>
          <w:iCs/>
          <w:sz w:val="22"/>
          <w:szCs w:val="22"/>
        </w:rPr>
        <w:t>Las Unidades de Transparencia tendrán las siguientes funciones:</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i/>
          <w:iCs/>
          <w:sz w:val="22"/>
          <w:szCs w:val="22"/>
        </w:rPr>
        <w:t>(…)</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bCs/>
          <w:i/>
          <w:iCs/>
          <w:sz w:val="22"/>
          <w:szCs w:val="22"/>
        </w:rPr>
        <w:t>II.</w:t>
      </w:r>
      <w:r w:rsidRPr="00963E8F">
        <w:rPr>
          <w:rFonts w:ascii="Palatino Linotype" w:eastAsia="Palatino Linotype" w:hAnsi="Palatino Linotype" w:cs="Palatino Linotype"/>
          <w:i/>
          <w:iCs/>
          <w:sz w:val="22"/>
          <w:szCs w:val="22"/>
        </w:rPr>
        <w:t xml:space="preserve"> Recibir, tramitar y dar respuesta a las solicitudes de acceso a la información;</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i/>
          <w:iCs/>
          <w:sz w:val="22"/>
          <w:szCs w:val="22"/>
        </w:rPr>
        <w:t>(…)</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bCs/>
          <w:i/>
          <w:iCs/>
          <w:sz w:val="22"/>
          <w:szCs w:val="22"/>
        </w:rPr>
        <w:t>IV.</w:t>
      </w:r>
      <w:r w:rsidRPr="00963E8F">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bCs/>
          <w:i/>
          <w:iCs/>
          <w:sz w:val="22"/>
          <w:szCs w:val="22"/>
        </w:rPr>
        <w:t>V.</w:t>
      </w:r>
      <w:r w:rsidRPr="00963E8F">
        <w:rPr>
          <w:rFonts w:ascii="Palatino Linotype" w:eastAsia="Palatino Linotype" w:hAnsi="Palatino Linotype" w:cs="Palatino Linotype"/>
          <w:i/>
          <w:iCs/>
          <w:sz w:val="22"/>
          <w:szCs w:val="22"/>
        </w:rPr>
        <w:t xml:space="preserve"> Entregar, en su caso, a los particulares la información solicitada;</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i/>
          <w:iCs/>
          <w:sz w:val="22"/>
          <w:szCs w:val="22"/>
        </w:rPr>
        <w:t>(…)</w:t>
      </w:r>
    </w:p>
    <w:p w:rsidR="00A7785F" w:rsidRPr="00963E8F" w:rsidRDefault="00A7785F" w:rsidP="00A7785F">
      <w:pPr>
        <w:ind w:left="567" w:right="616"/>
        <w:jc w:val="both"/>
        <w:rPr>
          <w:rFonts w:ascii="Palatino Linotype" w:eastAsia="Palatino Linotype" w:hAnsi="Palatino Linotype" w:cs="Palatino Linotype"/>
          <w:i/>
          <w:iCs/>
          <w:sz w:val="22"/>
          <w:szCs w:val="22"/>
        </w:rPr>
      </w:pP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i/>
          <w:iCs/>
          <w:sz w:val="22"/>
          <w:szCs w:val="22"/>
        </w:rPr>
        <w:t xml:space="preserve">Artículo 58. </w:t>
      </w:r>
      <w:r w:rsidRPr="00963E8F">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A7785F" w:rsidRPr="00963E8F" w:rsidRDefault="00A7785F" w:rsidP="00A7785F">
      <w:pPr>
        <w:ind w:left="567" w:right="616"/>
        <w:jc w:val="both"/>
        <w:rPr>
          <w:rFonts w:ascii="Palatino Linotype" w:eastAsia="Palatino Linotype" w:hAnsi="Palatino Linotype" w:cs="Palatino Linotype"/>
          <w:i/>
          <w:iCs/>
          <w:sz w:val="22"/>
          <w:szCs w:val="22"/>
        </w:rPr>
      </w:pP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i/>
          <w:iCs/>
          <w:sz w:val="22"/>
          <w:szCs w:val="22"/>
        </w:rPr>
        <w:t xml:space="preserve">Artículo 59. </w:t>
      </w:r>
      <w:r w:rsidRPr="00963E8F">
        <w:rPr>
          <w:rFonts w:ascii="Palatino Linotype" w:eastAsia="Palatino Linotype" w:hAnsi="Palatino Linotype" w:cs="Palatino Linotype"/>
          <w:i/>
          <w:iCs/>
          <w:sz w:val="22"/>
          <w:szCs w:val="22"/>
        </w:rPr>
        <w:t>Los servidores públicos habilitados tendrán las funciones siguientes:</w:t>
      </w:r>
    </w:p>
    <w:p w:rsidR="00A7785F" w:rsidRPr="00963E8F" w:rsidRDefault="00A7785F" w:rsidP="00A7785F">
      <w:pPr>
        <w:ind w:left="567" w:right="616"/>
        <w:jc w:val="both"/>
        <w:rPr>
          <w:rFonts w:ascii="Palatino Linotype" w:eastAsia="Palatino Linotype" w:hAnsi="Palatino Linotype" w:cs="Palatino Linotype"/>
          <w:i/>
          <w:iCs/>
          <w:sz w:val="22"/>
          <w:szCs w:val="22"/>
        </w:rPr>
      </w:pP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bCs/>
          <w:i/>
          <w:iCs/>
          <w:sz w:val="22"/>
          <w:szCs w:val="22"/>
        </w:rPr>
        <w:t>I.</w:t>
      </w:r>
      <w:r w:rsidRPr="00963E8F">
        <w:rPr>
          <w:rFonts w:ascii="Palatino Linotype" w:eastAsia="Palatino Linotype" w:hAnsi="Palatino Linotype" w:cs="Palatino Linotype"/>
          <w:i/>
          <w:iCs/>
          <w:sz w:val="22"/>
          <w:szCs w:val="22"/>
        </w:rPr>
        <w:t xml:space="preserve"> Localizar la información que le solicite la Unidad de Transparencia;</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bCs/>
          <w:i/>
          <w:iCs/>
          <w:sz w:val="22"/>
          <w:szCs w:val="22"/>
        </w:rPr>
        <w:t>II.</w:t>
      </w:r>
      <w:r w:rsidRPr="00963E8F">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i/>
          <w:iCs/>
          <w:sz w:val="22"/>
          <w:szCs w:val="22"/>
        </w:rPr>
        <w:t>(...)</w:t>
      </w:r>
    </w:p>
    <w:p w:rsidR="00A7785F" w:rsidRPr="00963E8F" w:rsidRDefault="00A7785F" w:rsidP="00A7785F">
      <w:pPr>
        <w:ind w:left="567" w:right="616"/>
        <w:jc w:val="both"/>
        <w:rPr>
          <w:rFonts w:ascii="Palatino Linotype" w:eastAsia="Palatino Linotype" w:hAnsi="Palatino Linotype" w:cs="Palatino Linotype"/>
          <w:i/>
          <w:iCs/>
          <w:sz w:val="22"/>
          <w:szCs w:val="22"/>
        </w:rPr>
      </w:pPr>
    </w:p>
    <w:p w:rsidR="00A7785F" w:rsidRPr="00963E8F" w:rsidRDefault="00A7785F" w:rsidP="00A7785F">
      <w:pPr>
        <w:ind w:left="567" w:right="616"/>
        <w:jc w:val="both"/>
        <w:rPr>
          <w:rFonts w:ascii="Palatino Linotype" w:eastAsia="Palatino Linotype" w:hAnsi="Palatino Linotype" w:cs="Palatino Linotype"/>
          <w:i/>
          <w:iCs/>
          <w:sz w:val="22"/>
          <w:szCs w:val="22"/>
        </w:rPr>
      </w:pPr>
      <w:r w:rsidRPr="00963E8F">
        <w:rPr>
          <w:rFonts w:ascii="Palatino Linotype" w:eastAsia="Palatino Linotype" w:hAnsi="Palatino Linotype" w:cs="Palatino Linotype"/>
          <w:b/>
          <w:i/>
          <w:iCs/>
          <w:sz w:val="22"/>
          <w:szCs w:val="22"/>
        </w:rPr>
        <w:t xml:space="preserve">Artículo 162. </w:t>
      </w:r>
      <w:r w:rsidRPr="00963E8F">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A7785F" w:rsidRPr="00963E8F" w:rsidRDefault="00A7785F" w:rsidP="00A7785F">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963E8F">
        <w:rPr>
          <w:rFonts w:ascii="Palatino Linotype" w:eastAsia="Palatino Linotype" w:hAnsi="Palatino Linotype" w:cs="Palatino Linotype"/>
          <w:szCs w:val="22"/>
        </w:rPr>
        <w:lastRenderedPageBreak/>
        <w:t xml:space="preserve">De los artículos citados se desprende que las Unidades de Transparencia de los sujetos obligados son las encargadas de tramitar internamente </w:t>
      </w:r>
      <w:r w:rsidRPr="00963E8F">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A7785F" w:rsidRPr="00963E8F" w:rsidRDefault="00A7785F" w:rsidP="00A7785F">
      <w:pPr>
        <w:pStyle w:val="Prrafodelista"/>
        <w:spacing w:line="360" w:lineRule="auto"/>
        <w:ind w:left="0"/>
        <w:jc w:val="both"/>
        <w:rPr>
          <w:rFonts w:ascii="Palatino Linotype" w:eastAsia="Arial Unicode MS" w:hAnsi="Palatino Linotype" w:cs="Arial"/>
          <w:szCs w:val="22"/>
          <w:lang w:eastAsia="en-US"/>
        </w:rPr>
      </w:pPr>
    </w:p>
    <w:p w:rsidR="00A7785F" w:rsidRPr="00963E8F" w:rsidRDefault="00A7785F" w:rsidP="008008B5">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963E8F">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r w:rsidR="008008B5" w:rsidRPr="00963E8F">
        <w:rPr>
          <w:rFonts w:ascii="Palatino Linotype" w:eastAsia="Arial Unicode MS" w:hAnsi="Palatino Linotype" w:cs="Arial"/>
          <w:szCs w:val="22"/>
          <w:lang w:eastAsia="en-US"/>
        </w:rPr>
        <w:t xml:space="preserve"> </w:t>
      </w:r>
      <w:r w:rsidRPr="00963E8F">
        <w:rPr>
          <w:rFonts w:ascii="Palatino Linotype" w:eastAsia="Arial Unicode MS" w:hAnsi="Palatino Linotype" w:cs="Arial"/>
          <w:szCs w:val="22"/>
          <w:lang w:eastAsia="en-US"/>
        </w:rPr>
        <w:t xml:space="preserve">En el caso que se resuelve, quien da respuesta a la solicitud es el Director de </w:t>
      </w:r>
      <w:r w:rsidR="008008B5" w:rsidRPr="00963E8F">
        <w:rPr>
          <w:rFonts w:ascii="Palatino Linotype" w:eastAsia="Arial Unicode MS" w:hAnsi="Palatino Linotype" w:cs="Arial"/>
          <w:szCs w:val="22"/>
          <w:lang w:eastAsia="en-US"/>
        </w:rPr>
        <w:t>Seguridad Pública Municipal</w:t>
      </w:r>
      <w:r w:rsidRPr="00963E8F">
        <w:rPr>
          <w:rFonts w:ascii="Palatino Linotype" w:eastAsia="Arial Unicode MS" w:hAnsi="Palatino Linotype" w:cs="Arial"/>
          <w:szCs w:val="22"/>
          <w:lang w:eastAsia="en-US"/>
        </w:rPr>
        <w:t xml:space="preserve">, que de acuerdo al </w:t>
      </w:r>
      <w:r w:rsidR="008008B5" w:rsidRPr="00963E8F">
        <w:rPr>
          <w:rFonts w:ascii="Palatino Linotype" w:eastAsia="Arial Unicode MS" w:hAnsi="Palatino Linotype" w:cs="Arial"/>
          <w:szCs w:val="22"/>
          <w:lang w:eastAsia="en-US"/>
        </w:rPr>
        <w:t>artículo 58 del Bando Municipal de Polotitlán tiene como objeto de asegurar el pleno goce de las garantías individuales y sociales, salvaguardando la integridad física y patrimonial de la población, la paz, tranquilidad y el orden público, así como prevenir la comisión de delitos y la violación a las leyes.</w:t>
      </w:r>
    </w:p>
    <w:p w:rsidR="008008B5" w:rsidRPr="00963E8F" w:rsidRDefault="008008B5" w:rsidP="008008B5">
      <w:pPr>
        <w:pStyle w:val="Prrafodelista"/>
        <w:rPr>
          <w:rFonts w:ascii="Palatino Linotype" w:eastAsia="Arial Unicode MS" w:hAnsi="Palatino Linotype" w:cs="Arial"/>
          <w:szCs w:val="22"/>
          <w:lang w:eastAsia="en-US"/>
        </w:rPr>
      </w:pPr>
    </w:p>
    <w:p w:rsidR="008008B5" w:rsidRPr="00963E8F" w:rsidRDefault="008008B5" w:rsidP="008008B5">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963E8F">
        <w:rPr>
          <w:rFonts w:ascii="Palatino Linotype" w:eastAsia="Arial Unicode MS" w:hAnsi="Palatino Linotype" w:cs="Arial"/>
          <w:szCs w:val="22"/>
          <w:lang w:eastAsia="en-US"/>
        </w:rPr>
        <w:t xml:space="preserve">En este caso, se puede concluir que la respuesta fue entregada por el servidor público con atribuciones para generar, poseer y administrar la información solicitada, es decir, que se dio cumplimiento al proceso de búsqueda establecido en la legislación aplicable. </w:t>
      </w:r>
    </w:p>
    <w:p w:rsidR="009A56B9" w:rsidRPr="00963E8F" w:rsidRDefault="009A56B9" w:rsidP="008008B5">
      <w:pPr>
        <w:spacing w:line="360" w:lineRule="auto"/>
        <w:ind w:right="49"/>
        <w:contextualSpacing/>
        <w:jc w:val="both"/>
        <w:rPr>
          <w:rFonts w:ascii="Palatino Linotype" w:eastAsiaTheme="minorEastAsia" w:hAnsi="Palatino Linotype"/>
          <w:sz w:val="22"/>
          <w:szCs w:val="22"/>
          <w:lang w:val="es-ES_tradnl" w:eastAsia="es-ES"/>
        </w:rPr>
      </w:pPr>
    </w:p>
    <w:p w:rsidR="000C7C70" w:rsidRPr="00963E8F" w:rsidRDefault="000C7C70" w:rsidP="000C7C70">
      <w:pPr>
        <w:pStyle w:val="Prrafodelista"/>
        <w:numPr>
          <w:ilvl w:val="0"/>
          <w:numId w:val="1"/>
        </w:numPr>
        <w:spacing w:line="360" w:lineRule="auto"/>
        <w:ind w:left="0" w:firstLine="0"/>
        <w:jc w:val="both"/>
        <w:rPr>
          <w:rFonts w:ascii="Palatino Linotype" w:hAnsi="Palatino Linotype" w:cs="Arial"/>
          <w:bCs/>
          <w:szCs w:val="22"/>
        </w:rPr>
      </w:pPr>
      <w:r w:rsidRPr="00963E8F">
        <w:rPr>
          <w:rFonts w:ascii="Palatino Linotype" w:hAnsi="Palatino Linotype" w:cs="Arial"/>
          <w:bCs/>
          <w:szCs w:val="22"/>
        </w:rPr>
        <w:t xml:space="preserve">Por otro lado, respecto a las coordenadas, </w:t>
      </w:r>
      <w:r w:rsidRPr="00963E8F">
        <w:rPr>
          <w:rFonts w:ascii="Palatino Linotype" w:eastAsia="MS Gothic" w:hAnsi="Palatino Linotype" w:cstheme="majorBidi"/>
          <w:szCs w:val="22"/>
          <w:lang w:val="es-ES_tradnl" w:eastAsia="es-ES"/>
        </w:rPr>
        <w:t xml:space="preserve">debemos señalar que dar a conocerlas </w:t>
      </w:r>
      <w:r w:rsidRPr="00963E8F">
        <w:rPr>
          <w:rFonts w:ascii="Palatino Linotype" w:eastAsia="MS Gothic" w:hAnsi="Palatino Linotype" w:cstheme="majorBidi"/>
          <w:szCs w:val="22"/>
          <w:lang w:val="es-ES" w:eastAsia="es-ES"/>
        </w:rPr>
        <w:t xml:space="preserve">permitiría identificar el lugar específico de la posible comisión de un delito y en el caso de que </w:t>
      </w:r>
      <w:r w:rsidRPr="00963E8F">
        <w:rPr>
          <w:rFonts w:ascii="Palatino Linotype" w:eastAsia="MS Gothic" w:hAnsi="Palatino Linotype" w:cstheme="majorBidi"/>
          <w:szCs w:val="22"/>
          <w:lang w:val="es-ES" w:eastAsia="es-ES"/>
        </w:rPr>
        <w:lastRenderedPageBreak/>
        <w:t>dicho sitio sea un domicilio particular, la información actualiza la causal de confidencialidad, por tratarse de datos personales ya que se hace identificable la viv</w:t>
      </w:r>
      <w:r w:rsidR="00DC46A2" w:rsidRPr="00963E8F">
        <w:rPr>
          <w:rFonts w:ascii="Palatino Linotype" w:eastAsia="MS Gothic" w:hAnsi="Palatino Linotype" w:cstheme="majorBidi"/>
          <w:szCs w:val="22"/>
          <w:lang w:val="es-ES" w:eastAsia="es-ES"/>
        </w:rPr>
        <w:t>ienda de una o varias personas.</w:t>
      </w:r>
    </w:p>
    <w:p w:rsidR="000C7C70" w:rsidRPr="00963E8F" w:rsidRDefault="000C7C70" w:rsidP="000C7C70">
      <w:pPr>
        <w:pStyle w:val="Prrafodelista"/>
        <w:rPr>
          <w:rFonts w:ascii="Palatino Linotype" w:hAnsi="Palatino Linotype" w:cs="Arial"/>
          <w:bCs/>
          <w:szCs w:val="22"/>
        </w:rPr>
      </w:pPr>
    </w:p>
    <w:p w:rsidR="00A7785F" w:rsidRPr="00963E8F" w:rsidRDefault="000C7C70" w:rsidP="000C7C70">
      <w:pPr>
        <w:pStyle w:val="Prrafodelista"/>
        <w:numPr>
          <w:ilvl w:val="0"/>
          <w:numId w:val="1"/>
        </w:numPr>
        <w:spacing w:line="360" w:lineRule="auto"/>
        <w:ind w:left="0" w:firstLine="0"/>
        <w:jc w:val="both"/>
        <w:rPr>
          <w:rFonts w:ascii="Palatino Linotype" w:hAnsi="Palatino Linotype" w:cs="Arial"/>
          <w:bCs/>
          <w:szCs w:val="22"/>
        </w:rPr>
      </w:pPr>
      <w:r w:rsidRPr="00963E8F">
        <w:rPr>
          <w:rFonts w:ascii="Palatino Linotype" w:hAnsi="Palatino Linotype" w:cs="Arial"/>
          <w:bCs/>
          <w:szCs w:val="22"/>
        </w:rPr>
        <w:t xml:space="preserve">En el caso concreto, podemos advertir que en la respuesta del Sujeto Obligado si se aprecia una columna que refiere el tema de las coordenadas, </w:t>
      </w:r>
      <w:r w:rsidR="00A7785F" w:rsidRPr="00963E8F">
        <w:rPr>
          <w:rFonts w:ascii="Palatino Linotype" w:hAnsi="Palatino Linotype" w:cs="Arial"/>
          <w:bCs/>
          <w:szCs w:val="22"/>
        </w:rPr>
        <w:t>que</w:t>
      </w:r>
      <w:r w:rsidRPr="00963E8F">
        <w:rPr>
          <w:rFonts w:ascii="Palatino Linotype" w:hAnsi="Palatino Linotype" w:cs="Arial"/>
          <w:bCs/>
          <w:szCs w:val="22"/>
        </w:rPr>
        <w:t xml:space="preserve"> si bien, e</w:t>
      </w:r>
      <w:r w:rsidR="00A7785F" w:rsidRPr="00963E8F">
        <w:rPr>
          <w:rFonts w:ascii="Palatino Linotype" w:hAnsi="Palatino Linotype" w:cs="Arial"/>
          <w:bCs/>
          <w:szCs w:val="22"/>
        </w:rPr>
        <w:t>n</w:t>
      </w:r>
      <w:r w:rsidRPr="00963E8F">
        <w:rPr>
          <w:rFonts w:ascii="Palatino Linotype" w:hAnsi="Palatino Linotype" w:cs="Arial"/>
          <w:bCs/>
          <w:szCs w:val="22"/>
        </w:rPr>
        <w:t xml:space="preserve"> su mayoría refirió que no aplica, si </w:t>
      </w:r>
      <w:r w:rsidR="00A7785F" w:rsidRPr="00963E8F">
        <w:rPr>
          <w:rFonts w:ascii="Palatino Linotype" w:hAnsi="Palatino Linotype" w:cs="Arial"/>
          <w:bCs/>
          <w:szCs w:val="22"/>
        </w:rPr>
        <w:t xml:space="preserve">entregó las coordenadas de una de las faltas, es decir, que entregó información clasificada como confidencial. </w:t>
      </w:r>
    </w:p>
    <w:p w:rsidR="008008B5" w:rsidRPr="00963E8F" w:rsidRDefault="008008B5" w:rsidP="008008B5">
      <w:pPr>
        <w:pStyle w:val="Prrafodelista"/>
        <w:rPr>
          <w:rFonts w:ascii="Palatino Linotype" w:hAnsi="Palatino Linotype" w:cs="Arial"/>
          <w:bCs/>
          <w:szCs w:val="22"/>
        </w:rPr>
      </w:pPr>
    </w:p>
    <w:p w:rsidR="008008B5" w:rsidRPr="00963E8F" w:rsidRDefault="008008B5" w:rsidP="008008B5">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hAnsi="Palatino Linotype" w:cs="Arial"/>
          <w:bCs/>
          <w:sz w:val="22"/>
          <w:szCs w:val="22"/>
        </w:rPr>
        <w:t>Por otro lado, se aprecia que el Sujeto Obligado a través de un cuadro que presente diversos rubros que informan sobre la información requerida, es decir, un documento que se realizó para atender la solicitud; por ello conviene traer  a contexto el artículo 12 de la ley de la materia que señala:</w:t>
      </w:r>
    </w:p>
    <w:p w:rsidR="008008B5" w:rsidRPr="00963E8F" w:rsidRDefault="008008B5" w:rsidP="008008B5">
      <w:pPr>
        <w:pStyle w:val="Prrafodelista"/>
        <w:spacing w:line="360" w:lineRule="auto"/>
        <w:ind w:left="0"/>
        <w:jc w:val="both"/>
        <w:rPr>
          <w:rFonts w:ascii="Palatino Linotype" w:hAnsi="Palatino Linotype" w:cs="Arial"/>
          <w:bCs/>
          <w:szCs w:val="22"/>
        </w:rPr>
      </w:pPr>
    </w:p>
    <w:p w:rsidR="008008B5" w:rsidRPr="00963E8F" w:rsidRDefault="008008B5" w:rsidP="008008B5">
      <w:pPr>
        <w:pStyle w:val="Prrafodelista"/>
        <w:spacing w:line="360" w:lineRule="auto"/>
        <w:ind w:right="822"/>
        <w:jc w:val="both"/>
        <w:rPr>
          <w:rFonts w:ascii="Palatino Linotype" w:hAnsi="Palatino Linotype" w:cs="Arial"/>
          <w:bCs/>
          <w:i/>
          <w:szCs w:val="22"/>
        </w:rPr>
      </w:pPr>
      <w:r w:rsidRPr="00963E8F">
        <w:rPr>
          <w:rFonts w:ascii="Palatino Linotype" w:hAnsi="Palatino Linotype" w:cs="Arial"/>
          <w:b/>
          <w:bCs/>
          <w:i/>
          <w:szCs w:val="22"/>
        </w:rPr>
        <w:t xml:space="preserve">“Artículo 12. </w:t>
      </w:r>
      <w:r w:rsidRPr="00963E8F">
        <w:rPr>
          <w:rFonts w:ascii="Palatino Linotype" w:hAnsi="Palatino Linotype" w:cs="Arial"/>
          <w:bCs/>
          <w:i/>
          <w:szCs w:val="22"/>
        </w:rPr>
        <w:t>Quienes generen, recopilen, administren, manejen, procesen, archiven o conserven información pública serán responsables de la misma en los términos de las disposiciones jurídicas aplicables.</w:t>
      </w:r>
    </w:p>
    <w:p w:rsidR="008008B5" w:rsidRPr="00963E8F" w:rsidRDefault="008008B5" w:rsidP="008008B5">
      <w:pPr>
        <w:pStyle w:val="Prrafodelista"/>
        <w:spacing w:line="360" w:lineRule="auto"/>
        <w:ind w:right="822"/>
        <w:jc w:val="both"/>
        <w:rPr>
          <w:rFonts w:ascii="Palatino Linotype" w:hAnsi="Palatino Linotype" w:cs="Arial"/>
          <w:bCs/>
          <w:i/>
          <w:szCs w:val="22"/>
        </w:rPr>
      </w:pPr>
    </w:p>
    <w:p w:rsidR="008008B5" w:rsidRPr="00963E8F" w:rsidRDefault="008008B5" w:rsidP="008008B5">
      <w:pPr>
        <w:pStyle w:val="Prrafodelista"/>
        <w:spacing w:line="360" w:lineRule="auto"/>
        <w:ind w:right="822"/>
        <w:jc w:val="both"/>
        <w:rPr>
          <w:rFonts w:ascii="Palatino Linotype" w:hAnsi="Palatino Linotype" w:cs="Arial"/>
          <w:bCs/>
          <w:i/>
          <w:szCs w:val="22"/>
        </w:rPr>
      </w:pPr>
      <w:r w:rsidRPr="00963E8F">
        <w:rPr>
          <w:rFonts w:ascii="Palatino Linotype" w:hAnsi="Palatino Linotype" w:cs="Arial"/>
          <w:bCs/>
          <w:i/>
          <w:szCs w:val="22"/>
        </w:rPr>
        <w:t xml:space="preserve">Los sujetos obligados </w:t>
      </w:r>
      <w:r w:rsidRPr="00963E8F">
        <w:rPr>
          <w:rFonts w:ascii="Palatino Linotype" w:hAnsi="Palatino Linotype" w:cs="Arial"/>
          <w:b/>
          <w:bCs/>
          <w:i/>
          <w:szCs w:val="22"/>
        </w:rPr>
        <w:t>sólo proporcionarán la información pública que se les requiera y que obre en sus archivos</w:t>
      </w:r>
      <w:r w:rsidRPr="00963E8F">
        <w:rPr>
          <w:rFonts w:ascii="Palatino Linotype" w:hAnsi="Palatino Linotype" w:cs="Arial"/>
          <w:bCs/>
          <w:i/>
          <w:szCs w:val="22"/>
        </w:rPr>
        <w:t xml:space="preserve"> </w:t>
      </w:r>
      <w:r w:rsidRPr="00963E8F">
        <w:rPr>
          <w:rFonts w:ascii="Palatino Linotype" w:hAnsi="Palatino Linotype" w:cs="Arial"/>
          <w:b/>
          <w:bCs/>
          <w:i/>
          <w:szCs w:val="22"/>
        </w:rPr>
        <w:t xml:space="preserve">y en el </w:t>
      </w:r>
      <w:r w:rsidRPr="00963E8F">
        <w:rPr>
          <w:rFonts w:ascii="Palatino Linotype" w:hAnsi="Palatino Linotype" w:cs="Arial"/>
          <w:b/>
          <w:bCs/>
          <w:i/>
          <w:szCs w:val="22"/>
          <w:u w:val="single"/>
        </w:rPr>
        <w:t>estado en que ésta se encuentre.</w:t>
      </w:r>
      <w:r w:rsidRPr="00963E8F">
        <w:rPr>
          <w:rFonts w:ascii="Palatino Linotype" w:hAnsi="Palatino Linotype" w:cs="Arial"/>
          <w:bCs/>
          <w:i/>
          <w:szCs w:val="22"/>
        </w:rPr>
        <w:t xml:space="preserve"> La obligación de proporcionar información </w:t>
      </w:r>
      <w:r w:rsidRPr="00963E8F">
        <w:rPr>
          <w:rFonts w:ascii="Palatino Linotype" w:hAnsi="Palatino Linotype" w:cs="Arial"/>
          <w:b/>
          <w:bCs/>
          <w:i/>
          <w:szCs w:val="22"/>
        </w:rPr>
        <w:t>no comprende</w:t>
      </w:r>
      <w:r w:rsidRPr="00963E8F">
        <w:rPr>
          <w:rFonts w:ascii="Palatino Linotype" w:hAnsi="Palatino Linotype" w:cs="Arial"/>
          <w:bCs/>
          <w:i/>
          <w:szCs w:val="22"/>
        </w:rPr>
        <w:t xml:space="preserve"> el procesamiento de la misma, ni el presentarla conforme al interés del solicitante; no estarán obligados a generarla, resumirla, efectuar cálculos o práctica investigaciones.”</w:t>
      </w:r>
    </w:p>
    <w:p w:rsidR="008008B5" w:rsidRPr="00963E8F" w:rsidRDefault="008008B5" w:rsidP="008008B5">
      <w:pPr>
        <w:spacing w:line="360" w:lineRule="auto"/>
        <w:jc w:val="both"/>
        <w:rPr>
          <w:rFonts w:ascii="Palatino Linotype" w:hAnsi="Palatino Linotype" w:cs="Arial"/>
          <w:bCs/>
          <w:sz w:val="22"/>
          <w:szCs w:val="22"/>
        </w:rPr>
      </w:pPr>
    </w:p>
    <w:p w:rsidR="008008B5" w:rsidRPr="00963E8F" w:rsidRDefault="008008B5" w:rsidP="008008B5">
      <w:pPr>
        <w:pStyle w:val="Prrafodelista"/>
        <w:numPr>
          <w:ilvl w:val="0"/>
          <w:numId w:val="1"/>
        </w:numPr>
        <w:spacing w:line="360" w:lineRule="auto"/>
        <w:ind w:left="0" w:firstLine="0"/>
        <w:jc w:val="both"/>
        <w:rPr>
          <w:rFonts w:ascii="Palatino Linotype" w:hAnsi="Palatino Linotype" w:cs="Arial"/>
          <w:bCs/>
          <w:szCs w:val="22"/>
        </w:rPr>
      </w:pPr>
      <w:r w:rsidRPr="00963E8F">
        <w:rPr>
          <w:rFonts w:ascii="Palatino Linotype" w:hAnsi="Palatino Linotype" w:cs="Arial"/>
          <w:bCs/>
          <w:szCs w:val="22"/>
        </w:rPr>
        <w:t xml:space="preserve">Se señala que no están obligados a procesar, ni presentarla conforme al interés del solicitante, resumirla, efectuar cálculos o generar nuevos documentos para atender una solicitud, la ley tampoco lo prohíbe, es decir, los Sujetos Obligados pueden adoptar como </w:t>
      </w:r>
      <w:r w:rsidRPr="00963E8F">
        <w:rPr>
          <w:rFonts w:ascii="Palatino Linotype" w:hAnsi="Palatino Linotype" w:cs="Arial"/>
          <w:bCs/>
          <w:szCs w:val="22"/>
        </w:rPr>
        <w:lastRenderedPageBreak/>
        <w:t>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ad hoc, puede llevar a cabo siempre y cuando se haga garantice el derecho.</w:t>
      </w:r>
    </w:p>
    <w:p w:rsidR="008008B5" w:rsidRPr="00963E8F" w:rsidRDefault="008008B5" w:rsidP="008008B5">
      <w:pPr>
        <w:pStyle w:val="Prrafodelista"/>
        <w:spacing w:line="360" w:lineRule="auto"/>
        <w:ind w:left="0"/>
        <w:jc w:val="both"/>
        <w:rPr>
          <w:rFonts w:ascii="Palatino Linotype" w:hAnsi="Palatino Linotype" w:cs="Arial"/>
          <w:bCs/>
          <w:szCs w:val="22"/>
        </w:rPr>
      </w:pPr>
    </w:p>
    <w:p w:rsidR="008008B5" w:rsidRPr="00963E8F" w:rsidRDefault="008008B5" w:rsidP="008008B5">
      <w:pPr>
        <w:pStyle w:val="Prrafodelista"/>
        <w:numPr>
          <w:ilvl w:val="0"/>
          <w:numId w:val="1"/>
        </w:numPr>
        <w:spacing w:line="360" w:lineRule="auto"/>
        <w:ind w:left="0" w:firstLine="0"/>
        <w:jc w:val="both"/>
        <w:rPr>
          <w:rFonts w:ascii="Palatino Linotype" w:hAnsi="Palatino Linotype" w:cs="Arial"/>
          <w:bCs/>
          <w:szCs w:val="22"/>
        </w:rPr>
      </w:pPr>
      <w:r w:rsidRPr="00963E8F">
        <w:rPr>
          <w:rFonts w:ascii="Palatino Linotype" w:hAnsi="Palatino Linotype" w:cs="Arial"/>
          <w:bCs/>
          <w:szCs w:val="22"/>
        </w:rPr>
        <w:t xml:space="preserve">Y bajo la óptica de que este órgano garante no puede dudar de la veracidad de la información que se proporcione, aquellos datos que se informen no serán sujetos a dudar de los mismos, por lo que, este Órgano Garante determina que con la información entregada en respuesta, se puede tener por colmado el derecho de acceso a la información del particular. </w:t>
      </w:r>
    </w:p>
    <w:p w:rsidR="008008B5" w:rsidRPr="00963E8F" w:rsidRDefault="008008B5" w:rsidP="008008B5">
      <w:pPr>
        <w:pStyle w:val="Prrafodelista"/>
        <w:spacing w:line="360" w:lineRule="auto"/>
        <w:ind w:left="0"/>
        <w:jc w:val="both"/>
        <w:rPr>
          <w:rFonts w:ascii="Palatino Linotype" w:hAnsi="Palatino Linotype" w:cs="Arial"/>
          <w:bCs/>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color w:val="000000"/>
          <w:sz w:val="22"/>
          <w:szCs w:val="22"/>
        </w:rPr>
        <w:t xml:space="preserve">En síntesis, </w:t>
      </w:r>
      <w:r w:rsidRPr="00963E8F">
        <w:rPr>
          <w:rFonts w:ascii="Palatino Linotype" w:eastAsia="Palatino Linotype" w:hAnsi="Palatino Linotype" w:cs="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sz w:val="22"/>
          <w:szCs w:val="22"/>
        </w:rPr>
        <w:t xml:space="preserve">Como apoyo a lo anterior, es aplicable el Criterio 03-17, emitido por el Instituto Nacional de Transparencia, Acceso a la Información y Protección de Datos Personales, que dice: </w:t>
      </w:r>
    </w:p>
    <w:p w:rsidR="00AB22AD" w:rsidRPr="00963E8F" w:rsidRDefault="00AB22AD" w:rsidP="00AB22AD">
      <w:pPr>
        <w:spacing w:line="360" w:lineRule="auto"/>
        <w:ind w:right="1"/>
        <w:jc w:val="both"/>
        <w:rPr>
          <w:rFonts w:ascii="Palatino Linotype" w:eastAsia="Palatino Linotype" w:hAnsi="Palatino Linotype" w:cs="Palatino Linotype"/>
          <w:color w:val="000000"/>
          <w:sz w:val="22"/>
          <w:szCs w:val="22"/>
        </w:rPr>
      </w:pPr>
    </w:p>
    <w:p w:rsidR="00AB22AD" w:rsidRPr="00963E8F" w:rsidRDefault="00AB22AD" w:rsidP="00AB22AD">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963E8F">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963E8F">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w:t>
      </w:r>
      <w:r w:rsidRPr="00963E8F">
        <w:rPr>
          <w:rFonts w:ascii="Palatino Linotype" w:eastAsia="Palatino Linotype" w:hAnsi="Palatino Linotype" w:cs="Palatino Linotype"/>
          <w:i/>
          <w:color w:val="000000"/>
          <w:sz w:val="22"/>
          <w:szCs w:val="22"/>
        </w:rPr>
        <w:lastRenderedPageBreak/>
        <w:t xml:space="preserve">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AB22AD" w:rsidRPr="00963E8F" w:rsidRDefault="00AB22AD" w:rsidP="00AB22AD">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p>
    <w:p w:rsidR="00AB22AD" w:rsidRPr="00963E8F" w:rsidRDefault="00AB22AD" w:rsidP="00AB22AD">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963E8F">
        <w:rPr>
          <w:rFonts w:ascii="Palatino Linotype" w:eastAsia="Palatino Linotype" w:hAnsi="Palatino Linotype" w:cs="Palatino Linotype"/>
          <w:i/>
          <w:color w:val="000000"/>
          <w:sz w:val="22"/>
          <w:szCs w:val="22"/>
        </w:rPr>
        <w:t xml:space="preserve">Resoluciones: </w:t>
      </w:r>
    </w:p>
    <w:p w:rsidR="00AB22AD" w:rsidRPr="00963E8F" w:rsidRDefault="00AB22AD" w:rsidP="00AB22AD">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963E8F">
        <w:rPr>
          <w:rFonts w:ascii="Palatino Linotype" w:eastAsia="Symbol" w:hAnsi="Palatino Linotype" w:cs="Symbol"/>
          <w:i/>
          <w:color w:val="000000"/>
          <w:sz w:val="22"/>
          <w:szCs w:val="22"/>
        </w:rPr>
        <w:t>∙</w:t>
      </w:r>
      <w:r w:rsidRPr="00963E8F">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 </w:t>
      </w:r>
    </w:p>
    <w:p w:rsidR="00AB22AD" w:rsidRPr="00963E8F" w:rsidRDefault="00AB22AD" w:rsidP="00AB22AD">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963E8F">
        <w:rPr>
          <w:rFonts w:ascii="Palatino Linotype" w:eastAsia="Symbol" w:hAnsi="Palatino Linotype" w:cs="Symbol"/>
          <w:i/>
          <w:color w:val="000000"/>
          <w:sz w:val="22"/>
          <w:szCs w:val="22"/>
        </w:rPr>
        <w:t>∙</w:t>
      </w:r>
      <w:r w:rsidRPr="00963E8F">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rsidR="00AB22AD" w:rsidRPr="00963E8F" w:rsidRDefault="00AB22AD" w:rsidP="00AB22AD">
      <w:pPr>
        <w:tabs>
          <w:tab w:val="left" w:pos="709"/>
          <w:tab w:val="left" w:pos="1985"/>
        </w:tabs>
        <w:ind w:left="567" w:right="565"/>
        <w:jc w:val="both"/>
        <w:rPr>
          <w:rFonts w:ascii="Palatino Linotype" w:eastAsia="Palatino Linotype" w:hAnsi="Palatino Linotype" w:cs="Palatino Linotype"/>
          <w:color w:val="000000"/>
          <w:sz w:val="22"/>
          <w:szCs w:val="22"/>
        </w:rPr>
      </w:pPr>
      <w:r w:rsidRPr="00963E8F">
        <w:rPr>
          <w:rFonts w:ascii="Palatino Linotype" w:eastAsia="Symbol" w:hAnsi="Palatino Linotype" w:cs="Symbol"/>
          <w:i/>
          <w:sz w:val="22"/>
          <w:szCs w:val="22"/>
        </w:rPr>
        <w:t>∙</w:t>
      </w:r>
      <w:r w:rsidRPr="00963E8F">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color w:val="000000"/>
          <w:sz w:val="22"/>
          <w:szCs w:val="22"/>
        </w:rPr>
        <w:t xml:space="preserve">Asimos, </w:t>
      </w:r>
      <w:r w:rsidRPr="00963E8F">
        <w:rPr>
          <w:rFonts w:ascii="Palatino Linotype" w:eastAsia="Palatino Linotype" w:hAnsi="Palatino Linotype" w:cs="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AB22AD" w:rsidRPr="00963E8F" w:rsidRDefault="00AB22AD" w:rsidP="00AB22AD">
      <w:pPr>
        <w:spacing w:line="360" w:lineRule="auto"/>
        <w:ind w:right="1"/>
        <w:jc w:val="both"/>
        <w:rPr>
          <w:rFonts w:ascii="Palatino Linotype" w:eastAsia="Palatino Linotype" w:hAnsi="Palatino Linotype" w:cs="Palatino Linotype"/>
          <w:color w:val="000000"/>
          <w:sz w:val="22"/>
          <w:szCs w:val="22"/>
        </w:rPr>
      </w:pPr>
    </w:p>
    <w:p w:rsidR="00AB22AD" w:rsidRPr="00963E8F" w:rsidRDefault="00AB22AD" w:rsidP="00AB22AD">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963E8F">
        <w:rPr>
          <w:rFonts w:ascii="Palatino Linotype" w:eastAsia="Palatino Linotype" w:hAnsi="Palatino Linotype" w:cs="Palatino Linotype"/>
          <w:b/>
          <w:i/>
          <w:color w:val="000000"/>
          <w:sz w:val="22"/>
          <w:szCs w:val="22"/>
        </w:rPr>
        <w:t>“Artículo 3.</w:t>
      </w:r>
      <w:r w:rsidRPr="00963E8F">
        <w:rPr>
          <w:rFonts w:ascii="Palatino Linotype" w:eastAsia="Palatino Linotype" w:hAnsi="Palatino Linotype" w:cs="Palatino Linotype"/>
          <w:i/>
          <w:color w:val="000000"/>
          <w:sz w:val="22"/>
          <w:szCs w:val="22"/>
        </w:rPr>
        <w:t xml:space="preserve"> Para los efectos de la presente Ley se entenderá por: </w:t>
      </w:r>
    </w:p>
    <w:p w:rsidR="00AB22AD" w:rsidRPr="00963E8F" w:rsidRDefault="00AB22AD" w:rsidP="00AB22AD">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963E8F">
        <w:rPr>
          <w:rFonts w:ascii="Palatino Linotype" w:eastAsia="Palatino Linotype" w:hAnsi="Palatino Linotype" w:cs="Palatino Linotype"/>
          <w:i/>
          <w:color w:val="000000"/>
          <w:sz w:val="22"/>
          <w:szCs w:val="22"/>
        </w:rPr>
        <w:lastRenderedPageBreak/>
        <w:t xml:space="preserve">(…) </w:t>
      </w:r>
    </w:p>
    <w:p w:rsidR="00AB22AD" w:rsidRPr="00963E8F" w:rsidRDefault="00AB22AD" w:rsidP="00AB22AD">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963E8F">
        <w:rPr>
          <w:rFonts w:ascii="Palatino Linotype" w:eastAsia="Palatino Linotype" w:hAnsi="Palatino Linotype" w:cs="Palatino Linotype"/>
          <w:b/>
          <w:i/>
          <w:color w:val="000000"/>
          <w:sz w:val="22"/>
          <w:szCs w:val="22"/>
        </w:rPr>
        <w:t>XI. Documento:</w:t>
      </w:r>
      <w:r w:rsidRPr="00963E8F">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963E8F">
        <w:rPr>
          <w:rFonts w:ascii="Palatino Linotype" w:eastAsia="Palatino Linotype" w:hAnsi="Palatino Linotype" w:cs="Palatino Linotype"/>
          <w:b/>
          <w:i/>
          <w:color w:val="000000"/>
          <w:sz w:val="22"/>
          <w:szCs w:val="22"/>
        </w:rPr>
        <w:t xml:space="preserve">Los documentos podrán estar en cualquier medio, sea escrito, impreso, sonoro, visual, electrónico, informático u holográfico; </w:t>
      </w:r>
    </w:p>
    <w:p w:rsidR="00AB22AD" w:rsidRPr="00963E8F" w:rsidRDefault="00AB22AD" w:rsidP="00AB22AD">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963E8F">
        <w:rPr>
          <w:rFonts w:ascii="Palatino Linotype" w:eastAsia="Palatino Linotype" w:hAnsi="Palatino Linotype" w:cs="Palatino Linotype"/>
          <w:i/>
          <w:color w:val="000000"/>
          <w:sz w:val="22"/>
          <w:szCs w:val="22"/>
        </w:rPr>
        <w:t>(…)”</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color w:val="000000"/>
          <w:sz w:val="22"/>
          <w:szCs w:val="22"/>
        </w:rPr>
        <w:t xml:space="preserve">Siendo </w:t>
      </w:r>
      <w:r w:rsidRPr="00963E8F">
        <w:rPr>
          <w:rFonts w:ascii="Palatino Linotype" w:eastAsia="Palatino Linotype" w:hAnsi="Palatino Linotype" w:cs="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AB22AD" w:rsidRPr="00963E8F" w:rsidRDefault="00AB22AD" w:rsidP="00AB22AD">
      <w:pPr>
        <w:spacing w:line="360" w:lineRule="auto"/>
        <w:ind w:right="1"/>
        <w:jc w:val="both"/>
        <w:rPr>
          <w:rFonts w:ascii="Palatino Linotype" w:eastAsia="Palatino Linotype" w:hAnsi="Palatino Linotype" w:cs="Palatino Linotype"/>
          <w:color w:val="000000"/>
          <w:sz w:val="22"/>
          <w:szCs w:val="22"/>
        </w:rPr>
      </w:pPr>
    </w:p>
    <w:p w:rsidR="00AB22AD" w:rsidRPr="00963E8F" w:rsidRDefault="00AB22AD" w:rsidP="00AB22AD">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963E8F">
        <w:rPr>
          <w:rFonts w:ascii="Palatino Linotype" w:eastAsia="Palatino Linotype" w:hAnsi="Palatino Linotype" w:cs="Palatino Linotype"/>
          <w:i/>
          <w:color w:val="000000"/>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3802E0" w:rsidRPr="00963E8F" w:rsidRDefault="00AB22AD" w:rsidP="003802E0">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color w:val="000000"/>
          <w:sz w:val="22"/>
          <w:szCs w:val="22"/>
        </w:rPr>
        <w:t xml:space="preserve">Bajo este contexto, </w:t>
      </w:r>
      <w:r w:rsidRPr="00963E8F">
        <w:rPr>
          <w:rFonts w:ascii="Palatino Linotype" w:eastAsia="Palatino Linotype" w:hAnsi="Palatino Linotype" w:cs="Palatino Linotype"/>
          <w:sz w:val="22"/>
          <w:szCs w:val="22"/>
        </w:rPr>
        <w:t xml:space="preserve">se considera que, con el pronunciamiento realizado por parte del </w:t>
      </w:r>
      <w:r w:rsidRPr="00963E8F">
        <w:rPr>
          <w:rFonts w:ascii="Palatino Linotype" w:eastAsia="Palatino Linotype" w:hAnsi="Palatino Linotype" w:cs="Palatino Linotype"/>
          <w:b/>
          <w:sz w:val="22"/>
          <w:szCs w:val="22"/>
        </w:rPr>
        <w:t>SUJETO OBLIGADO,</w:t>
      </w:r>
      <w:r w:rsidRPr="00963E8F">
        <w:rPr>
          <w:rFonts w:ascii="Palatino Linotype" w:eastAsia="Palatino Linotype" w:hAnsi="Palatino Linotype" w:cs="Palatino Linotype"/>
          <w:sz w:val="22"/>
          <w:szCs w:val="22"/>
        </w:rPr>
        <w:t xml:space="preserve"> mediante respuesta a la solicitud de información número </w:t>
      </w:r>
      <w:r w:rsidR="008008B5" w:rsidRPr="00963E8F">
        <w:rPr>
          <w:rFonts w:ascii="Palatino Linotype" w:eastAsia="Palatino Linotype" w:hAnsi="Palatino Linotype" w:cs="Palatino Linotype"/>
          <w:b/>
          <w:bCs/>
          <w:sz w:val="22"/>
          <w:szCs w:val="22"/>
        </w:rPr>
        <w:t> 00039/POLOTI/IP/2024</w:t>
      </w:r>
      <w:r w:rsidRPr="00963E8F">
        <w:rPr>
          <w:rFonts w:ascii="Palatino Linotype" w:eastAsia="Palatino Linotype" w:hAnsi="Palatino Linotype" w:cs="Palatino Linotype"/>
          <w:sz w:val="22"/>
          <w:szCs w:val="22"/>
        </w:rPr>
        <w:t xml:space="preserve">, colma en su totalidad con lo requerido por el </w:t>
      </w:r>
      <w:r w:rsidR="008008B5" w:rsidRPr="00963E8F">
        <w:rPr>
          <w:rFonts w:ascii="Palatino Linotype" w:eastAsia="Palatino Linotype" w:hAnsi="Palatino Linotype" w:cs="Palatino Linotype"/>
          <w:sz w:val="22"/>
          <w:szCs w:val="22"/>
        </w:rPr>
        <w:t>R</w:t>
      </w:r>
      <w:r w:rsidR="003802E0" w:rsidRPr="00963E8F">
        <w:rPr>
          <w:rFonts w:ascii="Palatino Linotype" w:eastAsia="Palatino Linotype" w:hAnsi="Palatino Linotype" w:cs="Palatino Linotype"/>
          <w:sz w:val="22"/>
          <w:szCs w:val="22"/>
        </w:rPr>
        <w:t>ecurrente.</w:t>
      </w:r>
    </w:p>
    <w:p w:rsidR="003802E0" w:rsidRPr="00963E8F" w:rsidRDefault="003802E0" w:rsidP="003802E0">
      <w:pPr>
        <w:spacing w:line="360" w:lineRule="auto"/>
        <w:ind w:right="1"/>
        <w:jc w:val="both"/>
        <w:rPr>
          <w:rFonts w:ascii="Palatino Linotype" w:eastAsia="Palatino Linotype" w:hAnsi="Palatino Linotype" w:cs="Palatino Linotype"/>
          <w:b/>
          <w:sz w:val="22"/>
          <w:szCs w:val="22"/>
        </w:rPr>
      </w:pPr>
    </w:p>
    <w:p w:rsidR="003802E0" w:rsidRPr="00963E8F" w:rsidRDefault="003802E0" w:rsidP="003802E0">
      <w:pPr>
        <w:pStyle w:val="Prrafodelista"/>
        <w:numPr>
          <w:ilvl w:val="0"/>
          <w:numId w:val="1"/>
        </w:numPr>
        <w:spacing w:line="360" w:lineRule="auto"/>
        <w:ind w:left="0" w:firstLine="0"/>
        <w:jc w:val="both"/>
        <w:rPr>
          <w:rFonts w:ascii="Palatino Linotype" w:hAnsi="Palatino Linotype" w:cs="Arial"/>
          <w:bCs/>
          <w:szCs w:val="22"/>
        </w:rPr>
      </w:pPr>
      <w:r w:rsidRPr="00963E8F">
        <w:rPr>
          <w:rFonts w:ascii="Palatino Linotype" w:hAnsi="Palatino Linotype" w:cs="Arial"/>
          <w:bCs/>
          <w:szCs w:val="22"/>
        </w:rPr>
        <w:t>Podemos concluir que con la entrega de la información en respuesta, si se colma con la solicitado, sin embargo, no es procedente confirmar la respuesta, ya que se dejan a la vista datos que son clasificados como confidenciales.</w:t>
      </w:r>
    </w:p>
    <w:p w:rsidR="008008B5" w:rsidRPr="00963E8F" w:rsidRDefault="008008B5" w:rsidP="003802E0">
      <w:pPr>
        <w:pStyle w:val="Prrafodelista"/>
        <w:keepNext/>
        <w:keepLines/>
        <w:spacing w:line="360" w:lineRule="auto"/>
        <w:ind w:left="0" w:right="48"/>
        <w:jc w:val="both"/>
        <w:outlineLvl w:val="0"/>
        <w:rPr>
          <w:rFonts w:ascii="Palatino Linotype" w:eastAsia="MS Gothic" w:hAnsi="Palatino Linotype" w:cstheme="majorBidi"/>
          <w:b/>
          <w:szCs w:val="22"/>
          <w:lang w:val="es-ES_tradnl" w:eastAsia="es-ES"/>
        </w:rPr>
      </w:pPr>
    </w:p>
    <w:p w:rsidR="00AB22AD" w:rsidRPr="00963E8F" w:rsidRDefault="003802E0" w:rsidP="00AB22AD">
      <w:pPr>
        <w:numPr>
          <w:ilvl w:val="0"/>
          <w:numId w:val="1"/>
        </w:numPr>
        <w:spacing w:line="360" w:lineRule="auto"/>
        <w:ind w:left="0" w:right="48"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En ese sentido</w:t>
      </w:r>
      <w:r w:rsidR="00AB22AD" w:rsidRPr="00963E8F">
        <w:rPr>
          <w:rFonts w:ascii="Palatino Linotype" w:eastAsia="Palatino Linotype" w:hAnsi="Palatino Linotype" w:cs="Palatino Linotype"/>
          <w:sz w:val="22"/>
          <w:szCs w:val="22"/>
        </w:rPr>
        <w:t xml:space="preserve">, es </w:t>
      </w:r>
      <w:r w:rsidR="00AB22AD" w:rsidRPr="00963E8F">
        <w:rPr>
          <w:rFonts w:ascii="Palatino Linotype" w:hAnsi="Palatino Linotype"/>
          <w:sz w:val="22"/>
          <w:szCs w:val="22"/>
        </w:rPr>
        <w:t xml:space="preserve">necesario resaltar que el recurso de revisión previsto en la Ley de la materia no es el medio para investigar y, en su caso, sancionar a servidores públicos por la falta de cuidado de la protección de datos personales; es así que, con el pronunciamiento realizado en respuesta a solicitud de información, se aprecia que se vulneraron datos personales susceptibles de ser clasificados como confidenciales, </w:t>
      </w:r>
      <w:r w:rsidRPr="00963E8F">
        <w:rPr>
          <w:rFonts w:ascii="Palatino Linotype" w:hAnsi="Palatino Linotype"/>
          <w:sz w:val="22"/>
          <w:szCs w:val="22"/>
        </w:rPr>
        <w:t>en este caso, las coordenadas de las faltas</w:t>
      </w:r>
      <w:r w:rsidR="00AB22AD" w:rsidRPr="00963E8F">
        <w:rPr>
          <w:rFonts w:ascii="Palatino Linotype" w:hAnsi="Palatino Linotype"/>
          <w:sz w:val="22"/>
          <w:szCs w:val="22"/>
        </w:rPr>
        <w:t xml:space="preserve">; por lo que, es necesario dar vista al área competente para que en ejercicio de sus atribuciones realice las investigaciones pertinentes por las omisiones detectadas atribuibles al </w:t>
      </w:r>
      <w:r w:rsidR="00AB22AD" w:rsidRPr="00963E8F">
        <w:rPr>
          <w:rFonts w:ascii="Palatino Linotype" w:hAnsi="Palatino Linotype"/>
          <w:b/>
          <w:sz w:val="22"/>
          <w:szCs w:val="22"/>
        </w:rPr>
        <w:t>SUJETO OBLIGADO.</w:t>
      </w:r>
    </w:p>
    <w:p w:rsidR="00AB22AD" w:rsidRPr="00963E8F" w:rsidRDefault="00AB22AD" w:rsidP="00AB22AD">
      <w:pPr>
        <w:ind w:right="48"/>
        <w:jc w:val="both"/>
        <w:rPr>
          <w:rFonts w:ascii="Palatino Linotype" w:eastAsia="Palatino Linotype" w:hAnsi="Palatino Linotype" w:cs="Palatino Linotype"/>
          <w:sz w:val="22"/>
          <w:szCs w:val="22"/>
        </w:rPr>
      </w:pPr>
    </w:p>
    <w:p w:rsidR="00AB22AD" w:rsidRPr="00963E8F" w:rsidRDefault="00AB22AD" w:rsidP="00AB22AD">
      <w:pPr>
        <w:numPr>
          <w:ilvl w:val="0"/>
          <w:numId w:val="1"/>
        </w:numPr>
        <w:spacing w:line="360" w:lineRule="auto"/>
        <w:ind w:left="0" w:right="48" w:firstLine="0"/>
        <w:jc w:val="both"/>
        <w:rPr>
          <w:rFonts w:ascii="Palatino Linotype" w:eastAsia="Palatino Linotype" w:hAnsi="Palatino Linotype" w:cs="Palatino Linotype"/>
          <w:sz w:val="22"/>
          <w:szCs w:val="22"/>
        </w:rPr>
      </w:pPr>
      <w:r w:rsidRPr="00963E8F">
        <w:rPr>
          <w:rFonts w:ascii="Palatino Linotype" w:hAnsi="Palatino Linotype"/>
          <w:color w:val="000000" w:themeColor="text1"/>
          <w:sz w:val="22"/>
          <w:szCs w:val="22"/>
        </w:rPr>
        <w:t xml:space="preserve">Por </w:t>
      </w:r>
      <w:r w:rsidRPr="00963E8F">
        <w:rPr>
          <w:rFonts w:ascii="Palatino Linotype" w:hAnsi="Palatino Linotype"/>
          <w:sz w:val="22"/>
          <w:szCs w:val="22"/>
        </w:rPr>
        <w:t>ello, es conveniente señalar las fracciones XIV, XXII, XXIII y XXV, del artículo 82, de la Ley de Protección de Datos Personales en Posesión de Sujetos Obligados del Estado de México y Municipios, que establece:</w:t>
      </w:r>
    </w:p>
    <w:p w:rsidR="00AB22AD" w:rsidRPr="00963E8F" w:rsidRDefault="00AB22AD" w:rsidP="00AB22AD">
      <w:pPr>
        <w:ind w:right="48"/>
        <w:jc w:val="both"/>
        <w:rPr>
          <w:rFonts w:ascii="Palatino Linotype" w:eastAsia="Palatino Linotype" w:hAnsi="Palatino Linotype" w:cs="Palatino Linotype"/>
          <w:sz w:val="22"/>
          <w:szCs w:val="22"/>
        </w:rPr>
      </w:pPr>
    </w:p>
    <w:p w:rsidR="00AB22AD" w:rsidRPr="00963E8F" w:rsidRDefault="00AB22AD" w:rsidP="00AB22AD">
      <w:pPr>
        <w:pStyle w:val="Prrafodelista"/>
        <w:tabs>
          <w:tab w:val="left" w:pos="426"/>
        </w:tabs>
        <w:spacing w:before="240" w:after="240"/>
        <w:ind w:left="567" w:right="539"/>
        <w:jc w:val="both"/>
        <w:rPr>
          <w:rFonts w:ascii="Palatino Linotype" w:hAnsi="Palatino Linotype"/>
          <w:b/>
          <w:i/>
          <w:szCs w:val="22"/>
        </w:rPr>
      </w:pPr>
      <w:r w:rsidRPr="00963E8F">
        <w:rPr>
          <w:rFonts w:ascii="Palatino Linotype" w:hAnsi="Palatino Linotype"/>
          <w:b/>
          <w:i/>
          <w:szCs w:val="22"/>
        </w:rPr>
        <w:t xml:space="preserve">Atribuciones del Instituto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b/>
          <w:i/>
          <w:szCs w:val="22"/>
        </w:rPr>
        <w:t>“Artículo 82.</w:t>
      </w:r>
      <w:r w:rsidRPr="00963E8F">
        <w:rPr>
          <w:rFonts w:ascii="Palatino Linotype" w:hAnsi="Palatino Linotype"/>
          <w:i/>
          <w:szCs w:val="22"/>
        </w:rPr>
        <w:t xml:space="preserve"> El Instituto, además de las atribuciones encomendadas por la Ley de Transparencia y normatividad aplicable, tendrá las atribuciones siguientes: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i/>
          <w:szCs w:val="22"/>
        </w:rPr>
        <w:t xml:space="preserve">(…)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b/>
          <w:i/>
          <w:szCs w:val="22"/>
        </w:rPr>
        <w:t>XIV. Formular observaciones y recomendaciones</w:t>
      </w:r>
      <w:r w:rsidRPr="00963E8F">
        <w:rPr>
          <w:rFonts w:ascii="Palatino Linotype" w:hAnsi="Palatino Linotype"/>
          <w:i/>
          <w:szCs w:val="22"/>
        </w:rPr>
        <w:t xml:space="preserve"> a los sujetos obligados que incumplan esta Ley.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i/>
          <w:szCs w:val="22"/>
        </w:rPr>
        <w:t xml:space="preserve">(…)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b/>
          <w:i/>
          <w:szCs w:val="22"/>
        </w:rPr>
        <w:t>XXII. Verificar el cumplimiento</w:t>
      </w:r>
      <w:r w:rsidRPr="00963E8F">
        <w:rPr>
          <w:rFonts w:ascii="Palatino Linotype" w:hAnsi="Palatino Linotype"/>
          <w:i/>
          <w:szCs w:val="22"/>
        </w:rPr>
        <w:t xml:space="preserve"> de las disposiciones previstas en esta Ley a través de los procedimientos de revisión que resulten compatibles con las disposiciones de esta Ley.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b/>
          <w:i/>
          <w:szCs w:val="22"/>
        </w:rPr>
        <w:t>XXIII. Implementar los procedimientos</w:t>
      </w:r>
      <w:r w:rsidRPr="00963E8F">
        <w:rPr>
          <w:rFonts w:ascii="Palatino Linotype" w:hAnsi="Palatino Linotype"/>
          <w:i/>
          <w:szCs w:val="22"/>
        </w:rPr>
        <w:t xml:space="preserve"> que resulten necesarios para el cumplimiento de las disposiciones de esta Ley y para asegurar la protección de datos personales de los titulares.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i/>
          <w:szCs w:val="22"/>
        </w:rPr>
        <w:t xml:space="preserve">(…)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b/>
          <w:i/>
          <w:szCs w:val="22"/>
        </w:rPr>
        <w:lastRenderedPageBreak/>
        <w:t>XXV. Investigar las posibles violaciones</w:t>
      </w:r>
      <w:r w:rsidRPr="00963E8F">
        <w:rPr>
          <w:rFonts w:ascii="Palatino Linotype" w:hAnsi="Palatino Linotype"/>
          <w:i/>
          <w:szCs w:val="22"/>
        </w:rPr>
        <w:t xml:space="preserve"> a la seguridad de los datos personales a fin de determinar la práctica de verificaciones. </w:t>
      </w:r>
    </w:p>
    <w:p w:rsidR="00AB22AD" w:rsidRPr="00963E8F" w:rsidRDefault="00AB22AD" w:rsidP="00AB22AD">
      <w:pPr>
        <w:pStyle w:val="Prrafodelista"/>
        <w:tabs>
          <w:tab w:val="left" w:pos="426"/>
        </w:tabs>
        <w:spacing w:before="240" w:after="240"/>
        <w:ind w:left="567" w:right="539"/>
        <w:jc w:val="both"/>
        <w:rPr>
          <w:rFonts w:ascii="Palatino Linotype" w:hAnsi="Palatino Linotype"/>
          <w:i/>
          <w:szCs w:val="22"/>
        </w:rPr>
      </w:pPr>
      <w:r w:rsidRPr="00963E8F">
        <w:rPr>
          <w:rFonts w:ascii="Palatino Linotype" w:hAnsi="Palatino Linotype"/>
          <w:i/>
          <w:szCs w:val="22"/>
        </w:rPr>
        <w:t xml:space="preserve">(…)” </w:t>
      </w:r>
    </w:p>
    <w:p w:rsidR="00AB22AD" w:rsidRPr="00963E8F" w:rsidRDefault="00AB22AD" w:rsidP="00AB22AD">
      <w:pPr>
        <w:ind w:right="48"/>
        <w:jc w:val="both"/>
        <w:rPr>
          <w:rFonts w:ascii="Palatino Linotype" w:eastAsia="Palatino Linotype" w:hAnsi="Palatino Linotype" w:cs="Palatino Linotype"/>
          <w:sz w:val="22"/>
          <w:szCs w:val="22"/>
        </w:rPr>
      </w:pPr>
    </w:p>
    <w:p w:rsidR="00AB22AD" w:rsidRPr="00963E8F" w:rsidRDefault="00AB22AD" w:rsidP="00AB22AD">
      <w:pPr>
        <w:numPr>
          <w:ilvl w:val="0"/>
          <w:numId w:val="1"/>
        </w:numPr>
        <w:spacing w:line="360" w:lineRule="auto"/>
        <w:ind w:left="0" w:right="48" w:firstLine="0"/>
        <w:jc w:val="both"/>
        <w:rPr>
          <w:rFonts w:ascii="Palatino Linotype" w:eastAsia="Palatino Linotype" w:hAnsi="Palatino Linotype" w:cs="Palatino Linotype"/>
          <w:sz w:val="22"/>
          <w:szCs w:val="22"/>
        </w:rPr>
      </w:pPr>
      <w:r w:rsidRPr="00963E8F">
        <w:rPr>
          <w:rFonts w:ascii="Palatino Linotype" w:eastAsia="MS Mincho" w:hAnsi="Palatino Linotype" w:cs="Arial"/>
          <w:sz w:val="22"/>
          <w:szCs w:val="22"/>
          <w:lang w:val="es-ES_tradnl" w:eastAsia="es-ES"/>
        </w:rPr>
        <w:t>Por l</w:t>
      </w:r>
      <w:r w:rsidRPr="00963E8F">
        <w:rPr>
          <w:rFonts w:ascii="Palatino Linotype" w:hAnsi="Palatino Linotype"/>
          <w:sz w:val="22"/>
          <w:szCs w:val="22"/>
        </w:rPr>
        <w:t xml:space="preserve">o tanto, es menester dar vista a la Dirección de Protección de Datos Personales de este Instituto para que en ejercicio de sus atribuciones atienda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rsidR="00AB22AD" w:rsidRPr="00963E8F" w:rsidRDefault="00AB22AD" w:rsidP="00AB22AD">
      <w:pPr>
        <w:ind w:right="48"/>
        <w:jc w:val="both"/>
        <w:rPr>
          <w:rFonts w:ascii="Palatino Linotype" w:eastAsia="Palatino Linotype" w:hAnsi="Palatino Linotype" w:cs="Palatino Linotype"/>
          <w:sz w:val="22"/>
          <w:szCs w:val="22"/>
        </w:rPr>
      </w:pPr>
    </w:p>
    <w:p w:rsidR="00AB22AD" w:rsidRPr="00963E8F" w:rsidRDefault="00AB22AD" w:rsidP="00AB22AD">
      <w:pPr>
        <w:numPr>
          <w:ilvl w:val="0"/>
          <w:numId w:val="1"/>
        </w:numPr>
        <w:spacing w:line="360" w:lineRule="auto"/>
        <w:ind w:left="0" w:right="48" w:firstLine="0"/>
        <w:jc w:val="both"/>
        <w:rPr>
          <w:rFonts w:ascii="Palatino Linotype" w:eastAsia="Palatino Linotype" w:hAnsi="Palatino Linotype" w:cs="Palatino Linotype"/>
          <w:sz w:val="22"/>
          <w:szCs w:val="22"/>
        </w:rPr>
      </w:pPr>
      <w:r w:rsidRPr="00963E8F">
        <w:rPr>
          <w:rFonts w:ascii="Palatino Linotype" w:hAnsi="Palatino Linotype"/>
          <w:sz w:val="22"/>
          <w:szCs w:val="22"/>
        </w:rPr>
        <w:t xml:space="preserve">Por último y no menos importante, se debe enfatizar que tal y como se mencionó en este considerando, el </w:t>
      </w:r>
      <w:r w:rsidR="003802E0" w:rsidRPr="00963E8F">
        <w:rPr>
          <w:rFonts w:ascii="Palatino Linotype" w:hAnsi="Palatino Linotype"/>
          <w:b/>
          <w:sz w:val="22"/>
          <w:szCs w:val="22"/>
        </w:rPr>
        <w:t>Sujeto Obligado</w:t>
      </w:r>
      <w:r w:rsidR="003802E0" w:rsidRPr="00963E8F">
        <w:rPr>
          <w:rFonts w:ascii="Palatino Linotype" w:hAnsi="Palatino Linotype"/>
          <w:sz w:val="22"/>
          <w:szCs w:val="22"/>
        </w:rPr>
        <w:t xml:space="preserve"> </w:t>
      </w:r>
      <w:r w:rsidRPr="00963E8F">
        <w:rPr>
          <w:rFonts w:ascii="Palatino Linotype" w:hAnsi="Palatino Linotype"/>
          <w:sz w:val="22"/>
          <w:szCs w:val="22"/>
        </w:rPr>
        <w:t xml:space="preserve">proporcionó información que debió ser clasificado como confidencial. Por dicha información, es menester hacer del conocimiento de la persona que solicitó la información, que ahora se encuentra sujeto a la </w:t>
      </w:r>
      <w:r w:rsidRPr="00963E8F">
        <w:rPr>
          <w:rFonts w:ascii="Palatino Linotype" w:hAnsi="Palatino Linotype"/>
          <w:b/>
          <w:sz w:val="22"/>
          <w:szCs w:val="22"/>
        </w:rPr>
        <w:t>LEY FEDERAL DE PROTECCIÓN DE DATOS PERSONALES EN POSESIÓN DE LOS PARTICULARES</w:t>
      </w:r>
      <w:r w:rsidRPr="00963E8F">
        <w:rPr>
          <w:rFonts w:ascii="Palatino Linotype" w:hAnsi="Palatino Linotype"/>
          <w:sz w:val="22"/>
          <w:szCs w:val="22"/>
        </w:rPr>
        <w:t xml:space="preserve"> que señala puntualmente en su artículo lo siguiente: </w:t>
      </w:r>
    </w:p>
    <w:p w:rsidR="00AB22AD" w:rsidRPr="00963E8F" w:rsidRDefault="00AB22AD" w:rsidP="00AB22AD">
      <w:pPr>
        <w:rPr>
          <w:rFonts w:ascii="Palatino Linotype" w:hAnsi="Palatino Linotype"/>
          <w:b/>
          <w:sz w:val="22"/>
          <w:szCs w:val="22"/>
        </w:rPr>
      </w:pPr>
    </w:p>
    <w:p w:rsidR="00AB22AD" w:rsidRPr="00963E8F" w:rsidRDefault="00AB22AD" w:rsidP="00AB22AD">
      <w:pPr>
        <w:ind w:left="567" w:right="567"/>
        <w:jc w:val="both"/>
        <w:rPr>
          <w:rFonts w:ascii="Palatino Linotype" w:eastAsia="Palatino Linotype" w:hAnsi="Palatino Linotype" w:cs="Palatino Linotype"/>
          <w:sz w:val="22"/>
          <w:szCs w:val="22"/>
        </w:rPr>
      </w:pPr>
      <w:r w:rsidRPr="00963E8F">
        <w:rPr>
          <w:rFonts w:ascii="Palatino Linotype" w:hAnsi="Palatino Linotype"/>
          <w:b/>
          <w:i/>
          <w:sz w:val="22"/>
          <w:szCs w:val="22"/>
        </w:rPr>
        <w:t>“Artículo 1.-</w:t>
      </w:r>
      <w:r w:rsidRPr="00963E8F">
        <w:rPr>
          <w:rFonts w:ascii="Palatino Linotype" w:hAnsi="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AB22AD" w:rsidRPr="00963E8F" w:rsidRDefault="00AB22AD" w:rsidP="00AB22AD">
      <w:pPr>
        <w:ind w:right="1"/>
        <w:jc w:val="both"/>
        <w:rPr>
          <w:rFonts w:ascii="Palatino Linotype" w:eastAsia="Palatino Linotype" w:hAnsi="Palatino Linotype" w:cs="Palatino Linotype"/>
          <w:b/>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 xml:space="preserve">Por lo tanto, en virtud de los argumentos expuestos con anterioridad así como del análisis realizado a las constancias que obran en el expediente electrónico, si bien el </w:t>
      </w:r>
      <w:r w:rsidRPr="00963E8F">
        <w:rPr>
          <w:rFonts w:ascii="Palatino Linotype" w:eastAsia="Palatino Linotype" w:hAnsi="Palatino Linotype" w:cs="Palatino Linotype"/>
          <w:b/>
          <w:sz w:val="22"/>
          <w:szCs w:val="22"/>
        </w:rPr>
        <w:t>SUJETO OBLIGADO</w:t>
      </w:r>
      <w:r w:rsidRPr="00963E8F">
        <w:rPr>
          <w:rFonts w:ascii="Palatino Linotype" w:eastAsia="Palatino Linotype" w:hAnsi="Palatino Linotype" w:cs="Palatino Linotype"/>
          <w:sz w:val="22"/>
          <w:szCs w:val="22"/>
        </w:rPr>
        <w:t xml:space="preserve"> entregó el documento que atiende el requerimiento del particular; también lo es que al haberse dejado a la vista el nombre de las partes del expediente es que se determina que la respuesta no cumplió con los parámetros establecidos en la Ley, al no tener certeza respecto de si procedía en el c</w:t>
      </w:r>
      <w:r w:rsidR="003802E0" w:rsidRPr="00963E8F">
        <w:rPr>
          <w:rFonts w:ascii="Palatino Linotype" w:eastAsia="Palatino Linotype" w:hAnsi="Palatino Linotype" w:cs="Palatino Linotype"/>
          <w:sz w:val="22"/>
          <w:szCs w:val="22"/>
        </w:rPr>
        <w:t>aso particular la publicidad de las coordenadas</w:t>
      </w:r>
      <w:r w:rsidRPr="00963E8F">
        <w:rPr>
          <w:rFonts w:ascii="Palatino Linotype" w:eastAsia="Palatino Linotype" w:hAnsi="Palatino Linotype" w:cs="Palatino Linotype"/>
          <w:sz w:val="22"/>
          <w:szCs w:val="22"/>
        </w:rPr>
        <w:t xml:space="preserve">, por las consideraciones antes expuestas, es por ello que se determina </w:t>
      </w:r>
      <w:r w:rsidRPr="00963E8F">
        <w:rPr>
          <w:rFonts w:ascii="Palatino Linotype" w:eastAsia="Palatino Linotype" w:hAnsi="Palatino Linotype" w:cs="Palatino Linotype"/>
          <w:i/>
          <w:sz w:val="22"/>
          <w:szCs w:val="22"/>
        </w:rPr>
        <w:t xml:space="preserve">sobreseer </w:t>
      </w:r>
      <w:r w:rsidRPr="00963E8F">
        <w:rPr>
          <w:rFonts w:ascii="Palatino Linotype" w:eastAsia="Palatino Linotype" w:hAnsi="Palatino Linotype" w:cs="Palatino Linotype"/>
          <w:sz w:val="22"/>
          <w:szCs w:val="22"/>
        </w:rPr>
        <w:t xml:space="preserve">el presente recurso de </w:t>
      </w:r>
      <w:r w:rsidRPr="00963E8F">
        <w:rPr>
          <w:rFonts w:ascii="Palatino Linotype" w:eastAsia="Palatino Linotype" w:hAnsi="Palatino Linotype" w:cs="Palatino Linotype"/>
          <w:sz w:val="22"/>
          <w:szCs w:val="22"/>
        </w:rPr>
        <w:lastRenderedPageBreak/>
        <w:t>revisión por actualizarse la causal de sobreseimiento prevista en la fracción V del artículo 192 de la Ley de Transparencia y Acceso a la Información Pública del Estado de México y Municipios, el que se transcribe a continuación, para un mejor entendimiento:</w:t>
      </w:r>
    </w:p>
    <w:p w:rsidR="00AB22AD" w:rsidRPr="00963E8F" w:rsidRDefault="00AB22AD" w:rsidP="00AB22AD">
      <w:pPr>
        <w:ind w:right="1"/>
        <w:jc w:val="both"/>
        <w:rPr>
          <w:rFonts w:ascii="Palatino Linotype" w:eastAsia="Palatino Linotype" w:hAnsi="Palatino Linotype" w:cs="Palatino Linotype"/>
          <w:sz w:val="22"/>
          <w:szCs w:val="22"/>
        </w:rPr>
      </w:pPr>
    </w:p>
    <w:p w:rsidR="00AB22AD" w:rsidRPr="00963E8F" w:rsidRDefault="00AB22AD" w:rsidP="00AB22AD">
      <w:pPr>
        <w:tabs>
          <w:tab w:val="left" w:pos="7938"/>
        </w:tabs>
        <w:spacing w:before="120" w:after="120"/>
        <w:ind w:left="567" w:right="567"/>
        <w:jc w:val="both"/>
        <w:rPr>
          <w:rFonts w:ascii="Palatino Linotype" w:eastAsia="Palatino Linotype" w:hAnsi="Palatino Linotype" w:cs="Palatino Linotype"/>
          <w:i/>
          <w:sz w:val="22"/>
          <w:szCs w:val="22"/>
        </w:rPr>
      </w:pPr>
      <w:r w:rsidRPr="00963E8F">
        <w:rPr>
          <w:rFonts w:ascii="Palatino Linotype" w:eastAsia="Palatino Linotype" w:hAnsi="Palatino Linotype" w:cs="Palatino Linotype"/>
          <w:i/>
          <w:sz w:val="22"/>
          <w:szCs w:val="22"/>
        </w:rPr>
        <w:t>“</w:t>
      </w:r>
      <w:r w:rsidRPr="00963E8F">
        <w:rPr>
          <w:rFonts w:ascii="Palatino Linotype" w:eastAsia="Palatino Linotype" w:hAnsi="Palatino Linotype" w:cs="Palatino Linotype"/>
          <w:b/>
          <w:i/>
          <w:sz w:val="22"/>
          <w:szCs w:val="22"/>
        </w:rPr>
        <w:t>Artículo 192.</w:t>
      </w:r>
      <w:r w:rsidRPr="00963E8F">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rsidR="00AB22AD" w:rsidRPr="00963E8F" w:rsidRDefault="00AB22AD" w:rsidP="00AB22AD">
      <w:pPr>
        <w:tabs>
          <w:tab w:val="left" w:pos="7938"/>
        </w:tabs>
        <w:spacing w:before="120" w:after="120"/>
        <w:ind w:left="567" w:right="567"/>
        <w:jc w:val="both"/>
        <w:rPr>
          <w:rFonts w:ascii="Palatino Linotype" w:eastAsia="Palatino Linotype" w:hAnsi="Palatino Linotype" w:cs="Palatino Linotype"/>
          <w:i/>
          <w:sz w:val="22"/>
          <w:szCs w:val="22"/>
        </w:rPr>
      </w:pPr>
      <w:r w:rsidRPr="00963E8F">
        <w:rPr>
          <w:rFonts w:ascii="Palatino Linotype" w:eastAsia="Palatino Linotype" w:hAnsi="Palatino Linotype" w:cs="Palatino Linotype"/>
          <w:i/>
          <w:sz w:val="22"/>
          <w:szCs w:val="22"/>
        </w:rPr>
        <w:t>(…)</w:t>
      </w:r>
    </w:p>
    <w:p w:rsidR="00AB22AD" w:rsidRPr="00963E8F" w:rsidRDefault="00AB22AD" w:rsidP="00AB22AD">
      <w:pPr>
        <w:tabs>
          <w:tab w:val="left" w:pos="7938"/>
        </w:tabs>
        <w:spacing w:before="120" w:after="120"/>
        <w:ind w:left="567" w:right="567"/>
        <w:jc w:val="both"/>
        <w:rPr>
          <w:rFonts w:ascii="Palatino Linotype" w:eastAsia="Palatino Linotype" w:hAnsi="Palatino Linotype" w:cs="Palatino Linotype"/>
          <w:b/>
          <w:i/>
          <w:sz w:val="22"/>
          <w:szCs w:val="22"/>
        </w:rPr>
      </w:pPr>
      <w:r w:rsidRPr="00963E8F">
        <w:rPr>
          <w:rFonts w:ascii="Palatino Linotype" w:eastAsia="Palatino Linotype" w:hAnsi="Palatino Linotype" w:cs="Palatino Linotype"/>
          <w:b/>
          <w:i/>
          <w:sz w:val="22"/>
          <w:szCs w:val="22"/>
        </w:rPr>
        <w:t>V. Cuando por cualquier motivo quede sin materia el recurso. “</w:t>
      </w:r>
    </w:p>
    <w:p w:rsidR="00AB22AD" w:rsidRPr="00963E8F" w:rsidRDefault="00AB22AD" w:rsidP="00AB22AD">
      <w:pPr>
        <w:ind w:right="1"/>
        <w:jc w:val="both"/>
        <w:rPr>
          <w:rFonts w:ascii="Palatino Linotype" w:eastAsia="Palatino Linotype" w:hAnsi="Palatino Linotype" w:cs="Palatino Linotype"/>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 xml:space="preserve">Siendo el </w:t>
      </w:r>
      <w:r w:rsidRPr="00963E8F">
        <w:rPr>
          <w:rFonts w:ascii="Palatino Linotype" w:eastAsia="Palatino Linotype" w:hAnsi="Palatino Linotype" w:cs="Palatino Linotype"/>
          <w:i/>
          <w:sz w:val="22"/>
          <w:szCs w:val="22"/>
        </w:rPr>
        <w:t>sobreseimiento</w:t>
      </w:r>
      <w:r w:rsidRPr="00963E8F">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AB22AD" w:rsidRPr="00963E8F" w:rsidRDefault="00AB22AD" w:rsidP="00AB22AD">
      <w:pPr>
        <w:ind w:right="1"/>
        <w:jc w:val="both"/>
        <w:rPr>
          <w:rFonts w:ascii="Palatino Linotype" w:eastAsia="Palatino Linotype" w:hAnsi="Palatino Linotype" w:cs="Palatino Linotype"/>
          <w:sz w:val="22"/>
          <w:szCs w:val="22"/>
        </w:rPr>
      </w:pPr>
    </w:p>
    <w:p w:rsidR="00AB22AD" w:rsidRPr="00963E8F" w:rsidRDefault="00AB22AD" w:rsidP="00AB22AD">
      <w:pPr>
        <w:spacing w:after="120"/>
        <w:ind w:left="567" w:right="567"/>
        <w:jc w:val="both"/>
        <w:rPr>
          <w:rFonts w:ascii="Palatino Linotype" w:eastAsia="Palatino Linotype" w:hAnsi="Palatino Linotype" w:cs="Palatino Linotype"/>
          <w:b/>
          <w:i/>
          <w:sz w:val="22"/>
          <w:szCs w:val="22"/>
        </w:rPr>
      </w:pPr>
      <w:r w:rsidRPr="00963E8F">
        <w:rPr>
          <w:rFonts w:ascii="Palatino Linotype" w:eastAsia="Palatino Linotype" w:hAnsi="Palatino Linotype" w:cs="Palatino Linotype"/>
          <w:i/>
          <w:sz w:val="22"/>
          <w:szCs w:val="22"/>
        </w:rPr>
        <w:t>“</w:t>
      </w:r>
      <w:r w:rsidRPr="00963E8F">
        <w:rPr>
          <w:rFonts w:ascii="Palatino Linotype" w:eastAsia="Palatino Linotype" w:hAnsi="Palatino Linotype" w:cs="Palatino Linotype"/>
          <w:b/>
          <w:i/>
          <w:sz w:val="22"/>
          <w:szCs w:val="22"/>
        </w:rPr>
        <w:t>SOBRESEIMIENTO, NO PERMITE ENTRAR AL ESTUDIO DE LAS CUESTIONES DE FONDO</w:t>
      </w:r>
    </w:p>
    <w:p w:rsidR="00AB22AD" w:rsidRPr="00963E8F" w:rsidRDefault="00AB22AD" w:rsidP="00AB22AD">
      <w:pPr>
        <w:spacing w:before="120" w:after="120"/>
        <w:ind w:left="567" w:right="567"/>
        <w:jc w:val="both"/>
        <w:rPr>
          <w:rFonts w:ascii="Palatino Linotype" w:eastAsia="Palatino Linotype" w:hAnsi="Palatino Linotype" w:cs="Palatino Linotype"/>
          <w:i/>
          <w:sz w:val="22"/>
          <w:szCs w:val="22"/>
        </w:rPr>
      </w:pPr>
      <w:r w:rsidRPr="00963E8F">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rsidR="00AB22AD" w:rsidRPr="00963E8F" w:rsidRDefault="00AB22AD" w:rsidP="00AB22AD">
      <w:pPr>
        <w:spacing w:before="120" w:after="120"/>
        <w:ind w:left="567" w:right="567"/>
        <w:jc w:val="both"/>
        <w:rPr>
          <w:rFonts w:ascii="Palatino Linotype" w:eastAsia="Palatino Linotype" w:hAnsi="Palatino Linotype" w:cs="Palatino Linotype"/>
          <w:i/>
          <w:sz w:val="22"/>
          <w:szCs w:val="22"/>
        </w:rPr>
      </w:pPr>
      <w:r w:rsidRPr="00963E8F">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AB22AD" w:rsidRPr="00963E8F" w:rsidRDefault="00AB22AD" w:rsidP="00AB22AD">
      <w:pPr>
        <w:ind w:right="1"/>
        <w:jc w:val="both"/>
        <w:rPr>
          <w:rFonts w:ascii="Palatino Linotype" w:eastAsia="Palatino Linotype" w:hAnsi="Palatino Linotype" w:cs="Palatino Linotype"/>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AB22AD" w:rsidRPr="00963E8F" w:rsidRDefault="00AB22AD" w:rsidP="00AB22AD">
      <w:pPr>
        <w:spacing w:line="360" w:lineRule="auto"/>
        <w:ind w:right="1"/>
        <w:jc w:val="both"/>
        <w:rPr>
          <w:rFonts w:ascii="Palatino Linotype" w:eastAsia="Palatino Linotype" w:hAnsi="Palatino Linotype" w:cs="Palatino Linotype"/>
          <w:sz w:val="22"/>
          <w:szCs w:val="22"/>
        </w:rPr>
      </w:pPr>
    </w:p>
    <w:p w:rsidR="00AB22AD" w:rsidRPr="00963E8F" w:rsidRDefault="00AB22AD" w:rsidP="00AB22AD">
      <w:pPr>
        <w:spacing w:before="120" w:after="120"/>
        <w:ind w:left="567" w:right="567"/>
        <w:jc w:val="both"/>
        <w:rPr>
          <w:rFonts w:ascii="Palatino Linotype" w:eastAsia="Palatino Linotype" w:hAnsi="Palatino Linotype" w:cs="Palatino Linotype"/>
          <w:b/>
          <w:i/>
          <w:sz w:val="22"/>
          <w:szCs w:val="22"/>
        </w:rPr>
      </w:pPr>
      <w:r w:rsidRPr="00963E8F">
        <w:rPr>
          <w:rFonts w:ascii="Palatino Linotype" w:eastAsia="Palatino Linotype" w:hAnsi="Palatino Linotype" w:cs="Palatino Linotype"/>
          <w:b/>
          <w:i/>
          <w:sz w:val="22"/>
          <w:szCs w:val="22"/>
        </w:rPr>
        <w:lastRenderedPageBreak/>
        <w:t>“DESECHAMIENTO O SOBRESEIMIENTO EN EL JUICIO DE AMPARO. NO IMPLICA DENEGACIÓN DE JUSTICIA NI GENERA INSEGURIDAD JURÍDICA”</w:t>
      </w:r>
    </w:p>
    <w:p w:rsidR="00AB22AD" w:rsidRPr="00963E8F" w:rsidRDefault="00AB22AD" w:rsidP="00AB22AD">
      <w:pPr>
        <w:ind w:left="567" w:right="567"/>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rsidR="00AB22AD" w:rsidRPr="00963E8F" w:rsidRDefault="00AB22AD" w:rsidP="00AB22AD">
      <w:pPr>
        <w:spacing w:line="360" w:lineRule="auto"/>
        <w:ind w:right="1"/>
        <w:jc w:val="both"/>
        <w:rPr>
          <w:rFonts w:ascii="Palatino Linotype" w:eastAsia="Palatino Linotype" w:hAnsi="Palatino Linotype" w:cs="Palatino Linotype"/>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sz w:val="22"/>
          <w:szCs w:val="22"/>
        </w:rPr>
      </w:pPr>
      <w:r w:rsidRPr="00963E8F">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determina </w:t>
      </w:r>
      <w:r w:rsidRPr="00963E8F">
        <w:rPr>
          <w:rFonts w:ascii="Palatino Linotype" w:eastAsia="Palatino Linotype" w:hAnsi="Palatino Linotype" w:cs="Palatino Linotype"/>
          <w:b/>
          <w:sz w:val="22"/>
          <w:szCs w:val="22"/>
        </w:rPr>
        <w:t xml:space="preserve">SOBRESEER </w:t>
      </w:r>
      <w:r w:rsidRPr="00963E8F">
        <w:rPr>
          <w:rFonts w:ascii="Palatino Linotype" w:eastAsia="Palatino Linotype" w:hAnsi="Palatino Linotype" w:cs="Palatino Linotype"/>
          <w:sz w:val="22"/>
          <w:szCs w:val="22"/>
        </w:rPr>
        <w:t xml:space="preserve">el Recurso de Revisión </w:t>
      </w:r>
      <w:r w:rsidR="003802E0" w:rsidRPr="00963E8F">
        <w:rPr>
          <w:rFonts w:ascii="Palatino Linotype" w:eastAsia="Palatino Linotype" w:hAnsi="Palatino Linotype" w:cs="Palatino Linotype"/>
          <w:b/>
          <w:sz w:val="22"/>
          <w:szCs w:val="22"/>
        </w:rPr>
        <w:t>05623</w:t>
      </w:r>
      <w:r w:rsidRPr="00963E8F">
        <w:rPr>
          <w:rFonts w:ascii="Palatino Linotype" w:eastAsia="Palatino Linotype" w:hAnsi="Palatino Linotype" w:cs="Palatino Linotype"/>
          <w:b/>
          <w:sz w:val="22"/>
          <w:szCs w:val="22"/>
        </w:rPr>
        <w:t>/INFOEM/IP/RR/2024</w:t>
      </w:r>
      <w:r w:rsidRPr="00963E8F">
        <w:rPr>
          <w:rFonts w:ascii="Palatino Linotype" w:eastAsia="Palatino Linotype" w:hAnsi="Palatino Linotype" w:cs="Palatino Linotype"/>
          <w:sz w:val="22"/>
          <w:szCs w:val="22"/>
        </w:rPr>
        <w:t>.</w:t>
      </w:r>
    </w:p>
    <w:p w:rsidR="00AB22AD" w:rsidRPr="00963E8F" w:rsidRDefault="00AB22AD" w:rsidP="00AB22AD">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63E8F">
        <w:rPr>
          <w:rFonts w:ascii="Palatino Linotype" w:eastAsia="Palatino Linotype" w:hAnsi="Palatino Linotype" w:cs="Palatino Linotype"/>
          <w:color w:val="222222"/>
          <w:sz w:val="22"/>
          <w:szCs w:val="22"/>
        </w:rPr>
        <w:t xml:space="preserve">Por lo anteriormente expuesto y fundado, este </w:t>
      </w:r>
      <w:r w:rsidRPr="00963E8F">
        <w:rPr>
          <w:rFonts w:ascii="Palatino Linotype" w:eastAsia="Palatino Linotype" w:hAnsi="Palatino Linotype" w:cs="Palatino Linotype"/>
          <w:b/>
          <w:color w:val="222222"/>
          <w:sz w:val="22"/>
          <w:szCs w:val="22"/>
        </w:rPr>
        <w:t>ÓRGANO GARANTE</w:t>
      </w:r>
      <w:r w:rsidRPr="00963E8F">
        <w:rPr>
          <w:rFonts w:ascii="Palatino Linotype" w:eastAsia="Palatino Linotype" w:hAnsi="Palatino Linotype" w:cs="Palatino Linotype"/>
          <w:color w:val="222222"/>
          <w:sz w:val="22"/>
          <w:szCs w:val="22"/>
        </w:rPr>
        <w:t xml:space="preserve"> emite los siguientes:</w:t>
      </w:r>
    </w:p>
    <w:p w:rsidR="003802E0" w:rsidRPr="00963E8F" w:rsidRDefault="003802E0" w:rsidP="003802E0">
      <w:pPr>
        <w:pStyle w:val="Prrafodelista"/>
        <w:rPr>
          <w:rFonts w:ascii="Palatino Linotype" w:eastAsia="Palatino Linotype" w:hAnsi="Palatino Linotype" w:cs="Palatino Linotype"/>
          <w:b/>
          <w:szCs w:val="22"/>
        </w:rPr>
      </w:pPr>
    </w:p>
    <w:p w:rsidR="003802E0" w:rsidRPr="00963E8F" w:rsidRDefault="003802E0" w:rsidP="003802E0">
      <w:pPr>
        <w:spacing w:line="360" w:lineRule="auto"/>
        <w:ind w:right="1"/>
        <w:jc w:val="both"/>
        <w:rPr>
          <w:rFonts w:ascii="Palatino Linotype" w:eastAsia="Palatino Linotype" w:hAnsi="Palatino Linotype" w:cs="Palatino Linotype"/>
          <w:b/>
          <w:sz w:val="22"/>
          <w:szCs w:val="22"/>
        </w:rPr>
      </w:pPr>
    </w:p>
    <w:p w:rsidR="00AB22AD" w:rsidRPr="00963E8F" w:rsidRDefault="00AB22AD" w:rsidP="00AB22AD">
      <w:pPr>
        <w:ind w:right="-592"/>
        <w:jc w:val="both"/>
        <w:rPr>
          <w:rFonts w:ascii="Palatino Linotype" w:eastAsia="Palatino Linotype" w:hAnsi="Palatino Linotype" w:cs="Palatino Linotype"/>
          <w:b/>
          <w:sz w:val="22"/>
          <w:szCs w:val="22"/>
        </w:rPr>
      </w:pPr>
    </w:p>
    <w:p w:rsidR="00AB22AD" w:rsidRPr="00963E8F" w:rsidRDefault="00AB22AD" w:rsidP="00AB22AD">
      <w:pPr>
        <w:keepNext/>
        <w:keepLines/>
        <w:spacing w:line="360" w:lineRule="auto"/>
        <w:ind w:right="-592"/>
        <w:jc w:val="center"/>
        <w:rPr>
          <w:rFonts w:ascii="Palatino Linotype" w:eastAsia="Palatino Linotype" w:hAnsi="Palatino Linotype" w:cs="Palatino Linotype"/>
          <w:b/>
          <w:color w:val="000000"/>
          <w:sz w:val="22"/>
          <w:szCs w:val="22"/>
        </w:rPr>
      </w:pPr>
      <w:r w:rsidRPr="00963E8F">
        <w:rPr>
          <w:rFonts w:ascii="Palatino Linotype" w:eastAsia="Palatino Linotype" w:hAnsi="Palatino Linotype" w:cs="Palatino Linotype"/>
          <w:b/>
          <w:color w:val="000000"/>
          <w:sz w:val="22"/>
          <w:szCs w:val="22"/>
        </w:rPr>
        <w:t>R E S O L U T I V O S</w:t>
      </w:r>
    </w:p>
    <w:p w:rsidR="00AB22AD" w:rsidRPr="00963E8F" w:rsidRDefault="00AB22AD" w:rsidP="00AB22AD">
      <w:pPr>
        <w:keepNext/>
        <w:keepLines/>
        <w:ind w:right="-592"/>
        <w:rPr>
          <w:rFonts w:ascii="Palatino Linotype" w:eastAsia="Palatino Linotype" w:hAnsi="Palatino Linotype" w:cs="Palatino Linotype"/>
          <w:b/>
          <w:color w:val="000000"/>
          <w:sz w:val="22"/>
          <w:szCs w:val="22"/>
        </w:rPr>
      </w:pPr>
    </w:p>
    <w:p w:rsidR="00AB22AD" w:rsidRPr="00963E8F" w:rsidRDefault="00AB22AD" w:rsidP="00AB22AD">
      <w:pPr>
        <w:pStyle w:val="Prrafodelista"/>
        <w:widowControl w:val="0"/>
        <w:tabs>
          <w:tab w:val="left" w:pos="1701"/>
        </w:tabs>
        <w:autoSpaceDE w:val="0"/>
        <w:autoSpaceDN w:val="0"/>
        <w:adjustRightInd w:val="0"/>
        <w:spacing w:before="120" w:line="360" w:lineRule="auto"/>
        <w:ind w:left="0"/>
        <w:jc w:val="both"/>
        <w:rPr>
          <w:rFonts w:ascii="Palatino Linotype" w:hAnsi="Palatino Linotype"/>
          <w:szCs w:val="22"/>
        </w:rPr>
      </w:pPr>
      <w:bookmarkStart w:id="6" w:name="_Toc450120669"/>
      <w:bookmarkStart w:id="7" w:name="_Toc460947011"/>
      <w:r w:rsidRPr="00963E8F">
        <w:rPr>
          <w:rFonts w:ascii="Palatino Linotype" w:hAnsi="Palatino Linotype" w:cs="Arial"/>
          <w:b/>
          <w:szCs w:val="22"/>
        </w:rPr>
        <w:t xml:space="preserve">PRIMERO. </w:t>
      </w:r>
      <w:r w:rsidRPr="00963E8F">
        <w:rPr>
          <w:rFonts w:ascii="Palatino Linotype" w:hAnsi="Palatino Linotype"/>
          <w:szCs w:val="22"/>
        </w:rPr>
        <w:t xml:space="preserve">Se </w:t>
      </w:r>
      <w:r w:rsidRPr="00963E8F">
        <w:rPr>
          <w:rFonts w:ascii="Palatino Linotype" w:hAnsi="Palatino Linotype"/>
          <w:b/>
          <w:szCs w:val="22"/>
        </w:rPr>
        <w:t>SOBRESEE</w:t>
      </w:r>
      <w:r w:rsidRPr="00963E8F">
        <w:rPr>
          <w:rFonts w:ascii="Palatino Linotype" w:hAnsi="Palatino Linotype"/>
          <w:szCs w:val="22"/>
        </w:rPr>
        <w:t xml:space="preserve"> el recurso de revisión número </w:t>
      </w:r>
      <w:r w:rsidR="003802E0" w:rsidRPr="00963E8F">
        <w:rPr>
          <w:rFonts w:ascii="Palatino Linotype" w:eastAsia="Calibri" w:hAnsi="Palatino Linotype" w:cs="Tahoma"/>
          <w:b/>
          <w:bCs/>
          <w:szCs w:val="22"/>
          <w:lang w:eastAsia="en-US"/>
        </w:rPr>
        <w:t>05623</w:t>
      </w:r>
      <w:r w:rsidRPr="00963E8F">
        <w:rPr>
          <w:rFonts w:ascii="Palatino Linotype" w:eastAsia="Calibri" w:hAnsi="Palatino Linotype" w:cs="Tahoma"/>
          <w:b/>
          <w:bCs/>
          <w:szCs w:val="22"/>
          <w:lang w:eastAsia="en-US"/>
        </w:rPr>
        <w:t>/INFOEM/IP/RR/2024</w:t>
      </w:r>
      <w:r w:rsidRPr="00963E8F">
        <w:rPr>
          <w:rFonts w:ascii="Palatino Linotype" w:hAnsi="Palatino Linotype"/>
          <w:szCs w:val="22"/>
        </w:rPr>
        <w:t>, al quedarse sin materia en términos de lo dispuesto por la fracción V</w:t>
      </w:r>
      <w:r w:rsidR="00F34741" w:rsidRPr="00963E8F">
        <w:rPr>
          <w:rFonts w:ascii="Palatino Linotype" w:hAnsi="Palatino Linotype"/>
          <w:szCs w:val="22"/>
        </w:rPr>
        <w:t>,</w:t>
      </w:r>
      <w:r w:rsidRPr="00963E8F">
        <w:rPr>
          <w:rFonts w:ascii="Palatino Linotype" w:hAnsi="Palatino Linotype"/>
          <w:szCs w:val="22"/>
        </w:rPr>
        <w:t xml:space="preserve"> del artículo 192</w:t>
      </w:r>
      <w:r w:rsidR="00F34741" w:rsidRPr="00963E8F">
        <w:rPr>
          <w:rFonts w:ascii="Palatino Linotype" w:hAnsi="Palatino Linotype"/>
          <w:szCs w:val="22"/>
        </w:rPr>
        <w:t>,</w:t>
      </w:r>
      <w:r w:rsidRPr="00963E8F">
        <w:rPr>
          <w:rFonts w:ascii="Palatino Linotype" w:hAnsi="Palatino Linotype"/>
          <w:szCs w:val="22"/>
        </w:rPr>
        <w:t xml:space="preserve"> de la Ley de Transparencia y Acceso a la Información Pública del Estado de México y Municipios, en términos del </w:t>
      </w:r>
      <w:r w:rsidRPr="00963E8F">
        <w:rPr>
          <w:rFonts w:ascii="Palatino Linotype" w:hAnsi="Palatino Linotype"/>
          <w:b/>
          <w:szCs w:val="22"/>
        </w:rPr>
        <w:t>Considerando</w:t>
      </w:r>
      <w:r w:rsidRPr="00963E8F">
        <w:rPr>
          <w:rFonts w:ascii="Palatino Linotype" w:hAnsi="Palatino Linotype"/>
          <w:szCs w:val="22"/>
        </w:rPr>
        <w:t xml:space="preserve"> </w:t>
      </w:r>
      <w:r w:rsidRPr="00963E8F">
        <w:rPr>
          <w:rFonts w:ascii="Palatino Linotype" w:hAnsi="Palatino Linotype"/>
          <w:b/>
          <w:szCs w:val="22"/>
        </w:rPr>
        <w:t>TERCERO</w:t>
      </w:r>
      <w:r w:rsidRPr="00963E8F">
        <w:rPr>
          <w:rFonts w:ascii="Palatino Linotype" w:hAnsi="Palatino Linotype"/>
          <w:szCs w:val="22"/>
        </w:rPr>
        <w:t xml:space="preserve"> de la presente resolución.</w:t>
      </w:r>
    </w:p>
    <w:p w:rsidR="00AB22AD" w:rsidRPr="00963E8F" w:rsidRDefault="00AB22AD" w:rsidP="00AB22AD">
      <w:pPr>
        <w:spacing w:before="240" w:after="360" w:line="360" w:lineRule="auto"/>
        <w:jc w:val="both"/>
        <w:rPr>
          <w:rStyle w:val="Ttulo2Car"/>
          <w:rFonts w:ascii="Palatino Linotype" w:hAnsi="Palatino Linotype"/>
          <w:b/>
          <w:color w:val="000000" w:themeColor="text1"/>
          <w:sz w:val="22"/>
          <w:szCs w:val="22"/>
        </w:rPr>
      </w:pPr>
      <w:bookmarkStart w:id="8" w:name="_Toc461648590"/>
      <w:bookmarkStart w:id="9" w:name="_Toc461648682"/>
      <w:bookmarkStart w:id="10" w:name="_Toc462228049"/>
      <w:bookmarkStart w:id="11" w:name="_Toc462228129"/>
      <w:bookmarkStart w:id="12" w:name="_Toc496099789"/>
      <w:bookmarkStart w:id="13" w:name="_Toc496100166"/>
      <w:bookmarkStart w:id="14" w:name="_Toc499756977"/>
      <w:bookmarkStart w:id="15" w:name="_Toc499757020"/>
      <w:bookmarkStart w:id="16" w:name="_Toc504377974"/>
      <w:r w:rsidRPr="00963E8F">
        <w:rPr>
          <w:rFonts w:ascii="Palatino Linotype" w:hAnsi="Palatino Linotype" w:cs="Arial"/>
          <w:b/>
          <w:sz w:val="22"/>
          <w:szCs w:val="22"/>
        </w:rPr>
        <w:lastRenderedPageBreak/>
        <w:t>SEGUNDO.</w:t>
      </w:r>
      <w:bookmarkEnd w:id="8"/>
      <w:bookmarkEnd w:id="9"/>
      <w:bookmarkEnd w:id="10"/>
      <w:bookmarkEnd w:id="11"/>
      <w:bookmarkEnd w:id="12"/>
      <w:bookmarkEnd w:id="13"/>
      <w:bookmarkEnd w:id="14"/>
      <w:bookmarkEnd w:id="15"/>
      <w:bookmarkEnd w:id="16"/>
      <w:r w:rsidRPr="00963E8F">
        <w:rPr>
          <w:rStyle w:val="Ttulo2Car"/>
          <w:rFonts w:ascii="Palatino Linotype" w:hAnsi="Palatino Linotype"/>
          <w:b/>
          <w:color w:val="000000" w:themeColor="text1"/>
          <w:sz w:val="22"/>
          <w:szCs w:val="22"/>
        </w:rPr>
        <w:t xml:space="preserve"> </w:t>
      </w:r>
      <w:r w:rsidRPr="00963E8F">
        <w:rPr>
          <w:rFonts w:ascii="Palatino Linotype" w:eastAsia="MS Mincho" w:hAnsi="Palatino Linotype" w:cs="Arial"/>
          <w:b/>
          <w:bCs/>
          <w:color w:val="000000" w:themeColor="text1"/>
          <w:sz w:val="22"/>
          <w:szCs w:val="22"/>
          <w:shd w:val="clear" w:color="auto" w:fill="FFFFFF"/>
        </w:rPr>
        <w:t xml:space="preserve">Remítase </w:t>
      </w:r>
      <w:r w:rsidRPr="00963E8F">
        <w:rPr>
          <w:rFonts w:ascii="Palatino Linotype" w:eastAsia="MS Mincho" w:hAnsi="Palatino Linotype"/>
          <w:color w:val="000000" w:themeColor="text1"/>
          <w:sz w:val="22"/>
          <w:szCs w:val="22"/>
          <w:shd w:val="clear" w:color="auto" w:fill="FFFFFF"/>
        </w:rPr>
        <w:t>al Titular de la Unidad de Transparencia del</w:t>
      </w:r>
      <w:r w:rsidRPr="00963E8F">
        <w:rPr>
          <w:rFonts w:ascii="Palatino Linotype" w:eastAsia="MS Mincho" w:hAnsi="Palatino Linotype"/>
          <w:b/>
          <w:bCs/>
          <w:color w:val="000000" w:themeColor="text1"/>
          <w:sz w:val="22"/>
          <w:szCs w:val="22"/>
          <w:shd w:val="clear" w:color="auto" w:fill="FFFFFF"/>
        </w:rPr>
        <w:t xml:space="preserve"> SUJETO OBLIGADO</w:t>
      </w:r>
      <w:r w:rsidRPr="00963E8F">
        <w:rPr>
          <w:rFonts w:ascii="Palatino Linotype" w:eastAsia="MS Mincho" w:hAnsi="Palatino Linotype"/>
          <w:color w:val="000000" w:themeColor="text1"/>
          <w:sz w:val="22"/>
          <w:szCs w:val="22"/>
          <w:shd w:val="clear" w:color="auto" w:fill="FFFFFF"/>
        </w:rPr>
        <w:t xml:space="preserve"> vía Sistema de Acceso a Información Mexiquense, </w:t>
      </w:r>
      <w:r w:rsidRPr="00963E8F">
        <w:rPr>
          <w:rFonts w:ascii="Palatino Linotype" w:eastAsia="MS Mincho" w:hAnsi="Palatino Linotype"/>
          <w:b/>
          <w:color w:val="000000" w:themeColor="text1"/>
          <w:sz w:val="22"/>
          <w:szCs w:val="22"/>
          <w:shd w:val="clear" w:color="auto" w:fill="FFFFFF"/>
        </w:rPr>
        <w:t>SAIMEX,</w:t>
      </w:r>
      <w:r w:rsidRPr="00963E8F">
        <w:rPr>
          <w:rFonts w:ascii="Palatino Linotype" w:eastAsia="MS Mincho" w:hAnsi="Palatino Linotype"/>
          <w:color w:val="000000" w:themeColor="text1"/>
          <w:sz w:val="22"/>
          <w:szCs w:val="22"/>
          <w:shd w:val="clear" w:color="auto" w:fill="FFFFFF"/>
        </w:rPr>
        <w:t xml:space="preserve"> la presente resolución. </w:t>
      </w:r>
    </w:p>
    <w:p w:rsidR="00AB22AD" w:rsidRPr="00963E8F" w:rsidRDefault="00AB22AD" w:rsidP="00AB22AD">
      <w:pPr>
        <w:spacing w:line="360" w:lineRule="auto"/>
        <w:jc w:val="both"/>
        <w:rPr>
          <w:rFonts w:ascii="Palatino Linotype" w:hAnsi="Palatino Linotype"/>
          <w:b/>
          <w:sz w:val="22"/>
          <w:szCs w:val="22"/>
        </w:rPr>
      </w:pPr>
      <w:bookmarkStart w:id="17" w:name="_Toc460947013"/>
      <w:bookmarkEnd w:id="6"/>
      <w:bookmarkEnd w:id="7"/>
      <w:r w:rsidRPr="00963E8F">
        <w:rPr>
          <w:rFonts w:ascii="Palatino Linotype" w:hAnsi="Palatino Linotype" w:cs="Arial"/>
          <w:b/>
          <w:sz w:val="22"/>
          <w:szCs w:val="22"/>
        </w:rPr>
        <w:t xml:space="preserve">TERCERO. </w:t>
      </w:r>
      <w:r w:rsidRPr="00963E8F">
        <w:rPr>
          <w:rFonts w:ascii="Palatino Linotype" w:hAnsi="Palatino Linotype"/>
          <w:b/>
          <w:bCs/>
          <w:color w:val="222222"/>
          <w:sz w:val="22"/>
          <w:szCs w:val="22"/>
          <w:lang w:val="es-ES"/>
        </w:rPr>
        <w:t>Notifíquese a</w:t>
      </w:r>
      <w:r w:rsidRPr="00963E8F">
        <w:rPr>
          <w:rFonts w:ascii="Palatino Linotype" w:hAnsi="Palatino Linotype"/>
          <w:b/>
          <w:sz w:val="22"/>
          <w:szCs w:val="22"/>
        </w:rPr>
        <w:t xml:space="preserve">l RECURRENTE </w:t>
      </w:r>
      <w:r w:rsidRPr="00963E8F">
        <w:rPr>
          <w:rFonts w:ascii="Palatino Linotype" w:hAnsi="Palatino Linotype"/>
          <w:sz w:val="22"/>
          <w:szCs w:val="22"/>
        </w:rPr>
        <w:t xml:space="preserve">la presente resolución a través de </w:t>
      </w:r>
      <w:r w:rsidRPr="00963E8F">
        <w:rPr>
          <w:rFonts w:ascii="Palatino Linotype" w:hAnsi="Palatino Linotype"/>
          <w:b/>
          <w:sz w:val="22"/>
          <w:szCs w:val="22"/>
        </w:rPr>
        <w:t>SAIMEX.</w:t>
      </w:r>
    </w:p>
    <w:p w:rsidR="00AB22AD" w:rsidRPr="00963E8F" w:rsidRDefault="00AB22AD" w:rsidP="00AB22AD">
      <w:pPr>
        <w:jc w:val="both"/>
        <w:rPr>
          <w:rFonts w:ascii="Palatino Linotype" w:hAnsi="Palatino Linotype"/>
          <w:sz w:val="22"/>
          <w:szCs w:val="22"/>
        </w:rPr>
      </w:pPr>
    </w:p>
    <w:bookmarkEnd w:id="17"/>
    <w:p w:rsidR="00AB22AD" w:rsidRPr="00963E8F" w:rsidRDefault="00AB22AD" w:rsidP="00AB22AD">
      <w:pPr>
        <w:shd w:val="clear" w:color="auto" w:fill="FFFFFF"/>
        <w:spacing w:line="360" w:lineRule="auto"/>
        <w:jc w:val="both"/>
        <w:rPr>
          <w:rFonts w:ascii="Palatino Linotype" w:eastAsia="Palatino Linotype" w:hAnsi="Palatino Linotype" w:cs="Palatino Linotype"/>
          <w:sz w:val="22"/>
          <w:szCs w:val="22"/>
        </w:rPr>
      </w:pPr>
      <w:r w:rsidRPr="00963E8F">
        <w:rPr>
          <w:rFonts w:ascii="Palatino Linotype" w:eastAsia="MS Mincho" w:hAnsi="Palatino Linotype"/>
          <w:b/>
          <w:sz w:val="22"/>
          <w:szCs w:val="22"/>
        </w:rPr>
        <w:t>CUARTO.</w:t>
      </w:r>
      <w:r w:rsidRPr="00963E8F">
        <w:rPr>
          <w:rFonts w:ascii="Palatino Linotype" w:eastAsia="MS Mincho" w:hAnsi="Palatino Linotype"/>
          <w:sz w:val="22"/>
          <w:szCs w:val="22"/>
        </w:rPr>
        <w:t xml:space="preserve"> </w:t>
      </w:r>
      <w:r w:rsidRPr="00963E8F">
        <w:rPr>
          <w:rFonts w:ascii="Palatino Linotype" w:eastAsia="MS Mincho" w:hAnsi="Palatino Linotype"/>
          <w:sz w:val="22"/>
          <w:szCs w:val="22"/>
          <w:lang w:val="es-ES"/>
        </w:rPr>
        <w:t xml:space="preserve">Se hace del conocimiento del </w:t>
      </w:r>
      <w:r w:rsidRPr="00963E8F">
        <w:rPr>
          <w:rFonts w:ascii="Palatino Linotype" w:eastAsia="Calibri" w:hAnsi="Palatino Linotype" w:cs="Tahoma"/>
          <w:b/>
          <w:sz w:val="22"/>
          <w:szCs w:val="22"/>
          <w:lang w:eastAsia="en-US"/>
        </w:rPr>
        <w:t>RECURRENTE</w:t>
      </w:r>
      <w:r w:rsidRPr="00963E8F">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963E8F">
        <w:rPr>
          <w:rFonts w:ascii="Palatino Linotype" w:eastAsia="MS Mincho" w:hAnsi="Palatino Linotype"/>
          <w:bCs/>
          <w:sz w:val="22"/>
          <w:szCs w:val="22"/>
          <w:lang w:val="es-ES"/>
        </w:rPr>
        <w:t>vía juicio de amparo</w:t>
      </w:r>
      <w:r w:rsidRPr="00963E8F">
        <w:rPr>
          <w:rFonts w:ascii="Palatino Linotype" w:eastAsia="MS Mincho" w:hAnsi="Palatino Linotype"/>
          <w:sz w:val="22"/>
          <w:szCs w:val="22"/>
          <w:lang w:val="es-ES"/>
        </w:rPr>
        <w:t> en los términos de las leyes aplicables.</w:t>
      </w:r>
    </w:p>
    <w:p w:rsidR="00AB22AD" w:rsidRPr="00963E8F" w:rsidRDefault="00AB22AD" w:rsidP="00AB22AD">
      <w:pPr>
        <w:pBdr>
          <w:top w:val="nil"/>
          <w:left w:val="nil"/>
          <w:bottom w:val="nil"/>
          <w:right w:val="nil"/>
          <w:between w:val="nil"/>
        </w:pBdr>
        <w:jc w:val="both"/>
        <w:rPr>
          <w:rFonts w:ascii="Palatino Linotype" w:eastAsia="Palatino Linotype" w:hAnsi="Palatino Linotype" w:cs="Palatino Linotype"/>
          <w:b/>
          <w:color w:val="000000"/>
          <w:sz w:val="22"/>
          <w:szCs w:val="22"/>
        </w:rPr>
      </w:pPr>
    </w:p>
    <w:p w:rsidR="00AB22AD" w:rsidRPr="00963E8F" w:rsidRDefault="00AB22AD" w:rsidP="00AB22AD">
      <w:pPr>
        <w:spacing w:line="360" w:lineRule="auto"/>
        <w:jc w:val="both"/>
        <w:rPr>
          <w:rFonts w:ascii="Palatino Linotype" w:eastAsiaTheme="minorHAnsi" w:hAnsi="Palatino Linotype" w:cstheme="minorBidi"/>
          <w:sz w:val="22"/>
          <w:szCs w:val="22"/>
          <w:lang w:eastAsia="es-ES_tradnl"/>
        </w:rPr>
      </w:pPr>
      <w:r w:rsidRPr="00963E8F">
        <w:rPr>
          <w:rFonts w:ascii="Palatino Linotype" w:eastAsia="Palatino Linotype" w:hAnsi="Palatino Linotype" w:cs="Palatino Linotype"/>
          <w:b/>
          <w:color w:val="000000"/>
          <w:sz w:val="22"/>
          <w:szCs w:val="22"/>
        </w:rPr>
        <w:t xml:space="preserve">QUINTO. </w:t>
      </w:r>
      <w:r w:rsidRPr="00963E8F">
        <w:rPr>
          <w:rFonts w:ascii="Palatino Linotype" w:eastAsiaTheme="minorHAnsi" w:hAnsi="Palatino Linotype" w:cstheme="minorBidi"/>
          <w:sz w:val="22"/>
          <w:szCs w:val="22"/>
          <w:lang w:eastAsia="es-ES_tradnl"/>
        </w:rPr>
        <w:t xml:space="preserve">Gírese oficio al Titular de la Dirección General de Protección de Datos Personales, en atención al artículo 82, fracción XXVII de la Ley de Protección de Datos Personales del Estado de México y Municipios en términos de lo señalado en el </w:t>
      </w:r>
      <w:r w:rsidRPr="00963E8F">
        <w:rPr>
          <w:rFonts w:ascii="Palatino Linotype" w:eastAsiaTheme="minorHAnsi" w:hAnsi="Palatino Linotype" w:cstheme="minorBidi"/>
          <w:b/>
          <w:bCs/>
          <w:sz w:val="22"/>
          <w:szCs w:val="22"/>
          <w:lang w:eastAsia="es-ES_tradnl"/>
        </w:rPr>
        <w:t>Considerando TERCERO</w:t>
      </w:r>
      <w:r w:rsidRPr="00963E8F">
        <w:rPr>
          <w:rFonts w:ascii="Palatino Linotype" w:eastAsiaTheme="minorHAnsi" w:hAnsi="Palatino Linotype" w:cstheme="minorBidi"/>
          <w:sz w:val="22"/>
          <w:szCs w:val="22"/>
          <w:lang w:eastAsia="es-ES_tradnl"/>
        </w:rPr>
        <w:t xml:space="preserve"> de la presente resolución.</w:t>
      </w:r>
    </w:p>
    <w:p w:rsidR="00AB22AD" w:rsidRPr="00963E8F" w:rsidRDefault="00AB22AD" w:rsidP="003802E0">
      <w:pPr>
        <w:pStyle w:val="Prrafodelista"/>
        <w:spacing w:line="360" w:lineRule="auto"/>
        <w:ind w:left="0"/>
        <w:jc w:val="both"/>
        <w:rPr>
          <w:rFonts w:ascii="Palatino Linotype" w:hAnsi="Palatino Linotype" w:cs="Arial"/>
          <w:szCs w:val="22"/>
          <w:lang w:val="es-ES" w:eastAsia="es-ES"/>
        </w:rPr>
      </w:pPr>
    </w:p>
    <w:p w:rsidR="000A7117" w:rsidRPr="00963E8F" w:rsidRDefault="000A7117" w:rsidP="000A7117">
      <w:pPr>
        <w:pStyle w:val="Prrafodelista"/>
        <w:rPr>
          <w:rFonts w:ascii="Palatino Linotype" w:hAnsi="Palatino Linotype" w:cs="Arial"/>
          <w:szCs w:val="22"/>
          <w:lang w:val="es-ES" w:eastAsia="es-ES"/>
        </w:rPr>
      </w:pPr>
    </w:p>
    <w:p w:rsidR="00F34741" w:rsidRPr="003C7186" w:rsidRDefault="00F34741" w:rsidP="00F34741">
      <w:pPr>
        <w:spacing w:line="360" w:lineRule="auto"/>
        <w:ind w:left="-142" w:right="-234" w:firstLine="1"/>
        <w:jc w:val="both"/>
        <w:rPr>
          <w:rFonts w:ascii="Palatino Linotype" w:hAnsi="Palatino Linotype"/>
        </w:rPr>
      </w:pPr>
      <w:r w:rsidRPr="00963E8F">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93CA5" w:rsidRPr="00963E8F">
        <w:rPr>
          <w:rFonts w:ascii="Palatino Linotype" w:hAnsi="Palatino Linotype"/>
        </w:rPr>
        <w:t xml:space="preserve">EMITIENDO VOTO PARTICULAR </w:t>
      </w:r>
      <w:r w:rsidRPr="00963E8F">
        <w:rPr>
          <w:rFonts w:ascii="Palatino Linotype" w:hAnsi="Palatino Linotype"/>
        </w:rPr>
        <w:t>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0A7117" w:rsidRPr="00A7785F" w:rsidRDefault="000A7117" w:rsidP="000A7117">
      <w:pPr>
        <w:rPr>
          <w:sz w:val="22"/>
          <w:szCs w:val="22"/>
        </w:rPr>
      </w:pPr>
    </w:p>
    <w:p w:rsidR="00BC3844" w:rsidRDefault="00BC3844">
      <w:pPr>
        <w:rPr>
          <w:sz w:val="22"/>
          <w:szCs w:val="22"/>
        </w:rPr>
      </w:pPr>
    </w:p>
    <w:p w:rsidR="00963E8F" w:rsidRDefault="00963E8F">
      <w:pPr>
        <w:rPr>
          <w:sz w:val="22"/>
          <w:szCs w:val="22"/>
        </w:rPr>
      </w:pPr>
    </w:p>
    <w:p w:rsidR="00963E8F" w:rsidRDefault="00963E8F">
      <w:pPr>
        <w:rPr>
          <w:sz w:val="22"/>
          <w:szCs w:val="22"/>
        </w:rPr>
      </w:pPr>
    </w:p>
    <w:p w:rsidR="00963E8F" w:rsidRPr="00A7785F" w:rsidRDefault="00963E8F">
      <w:pPr>
        <w:rPr>
          <w:sz w:val="22"/>
          <w:szCs w:val="22"/>
        </w:rPr>
      </w:pPr>
    </w:p>
    <w:sectPr w:rsidR="00963E8F" w:rsidRPr="00A7785F" w:rsidSect="00584172">
      <w:headerReference w:type="even" r:id="rId7"/>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70" w:rsidRDefault="002B3F70" w:rsidP="000A7117">
      <w:r>
        <w:separator/>
      </w:r>
    </w:p>
  </w:endnote>
  <w:endnote w:type="continuationSeparator" w:id="0">
    <w:p w:rsidR="002B3F70" w:rsidRDefault="002B3F70" w:rsidP="000A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5F" w:rsidRDefault="00A7785F">
    <w:pPr>
      <w:pStyle w:val="Piedepgina"/>
      <w:jc w:val="right"/>
    </w:pPr>
    <w:r>
      <w:rPr>
        <w:lang w:val="es-ES"/>
      </w:rPr>
      <w:t xml:space="preserve">Página </w:t>
    </w:r>
    <w:r>
      <w:rPr>
        <w:b/>
        <w:bCs/>
      </w:rPr>
      <w:fldChar w:fldCharType="begin"/>
    </w:r>
    <w:r>
      <w:rPr>
        <w:b/>
        <w:bCs/>
      </w:rPr>
      <w:instrText>PAGE</w:instrText>
    </w:r>
    <w:r>
      <w:rPr>
        <w:b/>
        <w:bCs/>
      </w:rPr>
      <w:fldChar w:fldCharType="separate"/>
    </w:r>
    <w:r w:rsidR="00812CE3">
      <w:rPr>
        <w:b/>
        <w:bCs/>
        <w:noProof/>
      </w:rPr>
      <w:t>11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12CE3">
      <w:rPr>
        <w:b/>
        <w:bCs/>
        <w:noProof/>
      </w:rPr>
      <w:t>24</w:t>
    </w:r>
    <w:r>
      <w:rPr>
        <w:b/>
        <w:bCs/>
      </w:rPr>
      <w:fldChar w:fldCharType="end"/>
    </w:r>
  </w:p>
  <w:p w:rsidR="00A7785F" w:rsidRDefault="00A778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5F" w:rsidRDefault="00A7785F">
    <w:pPr>
      <w:pStyle w:val="Piedepgina"/>
      <w:jc w:val="right"/>
    </w:pPr>
    <w:r>
      <w:rPr>
        <w:lang w:val="es-ES"/>
      </w:rPr>
      <w:t xml:space="preserve">Página </w:t>
    </w:r>
    <w:r>
      <w:rPr>
        <w:b/>
        <w:bCs/>
      </w:rPr>
      <w:fldChar w:fldCharType="begin"/>
    </w:r>
    <w:r>
      <w:rPr>
        <w:b/>
        <w:bCs/>
      </w:rPr>
      <w:instrText>PAGE</w:instrText>
    </w:r>
    <w:r>
      <w:rPr>
        <w:b/>
        <w:bCs/>
      </w:rPr>
      <w:fldChar w:fldCharType="separate"/>
    </w:r>
    <w:r w:rsidR="00812CE3">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12CE3">
      <w:rPr>
        <w:b/>
        <w:bCs/>
        <w:noProof/>
      </w:rPr>
      <w:t>24</w:t>
    </w:r>
    <w:r>
      <w:rPr>
        <w:b/>
        <w:bCs/>
      </w:rPr>
      <w:fldChar w:fldCharType="end"/>
    </w:r>
  </w:p>
  <w:p w:rsidR="00A7785F" w:rsidRDefault="00A77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70" w:rsidRDefault="002B3F70" w:rsidP="000A7117">
      <w:r>
        <w:separator/>
      </w:r>
    </w:p>
  </w:footnote>
  <w:footnote w:type="continuationSeparator" w:id="0">
    <w:p w:rsidR="002B3F70" w:rsidRDefault="002B3F70" w:rsidP="000A7117">
      <w:r>
        <w:continuationSeparator/>
      </w:r>
    </w:p>
  </w:footnote>
  <w:footnote w:id="1">
    <w:p w:rsidR="00A7785F" w:rsidRDefault="00A7785F" w:rsidP="00A7785F">
      <w:pPr>
        <w:pStyle w:val="Textonotapie"/>
      </w:pPr>
      <w:r>
        <w:rPr>
          <w:rStyle w:val="Refdenotaalpie"/>
        </w:rPr>
        <w:footnoteRef/>
      </w:r>
      <w:r>
        <w:t xml:space="preserve"> Artículo 150. Ley de Transparencia y Acceso a la Información Pública del Estado de México y Municipios.</w:t>
      </w:r>
    </w:p>
    <w:p w:rsidR="00A7785F" w:rsidRDefault="00A7785F" w:rsidP="00A7785F">
      <w:pPr>
        <w:pStyle w:val="Textonotapie"/>
      </w:pPr>
      <w:r>
        <w:t>Artículo 151. Ibídem.</w:t>
      </w:r>
    </w:p>
  </w:footnote>
  <w:footnote w:id="2">
    <w:p w:rsidR="00A7785F" w:rsidRDefault="00A7785F" w:rsidP="00A7785F">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5F" w:rsidRDefault="002B3F7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A7785F" w:rsidRPr="005C106F" w:rsidTr="00584172">
      <w:trPr>
        <w:trHeight w:val="1435"/>
      </w:trPr>
      <w:tc>
        <w:tcPr>
          <w:tcW w:w="2268" w:type="dxa"/>
          <w:shd w:val="clear" w:color="auto" w:fill="auto"/>
        </w:tcPr>
        <w:p w:rsidR="00A7785F" w:rsidRPr="005C106F" w:rsidRDefault="00A7785F" w:rsidP="00584172">
          <w:pPr>
            <w:tabs>
              <w:tab w:val="right" w:pos="4273"/>
            </w:tabs>
            <w:rPr>
              <w:rFonts w:ascii="Garamond" w:eastAsia="Calibri" w:hAnsi="Garamond"/>
              <w:sz w:val="16"/>
              <w:szCs w:val="16"/>
              <w:lang w:eastAsia="en-US"/>
            </w:rPr>
          </w:pPr>
        </w:p>
      </w:tc>
      <w:tc>
        <w:tcPr>
          <w:tcW w:w="6946" w:type="dxa"/>
          <w:shd w:val="clear" w:color="auto" w:fill="auto"/>
        </w:tcPr>
        <w:p w:rsidR="00A7785F" w:rsidRDefault="00A7785F" w:rsidP="00584172"/>
        <w:tbl>
          <w:tblPr>
            <w:tblW w:w="6662" w:type="dxa"/>
            <w:tblInd w:w="40" w:type="dxa"/>
            <w:tblLayout w:type="fixed"/>
            <w:tblLook w:val="0420" w:firstRow="1" w:lastRow="0" w:firstColumn="0" w:lastColumn="0" w:noHBand="0" w:noVBand="1"/>
          </w:tblPr>
          <w:tblGrid>
            <w:gridCol w:w="2551"/>
            <w:gridCol w:w="4111"/>
          </w:tblGrid>
          <w:tr w:rsidR="00A7785F" w:rsidTr="00584172">
            <w:trPr>
              <w:trHeight w:val="150"/>
            </w:trPr>
            <w:tc>
              <w:tcPr>
                <w:tcW w:w="2551" w:type="dxa"/>
                <w:shd w:val="clear" w:color="auto" w:fill="auto"/>
              </w:tcPr>
              <w:p w:rsidR="00A7785F" w:rsidRPr="00020E73" w:rsidRDefault="00A7785F" w:rsidP="00584172">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A7785F" w:rsidRPr="00020E73" w:rsidRDefault="00A7785F" w:rsidP="00584172">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05623/INFOEM/IP/RR/</w:t>
                </w:r>
                <w:r w:rsidRPr="00667AA0">
                  <w:rPr>
                    <w:rFonts w:ascii="Palatino Linotype" w:eastAsia="Calibri" w:hAnsi="Palatino Linotype" w:cs="Tahoma"/>
                    <w:bCs/>
                    <w:sz w:val="22"/>
                    <w:szCs w:val="22"/>
                    <w:lang w:eastAsia="en-US"/>
                  </w:rPr>
                  <w:t>2024</w:t>
                </w:r>
                <w:r w:rsidRPr="009E7B0A">
                  <w:rPr>
                    <w:rFonts w:ascii="Palatino Linotype" w:eastAsia="Calibri" w:hAnsi="Palatino Linotype" w:cs="Tahoma"/>
                    <w:b/>
                    <w:bCs/>
                    <w:sz w:val="22"/>
                    <w:szCs w:val="22"/>
                    <w:lang w:eastAsia="en-US"/>
                  </w:rPr>
                  <w:t xml:space="preserve"> </w:t>
                </w:r>
              </w:p>
            </w:tc>
          </w:tr>
          <w:tr w:rsidR="00A7785F" w:rsidTr="00584172">
            <w:trPr>
              <w:trHeight w:val="295"/>
            </w:trPr>
            <w:tc>
              <w:tcPr>
                <w:tcW w:w="2551" w:type="dxa"/>
                <w:shd w:val="clear" w:color="auto" w:fill="auto"/>
              </w:tcPr>
              <w:p w:rsidR="00A7785F" w:rsidRPr="00020E73" w:rsidRDefault="00A7785F" w:rsidP="00584172">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A7785F" w:rsidRPr="001131A8" w:rsidRDefault="00A7785F" w:rsidP="00584172">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Ayuntamiento de Polotitlán </w:t>
                </w:r>
              </w:p>
            </w:tc>
          </w:tr>
          <w:tr w:rsidR="00A7785F" w:rsidTr="00584172">
            <w:trPr>
              <w:trHeight w:val="295"/>
            </w:trPr>
            <w:tc>
              <w:tcPr>
                <w:tcW w:w="2551" w:type="dxa"/>
                <w:shd w:val="clear" w:color="auto" w:fill="auto"/>
              </w:tcPr>
              <w:p w:rsidR="00A7785F" w:rsidRPr="00020E73" w:rsidRDefault="00A7785F" w:rsidP="00584172">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A7785F" w:rsidRPr="00020E73" w:rsidRDefault="00A7785F" w:rsidP="00584172">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A7785F" w:rsidRPr="00020E73" w:rsidRDefault="00A7785F" w:rsidP="00584172">
                <w:pPr>
                  <w:tabs>
                    <w:tab w:val="right" w:pos="8838"/>
                  </w:tabs>
                  <w:ind w:left="-108" w:right="171"/>
                  <w:jc w:val="both"/>
                  <w:rPr>
                    <w:rFonts w:ascii="Palatino Linotype" w:eastAsia="Calibri" w:hAnsi="Palatino Linotype" w:cs="Tahoma"/>
                    <w:b/>
                    <w:sz w:val="22"/>
                    <w:szCs w:val="22"/>
                    <w:lang w:val="es-ES" w:eastAsia="en-US"/>
                  </w:rPr>
                </w:pPr>
              </w:p>
            </w:tc>
          </w:tr>
        </w:tbl>
        <w:p w:rsidR="00A7785F" w:rsidRPr="005C106F" w:rsidRDefault="00A7785F" w:rsidP="00584172">
          <w:pPr>
            <w:tabs>
              <w:tab w:val="right" w:pos="8838"/>
            </w:tabs>
            <w:ind w:left="-28"/>
            <w:jc w:val="both"/>
            <w:rPr>
              <w:rFonts w:ascii="Arial" w:eastAsia="Calibri" w:hAnsi="Arial" w:cs="Arial"/>
              <w:b/>
              <w:sz w:val="22"/>
              <w:szCs w:val="22"/>
              <w:lang w:eastAsia="en-US"/>
            </w:rPr>
          </w:pPr>
        </w:p>
      </w:tc>
    </w:tr>
  </w:tbl>
  <w:p w:rsidR="00A7785F" w:rsidRPr="00443C6B" w:rsidRDefault="002B3F70" w:rsidP="00584172">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A7785F" w:rsidRPr="00330DA7" w:rsidTr="00584172">
      <w:trPr>
        <w:trHeight w:val="1435"/>
      </w:trPr>
      <w:tc>
        <w:tcPr>
          <w:tcW w:w="2268" w:type="dxa"/>
          <w:shd w:val="clear" w:color="auto" w:fill="auto"/>
        </w:tcPr>
        <w:p w:rsidR="00A7785F" w:rsidRPr="00330DA7" w:rsidRDefault="00A7785F" w:rsidP="00584172">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A7785F" w:rsidRPr="00330DA7" w:rsidTr="00584172">
            <w:trPr>
              <w:trHeight w:val="144"/>
            </w:trPr>
            <w:tc>
              <w:tcPr>
                <w:tcW w:w="2444" w:type="dxa"/>
                <w:shd w:val="clear" w:color="auto" w:fill="auto"/>
              </w:tcPr>
              <w:p w:rsidR="00A7785F" w:rsidRPr="00020E73" w:rsidRDefault="00A7785F" w:rsidP="00584172">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A7785F" w:rsidRPr="00020E73" w:rsidRDefault="00A7785F" w:rsidP="00584172">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05623/INFOEM/IP/RR/</w:t>
                </w:r>
                <w:r w:rsidRPr="00667AA0">
                  <w:rPr>
                    <w:rFonts w:ascii="Palatino Linotype" w:eastAsia="Calibri" w:hAnsi="Palatino Linotype" w:cs="Tahoma"/>
                    <w:sz w:val="22"/>
                    <w:szCs w:val="22"/>
                    <w:lang w:eastAsia="en-US"/>
                  </w:rPr>
                  <w:t>2024</w:t>
                </w:r>
              </w:p>
            </w:tc>
          </w:tr>
          <w:tr w:rsidR="00A7785F" w:rsidRPr="00330DA7" w:rsidTr="00584172">
            <w:trPr>
              <w:trHeight w:val="144"/>
            </w:trPr>
            <w:tc>
              <w:tcPr>
                <w:tcW w:w="2444" w:type="dxa"/>
                <w:shd w:val="clear" w:color="auto" w:fill="auto"/>
              </w:tcPr>
              <w:p w:rsidR="00A7785F" w:rsidRPr="00020E73" w:rsidRDefault="00A7785F" w:rsidP="00584172">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A7785F" w:rsidRPr="000A7117" w:rsidRDefault="00812CE3" w:rsidP="00584172">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XXXX</w:t>
                </w:r>
              </w:p>
            </w:tc>
          </w:tr>
          <w:tr w:rsidR="00A7785F" w:rsidRPr="00330DA7" w:rsidTr="00584172">
            <w:trPr>
              <w:trHeight w:val="283"/>
            </w:trPr>
            <w:tc>
              <w:tcPr>
                <w:tcW w:w="2444" w:type="dxa"/>
                <w:shd w:val="clear" w:color="auto" w:fill="auto"/>
              </w:tcPr>
              <w:p w:rsidR="00A7785F" w:rsidRPr="00020E73" w:rsidRDefault="00A7785F" w:rsidP="00584172">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A7785F" w:rsidRPr="007914B7" w:rsidRDefault="00A7785F" w:rsidP="00584172">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Ayuntamiento de Polotitlán </w:t>
                </w:r>
              </w:p>
            </w:tc>
          </w:tr>
          <w:tr w:rsidR="00A7785F" w:rsidRPr="00330DA7" w:rsidTr="00584172">
            <w:trPr>
              <w:trHeight w:val="283"/>
            </w:trPr>
            <w:tc>
              <w:tcPr>
                <w:tcW w:w="2444" w:type="dxa"/>
                <w:shd w:val="clear" w:color="auto" w:fill="auto"/>
              </w:tcPr>
              <w:p w:rsidR="00A7785F" w:rsidRPr="00020E73" w:rsidRDefault="00A7785F" w:rsidP="00584172">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A7785F" w:rsidRPr="00020E73" w:rsidRDefault="00A7785F" w:rsidP="00584172">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A7785F" w:rsidRPr="00020E73" w:rsidRDefault="00A7785F" w:rsidP="00584172">
                <w:pPr>
                  <w:tabs>
                    <w:tab w:val="right" w:pos="8838"/>
                  </w:tabs>
                  <w:ind w:left="-74" w:right="-105"/>
                  <w:jc w:val="both"/>
                  <w:rPr>
                    <w:rFonts w:ascii="Palatino Linotype" w:eastAsia="Calibri" w:hAnsi="Palatino Linotype" w:cs="Tahoma"/>
                    <w:b/>
                    <w:sz w:val="22"/>
                    <w:szCs w:val="22"/>
                    <w:lang w:val="es-ES" w:eastAsia="en-US"/>
                  </w:rPr>
                </w:pPr>
              </w:p>
            </w:tc>
          </w:tr>
        </w:tbl>
        <w:p w:rsidR="00A7785F" w:rsidRPr="00330DA7" w:rsidRDefault="00A7785F" w:rsidP="00584172">
          <w:pPr>
            <w:tabs>
              <w:tab w:val="right" w:pos="8838"/>
            </w:tabs>
            <w:ind w:left="-28"/>
            <w:jc w:val="both"/>
            <w:rPr>
              <w:rFonts w:ascii="Arial" w:eastAsia="Calibri" w:hAnsi="Arial" w:cs="Arial"/>
              <w:b/>
              <w:sz w:val="22"/>
              <w:szCs w:val="22"/>
              <w:lang w:eastAsia="en-US"/>
            </w:rPr>
          </w:pPr>
        </w:p>
      </w:tc>
    </w:tr>
  </w:tbl>
  <w:p w:rsidR="00A7785F" w:rsidRPr="00827FA0" w:rsidRDefault="002B3F70" w:rsidP="00584172">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270"/>
    <w:multiLevelType w:val="hybridMultilevel"/>
    <w:tmpl w:val="F8C4158E"/>
    <w:lvl w:ilvl="0" w:tplc="F0F2F2C8">
      <w:start w:val="1"/>
      <w:numFmt w:val="decimal"/>
      <w:lvlText w:val="%1."/>
      <w:lvlJc w:val="left"/>
      <w:pPr>
        <w:ind w:left="36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A84A4B"/>
    <w:multiLevelType w:val="hybridMultilevel"/>
    <w:tmpl w:val="B9B61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7E5D13"/>
    <w:multiLevelType w:val="hybridMultilevel"/>
    <w:tmpl w:val="D1B258E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8BF5CB9"/>
    <w:multiLevelType w:val="hybridMultilevel"/>
    <w:tmpl w:val="D4345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F112CDC0"/>
    <w:lvl w:ilvl="0" w:tplc="CDB4059E">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5346D1"/>
    <w:multiLevelType w:val="multilevel"/>
    <w:tmpl w:val="FFD414D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176A8E"/>
    <w:multiLevelType w:val="multilevel"/>
    <w:tmpl w:val="10C482A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2B190D"/>
    <w:multiLevelType w:val="hybridMultilevel"/>
    <w:tmpl w:val="88B4C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5635EF3"/>
    <w:multiLevelType w:val="hybridMultilevel"/>
    <w:tmpl w:val="BE2C1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2608DA"/>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E66088"/>
    <w:multiLevelType w:val="hybridMultilevel"/>
    <w:tmpl w:val="316A2C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70136A0"/>
    <w:multiLevelType w:val="hybridMultilevel"/>
    <w:tmpl w:val="7D443150"/>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0"/>
  </w:num>
  <w:num w:numId="7">
    <w:abstractNumId w:val="5"/>
  </w:num>
  <w:num w:numId="8">
    <w:abstractNumId w:val="6"/>
  </w:num>
  <w:num w:numId="9">
    <w:abstractNumId w:val="8"/>
  </w:num>
  <w:num w:numId="10">
    <w:abstractNumId w:val="9"/>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17"/>
    <w:rsid w:val="00065D15"/>
    <w:rsid w:val="000A7117"/>
    <w:rsid w:val="000C7C70"/>
    <w:rsid w:val="000E4189"/>
    <w:rsid w:val="002B3F70"/>
    <w:rsid w:val="003802E0"/>
    <w:rsid w:val="004F52A6"/>
    <w:rsid w:val="00554A56"/>
    <w:rsid w:val="00584172"/>
    <w:rsid w:val="005C0A9F"/>
    <w:rsid w:val="00793CA5"/>
    <w:rsid w:val="008008B5"/>
    <w:rsid w:val="00812CE3"/>
    <w:rsid w:val="00963E8F"/>
    <w:rsid w:val="009A56B9"/>
    <w:rsid w:val="00A7785F"/>
    <w:rsid w:val="00AA07C0"/>
    <w:rsid w:val="00AB22AD"/>
    <w:rsid w:val="00BC3844"/>
    <w:rsid w:val="00C00E98"/>
    <w:rsid w:val="00DC46A2"/>
    <w:rsid w:val="00E26C90"/>
    <w:rsid w:val="00F34741"/>
    <w:rsid w:val="00F81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C9D6BF-02DF-43A1-9D97-DEFD7823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1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AB22A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117"/>
    <w:pPr>
      <w:tabs>
        <w:tab w:val="center" w:pos="4419"/>
        <w:tab w:val="right" w:pos="8838"/>
      </w:tabs>
    </w:pPr>
  </w:style>
  <w:style w:type="character" w:customStyle="1" w:styleId="EncabezadoCar">
    <w:name w:val="Encabezado Car"/>
    <w:basedOn w:val="Fuentedeprrafopredeter"/>
    <w:link w:val="Encabezado"/>
    <w:uiPriority w:val="99"/>
    <w:rsid w:val="000A711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A7117"/>
    <w:pPr>
      <w:tabs>
        <w:tab w:val="center" w:pos="4419"/>
        <w:tab w:val="right" w:pos="8838"/>
      </w:tabs>
    </w:pPr>
  </w:style>
  <w:style w:type="character" w:customStyle="1" w:styleId="PiedepginaCar">
    <w:name w:val="Pie de página Car"/>
    <w:basedOn w:val="Fuentedeprrafopredeter"/>
    <w:link w:val="Piedepgina"/>
    <w:uiPriority w:val="99"/>
    <w:rsid w:val="000A711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A711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A7117"/>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0A7117"/>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A7117"/>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A7117"/>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A7117"/>
    <w:rPr>
      <w:vertAlign w:val="superscript"/>
    </w:rPr>
  </w:style>
  <w:style w:type="character" w:customStyle="1" w:styleId="Ttulo2Car">
    <w:name w:val="Título 2 Car"/>
    <w:basedOn w:val="Fuentedeprrafopredeter"/>
    <w:link w:val="Ttulo2"/>
    <w:uiPriority w:val="9"/>
    <w:rsid w:val="00AB22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6672</Words>
  <Characters>36696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Cuenta Microsoft</cp:lastModifiedBy>
  <cp:revision>6</cp:revision>
  <cp:lastPrinted>2025-03-13T17:03:00Z</cp:lastPrinted>
  <dcterms:created xsi:type="dcterms:W3CDTF">2025-03-10T20:40:00Z</dcterms:created>
  <dcterms:modified xsi:type="dcterms:W3CDTF">2025-04-01T17:39:00Z</dcterms:modified>
</cp:coreProperties>
</file>