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62" w:rsidRDefault="00FB5862">
      <w:pPr>
        <w:widowControl w:val="0"/>
        <w:pBdr>
          <w:top w:val="nil"/>
          <w:left w:val="nil"/>
          <w:bottom w:val="nil"/>
          <w:right w:val="nil"/>
          <w:between w:val="nil"/>
        </w:pBdr>
        <w:spacing w:line="276" w:lineRule="auto"/>
      </w:pPr>
    </w:p>
    <w:p w:rsidR="00FB5862" w:rsidRPr="0064244C" w:rsidRDefault="00F855F4">
      <w:pPr>
        <w:tabs>
          <w:tab w:val="left" w:pos="3465"/>
        </w:tabs>
        <w:spacing w:line="360" w:lineRule="auto"/>
        <w:jc w:val="both"/>
        <w:rPr>
          <w:rFonts w:ascii="Palatino Linotype" w:eastAsia="Palatino Linotype" w:hAnsi="Palatino Linotype" w:cs="Palatino Linotype"/>
        </w:rPr>
      </w:pPr>
      <w:r w:rsidRPr="0064244C">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veintidós de enero de dos mil veinticinco.</w:t>
      </w:r>
    </w:p>
    <w:p w:rsidR="00FB5862" w:rsidRPr="0064244C" w:rsidRDefault="00FB5862">
      <w:pPr>
        <w:tabs>
          <w:tab w:val="left" w:pos="3465"/>
        </w:tabs>
        <w:spacing w:line="360" w:lineRule="auto"/>
        <w:jc w:val="both"/>
        <w:rPr>
          <w:rFonts w:ascii="Palatino Linotype" w:eastAsia="Palatino Linotype" w:hAnsi="Palatino Linotype" w:cs="Palatino Linotype"/>
        </w:rPr>
      </w:pPr>
    </w:p>
    <w:p w:rsidR="00FB5862" w:rsidRPr="0064244C" w:rsidRDefault="00F855F4">
      <w:pPr>
        <w:spacing w:line="360" w:lineRule="auto"/>
        <w:jc w:val="both"/>
        <w:rPr>
          <w:rFonts w:ascii="Palatino Linotype" w:eastAsia="Palatino Linotype" w:hAnsi="Palatino Linotype" w:cs="Palatino Linotype"/>
        </w:rPr>
      </w:pPr>
      <w:r w:rsidRPr="0064244C">
        <w:rPr>
          <w:rFonts w:ascii="Palatino Linotype" w:eastAsia="Palatino Linotype" w:hAnsi="Palatino Linotype" w:cs="Palatino Linotype"/>
          <w:b/>
        </w:rPr>
        <w:t xml:space="preserve">VISTAS </w:t>
      </w:r>
      <w:r w:rsidRPr="0064244C">
        <w:rPr>
          <w:rFonts w:ascii="Palatino Linotype" w:eastAsia="Palatino Linotype" w:hAnsi="Palatino Linotype" w:cs="Palatino Linotype"/>
        </w:rPr>
        <w:t xml:space="preserve">las constancias para resolver el Recurso de Revisión </w:t>
      </w:r>
      <w:r w:rsidRPr="0064244C">
        <w:rPr>
          <w:rFonts w:ascii="Palatino Linotype" w:eastAsia="Palatino Linotype" w:hAnsi="Palatino Linotype" w:cs="Palatino Linotype"/>
          <w:b/>
          <w:sz w:val="22"/>
          <w:szCs w:val="22"/>
        </w:rPr>
        <w:t xml:space="preserve">07293/INFOEM/IP/RR/2024, </w:t>
      </w:r>
      <w:r w:rsidRPr="0064244C">
        <w:rPr>
          <w:rFonts w:ascii="Palatino Linotype" w:eastAsia="Palatino Linotype" w:hAnsi="Palatino Linotype" w:cs="Palatino Linotype"/>
        </w:rPr>
        <w:t xml:space="preserve">presentado por </w:t>
      </w:r>
      <w:r w:rsidRPr="0064244C">
        <w:rPr>
          <w:rFonts w:ascii="Palatino Linotype" w:eastAsia="Palatino Linotype" w:hAnsi="Palatino Linotype" w:cs="Palatino Linotype"/>
          <w:color w:val="000000"/>
        </w:rPr>
        <w:t>una persona que no aportó datos de identificación</w:t>
      </w:r>
      <w:r w:rsidRPr="0064244C">
        <w:rPr>
          <w:rFonts w:ascii="Palatino Linotype" w:eastAsia="Palatino Linotype" w:hAnsi="Palatino Linotype" w:cs="Palatino Linotype"/>
          <w:b/>
          <w:color w:val="000000"/>
        </w:rPr>
        <w:t xml:space="preserve"> </w:t>
      </w:r>
      <w:r w:rsidRPr="0064244C">
        <w:rPr>
          <w:rFonts w:ascii="Palatino Linotype" w:eastAsia="Palatino Linotype" w:hAnsi="Palatino Linotype" w:cs="Palatino Linotype"/>
        </w:rPr>
        <w:t xml:space="preserve">en lo sucesivo el </w:t>
      </w:r>
      <w:r w:rsidRPr="0064244C">
        <w:rPr>
          <w:rFonts w:ascii="Palatino Linotype" w:eastAsia="Palatino Linotype" w:hAnsi="Palatino Linotype" w:cs="Palatino Linotype"/>
          <w:b/>
        </w:rPr>
        <w:t>Recurrente</w:t>
      </w:r>
      <w:r w:rsidRPr="0064244C">
        <w:rPr>
          <w:rFonts w:ascii="Palatino Linotype" w:eastAsia="Palatino Linotype" w:hAnsi="Palatino Linotype" w:cs="Palatino Linotype"/>
        </w:rPr>
        <w:t xml:space="preserve">, en contra de la respuesta otorgada a la solicitud de información con número de folio </w:t>
      </w:r>
      <w:r w:rsidRPr="0064244C">
        <w:rPr>
          <w:rFonts w:ascii="Palatino Linotype" w:eastAsia="Palatino Linotype" w:hAnsi="Palatino Linotype" w:cs="Palatino Linotype"/>
          <w:b/>
        </w:rPr>
        <w:t>00041/DIFHUEHUET/IP/2024</w:t>
      </w:r>
      <w:r w:rsidRPr="0064244C">
        <w:rPr>
          <w:rFonts w:ascii="Palatino Linotype" w:eastAsia="Palatino Linotype" w:hAnsi="Palatino Linotype" w:cs="Palatino Linotype"/>
        </w:rPr>
        <w:t xml:space="preserve">, por parte del </w:t>
      </w:r>
      <w:r w:rsidRPr="0064244C">
        <w:rPr>
          <w:rFonts w:ascii="Palatino Linotype" w:eastAsia="Palatino Linotype" w:hAnsi="Palatino Linotype" w:cs="Palatino Linotype"/>
          <w:b/>
        </w:rPr>
        <w:t xml:space="preserve">Sistema Municipal Para el Desarrollo Integral de la Familia de Huehuetoca </w:t>
      </w:r>
      <w:r w:rsidRPr="0064244C">
        <w:rPr>
          <w:rFonts w:ascii="Palatino Linotype" w:eastAsia="Palatino Linotype" w:hAnsi="Palatino Linotype" w:cs="Palatino Linotype"/>
        </w:rPr>
        <w:t>en adelante el Sujeto Obligado; Se emite la presente resolución con base en los siguientes:</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sidRPr="0064244C">
        <w:rPr>
          <w:rFonts w:ascii="Palatino Linotype" w:eastAsia="Palatino Linotype" w:hAnsi="Palatino Linotype" w:cs="Palatino Linotype"/>
          <w:b/>
          <w:color w:val="000000"/>
          <w:sz w:val="24"/>
          <w:szCs w:val="24"/>
        </w:rPr>
        <w:t>ANTECEDENTES</w:t>
      </w:r>
    </w:p>
    <w:p w:rsidR="00FB5862" w:rsidRPr="0064244C" w:rsidRDefault="00FB5862">
      <w:pPr>
        <w:spacing w:line="360" w:lineRule="auto"/>
        <w:rPr>
          <w:rFonts w:ascii="Palatino Linotype" w:eastAsia="Palatino Linotype" w:hAnsi="Palatino Linotype" w:cs="Palatino Linotype"/>
        </w:rPr>
      </w:pPr>
    </w:p>
    <w:p w:rsidR="00FB5862" w:rsidRPr="0064244C" w:rsidRDefault="00F855F4">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u w:val="single"/>
        </w:rPr>
      </w:pPr>
      <w:r w:rsidRPr="0064244C">
        <w:rPr>
          <w:rFonts w:ascii="Palatino Linotype" w:eastAsia="Palatino Linotype" w:hAnsi="Palatino Linotype" w:cs="Palatino Linotype"/>
          <w:b/>
          <w:color w:val="000000"/>
          <w:u w:val="single"/>
        </w:rPr>
        <w:t>Solicitud de acceso a la información pública.</w:t>
      </w:r>
    </w:p>
    <w:p w:rsidR="00FB5862" w:rsidRPr="0064244C" w:rsidRDefault="00F855F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El día</w:t>
      </w:r>
      <w:r w:rsidRPr="0064244C">
        <w:rPr>
          <w:rFonts w:ascii="Palatino Linotype" w:eastAsia="Palatino Linotype" w:hAnsi="Palatino Linotype" w:cs="Palatino Linotype"/>
          <w:b/>
          <w:color w:val="000000"/>
        </w:rPr>
        <w:t xml:space="preserve"> veintitrés de octubre de dos mil veinticuatro</w:t>
      </w:r>
      <w:r w:rsidRPr="0064244C">
        <w:rPr>
          <w:rFonts w:ascii="Palatino Linotype" w:eastAsia="Palatino Linotype" w:hAnsi="Palatino Linotype" w:cs="Palatino Linotype"/>
          <w:color w:val="000000"/>
        </w:rPr>
        <w:t>,</w:t>
      </w:r>
      <w:r w:rsidRPr="0064244C">
        <w:rPr>
          <w:rFonts w:ascii="Palatino Linotype" w:eastAsia="Palatino Linotype" w:hAnsi="Palatino Linotype" w:cs="Palatino Linotype"/>
          <w:b/>
          <w:color w:val="000000"/>
        </w:rPr>
        <w:t xml:space="preserve"> </w:t>
      </w:r>
      <w:r w:rsidRPr="0064244C">
        <w:rPr>
          <w:rFonts w:ascii="Palatino Linotype" w:eastAsia="Palatino Linotype" w:hAnsi="Palatino Linotype" w:cs="Palatino Linotype"/>
          <w:color w:val="000000"/>
        </w:rPr>
        <w:t>se presentó ante el Sujeto Obligado vía Sistema de Acceso a la Información Mexiquense, en adelante (SAIMEX), la siguiente solicitud de información pública:</w:t>
      </w:r>
    </w:p>
    <w:p w:rsidR="00FB5862" w:rsidRPr="0064244C" w:rsidRDefault="00FB58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i/>
          <w:color w:val="000000"/>
        </w:rPr>
        <w:lastRenderedPageBreak/>
        <w:t>“solicito me sean remitidos a través de este medio 1.-MANUALES DE ORGANIZACIÓN Y PROCEDIMIENTOS VIGENTES 2.- REGLAMENTO ORGANICO DE SISTEMA MUNICIPAL PARA EL DESARROLLO INTEGRAL DE LA FAMILIA Lo anterior lo solicitó ya que la fracción 1 del artículo 92 de su sistema IPOMEX no se encuentra actualizada de igual manera solicito saber el nombre del titular de la Unidad de Transparencia ya que si incompetencia es clara al no poder tener actualizado dicho sistema.”</w:t>
      </w:r>
    </w:p>
    <w:p w:rsidR="00FB5862" w:rsidRPr="0064244C" w:rsidRDefault="00FB5862">
      <w:pPr>
        <w:pBdr>
          <w:top w:val="nil"/>
          <w:left w:val="nil"/>
          <w:bottom w:val="nil"/>
          <w:right w:val="nil"/>
          <w:between w:val="nil"/>
        </w:pBdr>
        <w:spacing w:line="360" w:lineRule="auto"/>
        <w:ind w:left="851"/>
        <w:jc w:val="both"/>
        <w:rPr>
          <w:rFonts w:ascii="Palatino Linotype" w:eastAsia="Palatino Linotype" w:hAnsi="Palatino Linotype" w:cs="Palatino Linotype"/>
          <w:color w:val="000000"/>
        </w:rPr>
      </w:pPr>
    </w:p>
    <w:p w:rsidR="00FB5862" w:rsidRPr="0064244C" w:rsidRDefault="00F855F4">
      <w:pPr>
        <w:numPr>
          <w:ilvl w:val="0"/>
          <w:numId w:val="8"/>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 xml:space="preserve">Se eligió como modalidad de entrega de la información: A través del </w:t>
      </w:r>
      <w:r w:rsidRPr="0064244C">
        <w:rPr>
          <w:rFonts w:ascii="Palatino Linotype" w:eastAsia="Palatino Linotype" w:hAnsi="Palatino Linotype" w:cs="Palatino Linotype"/>
          <w:b/>
          <w:color w:val="000000"/>
        </w:rPr>
        <w:t>SAIMEX.</w:t>
      </w:r>
    </w:p>
    <w:p w:rsidR="00FB5862" w:rsidRPr="0064244C" w:rsidRDefault="00FB5862">
      <w:p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color w:val="000000"/>
        </w:rPr>
      </w:pPr>
    </w:p>
    <w:p w:rsidR="00FB5862" w:rsidRPr="0064244C" w:rsidRDefault="00F855F4">
      <w:pPr>
        <w:numPr>
          <w:ilvl w:val="0"/>
          <w:numId w:val="3"/>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b/>
          <w:color w:val="000000"/>
          <w:u w:val="single"/>
        </w:rPr>
      </w:pPr>
      <w:r w:rsidRPr="0064244C">
        <w:rPr>
          <w:rFonts w:ascii="Palatino Linotype" w:eastAsia="Palatino Linotype" w:hAnsi="Palatino Linotype" w:cs="Palatino Linotype"/>
          <w:b/>
          <w:color w:val="000000"/>
          <w:u w:val="single"/>
        </w:rPr>
        <w:t xml:space="preserve">De la respuesta del Sujeto Obligado. </w:t>
      </w:r>
    </w:p>
    <w:p w:rsidR="00FB5862" w:rsidRPr="0064244C" w:rsidRDefault="00F855F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 xml:space="preserve">El </w:t>
      </w:r>
      <w:r w:rsidRPr="0064244C">
        <w:rPr>
          <w:rFonts w:ascii="Palatino Linotype" w:eastAsia="Palatino Linotype" w:hAnsi="Palatino Linotype" w:cs="Palatino Linotype"/>
          <w:b/>
          <w:color w:val="000000"/>
        </w:rPr>
        <w:t>once de noviembre de dos mil veinticuatro</w:t>
      </w:r>
      <w:r w:rsidRPr="0064244C">
        <w:rPr>
          <w:rFonts w:ascii="Palatino Linotype" w:eastAsia="Palatino Linotype" w:hAnsi="Palatino Linotype" w:cs="Palatino Linotype"/>
          <w:color w:val="000000"/>
        </w:rPr>
        <w:t>, el Sujeto Obligado</w:t>
      </w:r>
      <w:r w:rsidRPr="0064244C">
        <w:rPr>
          <w:rFonts w:ascii="Palatino Linotype" w:eastAsia="Palatino Linotype" w:hAnsi="Palatino Linotype" w:cs="Palatino Linotype"/>
          <w:b/>
          <w:color w:val="000000"/>
        </w:rPr>
        <w:t>,</w:t>
      </w:r>
      <w:r w:rsidRPr="0064244C">
        <w:rPr>
          <w:rFonts w:ascii="Palatino Linotype" w:eastAsia="Palatino Linotype" w:hAnsi="Palatino Linotype" w:cs="Palatino Linotype"/>
          <w:color w:val="000000"/>
        </w:rPr>
        <w:t xml:space="preserve"> dio respuesta a través de dos archivos de nombres: </w:t>
      </w:r>
      <w:r w:rsidRPr="0064244C">
        <w:rPr>
          <w:rFonts w:ascii="Palatino Linotype" w:eastAsia="Palatino Linotype" w:hAnsi="Palatino Linotype" w:cs="Palatino Linotype"/>
          <w:i/>
          <w:color w:val="000000"/>
        </w:rPr>
        <w:t>MANUAL DE ORGANIZACION Y PROCEEDIMIENTO.pdf, REGLAMENTO ORGANICO 2024.docx</w:t>
      </w:r>
      <w:r w:rsidRPr="0064244C">
        <w:rPr>
          <w:rFonts w:ascii="Palatino Linotype" w:eastAsia="Palatino Linotype" w:hAnsi="Palatino Linotype" w:cs="Palatino Linotype"/>
          <w:color w:val="000000"/>
        </w:rPr>
        <w:t xml:space="preserve"> y, </w:t>
      </w:r>
      <w:r w:rsidRPr="0064244C">
        <w:rPr>
          <w:rFonts w:ascii="Palatino Linotype" w:eastAsia="Palatino Linotype" w:hAnsi="Palatino Linotype" w:cs="Palatino Linotype"/>
          <w:i/>
          <w:color w:val="000000"/>
        </w:rPr>
        <w:t>OFICIO DIRECTOR GENERAL</w:t>
      </w:r>
      <w:proofErr w:type="gramStart"/>
      <w:r w:rsidRPr="0064244C">
        <w:rPr>
          <w:rFonts w:ascii="Palatino Linotype" w:eastAsia="Palatino Linotype" w:hAnsi="Palatino Linotype" w:cs="Palatino Linotype"/>
          <w:i/>
          <w:color w:val="000000"/>
        </w:rPr>
        <w:t>..</w:t>
      </w:r>
      <w:proofErr w:type="spellStart"/>
      <w:proofErr w:type="gramEnd"/>
      <w:r w:rsidRPr="0064244C">
        <w:rPr>
          <w:rFonts w:ascii="Palatino Linotype" w:eastAsia="Palatino Linotype" w:hAnsi="Palatino Linotype" w:cs="Palatino Linotype"/>
          <w:i/>
          <w:color w:val="000000"/>
        </w:rPr>
        <w:t>pdf</w:t>
      </w:r>
      <w:proofErr w:type="spellEnd"/>
      <w:r w:rsidRPr="0064244C">
        <w:rPr>
          <w:rFonts w:ascii="Palatino Linotype" w:eastAsia="Palatino Linotype" w:hAnsi="Palatino Linotype" w:cs="Palatino Linotype"/>
          <w:color w:val="000000"/>
        </w:rPr>
        <w:t>, cuyo contenido corresponde al oficio suscrito por el Director General del Sistema Municipal DIF de Huehuetoca mediante el cual informe de la respuesta otorgada; asimismo en los dos archivos complementarios obran el Reglamento Orgánico de la Administración Pública Municipal De Huehuetoca, Estado de México 2024 y el Manual de Organización y Manual de Procedimientos de la Unidad de Transparencia del SMMDIF de Huehuetoca 2022.</w:t>
      </w:r>
    </w:p>
    <w:p w:rsidR="00FB5862" w:rsidRPr="0064244C" w:rsidRDefault="00FB5862">
      <w:pPr>
        <w:pBdr>
          <w:top w:val="nil"/>
          <w:left w:val="nil"/>
          <w:bottom w:val="nil"/>
          <w:right w:val="nil"/>
          <w:between w:val="nil"/>
        </w:pBdr>
        <w:spacing w:line="360" w:lineRule="auto"/>
        <w:ind w:left="1069"/>
        <w:jc w:val="both"/>
        <w:rPr>
          <w:rFonts w:ascii="Palatino Linotype" w:eastAsia="Palatino Linotype" w:hAnsi="Palatino Linotype" w:cs="Palatino Linotype"/>
          <w:b/>
          <w:color w:val="000000"/>
        </w:rPr>
      </w:pPr>
    </w:p>
    <w:p w:rsidR="00FB5862" w:rsidRPr="0064244C" w:rsidRDefault="00F855F4">
      <w:pPr>
        <w:numPr>
          <w:ilvl w:val="0"/>
          <w:numId w:val="7"/>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i/>
          <w:color w:val="000000"/>
          <w:u w:val="single"/>
        </w:rPr>
      </w:pPr>
      <w:r w:rsidRPr="0064244C">
        <w:rPr>
          <w:rFonts w:ascii="Palatino Linotype" w:eastAsia="Palatino Linotype" w:hAnsi="Palatino Linotype" w:cs="Palatino Linotype"/>
          <w:b/>
          <w:color w:val="000000"/>
          <w:u w:val="single"/>
        </w:rPr>
        <w:t>Recurso de Revisión (razones o motivos de inconformidad)</w:t>
      </w:r>
    </w:p>
    <w:p w:rsidR="00FB5862" w:rsidRPr="0064244C" w:rsidRDefault="00F855F4">
      <w:pPr>
        <w:numPr>
          <w:ilvl w:val="0"/>
          <w:numId w:val="1"/>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color w:val="000000"/>
        </w:rPr>
        <w:t>El</w:t>
      </w:r>
      <w:r w:rsidRPr="0064244C">
        <w:rPr>
          <w:rFonts w:ascii="Palatino Linotype" w:eastAsia="Palatino Linotype" w:hAnsi="Palatino Linotype" w:cs="Palatino Linotype"/>
          <w:b/>
          <w:color w:val="000000"/>
        </w:rPr>
        <w:t xml:space="preserve"> veintiuno de noviembre dos mil veinticuatro</w:t>
      </w:r>
      <w:r w:rsidRPr="0064244C">
        <w:rPr>
          <w:rFonts w:ascii="Palatino Linotype" w:eastAsia="Palatino Linotype" w:hAnsi="Palatino Linotype" w:cs="Palatino Linotype"/>
          <w:color w:val="000000"/>
        </w:rPr>
        <w:t>, el particular interpuso el recurso de revisión en contra de la respuesta, realizando las siguientes manifestaciones:</w:t>
      </w:r>
    </w:p>
    <w:p w:rsidR="00FB5862" w:rsidRPr="0064244C" w:rsidRDefault="00FB5862">
      <w:pPr>
        <w:pBdr>
          <w:top w:val="nil"/>
          <w:left w:val="nil"/>
          <w:bottom w:val="nil"/>
          <w:right w:val="nil"/>
          <w:between w:val="nil"/>
        </w:pBdr>
        <w:tabs>
          <w:tab w:val="left" w:pos="0"/>
        </w:tabs>
        <w:spacing w:line="360" w:lineRule="auto"/>
        <w:jc w:val="both"/>
        <w:rPr>
          <w:rFonts w:ascii="Palatino Linotype" w:eastAsia="Palatino Linotype" w:hAnsi="Palatino Linotype" w:cs="Palatino Linotype"/>
          <w:i/>
          <w:color w:val="000000"/>
        </w:rPr>
      </w:pPr>
    </w:p>
    <w:p w:rsidR="00FB5862" w:rsidRPr="0064244C" w:rsidRDefault="00F855F4">
      <w:pPr>
        <w:numPr>
          <w:ilvl w:val="0"/>
          <w:numId w:val="6"/>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bookmarkStart w:id="1" w:name="_heading=h.30j0zll" w:colFirst="0" w:colLast="0"/>
      <w:bookmarkEnd w:id="1"/>
      <w:r w:rsidRPr="0064244C">
        <w:rPr>
          <w:rFonts w:ascii="Palatino Linotype" w:eastAsia="Palatino Linotype" w:hAnsi="Palatino Linotype" w:cs="Palatino Linotype"/>
          <w:b/>
          <w:color w:val="000000"/>
        </w:rPr>
        <w:t xml:space="preserve">ACTO IMPUGNADO: </w:t>
      </w:r>
      <w:r w:rsidRPr="0064244C">
        <w:rPr>
          <w:rFonts w:ascii="Palatino Linotype" w:eastAsia="Palatino Linotype" w:hAnsi="Palatino Linotype" w:cs="Palatino Linotype"/>
          <w:i/>
          <w:color w:val="000000"/>
        </w:rPr>
        <w:t>“No proporcionaron de manera correcta lo que se solicitó, además de que, si están conscientes de lo que se solicitó no lo tienen, no se generó un acta de inexistencia de la información”</w:t>
      </w:r>
    </w:p>
    <w:p w:rsidR="00FB5862" w:rsidRPr="0064244C" w:rsidRDefault="00FB5862">
      <w:pPr>
        <w:pBdr>
          <w:top w:val="nil"/>
          <w:left w:val="nil"/>
          <w:bottom w:val="nil"/>
          <w:right w:val="nil"/>
          <w:between w:val="nil"/>
        </w:pBdr>
        <w:spacing w:line="360" w:lineRule="auto"/>
        <w:ind w:left="709"/>
        <w:jc w:val="both"/>
        <w:rPr>
          <w:rFonts w:ascii="Palatino Linotype" w:eastAsia="Palatino Linotype" w:hAnsi="Palatino Linotype" w:cs="Palatino Linotype"/>
          <w:i/>
          <w:color w:val="000000"/>
        </w:rPr>
      </w:pPr>
    </w:p>
    <w:p w:rsidR="00FB5862" w:rsidRPr="0064244C" w:rsidRDefault="00F855F4">
      <w:pPr>
        <w:numPr>
          <w:ilvl w:val="0"/>
          <w:numId w:val="6"/>
        </w:numPr>
        <w:pBdr>
          <w:top w:val="nil"/>
          <w:left w:val="nil"/>
          <w:bottom w:val="nil"/>
          <w:right w:val="nil"/>
          <w:between w:val="nil"/>
        </w:pBdr>
        <w:spacing w:line="360" w:lineRule="auto"/>
        <w:ind w:hanging="360"/>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b/>
          <w:color w:val="000000"/>
        </w:rPr>
        <w:t xml:space="preserve">RAZONES O MOTIVOS DE LA INCONFORMIDAD: </w:t>
      </w:r>
      <w:r w:rsidRPr="0064244C">
        <w:rPr>
          <w:rFonts w:ascii="Palatino Linotype" w:eastAsia="Palatino Linotype" w:hAnsi="Palatino Linotype" w:cs="Palatino Linotype"/>
          <w:i/>
          <w:color w:val="000000"/>
        </w:rPr>
        <w:t xml:space="preserve">“Con respecto al Manual de Organización que remitieron de la Unidad de Transparencia, (que por cierto parece que lo hicieron niños de primaria ya que no cumple con la normativa en </w:t>
      </w:r>
      <w:proofErr w:type="spellStart"/>
      <w:r w:rsidRPr="0064244C">
        <w:rPr>
          <w:rFonts w:ascii="Palatino Linotype" w:eastAsia="Palatino Linotype" w:hAnsi="Palatino Linotype" w:cs="Palatino Linotype"/>
          <w:i/>
          <w:color w:val="000000"/>
        </w:rPr>
        <w:t>lol</w:t>
      </w:r>
      <w:proofErr w:type="spellEnd"/>
      <w:r w:rsidRPr="0064244C">
        <w:rPr>
          <w:rFonts w:ascii="Palatino Linotype" w:eastAsia="Palatino Linotype" w:hAnsi="Palatino Linotype" w:cs="Palatino Linotype"/>
          <w:i/>
          <w:color w:val="000000"/>
        </w:rPr>
        <w:t xml:space="preserve"> más mínimo) remitieron el del año 2022, además hay una inconsistencia en que según la persona que lo elaboro fue Adrián Mendoza López, y al final Firma Carlos Alberto Brito Espinosa, y en la solicitud de información solicite Todos los manuales de Organización y Procedimientos Vigentes. Ahora con respecto al Reglamento Orgánico, solicite el Reglamento Orgánico del Sistema DIF municipal y remitieron el Del Gobierno de Huehuetoca, ya que si bien es cierto mencionan a los Organismos Descentralizados, también es cierto que el </w:t>
      </w:r>
      <w:proofErr w:type="spellStart"/>
      <w:r w:rsidRPr="0064244C">
        <w:rPr>
          <w:rFonts w:ascii="Palatino Linotype" w:eastAsia="Palatino Linotype" w:hAnsi="Palatino Linotype" w:cs="Palatino Linotype"/>
          <w:i/>
          <w:color w:val="000000"/>
        </w:rPr>
        <w:t>Dif</w:t>
      </w:r>
      <w:proofErr w:type="spellEnd"/>
      <w:r w:rsidRPr="0064244C">
        <w:rPr>
          <w:rFonts w:ascii="Palatino Linotype" w:eastAsia="Palatino Linotype" w:hAnsi="Palatino Linotype" w:cs="Palatino Linotype"/>
          <w:i/>
          <w:color w:val="000000"/>
        </w:rPr>
        <w:t xml:space="preserve"> debería contar con reglamento orgánico ya que de no ser así, violaría El principio de legalidad que se encuentra contenido en </w:t>
      </w:r>
      <w:r w:rsidRPr="0064244C">
        <w:rPr>
          <w:rFonts w:ascii="Palatino Linotype" w:eastAsia="Palatino Linotype" w:hAnsi="Palatino Linotype" w:cs="Palatino Linotype"/>
          <w:i/>
          <w:color w:val="000000"/>
        </w:rPr>
        <w:lastRenderedPageBreak/>
        <w:t xml:space="preserve">los artículos 14 y 16 de la Constitución Política de los Estados Unidos Mexicanos, los cuales a se describen a continuación: : Artículo 14.- “…Nadie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 Artículo. - 16.- “…Nadie puede ser molestado en su persona, familia, domicilio, papeles o posesiones, sino en virtud de mandamiento escrito de la autoridad competente, que funde y motive la causa legal del procedimiento…” Lo anterior es así ya que solo se mencionan las áreas del </w:t>
      </w:r>
      <w:proofErr w:type="spellStart"/>
      <w:r w:rsidRPr="0064244C">
        <w:rPr>
          <w:rFonts w:ascii="Palatino Linotype" w:eastAsia="Palatino Linotype" w:hAnsi="Palatino Linotype" w:cs="Palatino Linotype"/>
          <w:i/>
          <w:color w:val="000000"/>
        </w:rPr>
        <w:t>dif</w:t>
      </w:r>
      <w:proofErr w:type="spellEnd"/>
      <w:r w:rsidRPr="0064244C">
        <w:rPr>
          <w:rFonts w:ascii="Palatino Linotype" w:eastAsia="Palatino Linotype" w:hAnsi="Palatino Linotype" w:cs="Palatino Linotype"/>
          <w:i/>
          <w:color w:val="000000"/>
        </w:rPr>
        <w:t xml:space="preserve">, mas no las facultades con las que cuenta cada área, e incluso hay áreas que ni siquiera se mencionan pero si </w:t>
      </w:r>
      <w:proofErr w:type="spellStart"/>
      <w:r w:rsidRPr="0064244C">
        <w:rPr>
          <w:rFonts w:ascii="Palatino Linotype" w:eastAsia="Palatino Linotype" w:hAnsi="Palatino Linotype" w:cs="Palatino Linotype"/>
          <w:i/>
          <w:color w:val="000000"/>
        </w:rPr>
        <w:t>estan</w:t>
      </w:r>
      <w:proofErr w:type="spellEnd"/>
      <w:r w:rsidRPr="0064244C">
        <w:rPr>
          <w:rFonts w:ascii="Palatino Linotype" w:eastAsia="Palatino Linotype" w:hAnsi="Palatino Linotype" w:cs="Palatino Linotype"/>
          <w:i/>
          <w:color w:val="000000"/>
        </w:rPr>
        <w:t xml:space="preserve"> creadas como el </w:t>
      </w:r>
      <w:proofErr w:type="spellStart"/>
      <w:r w:rsidRPr="0064244C">
        <w:rPr>
          <w:rFonts w:ascii="Palatino Linotype" w:eastAsia="Palatino Linotype" w:hAnsi="Palatino Linotype" w:cs="Palatino Linotype"/>
          <w:i/>
          <w:color w:val="000000"/>
        </w:rPr>
        <w:t>area</w:t>
      </w:r>
      <w:proofErr w:type="spellEnd"/>
      <w:r w:rsidRPr="0064244C">
        <w:rPr>
          <w:rFonts w:ascii="Palatino Linotype" w:eastAsia="Palatino Linotype" w:hAnsi="Palatino Linotype" w:cs="Palatino Linotype"/>
          <w:i/>
          <w:color w:val="000000"/>
        </w:rPr>
        <w:t xml:space="preserve"> de Recursos Humanos, solo por mencionar una”</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rsidR="00FB5862" w:rsidRPr="0064244C" w:rsidRDefault="00F855F4">
      <w:pPr>
        <w:numPr>
          <w:ilvl w:val="0"/>
          <w:numId w:val="7"/>
        </w:numPr>
        <w:pBdr>
          <w:top w:val="nil"/>
          <w:left w:val="nil"/>
          <w:bottom w:val="nil"/>
          <w:right w:val="nil"/>
          <w:between w:val="nil"/>
        </w:pBdr>
        <w:tabs>
          <w:tab w:val="left" w:pos="0"/>
        </w:tabs>
        <w:spacing w:line="360" w:lineRule="auto"/>
        <w:ind w:left="709"/>
        <w:jc w:val="both"/>
        <w:rPr>
          <w:rFonts w:ascii="Palatino Linotype" w:eastAsia="Palatino Linotype" w:hAnsi="Palatino Linotype" w:cs="Palatino Linotype"/>
          <w:i/>
          <w:color w:val="000000"/>
          <w:u w:val="single"/>
        </w:rPr>
      </w:pPr>
      <w:r w:rsidRPr="0064244C">
        <w:rPr>
          <w:rFonts w:ascii="Palatino Linotype" w:eastAsia="Palatino Linotype" w:hAnsi="Palatino Linotype" w:cs="Palatino Linotype"/>
          <w:b/>
          <w:color w:val="000000"/>
          <w:u w:val="single"/>
        </w:rPr>
        <w:t>Manifestaciones, alegatos y respuesta complementaría.</w:t>
      </w:r>
    </w:p>
    <w:p w:rsidR="00FB5862" w:rsidRPr="0064244C" w:rsidRDefault="00F855F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color w:val="000000"/>
        </w:rPr>
        <w:t>Con fundamento en lo dispuesto por el artículo 185 fracción II de la ley de la materia, se acordó a las partes a efecto de que en un plazo máximo de siete días, el Recurrente manifestara lo que a su derecho conviniera, ofrecieran pruebas y alegatos, y el Sujeto Obligado presentará el Informe Justificado.</w:t>
      </w:r>
    </w:p>
    <w:p w:rsidR="00FB5862" w:rsidRPr="0064244C" w:rsidRDefault="00FB58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B5862" w:rsidRPr="0064244C" w:rsidRDefault="00F855F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El Recurrente</w:t>
      </w:r>
      <w:r w:rsidRPr="0064244C">
        <w:rPr>
          <w:rFonts w:ascii="Palatino Linotype" w:eastAsia="Palatino Linotype" w:hAnsi="Palatino Linotype" w:cs="Palatino Linotype"/>
          <w:b/>
          <w:color w:val="000000"/>
        </w:rPr>
        <w:t xml:space="preserve"> </w:t>
      </w:r>
      <w:r w:rsidRPr="0064244C">
        <w:rPr>
          <w:rFonts w:ascii="Palatino Linotype" w:eastAsia="Palatino Linotype" w:hAnsi="Palatino Linotype" w:cs="Palatino Linotype"/>
          <w:color w:val="000000"/>
        </w:rPr>
        <w:t xml:space="preserve">dejó de realizar manifestaciones que a su derecho conviniera y asistiera. Por su parte el Sujeto Obligado, rindió su informe justificado mediante oficio signado por el Director General del Sistema Municipal para el Desarrollo </w:t>
      </w:r>
      <w:r w:rsidRPr="0064244C">
        <w:rPr>
          <w:rFonts w:ascii="Palatino Linotype" w:eastAsia="Palatino Linotype" w:hAnsi="Palatino Linotype" w:cs="Palatino Linotype"/>
          <w:color w:val="000000"/>
        </w:rPr>
        <w:lastRenderedPageBreak/>
        <w:t>Integral de la Familia de Huehuetoca, en el que solicita sea considerada procedente la respuesta inicial y se confirme, añadiendo como elementos novedosos las razones y circunstancias por las que no se remiten la totalidad de manuales de organización vigentes, a saber por  motivos de actualización.</w:t>
      </w:r>
    </w:p>
    <w:p w:rsidR="00367BEA" w:rsidRPr="0064244C" w:rsidRDefault="00367BEA" w:rsidP="00367BEA">
      <w:pPr>
        <w:pStyle w:val="Prrafodelista"/>
        <w:rPr>
          <w:rFonts w:ascii="Palatino Linotype" w:eastAsia="Palatino Linotype" w:hAnsi="Palatino Linotype" w:cs="Palatino Linotype"/>
          <w:color w:val="000000"/>
        </w:rPr>
      </w:pPr>
    </w:p>
    <w:p w:rsidR="00FB5862" w:rsidRPr="0064244C" w:rsidRDefault="00F855F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2" w:name="_heading=h.1fob9te" w:colFirst="0" w:colLast="0"/>
      <w:bookmarkEnd w:id="2"/>
      <w:r w:rsidRPr="0064244C">
        <w:rPr>
          <w:rFonts w:ascii="Palatino Linotype" w:eastAsia="Palatino Linotype" w:hAnsi="Palatino Linotype" w:cs="Palatino Linotype"/>
          <w:color w:val="000000"/>
        </w:rPr>
        <w:t>Seguidamente, en fecha veintidós de enero de dos mil veinticinco, la Comisionada Ponente dictó el cierre del periodo de instrucción y, ordenó la resolución que conforme a Derecho proceda, de acuerdo a las siguientes:</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rsidR="00FB5862" w:rsidRPr="0064244C" w:rsidRDefault="00F855F4">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64244C">
        <w:rPr>
          <w:rFonts w:ascii="Palatino Linotype" w:eastAsia="Palatino Linotype" w:hAnsi="Palatino Linotype" w:cs="Palatino Linotype"/>
          <w:b/>
          <w:color w:val="000000"/>
        </w:rPr>
        <w:t>C O N S I D E R A C I O N E S</w:t>
      </w:r>
    </w:p>
    <w:p w:rsidR="00FB5862" w:rsidRPr="0064244C" w:rsidRDefault="00FB5862">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FB5862" w:rsidRPr="0064244C" w:rsidRDefault="00F855F4">
      <w:pPr>
        <w:pStyle w:val="Ttulo2"/>
        <w:spacing w:before="0" w:line="360" w:lineRule="auto"/>
        <w:rPr>
          <w:rFonts w:ascii="Palatino Linotype" w:eastAsia="Palatino Linotype" w:hAnsi="Palatino Linotype" w:cs="Palatino Linotype"/>
          <w:b/>
          <w:color w:val="000000"/>
          <w:sz w:val="24"/>
          <w:szCs w:val="24"/>
        </w:rPr>
      </w:pPr>
      <w:bookmarkStart w:id="3" w:name="_heading=h.3znysh7" w:colFirst="0" w:colLast="0"/>
      <w:bookmarkEnd w:id="3"/>
      <w:r w:rsidRPr="0064244C">
        <w:rPr>
          <w:rFonts w:ascii="Palatino Linotype" w:eastAsia="Palatino Linotype" w:hAnsi="Palatino Linotype" w:cs="Palatino Linotype"/>
          <w:b/>
          <w:color w:val="000000"/>
          <w:sz w:val="24"/>
          <w:szCs w:val="24"/>
        </w:rPr>
        <w:t>PRIMERA. Competencia</w:t>
      </w:r>
    </w:p>
    <w:p w:rsidR="00FB5862" w:rsidRPr="0064244C" w:rsidRDefault="00F855F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 xml:space="preserve">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w:t>
      </w:r>
      <w:r w:rsidRPr="0064244C">
        <w:rPr>
          <w:rFonts w:ascii="Palatino Linotype" w:eastAsia="Palatino Linotype" w:hAnsi="Palatino Linotype" w:cs="Palatino Linotype"/>
          <w:color w:val="000000"/>
        </w:rPr>
        <w:lastRenderedPageBreak/>
        <w:t>Municipios; 7°, 9°, fracciones I y XXIII, y 11 del Reglamento Interior del Instituto de Transparencia, Acceso a la Información Pública y Protección de Datos Personales del Estado de México y Municipios.</w:t>
      </w:r>
    </w:p>
    <w:p w:rsidR="00FB5862" w:rsidRPr="0064244C" w:rsidRDefault="00FB58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B5862" w:rsidRPr="0064244C" w:rsidRDefault="00F855F4">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64244C">
        <w:rPr>
          <w:rFonts w:ascii="Palatino Linotype" w:eastAsia="Palatino Linotype" w:hAnsi="Palatino Linotype" w:cs="Palatino Linotype"/>
          <w:b/>
          <w:color w:val="000000"/>
          <w:sz w:val="24"/>
          <w:szCs w:val="24"/>
        </w:rPr>
        <w:t>SEGUNDA. Procedencia.</w:t>
      </w: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Este Órgano Garante considera que el medio de impugnación reúne los requisitos de procedencia </w:t>
      </w:r>
      <w:r w:rsidRPr="0064244C">
        <w:rPr>
          <w:rFonts w:ascii="Palatino Linotype" w:eastAsia="Palatino Linotype" w:hAnsi="Palatino Linotype" w:cs="Palatino Linotype"/>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spacing w:line="360" w:lineRule="auto"/>
        <w:ind w:left="709"/>
        <w:jc w:val="both"/>
        <w:rPr>
          <w:rFonts w:ascii="Palatino Linotype" w:eastAsia="Palatino Linotype" w:hAnsi="Palatino Linotype" w:cs="Palatino Linotype"/>
          <w:i/>
        </w:rPr>
      </w:pPr>
      <w:r w:rsidRPr="0064244C">
        <w:rPr>
          <w:rFonts w:ascii="Palatino Linotype" w:eastAsia="Palatino Linotype" w:hAnsi="Palatino Linotype" w:cs="Palatino Linotype"/>
          <w:i/>
        </w:rPr>
        <w:lastRenderedPageBreak/>
        <w:t>"</w:t>
      </w:r>
      <w:r w:rsidRPr="0064244C">
        <w:rPr>
          <w:rFonts w:ascii="Palatino Linotype" w:eastAsia="Palatino Linotype" w:hAnsi="Palatino Linotype" w:cs="Palatino Linotype"/>
          <w:b/>
          <w:i/>
        </w:rPr>
        <w:t>Las solicitudes anónimas</w:t>
      </w:r>
      <w:r w:rsidRPr="0064244C">
        <w:rPr>
          <w:rFonts w:ascii="Palatino Linotype" w:eastAsia="Palatino Linotype" w:hAnsi="Palatino Linotype" w:cs="Palatino Linotype"/>
          <w:i/>
        </w:rPr>
        <w:t xml:space="preserve">, con nombre incompleto o seudónimo </w:t>
      </w:r>
      <w:r w:rsidRPr="0064244C">
        <w:rPr>
          <w:rFonts w:ascii="Palatino Linotype" w:eastAsia="Palatino Linotype" w:hAnsi="Palatino Linotype" w:cs="Palatino Linotype"/>
          <w:b/>
          <w:i/>
        </w:rPr>
        <w:t>serán procedentes para su trámite por parte del sujeto obligado ante quien se presente</w:t>
      </w:r>
      <w:r w:rsidRPr="0064244C">
        <w:rPr>
          <w:rFonts w:ascii="Palatino Linotype" w:eastAsia="Palatino Linotype" w:hAnsi="Palatino Linotype" w:cs="Palatino Linotype"/>
          <w:i/>
        </w:rPr>
        <w:t>. No podrá requerirse información adicional con motivo del nombre proporcionado por el solicitante."</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Robusteciendo lo anterior se encuentra lo dispuesto en el artículo 6, Apartado A, fracciones III de la Constitución Política de los Estados Unidos Mexicanos que establece:</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w:t>
      </w:r>
      <w:r w:rsidRPr="0064244C">
        <w:rPr>
          <w:rFonts w:ascii="Palatino Linotype" w:eastAsia="Palatino Linotype" w:hAnsi="Palatino Linotype" w:cs="Palatino Linotype"/>
          <w:b/>
          <w:i/>
          <w:color w:val="000000"/>
        </w:rPr>
        <w:t>Artículo 6.-</w:t>
      </w:r>
      <w:r w:rsidRPr="0064244C">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Para efectos de lo dispuesto en el presente artículo se observará lo siguiente:</w:t>
      </w:r>
    </w:p>
    <w:p w:rsidR="00FB5862" w:rsidRPr="0064244C" w:rsidRDefault="00FB5862">
      <w:pPr>
        <w:spacing w:line="360" w:lineRule="auto"/>
        <w:ind w:left="851"/>
        <w:jc w:val="both"/>
        <w:rPr>
          <w:rFonts w:ascii="Palatino Linotype" w:eastAsia="Palatino Linotype" w:hAnsi="Palatino Linotype" w:cs="Palatino Linotype"/>
          <w:i/>
        </w:rPr>
      </w:pP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lastRenderedPageBreak/>
        <w:t xml:space="preserve">III. Toda persona, sin necesidad de acreditar interés alguno o justificar su utilización, tendrá acceso gratuito a la información pública, a sus datos personales o a la rectificación de éstos.” </w:t>
      </w:r>
    </w:p>
    <w:p w:rsidR="00FB5862" w:rsidRPr="0064244C" w:rsidRDefault="00FB5862">
      <w:pPr>
        <w:spacing w:line="360" w:lineRule="auto"/>
        <w:ind w:left="567"/>
        <w:jc w:val="both"/>
        <w:rPr>
          <w:rFonts w:ascii="Palatino Linotype" w:eastAsia="Palatino Linotype" w:hAnsi="Palatino Linotype" w:cs="Palatino Linotype"/>
          <w:i/>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Así como el artículo 5 fracción III, párrafo vigésimo noveno, trigésimo y trigésimo primero, de la Constitución Política del Estado Libre y Soberano de México, que determina lo siguiente:</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w:t>
      </w:r>
      <w:r w:rsidRPr="0064244C">
        <w:rPr>
          <w:rFonts w:ascii="Palatino Linotype" w:eastAsia="Palatino Linotype" w:hAnsi="Palatino Linotype" w:cs="Palatino Linotype"/>
          <w:b/>
          <w:i/>
          <w:color w:val="000000"/>
        </w:rPr>
        <w:t>Artículo 5.-</w:t>
      </w:r>
      <w:r w:rsidRPr="0064244C">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w:t>
      </w:r>
    </w:p>
    <w:p w:rsidR="00FB5862" w:rsidRPr="0064244C" w:rsidRDefault="00F855F4">
      <w:pPr>
        <w:spacing w:line="360" w:lineRule="auto"/>
        <w:ind w:left="1134"/>
        <w:jc w:val="both"/>
        <w:rPr>
          <w:rFonts w:ascii="Palatino Linotype" w:eastAsia="Palatino Linotype" w:hAnsi="Palatino Linotype" w:cs="Palatino Linotype"/>
          <w:i/>
        </w:rPr>
      </w:pPr>
      <w:r w:rsidRPr="0064244C">
        <w:rPr>
          <w:rFonts w:ascii="Palatino Linotype" w:eastAsia="Palatino Linotype" w:hAnsi="Palatino Linotype" w:cs="Palatino Linotype"/>
          <w:i/>
        </w:rPr>
        <w:t>…</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FB5862" w:rsidRPr="0064244C" w:rsidRDefault="00F855F4">
      <w:pPr>
        <w:spacing w:line="360" w:lineRule="auto"/>
        <w:ind w:left="1134"/>
        <w:jc w:val="both"/>
        <w:rPr>
          <w:rFonts w:ascii="Palatino Linotype" w:eastAsia="Palatino Linotype" w:hAnsi="Palatino Linotype" w:cs="Palatino Linotype"/>
          <w:i/>
        </w:rPr>
      </w:pPr>
      <w:r w:rsidRPr="0064244C">
        <w:rPr>
          <w:rFonts w:ascii="Palatino Linotype" w:eastAsia="Palatino Linotype" w:hAnsi="Palatino Linotype" w:cs="Palatino Linotype"/>
          <w:i/>
        </w:rPr>
        <w:t>...</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lastRenderedPageBreak/>
        <w:t>El derecho a la información será garantizado por el Estado. La ley establecerá las previsiones que permitan asegurar la protección, el respeto y la difusión de este derecho.</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rsidR="00FB5862" w:rsidRPr="0064244C" w:rsidRDefault="00F855F4">
      <w:pPr>
        <w:spacing w:line="360" w:lineRule="auto"/>
        <w:ind w:left="1134"/>
        <w:jc w:val="both"/>
        <w:rPr>
          <w:rFonts w:ascii="Palatino Linotype" w:eastAsia="Palatino Linotype" w:hAnsi="Palatino Linotype" w:cs="Palatino Linotype"/>
          <w:i/>
        </w:rPr>
      </w:pPr>
      <w:r w:rsidRPr="0064244C">
        <w:rPr>
          <w:rFonts w:ascii="Palatino Linotype" w:eastAsia="Palatino Linotype" w:hAnsi="Palatino Linotype" w:cs="Palatino Linotype"/>
          <w:i/>
        </w:rPr>
        <w:t>...</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w:t>
      </w:r>
    </w:p>
    <w:p w:rsidR="00FB5862" w:rsidRPr="0064244C" w:rsidRDefault="00FB5862">
      <w:pPr>
        <w:spacing w:line="360" w:lineRule="auto"/>
        <w:ind w:left="426"/>
        <w:jc w:val="both"/>
        <w:rPr>
          <w:rFonts w:ascii="Palatino Linotype" w:eastAsia="Palatino Linotype" w:hAnsi="Palatino Linotype" w:cs="Palatino Linotype"/>
          <w:i/>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Por otra parte, del contenido del artículo 1 de la Constitución Política de los Estados Unidos mexicanos, se destaca lo siguiente:</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w:t>
      </w:r>
      <w:r w:rsidRPr="0064244C">
        <w:rPr>
          <w:rFonts w:ascii="Palatino Linotype" w:eastAsia="Palatino Linotype" w:hAnsi="Palatino Linotype" w:cs="Palatino Linotype"/>
          <w:b/>
          <w:i/>
          <w:color w:val="000000"/>
        </w:rPr>
        <w:t>Artículo 1</w:t>
      </w:r>
      <w:r w:rsidRPr="0064244C">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Las normas relativas a los derechos humanos se interpretarán de conformidad con esta Constitución y con los tratados internacionales de la materia favoreciendo en todo tiempo a las personas la protección más amplia.</w:t>
      </w:r>
    </w:p>
    <w:p w:rsidR="00FB5862" w:rsidRPr="0064244C" w:rsidRDefault="00F855F4">
      <w:pPr>
        <w:pBdr>
          <w:top w:val="nil"/>
          <w:left w:val="nil"/>
          <w:bottom w:val="nil"/>
          <w:right w:val="nil"/>
          <w:between w:val="nil"/>
        </w:pBdr>
        <w:spacing w:line="360" w:lineRule="auto"/>
        <w:ind w:left="425" w:right="474"/>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B5862" w:rsidRPr="0064244C" w:rsidRDefault="00FB5862">
      <w:pPr>
        <w:spacing w:line="360" w:lineRule="auto"/>
        <w:ind w:right="474"/>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64244C">
        <w:rPr>
          <w:rFonts w:ascii="Palatino Linotype" w:eastAsia="Palatino Linotype" w:hAnsi="Palatino Linotype" w:cs="Palatino Linotype"/>
          <w:i/>
        </w:rPr>
        <w:t>derecho fundamental exime a quien lo ejerce</w:t>
      </w:r>
      <w:r w:rsidRPr="0064244C">
        <w:rPr>
          <w:rFonts w:ascii="Palatino Linotype" w:eastAsia="Palatino Linotype" w:hAnsi="Palatino Linotype" w:cs="Palatino Linotype"/>
        </w:rPr>
        <w:t xml:space="preserve">, de acreditar su legitimación en la causa o su interés </w:t>
      </w:r>
      <w:r w:rsidRPr="0064244C">
        <w:rPr>
          <w:rFonts w:ascii="Palatino Linotype" w:eastAsia="Palatino Linotype" w:hAnsi="Palatino Linotype" w:cs="Palatino Linotype"/>
        </w:rPr>
        <w:lastRenderedPageBreak/>
        <w:t>en el asunto, lo que permite la posibilidad de que, incluso, la solicitud de acceso a la información pueda ser anónima o no contener un nombre que identifique al solicitante o que permita tener certeza sobre su identidad.</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En consecuencia, dado lo expuesto y fundado con anterioridad, se estima que el requisito relativo al nombre del </w:t>
      </w:r>
      <w:r w:rsidRPr="0064244C">
        <w:rPr>
          <w:rFonts w:ascii="Palatino Linotype" w:eastAsia="Palatino Linotype" w:hAnsi="Palatino Linotype" w:cs="Palatino Linotype"/>
          <w:b/>
        </w:rPr>
        <w:t>RECURRENTE</w:t>
      </w:r>
      <w:r w:rsidRPr="0064244C">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 xml:space="preserve">Consecuencia de lo anterior, este Órgano Garante advierte que el escrito contiene las formalidades previstas por el artículo 180 último párrafo de la Ley de Transparencia y Acceso a la </w:t>
      </w:r>
      <w:r w:rsidRPr="0064244C">
        <w:rPr>
          <w:rFonts w:ascii="Palatino Linotype" w:eastAsia="Palatino Linotype" w:hAnsi="Palatino Linotype" w:cs="Palatino Linotype"/>
        </w:rPr>
        <w:t>Información</w:t>
      </w:r>
      <w:r w:rsidRPr="0064244C">
        <w:rPr>
          <w:rFonts w:ascii="Palatino Linotype" w:eastAsia="Palatino Linotype" w:hAnsi="Palatino Linotype" w:cs="Palatino Linotype"/>
          <w:color w:val="000000"/>
        </w:rPr>
        <w:t xml:space="preserve"> Pública del Estado de México y Municipios, </w:t>
      </w:r>
      <w:r w:rsidRPr="0064244C">
        <w:rPr>
          <w:rFonts w:ascii="Palatino Linotype" w:eastAsia="Palatino Linotype" w:hAnsi="Palatino Linotype" w:cs="Palatino Linotype"/>
          <w:color w:val="000000"/>
        </w:rPr>
        <w:lastRenderedPageBreak/>
        <w:t>por lo que es procedente que este Instituto de Transparencia, Acceso a la Información Pública y Protección de Datos Personales del Estado de México y Municipios, conozca y resuelva el presente recurso.</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Finalmente, el escrito contiene las formalidades previstas por el artículo 180 último párrafo de la citada Ley de la materia, por lo que es procedente que este Instituto conozca y resuelva el presente Recurso de Revisión.</w:t>
      </w:r>
    </w:p>
    <w:p w:rsidR="00FB5862" w:rsidRPr="0064244C" w:rsidRDefault="00FB5862">
      <w:pPr>
        <w:pBdr>
          <w:top w:val="nil"/>
          <w:left w:val="nil"/>
          <w:bottom w:val="nil"/>
          <w:right w:val="nil"/>
          <w:between w:val="nil"/>
        </w:pBdr>
        <w:spacing w:line="360" w:lineRule="auto"/>
        <w:rPr>
          <w:rFonts w:ascii="Palatino Linotype" w:eastAsia="Palatino Linotype" w:hAnsi="Palatino Linotype" w:cs="Palatino Linotype"/>
          <w:color w:val="000000"/>
        </w:rPr>
      </w:pPr>
    </w:p>
    <w:p w:rsidR="00FB5862" w:rsidRPr="0064244C" w:rsidRDefault="00F855F4">
      <w:pPr>
        <w:pStyle w:val="Ttulo1"/>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64244C">
        <w:rPr>
          <w:rFonts w:ascii="Palatino Linotype" w:eastAsia="Palatino Linotype" w:hAnsi="Palatino Linotype" w:cs="Palatino Linotype"/>
          <w:b/>
          <w:color w:val="000000"/>
          <w:sz w:val="24"/>
          <w:szCs w:val="24"/>
        </w:rPr>
        <w:t>TERCERA. Descripción de hechos y planteamiento de la controversia.</w:t>
      </w:r>
    </w:p>
    <w:p w:rsidR="00FB5862" w:rsidRPr="0064244C" w:rsidRDefault="00FB5862">
      <w:pPr>
        <w:spacing w:line="360" w:lineRule="auto"/>
        <w:rPr>
          <w:rFonts w:ascii="Palatino Linotype" w:eastAsia="Palatino Linotype" w:hAnsi="Palatino Linotype" w:cs="Palatino Linotype"/>
        </w:rPr>
      </w:pPr>
    </w:p>
    <w:p w:rsidR="00FB5862" w:rsidRPr="0064244C" w:rsidRDefault="00F855F4">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Se solicitó tener acceso, a la información que a continuación se simplifica:</w:t>
      </w:r>
    </w:p>
    <w:p w:rsidR="00FB5862" w:rsidRPr="0064244C" w:rsidRDefault="00FB58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B5862" w:rsidRPr="0064244C" w:rsidRDefault="00F855F4">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rPr>
      </w:pPr>
      <w:r w:rsidRPr="0064244C">
        <w:rPr>
          <w:rFonts w:ascii="Palatino Linotype" w:eastAsia="Palatino Linotype" w:hAnsi="Palatino Linotype" w:cs="Palatino Linotype"/>
          <w:b/>
          <w:color w:val="000000"/>
        </w:rPr>
        <w:t>Manuales de Organización y Procedimientos vigentes;</w:t>
      </w:r>
    </w:p>
    <w:p w:rsidR="00FB5862" w:rsidRPr="0064244C" w:rsidRDefault="00F855F4">
      <w:pPr>
        <w:numPr>
          <w:ilvl w:val="0"/>
          <w:numId w:val="2"/>
        </w:numPr>
        <w:pBdr>
          <w:top w:val="nil"/>
          <w:left w:val="nil"/>
          <w:bottom w:val="nil"/>
          <w:right w:val="nil"/>
          <w:between w:val="nil"/>
        </w:pBdr>
        <w:spacing w:line="360" w:lineRule="auto"/>
        <w:ind w:left="709"/>
        <w:jc w:val="both"/>
        <w:rPr>
          <w:rFonts w:ascii="Palatino Linotype" w:eastAsia="Palatino Linotype" w:hAnsi="Palatino Linotype" w:cs="Palatino Linotype"/>
          <w:b/>
          <w:color w:val="000000"/>
        </w:rPr>
      </w:pPr>
      <w:r w:rsidRPr="0064244C">
        <w:rPr>
          <w:rFonts w:ascii="Palatino Linotype" w:eastAsia="Palatino Linotype" w:hAnsi="Palatino Linotype" w:cs="Palatino Linotype"/>
          <w:b/>
          <w:color w:val="000000"/>
        </w:rPr>
        <w:t>Reglamento Orgánico del Sistema Municipal para el Desarrollo Integral de la Familia; y</w:t>
      </w:r>
    </w:p>
    <w:p w:rsidR="00FB5862" w:rsidRPr="0064244C" w:rsidRDefault="00F855F4">
      <w:pPr>
        <w:numPr>
          <w:ilvl w:val="0"/>
          <w:numId w:val="2"/>
        </w:num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r w:rsidRPr="0064244C">
        <w:rPr>
          <w:rFonts w:ascii="Palatino Linotype" w:eastAsia="Palatino Linotype" w:hAnsi="Palatino Linotype" w:cs="Palatino Linotype"/>
          <w:b/>
          <w:color w:val="000000"/>
        </w:rPr>
        <w:t>Nombre del Titular de la Unidad de Transparencia.</w:t>
      </w:r>
    </w:p>
    <w:p w:rsidR="00FB5862" w:rsidRPr="0064244C" w:rsidRDefault="00FB5862">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rPr>
        <w:t>En respuesta, el Sujeto Obligado</w:t>
      </w:r>
      <w:r w:rsidRPr="0064244C">
        <w:rPr>
          <w:rFonts w:ascii="Palatino Linotype" w:eastAsia="Palatino Linotype" w:hAnsi="Palatino Linotype" w:cs="Palatino Linotype"/>
          <w:b/>
        </w:rPr>
        <w:t xml:space="preserve"> </w:t>
      </w:r>
      <w:r w:rsidRPr="0064244C">
        <w:rPr>
          <w:rFonts w:ascii="Palatino Linotype" w:eastAsia="Palatino Linotype" w:hAnsi="Palatino Linotype" w:cs="Palatino Linotype"/>
        </w:rPr>
        <w:t>remitió los archivos ya descritos en el anterior Párrafo 2. Inconforme con la respuesta, se interpuso recurso de revisión argumentando de manera general la entrega de la información incompleta, por inconsistencias.</w:t>
      </w: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En dichas condiciones, la controversia a resolver en el presente proveído, corresponde a determinar si se actualiza la causal de procedencia prevista en el artículo 179, fracción V</w:t>
      </w:r>
      <w:r w:rsidRPr="0064244C">
        <w:rPr>
          <w:rFonts w:ascii="Palatino Linotype" w:eastAsia="Palatino Linotype" w:hAnsi="Palatino Linotype" w:cs="Palatino Linotype"/>
          <w:b/>
        </w:rPr>
        <w:t xml:space="preserve"> </w:t>
      </w:r>
      <w:r w:rsidRPr="0064244C">
        <w:rPr>
          <w:rFonts w:ascii="Palatino Linotype" w:eastAsia="Palatino Linotype" w:hAnsi="Palatino Linotype" w:cs="Palatino Linotype"/>
        </w:rPr>
        <w:t>de la Ley de Transparencia y Acceso a la Información Pública del Estado de</w:t>
      </w:r>
      <w:r w:rsidRPr="0064244C">
        <w:rPr>
          <w:rFonts w:ascii="Palatino Linotype" w:eastAsia="Palatino Linotype" w:hAnsi="Palatino Linotype" w:cs="Palatino Linotype"/>
          <w:b/>
        </w:rPr>
        <w:t xml:space="preserve"> </w:t>
      </w:r>
      <w:r w:rsidRPr="0064244C">
        <w:rPr>
          <w:rFonts w:ascii="Palatino Linotype" w:eastAsia="Palatino Linotype" w:hAnsi="Palatino Linotype" w:cs="Palatino Linotype"/>
        </w:rPr>
        <w:t>México</w:t>
      </w:r>
      <w:r w:rsidRPr="0064244C">
        <w:rPr>
          <w:rFonts w:ascii="Palatino Linotype" w:eastAsia="Palatino Linotype" w:hAnsi="Palatino Linotype" w:cs="Palatino Linotype"/>
          <w:b/>
        </w:rPr>
        <w:t xml:space="preserve"> </w:t>
      </w:r>
      <w:r w:rsidRPr="0064244C">
        <w:rPr>
          <w:rFonts w:ascii="Palatino Linotype" w:eastAsia="Palatino Linotype" w:hAnsi="Palatino Linotype" w:cs="Palatino Linotype"/>
        </w:rPr>
        <w:t>y</w:t>
      </w:r>
      <w:r w:rsidRPr="0064244C">
        <w:rPr>
          <w:rFonts w:ascii="Palatino Linotype" w:eastAsia="Palatino Linotype" w:hAnsi="Palatino Linotype" w:cs="Palatino Linotype"/>
          <w:b/>
        </w:rPr>
        <w:t xml:space="preserve"> </w:t>
      </w:r>
      <w:r w:rsidRPr="0064244C">
        <w:rPr>
          <w:rFonts w:ascii="Palatino Linotype" w:eastAsia="Palatino Linotype" w:hAnsi="Palatino Linotype" w:cs="Palatino Linotype"/>
        </w:rPr>
        <w:t xml:space="preserve">Municipios; </w:t>
      </w:r>
      <w:r w:rsidRPr="0064244C">
        <w:rPr>
          <w:rFonts w:ascii="Palatino Linotype" w:eastAsia="Palatino Linotype" w:hAnsi="Palatino Linotype" w:cs="Palatino Linotype"/>
          <w:color w:val="000000"/>
        </w:rPr>
        <w:t>fracción que determina la hipótesis relativa a la negativa de la información solicitada</w:t>
      </w:r>
      <w:r w:rsidRPr="0064244C">
        <w:rPr>
          <w:rFonts w:ascii="Palatino Linotype" w:eastAsia="Palatino Linotype" w:hAnsi="Palatino Linotype" w:cs="Palatino Linotype"/>
        </w:rPr>
        <w:t>.</w:t>
      </w:r>
      <w:r w:rsidRPr="0064244C">
        <w:rPr>
          <w:rFonts w:ascii="Palatino Linotype" w:eastAsia="Palatino Linotype" w:hAnsi="Palatino Linotype" w:cs="Palatino Linotype"/>
          <w:color w:val="000000"/>
        </w:rPr>
        <w:t xml:space="preserve"> De modo tal que el presente recurso de revisión se abocara en determinar si el Sujeto Obligado con su respuesta ciertamente actualiza la causal de procedencia</w:t>
      </w:r>
      <w:r w:rsidRPr="0064244C">
        <w:rPr>
          <w:rFonts w:ascii="Palatino Linotype" w:eastAsia="Palatino Linotype" w:hAnsi="Palatino Linotype" w:cs="Palatino Linotype"/>
          <w:b/>
          <w:color w:val="000000"/>
        </w:rPr>
        <w:t xml:space="preserve"> </w:t>
      </w:r>
      <w:r w:rsidRPr="0064244C">
        <w:rPr>
          <w:rFonts w:ascii="Palatino Linotype" w:eastAsia="Palatino Linotype" w:hAnsi="Palatino Linotype" w:cs="Palatino Linotype"/>
          <w:color w:val="000000"/>
        </w:rPr>
        <w:t xml:space="preserve">señalada. </w:t>
      </w:r>
    </w:p>
    <w:p w:rsidR="00FB5862" w:rsidRPr="0064244C" w:rsidRDefault="00FB5862">
      <w:pPr>
        <w:spacing w:line="360" w:lineRule="auto"/>
        <w:rPr>
          <w:rFonts w:ascii="Palatino Linotype" w:eastAsia="Palatino Linotype" w:hAnsi="Palatino Linotype" w:cs="Palatino Linotype"/>
        </w:rPr>
      </w:pPr>
    </w:p>
    <w:p w:rsidR="00FB5862" w:rsidRPr="0064244C" w:rsidRDefault="00F855F4">
      <w:pPr>
        <w:pStyle w:val="Ttulo2"/>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sidRPr="0064244C">
        <w:rPr>
          <w:rFonts w:ascii="Palatino Linotype" w:eastAsia="Palatino Linotype" w:hAnsi="Palatino Linotype" w:cs="Palatino Linotype"/>
          <w:b/>
          <w:color w:val="000000"/>
          <w:sz w:val="24"/>
          <w:szCs w:val="24"/>
        </w:rPr>
        <w:t>CUARTA. Del estudio y resolución.</w:t>
      </w:r>
    </w:p>
    <w:p w:rsidR="00FB5862" w:rsidRPr="0064244C" w:rsidRDefault="00FB5862">
      <w:pPr>
        <w:spacing w:line="360" w:lineRule="auto"/>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Acotado lo anterior, es dable primeramente recordar el motivo de inconformidad; toda vez que este es tendiente a impugnar únicamente la parte </w:t>
      </w:r>
      <w:r w:rsidRPr="0064244C">
        <w:rPr>
          <w:rFonts w:ascii="Palatino Linotype" w:eastAsia="Palatino Linotype" w:hAnsi="Palatino Linotype" w:cs="Palatino Linotype"/>
        </w:rPr>
        <w:lastRenderedPageBreak/>
        <w:t>relativa al Manual de Organización que remitieron de la Unidad de Transparencia y Reglamento Orgánico, solicite el Reglamento Orgánico del Sistema DIF Municipal.</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Sirve de sustento, la tesis jurisprudencial número VI.3o.C. J/60, publicada en el Semanario Judicial de la Federación y su Gaceta bajo el número de registro 176,608 que a la letra dice:</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tabs>
          <w:tab w:val="left" w:pos="851"/>
        </w:tabs>
        <w:spacing w:line="360" w:lineRule="auto"/>
        <w:ind w:left="851" w:right="616"/>
        <w:jc w:val="both"/>
        <w:rPr>
          <w:rFonts w:ascii="Palatino Linotype" w:eastAsia="Palatino Linotype" w:hAnsi="Palatino Linotype" w:cs="Palatino Linotype"/>
          <w:i/>
        </w:rPr>
      </w:pPr>
      <w:r w:rsidRPr="0064244C">
        <w:rPr>
          <w:rFonts w:ascii="Palatino Linotype" w:eastAsia="Palatino Linotype" w:hAnsi="Palatino Linotype" w:cs="Palatino Linotype"/>
          <w:b/>
          <w:i/>
        </w:rPr>
        <w:t xml:space="preserve">“ACTOS CONSENTIDOS. SON LOS QUE NO SE IMPUGNAN MEDIANTE EL RECURSO IDÓNEO. </w:t>
      </w:r>
      <w:r w:rsidRPr="0064244C">
        <w:rPr>
          <w:rFonts w:ascii="Palatino Linotype" w:eastAsia="Palatino Linotype" w:hAnsi="Palatino Linotype" w:cs="Palatino Linotype"/>
          <w:i/>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FB5862" w:rsidRPr="0064244C" w:rsidRDefault="00FB5862">
      <w:pPr>
        <w:tabs>
          <w:tab w:val="left" w:pos="851"/>
        </w:tabs>
        <w:spacing w:line="360" w:lineRule="auto"/>
        <w:ind w:left="851" w:right="616"/>
        <w:jc w:val="both"/>
        <w:rPr>
          <w:rFonts w:ascii="Palatino Linotype" w:eastAsia="Palatino Linotype" w:hAnsi="Palatino Linotype" w:cs="Palatino Linotype"/>
          <w:i/>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 xml:space="preserve">De la interpretación del criterio antes citado, se advierte que cuando el particular impugnó la respuesta del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no expresó razón o motivo de inconformidad en contra de todos los rubros solicitados, por tanto estos deben declararse atendidos, pues se entiende que </w:t>
      </w:r>
      <w:r w:rsidRPr="0064244C">
        <w:rPr>
          <w:rFonts w:ascii="Palatino Linotype" w:eastAsia="Palatino Linotype" w:hAnsi="Palatino Linotype" w:cs="Palatino Linotype"/>
          <w:b/>
        </w:rPr>
        <w:t>EL RECURRENTE</w:t>
      </w:r>
      <w:r w:rsidRPr="0064244C">
        <w:rPr>
          <w:rFonts w:ascii="Palatino Linotype" w:eastAsia="Palatino Linotype" w:hAnsi="Palatino Linotype" w:cs="Palatino Linotype"/>
        </w:rPr>
        <w:t xml:space="preserve"> está conforme con la respuesta proporcionada por </w:t>
      </w:r>
      <w:r w:rsidRPr="0064244C">
        <w:rPr>
          <w:rFonts w:ascii="Palatino Linotype" w:eastAsia="Palatino Linotype" w:hAnsi="Palatino Linotype" w:cs="Palatino Linotype"/>
          <w:b/>
        </w:rPr>
        <w:t>EL SUJETO OBLIGADO,</w:t>
      </w:r>
      <w:r w:rsidRPr="0064244C">
        <w:rPr>
          <w:rFonts w:ascii="Palatino Linotype" w:eastAsia="Palatino Linotype" w:hAnsi="Palatino Linotype" w:cs="Palatino Linotype"/>
        </w:rPr>
        <w:t xml:space="preserve"> al no contravenir la misma. </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Atento a ello, es importante traer a contexto la Tesis Jurisprudencial Número 3ª./J.7/91, Publicada en el Semanario Judicial de la Federación y su Gaceta bajo el número de registro 174,177, que establece lo siguiente:</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tabs>
          <w:tab w:val="left" w:pos="7937"/>
          <w:tab w:val="left" w:pos="8222"/>
        </w:tabs>
        <w:spacing w:line="360" w:lineRule="auto"/>
        <w:ind w:left="851" w:right="901"/>
        <w:jc w:val="both"/>
        <w:rPr>
          <w:rFonts w:ascii="Palatino Linotype" w:eastAsia="Palatino Linotype" w:hAnsi="Palatino Linotype" w:cs="Palatino Linotype"/>
          <w:i/>
        </w:rPr>
      </w:pPr>
      <w:r w:rsidRPr="0064244C">
        <w:rPr>
          <w:rFonts w:ascii="Palatino Linotype" w:eastAsia="Palatino Linotype" w:hAnsi="Palatino Linotype" w:cs="Palatino Linotype"/>
          <w:b/>
          <w:i/>
        </w:rPr>
        <w:t xml:space="preserve">“REVISIÓN EN AMPARO. LOS RESOLUTIVOS NO COMBATIDOS DEBEN DECLARARSE FIRMES. </w:t>
      </w:r>
      <w:r w:rsidRPr="0064244C">
        <w:rPr>
          <w:rFonts w:ascii="Palatino Linotype" w:eastAsia="Palatino Linotype" w:hAnsi="Palatino Linotype" w:cs="Palatino Linotype"/>
          <w:i/>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 xml:space="preserve">En consecuencia que los demás fundamentos remitidos en respuesta. Se consideran un acto consentido y, en consecuencia, este Órgano </w:t>
      </w:r>
      <w:proofErr w:type="spellStart"/>
      <w:r w:rsidRPr="0064244C">
        <w:rPr>
          <w:rFonts w:ascii="Palatino Linotype" w:eastAsia="Palatino Linotype" w:hAnsi="Palatino Linotype" w:cs="Palatino Linotype"/>
        </w:rPr>
        <w:t>Resolutor</w:t>
      </w:r>
      <w:proofErr w:type="spellEnd"/>
      <w:r w:rsidRPr="0064244C">
        <w:rPr>
          <w:rFonts w:ascii="Palatino Linotype" w:eastAsia="Palatino Linotype" w:hAnsi="Palatino Linotype" w:cs="Palatino Linotype"/>
        </w:rPr>
        <w:t xml:space="preserve"> no entrará al estudio del mismo por las razones hasta aquí expuestas. </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Ahora bien, respecto del Manual de Organización que remitieron de la Unidad de Transparencia, se adolece que le fuera remitido el 2022 y no el vigente; contexto que se desestima, toda vez que el </w:t>
      </w:r>
      <w:r w:rsidRPr="0064244C">
        <w:rPr>
          <w:rFonts w:ascii="Palatino Linotype" w:eastAsia="Palatino Linotype" w:hAnsi="Palatino Linotype" w:cs="Palatino Linotype"/>
          <w:b/>
        </w:rPr>
        <w:t xml:space="preserve">SUJETO OBLIGADO </w:t>
      </w:r>
      <w:r w:rsidRPr="0064244C">
        <w:rPr>
          <w:rFonts w:ascii="Palatino Linotype" w:eastAsia="Palatino Linotype" w:hAnsi="Palatino Linotype" w:cs="Palatino Linotype"/>
        </w:rPr>
        <w:t>señala que ese es el Manual vigente a la fecha de la solicitud de información, lo que se estima procedente pues no necesariamente una normatividad vigente debe corresponder al año en que se esté presentando la solicitud de información, pudiendo incluso ser de la administración pública municipal anterior.</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Cuando se dice que una normatividad está vigente, significa que está en efecto y debe ser cumplida por las personas a quienes aplica dentro del territorio municipal correspondiente. Es decir, es una norma legal que ya ha sido aprobada, publicada oficialmente y no ha sido derogada o suspendida. Motivo por el cual se tiene por </w:t>
      </w:r>
      <w:r w:rsidRPr="0064244C">
        <w:rPr>
          <w:rFonts w:ascii="Palatino Linotype" w:eastAsia="Palatino Linotype" w:hAnsi="Palatino Linotype" w:cs="Palatino Linotype"/>
          <w:b/>
        </w:rPr>
        <w:t>colmado</w:t>
      </w:r>
      <w:r w:rsidRPr="0064244C">
        <w:rPr>
          <w:rFonts w:ascii="Palatino Linotype" w:eastAsia="Palatino Linotype" w:hAnsi="Palatino Linotype" w:cs="Palatino Linotype"/>
        </w:rPr>
        <w:t xml:space="preserve"> el rubro de referencia.</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Respecto que existan inconsistencias en las personas que lo elaboraron, no corresponde a una atribución de este Instituto, realizar ese tipo de revisiones, menos aún pronunciarse al respecto; toda vez que no está facultado para pronunciarse </w:t>
      </w:r>
      <w:r w:rsidRPr="0064244C">
        <w:rPr>
          <w:rFonts w:ascii="Palatino Linotype" w:eastAsia="Palatino Linotype" w:hAnsi="Palatino Linotype" w:cs="Palatino Linotype"/>
        </w:rPr>
        <w:lastRenderedPageBreak/>
        <w:t xml:space="preserve">respecto de la veracidad del soporte documental o de las respuestas que le sean emitidos a los solicitantes. Situación que se aleja de las atribuciones de este Instituto </w:t>
      </w:r>
      <w:r w:rsidRPr="0064244C">
        <w:rPr>
          <w:rFonts w:ascii="Palatino Linotype" w:eastAsia="Palatino Linotype" w:hAnsi="Palatino Linotype" w:cs="Palatino Linotype"/>
          <w:i/>
          <w:color w:val="000000"/>
        </w:rPr>
        <w:t>máxime</w:t>
      </w:r>
      <w:r w:rsidRPr="0064244C">
        <w:rPr>
          <w:rFonts w:ascii="Palatino Linotype" w:eastAsia="Palatino Linotype" w:hAnsi="Palatino Linotype" w:cs="Palatino Linotype"/>
          <w:color w:val="000000"/>
        </w:rPr>
        <w:t xml:space="preserve"> que al momento que ponen a disposición ésta, la misma tiene el carácter oficial y se presume veraz, tan es así que la misma queda registrada en el Sistema de Acceso a la Información Mexiquense (SAIMEX).</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Respecto del motivo de inconformidad relativo a </w:t>
      </w:r>
      <w:r w:rsidRPr="0064244C">
        <w:rPr>
          <w:rFonts w:ascii="Palatino Linotype" w:eastAsia="Palatino Linotype" w:hAnsi="Palatino Linotype" w:cs="Palatino Linotype"/>
          <w:i/>
        </w:rPr>
        <w:t>“…y en la solicitud de información solicite Todos los manuales de Organización y Procedimientos Vigentes”</w:t>
      </w:r>
      <w:r w:rsidRPr="0064244C">
        <w:rPr>
          <w:rFonts w:ascii="Palatino Linotype" w:eastAsia="Palatino Linotype" w:hAnsi="Palatino Linotype" w:cs="Palatino Linotype"/>
        </w:rPr>
        <w:t xml:space="preserve">, corresponde a un motivo de inconformidad procedente; toda vez que en la solicitud de información inicial, se aprecia que ciertamente se requieren los manuales de organización con los que cuente 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a la fecha de la solicitud; no así alguno en lo particular.</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Al respecto, 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en calidad de informe justificado informa que no se remitieron la totalidad de manuales en razón de que se encuentran en proceso de actualización, como se observa:</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spacing w:line="360" w:lineRule="auto"/>
        <w:jc w:val="both"/>
        <w:rPr>
          <w:rFonts w:ascii="Palatino Linotype" w:eastAsia="Palatino Linotype" w:hAnsi="Palatino Linotype" w:cs="Palatino Linotype"/>
        </w:rPr>
      </w:pPr>
      <w:r w:rsidRPr="0064244C">
        <w:rPr>
          <w:rFonts w:ascii="Palatino Linotype" w:eastAsia="Palatino Linotype" w:hAnsi="Palatino Linotype" w:cs="Palatino Linotype"/>
          <w:noProof/>
          <w:lang w:val="es-MX" w:eastAsia="es-MX"/>
        </w:rPr>
        <w:drawing>
          <wp:inline distT="0" distB="0" distL="0" distR="0">
            <wp:extent cx="5612130" cy="88074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880745"/>
                    </a:xfrm>
                    <a:prstGeom prst="rect">
                      <a:avLst/>
                    </a:prstGeom>
                    <a:ln/>
                  </pic:spPr>
                </pic:pic>
              </a:graphicData>
            </a:graphic>
          </wp:inline>
        </w:drawing>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Argumento que se desestima; toda vez que el hecho que se encuentren próximos a actualizarse, no implica un impedimento para omitir su entrega, en virtud que como se señaló, corresponde a un marco normativo que se encuentra vigente –como fuera solicitado– y debe ser respetada y aplicada por las personas, servidores públicos, instituciones y autoridades competentes, hasta que sea modificada, derogada o suspendida y, si es requerida debe remitirse. Al respecto, cabe traer a cuenta lo previsto por el artículo 12, párrafo segundo de la Ley de Transparencia y Acceso a la Información Pública del Estado de México y Municipios que la letra establece lo siguiente:</w:t>
      </w:r>
    </w:p>
    <w:p w:rsidR="00FB5862" w:rsidRPr="0064244C" w:rsidRDefault="00FB5862">
      <w:pPr>
        <w:pBdr>
          <w:top w:val="nil"/>
          <w:left w:val="nil"/>
          <w:bottom w:val="nil"/>
          <w:right w:val="nil"/>
          <w:between w:val="nil"/>
        </w:pBdr>
        <w:spacing w:line="360" w:lineRule="auto"/>
        <w:rPr>
          <w:rFonts w:ascii="Palatino Linotype" w:eastAsia="Palatino Linotype" w:hAnsi="Palatino Linotype" w:cs="Palatino Linotype"/>
          <w:color w:val="000000"/>
        </w:rPr>
      </w:pPr>
    </w:p>
    <w:p w:rsidR="00FB5862" w:rsidRPr="0064244C" w:rsidRDefault="00F855F4">
      <w:pPr>
        <w:spacing w:line="360" w:lineRule="auto"/>
        <w:ind w:left="851" w:right="851"/>
        <w:jc w:val="both"/>
        <w:rPr>
          <w:rFonts w:ascii="Palatino Linotype" w:eastAsia="Palatino Linotype" w:hAnsi="Palatino Linotype" w:cs="Palatino Linotype"/>
          <w:b/>
          <w:i/>
        </w:rPr>
      </w:pPr>
      <w:r w:rsidRPr="0064244C">
        <w:rPr>
          <w:rFonts w:ascii="Palatino Linotype" w:eastAsia="Palatino Linotype" w:hAnsi="Palatino Linotype" w:cs="Palatino Linotype"/>
          <w:b/>
          <w:i/>
        </w:rPr>
        <w:t>“Artículo 12.</w:t>
      </w:r>
      <w:r w:rsidRPr="0064244C">
        <w:rPr>
          <w:rFonts w:ascii="Palatino Linotype" w:eastAsia="Palatino Linotype" w:hAnsi="Palatino Linotype" w:cs="Palatino Linotype"/>
          <w:i/>
        </w:rPr>
        <w:t xml:space="preserve"> …</w:t>
      </w:r>
      <w:r w:rsidRPr="0064244C">
        <w:rPr>
          <w:rFonts w:ascii="Palatino Linotype" w:eastAsia="Palatino Linotype" w:hAnsi="Palatino Linotype" w:cs="Palatino Linotype"/>
          <w:b/>
          <w:i/>
        </w:rPr>
        <w:t xml:space="preserve"> </w:t>
      </w:r>
    </w:p>
    <w:p w:rsidR="00FB5862" w:rsidRPr="0064244C" w:rsidRDefault="00F855F4">
      <w:pPr>
        <w:spacing w:line="360" w:lineRule="auto"/>
        <w:ind w:left="851" w:right="851"/>
        <w:jc w:val="both"/>
        <w:rPr>
          <w:rFonts w:ascii="Palatino Linotype" w:eastAsia="Palatino Linotype" w:hAnsi="Palatino Linotype" w:cs="Palatino Linotype"/>
          <w:i/>
        </w:rPr>
      </w:pPr>
      <w:r w:rsidRPr="0064244C">
        <w:rPr>
          <w:rFonts w:ascii="Palatino Linotype" w:eastAsia="Palatino Linotype" w:hAnsi="Palatino Linotype" w:cs="Palatino Linotype"/>
          <w:b/>
          <w:i/>
          <w:u w:val="single"/>
        </w:rPr>
        <w:t>Los sujetos obligados sólo proporcionarán la información pública que se les requiera y que obre en sus archivos y en el estado en que ésta se encuentre</w:t>
      </w:r>
      <w:r w:rsidRPr="0064244C">
        <w:rPr>
          <w:rFonts w:ascii="Palatino Linotype" w:eastAsia="Palatino Linotype" w:hAnsi="Palatino Linotype" w:cs="Palatino Linotype"/>
          <w:i/>
        </w:rPr>
        <w:t>. La obligación de proporcionar información no comprende el procesamiento de la misma, ni el presentarla conforme al interés del solicitante; no estarán obligados a generarla, resumirla, efectuar cálculos o practicar investigaciones.”</w:t>
      </w:r>
    </w:p>
    <w:p w:rsidR="00FB5862" w:rsidRPr="0064244C" w:rsidRDefault="00FB5862">
      <w:pPr>
        <w:spacing w:line="360" w:lineRule="auto"/>
        <w:ind w:left="851" w:right="851"/>
        <w:jc w:val="both"/>
        <w:rPr>
          <w:rFonts w:ascii="Palatino Linotype" w:eastAsia="Palatino Linotype" w:hAnsi="Palatino Linotype" w:cs="Palatino Linotype"/>
          <w:b/>
          <w:i/>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Además, y de conformidad con lo ya establecido anteriormente en el artículo 12, de la Ley de Transparencia y Acceso a la Información Pública del Estado de México y Municipios, anteriormente invocado 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sólo </w:t>
      </w:r>
      <w:r w:rsidRPr="0064244C">
        <w:rPr>
          <w:rFonts w:ascii="Palatino Linotype" w:eastAsia="Palatino Linotype" w:hAnsi="Palatino Linotype" w:cs="Palatino Linotype"/>
        </w:rPr>
        <w:lastRenderedPageBreak/>
        <w:t xml:space="preserve">proporcionará la información que obra en sus archivos, lo que </w:t>
      </w:r>
      <w:r w:rsidRPr="0064244C">
        <w:rPr>
          <w:rFonts w:ascii="Palatino Linotype" w:eastAsia="Palatino Linotype" w:hAnsi="Palatino Linotype" w:cs="Palatino Linotype"/>
          <w:i/>
        </w:rPr>
        <w:t>a contrario sensu</w:t>
      </w:r>
      <w:r w:rsidRPr="0064244C">
        <w:rPr>
          <w:rFonts w:ascii="Palatino Linotype" w:eastAsia="Palatino Linotype" w:hAnsi="Palatino Linotype" w:cs="Palatino Linotype"/>
        </w:rPr>
        <w:t xml:space="preserve"> significa que no se está obligado a proporcionar lo que no obre en sus archivos. Por tanto deberá de entregar los manuales de organización y procedimientos con que cuente vigentes a la fecha de la solicitud, </w:t>
      </w:r>
      <w:r w:rsidRPr="0064244C">
        <w:rPr>
          <w:rFonts w:ascii="Palatino Linotype" w:eastAsia="Palatino Linotype" w:hAnsi="Palatino Linotype" w:cs="Palatino Linotype"/>
          <w:b/>
        </w:rPr>
        <w:t>con excepción</w:t>
      </w:r>
      <w:r w:rsidRPr="0064244C">
        <w:rPr>
          <w:rFonts w:ascii="Palatino Linotype" w:eastAsia="Palatino Linotype" w:hAnsi="Palatino Linotype" w:cs="Palatino Linotype"/>
        </w:rPr>
        <w:t xml:space="preserve"> del ya entregado.</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Por otro lado, con respecto Reglamento Orgánico del Sistema DIF Municipal, el hoy </w:t>
      </w:r>
      <w:r w:rsidRPr="0064244C">
        <w:rPr>
          <w:rFonts w:ascii="Palatino Linotype" w:eastAsia="Palatino Linotype" w:hAnsi="Palatino Linotype" w:cs="Palatino Linotype"/>
          <w:b/>
        </w:rPr>
        <w:t>RECURRENTE</w:t>
      </w:r>
      <w:r w:rsidRPr="0064244C">
        <w:rPr>
          <w:rFonts w:ascii="Palatino Linotype" w:eastAsia="Palatino Linotype" w:hAnsi="Palatino Linotype" w:cs="Palatino Linotype"/>
        </w:rPr>
        <w:t xml:space="preserve"> aduce que remitieron el Reglamento Orgánico de la Administración Pública Municipal de Huehuetoca, Estado de México, en el que a su decir, si bien es cierto mencionan a los Organismos Descentralizados; también lo es que el DIF debería contar con reglamento orgánico propio.</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Al respecto, 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en calidad de informe justificado, clarifica su respuesta, señalando que no cuenta con un reglamento orgánico específico para el Sistema Municipal Para el Desarrollo Integral de la Familia de Huehuetoca, actualizándose la figura de hechos negativos.</w:t>
      </w:r>
    </w:p>
    <w:p w:rsidR="00367BEA" w:rsidRPr="0064244C" w:rsidRDefault="00367BEA" w:rsidP="00367BEA">
      <w:pPr>
        <w:pStyle w:val="Prrafodelista"/>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De una búsqueda al respecto, se advirtió que ciertamente el reglamento del Sistema Municipal Para el Desarrollo Integral de la Familia de Huehuetoca, se puede encontrar en el Reglamento Orgánico de la Administración Pública Municipal de Huehuetoca, situación que ciertamente puede acontecer.</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 xml:space="preserve">Al respecto, es de señalar que un reglamento orgánico es un instrumento normativo que permite a los sistemas DIF operar dentro del marco de la ley, garantizando que sus acciones sean acordes con las disposiciones legales vigentes, como la Constitución, las leyes estatales y los reglamentos municipales. </w:t>
      </w:r>
    </w:p>
    <w:p w:rsidR="00FB5862" w:rsidRPr="0064244C" w:rsidRDefault="00FB5862">
      <w:pPr>
        <w:pBdr>
          <w:top w:val="nil"/>
          <w:left w:val="nil"/>
          <w:bottom w:val="nil"/>
          <w:right w:val="nil"/>
          <w:between w:val="nil"/>
        </w:pBdr>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En él se establece la estructura jerárquica y funcional del sistema DIF, definiendo las responsabilidades de cada área, dirección o departamento. Esto permite una distribución clara de competencias y evita duplicidad de funciones, al respecto del documento remitido se advierte lo siguiente:</w:t>
      </w:r>
    </w:p>
    <w:p w:rsidR="00FB5862" w:rsidRPr="0064244C" w:rsidRDefault="00F855F4">
      <w:pPr>
        <w:spacing w:line="360" w:lineRule="auto"/>
        <w:jc w:val="center"/>
        <w:rPr>
          <w:rFonts w:ascii="Palatino Linotype" w:eastAsia="Palatino Linotype" w:hAnsi="Palatino Linotype" w:cs="Palatino Linotype"/>
        </w:rPr>
      </w:pPr>
      <w:r w:rsidRPr="0064244C">
        <w:rPr>
          <w:rFonts w:ascii="Palatino Linotype" w:eastAsia="Palatino Linotype" w:hAnsi="Palatino Linotype" w:cs="Palatino Linotype"/>
          <w:noProof/>
          <w:lang w:val="es-MX" w:eastAsia="es-MX"/>
        </w:rPr>
        <w:drawing>
          <wp:inline distT="0" distB="0" distL="0" distR="0">
            <wp:extent cx="5371117" cy="2302687"/>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371117" cy="2302687"/>
                    </a:xfrm>
                    <a:prstGeom prst="rect">
                      <a:avLst/>
                    </a:prstGeom>
                    <a:ln/>
                  </pic:spPr>
                </pic:pic>
              </a:graphicData>
            </a:graphic>
          </wp:inline>
        </w:drawing>
      </w:r>
    </w:p>
    <w:p w:rsidR="00FB5862" w:rsidRPr="0064244C" w:rsidRDefault="00F855F4">
      <w:pPr>
        <w:spacing w:line="360" w:lineRule="auto"/>
        <w:jc w:val="center"/>
        <w:rPr>
          <w:rFonts w:ascii="Palatino Linotype" w:eastAsia="Palatino Linotype" w:hAnsi="Palatino Linotype" w:cs="Palatino Linotype"/>
          <w:b/>
        </w:rPr>
      </w:pPr>
      <w:r w:rsidRPr="0064244C">
        <w:rPr>
          <w:rFonts w:ascii="Palatino Linotype" w:eastAsia="Palatino Linotype" w:hAnsi="Palatino Linotype" w:cs="Palatino Linotype"/>
          <w:b/>
        </w:rPr>
        <w:t>(…)</w:t>
      </w:r>
    </w:p>
    <w:p w:rsidR="00FB5862" w:rsidRPr="0064244C" w:rsidRDefault="00F855F4">
      <w:pPr>
        <w:spacing w:line="360" w:lineRule="auto"/>
        <w:jc w:val="both"/>
        <w:rPr>
          <w:rFonts w:ascii="Palatino Linotype" w:eastAsia="Palatino Linotype" w:hAnsi="Palatino Linotype" w:cs="Palatino Linotype"/>
        </w:rPr>
      </w:pPr>
      <w:r w:rsidRPr="0064244C">
        <w:rPr>
          <w:rFonts w:ascii="Palatino Linotype" w:eastAsia="Palatino Linotype" w:hAnsi="Palatino Linotype" w:cs="Palatino Linotype"/>
          <w:noProof/>
          <w:lang w:val="es-MX" w:eastAsia="es-MX"/>
        </w:rPr>
        <w:lastRenderedPageBreak/>
        <w:drawing>
          <wp:inline distT="0" distB="0" distL="0" distR="0">
            <wp:extent cx="5612130" cy="348932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612130" cy="3489325"/>
                    </a:xfrm>
                    <a:prstGeom prst="rect">
                      <a:avLst/>
                    </a:prstGeom>
                    <a:ln/>
                  </pic:spPr>
                </pic:pic>
              </a:graphicData>
            </a:graphic>
          </wp:inline>
        </w:drawing>
      </w:r>
    </w:p>
    <w:p w:rsidR="00FB5862" w:rsidRPr="0064244C" w:rsidRDefault="00F855F4">
      <w:pPr>
        <w:spacing w:line="360" w:lineRule="auto"/>
        <w:jc w:val="center"/>
        <w:rPr>
          <w:rFonts w:ascii="Palatino Linotype" w:eastAsia="Palatino Linotype" w:hAnsi="Palatino Linotype" w:cs="Palatino Linotype"/>
          <w:b/>
        </w:rPr>
      </w:pPr>
      <w:r w:rsidRPr="0064244C">
        <w:rPr>
          <w:rFonts w:ascii="Palatino Linotype" w:eastAsia="Palatino Linotype" w:hAnsi="Palatino Linotype" w:cs="Palatino Linotype"/>
          <w:b/>
        </w:rPr>
        <w:t>(…)</w:t>
      </w:r>
    </w:p>
    <w:p w:rsidR="00FB5862" w:rsidRPr="0064244C" w:rsidRDefault="00F855F4">
      <w:pPr>
        <w:spacing w:line="360" w:lineRule="auto"/>
        <w:jc w:val="center"/>
        <w:rPr>
          <w:rFonts w:ascii="Palatino Linotype" w:eastAsia="Palatino Linotype" w:hAnsi="Palatino Linotype" w:cs="Palatino Linotype"/>
          <w:b/>
        </w:rPr>
      </w:pPr>
      <w:r w:rsidRPr="0064244C">
        <w:rPr>
          <w:rFonts w:ascii="Palatino Linotype" w:eastAsia="Palatino Linotype" w:hAnsi="Palatino Linotype" w:cs="Palatino Linotype"/>
          <w:b/>
          <w:noProof/>
          <w:lang w:val="es-MX" w:eastAsia="es-MX"/>
        </w:rPr>
        <w:drawing>
          <wp:inline distT="0" distB="0" distL="0" distR="0">
            <wp:extent cx="5612130" cy="148463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612130" cy="1484630"/>
                    </a:xfrm>
                    <a:prstGeom prst="rect">
                      <a:avLst/>
                    </a:prstGeom>
                    <a:ln/>
                  </pic:spPr>
                </pic:pic>
              </a:graphicData>
            </a:graphic>
          </wp:inline>
        </w:drawing>
      </w:r>
    </w:p>
    <w:p w:rsidR="00FB5862" w:rsidRPr="0064244C" w:rsidRDefault="00F855F4">
      <w:pPr>
        <w:spacing w:line="360" w:lineRule="auto"/>
        <w:jc w:val="center"/>
        <w:rPr>
          <w:rFonts w:ascii="Palatino Linotype" w:eastAsia="Palatino Linotype" w:hAnsi="Palatino Linotype" w:cs="Palatino Linotype"/>
          <w:b/>
        </w:rPr>
      </w:pPr>
      <w:r w:rsidRPr="0064244C">
        <w:rPr>
          <w:rFonts w:ascii="Palatino Linotype" w:eastAsia="Palatino Linotype" w:hAnsi="Palatino Linotype" w:cs="Palatino Linotype"/>
          <w:b/>
        </w:rPr>
        <w:t>(…)</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 xml:space="preserve">Luego entonces, se aprecia que ciertamente obra la estructura, organización y funcionamiento interno del Sistema Municipal Para el Desarrollo Integral de la Familia de Huehuetoca, cumpliendo con el propósito es establecer las bases legales y administrativas para regular las actividades, competencias y responsabilidades de dicho ente público, por lo cual, se tiene por colmado el rubro en comento, al remitirse el soporte documental donde conste o se advierta la información de interés del hoy </w:t>
      </w:r>
      <w:r w:rsidRPr="0064244C">
        <w:rPr>
          <w:rFonts w:ascii="Palatino Linotype" w:eastAsia="Palatino Linotype" w:hAnsi="Palatino Linotype" w:cs="Palatino Linotype"/>
          <w:b/>
        </w:rPr>
        <w:t>RECURRENTE</w:t>
      </w:r>
      <w:r w:rsidRPr="0064244C">
        <w:rPr>
          <w:rFonts w:ascii="Palatino Linotype" w:eastAsia="Palatino Linotype" w:hAnsi="Palatino Linotype" w:cs="Palatino Linotype"/>
        </w:rPr>
        <w:t>, reiterando que no es facultad de este Instituto pronunciarse respecto de su contenido</w:t>
      </w:r>
      <w:r w:rsidRPr="0064244C">
        <w:rPr>
          <w:rFonts w:ascii="Palatino Linotype" w:eastAsia="Palatino Linotype" w:hAnsi="Palatino Linotype" w:cs="Palatino Linotype"/>
          <w:b/>
        </w:rPr>
        <w:t>.</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Por otro lado,</w:t>
      </w:r>
      <w:r w:rsidRPr="0064244C">
        <w:rPr>
          <w:rFonts w:ascii="Palatino Linotype" w:eastAsia="Palatino Linotype" w:hAnsi="Palatino Linotype" w:cs="Palatino Linotype"/>
          <w:b/>
        </w:rPr>
        <w:t xml:space="preserve"> n</w:t>
      </w:r>
      <w:r w:rsidRPr="0064244C">
        <w:rPr>
          <w:rFonts w:ascii="Palatino Linotype" w:eastAsia="Palatino Linotype" w:hAnsi="Palatino Linotype" w:cs="Palatino Linotype"/>
        </w:rPr>
        <w:t xml:space="preserve">o pasando desapercibido que el reglamento solicitado estrictamente de manera inicial, al no obrar en los archivos del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ciertamente actualiza la figura de hechos negativos, referida en el informe justificado.</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Ello, toda vez que no posee, administra ni genera el documento especifico requerido por el particular, lo que constituye un hecho negativo; entonces, si se considera el hecho negativo, es obvio que éste no puede fácticamente obrar en los archivos del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ya que no puede probarse por ser lógica y materialmente imposible.</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lastRenderedPageBreak/>
        <w:t>Asimismo, no se trata de un caso por el cual la negación del hecho implique la afirmación del mismo, simplemente se está ante una notoria y evidente inexistencia fáctica de la información solicitada.</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Encontrándonos ante un hecho negativo, destacando entonces que el Pleno de este Organismo Garante, ha sostenido que ante la presencia de un hecho negativo, resultaría innecesaria una declaratoria de inexistencia en términos de los artículos 19, 169 y 170 de la Ley de Transparencia y Acceso a la Información Pública del Estado de México y Municipios, y ante una hecho negativo resulta aplicable la siguiente tesis:</w:t>
      </w:r>
    </w:p>
    <w:p w:rsidR="00FB5862" w:rsidRPr="0064244C" w:rsidRDefault="00F855F4">
      <w:pPr>
        <w:spacing w:line="360" w:lineRule="auto"/>
        <w:ind w:left="851" w:right="567"/>
        <w:jc w:val="both"/>
        <w:rPr>
          <w:rFonts w:ascii="Palatino Linotype" w:eastAsia="Palatino Linotype" w:hAnsi="Palatino Linotype" w:cs="Palatino Linotype"/>
          <w:b/>
          <w:i/>
        </w:rPr>
      </w:pPr>
      <w:bookmarkStart w:id="7" w:name="_heading=h.1t3h5sf" w:colFirst="0" w:colLast="0"/>
      <w:bookmarkEnd w:id="7"/>
      <w:r w:rsidRPr="0064244C">
        <w:rPr>
          <w:rFonts w:ascii="Palatino Linotype" w:eastAsia="Palatino Linotype" w:hAnsi="Palatino Linotype" w:cs="Palatino Linotype"/>
          <w:b/>
          <w:i/>
        </w:rPr>
        <w:t xml:space="preserve">HECHOS NEGATIVOS, NO SON SUSCEPTIBLES DE DEMOSTRACIÓN. </w:t>
      </w:r>
    </w:p>
    <w:p w:rsidR="00FB5862" w:rsidRPr="0064244C" w:rsidRDefault="00F855F4">
      <w:pPr>
        <w:spacing w:line="360" w:lineRule="auto"/>
        <w:ind w:left="851" w:right="567"/>
        <w:jc w:val="both"/>
        <w:rPr>
          <w:rFonts w:ascii="Palatino Linotype" w:eastAsia="Palatino Linotype" w:hAnsi="Palatino Linotype" w:cs="Palatino Linotype"/>
          <w:i/>
        </w:rPr>
      </w:pPr>
      <w:r w:rsidRPr="0064244C">
        <w:rPr>
          <w:rFonts w:ascii="Palatino Linotype" w:eastAsia="Palatino Linotype" w:hAnsi="Palatino Linotype" w:cs="Palatino Linotype"/>
          <w:i/>
        </w:rPr>
        <w:t xml:space="preserve">Tratándose de un hecho negativo, el Juez no tiene </w:t>
      </w:r>
      <w:proofErr w:type="spellStart"/>
      <w:r w:rsidRPr="0064244C">
        <w:rPr>
          <w:rFonts w:ascii="Palatino Linotype" w:eastAsia="Palatino Linotype" w:hAnsi="Palatino Linotype" w:cs="Palatino Linotype"/>
          <w:i/>
        </w:rPr>
        <w:t>por que</w:t>
      </w:r>
      <w:proofErr w:type="spellEnd"/>
      <w:r w:rsidRPr="0064244C">
        <w:rPr>
          <w:rFonts w:ascii="Palatino Linotype" w:eastAsia="Palatino Linotype" w:hAnsi="Palatino Linotype" w:cs="Palatino Linotype"/>
          <w:i/>
        </w:rPr>
        <w:t xml:space="preserve"> invocar prueba alguna de la que se desprenda, ya que es bien sabido que esta clase de hechos no son susceptibles de demostración.</w:t>
      </w:r>
    </w:p>
    <w:p w:rsidR="00FB5862" w:rsidRPr="0064244C" w:rsidRDefault="00F855F4">
      <w:pPr>
        <w:spacing w:line="360" w:lineRule="auto"/>
        <w:ind w:left="851" w:right="567"/>
        <w:jc w:val="both"/>
        <w:rPr>
          <w:rFonts w:ascii="Palatino Linotype" w:eastAsia="Palatino Linotype" w:hAnsi="Palatino Linotype" w:cs="Palatino Linotype"/>
          <w:i/>
        </w:rPr>
      </w:pPr>
      <w:r w:rsidRPr="0064244C">
        <w:rPr>
          <w:rFonts w:ascii="Palatino Linotype" w:eastAsia="Palatino Linotype" w:hAnsi="Palatino Linotype" w:cs="Palatino Linotype"/>
          <w:i/>
        </w:rPr>
        <w:t>Amparo en revisión 2022/61. José García Florín (Menor). 9 de octubre de 1961. Cinco votos. Ponente: José Rivera Pérez Campos.”</w:t>
      </w:r>
    </w:p>
    <w:p w:rsidR="00FB5862" w:rsidRPr="0064244C" w:rsidRDefault="00FB5862">
      <w:pPr>
        <w:spacing w:line="360" w:lineRule="auto"/>
        <w:ind w:left="709" w:right="758"/>
        <w:jc w:val="both"/>
        <w:rPr>
          <w:rFonts w:ascii="Palatino Linotype" w:eastAsia="Palatino Linotype" w:hAnsi="Palatino Linotype" w:cs="Palatino Linotype"/>
          <w:i/>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Además, y de conformidad con lo establecido en el artículo 12 de la </w:t>
      </w:r>
      <w:r w:rsidRPr="0064244C">
        <w:rPr>
          <w:rFonts w:ascii="Palatino Linotype" w:eastAsia="Palatino Linotype" w:hAnsi="Palatino Linotype" w:cs="Palatino Linotype"/>
          <w:b/>
        </w:rPr>
        <w:t>Ley de Transparencia y Acceso a la Información Pública del Estado de México y Municipios</w:t>
      </w:r>
      <w:r w:rsidRPr="0064244C">
        <w:rPr>
          <w:rFonts w:ascii="Palatino Linotype" w:eastAsia="Palatino Linotype" w:hAnsi="Palatino Linotype" w:cs="Palatino Linotype"/>
        </w:rPr>
        <w:t xml:space="preserve">, anteriormente invocado, 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únicamente </w:t>
      </w:r>
      <w:r w:rsidRPr="0064244C">
        <w:rPr>
          <w:rFonts w:ascii="Palatino Linotype" w:eastAsia="Palatino Linotype" w:hAnsi="Palatino Linotype" w:cs="Palatino Linotype"/>
        </w:rPr>
        <w:lastRenderedPageBreak/>
        <w:t>proporcionará la información que obra en sus archivos, lo que a</w:t>
      </w:r>
      <w:r w:rsidRPr="0064244C">
        <w:rPr>
          <w:rFonts w:ascii="Palatino Linotype" w:eastAsia="Palatino Linotype" w:hAnsi="Palatino Linotype" w:cs="Palatino Linotype"/>
          <w:i/>
        </w:rPr>
        <w:t xml:space="preserve"> contrario sensu</w:t>
      </w:r>
      <w:r w:rsidRPr="0064244C">
        <w:rPr>
          <w:rFonts w:ascii="Palatino Linotype" w:eastAsia="Palatino Linotype" w:hAnsi="Palatino Linotype" w:cs="Palatino Linotype"/>
        </w:rPr>
        <w:t xml:space="preserve"> significa que no se está obligado a proporcionar lo que no obre en sus archivos. </w:t>
      </w:r>
    </w:p>
    <w:p w:rsidR="00FB5862" w:rsidRPr="0064244C" w:rsidRDefault="00FB58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En esa tesitura, se observa que el </w:t>
      </w:r>
      <w:r w:rsidRPr="0064244C">
        <w:rPr>
          <w:rFonts w:ascii="Palatino Linotype" w:eastAsia="Palatino Linotype" w:hAnsi="Palatino Linotype" w:cs="Palatino Linotype"/>
          <w:b/>
        </w:rPr>
        <w:t xml:space="preserve">SUJETO OBLIGADO </w:t>
      </w:r>
      <w:r w:rsidRPr="0064244C">
        <w:rPr>
          <w:rFonts w:ascii="Palatino Linotype" w:eastAsia="Palatino Linotype" w:hAnsi="Palatino Linotype" w:cs="Palatino Linotype"/>
        </w:rPr>
        <w:t>mediante el informe justificado modificó la respuesta inicial, pronunciándose respecto de la información faltante como un hecho negativo.</w:t>
      </w:r>
    </w:p>
    <w:p w:rsidR="00367BEA" w:rsidRPr="0064244C" w:rsidRDefault="00367BEA" w:rsidP="00367BEA">
      <w:pPr>
        <w:pStyle w:val="Prrafodelista"/>
        <w:rPr>
          <w:rFonts w:ascii="Palatino Linotype" w:eastAsia="Palatino Linotype" w:hAnsi="Palatino Linotype" w:cs="Palatino Linotype"/>
        </w:rPr>
      </w:pPr>
    </w:p>
    <w:p w:rsidR="00367BEA" w:rsidRPr="0064244C" w:rsidRDefault="00367BEA" w:rsidP="00E54987">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Finalmente no pasa inadvertido al respecto, que en calidad de informe justificado se informó de la pretensión de la creación de dicha normativa por parte de la Junta de Gobierno mediante sesión a celebrarse el día 15 de diciembre de dos mil veinticuatro; sin embargo ello corresponde a contexto </w:t>
      </w:r>
      <w:r w:rsidR="00212493" w:rsidRPr="0064244C">
        <w:rPr>
          <w:rFonts w:ascii="Palatino Linotype" w:eastAsia="Palatino Linotype" w:hAnsi="Palatino Linotype" w:cs="Palatino Linotype"/>
        </w:rPr>
        <w:t>pendiente</w:t>
      </w:r>
      <w:r w:rsidRPr="0064244C">
        <w:rPr>
          <w:rFonts w:ascii="Palatino Linotype" w:eastAsia="Palatino Linotype" w:hAnsi="Palatino Linotype" w:cs="Palatino Linotype"/>
        </w:rPr>
        <w:t>, que en derecho se entiende como un hecho futuro que versa en un evento o circunstancia que aún no ha ocurrido pero que se espera o prevé que suceda y que tendrá implicaciones legales o será objeto de regulación, análisis o r</w:t>
      </w:r>
      <w:r w:rsidR="00E54987" w:rsidRPr="0064244C">
        <w:rPr>
          <w:rFonts w:ascii="Palatino Linotype" w:eastAsia="Palatino Linotype" w:hAnsi="Palatino Linotype" w:cs="Palatino Linotype"/>
        </w:rPr>
        <w:t>esolución jurídica en el futuro; luego entonces no es factible</w:t>
      </w:r>
      <w:r w:rsidR="00212493" w:rsidRPr="0064244C">
        <w:rPr>
          <w:rFonts w:ascii="Palatino Linotype" w:eastAsia="Palatino Linotype" w:hAnsi="Palatino Linotype" w:cs="Palatino Linotype"/>
        </w:rPr>
        <w:t xml:space="preserve"> tomar en consideración en materia de acceso a la información pública, por corresponder a un derecho que se colma con la entrega de información generada, poseída o administrada previo a la interposición de una solicitud de información.</w:t>
      </w:r>
    </w:p>
    <w:p w:rsidR="00FB5862" w:rsidRPr="0064244C" w:rsidRDefault="00FB5862">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rPr>
      </w:pPr>
      <w:r w:rsidRPr="0064244C">
        <w:rPr>
          <w:rFonts w:ascii="Palatino Linotype" w:eastAsia="Palatino Linotype" w:hAnsi="Palatino Linotype" w:cs="Palatino Linotype"/>
        </w:rPr>
        <w:t xml:space="preserve">Respecto del resto de inconsistencias –a decir del Recurrente– vertidas en el escrito </w:t>
      </w:r>
      <w:proofErr w:type="spellStart"/>
      <w:r w:rsidRPr="0064244C">
        <w:rPr>
          <w:rFonts w:ascii="Palatino Linotype" w:eastAsia="Palatino Linotype" w:hAnsi="Palatino Linotype" w:cs="Palatino Linotype"/>
        </w:rPr>
        <w:t>recursal</w:t>
      </w:r>
      <w:proofErr w:type="spellEnd"/>
      <w:r w:rsidRPr="0064244C">
        <w:rPr>
          <w:rFonts w:ascii="Palatino Linotype" w:eastAsia="Palatino Linotype" w:hAnsi="Palatino Linotype" w:cs="Palatino Linotype"/>
        </w:rPr>
        <w:t xml:space="preserve">, es dable mencionar que no son atendibles mediante el ejercicio del derecho de acceso a la información pública, por corresponder a manifestaciones </w:t>
      </w:r>
      <w:r w:rsidRPr="0064244C">
        <w:rPr>
          <w:rFonts w:ascii="Palatino Linotype" w:eastAsia="Palatino Linotype" w:hAnsi="Palatino Linotype" w:cs="Palatino Linotype"/>
        </w:rPr>
        <w:lastRenderedPageBreak/>
        <w:t>subjetivas; que corresponden aquellas las expresiones, pensamientos, sentimientos, creencias o percepciones individuales que surgen desde la perspectiva personal de un individuo, luego entonces estas manifestaciones dependen de la subjetividad de la persona, es decir, de sus experiencias, emociones, valores y contexto personal, por tanto no son atendibles vía acceso a la información pública, por lo que se dejan a salvo sus derechos para interponer las quejas o denuncias que a sus intereses convenga ante las autoridades competentes.</w:t>
      </w:r>
    </w:p>
    <w:p w:rsidR="00FB5862" w:rsidRPr="0064244C" w:rsidRDefault="00FB5862">
      <w:pPr>
        <w:spacing w:line="360" w:lineRule="auto"/>
        <w:jc w:val="both"/>
        <w:rPr>
          <w:rFonts w:ascii="Palatino Linotype" w:eastAsia="Palatino Linotype" w:hAnsi="Palatino Linotype" w:cs="Palatino Linotype"/>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 xml:space="preserve">Con la determinación anterior, se estima quedara por colmado el derecho de acceso a la </w:t>
      </w:r>
      <w:r w:rsidRPr="0064244C">
        <w:rPr>
          <w:rFonts w:ascii="Palatino Linotype" w:eastAsia="Palatino Linotype" w:hAnsi="Palatino Linotype" w:cs="Palatino Linotype"/>
        </w:rPr>
        <w:t>información</w:t>
      </w:r>
      <w:r w:rsidRPr="0064244C">
        <w:rPr>
          <w:rFonts w:ascii="Palatino Linotype" w:eastAsia="Palatino Linotype" w:hAnsi="Palatino Linotype" w:cs="Palatino Linotype"/>
          <w:color w:val="000000"/>
        </w:rPr>
        <w:t xml:space="preserve"> del ahora Recurrente; toda vez que el Derecho que tutela este Órgano Garante corresponde a la  </w:t>
      </w:r>
      <w:r w:rsidRPr="0064244C">
        <w:rPr>
          <w:rFonts w:ascii="Palatino Linotype" w:eastAsia="Palatino Linotype" w:hAnsi="Palatino Linotype" w:cs="Palatino Linotype"/>
          <w:i/>
          <w:color w:val="000000"/>
        </w:rPr>
        <w:t>igualdad de oportunidades para recibir, buscar e impartir información</w:t>
      </w:r>
      <w:r w:rsidRPr="0064244C">
        <w:rPr>
          <w:rFonts w:ascii="Palatino Linotype" w:eastAsia="Palatino Linotype" w:hAnsi="Palatino Linotype" w:cs="Palatino Linotype"/>
          <w:i/>
          <w:color w:val="000000"/>
          <w:vertAlign w:val="superscript"/>
        </w:rPr>
        <w:footnoteReference w:id="1"/>
      </w:r>
      <w:r w:rsidRPr="0064244C">
        <w:rPr>
          <w:rFonts w:ascii="Palatino Linotype" w:eastAsia="Palatino Linotype" w:hAnsi="Palatino Linotype" w:cs="Palatino Linotype"/>
          <w:i/>
          <w:color w:val="000000"/>
        </w:rPr>
        <w:t xml:space="preserve"> en posesión de cualquier autoridad, entidad, órgano y organismo de los </w:t>
      </w:r>
      <w:r w:rsidRPr="0064244C">
        <w:rPr>
          <w:rFonts w:ascii="Palatino Linotype" w:eastAsia="Palatino Linotype" w:hAnsi="Palatino Linotype" w:cs="Palatino Linotype"/>
          <w:color w:val="000000"/>
        </w:rPr>
        <w:t>poderes</w:t>
      </w:r>
      <w:r w:rsidRPr="0064244C">
        <w:rPr>
          <w:rFonts w:ascii="Palatino Linotype" w:eastAsia="Palatino Linotype" w:hAnsi="Palatino Linotype" w:cs="Palatino Linotype"/>
          <w:i/>
          <w:color w:val="000000"/>
        </w:rPr>
        <w:t xml:space="preserve"> Ejecutivo, Legislativo y Judicial, órganos autónomos, partidos políticos, </w:t>
      </w:r>
      <w:r w:rsidRPr="0064244C">
        <w:rPr>
          <w:rFonts w:ascii="Palatino Linotype" w:eastAsia="Palatino Linotype" w:hAnsi="Palatino Linotype" w:cs="Palatino Linotype"/>
        </w:rPr>
        <w:t>fideicomisos</w:t>
      </w:r>
      <w:r w:rsidRPr="0064244C">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64244C">
        <w:rPr>
          <w:rFonts w:ascii="Palatino Linotype" w:eastAsia="Palatino Linotype" w:hAnsi="Palatino Linotype" w:cs="Palatino Linotype"/>
          <w:color w:val="000000"/>
          <w:vertAlign w:val="superscript"/>
        </w:rPr>
        <w:footnoteReference w:id="2"/>
      </w:r>
      <w:r w:rsidRPr="0064244C">
        <w:rPr>
          <w:rFonts w:ascii="Palatino Linotype" w:eastAsia="Palatino Linotype" w:hAnsi="Palatino Linotype" w:cs="Palatino Linotype"/>
          <w:i/>
          <w:color w:val="000000"/>
        </w:rPr>
        <w:t xml:space="preserve"> </w:t>
      </w:r>
      <w:r w:rsidRPr="0064244C">
        <w:rPr>
          <w:rFonts w:ascii="Palatino Linotype" w:eastAsia="Palatino Linotype" w:hAnsi="Palatino Linotype" w:cs="Palatino Linotype"/>
          <w:color w:val="000000"/>
        </w:rPr>
        <w:t xml:space="preserve">que se constituye como una herramienta fundamental para </w:t>
      </w:r>
      <w:r w:rsidRPr="0064244C">
        <w:rPr>
          <w:rFonts w:ascii="Palatino Linotype" w:eastAsia="Palatino Linotype" w:hAnsi="Palatino Linotype" w:cs="Palatino Linotype"/>
          <w:i/>
          <w:color w:val="000000"/>
        </w:rPr>
        <w:t xml:space="preserve">ejercer control democrático de las gestiones estatales, de forma tal que puedan cuestionar, indagar y considerar si se está dando un adecuado cumplimiento de las funciones </w:t>
      </w:r>
      <w:r w:rsidRPr="0064244C">
        <w:rPr>
          <w:rFonts w:ascii="Palatino Linotype" w:eastAsia="Palatino Linotype" w:hAnsi="Palatino Linotype" w:cs="Palatino Linotype"/>
          <w:i/>
          <w:color w:val="000000"/>
        </w:rPr>
        <w:lastRenderedPageBreak/>
        <w:t>públicas,</w:t>
      </w:r>
      <w:r w:rsidRPr="0064244C">
        <w:rPr>
          <w:rFonts w:ascii="Palatino Linotype" w:eastAsia="Palatino Linotype" w:hAnsi="Palatino Linotype" w:cs="Palatino Linotype"/>
          <w:i/>
          <w:color w:val="000000"/>
          <w:vertAlign w:val="superscript"/>
        </w:rPr>
        <w:footnoteReference w:id="3"/>
      </w:r>
      <w:r w:rsidRPr="0064244C">
        <w:rPr>
          <w:rFonts w:ascii="Palatino Linotype" w:eastAsia="Palatino Linotype" w:hAnsi="Palatino Linotype" w:cs="Palatino Linotype"/>
          <w:color w:val="000000"/>
        </w:rPr>
        <w:t>fomentando</w:t>
      </w:r>
      <w:r w:rsidRPr="0064244C">
        <w:rPr>
          <w:rFonts w:ascii="Palatino Linotype" w:eastAsia="Palatino Linotype" w:hAnsi="Palatino Linotype" w:cs="Palatino Linotype"/>
          <w:i/>
          <w:color w:val="000000"/>
        </w:rPr>
        <w:t xml:space="preserve"> la transparencia de las actividades estatales y</w:t>
      </w:r>
      <w:r w:rsidRPr="0064244C">
        <w:rPr>
          <w:rFonts w:ascii="Palatino Linotype" w:eastAsia="Palatino Linotype" w:hAnsi="Palatino Linotype" w:cs="Palatino Linotype"/>
          <w:color w:val="000000"/>
        </w:rPr>
        <w:t xml:space="preserve"> promoviendo</w:t>
      </w:r>
      <w:r w:rsidRPr="0064244C">
        <w:rPr>
          <w:rFonts w:ascii="Palatino Linotype" w:eastAsia="Palatino Linotype" w:hAnsi="Palatino Linotype" w:cs="Palatino Linotype"/>
          <w:i/>
          <w:color w:val="000000"/>
        </w:rPr>
        <w:t xml:space="preserve"> la responsabilidad de los funcionarios sobre su gestión pública</w:t>
      </w:r>
      <w:r w:rsidRPr="0064244C">
        <w:rPr>
          <w:rFonts w:ascii="Palatino Linotype" w:eastAsia="Palatino Linotype" w:hAnsi="Palatino Linotype" w:cs="Palatino Linotype"/>
          <w:i/>
          <w:color w:val="000000"/>
          <w:vertAlign w:val="superscript"/>
        </w:rPr>
        <w:footnoteReference w:id="4"/>
      </w:r>
      <w:r w:rsidRPr="0064244C">
        <w:rPr>
          <w:rFonts w:ascii="Palatino Linotype" w:eastAsia="Palatino Linotype" w:hAnsi="Palatino Linotype" w:cs="Palatino Linotype"/>
          <w:i/>
          <w:color w:val="000000"/>
        </w:rPr>
        <w:t xml:space="preserve"> </w:t>
      </w:r>
      <w:r w:rsidRPr="0064244C">
        <w:rPr>
          <w:rFonts w:ascii="Palatino Linotype" w:eastAsia="Palatino Linotype" w:hAnsi="Palatino Linotype" w:cs="Palatino Linotype"/>
          <w:color w:val="000000"/>
        </w:rPr>
        <w:t>que permite</w:t>
      </w:r>
      <w:r w:rsidRPr="0064244C">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64244C">
        <w:rPr>
          <w:rFonts w:ascii="Palatino Linotype" w:eastAsia="Palatino Linotype" w:hAnsi="Palatino Linotype" w:cs="Palatino Linotype"/>
          <w:i/>
          <w:color w:val="000000"/>
          <w:vertAlign w:val="superscript"/>
        </w:rPr>
        <w:footnoteReference w:id="5"/>
      </w:r>
      <w:r w:rsidRPr="0064244C">
        <w:rPr>
          <w:rFonts w:ascii="Palatino Linotype" w:eastAsia="Palatino Linotype" w:hAnsi="Palatino Linotype" w:cs="Palatino Linotype"/>
          <w:color w:val="000000"/>
        </w:rPr>
        <w:t xml:space="preserve"> ” </w:t>
      </w:r>
    </w:p>
    <w:p w:rsidR="00FB5862" w:rsidRPr="0064244C" w:rsidRDefault="00FB5862">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FB5862" w:rsidRPr="0064244C" w:rsidRDefault="00F855F4">
      <w:pPr>
        <w:spacing w:line="360" w:lineRule="auto"/>
        <w:ind w:left="426" w:right="115"/>
        <w:jc w:val="both"/>
        <w:rPr>
          <w:rFonts w:ascii="Palatino Linotype" w:eastAsia="Palatino Linotype" w:hAnsi="Palatino Linotype" w:cs="Palatino Linotype"/>
          <w:b/>
          <w:i/>
          <w:color w:val="000000"/>
        </w:rPr>
      </w:pPr>
      <w:r w:rsidRPr="0064244C">
        <w:rPr>
          <w:rFonts w:ascii="Palatino Linotype" w:eastAsia="Palatino Linotype" w:hAnsi="Palatino Linotype" w:cs="Palatino Linotype"/>
          <w:b/>
          <w:i/>
          <w:color w:val="000000"/>
        </w:rPr>
        <w:t>“CRITERIO 0002-11</w:t>
      </w:r>
    </w:p>
    <w:p w:rsidR="00FB5862" w:rsidRPr="0064244C" w:rsidRDefault="00F855F4">
      <w:pPr>
        <w:spacing w:line="360" w:lineRule="auto"/>
        <w:ind w:left="425" w:right="115"/>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b/>
          <w:i/>
          <w:color w:val="000000"/>
        </w:rPr>
        <w:t>INFORMACIÓN PÚBLICA, CONCEPTO DE, EN MATERIA DE TRANSPARENCIA. INTERPRETACIÓN TEMÁTICA DE LOS ARTÍCULOS 2, FRACCIÓN V, XV, Y XVI, 3, 4,11 Y 41.</w:t>
      </w:r>
      <w:r w:rsidRPr="0064244C">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w:t>
      </w:r>
      <w:r w:rsidRPr="0064244C">
        <w:rPr>
          <w:rFonts w:ascii="Palatino Linotype" w:eastAsia="Palatino Linotype" w:hAnsi="Palatino Linotype" w:cs="Palatino Linotype"/>
          <w:i/>
          <w:color w:val="000000"/>
        </w:rPr>
        <w:lastRenderedPageBreak/>
        <w:t>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FB5862" w:rsidRPr="0064244C" w:rsidRDefault="00F855F4">
      <w:pPr>
        <w:spacing w:line="360" w:lineRule="auto"/>
        <w:ind w:left="425" w:right="115"/>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En consecuencia el acceso a la información se refiere a que se cumplan cualquiera de los siguientes tres supuestos:</w:t>
      </w:r>
    </w:p>
    <w:p w:rsidR="00FB5862" w:rsidRPr="0064244C" w:rsidRDefault="00F855F4">
      <w:pPr>
        <w:spacing w:line="360" w:lineRule="auto"/>
        <w:ind w:left="425" w:right="115"/>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rsidR="00FB5862" w:rsidRPr="0064244C" w:rsidRDefault="00F855F4">
      <w:pPr>
        <w:spacing w:line="360" w:lineRule="auto"/>
        <w:ind w:left="425" w:right="115"/>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rsidR="00FB5862" w:rsidRPr="0064244C" w:rsidRDefault="00F855F4">
      <w:pPr>
        <w:spacing w:line="360" w:lineRule="auto"/>
        <w:ind w:left="425" w:right="115"/>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rsidR="00FB5862" w:rsidRPr="0064244C" w:rsidRDefault="00FB5862">
      <w:pPr>
        <w:spacing w:line="360" w:lineRule="auto"/>
        <w:ind w:right="115"/>
        <w:jc w:val="both"/>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 xml:space="preserve">Es así que, todos los actos de autoridad que realicen los Sujetos Obligados </w:t>
      </w:r>
      <w:r w:rsidRPr="0064244C">
        <w:rPr>
          <w:rFonts w:ascii="Palatino Linotype" w:eastAsia="Palatino Linotype" w:hAnsi="Palatino Linotype" w:cs="Palatino Linotype"/>
          <w:b/>
          <w:color w:val="000000"/>
        </w:rPr>
        <w:t xml:space="preserve">deben estar </w:t>
      </w:r>
      <w:r w:rsidRPr="0064244C">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rsidR="00FB5862" w:rsidRPr="0064244C" w:rsidRDefault="00FB586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Además, debemos tomar en cuenta los artículos 4 y 12 (antes transcrito), de la Ley de Transparencia y Acceso a la Información Pública del Estado de México y Municipios, los cuales establecen lo siguiente:</w:t>
      </w:r>
    </w:p>
    <w:p w:rsidR="00FB5862" w:rsidRPr="0064244C" w:rsidRDefault="00F855F4">
      <w:pPr>
        <w:spacing w:line="360" w:lineRule="auto"/>
        <w:ind w:left="425" w:right="257"/>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b/>
          <w:i/>
          <w:color w:val="000000"/>
        </w:rPr>
        <w:lastRenderedPageBreak/>
        <w:t xml:space="preserve">“Artículo 4. </w:t>
      </w:r>
      <w:r w:rsidRPr="0064244C">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rsidR="00FB5862" w:rsidRPr="0064244C" w:rsidRDefault="00F855F4">
      <w:pPr>
        <w:spacing w:line="360" w:lineRule="auto"/>
        <w:ind w:left="426" w:right="257"/>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b/>
          <w:i/>
          <w:color w:val="000000"/>
        </w:rPr>
        <w:t>Toda la información</w:t>
      </w:r>
      <w:r w:rsidRPr="0064244C">
        <w:rPr>
          <w:rFonts w:ascii="Palatino Linotype" w:eastAsia="Palatino Linotype" w:hAnsi="Palatino Linotype" w:cs="Palatino Linotype"/>
          <w:i/>
          <w:color w:val="000000"/>
        </w:rPr>
        <w:t xml:space="preserve"> generada, obtenida, adquirida, transformada, administrada o </w:t>
      </w:r>
      <w:r w:rsidRPr="0064244C">
        <w:rPr>
          <w:rFonts w:ascii="Palatino Linotype" w:eastAsia="Palatino Linotype" w:hAnsi="Palatino Linotype" w:cs="Palatino Linotype"/>
          <w:b/>
          <w:i/>
          <w:color w:val="000000"/>
        </w:rPr>
        <w:t>en posesión de los sujetos obligados es pública</w:t>
      </w:r>
      <w:r w:rsidRPr="0064244C">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FB5862" w:rsidRPr="0064244C" w:rsidRDefault="00F855F4">
      <w:pPr>
        <w:spacing w:line="360" w:lineRule="auto"/>
        <w:ind w:left="426" w:right="257"/>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rsidR="00FB5862" w:rsidRPr="0064244C" w:rsidRDefault="00FB5862">
      <w:pPr>
        <w:spacing w:line="360" w:lineRule="auto"/>
        <w:ind w:right="-592"/>
        <w:jc w:val="both"/>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64244C">
        <w:rPr>
          <w:rFonts w:ascii="Palatino Linotype" w:eastAsia="Palatino Linotype" w:hAnsi="Palatino Linotype" w:cs="Palatino Linotype"/>
          <w:color w:val="000000"/>
          <w:vertAlign w:val="superscript"/>
        </w:rPr>
        <w:footnoteReference w:id="6"/>
      </w:r>
      <w:r w:rsidRPr="0064244C">
        <w:rPr>
          <w:rFonts w:ascii="Palatino Linotype" w:eastAsia="Palatino Linotype" w:hAnsi="Palatino Linotype" w:cs="Palatino Linotype"/>
          <w:color w:val="000000"/>
        </w:rPr>
        <w:t xml:space="preserve"> y máxima publicidad, sobre éste último se debe poner mayor </w:t>
      </w:r>
      <w:r w:rsidRPr="0064244C">
        <w:rPr>
          <w:rFonts w:ascii="Palatino Linotype" w:eastAsia="Palatino Linotype" w:hAnsi="Palatino Linotype" w:cs="Palatino Linotype"/>
          <w:color w:val="000000"/>
        </w:rPr>
        <w:lastRenderedPageBreak/>
        <w:t>énfasis, puesto que establece que toda la información en posesión de los Sujetos Obligados será pública, completa, oportuna y accesible, lo que permite que la ciudadanía tenga un amplio acceso sobre lo que es el actuar de las autoridades.</w:t>
      </w:r>
    </w:p>
    <w:p w:rsidR="00FB5862" w:rsidRPr="0064244C" w:rsidRDefault="00FB5862">
      <w:pPr>
        <w:spacing w:line="360" w:lineRule="auto"/>
        <w:ind w:right="-592"/>
        <w:jc w:val="both"/>
        <w:rPr>
          <w:rFonts w:ascii="Palatino Linotype" w:eastAsia="Palatino Linotype" w:hAnsi="Palatino Linotype" w:cs="Palatino Linotype"/>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FB5862" w:rsidRPr="0064244C" w:rsidRDefault="00F855F4">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r w:rsidRPr="0064244C">
        <w:rPr>
          <w:rFonts w:ascii="Palatino Linotype" w:eastAsia="Palatino Linotype" w:hAnsi="Palatino Linotype" w:cs="Palatino Linotype"/>
          <w:b/>
          <w:i/>
          <w:color w:val="000000"/>
        </w:rPr>
        <w:t>“ACCESO A LA INFORMACIÓN. IMPLICACIÓN DEL PRINCIPIO DE MÁXIMA PUBLICIDAD EN EL DERECHO FUNDAMENTAL RELATIVO.</w:t>
      </w:r>
      <w:r w:rsidRPr="0064244C">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w:t>
      </w:r>
      <w:r w:rsidRPr="0064244C">
        <w:rPr>
          <w:rFonts w:ascii="Palatino Linotype" w:eastAsia="Palatino Linotype" w:hAnsi="Palatino Linotype" w:cs="Palatino Linotype"/>
          <w:i/>
          <w:color w:val="000000"/>
        </w:rPr>
        <w:lastRenderedPageBreak/>
        <w:t>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FB5862" w:rsidRPr="0064244C" w:rsidRDefault="00FB5862">
      <w:pPr>
        <w:pBdr>
          <w:top w:val="nil"/>
          <w:left w:val="nil"/>
          <w:bottom w:val="nil"/>
          <w:right w:val="nil"/>
          <w:between w:val="nil"/>
        </w:pBdr>
        <w:tabs>
          <w:tab w:val="left" w:pos="851"/>
        </w:tabs>
        <w:spacing w:line="360" w:lineRule="auto"/>
        <w:ind w:left="425" w:right="257"/>
        <w:jc w:val="both"/>
        <w:rPr>
          <w:rFonts w:ascii="Palatino Linotype" w:eastAsia="Palatino Linotype" w:hAnsi="Palatino Linotype" w:cs="Palatino Linotype"/>
          <w:i/>
          <w:color w:val="000000"/>
        </w:rPr>
      </w:pPr>
    </w:p>
    <w:p w:rsidR="00FB5862" w:rsidRPr="0064244C" w:rsidRDefault="00F855F4">
      <w:pPr>
        <w:numPr>
          <w:ilvl w:val="0"/>
          <w:numId w:val="1"/>
        </w:numPr>
        <w:spacing w:line="360" w:lineRule="auto"/>
        <w:ind w:left="0" w:firstLine="0"/>
        <w:jc w:val="both"/>
        <w:rPr>
          <w:rFonts w:ascii="Palatino Linotype" w:eastAsia="Palatino Linotype" w:hAnsi="Palatino Linotype" w:cs="Palatino Linotype"/>
          <w:color w:val="000000"/>
        </w:rPr>
      </w:pPr>
      <w:r w:rsidRPr="0064244C">
        <w:rPr>
          <w:rFonts w:ascii="Palatino Linotype" w:eastAsia="Palatino Linotype" w:hAnsi="Palatino Linotype" w:cs="Palatino Linotype"/>
        </w:rPr>
        <w:t>Por</w:t>
      </w:r>
      <w:r w:rsidRPr="0064244C">
        <w:rPr>
          <w:rFonts w:ascii="Palatino Linotype" w:eastAsia="Palatino Linotype" w:hAnsi="Palatino Linotype" w:cs="Palatino Linotype"/>
          <w:color w:val="222222"/>
        </w:rPr>
        <w:t xml:space="preserve"> lo </w:t>
      </w:r>
      <w:r w:rsidRPr="0064244C">
        <w:rPr>
          <w:rFonts w:ascii="Palatino Linotype" w:eastAsia="Palatino Linotype" w:hAnsi="Palatino Linotype" w:cs="Palatino Linotype"/>
          <w:color w:val="000000"/>
        </w:rPr>
        <w:t>anteriormente</w:t>
      </w:r>
      <w:r w:rsidRPr="0064244C">
        <w:rPr>
          <w:rFonts w:ascii="Palatino Linotype" w:eastAsia="Palatino Linotype" w:hAnsi="Palatino Linotype" w:cs="Palatino Linotype"/>
          <w:color w:val="222222"/>
        </w:rPr>
        <w:t xml:space="preserve"> expuesto y fundado, este </w:t>
      </w:r>
      <w:r w:rsidRPr="0064244C">
        <w:rPr>
          <w:rFonts w:ascii="Palatino Linotype" w:eastAsia="Palatino Linotype" w:hAnsi="Palatino Linotype" w:cs="Palatino Linotype"/>
          <w:b/>
          <w:color w:val="222222"/>
        </w:rPr>
        <w:t>ÓRGANO GARANTE</w:t>
      </w:r>
      <w:r w:rsidRPr="0064244C">
        <w:rPr>
          <w:rFonts w:ascii="Palatino Linotype" w:eastAsia="Palatino Linotype" w:hAnsi="Palatino Linotype" w:cs="Palatino Linotype"/>
          <w:color w:val="222222"/>
        </w:rPr>
        <w:t xml:space="preserve"> emite los </w:t>
      </w:r>
      <w:r w:rsidRPr="0064244C">
        <w:rPr>
          <w:rFonts w:ascii="Palatino Linotype" w:eastAsia="Palatino Linotype" w:hAnsi="Palatino Linotype" w:cs="Palatino Linotype"/>
          <w:color w:val="000000"/>
        </w:rPr>
        <w:t>siguientes</w:t>
      </w:r>
      <w:r w:rsidRPr="0064244C">
        <w:rPr>
          <w:rFonts w:ascii="Palatino Linotype" w:eastAsia="Palatino Linotype" w:hAnsi="Palatino Linotype" w:cs="Palatino Linotype"/>
          <w:color w:val="222222"/>
        </w:rPr>
        <w:t xml:space="preserve">: </w:t>
      </w:r>
    </w:p>
    <w:p w:rsidR="00FB5862" w:rsidRPr="0064244C" w:rsidRDefault="00FB5862">
      <w:pPr>
        <w:spacing w:line="360" w:lineRule="auto"/>
        <w:rPr>
          <w:rFonts w:ascii="Palatino Linotype" w:eastAsia="Palatino Linotype" w:hAnsi="Palatino Linotype" w:cs="Palatino Linotype"/>
        </w:rPr>
      </w:pPr>
      <w:bookmarkStart w:id="8" w:name="_heading=h.4d34og8" w:colFirst="0" w:colLast="0"/>
      <w:bookmarkEnd w:id="8"/>
    </w:p>
    <w:p w:rsidR="00FB5862" w:rsidRPr="0064244C" w:rsidRDefault="00F855F4">
      <w:pPr>
        <w:pStyle w:val="Ttulo1"/>
        <w:spacing w:before="0" w:line="360" w:lineRule="auto"/>
        <w:jc w:val="center"/>
        <w:rPr>
          <w:rFonts w:ascii="Palatino Linotype" w:eastAsia="Palatino Linotype" w:hAnsi="Palatino Linotype" w:cs="Palatino Linotype"/>
          <w:b/>
          <w:color w:val="000000"/>
          <w:sz w:val="24"/>
          <w:szCs w:val="24"/>
        </w:rPr>
      </w:pPr>
      <w:r w:rsidRPr="0064244C">
        <w:rPr>
          <w:rFonts w:ascii="Palatino Linotype" w:eastAsia="Palatino Linotype" w:hAnsi="Palatino Linotype" w:cs="Palatino Linotype"/>
          <w:b/>
          <w:color w:val="000000"/>
          <w:sz w:val="24"/>
          <w:szCs w:val="24"/>
        </w:rPr>
        <w:t>R E S O L U T I V O S</w:t>
      </w:r>
    </w:p>
    <w:p w:rsidR="00FB5862" w:rsidRPr="0064244C" w:rsidRDefault="00FB5862">
      <w:pPr>
        <w:spacing w:line="360" w:lineRule="auto"/>
        <w:rPr>
          <w:rFonts w:ascii="Palatino Linotype" w:eastAsia="Palatino Linotype" w:hAnsi="Palatino Linotype" w:cs="Palatino Linotype"/>
        </w:rPr>
      </w:pPr>
    </w:p>
    <w:p w:rsidR="00FB5862" w:rsidRPr="0064244C" w:rsidRDefault="00F855F4">
      <w:pPr>
        <w:spacing w:line="360" w:lineRule="auto"/>
        <w:ind w:right="-592"/>
        <w:jc w:val="both"/>
        <w:rPr>
          <w:rFonts w:ascii="Palatino Linotype" w:eastAsia="Palatino Linotype" w:hAnsi="Palatino Linotype" w:cs="Palatino Linotype"/>
        </w:rPr>
      </w:pPr>
      <w:r w:rsidRPr="0064244C">
        <w:rPr>
          <w:rFonts w:ascii="Palatino Linotype" w:eastAsia="Palatino Linotype" w:hAnsi="Palatino Linotype" w:cs="Palatino Linotype"/>
          <w:b/>
        </w:rPr>
        <w:lastRenderedPageBreak/>
        <w:t xml:space="preserve">PRIMERO. </w:t>
      </w:r>
      <w:r w:rsidRPr="0064244C">
        <w:rPr>
          <w:rFonts w:ascii="Palatino Linotype" w:eastAsia="Palatino Linotype" w:hAnsi="Palatino Linotype" w:cs="Palatino Linotype"/>
        </w:rPr>
        <w:t>Resultan parcialmente fundadas las</w:t>
      </w:r>
      <w:r w:rsidRPr="0064244C">
        <w:rPr>
          <w:rFonts w:ascii="Palatino Linotype" w:eastAsia="Palatino Linotype" w:hAnsi="Palatino Linotype" w:cs="Palatino Linotype"/>
          <w:b/>
        </w:rPr>
        <w:t xml:space="preserve"> </w:t>
      </w:r>
      <w:r w:rsidRPr="0064244C">
        <w:rPr>
          <w:rFonts w:ascii="Palatino Linotype" w:eastAsia="Palatino Linotype" w:hAnsi="Palatino Linotype" w:cs="Palatino Linotype"/>
        </w:rPr>
        <w:t xml:space="preserve">razones o motivos de inconformidad hechos valer en los Recursos de Revisión </w:t>
      </w:r>
      <w:r w:rsidRPr="0064244C">
        <w:rPr>
          <w:rFonts w:ascii="Palatino Linotype" w:eastAsia="Palatino Linotype" w:hAnsi="Palatino Linotype" w:cs="Palatino Linotype"/>
          <w:b/>
          <w:color w:val="000000"/>
        </w:rPr>
        <w:t>07293/INFOEM/IP/RR/2024</w:t>
      </w:r>
      <w:r w:rsidRPr="0064244C">
        <w:rPr>
          <w:rFonts w:ascii="Palatino Linotype" w:eastAsia="Palatino Linotype" w:hAnsi="Palatino Linotype" w:cs="Palatino Linotype"/>
          <w:b/>
        </w:rPr>
        <w:t xml:space="preserve">, </w:t>
      </w:r>
      <w:r w:rsidRPr="0064244C">
        <w:rPr>
          <w:rFonts w:ascii="Palatino Linotype" w:eastAsia="Palatino Linotype" w:hAnsi="Palatino Linotype" w:cs="Palatino Linotype"/>
        </w:rPr>
        <w:t>en términos del</w:t>
      </w:r>
      <w:r w:rsidRPr="0064244C">
        <w:rPr>
          <w:rFonts w:ascii="Palatino Linotype" w:eastAsia="Palatino Linotype" w:hAnsi="Palatino Linotype" w:cs="Palatino Linotype"/>
          <w:b/>
        </w:rPr>
        <w:t xml:space="preserve"> Considerando</w:t>
      </w:r>
      <w:r w:rsidRPr="0064244C">
        <w:rPr>
          <w:rFonts w:ascii="Palatino Linotype" w:eastAsia="Palatino Linotype" w:hAnsi="Palatino Linotype" w:cs="Palatino Linotype"/>
        </w:rPr>
        <w:t xml:space="preserve"> </w:t>
      </w:r>
      <w:r w:rsidRPr="0064244C">
        <w:rPr>
          <w:rFonts w:ascii="Palatino Linotype" w:eastAsia="Palatino Linotype" w:hAnsi="Palatino Linotype" w:cs="Palatino Linotype"/>
          <w:b/>
        </w:rPr>
        <w:t>Cuarto</w:t>
      </w:r>
      <w:r w:rsidRPr="0064244C">
        <w:rPr>
          <w:rFonts w:ascii="Palatino Linotype" w:eastAsia="Palatino Linotype" w:hAnsi="Palatino Linotype" w:cs="Palatino Linotype"/>
        </w:rPr>
        <w:t xml:space="preserve"> de la presente Resolución.</w:t>
      </w:r>
    </w:p>
    <w:p w:rsidR="00FB5862" w:rsidRPr="0064244C" w:rsidRDefault="00FB5862">
      <w:pPr>
        <w:spacing w:line="360" w:lineRule="auto"/>
        <w:ind w:right="-592"/>
        <w:jc w:val="both"/>
        <w:rPr>
          <w:rFonts w:ascii="Palatino Linotype" w:eastAsia="Palatino Linotype" w:hAnsi="Palatino Linotype" w:cs="Palatino Linotype"/>
        </w:rPr>
      </w:pPr>
    </w:p>
    <w:p w:rsidR="00FB5862" w:rsidRPr="0064244C" w:rsidRDefault="00F855F4">
      <w:pPr>
        <w:spacing w:line="360" w:lineRule="auto"/>
        <w:ind w:right="-592"/>
        <w:jc w:val="both"/>
        <w:rPr>
          <w:rFonts w:ascii="Palatino Linotype" w:eastAsia="Palatino Linotype" w:hAnsi="Palatino Linotype" w:cs="Palatino Linotype"/>
        </w:rPr>
      </w:pPr>
      <w:r w:rsidRPr="0064244C">
        <w:rPr>
          <w:rFonts w:ascii="Palatino Linotype" w:eastAsia="Palatino Linotype" w:hAnsi="Palatino Linotype" w:cs="Palatino Linotype"/>
          <w:b/>
        </w:rPr>
        <w:t>SEGUNDO.</w:t>
      </w:r>
      <w:r w:rsidRPr="0064244C">
        <w:rPr>
          <w:rFonts w:ascii="Palatino Linotype" w:eastAsia="Palatino Linotype" w:hAnsi="Palatino Linotype" w:cs="Palatino Linotype"/>
          <w:color w:val="2F5496"/>
        </w:rPr>
        <w:t xml:space="preserve"> </w:t>
      </w:r>
      <w:r w:rsidRPr="0064244C">
        <w:rPr>
          <w:rFonts w:ascii="Palatino Linotype" w:eastAsia="Palatino Linotype" w:hAnsi="Palatino Linotype" w:cs="Palatino Linotype"/>
        </w:rPr>
        <w:t>Se</w:t>
      </w:r>
      <w:r w:rsidRPr="0064244C">
        <w:rPr>
          <w:rFonts w:ascii="Palatino Linotype" w:eastAsia="Palatino Linotype" w:hAnsi="Palatino Linotype" w:cs="Palatino Linotype"/>
          <w:b/>
        </w:rPr>
        <w:t xml:space="preserve"> MODIFICA </w:t>
      </w:r>
      <w:r w:rsidRPr="0064244C">
        <w:rPr>
          <w:rFonts w:ascii="Palatino Linotype" w:eastAsia="Palatino Linotype" w:hAnsi="Palatino Linotype" w:cs="Palatino Linotype"/>
        </w:rPr>
        <w:t xml:space="preserve">la respuesta emitida por el </w:t>
      </w:r>
      <w:r w:rsidRPr="0064244C">
        <w:rPr>
          <w:rFonts w:ascii="Palatino Linotype" w:eastAsia="Palatino Linotype" w:hAnsi="Palatino Linotype" w:cs="Palatino Linotype"/>
          <w:b/>
          <w:color w:val="000000"/>
        </w:rPr>
        <w:t xml:space="preserve">Sistema Municipal </w:t>
      </w:r>
      <w:r w:rsidRPr="0064244C">
        <w:rPr>
          <w:rFonts w:ascii="Palatino Linotype" w:eastAsia="Palatino Linotype" w:hAnsi="Palatino Linotype" w:cs="Palatino Linotype"/>
          <w:b/>
        </w:rPr>
        <w:t>p</w:t>
      </w:r>
      <w:r w:rsidRPr="0064244C">
        <w:rPr>
          <w:rFonts w:ascii="Palatino Linotype" w:eastAsia="Palatino Linotype" w:hAnsi="Palatino Linotype" w:cs="Palatino Linotype"/>
          <w:b/>
          <w:color w:val="000000"/>
        </w:rPr>
        <w:t>ara el Desarrollo Integral de la Familia de Huehuetoca</w:t>
      </w:r>
      <w:r w:rsidRPr="0064244C">
        <w:rPr>
          <w:rFonts w:ascii="Palatino Linotype" w:eastAsia="Palatino Linotype" w:hAnsi="Palatino Linotype" w:cs="Palatino Linotype"/>
        </w:rPr>
        <w:t xml:space="preserve"> a la solicitud de información </w:t>
      </w:r>
      <w:r w:rsidRPr="0064244C">
        <w:rPr>
          <w:rFonts w:ascii="Palatino Linotype" w:eastAsia="Palatino Linotype" w:hAnsi="Palatino Linotype" w:cs="Palatino Linotype"/>
          <w:b/>
          <w:color w:val="000000"/>
        </w:rPr>
        <w:t xml:space="preserve">00041/DIFHUEHUET/IP/2024 </w:t>
      </w:r>
      <w:r w:rsidRPr="0064244C">
        <w:rPr>
          <w:rFonts w:ascii="Palatino Linotype" w:eastAsia="Palatino Linotype" w:hAnsi="Palatino Linotype" w:cs="Palatino Linotype"/>
        </w:rPr>
        <w:t>a efecto de</w:t>
      </w:r>
      <w:r w:rsidRPr="0064244C">
        <w:rPr>
          <w:rFonts w:ascii="Palatino Linotype" w:eastAsia="Palatino Linotype" w:hAnsi="Palatino Linotype" w:cs="Palatino Linotype"/>
          <w:b/>
        </w:rPr>
        <w:t xml:space="preserve"> ORDENAR </w:t>
      </w:r>
      <w:r w:rsidRPr="0064244C">
        <w:rPr>
          <w:rFonts w:ascii="Palatino Linotype" w:eastAsia="Palatino Linotype" w:hAnsi="Palatino Linotype" w:cs="Palatino Linotype"/>
        </w:rPr>
        <w:t xml:space="preserve">entregar vía Sistema de Accesos a la Información Mexiquense </w:t>
      </w:r>
      <w:r w:rsidRPr="0064244C">
        <w:rPr>
          <w:rFonts w:ascii="Palatino Linotype" w:eastAsia="Palatino Linotype" w:hAnsi="Palatino Linotype" w:cs="Palatino Linotype"/>
          <w:b/>
        </w:rPr>
        <w:t>(SAIMEX)</w:t>
      </w:r>
      <w:r w:rsidRPr="0064244C">
        <w:rPr>
          <w:rFonts w:ascii="Palatino Linotype" w:eastAsia="Palatino Linotype" w:hAnsi="Palatino Linotype" w:cs="Palatino Linotype"/>
        </w:rPr>
        <w:t>, la siguiente información:</w:t>
      </w:r>
    </w:p>
    <w:p w:rsidR="00FB5862" w:rsidRPr="0064244C" w:rsidRDefault="00FB5862">
      <w:pPr>
        <w:spacing w:line="360" w:lineRule="auto"/>
        <w:ind w:right="-592"/>
        <w:jc w:val="both"/>
        <w:rPr>
          <w:rFonts w:ascii="Palatino Linotype" w:eastAsia="Palatino Linotype" w:hAnsi="Palatino Linotype" w:cs="Palatino Linotype"/>
        </w:rPr>
      </w:pPr>
    </w:p>
    <w:p w:rsidR="00FB5862" w:rsidRPr="0064244C" w:rsidRDefault="00F855F4">
      <w:pPr>
        <w:numPr>
          <w:ilvl w:val="0"/>
          <w:numId w:val="4"/>
        </w:numPr>
        <w:pBdr>
          <w:top w:val="nil"/>
          <w:left w:val="nil"/>
          <w:bottom w:val="nil"/>
          <w:right w:val="nil"/>
          <w:between w:val="nil"/>
        </w:pBdr>
        <w:spacing w:line="360" w:lineRule="auto"/>
        <w:ind w:left="993" w:right="539"/>
        <w:jc w:val="both"/>
        <w:rPr>
          <w:rFonts w:ascii="Palatino Linotype" w:eastAsia="Palatino Linotype" w:hAnsi="Palatino Linotype" w:cs="Palatino Linotype"/>
          <w:b/>
          <w:color w:val="000000"/>
        </w:rPr>
      </w:pPr>
      <w:r w:rsidRPr="0064244C">
        <w:rPr>
          <w:rFonts w:ascii="Palatino Linotype" w:eastAsia="Palatino Linotype" w:hAnsi="Palatino Linotype" w:cs="Palatino Linotype"/>
          <w:b/>
          <w:color w:val="000000"/>
        </w:rPr>
        <w:t>Los manuales de organización y procedimientos del Sistema Municipal Para el Desarrollo Integral de la Familia de Huehuetoca, vigentes al veintitrés de octubre de dos mil veinticuatro.</w:t>
      </w:r>
    </w:p>
    <w:p w:rsidR="00FB5862" w:rsidRPr="0064244C" w:rsidRDefault="00FB5862">
      <w:pPr>
        <w:pBdr>
          <w:top w:val="nil"/>
          <w:left w:val="nil"/>
          <w:bottom w:val="nil"/>
          <w:right w:val="nil"/>
          <w:between w:val="nil"/>
        </w:pBdr>
        <w:spacing w:line="360" w:lineRule="auto"/>
        <w:ind w:left="993" w:right="539"/>
        <w:jc w:val="both"/>
        <w:rPr>
          <w:rFonts w:ascii="Palatino Linotype" w:eastAsia="Palatino Linotype" w:hAnsi="Palatino Linotype" w:cs="Palatino Linotype"/>
          <w:b/>
          <w:color w:val="000000"/>
        </w:rPr>
      </w:pPr>
    </w:p>
    <w:p w:rsidR="00FB5862" w:rsidRPr="0064244C" w:rsidRDefault="00F855F4">
      <w:pPr>
        <w:spacing w:line="360" w:lineRule="auto"/>
        <w:ind w:right="-592"/>
        <w:jc w:val="both"/>
        <w:rPr>
          <w:rFonts w:ascii="Palatino Linotype" w:eastAsia="Palatino Linotype" w:hAnsi="Palatino Linotype" w:cs="Palatino Linotype"/>
        </w:rPr>
      </w:pPr>
      <w:r w:rsidRPr="0064244C">
        <w:rPr>
          <w:rFonts w:ascii="Palatino Linotype" w:eastAsia="Palatino Linotype" w:hAnsi="Palatino Linotype" w:cs="Palatino Linotype"/>
          <w:b/>
        </w:rPr>
        <w:t xml:space="preserve">TERCERO. Notifíquese </w:t>
      </w:r>
      <w:r w:rsidRPr="0064244C">
        <w:rPr>
          <w:rFonts w:ascii="Palatino Linotype" w:eastAsia="Palatino Linotype" w:hAnsi="Palatino Linotype" w:cs="Palatino Linotype"/>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64244C">
        <w:rPr>
          <w:rFonts w:ascii="Palatino Linotype" w:eastAsia="Palatino Linotype" w:hAnsi="Palatino Linotype" w:cs="Palatino Linotype"/>
          <w:b/>
        </w:rPr>
        <w:t>dé cumplimiento a lo ordenado dentro del plazo de diez días hábiles,</w:t>
      </w:r>
      <w:r w:rsidRPr="0064244C">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64244C">
        <w:rPr>
          <w:rFonts w:ascii="Palatino Linotype" w:eastAsia="Palatino Linotype" w:hAnsi="Palatino Linotype" w:cs="Palatino Linotype"/>
        </w:rPr>
        <w:lastRenderedPageBreak/>
        <w:t>Ley  de Transparencia y Acceso a la Información Pública del Estado de México y Municipios.</w:t>
      </w:r>
    </w:p>
    <w:p w:rsidR="00FB5862" w:rsidRPr="0064244C" w:rsidRDefault="00FB5862">
      <w:pPr>
        <w:spacing w:line="360" w:lineRule="auto"/>
        <w:ind w:right="-592"/>
        <w:jc w:val="both"/>
        <w:rPr>
          <w:rFonts w:ascii="Palatino Linotype" w:eastAsia="Palatino Linotype" w:hAnsi="Palatino Linotype" w:cs="Palatino Linotype"/>
        </w:rPr>
      </w:pPr>
    </w:p>
    <w:p w:rsidR="00FB5862" w:rsidRPr="0064244C" w:rsidRDefault="00F855F4">
      <w:pPr>
        <w:tabs>
          <w:tab w:val="left" w:pos="2756"/>
        </w:tabs>
        <w:spacing w:line="360" w:lineRule="auto"/>
        <w:ind w:right="-592"/>
        <w:jc w:val="both"/>
        <w:rPr>
          <w:rFonts w:ascii="Palatino Linotype" w:eastAsia="Palatino Linotype" w:hAnsi="Palatino Linotype" w:cs="Palatino Linotype"/>
        </w:rPr>
      </w:pPr>
      <w:r w:rsidRPr="0064244C">
        <w:rPr>
          <w:rFonts w:ascii="Palatino Linotype" w:eastAsia="Palatino Linotype" w:hAnsi="Palatino Linotype" w:cs="Palatino Linotype"/>
          <w:b/>
        </w:rPr>
        <w:t xml:space="preserve">CUARTO. </w:t>
      </w:r>
      <w:r w:rsidRPr="0064244C">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el </w:t>
      </w:r>
      <w:r w:rsidRPr="0064244C">
        <w:rPr>
          <w:rFonts w:ascii="Palatino Linotype" w:eastAsia="Palatino Linotype" w:hAnsi="Palatino Linotype" w:cs="Palatino Linotype"/>
          <w:b/>
        </w:rPr>
        <w:t>SUJETO OBLIGADO</w:t>
      </w:r>
      <w:r w:rsidRPr="0064244C">
        <w:rPr>
          <w:rFonts w:ascii="Palatino Linotype" w:eastAsia="Palatino Linotype" w:hAnsi="Palatino Linotype" w:cs="Palatino Linotype"/>
        </w:rPr>
        <w:t xml:space="preserve"> de manera fundada y motivada, podrá solicitar una ampliación de plazo para el cumplimiento de la presente Resolución.</w:t>
      </w:r>
    </w:p>
    <w:p w:rsidR="00FB5862" w:rsidRPr="0064244C" w:rsidRDefault="00FB5862">
      <w:pPr>
        <w:spacing w:line="360" w:lineRule="auto"/>
        <w:ind w:right="-592"/>
        <w:jc w:val="both"/>
        <w:rPr>
          <w:rFonts w:ascii="Palatino Linotype" w:eastAsia="Palatino Linotype" w:hAnsi="Palatino Linotype" w:cs="Palatino Linotype"/>
        </w:rPr>
      </w:pPr>
    </w:p>
    <w:p w:rsidR="00FB5862" w:rsidRPr="0064244C" w:rsidRDefault="00F855F4">
      <w:pPr>
        <w:tabs>
          <w:tab w:val="left" w:pos="8080"/>
        </w:tabs>
        <w:spacing w:line="360" w:lineRule="auto"/>
        <w:ind w:right="-592"/>
        <w:jc w:val="both"/>
        <w:rPr>
          <w:rFonts w:ascii="Palatino Linotype" w:eastAsia="Palatino Linotype" w:hAnsi="Palatino Linotype" w:cs="Palatino Linotype"/>
        </w:rPr>
      </w:pPr>
      <w:bookmarkStart w:id="9" w:name="_heading=h.1ksv4uv" w:colFirst="0" w:colLast="0"/>
      <w:bookmarkEnd w:id="9"/>
      <w:r w:rsidRPr="0064244C">
        <w:rPr>
          <w:rFonts w:ascii="Palatino Linotype" w:eastAsia="Palatino Linotype" w:hAnsi="Palatino Linotype" w:cs="Palatino Linotype"/>
          <w:b/>
        </w:rPr>
        <w:t xml:space="preserve">QUINTO. </w:t>
      </w:r>
      <w:r w:rsidRPr="0064244C">
        <w:rPr>
          <w:rFonts w:ascii="Palatino Linotype" w:eastAsia="Palatino Linotype" w:hAnsi="Palatino Linotype" w:cs="Palatino Linotype"/>
        </w:rPr>
        <w:t xml:space="preserve">Notifíquese al </w:t>
      </w:r>
      <w:r w:rsidRPr="0064244C">
        <w:rPr>
          <w:rFonts w:ascii="Palatino Linotype" w:eastAsia="Palatino Linotype" w:hAnsi="Palatino Linotype" w:cs="Palatino Linotype"/>
          <w:b/>
        </w:rPr>
        <w:t>RECURRENTE</w:t>
      </w:r>
      <w:r w:rsidRPr="0064244C">
        <w:rPr>
          <w:rFonts w:ascii="Palatino Linotype" w:eastAsia="Palatino Linotype" w:hAnsi="Palatino Linotype" w:cs="Palatino Linotype"/>
        </w:rPr>
        <w:t xml:space="preserve"> la presente Resolución, vía </w:t>
      </w:r>
      <w:r w:rsidRPr="0064244C">
        <w:rPr>
          <w:rFonts w:ascii="Palatino Linotype" w:eastAsia="Palatino Linotype" w:hAnsi="Palatino Linotype" w:cs="Palatino Linotype"/>
          <w:b/>
        </w:rPr>
        <w:t>SAIMEX</w:t>
      </w:r>
      <w:r w:rsidRPr="0064244C">
        <w:rPr>
          <w:rFonts w:ascii="Palatino Linotype" w:eastAsia="Palatino Linotype" w:hAnsi="Palatino Linotype" w:cs="Palatino Linotype"/>
        </w:rPr>
        <w:t>.</w:t>
      </w:r>
    </w:p>
    <w:p w:rsidR="00FB5862" w:rsidRPr="0064244C" w:rsidRDefault="00FB5862">
      <w:pPr>
        <w:tabs>
          <w:tab w:val="left" w:pos="8080"/>
        </w:tabs>
        <w:spacing w:line="360" w:lineRule="auto"/>
        <w:ind w:right="-592"/>
        <w:jc w:val="both"/>
        <w:rPr>
          <w:rFonts w:ascii="Palatino Linotype" w:eastAsia="Palatino Linotype" w:hAnsi="Palatino Linotype" w:cs="Palatino Linotype"/>
        </w:rPr>
      </w:pPr>
    </w:p>
    <w:p w:rsidR="00FB5862" w:rsidRPr="0064244C" w:rsidRDefault="00F855F4">
      <w:pPr>
        <w:shd w:val="clear" w:color="auto" w:fill="FFFFFF"/>
        <w:spacing w:line="360" w:lineRule="auto"/>
        <w:ind w:right="-592"/>
        <w:jc w:val="both"/>
        <w:rPr>
          <w:rFonts w:ascii="Palatino Linotype" w:eastAsia="Palatino Linotype" w:hAnsi="Palatino Linotype" w:cs="Palatino Linotype"/>
        </w:rPr>
      </w:pPr>
      <w:r w:rsidRPr="0064244C">
        <w:rPr>
          <w:rFonts w:ascii="Palatino Linotype" w:eastAsia="Palatino Linotype" w:hAnsi="Palatino Linotype" w:cs="Palatino Linotype"/>
          <w:b/>
        </w:rPr>
        <w:t xml:space="preserve">SEXTO. </w:t>
      </w:r>
      <w:r w:rsidRPr="0064244C">
        <w:rPr>
          <w:rFonts w:ascii="Palatino Linotype" w:eastAsia="Palatino Linotype" w:hAnsi="Palatino Linotype" w:cs="Palatino Linotype"/>
        </w:rPr>
        <w:t>Se hace del conocimiento del</w:t>
      </w:r>
      <w:r w:rsidRPr="0064244C">
        <w:rPr>
          <w:rFonts w:ascii="Palatino Linotype" w:eastAsia="Palatino Linotype" w:hAnsi="Palatino Linotype" w:cs="Palatino Linotype"/>
          <w:b/>
        </w:rPr>
        <w:t xml:space="preserve"> RECURRENTE </w:t>
      </w:r>
      <w:r w:rsidRPr="0064244C">
        <w:rPr>
          <w:rFonts w:ascii="Palatino Linotype" w:eastAsia="Palatino Linotype" w:hAnsi="Palatino Linotype" w:cs="Palatino Linotype"/>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FB5862" w:rsidRPr="0064244C" w:rsidRDefault="00FB5862">
      <w:pPr>
        <w:shd w:val="clear" w:color="auto" w:fill="FFFFFF"/>
        <w:spacing w:line="360" w:lineRule="auto"/>
        <w:jc w:val="both"/>
        <w:rPr>
          <w:rFonts w:ascii="Palatino Linotype" w:eastAsia="Palatino Linotype" w:hAnsi="Palatino Linotype" w:cs="Palatino Linotype"/>
        </w:rPr>
      </w:pPr>
    </w:p>
    <w:p w:rsidR="00BD3FA7" w:rsidRPr="003C7186" w:rsidRDefault="00BD3FA7" w:rsidP="00BD3FA7">
      <w:pPr>
        <w:spacing w:line="360" w:lineRule="auto"/>
        <w:ind w:left="-142" w:right="-234" w:firstLine="1"/>
        <w:jc w:val="both"/>
        <w:rPr>
          <w:rFonts w:ascii="Palatino Linotype" w:hAnsi="Palatino Linotype"/>
        </w:rPr>
      </w:pPr>
      <w:r w:rsidRPr="0064244C">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w:t>
      </w:r>
      <w:r w:rsidRPr="0064244C">
        <w:rPr>
          <w:rFonts w:ascii="Palatino Linotype" w:hAnsi="Palatino Linotype"/>
        </w:rPr>
        <w:lastRenderedPageBreak/>
        <w:t>PARRA NORIEGA Y GUADALUPE RAMÍREZ PEÑA; EN LA SEGUNDA SESIÓN ORDINARIA CELEBRADA EL VEINTIDÓS (22) DE ENERO DE DOS MIL VEINTICINCO, ANTE EL SECRETARIO TÉCNICO DEL PLENO ALEXIS TAPIA RAMÍREZ.</w:t>
      </w:r>
      <w:bookmarkStart w:id="10" w:name="_GoBack"/>
      <w:bookmarkEnd w:id="10"/>
      <w:r w:rsidRPr="003C7186">
        <w:rPr>
          <w:rFonts w:ascii="Palatino Linotype" w:hAnsi="Palatino Linotype"/>
        </w:rPr>
        <w:t xml:space="preserve"> </w:t>
      </w:r>
    </w:p>
    <w:p w:rsidR="00FB5862" w:rsidRDefault="00FB5862">
      <w:pPr>
        <w:spacing w:line="360" w:lineRule="auto"/>
        <w:rPr>
          <w:rFonts w:ascii="Palatino Linotype" w:eastAsia="Palatino Linotype" w:hAnsi="Palatino Linotype" w:cs="Palatino Linotype"/>
        </w:rPr>
      </w:pPr>
    </w:p>
    <w:p w:rsidR="00FB5862" w:rsidRDefault="00FB5862">
      <w:pPr>
        <w:spacing w:line="360" w:lineRule="auto"/>
        <w:rPr>
          <w:rFonts w:ascii="Palatino Linotype" w:eastAsia="Palatino Linotype" w:hAnsi="Palatino Linotype" w:cs="Palatino Linotype"/>
        </w:rPr>
      </w:pPr>
    </w:p>
    <w:p w:rsidR="00FB5862" w:rsidRDefault="00FB5862">
      <w:pPr>
        <w:spacing w:line="360" w:lineRule="auto"/>
        <w:rPr>
          <w:rFonts w:ascii="Palatino Linotype" w:eastAsia="Palatino Linotype" w:hAnsi="Palatino Linotype" w:cs="Palatino Linotype"/>
        </w:rPr>
      </w:pPr>
    </w:p>
    <w:p w:rsidR="00FB5862" w:rsidRDefault="00FB5862">
      <w:pPr>
        <w:spacing w:line="360" w:lineRule="auto"/>
        <w:rPr>
          <w:rFonts w:ascii="Palatino Linotype" w:eastAsia="Palatino Linotype" w:hAnsi="Palatino Linotype" w:cs="Palatino Linotype"/>
        </w:rPr>
      </w:pPr>
    </w:p>
    <w:p w:rsidR="00FB5862" w:rsidRDefault="00F855F4">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tabs>
          <w:tab w:val="left" w:pos="3374"/>
        </w:tabs>
        <w:spacing w:line="360" w:lineRule="auto"/>
        <w:rPr>
          <w:rFonts w:ascii="Palatino Linotype" w:eastAsia="Palatino Linotype" w:hAnsi="Palatino Linotype" w:cs="Palatino Linotype"/>
        </w:rPr>
      </w:pPr>
    </w:p>
    <w:p w:rsidR="00FB5862" w:rsidRDefault="00FB5862">
      <w:pPr>
        <w:spacing w:line="360" w:lineRule="auto"/>
        <w:rPr>
          <w:rFonts w:ascii="Palatino Linotype" w:eastAsia="Palatino Linotype" w:hAnsi="Palatino Linotype" w:cs="Palatino Linotype"/>
        </w:rPr>
      </w:pPr>
    </w:p>
    <w:p w:rsidR="00FB5862" w:rsidRDefault="00FB5862">
      <w:pPr>
        <w:spacing w:line="360" w:lineRule="auto"/>
        <w:rPr>
          <w:rFonts w:ascii="Palatino Linotype" w:eastAsia="Palatino Linotype" w:hAnsi="Palatino Linotype" w:cs="Palatino Linotype"/>
        </w:rPr>
      </w:pPr>
    </w:p>
    <w:p w:rsidR="00FB5862" w:rsidRDefault="00FB5862">
      <w:pPr>
        <w:spacing w:line="360" w:lineRule="auto"/>
        <w:rPr>
          <w:rFonts w:ascii="Palatino Linotype" w:eastAsia="Palatino Linotype" w:hAnsi="Palatino Linotype" w:cs="Palatino Linotype"/>
        </w:rPr>
      </w:pPr>
    </w:p>
    <w:sectPr w:rsidR="00FB5862">
      <w:headerReference w:type="even" r:id="rId12"/>
      <w:headerReference w:type="default" r:id="rId13"/>
      <w:footerReference w:type="default" r:id="rId14"/>
      <w:headerReference w:type="first" r:id="rId15"/>
      <w:footerReference w:type="first" r:id="rId16"/>
      <w:pgSz w:w="12240" w:h="15840"/>
      <w:pgMar w:top="2268" w:right="1701" w:bottom="269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95" w:rsidRDefault="00B72595">
      <w:r>
        <w:separator/>
      </w:r>
    </w:p>
  </w:endnote>
  <w:endnote w:type="continuationSeparator" w:id="0">
    <w:p w:rsidR="00B72595" w:rsidRDefault="00B7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2" w:rsidRDefault="00F855F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4244C">
      <w:rPr>
        <w:rFonts w:ascii="Palatino Linotype" w:eastAsia="Palatino Linotype" w:hAnsi="Palatino Linotype" w:cs="Palatino Linotype"/>
        <w:noProof/>
        <w:color w:val="000000"/>
        <w:sz w:val="20"/>
        <w:szCs w:val="20"/>
      </w:rPr>
      <w:t>15</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4244C">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FB5862" w:rsidRDefault="00FB5862">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2" w:rsidRDefault="00F855F4">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4244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4244C">
      <w:rPr>
        <w:rFonts w:ascii="Palatino Linotype" w:eastAsia="Palatino Linotype" w:hAnsi="Palatino Linotype" w:cs="Palatino Linotype"/>
        <w:noProof/>
        <w:color w:val="000000"/>
        <w:sz w:val="20"/>
        <w:szCs w:val="20"/>
      </w:rPr>
      <w:t>35</w:t>
    </w:r>
    <w:r>
      <w:rPr>
        <w:rFonts w:ascii="Palatino Linotype" w:eastAsia="Palatino Linotype" w:hAnsi="Palatino Linotype" w:cs="Palatino Linotype"/>
        <w:color w:val="000000"/>
        <w:sz w:val="20"/>
        <w:szCs w:val="20"/>
      </w:rPr>
      <w:fldChar w:fldCharType="end"/>
    </w:r>
  </w:p>
  <w:p w:rsidR="00FB5862" w:rsidRDefault="00FB5862">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95" w:rsidRDefault="00B72595">
      <w:r>
        <w:separator/>
      </w:r>
    </w:p>
  </w:footnote>
  <w:footnote w:type="continuationSeparator" w:id="0">
    <w:p w:rsidR="00B72595" w:rsidRDefault="00B72595">
      <w:r>
        <w:continuationSeparator/>
      </w:r>
    </w:p>
  </w:footnote>
  <w:footnote w:id="1">
    <w:p w:rsidR="00FB5862" w:rsidRDefault="00F855F4">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rsidR="00FB5862" w:rsidRDefault="00F855F4">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rsidR="00FB5862" w:rsidRDefault="00F855F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FB5862" w:rsidRDefault="00F855F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FB5862" w:rsidRDefault="00F855F4">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FB5862" w:rsidRDefault="00F855F4">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rsidR="00FB5862" w:rsidRDefault="00F855F4">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rsidR="00FB5862" w:rsidRDefault="00F855F4">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2" w:rsidRDefault="00B72595">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2" w:rsidRDefault="00FB5862">
    <w:pPr>
      <w:widowControl w:val="0"/>
      <w:pBdr>
        <w:top w:val="nil"/>
        <w:left w:val="nil"/>
        <w:bottom w:val="nil"/>
        <w:right w:val="nil"/>
        <w:between w:val="nil"/>
      </w:pBdr>
      <w:spacing w:line="276" w:lineRule="auto"/>
      <w:rPr>
        <w:rFonts w:eastAsia="Calibri"/>
        <w:color w:val="000000"/>
      </w:rPr>
    </w:pPr>
  </w:p>
  <w:tbl>
    <w:tblPr>
      <w:tblStyle w:val="a"/>
      <w:tblW w:w="6519" w:type="dxa"/>
      <w:tblInd w:w="2694" w:type="dxa"/>
      <w:tblLayout w:type="fixed"/>
      <w:tblLook w:val="0400" w:firstRow="0" w:lastRow="0" w:firstColumn="0" w:lastColumn="0" w:noHBand="0" w:noVBand="1"/>
    </w:tblPr>
    <w:tblGrid>
      <w:gridCol w:w="2976"/>
      <w:gridCol w:w="3543"/>
    </w:tblGrid>
    <w:tr w:rsidR="00FB5862">
      <w:trPr>
        <w:trHeight w:val="227"/>
      </w:trPr>
      <w:tc>
        <w:tcPr>
          <w:tcW w:w="2976" w:type="dxa"/>
          <w:vAlign w:val="center"/>
        </w:tcPr>
        <w:p w:rsidR="00FB5862" w:rsidRDefault="00F855F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FB5862" w:rsidRDefault="00F855F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07293/INFOEM/IP/RR/2024</w:t>
          </w:r>
        </w:p>
      </w:tc>
    </w:tr>
    <w:tr w:rsidR="00FB5862">
      <w:trPr>
        <w:trHeight w:val="242"/>
      </w:trPr>
      <w:tc>
        <w:tcPr>
          <w:tcW w:w="2976" w:type="dxa"/>
          <w:vAlign w:val="center"/>
        </w:tcPr>
        <w:p w:rsidR="00FB5862" w:rsidRDefault="00F855F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FB5862" w:rsidRDefault="00F855F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Sistema Municipal Para el Desarrollo Integral de la Familia de Huehuetoca</w:t>
          </w:r>
        </w:p>
      </w:tc>
    </w:tr>
    <w:tr w:rsidR="00FB5862">
      <w:trPr>
        <w:trHeight w:val="342"/>
      </w:trPr>
      <w:tc>
        <w:tcPr>
          <w:tcW w:w="2976" w:type="dxa"/>
          <w:vAlign w:val="center"/>
        </w:tcPr>
        <w:p w:rsidR="00FB5862" w:rsidRDefault="00F855F4">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FB5862" w:rsidRDefault="00F855F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FB5862" w:rsidRDefault="00B72595">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5"/>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62" w:rsidRDefault="00FB5862">
    <w:pPr>
      <w:widowControl w:val="0"/>
      <w:pBdr>
        <w:top w:val="nil"/>
        <w:left w:val="nil"/>
        <w:bottom w:val="nil"/>
        <w:right w:val="nil"/>
        <w:between w:val="nil"/>
      </w:pBdr>
      <w:spacing w:line="276" w:lineRule="auto"/>
      <w:rPr>
        <w:rFonts w:eastAsia="Calibri"/>
        <w:color w:val="000000"/>
        <w:sz w:val="14"/>
        <w:szCs w:val="14"/>
      </w:rPr>
    </w:pPr>
  </w:p>
  <w:tbl>
    <w:tblPr>
      <w:tblStyle w:val="a0"/>
      <w:tblW w:w="6660" w:type="dxa"/>
      <w:tblInd w:w="2552" w:type="dxa"/>
      <w:tblLayout w:type="fixed"/>
      <w:tblLook w:val="0400" w:firstRow="0" w:lastRow="0" w:firstColumn="0" w:lastColumn="0" w:noHBand="0" w:noVBand="1"/>
    </w:tblPr>
    <w:tblGrid>
      <w:gridCol w:w="2977"/>
      <w:gridCol w:w="3683"/>
    </w:tblGrid>
    <w:tr w:rsidR="00FB5862">
      <w:trPr>
        <w:trHeight w:val="227"/>
      </w:trPr>
      <w:tc>
        <w:tcPr>
          <w:tcW w:w="2977" w:type="dxa"/>
          <w:vAlign w:val="center"/>
        </w:tcPr>
        <w:p w:rsidR="00FB5862" w:rsidRDefault="00F855F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FB5862" w:rsidRDefault="00F855F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07293/INFOEM/IP/RR/2024</w:t>
          </w:r>
        </w:p>
      </w:tc>
    </w:tr>
    <w:tr w:rsidR="00FB5862">
      <w:trPr>
        <w:trHeight w:val="242"/>
      </w:trPr>
      <w:tc>
        <w:tcPr>
          <w:tcW w:w="2977" w:type="dxa"/>
          <w:vAlign w:val="center"/>
        </w:tcPr>
        <w:p w:rsidR="00FB5862" w:rsidRDefault="00F855F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FB5862" w:rsidRDefault="00FB5862">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000000"/>
              <w:sz w:val="22"/>
              <w:szCs w:val="22"/>
              <w:highlight w:val="green"/>
            </w:rPr>
          </w:pPr>
        </w:p>
      </w:tc>
    </w:tr>
    <w:tr w:rsidR="00FB5862">
      <w:trPr>
        <w:trHeight w:val="342"/>
      </w:trPr>
      <w:tc>
        <w:tcPr>
          <w:tcW w:w="2977" w:type="dxa"/>
          <w:vAlign w:val="center"/>
        </w:tcPr>
        <w:p w:rsidR="00FB5862" w:rsidRDefault="00F855F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FB5862" w:rsidRDefault="00F855F4">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Sistema Municipal Para el Desarrollo Integral de la Familia de Huehuetoca</w:t>
          </w:r>
        </w:p>
      </w:tc>
    </w:tr>
    <w:tr w:rsidR="00FB5862">
      <w:trPr>
        <w:trHeight w:val="342"/>
      </w:trPr>
      <w:tc>
        <w:tcPr>
          <w:tcW w:w="2977" w:type="dxa"/>
          <w:vAlign w:val="center"/>
        </w:tcPr>
        <w:p w:rsidR="00FB5862" w:rsidRDefault="00F855F4">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FB5862" w:rsidRDefault="00F855F4">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FB5862" w:rsidRDefault="00B72595">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F3F8A"/>
    <w:multiLevelType w:val="multilevel"/>
    <w:tmpl w:val="A2ECE92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7BF130F"/>
    <w:multiLevelType w:val="multilevel"/>
    <w:tmpl w:val="C408F35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E40BFC"/>
    <w:multiLevelType w:val="multilevel"/>
    <w:tmpl w:val="0AA835F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3" w15:restartNumberingAfterBreak="0">
    <w:nsid w:val="35E012CB"/>
    <w:multiLevelType w:val="multilevel"/>
    <w:tmpl w:val="39B406F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4" w15:restartNumberingAfterBreak="0">
    <w:nsid w:val="39D30F5E"/>
    <w:multiLevelType w:val="multilevel"/>
    <w:tmpl w:val="6E2E3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58108B1"/>
    <w:multiLevelType w:val="multilevel"/>
    <w:tmpl w:val="4F84FE5A"/>
    <w:lvl w:ilvl="0">
      <w:start w:val="1"/>
      <w:numFmt w:val="lowerLetter"/>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5A7B7C57"/>
    <w:multiLevelType w:val="multilevel"/>
    <w:tmpl w:val="E8CC7620"/>
    <w:lvl w:ilvl="0">
      <w:start w:val="1"/>
      <w:numFmt w:val="bullet"/>
      <w:lvlText w:val="●"/>
      <w:lvlJc w:val="left"/>
      <w:pPr>
        <w:ind w:left="709" w:hanging="359"/>
      </w:pPr>
      <w:rPr>
        <w:rFonts w:ascii="Noto Sans Symbols" w:eastAsia="Noto Sans Symbols" w:hAnsi="Noto Sans Symbols" w:cs="Noto Sans Symbols"/>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Noto Sans Symbols" w:eastAsia="Noto Sans Symbols" w:hAnsi="Noto Sans Symbols" w:cs="Noto Sans Symbols"/>
      </w:rPr>
    </w:lvl>
    <w:lvl w:ilvl="3">
      <w:start w:val="1"/>
      <w:numFmt w:val="bullet"/>
      <w:lvlText w:val="●"/>
      <w:lvlJc w:val="left"/>
      <w:pPr>
        <w:ind w:left="2869" w:hanging="360"/>
      </w:pPr>
      <w:rPr>
        <w:rFonts w:ascii="Noto Sans Symbols" w:eastAsia="Noto Sans Symbols" w:hAnsi="Noto Sans Symbols" w:cs="Noto Sans Symbols"/>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Noto Sans Symbols" w:eastAsia="Noto Sans Symbols" w:hAnsi="Noto Sans Symbols" w:cs="Noto Sans Symbols"/>
      </w:rPr>
    </w:lvl>
    <w:lvl w:ilvl="6">
      <w:start w:val="1"/>
      <w:numFmt w:val="bullet"/>
      <w:lvlText w:val="●"/>
      <w:lvlJc w:val="left"/>
      <w:pPr>
        <w:ind w:left="5029" w:hanging="360"/>
      </w:pPr>
      <w:rPr>
        <w:rFonts w:ascii="Noto Sans Symbols" w:eastAsia="Noto Sans Symbols" w:hAnsi="Noto Sans Symbols" w:cs="Noto Sans Symbols"/>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Noto Sans Symbols" w:eastAsia="Noto Sans Symbols" w:hAnsi="Noto Sans Symbols" w:cs="Noto Sans Symbols"/>
      </w:rPr>
    </w:lvl>
  </w:abstractNum>
  <w:abstractNum w:abstractNumId="7" w15:restartNumberingAfterBreak="0">
    <w:nsid w:val="7CBF7D7B"/>
    <w:multiLevelType w:val="multilevel"/>
    <w:tmpl w:val="3450579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62"/>
    <w:rsid w:val="00131B37"/>
    <w:rsid w:val="00212493"/>
    <w:rsid w:val="00367BEA"/>
    <w:rsid w:val="0055493A"/>
    <w:rsid w:val="0064244C"/>
    <w:rsid w:val="00B72595"/>
    <w:rsid w:val="00BD3FA7"/>
    <w:rsid w:val="00E54987"/>
    <w:rsid w:val="00F855F4"/>
    <w:rsid w:val="00FB5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FF3B8BE-2531-455B-B417-596CCFD9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damentos">
    <w:name w:val="Fundamentos"/>
    <w:basedOn w:val="Normal"/>
    <w:next w:val="Normal"/>
    <w:qFormat/>
    <w:rsid w:val="00D70F20"/>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Sinespaciado">
    <w:name w:val="No Spacing"/>
    <w:aliases w:val="Francesa,INAI"/>
    <w:link w:val="SinespaciadoCar"/>
    <w:uiPriority w:val="1"/>
    <w:qFormat/>
    <w:rsid w:val="00071265"/>
  </w:style>
  <w:style w:type="character" w:customStyle="1" w:styleId="SinespaciadoCar">
    <w:name w:val="Sin espaciado Car"/>
    <w:aliases w:val="Francesa Car,INAI Car"/>
    <w:link w:val="Sinespaciado"/>
    <w:uiPriority w:val="1"/>
    <w:qFormat/>
    <w:locked/>
    <w:rsid w:val="00071265"/>
  </w:style>
  <w:style w:type="paragraph" w:customStyle="1" w:styleId="Default">
    <w:name w:val="Default"/>
    <w:rsid w:val="001C69FE"/>
    <w:pPr>
      <w:autoSpaceDE w:val="0"/>
      <w:autoSpaceDN w:val="0"/>
      <w:adjustRightInd w:val="0"/>
    </w:pPr>
    <w:rPr>
      <w:rFonts w:ascii="Arial" w:hAnsi="Arial" w:cs="Arial"/>
      <w:color w:val="000000"/>
    </w:rPr>
  </w:style>
  <w:style w:type="table" w:customStyle="1" w:styleId="Tablanormal12">
    <w:name w:val="Tabla normal 12"/>
    <w:basedOn w:val="Tablanormal"/>
    <w:next w:val="Tablanormal1"/>
    <w:uiPriority w:val="41"/>
    <w:rsid w:val="00C3684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uiPriority w:val="22"/>
    <w:qFormat/>
    <w:rsid w:val="003F5071"/>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ruWdXb5Gw0WldChJfOk9aXiE6w==">CgMxLjAyCGguZ2pkZ3hzMgloLjMwajB6bGwyCWguMWZvYjl0ZTIJaC4zem55c2g3MgloLjJldDkycDAyCGgudHlqY3d0MgloLjNkeTZ2a20yCWguMXQzaDVzZjIJaC40ZDM0b2c4MgloLjFrc3Y0dXY4AHIhMTFGSDBDNlE5bmlBRGEzSTM0TE9Rc283RWRvZm1HS1NB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6137</Words>
  <Characters>33757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6</cp:revision>
  <dcterms:created xsi:type="dcterms:W3CDTF">2025-01-16T20:07:00Z</dcterms:created>
  <dcterms:modified xsi:type="dcterms:W3CDTF">2025-02-10T23:19:00Z</dcterms:modified>
</cp:coreProperties>
</file>