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8ABA5" w14:textId="013C8079"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w:t>
      </w:r>
      <w:r w:rsidRPr="00CA75DE">
        <w:rPr>
          <w:rFonts w:ascii="Palatino Linotype" w:eastAsia="Times New Roman" w:hAnsi="Palatino Linotype" w:cs="Palatino Linotype"/>
          <w:color w:val="000000"/>
          <w:sz w:val="24"/>
          <w:szCs w:val="24"/>
          <w:lang w:val="es-ES_tradnl" w:eastAsia="es-MX"/>
        </w:rPr>
        <w:t xml:space="preserve">a </w:t>
      </w:r>
      <w:r w:rsidR="006344CA">
        <w:rPr>
          <w:rFonts w:ascii="Palatino Linotype" w:eastAsia="Times New Roman" w:hAnsi="Palatino Linotype" w:cs="Palatino Linotype"/>
          <w:color w:val="000000"/>
          <w:sz w:val="24"/>
          <w:szCs w:val="24"/>
          <w:lang w:val="es-ES_tradnl" w:eastAsia="es-MX"/>
        </w:rPr>
        <w:t>treinta</w:t>
      </w:r>
      <w:r w:rsidR="00C63B3F">
        <w:rPr>
          <w:rFonts w:ascii="Palatino Linotype" w:eastAsia="Times New Roman" w:hAnsi="Palatino Linotype" w:cs="Palatino Linotype"/>
          <w:color w:val="000000"/>
          <w:sz w:val="24"/>
          <w:szCs w:val="24"/>
          <w:lang w:val="es-ES_tradnl" w:eastAsia="es-MX"/>
        </w:rPr>
        <w:t xml:space="preserve"> de abril</w:t>
      </w:r>
      <w:r w:rsidR="00BB6139">
        <w:rPr>
          <w:rFonts w:ascii="Palatino Linotype" w:eastAsia="Times New Roman" w:hAnsi="Palatino Linotype" w:cs="Palatino Linotype"/>
          <w:color w:val="000000"/>
          <w:sz w:val="24"/>
          <w:szCs w:val="24"/>
          <w:lang w:val="es-ES_tradnl" w:eastAsia="es-MX"/>
        </w:rPr>
        <w:t xml:space="preserve"> de dos mil veinticinco</w:t>
      </w:r>
      <w:r w:rsidRPr="00CA75DE">
        <w:rPr>
          <w:rFonts w:ascii="Palatino Linotype" w:eastAsia="Times New Roman" w:hAnsi="Palatino Linotype" w:cs="Palatino Linotype"/>
          <w:color w:val="000000"/>
          <w:sz w:val="24"/>
          <w:szCs w:val="24"/>
          <w:lang w:val="es-ES_tradnl" w:eastAsia="es-MX"/>
        </w:rPr>
        <w:t>.</w:t>
      </w:r>
    </w:p>
    <w:p w14:paraId="348DD5FF"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057779F" w14:textId="269D2C3B" w:rsidR="00A916EF"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b/>
          <w:color w:val="000000"/>
          <w:sz w:val="24"/>
          <w:szCs w:val="24"/>
          <w:lang w:val="es-ES_tradnl" w:eastAsia="es-MX"/>
        </w:rPr>
        <w:t>VISTO</w:t>
      </w:r>
      <w:r w:rsidRPr="00F444C4">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bookmarkStart w:id="0" w:name="_GoBack"/>
      <w:r w:rsidR="00BB6139" w:rsidRPr="00BB6BDF">
        <w:rPr>
          <w:rFonts w:ascii="Palatino Linotype" w:eastAsia="Times New Roman" w:hAnsi="Palatino Linotype" w:cs="Palatino Linotype"/>
          <w:b/>
          <w:bCs/>
          <w:color w:val="000000"/>
          <w:sz w:val="24"/>
          <w:szCs w:val="24"/>
          <w:lang w:val="es-ES_tradnl" w:eastAsia="es-MX"/>
        </w:rPr>
        <w:t>0</w:t>
      </w:r>
      <w:r w:rsidR="00D03AC3">
        <w:rPr>
          <w:rFonts w:ascii="Palatino Linotype" w:eastAsia="Times New Roman" w:hAnsi="Palatino Linotype" w:cs="Palatino Linotype"/>
          <w:b/>
          <w:color w:val="000000"/>
          <w:sz w:val="24"/>
          <w:szCs w:val="24"/>
          <w:lang w:val="es-ES_tradnl" w:eastAsia="es-MX"/>
        </w:rPr>
        <w:t>2</w:t>
      </w:r>
      <w:r w:rsidR="00EB2193">
        <w:rPr>
          <w:rFonts w:ascii="Palatino Linotype" w:eastAsia="Times New Roman" w:hAnsi="Palatino Linotype" w:cs="Palatino Linotype"/>
          <w:b/>
          <w:color w:val="000000"/>
          <w:sz w:val="24"/>
          <w:szCs w:val="24"/>
          <w:lang w:val="es-ES_tradnl" w:eastAsia="es-MX"/>
        </w:rPr>
        <w:t>68</w:t>
      </w:r>
      <w:r w:rsidR="00D03AC3">
        <w:rPr>
          <w:rFonts w:ascii="Palatino Linotype" w:eastAsia="Times New Roman" w:hAnsi="Palatino Linotype" w:cs="Palatino Linotype"/>
          <w:b/>
          <w:color w:val="000000"/>
          <w:sz w:val="24"/>
          <w:szCs w:val="24"/>
          <w:lang w:val="es-ES_tradnl" w:eastAsia="es-MX"/>
        </w:rPr>
        <w:t>0</w:t>
      </w:r>
      <w:r w:rsidR="00394BFF">
        <w:rPr>
          <w:rFonts w:ascii="Palatino Linotype" w:eastAsia="Times New Roman" w:hAnsi="Palatino Linotype" w:cs="Palatino Linotype"/>
          <w:b/>
          <w:color w:val="000000"/>
          <w:sz w:val="24"/>
          <w:szCs w:val="24"/>
          <w:lang w:val="es-ES_tradnl" w:eastAsia="es-MX"/>
        </w:rPr>
        <w:t>/</w:t>
      </w:r>
      <w:r w:rsidR="00BB6139">
        <w:rPr>
          <w:rFonts w:ascii="Palatino Linotype" w:eastAsia="Times New Roman" w:hAnsi="Palatino Linotype" w:cs="Palatino Linotype"/>
          <w:b/>
          <w:color w:val="000000"/>
          <w:sz w:val="24"/>
          <w:szCs w:val="24"/>
          <w:lang w:val="es-ES_tradnl" w:eastAsia="es-MX"/>
        </w:rPr>
        <w:t>INFOEM/IP/RR/2025</w:t>
      </w:r>
      <w:bookmarkEnd w:id="0"/>
      <w:r w:rsidR="00394BFF">
        <w:rPr>
          <w:rFonts w:ascii="Palatino Linotype" w:eastAsia="Times New Roman" w:hAnsi="Palatino Linotype" w:cs="Palatino Linotype"/>
          <w:color w:val="000000"/>
          <w:sz w:val="24"/>
          <w:szCs w:val="24"/>
          <w:lang w:val="es-ES_tradnl" w:eastAsia="es-MX"/>
        </w:rPr>
        <w:t>, interpuesto por</w:t>
      </w:r>
      <w:r w:rsidR="00BB6139">
        <w:rPr>
          <w:rFonts w:ascii="Palatino Linotype" w:eastAsia="Times New Roman" w:hAnsi="Palatino Linotype" w:cs="Palatino Linotype"/>
          <w:b/>
          <w:bCs/>
          <w:color w:val="000000"/>
          <w:sz w:val="24"/>
          <w:szCs w:val="24"/>
          <w:lang w:val="es-ES_tradnl" w:eastAsia="es-MX"/>
        </w:rPr>
        <w:t xml:space="preserve"> </w:t>
      </w:r>
      <w:r w:rsidR="00EB2193" w:rsidRPr="00EB2193">
        <w:rPr>
          <w:rFonts w:ascii="Palatino Linotype" w:eastAsia="Times New Roman" w:hAnsi="Palatino Linotype" w:cs="Palatino Linotype"/>
          <w:color w:val="000000"/>
          <w:sz w:val="24"/>
          <w:szCs w:val="24"/>
          <w:lang w:val="es-ES_tradnl" w:eastAsia="es-MX"/>
        </w:rPr>
        <w:t>persona que manifiesta nombre</w:t>
      </w:r>
      <w:r>
        <w:rPr>
          <w:rFonts w:ascii="Palatino Linotype" w:eastAsia="Times New Roman" w:hAnsi="Palatino Linotype" w:cs="Palatino Linotype"/>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 xml:space="preserve">en lo sucesivo el </w:t>
      </w:r>
      <w:r w:rsidRPr="00F444C4">
        <w:rPr>
          <w:rFonts w:ascii="Palatino Linotype" w:eastAsia="Times New Roman" w:hAnsi="Palatino Linotype" w:cs="Palatino Linotype"/>
          <w:b/>
          <w:color w:val="000000"/>
          <w:sz w:val="24"/>
          <w:szCs w:val="24"/>
          <w:lang w:val="es-ES_tradnl" w:eastAsia="es-MX"/>
        </w:rPr>
        <w:t>Recurrente</w:t>
      </w:r>
      <w:r w:rsidRPr="00F444C4">
        <w:rPr>
          <w:rFonts w:ascii="Palatino Linotype" w:eastAsia="Times New Roman" w:hAnsi="Palatino Linotype" w:cs="Palatino Linotype"/>
          <w:color w:val="000000"/>
          <w:sz w:val="24"/>
          <w:szCs w:val="24"/>
          <w:lang w:val="es-ES_tradnl" w:eastAsia="es-MX"/>
        </w:rPr>
        <w:t xml:space="preserve">, en contra de la respuesta del </w:t>
      </w:r>
      <w:r w:rsidR="00394BFF" w:rsidRPr="00394BFF">
        <w:rPr>
          <w:rFonts w:ascii="Palatino Linotype" w:hAnsi="Palatino Linotype"/>
          <w:b/>
          <w:bCs/>
          <w:color w:val="000000"/>
          <w:sz w:val="24"/>
          <w:szCs w:val="24"/>
        </w:rPr>
        <w:t xml:space="preserve">Ayuntamiento de </w:t>
      </w:r>
      <w:r w:rsidR="00EB2193" w:rsidRPr="00EB2193">
        <w:rPr>
          <w:rFonts w:ascii="Palatino Linotype" w:hAnsi="Palatino Linotype"/>
          <w:b/>
          <w:bCs/>
          <w:color w:val="000000"/>
          <w:sz w:val="24"/>
          <w:szCs w:val="24"/>
        </w:rPr>
        <w:t>Huehuetoca</w:t>
      </w:r>
      <w:r w:rsidRPr="00F444C4">
        <w:rPr>
          <w:rFonts w:ascii="Palatino Linotype" w:eastAsia="Times New Roman" w:hAnsi="Palatino Linotype" w:cs="Palatino Linotype"/>
          <w:color w:val="000000"/>
          <w:sz w:val="24"/>
          <w:szCs w:val="24"/>
          <w:lang w:val="es-ES_tradnl" w:eastAsia="es-MX"/>
        </w:rPr>
        <w:t>, en lo subsecuente</w:t>
      </w:r>
      <w:r w:rsidRPr="00F444C4">
        <w:rPr>
          <w:rFonts w:ascii="Palatino Linotype" w:eastAsia="Times New Roman" w:hAnsi="Palatino Linotype" w:cs="Palatino Linotype"/>
          <w:b/>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el</w:t>
      </w:r>
      <w:r w:rsidRPr="00F444C4">
        <w:rPr>
          <w:rFonts w:ascii="Palatino Linotype" w:eastAsia="Times New Roman" w:hAnsi="Palatino Linotype" w:cs="Palatino Linotype"/>
          <w:b/>
          <w:color w:val="000000"/>
          <w:sz w:val="24"/>
          <w:szCs w:val="24"/>
          <w:lang w:val="es-ES_tradnl" w:eastAsia="es-MX"/>
        </w:rPr>
        <w:t xml:space="preserve"> Sujeto Obligado, </w:t>
      </w:r>
      <w:r w:rsidRPr="00F444C4">
        <w:rPr>
          <w:rFonts w:ascii="Palatino Linotype" w:eastAsia="Times New Roman" w:hAnsi="Palatino Linotype" w:cs="Palatino Linotype"/>
          <w:color w:val="000000"/>
          <w:sz w:val="24"/>
          <w:szCs w:val="24"/>
          <w:lang w:val="es-ES_tradnl" w:eastAsia="es-MX"/>
        </w:rPr>
        <w:t>se procede a dictar la presente resolución.</w:t>
      </w:r>
    </w:p>
    <w:p w14:paraId="7694DC62"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7D7A2B2" w14:textId="77777777" w:rsidR="00A916EF" w:rsidRPr="00F444C4" w:rsidRDefault="00A916EF" w:rsidP="00A916EF">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F444C4">
        <w:rPr>
          <w:rFonts w:ascii="Palatino Linotype" w:eastAsia="Times New Roman" w:hAnsi="Palatino Linotype" w:cs="Times New Roman"/>
          <w:b/>
          <w:color w:val="000000" w:themeColor="text1"/>
          <w:sz w:val="28"/>
          <w:szCs w:val="32"/>
          <w:lang w:val="es-ES_tradnl" w:eastAsia="es-ES"/>
        </w:rPr>
        <w:t>A N T E C E D E N T E S</w:t>
      </w:r>
    </w:p>
    <w:p w14:paraId="368973B0"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227E56D" w14:textId="77777777" w:rsidR="00A916EF" w:rsidRPr="00F444C4" w:rsidRDefault="00A916EF"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PRIMERO. De la Solicitud de Información.</w:t>
      </w:r>
    </w:p>
    <w:p w14:paraId="5F99732B" w14:textId="66DFAC74"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Con fecha</w:t>
      </w:r>
      <w:r>
        <w:rPr>
          <w:rFonts w:ascii="Palatino Linotype" w:eastAsia="Times New Roman" w:hAnsi="Palatino Linotype" w:cs="Palatino Linotype"/>
          <w:color w:val="000000"/>
          <w:sz w:val="24"/>
          <w:szCs w:val="24"/>
          <w:lang w:val="es-ES_tradnl" w:eastAsia="es-MX"/>
        </w:rPr>
        <w:t xml:space="preserve"> </w:t>
      </w:r>
      <w:r w:rsidR="00EB2193">
        <w:rPr>
          <w:rFonts w:ascii="Palatino Linotype" w:eastAsia="Times New Roman" w:hAnsi="Palatino Linotype" w:cs="Palatino Linotype"/>
          <w:color w:val="000000"/>
          <w:sz w:val="24"/>
          <w:szCs w:val="24"/>
          <w:lang w:val="es-ES_tradnl" w:eastAsia="es-MX"/>
        </w:rPr>
        <w:t>veinte</w:t>
      </w:r>
      <w:r w:rsidR="00D03AC3">
        <w:rPr>
          <w:rFonts w:ascii="Palatino Linotype" w:eastAsia="Times New Roman" w:hAnsi="Palatino Linotype" w:cs="Palatino Linotype"/>
          <w:color w:val="000000"/>
          <w:sz w:val="24"/>
          <w:szCs w:val="24"/>
          <w:lang w:val="es-ES_tradnl" w:eastAsia="es-MX"/>
        </w:rPr>
        <w:t xml:space="preserve"> de febrero</w:t>
      </w:r>
      <w:r w:rsidR="00BB6139">
        <w:rPr>
          <w:rFonts w:ascii="Palatino Linotype" w:eastAsia="Times New Roman" w:hAnsi="Palatino Linotype" w:cs="Palatino Linotype"/>
          <w:color w:val="000000"/>
          <w:sz w:val="24"/>
          <w:szCs w:val="24"/>
          <w:lang w:val="es-ES_tradnl" w:eastAsia="es-MX"/>
        </w:rPr>
        <w:t xml:space="preserve"> de dos mil veinticinco</w:t>
      </w:r>
      <w:r w:rsidRPr="00F444C4">
        <w:rPr>
          <w:rFonts w:ascii="Palatino Linotype" w:eastAsia="Times New Roman" w:hAnsi="Palatino Linotype" w:cs="Palatino Linotype"/>
          <w:color w:val="000000"/>
          <w:sz w:val="24"/>
          <w:szCs w:val="24"/>
          <w:lang w:val="es-ES_tradnl" w:eastAsia="es-MX"/>
        </w:rPr>
        <w:t xml:space="preserve">, el Recurrente presentó mediante el Sistema de Acceso a la Información Mexiquense (SAIMEX), solicitud de información registrada con el número de </w:t>
      </w:r>
      <w:r w:rsidRPr="00F444C4">
        <w:rPr>
          <w:rFonts w:ascii="Palatino Linotype" w:eastAsia="Times New Roman" w:hAnsi="Palatino Linotype" w:cs="Palatino Linotype"/>
          <w:sz w:val="24"/>
          <w:szCs w:val="24"/>
          <w:lang w:val="es-ES_tradnl" w:eastAsia="es-MX"/>
        </w:rPr>
        <w:t>expediente</w:t>
      </w:r>
      <w:r w:rsidR="00BB6139" w:rsidRPr="00BB6139">
        <w:rPr>
          <w:rFonts w:ascii="Verdana" w:hAnsi="Verdana"/>
          <w:b/>
          <w:bCs/>
          <w:color w:val="FF0000"/>
        </w:rPr>
        <w:t xml:space="preserve"> </w:t>
      </w:r>
      <w:r w:rsidR="001772B6" w:rsidRPr="001772B6">
        <w:rPr>
          <w:rFonts w:ascii="Palatino Linotype" w:hAnsi="Palatino Linotype"/>
          <w:b/>
          <w:bCs/>
          <w:sz w:val="24"/>
          <w:szCs w:val="24"/>
        </w:rPr>
        <w:t>00067/HUEHUETO/IP/2025</w:t>
      </w:r>
      <w:r w:rsidRPr="00A916EF">
        <w:rPr>
          <w:rFonts w:ascii="Palatino Linotype" w:eastAsia="Times New Roman" w:hAnsi="Palatino Linotype" w:cs="Palatino Linotype"/>
          <w:sz w:val="24"/>
          <w:szCs w:val="24"/>
          <w:lang w:val="es-ES_tradnl" w:eastAsia="es-MX"/>
        </w:rPr>
        <w:t>,</w:t>
      </w:r>
      <w:r w:rsidRPr="00A916EF">
        <w:rPr>
          <w:rFonts w:ascii="Palatino Linotype" w:eastAsia="Times New Roman" w:hAnsi="Palatino Linotype" w:cs="Palatino Linotype"/>
          <w:b/>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mediante la cual solicitó información en el tenor siguiente:</w:t>
      </w:r>
    </w:p>
    <w:p w14:paraId="1CE41A08" w14:textId="77777777" w:rsidR="00A916EF" w:rsidRPr="00394BFF" w:rsidRDefault="00A916EF" w:rsidP="00A916EF">
      <w:pPr>
        <w:spacing w:after="0" w:line="360" w:lineRule="auto"/>
        <w:contextualSpacing/>
        <w:jc w:val="both"/>
        <w:rPr>
          <w:rFonts w:ascii="Palatino Linotype" w:eastAsia="Times New Roman" w:hAnsi="Palatino Linotype" w:cs="Palatino Linotype"/>
          <w:i/>
          <w:iCs/>
          <w:color w:val="000000"/>
          <w:sz w:val="24"/>
          <w:szCs w:val="24"/>
          <w:lang w:val="es-ES_tradnl" w:eastAsia="es-MX"/>
        </w:rPr>
      </w:pPr>
    </w:p>
    <w:p w14:paraId="75C75D79" w14:textId="3AA16D98" w:rsidR="00A916EF" w:rsidRPr="00394BFF" w:rsidRDefault="00F222E0" w:rsidP="00394BFF">
      <w:pPr>
        <w:spacing w:after="0" w:line="360" w:lineRule="auto"/>
        <w:ind w:left="567" w:right="567"/>
        <w:contextualSpacing/>
        <w:jc w:val="both"/>
        <w:rPr>
          <w:rFonts w:ascii="Palatino Linotype" w:hAnsi="Palatino Linotype"/>
          <w:i/>
          <w:color w:val="000000"/>
          <w:sz w:val="24"/>
          <w:szCs w:val="24"/>
        </w:rPr>
      </w:pPr>
      <w:r w:rsidRPr="00394BFF">
        <w:rPr>
          <w:rFonts w:ascii="Palatino Linotype" w:hAnsi="Palatino Linotype"/>
          <w:i/>
          <w:color w:val="000000"/>
          <w:sz w:val="24"/>
          <w:szCs w:val="24"/>
        </w:rPr>
        <w:t xml:space="preserve"> </w:t>
      </w:r>
      <w:r w:rsidR="00893BF2" w:rsidRPr="00394BFF">
        <w:rPr>
          <w:rFonts w:ascii="Palatino Linotype" w:hAnsi="Palatino Linotype"/>
          <w:i/>
          <w:color w:val="000000"/>
          <w:sz w:val="24"/>
          <w:szCs w:val="24"/>
        </w:rPr>
        <w:t>“</w:t>
      </w:r>
      <w:r w:rsidR="001772B6" w:rsidRPr="001772B6">
        <w:rPr>
          <w:rFonts w:ascii="Palatino Linotype" w:hAnsi="Palatino Linotype"/>
          <w:i/>
          <w:color w:val="000000"/>
          <w:sz w:val="24"/>
          <w:szCs w:val="24"/>
        </w:rPr>
        <w:t xml:space="preserve">Estimados responsables de la Unidad de Transparencia, Por medio de la presente, y con fundamento en la Ley General de Transparencia y Acceso a la Información Pública, solicito información sobre las acciones que el Área de Ordenamiento Comercial está implementando o tiene previstas para garantizar el libre tránsito en el Callejón Sor Juana, el cual es una vía importante hacia el mercado municipal. Actualmente, locatarios con establecimiento propio ocupan parte del callejón para exhibir mercancía, lo que provoca una obstrucción del paso peatonal, afectando </w:t>
      </w:r>
      <w:r w:rsidR="001772B6" w:rsidRPr="001772B6">
        <w:rPr>
          <w:rFonts w:ascii="Palatino Linotype" w:hAnsi="Palatino Linotype"/>
          <w:i/>
          <w:color w:val="000000"/>
          <w:sz w:val="24"/>
          <w:szCs w:val="24"/>
        </w:rPr>
        <w:lastRenderedPageBreak/>
        <w:t>principalmente los días de mayor afluencia, como los fines de semana cuando se instala el tianguis. Por lo anterior, solicito conocer: ¿Qué medidas está implementando el Área de Ordenamiento Comercial para evitar la invasión del espacio público en el Callejón Sor Juana? ¿Existen sanciones o reglamentos específicos que regulen esta situación? ¿Cuántas inspecciones se han realizado en los últimos meses en esta zona y cuáles han sido sus resultados? ¿A partir de cuándo se implementarán medidas concretas para liberar el tránsito en este callejón? ¿Qué mecanismos existen para que la ciudadanía pueda reportar esta problemática y qué seguimiento se les da a estas quejas?</w:t>
      </w:r>
      <w:r>
        <w:rPr>
          <w:rFonts w:ascii="Palatino Linotype" w:hAnsi="Palatino Linotype"/>
          <w:i/>
          <w:color w:val="000000"/>
          <w:sz w:val="24"/>
          <w:szCs w:val="24"/>
          <w:lang w:val="es-ES_tradnl"/>
        </w:rPr>
        <w:t>“</w:t>
      </w:r>
      <w:r w:rsidR="003A3659">
        <w:rPr>
          <w:rFonts w:ascii="Palatino Linotype" w:hAnsi="Palatino Linotype"/>
          <w:i/>
          <w:color w:val="000000"/>
          <w:sz w:val="24"/>
          <w:szCs w:val="24"/>
          <w:lang w:val="es-ES_tradnl"/>
        </w:rPr>
        <w:t xml:space="preserve"> </w:t>
      </w:r>
      <w:r w:rsidR="00A916EF" w:rsidRPr="00F444C4">
        <w:rPr>
          <w:rFonts w:ascii="Palatino Linotype" w:eastAsia="Times New Roman" w:hAnsi="Palatino Linotype" w:cs="Palatino Linotype"/>
          <w:i/>
          <w:color w:val="000000"/>
          <w:szCs w:val="24"/>
          <w:lang w:val="es-ES_tradnl" w:eastAsia="es-MX"/>
        </w:rPr>
        <w:t>(Sic)</w:t>
      </w:r>
    </w:p>
    <w:p w14:paraId="7C59F07A"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16B6C89" w14:textId="77777777" w:rsidR="00A916EF" w:rsidRPr="00F444C4" w:rsidRDefault="00A916EF" w:rsidP="00A916EF">
      <w:pPr>
        <w:spacing w:after="0" w:line="360" w:lineRule="auto"/>
        <w:contextualSpacing/>
        <w:jc w:val="both"/>
        <w:rPr>
          <w:rFonts w:ascii="Palatino Linotype" w:eastAsia="Times New Roman" w:hAnsi="Palatino Linotype" w:cs="Palatino Linotype"/>
          <w:b/>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Modalidad de entrega: </w:t>
      </w:r>
      <w:r w:rsidRPr="00F444C4">
        <w:rPr>
          <w:rFonts w:ascii="Palatino Linotype" w:eastAsia="Times New Roman" w:hAnsi="Palatino Linotype" w:cs="Palatino Linotype"/>
          <w:b/>
          <w:color w:val="000000"/>
          <w:sz w:val="24"/>
          <w:szCs w:val="24"/>
          <w:lang w:val="es-ES_tradnl" w:eastAsia="es-MX"/>
        </w:rPr>
        <w:t>A través del SAIMEX</w:t>
      </w:r>
      <w:r w:rsidRPr="00F444C4">
        <w:rPr>
          <w:rFonts w:ascii="Palatino Linotype" w:eastAsia="Times New Roman" w:hAnsi="Palatino Linotype" w:cs="Palatino Linotype"/>
          <w:color w:val="000000"/>
          <w:sz w:val="24"/>
          <w:szCs w:val="24"/>
          <w:lang w:val="es-ES_tradnl" w:eastAsia="es-MX"/>
        </w:rPr>
        <w:t>.</w:t>
      </w:r>
    </w:p>
    <w:p w14:paraId="312F931F"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92BCD74" w14:textId="77777777" w:rsidR="00A916EF" w:rsidRPr="00F444C4" w:rsidRDefault="00A916EF"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SEGUNDO. De la</w:t>
      </w:r>
      <w:r>
        <w:rPr>
          <w:rFonts w:ascii="Palatino Linotype" w:eastAsia="Times New Roman" w:hAnsi="Palatino Linotype" w:cs="Times New Roman"/>
          <w:b/>
          <w:color w:val="000000" w:themeColor="text1"/>
          <w:sz w:val="26"/>
          <w:szCs w:val="26"/>
          <w:lang w:val="es-ES_tradnl" w:eastAsia="es-MX"/>
        </w:rPr>
        <w:t xml:space="preserve"> </w:t>
      </w:r>
      <w:r w:rsidRPr="00F444C4">
        <w:rPr>
          <w:rFonts w:ascii="Palatino Linotype" w:eastAsia="Times New Roman" w:hAnsi="Palatino Linotype" w:cs="Times New Roman"/>
          <w:b/>
          <w:color w:val="000000" w:themeColor="text1"/>
          <w:sz w:val="26"/>
          <w:szCs w:val="26"/>
          <w:lang w:val="es-ES_tradnl" w:eastAsia="es-MX"/>
        </w:rPr>
        <w:t>respuesta del Sujeto Obligado.</w:t>
      </w:r>
    </w:p>
    <w:p w14:paraId="70758FAA" w14:textId="4C4B6635"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De las constancias que obran en el expediente electrónico, se observa que el</w:t>
      </w:r>
      <w:r>
        <w:rPr>
          <w:rFonts w:ascii="Palatino Linotype" w:eastAsia="Times New Roman" w:hAnsi="Palatino Linotype" w:cs="Palatino Linotype"/>
          <w:color w:val="000000"/>
          <w:sz w:val="24"/>
          <w:szCs w:val="24"/>
          <w:lang w:val="es-ES_tradnl" w:eastAsia="es-MX"/>
        </w:rPr>
        <w:t xml:space="preserve"> </w:t>
      </w:r>
      <w:r w:rsidR="00030449">
        <w:rPr>
          <w:rFonts w:ascii="Palatino Linotype" w:eastAsia="Times New Roman" w:hAnsi="Palatino Linotype" w:cs="Palatino Linotype"/>
          <w:color w:val="000000"/>
          <w:sz w:val="24"/>
          <w:szCs w:val="24"/>
          <w:lang w:val="es-ES_tradnl" w:eastAsia="es-MX"/>
        </w:rPr>
        <w:t>siete marzo</w:t>
      </w:r>
      <w:r w:rsidR="00BB6139">
        <w:rPr>
          <w:rFonts w:ascii="Palatino Linotype" w:eastAsia="Times New Roman" w:hAnsi="Palatino Linotype" w:cs="Palatino Linotype"/>
          <w:color w:val="000000"/>
          <w:sz w:val="24"/>
          <w:szCs w:val="24"/>
          <w:lang w:val="es-ES_tradnl" w:eastAsia="es-MX"/>
        </w:rPr>
        <w:t xml:space="preserve"> de dos mil veinticinco</w:t>
      </w:r>
      <w:r w:rsidRPr="00F444C4">
        <w:rPr>
          <w:rFonts w:ascii="Palatino Linotype" w:eastAsia="Times New Roman" w:hAnsi="Palatino Linotype" w:cs="Palatino Linotype"/>
          <w:color w:val="000000"/>
          <w:sz w:val="24"/>
          <w:szCs w:val="24"/>
          <w:lang w:val="es-ES_tradnl" w:eastAsia="es-MX"/>
        </w:rPr>
        <w:t>, el Sujeto Obligado dio respuesta a la solicitud de información manifestando lo siguiente:</w:t>
      </w:r>
    </w:p>
    <w:p w14:paraId="7056B99F" w14:textId="77777777" w:rsidR="00A916EF" w:rsidRDefault="00A916EF" w:rsidP="00A916EF">
      <w:pPr>
        <w:spacing w:after="0" w:line="360" w:lineRule="auto"/>
        <w:contextualSpacing/>
        <w:jc w:val="both"/>
        <w:rPr>
          <w:rFonts w:ascii="Palatino Linotype" w:eastAsia="Times New Roman" w:hAnsi="Palatino Linotype" w:cs="Palatino Linotype"/>
          <w:i/>
          <w:color w:val="000000"/>
          <w:lang w:val="es-ES_tradnl" w:eastAsia="es-MX"/>
        </w:rPr>
      </w:pPr>
    </w:p>
    <w:p w14:paraId="06AE92FF" w14:textId="77777777" w:rsidR="00030449" w:rsidRDefault="00CB2DB3" w:rsidP="00030449">
      <w:pPr>
        <w:spacing w:after="0" w:line="360" w:lineRule="auto"/>
        <w:contextualSpacing/>
        <w:jc w:val="right"/>
        <w:rPr>
          <w:rFonts w:ascii="Palatino Linotype" w:eastAsia="Times New Roman" w:hAnsi="Palatino Linotype" w:cs="Palatino Linotype"/>
          <w:i/>
          <w:color w:val="000000"/>
          <w:lang w:val="es-ES_tradnl" w:eastAsia="es-MX"/>
        </w:rPr>
      </w:pPr>
      <w:r>
        <w:rPr>
          <w:rFonts w:ascii="Palatino Linotype" w:eastAsia="Times New Roman" w:hAnsi="Palatino Linotype" w:cs="Palatino Linotype"/>
          <w:i/>
          <w:color w:val="000000"/>
          <w:lang w:val="es-ES_tradnl" w:eastAsia="es-MX"/>
        </w:rPr>
        <w:t>“</w:t>
      </w:r>
      <w:r w:rsidR="00030449" w:rsidRPr="00030449">
        <w:rPr>
          <w:rFonts w:ascii="Palatino Linotype" w:eastAsia="Times New Roman" w:hAnsi="Palatino Linotype" w:cs="Palatino Linotype"/>
          <w:i/>
          <w:color w:val="000000"/>
          <w:lang w:val="es-ES_tradnl" w:eastAsia="es-MX"/>
        </w:rPr>
        <w:t>Folio de la solicitud: 00067/HUEHUETO/IP/2025</w:t>
      </w:r>
    </w:p>
    <w:p w14:paraId="377E0D17" w14:textId="77777777" w:rsidR="00030449" w:rsidRPr="00030449" w:rsidRDefault="00030449" w:rsidP="00030449">
      <w:pPr>
        <w:spacing w:after="0" w:line="360" w:lineRule="auto"/>
        <w:contextualSpacing/>
        <w:jc w:val="right"/>
        <w:rPr>
          <w:rFonts w:ascii="Palatino Linotype" w:eastAsia="Times New Roman" w:hAnsi="Palatino Linotype" w:cs="Palatino Linotype"/>
          <w:i/>
          <w:color w:val="000000"/>
          <w:lang w:val="es-ES_tradnl" w:eastAsia="es-MX"/>
        </w:rPr>
      </w:pPr>
    </w:p>
    <w:p w14:paraId="7249F5AF" w14:textId="77777777" w:rsidR="00030449" w:rsidRDefault="00030449" w:rsidP="00030449">
      <w:pPr>
        <w:spacing w:after="0" w:line="360" w:lineRule="auto"/>
        <w:contextualSpacing/>
        <w:jc w:val="both"/>
        <w:rPr>
          <w:rFonts w:ascii="Palatino Linotype" w:eastAsia="Times New Roman" w:hAnsi="Palatino Linotype" w:cs="Palatino Linotype"/>
          <w:i/>
          <w:color w:val="000000"/>
          <w:lang w:val="es-ES_tradnl" w:eastAsia="es-MX"/>
        </w:rPr>
      </w:pPr>
      <w:r w:rsidRPr="00030449">
        <w:rPr>
          <w:rFonts w:ascii="Palatino Linotype" w:eastAsia="Times New Roman" w:hAnsi="Palatino Linotype" w:cs="Palatino Linotype"/>
          <w:i/>
          <w:color w:val="000000"/>
          <w:lang w:val="es-ES_tradnl"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859914" w14:textId="77777777" w:rsidR="00030449" w:rsidRPr="00030449" w:rsidRDefault="00030449" w:rsidP="00030449">
      <w:pPr>
        <w:spacing w:after="0" w:line="360" w:lineRule="auto"/>
        <w:contextualSpacing/>
        <w:jc w:val="both"/>
        <w:rPr>
          <w:rFonts w:ascii="Palatino Linotype" w:eastAsia="Times New Roman" w:hAnsi="Palatino Linotype" w:cs="Palatino Linotype"/>
          <w:i/>
          <w:color w:val="000000"/>
          <w:lang w:val="es-ES_tradnl" w:eastAsia="es-MX"/>
        </w:rPr>
      </w:pPr>
    </w:p>
    <w:p w14:paraId="1A632B7E" w14:textId="77777777" w:rsidR="00030449" w:rsidRPr="00030449" w:rsidRDefault="00030449" w:rsidP="00030449">
      <w:pPr>
        <w:spacing w:after="0" w:line="360" w:lineRule="auto"/>
        <w:contextualSpacing/>
        <w:jc w:val="both"/>
        <w:rPr>
          <w:rFonts w:ascii="Palatino Linotype" w:eastAsia="Times New Roman" w:hAnsi="Palatino Linotype" w:cs="Palatino Linotype"/>
          <w:i/>
          <w:color w:val="000000"/>
          <w:lang w:val="es-ES_tradnl" w:eastAsia="es-MX"/>
        </w:rPr>
      </w:pPr>
      <w:r w:rsidRPr="00030449">
        <w:rPr>
          <w:rFonts w:ascii="Palatino Linotype" w:eastAsia="Times New Roman" w:hAnsi="Palatino Linotype" w:cs="Palatino Linotype"/>
          <w:i/>
          <w:color w:val="000000"/>
          <w:lang w:val="es-ES_tradnl" w:eastAsia="es-MX"/>
        </w:rPr>
        <w:t xml:space="preserve">Se instalo la Mesa de Diálogo Permanente con los líderes comerciantes, dónde se acordó el Programa de Ordenamiento Comercial. El punto del callejón Sor Juana es parte integrante del programa. Se tiene proyectado la ampliación del mercado "San Judas Tadeo" en el cual se reubicará al comercio del primer </w:t>
      </w:r>
      <w:r w:rsidRPr="00030449">
        <w:rPr>
          <w:rFonts w:ascii="Palatino Linotype" w:eastAsia="Times New Roman" w:hAnsi="Palatino Linotype" w:cs="Palatino Linotype"/>
          <w:i/>
          <w:color w:val="000000"/>
          <w:lang w:val="es-ES_tradnl" w:eastAsia="es-MX"/>
        </w:rPr>
        <w:lastRenderedPageBreak/>
        <w:t xml:space="preserve">cuadro. </w:t>
      </w:r>
      <w:proofErr w:type="gramStart"/>
      <w:r w:rsidRPr="00030449">
        <w:rPr>
          <w:rFonts w:ascii="Palatino Linotype" w:eastAsia="Times New Roman" w:hAnsi="Palatino Linotype" w:cs="Palatino Linotype"/>
          <w:i/>
          <w:color w:val="000000"/>
          <w:lang w:val="es-ES_tradnl" w:eastAsia="es-MX"/>
        </w:rPr>
        <w:t>la</w:t>
      </w:r>
      <w:proofErr w:type="gramEnd"/>
      <w:r w:rsidRPr="00030449">
        <w:rPr>
          <w:rFonts w:ascii="Palatino Linotype" w:eastAsia="Times New Roman" w:hAnsi="Palatino Linotype" w:cs="Palatino Linotype"/>
          <w:i/>
          <w:color w:val="000000"/>
          <w:lang w:val="es-ES_tradnl" w:eastAsia="es-MX"/>
        </w:rPr>
        <w:t xml:space="preserve"> obra está a cargo del Gobierno del Estado de México. (</w:t>
      </w:r>
      <w:proofErr w:type="gramStart"/>
      <w:r w:rsidRPr="00030449">
        <w:rPr>
          <w:rFonts w:ascii="Palatino Linotype" w:eastAsia="Times New Roman" w:hAnsi="Palatino Linotype" w:cs="Palatino Linotype"/>
          <w:i/>
          <w:color w:val="000000"/>
          <w:lang w:val="es-ES_tradnl" w:eastAsia="es-MX"/>
        </w:rPr>
        <w:t>por</w:t>
      </w:r>
      <w:proofErr w:type="gramEnd"/>
      <w:r w:rsidRPr="00030449">
        <w:rPr>
          <w:rFonts w:ascii="Palatino Linotype" w:eastAsia="Times New Roman" w:hAnsi="Palatino Linotype" w:cs="Palatino Linotype"/>
          <w:i/>
          <w:color w:val="000000"/>
          <w:lang w:val="es-ES_tradnl" w:eastAsia="es-MX"/>
        </w:rPr>
        <w:t xml:space="preserve"> lo cual no contamos con fecha específica). Se realizan inspecciones diarias.</w:t>
      </w:r>
    </w:p>
    <w:p w14:paraId="6988506C" w14:textId="77777777" w:rsidR="00030449" w:rsidRPr="00030449" w:rsidRDefault="00030449" w:rsidP="00030449">
      <w:pPr>
        <w:spacing w:after="0" w:line="360" w:lineRule="auto"/>
        <w:contextualSpacing/>
        <w:rPr>
          <w:rFonts w:ascii="Palatino Linotype" w:eastAsia="Times New Roman" w:hAnsi="Palatino Linotype" w:cs="Palatino Linotype"/>
          <w:i/>
          <w:color w:val="000000"/>
          <w:lang w:val="es-ES_tradnl" w:eastAsia="es-MX"/>
        </w:rPr>
      </w:pPr>
      <w:r w:rsidRPr="00030449">
        <w:rPr>
          <w:rFonts w:ascii="Palatino Linotype" w:eastAsia="Times New Roman" w:hAnsi="Palatino Linotype" w:cs="Palatino Linotype"/>
          <w:i/>
          <w:color w:val="000000"/>
          <w:lang w:val="es-ES_tradnl" w:eastAsia="es-MX"/>
        </w:rPr>
        <w:t>ATENTAMENTE</w:t>
      </w:r>
    </w:p>
    <w:p w14:paraId="16F336C9" w14:textId="2D821C4C" w:rsidR="00F222E0" w:rsidRPr="00A47ACD" w:rsidRDefault="00030449" w:rsidP="00030449">
      <w:pPr>
        <w:spacing w:after="0" w:line="360" w:lineRule="auto"/>
        <w:contextualSpacing/>
        <w:rPr>
          <w:rFonts w:ascii="Palatino Linotype" w:eastAsia="Times New Roman" w:hAnsi="Palatino Linotype" w:cs="Palatino Linotype"/>
          <w:i/>
          <w:color w:val="000000"/>
          <w:lang w:val="es-ES_tradnl" w:eastAsia="es-MX"/>
        </w:rPr>
      </w:pPr>
      <w:r w:rsidRPr="00030449">
        <w:rPr>
          <w:rFonts w:ascii="Palatino Linotype" w:eastAsia="Times New Roman" w:hAnsi="Palatino Linotype" w:cs="Palatino Linotype"/>
          <w:i/>
          <w:color w:val="000000"/>
          <w:lang w:val="es-ES_tradnl" w:eastAsia="es-MX"/>
        </w:rPr>
        <w:t>DOCTORA ARMINDA CHIMAL PÉREZ</w:t>
      </w:r>
      <w:r w:rsidR="00CB2DB3">
        <w:rPr>
          <w:rFonts w:ascii="Palatino Linotype" w:eastAsia="Times New Roman" w:hAnsi="Palatino Linotype" w:cs="Palatino Linotype"/>
          <w:i/>
          <w:color w:val="000000"/>
          <w:lang w:val="es-ES_tradnl" w:eastAsia="es-MX"/>
        </w:rPr>
        <w:t xml:space="preserve">” </w:t>
      </w:r>
    </w:p>
    <w:p w14:paraId="4A1C0B10" w14:textId="77777777" w:rsidR="00A916EF" w:rsidRPr="00A47ACD" w:rsidRDefault="00A916EF" w:rsidP="00A916EF">
      <w:pPr>
        <w:spacing w:after="0" w:line="360" w:lineRule="auto"/>
        <w:contextualSpacing/>
        <w:jc w:val="both"/>
        <w:rPr>
          <w:rFonts w:ascii="Palatino Linotype" w:eastAsia="Times New Roman" w:hAnsi="Palatino Linotype" w:cs="Palatino Linotype"/>
          <w:i/>
          <w:color w:val="000000"/>
          <w:lang w:val="es-ES_tradnl" w:eastAsia="es-MX"/>
        </w:rPr>
      </w:pPr>
    </w:p>
    <w:p w14:paraId="4B75669E" w14:textId="73D434BB" w:rsidR="00A916EF" w:rsidRPr="00893BF2" w:rsidRDefault="00A916EF" w:rsidP="00D30B6B">
      <w:pPr>
        <w:spacing w:after="0" w:line="360" w:lineRule="auto"/>
        <w:contextualSpacing/>
        <w:jc w:val="both"/>
        <w:rPr>
          <w:rFonts w:ascii="Palatino Linotype" w:eastAsia="Times New Roman" w:hAnsi="Palatino Linotype" w:cs="Palatino Linotype"/>
          <w:b/>
          <w:bCs/>
          <w:i/>
          <w:sz w:val="24"/>
          <w:szCs w:val="24"/>
          <w:lang w:eastAsia="es-MX"/>
        </w:rPr>
      </w:pPr>
      <w:r w:rsidRPr="00F444C4">
        <w:rPr>
          <w:rFonts w:ascii="Palatino Linotype" w:eastAsia="Times New Roman" w:hAnsi="Palatino Linotype" w:cs="Palatino Linotype"/>
          <w:color w:val="000000"/>
          <w:sz w:val="24"/>
          <w:szCs w:val="24"/>
          <w:lang w:val="es-ES_tradnl" w:eastAsia="es-MX"/>
        </w:rPr>
        <w:t xml:space="preserve">El Sujeto Obligado </w:t>
      </w:r>
      <w:r w:rsidR="00030449">
        <w:rPr>
          <w:rFonts w:ascii="Palatino Linotype" w:eastAsia="Times New Roman" w:hAnsi="Palatino Linotype" w:cs="Palatino Linotype"/>
          <w:color w:val="000000"/>
          <w:sz w:val="24"/>
          <w:szCs w:val="24"/>
          <w:lang w:val="es-ES_tradnl" w:eastAsia="es-MX"/>
        </w:rPr>
        <w:t>no adjunto documento u oficio alguno a su respuesta.</w:t>
      </w:r>
    </w:p>
    <w:p w14:paraId="71EE8FFD" w14:textId="77777777" w:rsidR="00A916EF" w:rsidRPr="00C069FB" w:rsidRDefault="00A916EF" w:rsidP="00A916EF">
      <w:pPr>
        <w:spacing w:after="0" w:line="360" w:lineRule="auto"/>
        <w:contextualSpacing/>
        <w:jc w:val="both"/>
        <w:rPr>
          <w:rFonts w:ascii="Palatino Linotype" w:hAnsi="Palatino Linotype"/>
          <w:sz w:val="24"/>
          <w:szCs w:val="24"/>
        </w:rPr>
      </w:pPr>
    </w:p>
    <w:p w14:paraId="6816DFE2" w14:textId="77777777" w:rsidR="00A916EF" w:rsidRPr="00F444C4" w:rsidRDefault="00A916EF"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TERCERO. Del recurso de revisión.</w:t>
      </w:r>
    </w:p>
    <w:p w14:paraId="504CCCAB" w14:textId="0C0EEE7A" w:rsidR="00A916EF"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Inconforme con la respuesta emitida por el Sujeto Obligado, el Recurrente interpuso el presente recurso de revisión el día</w:t>
      </w:r>
      <w:r>
        <w:rPr>
          <w:rFonts w:ascii="Palatino Linotype" w:eastAsia="Times New Roman" w:hAnsi="Palatino Linotype" w:cs="Palatino Linotype"/>
          <w:color w:val="000000"/>
          <w:sz w:val="24"/>
          <w:szCs w:val="24"/>
          <w:lang w:val="es-ES_tradnl" w:eastAsia="es-MX"/>
        </w:rPr>
        <w:t xml:space="preserve"> </w:t>
      </w:r>
      <w:r w:rsidR="00030449">
        <w:rPr>
          <w:rFonts w:ascii="Palatino Linotype" w:eastAsia="Times New Roman" w:hAnsi="Palatino Linotype" w:cs="Palatino Linotype"/>
          <w:color w:val="000000"/>
          <w:sz w:val="24"/>
          <w:szCs w:val="24"/>
          <w:lang w:val="es-ES_tradnl" w:eastAsia="es-MX"/>
        </w:rPr>
        <w:t>diez de marzo</w:t>
      </w:r>
      <w:r w:rsidR="00BB6139">
        <w:rPr>
          <w:rFonts w:ascii="Palatino Linotype" w:eastAsia="Times New Roman" w:hAnsi="Palatino Linotype" w:cs="Palatino Linotype"/>
          <w:color w:val="000000"/>
          <w:sz w:val="24"/>
          <w:szCs w:val="24"/>
          <w:lang w:val="es-ES_tradnl" w:eastAsia="es-MX"/>
        </w:rPr>
        <w:t xml:space="preserve"> de dos mil veinticinco</w:t>
      </w:r>
      <w:r>
        <w:rPr>
          <w:rFonts w:ascii="Palatino Linotype" w:eastAsia="Times New Roman" w:hAnsi="Palatino Linotype" w:cs="Palatino Linotype"/>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 xml:space="preserve">el cual se registró con el expediente número </w:t>
      </w:r>
      <w:r>
        <w:rPr>
          <w:rFonts w:ascii="Palatino Linotype" w:eastAsia="Times New Roman" w:hAnsi="Palatino Linotype" w:cs="Palatino Linotype"/>
          <w:b/>
          <w:color w:val="000000"/>
          <w:sz w:val="24"/>
          <w:szCs w:val="24"/>
          <w:lang w:val="es-ES_tradnl" w:eastAsia="es-MX"/>
        </w:rPr>
        <w:t>0</w:t>
      </w:r>
      <w:r w:rsidR="006663A2">
        <w:rPr>
          <w:rFonts w:ascii="Palatino Linotype" w:eastAsia="Times New Roman" w:hAnsi="Palatino Linotype" w:cs="Palatino Linotype"/>
          <w:b/>
          <w:color w:val="000000"/>
          <w:sz w:val="24"/>
          <w:szCs w:val="24"/>
          <w:lang w:val="es-ES_tradnl" w:eastAsia="es-MX"/>
        </w:rPr>
        <w:t>2</w:t>
      </w:r>
      <w:r w:rsidR="00B107F1">
        <w:rPr>
          <w:rFonts w:ascii="Palatino Linotype" w:eastAsia="Times New Roman" w:hAnsi="Palatino Linotype" w:cs="Palatino Linotype"/>
          <w:b/>
          <w:color w:val="000000"/>
          <w:sz w:val="24"/>
          <w:szCs w:val="24"/>
          <w:lang w:val="es-ES_tradnl" w:eastAsia="es-MX"/>
        </w:rPr>
        <w:t>68</w:t>
      </w:r>
      <w:r w:rsidR="006663A2">
        <w:rPr>
          <w:rFonts w:ascii="Palatino Linotype" w:eastAsia="Times New Roman" w:hAnsi="Palatino Linotype" w:cs="Palatino Linotype"/>
          <w:b/>
          <w:color w:val="000000"/>
          <w:sz w:val="24"/>
          <w:szCs w:val="24"/>
          <w:lang w:val="es-ES_tradnl" w:eastAsia="es-MX"/>
        </w:rPr>
        <w:t>0</w:t>
      </w:r>
      <w:r w:rsidR="00BB6139">
        <w:rPr>
          <w:rFonts w:ascii="Palatino Linotype" w:eastAsia="Times New Roman" w:hAnsi="Palatino Linotype" w:cs="Palatino Linotype"/>
          <w:b/>
          <w:color w:val="000000"/>
          <w:sz w:val="24"/>
          <w:szCs w:val="24"/>
          <w:lang w:val="es-ES_tradnl" w:eastAsia="es-MX"/>
        </w:rPr>
        <w:t>/INFOEM/IP/RR/2025</w:t>
      </w:r>
      <w:r w:rsidRPr="00F444C4">
        <w:rPr>
          <w:rFonts w:ascii="Palatino Linotype" w:eastAsia="Times New Roman" w:hAnsi="Palatino Linotype" w:cs="Palatino Linotype"/>
          <w:color w:val="000000"/>
          <w:sz w:val="24"/>
          <w:szCs w:val="24"/>
          <w:lang w:val="es-ES_tradnl" w:eastAsia="es-MX"/>
        </w:rPr>
        <w:t>, manifestando lo siguiente:</w:t>
      </w:r>
    </w:p>
    <w:p w14:paraId="344DC3C6" w14:textId="77777777" w:rsidR="00B107F1" w:rsidRPr="00F444C4" w:rsidRDefault="00B107F1"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598768F" w14:textId="780D1396" w:rsidR="00564F65" w:rsidRDefault="00A916EF" w:rsidP="00394BFF">
      <w:pPr>
        <w:spacing w:after="0" w:line="240" w:lineRule="auto"/>
        <w:ind w:left="567" w:right="567"/>
        <w:contextualSpacing/>
        <w:jc w:val="both"/>
        <w:rPr>
          <w:rFonts w:ascii="Palatino Linotype" w:eastAsia="Times New Roman" w:hAnsi="Palatino Linotype" w:cs="Palatino Linotype"/>
          <w:b/>
          <w:sz w:val="24"/>
          <w:lang w:val="es-ES_tradnl" w:eastAsia="es-MX"/>
        </w:rPr>
      </w:pPr>
      <w:r>
        <w:rPr>
          <w:rFonts w:ascii="Palatino Linotype" w:eastAsia="Times New Roman" w:hAnsi="Palatino Linotype" w:cs="Palatino Linotype"/>
          <w:b/>
          <w:sz w:val="24"/>
          <w:lang w:val="es-ES_tradnl" w:eastAsia="es-MX"/>
        </w:rPr>
        <w:t>Acto Impugnado</w:t>
      </w:r>
      <w:r w:rsidR="00394BFF">
        <w:rPr>
          <w:rFonts w:ascii="Palatino Linotype" w:eastAsia="Times New Roman" w:hAnsi="Palatino Linotype" w:cs="Palatino Linotype"/>
          <w:b/>
          <w:sz w:val="24"/>
          <w:lang w:val="es-ES_tradnl" w:eastAsia="es-MX"/>
        </w:rPr>
        <w:t xml:space="preserve"> </w:t>
      </w:r>
    </w:p>
    <w:p w14:paraId="4CCF72D5" w14:textId="10A73A1A" w:rsidR="009251ED" w:rsidRPr="00564F65" w:rsidRDefault="009251ED" w:rsidP="009251ED">
      <w:pPr>
        <w:jc w:val="both"/>
        <w:rPr>
          <w:rFonts w:ascii="Palatino Linotype" w:eastAsia="Times New Roman" w:hAnsi="Palatino Linotype" w:cs="Palatino Linotype"/>
          <w:i/>
          <w:color w:val="000000"/>
          <w:sz w:val="24"/>
          <w:szCs w:val="24"/>
          <w:lang w:val="es-ES_tradnl" w:eastAsia="es-MX"/>
        </w:rPr>
      </w:pPr>
      <w:r>
        <w:rPr>
          <w:rFonts w:ascii="Palatino Linotype" w:eastAsia="Times New Roman" w:hAnsi="Palatino Linotype" w:cs="Palatino Linotype"/>
          <w:i/>
          <w:color w:val="000000"/>
          <w:sz w:val="24"/>
          <w:szCs w:val="24"/>
          <w:lang w:val="es-ES_tradnl" w:eastAsia="es-MX"/>
        </w:rPr>
        <w:t xml:space="preserve"> </w:t>
      </w:r>
      <w:r w:rsidRPr="00564F65">
        <w:rPr>
          <w:rFonts w:ascii="Palatino Linotype" w:eastAsia="Times New Roman" w:hAnsi="Palatino Linotype" w:cs="Palatino Linotype"/>
          <w:i/>
          <w:color w:val="000000"/>
          <w:sz w:val="24"/>
          <w:szCs w:val="24"/>
          <w:lang w:val="es-ES_tradnl" w:eastAsia="es-MX"/>
        </w:rPr>
        <w:t>“</w:t>
      </w:r>
      <w:r w:rsidR="00B107F1" w:rsidRPr="00B107F1">
        <w:rPr>
          <w:rFonts w:ascii="Palatino Linotype" w:eastAsia="Times New Roman" w:hAnsi="Palatino Linotype" w:cs="Palatino Linotype"/>
          <w:i/>
          <w:color w:val="000000"/>
          <w:sz w:val="24"/>
          <w:szCs w:val="24"/>
          <w:lang w:val="es-ES_tradnl" w:eastAsia="es-MX"/>
        </w:rPr>
        <w:t>La resolución emitida por la autoridad en respuesta a la solicitud de transparencia, en la cual se limita a informar de manera general sobre la integración del Callejón Sor Juana al Programa de Ordenamiento Comercial, la existencia de una Mesa de Diálogo Permanente, la realización de inspecciones diarias y la proyección de la ampliación del mercado "San Judas Tadeo" sin proporcionar detalles concretos sobre: Las medidas específicas para garantizar el libre tránsito en el Callejón Sor Juana. Las sanciones o reglamentos aplicables a los negocios que obstruyen la vía. El número y resultados de las inspecciones realizadas. Los mecanismos de reporte y seguimiento de las quejas ciudadanas.</w:t>
      </w:r>
      <w:r w:rsidR="006663A2">
        <w:rPr>
          <w:rFonts w:ascii="Palatino Linotype" w:eastAsia="Times New Roman" w:hAnsi="Palatino Linotype" w:cs="Palatino Linotype"/>
          <w:i/>
          <w:color w:val="000000"/>
          <w:sz w:val="24"/>
          <w:szCs w:val="24"/>
          <w:lang w:val="es-ES_tradnl" w:eastAsia="es-MX"/>
        </w:rPr>
        <w:t>,</w:t>
      </w:r>
      <w:r w:rsidRPr="00564F65">
        <w:rPr>
          <w:rFonts w:ascii="Palatino Linotype" w:eastAsia="Times New Roman" w:hAnsi="Palatino Linotype" w:cs="Palatino Linotype"/>
          <w:i/>
          <w:color w:val="000000"/>
          <w:sz w:val="24"/>
          <w:szCs w:val="24"/>
          <w:lang w:val="es-ES_tradnl" w:eastAsia="es-MX"/>
        </w:rPr>
        <w:t xml:space="preserve">” </w:t>
      </w:r>
      <w:r w:rsidRPr="00BB6139">
        <w:rPr>
          <w:rFonts w:ascii="Palatino Linotype" w:eastAsia="Times New Roman" w:hAnsi="Palatino Linotype" w:cs="Palatino Linotype"/>
          <w:i/>
          <w:color w:val="000000"/>
          <w:sz w:val="24"/>
          <w:szCs w:val="24"/>
          <w:lang w:val="es-ES_tradnl" w:eastAsia="es-MX"/>
        </w:rPr>
        <w:t>(Sic)</w:t>
      </w:r>
    </w:p>
    <w:p w14:paraId="4DE56447" w14:textId="77777777" w:rsidR="009251ED" w:rsidRDefault="009251ED" w:rsidP="00394BFF">
      <w:pPr>
        <w:spacing w:after="0" w:line="240" w:lineRule="auto"/>
        <w:ind w:left="567" w:right="567"/>
        <w:contextualSpacing/>
        <w:jc w:val="both"/>
        <w:rPr>
          <w:rFonts w:ascii="Palatino Linotype" w:eastAsia="Times New Roman" w:hAnsi="Palatino Linotype" w:cs="Palatino Linotype"/>
          <w:b/>
          <w:sz w:val="24"/>
          <w:lang w:val="es-ES_tradnl" w:eastAsia="es-MX"/>
        </w:rPr>
      </w:pPr>
    </w:p>
    <w:p w14:paraId="22D4DB54" w14:textId="4BF01D14" w:rsidR="00394BFF" w:rsidRDefault="00394BFF" w:rsidP="00394BFF">
      <w:pPr>
        <w:spacing w:after="0" w:line="240" w:lineRule="auto"/>
        <w:ind w:left="567" w:right="567"/>
        <w:contextualSpacing/>
        <w:jc w:val="both"/>
        <w:rPr>
          <w:rFonts w:ascii="Palatino Linotype" w:eastAsia="Times New Roman" w:hAnsi="Palatino Linotype" w:cs="Palatino Linotype"/>
          <w:b/>
          <w:sz w:val="24"/>
          <w:lang w:val="es-ES_tradnl" w:eastAsia="es-MX"/>
        </w:rPr>
      </w:pPr>
      <w:r w:rsidRPr="00F444C4">
        <w:rPr>
          <w:rFonts w:ascii="Palatino Linotype" w:eastAsia="Times New Roman" w:hAnsi="Palatino Linotype" w:cs="Palatino Linotype"/>
          <w:b/>
          <w:sz w:val="24"/>
          <w:lang w:val="es-ES_tradnl" w:eastAsia="es-MX"/>
        </w:rPr>
        <w:t>Razones o Motivos de Inconformidad</w:t>
      </w:r>
    </w:p>
    <w:p w14:paraId="2D549F1A" w14:textId="77777777" w:rsidR="00A916EF" w:rsidRDefault="00A916EF" w:rsidP="00A916EF">
      <w:pPr>
        <w:spacing w:after="0" w:line="240" w:lineRule="auto"/>
        <w:ind w:left="567" w:right="567"/>
        <w:contextualSpacing/>
        <w:jc w:val="both"/>
        <w:rPr>
          <w:rFonts w:ascii="Palatino Linotype" w:eastAsia="Times New Roman" w:hAnsi="Palatino Linotype" w:cs="Palatino Linotype"/>
          <w:b/>
          <w:sz w:val="24"/>
          <w:lang w:val="es-ES_tradnl" w:eastAsia="es-MX"/>
        </w:rPr>
      </w:pPr>
    </w:p>
    <w:p w14:paraId="22688043" w14:textId="601A9E5A" w:rsidR="00A916EF" w:rsidRPr="00564F65" w:rsidRDefault="00A916EF" w:rsidP="00564F65">
      <w:pPr>
        <w:jc w:val="both"/>
        <w:rPr>
          <w:rFonts w:ascii="Palatino Linotype" w:eastAsia="Times New Roman" w:hAnsi="Palatino Linotype" w:cs="Palatino Linotype"/>
          <w:i/>
          <w:color w:val="000000"/>
          <w:sz w:val="24"/>
          <w:szCs w:val="24"/>
          <w:lang w:val="es-ES_tradnl" w:eastAsia="es-MX"/>
        </w:rPr>
      </w:pPr>
      <w:r w:rsidRPr="00564F65">
        <w:rPr>
          <w:rFonts w:ascii="Palatino Linotype" w:eastAsia="Times New Roman" w:hAnsi="Palatino Linotype" w:cs="Palatino Linotype"/>
          <w:i/>
          <w:color w:val="000000"/>
          <w:sz w:val="24"/>
          <w:szCs w:val="24"/>
          <w:lang w:val="es-ES_tradnl" w:eastAsia="es-MX"/>
        </w:rPr>
        <w:t>“</w:t>
      </w:r>
      <w:r w:rsidR="00B107F1" w:rsidRPr="00B107F1">
        <w:rPr>
          <w:rFonts w:ascii="Palatino Linotype" w:eastAsia="Times New Roman" w:hAnsi="Palatino Linotype" w:cs="Palatino Linotype"/>
          <w:i/>
          <w:color w:val="000000"/>
          <w:sz w:val="24"/>
          <w:szCs w:val="24"/>
          <w:lang w:val="es-ES_tradnl" w:eastAsia="es-MX"/>
        </w:rPr>
        <w:t xml:space="preserve">Omisión de Información Esencial: No se detallan las acciones específicas implementadas o previstas para evitar la ocupación indebida del espacio público en el Callejón Sor Juana, limitándose a mencionar acciones generales sin concreción. Falta de Datos sobre Inspecciones y Resultados: La respuesta indica que se realizan inspecciones diarias, pero no se aporta información sobre el número de inspecciones realizadas en los últimos meses ni los resultados obtenidos, lo que </w:t>
      </w:r>
      <w:r w:rsidR="00B107F1" w:rsidRPr="00B107F1">
        <w:rPr>
          <w:rFonts w:ascii="Palatino Linotype" w:eastAsia="Times New Roman" w:hAnsi="Palatino Linotype" w:cs="Palatino Linotype"/>
          <w:i/>
          <w:color w:val="000000"/>
          <w:sz w:val="24"/>
          <w:szCs w:val="24"/>
          <w:lang w:val="es-ES_tradnl" w:eastAsia="es-MX"/>
        </w:rPr>
        <w:lastRenderedPageBreak/>
        <w:t>impide evaluar la eficacia de las medidas. Ausencia de Información sobre Sanciones y Reglamentos: No se ofrece información sobre las sanciones o reglamentos específicos que regulen la situación de los negocios que obstaculizan el libre tránsito en la vía. Indefinición en el Cronograma de Medidas Concretas: Aunque se menciona la ampliación del mercado "San Judas Tadeo" como parte de la solución, no se proporciona una fecha concreta ni un cronograma que permita conocer cuándo se implementarán medidas definitivas para liberar el tránsito. Falta de Mecanismos de Reporte y Seguimiento: No se informa sobre los canales o mecanismos que permiten a la ciudadanía reportar la problemática ni sobre el seguimiento que se da a dichas quejas</w:t>
      </w:r>
      <w:r w:rsidRPr="00564F65">
        <w:rPr>
          <w:rFonts w:ascii="Palatino Linotype" w:eastAsia="Times New Roman" w:hAnsi="Palatino Linotype" w:cs="Palatino Linotype"/>
          <w:i/>
          <w:color w:val="000000"/>
          <w:sz w:val="24"/>
          <w:szCs w:val="24"/>
          <w:lang w:val="es-ES_tradnl" w:eastAsia="es-MX"/>
        </w:rPr>
        <w:t xml:space="preserve">” </w:t>
      </w:r>
      <w:r w:rsidRPr="00BB6139">
        <w:rPr>
          <w:rFonts w:ascii="Palatino Linotype" w:eastAsia="Times New Roman" w:hAnsi="Palatino Linotype" w:cs="Palatino Linotype"/>
          <w:i/>
          <w:color w:val="000000"/>
          <w:sz w:val="24"/>
          <w:szCs w:val="24"/>
          <w:lang w:val="es-ES_tradnl" w:eastAsia="es-MX"/>
        </w:rPr>
        <w:t>(Sic)</w:t>
      </w:r>
    </w:p>
    <w:p w14:paraId="6B9F371D" w14:textId="77777777" w:rsidR="00A916EF" w:rsidRDefault="00A916EF" w:rsidP="00394BFF">
      <w:pPr>
        <w:spacing w:after="0" w:line="240" w:lineRule="auto"/>
        <w:ind w:right="567"/>
        <w:contextualSpacing/>
        <w:jc w:val="both"/>
        <w:rPr>
          <w:rFonts w:ascii="Palatino Linotype" w:eastAsia="Times New Roman" w:hAnsi="Palatino Linotype" w:cs="Palatino Linotype"/>
          <w:b/>
          <w:i/>
          <w:color w:val="000000"/>
          <w:lang w:val="es-ES_tradnl" w:eastAsia="es-MX"/>
        </w:rPr>
      </w:pPr>
    </w:p>
    <w:p w14:paraId="56124580" w14:textId="77777777" w:rsidR="00A916EF" w:rsidRPr="008033E1" w:rsidRDefault="00A916EF" w:rsidP="00A916EF">
      <w:pPr>
        <w:spacing w:after="0" w:line="240" w:lineRule="auto"/>
        <w:ind w:left="567" w:right="567"/>
        <w:contextualSpacing/>
        <w:jc w:val="both"/>
        <w:rPr>
          <w:rFonts w:ascii="Palatino Linotype" w:eastAsia="Times New Roman" w:hAnsi="Palatino Linotype" w:cs="Palatino Linotype"/>
          <w:b/>
          <w:i/>
          <w:color w:val="000000"/>
          <w:lang w:val="es-ES_tradnl" w:eastAsia="es-MX"/>
        </w:rPr>
      </w:pPr>
    </w:p>
    <w:p w14:paraId="160123FB" w14:textId="77777777" w:rsidR="00A916EF" w:rsidRPr="00F444C4" w:rsidRDefault="00A916EF"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CUARTO. Del turno y admisión del recurso de revisión.</w:t>
      </w:r>
    </w:p>
    <w:p w14:paraId="44CE1DEA" w14:textId="07F962F6"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Medio de impugnación que le fue turnado al </w:t>
      </w:r>
      <w:r w:rsidRPr="00F444C4">
        <w:rPr>
          <w:rFonts w:ascii="Palatino Linotype" w:eastAsia="Times New Roman" w:hAnsi="Palatino Linotype" w:cs="Palatino Linotype"/>
          <w:b/>
          <w:color w:val="000000"/>
          <w:sz w:val="24"/>
          <w:szCs w:val="24"/>
          <w:lang w:val="es-ES_tradnl" w:eastAsia="es-MX"/>
        </w:rPr>
        <w:t>Comisionado Presidente José Martínez Vilchis</w:t>
      </w:r>
      <w:r w:rsidRPr="00F444C4">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Pr>
          <w:rFonts w:ascii="Palatino Linotype" w:eastAsia="Times New Roman" w:hAnsi="Palatino Linotype" w:cs="Palatino Linotype"/>
          <w:b/>
          <w:color w:val="000000"/>
          <w:sz w:val="24"/>
          <w:szCs w:val="24"/>
          <w:lang w:val="es-ES_tradnl" w:eastAsia="es-MX"/>
        </w:rPr>
        <w:t xml:space="preserve"> </w:t>
      </w:r>
      <w:r w:rsidR="00B107F1">
        <w:rPr>
          <w:rFonts w:ascii="Palatino Linotype" w:eastAsia="Times New Roman" w:hAnsi="Palatino Linotype" w:cs="Palatino Linotype"/>
          <w:b/>
          <w:color w:val="000000"/>
          <w:sz w:val="24"/>
          <w:szCs w:val="24"/>
          <w:lang w:val="es-ES_tradnl" w:eastAsia="es-MX"/>
        </w:rPr>
        <w:t>once</w:t>
      </w:r>
      <w:r w:rsidR="003342DB">
        <w:rPr>
          <w:rFonts w:ascii="Palatino Linotype" w:eastAsia="Times New Roman" w:hAnsi="Palatino Linotype" w:cs="Palatino Linotype"/>
          <w:b/>
          <w:color w:val="000000"/>
          <w:sz w:val="24"/>
          <w:szCs w:val="24"/>
          <w:lang w:val="es-ES_tradnl" w:eastAsia="es-MX"/>
        </w:rPr>
        <w:t xml:space="preserve"> de marzo</w:t>
      </w:r>
      <w:r w:rsidR="00BB6139">
        <w:rPr>
          <w:rFonts w:ascii="Palatino Linotype" w:eastAsia="Times New Roman" w:hAnsi="Palatino Linotype" w:cs="Palatino Linotype"/>
          <w:b/>
          <w:color w:val="000000"/>
          <w:sz w:val="24"/>
          <w:szCs w:val="24"/>
          <w:lang w:val="es-ES_tradnl" w:eastAsia="es-MX"/>
        </w:rPr>
        <w:t xml:space="preserve"> de dos mil veinticinco</w:t>
      </w:r>
      <w:r w:rsidRPr="00F444C4">
        <w:rPr>
          <w:rFonts w:ascii="Palatino Linotype" w:eastAsia="Times New Roman" w:hAnsi="Palatino Linotype" w:cs="Palatino Linotype"/>
          <w:color w:val="000000"/>
          <w:sz w:val="24"/>
          <w:szCs w:val="24"/>
          <w:lang w:val="es-ES_tradnl" w:eastAsia="es-MX"/>
        </w:rPr>
        <w:t xml:space="preserve">, </w:t>
      </w:r>
      <w:r w:rsidRPr="00F444C4">
        <w:rPr>
          <w:rFonts w:ascii="Palatino Linotype" w:eastAsia="Times New Roman" w:hAnsi="Palatino Linotype" w:cs="Palatino Linotype"/>
          <w:sz w:val="24"/>
          <w:szCs w:val="24"/>
          <w:lang w:val="es-ES_tradnl" w:eastAsia="es-MX"/>
        </w:rPr>
        <w:t>otorgándose</w:t>
      </w:r>
      <w:r w:rsidRPr="00F444C4">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325E69A8"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B082F17" w14:textId="77777777" w:rsidR="00A916EF" w:rsidRPr="00633048" w:rsidRDefault="00A916EF"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633048">
        <w:rPr>
          <w:rFonts w:ascii="Palatino Linotype" w:eastAsia="Times New Roman" w:hAnsi="Palatino Linotype" w:cs="Times New Roman"/>
          <w:b/>
          <w:color w:val="000000" w:themeColor="text1"/>
          <w:sz w:val="26"/>
          <w:szCs w:val="26"/>
          <w:lang w:val="es-ES_tradnl" w:eastAsia="es-MX"/>
        </w:rPr>
        <w:t>QUINTO. De la etapa de instrucción.</w:t>
      </w:r>
    </w:p>
    <w:p w14:paraId="4659D461" w14:textId="3C4FBCAE" w:rsidR="00087541" w:rsidRDefault="002E27B4"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2E27B4">
        <w:rPr>
          <w:rFonts w:ascii="Palatino Linotype" w:eastAsia="Times New Roman" w:hAnsi="Palatino Linotype" w:cs="Palatino Linotype"/>
          <w:color w:val="000000"/>
          <w:sz w:val="24"/>
          <w:szCs w:val="24"/>
          <w:lang w:val="es-ES_tradnl" w:eastAsia="es-MX"/>
        </w:rPr>
        <w:t>Una vez transcurrido el término legal referido se destaca que, el Sujeto Obligado</w:t>
      </w:r>
      <w:r w:rsidR="00087541">
        <w:rPr>
          <w:rFonts w:ascii="Palatino Linotype" w:eastAsia="Times New Roman" w:hAnsi="Palatino Linotype" w:cs="Palatino Linotype"/>
          <w:color w:val="000000"/>
          <w:sz w:val="24"/>
          <w:szCs w:val="24"/>
          <w:lang w:val="es-ES_tradnl" w:eastAsia="es-MX"/>
        </w:rPr>
        <w:t>, en fecha 21 de marzo de la presente anualidad, emitió su informe justificado a través del archivo “</w:t>
      </w:r>
      <w:r w:rsidR="00087541" w:rsidRPr="00087541">
        <w:rPr>
          <w:rFonts w:ascii="Palatino Linotype" w:eastAsia="Times New Roman" w:hAnsi="Palatino Linotype" w:cs="Palatino Linotype"/>
          <w:i/>
          <w:iCs/>
          <w:color w:val="000000"/>
          <w:sz w:val="24"/>
          <w:szCs w:val="24"/>
          <w:lang w:val="es-ES_tradnl" w:eastAsia="es-MX"/>
        </w:rPr>
        <w:t xml:space="preserve">requerimiento 00067 </w:t>
      </w:r>
      <w:proofErr w:type="spellStart"/>
      <w:r w:rsidR="00087541" w:rsidRPr="00087541">
        <w:rPr>
          <w:rFonts w:ascii="Palatino Linotype" w:eastAsia="Times New Roman" w:hAnsi="Palatino Linotype" w:cs="Palatino Linotype"/>
          <w:i/>
          <w:iCs/>
          <w:color w:val="000000"/>
          <w:sz w:val="24"/>
          <w:szCs w:val="24"/>
          <w:lang w:val="es-ES_tradnl" w:eastAsia="es-MX"/>
        </w:rPr>
        <w:t>rev</w:t>
      </w:r>
      <w:proofErr w:type="spellEnd"/>
      <w:r w:rsidR="00087541" w:rsidRPr="00087541">
        <w:rPr>
          <w:rFonts w:ascii="Palatino Linotype" w:eastAsia="Times New Roman" w:hAnsi="Palatino Linotype" w:cs="Palatino Linotype"/>
          <w:i/>
          <w:iCs/>
          <w:color w:val="000000"/>
          <w:sz w:val="24"/>
          <w:szCs w:val="24"/>
          <w:lang w:val="es-ES_tradnl" w:eastAsia="es-MX"/>
        </w:rPr>
        <w:t xml:space="preserve"> 02680 (1).</w:t>
      </w:r>
      <w:proofErr w:type="spellStart"/>
      <w:r w:rsidR="00087541" w:rsidRPr="00087541">
        <w:rPr>
          <w:rFonts w:ascii="Palatino Linotype" w:eastAsia="Times New Roman" w:hAnsi="Palatino Linotype" w:cs="Palatino Linotype"/>
          <w:i/>
          <w:iCs/>
          <w:color w:val="000000"/>
          <w:sz w:val="24"/>
          <w:szCs w:val="24"/>
          <w:lang w:val="es-ES_tradnl" w:eastAsia="es-MX"/>
        </w:rPr>
        <w:t>pdf</w:t>
      </w:r>
      <w:proofErr w:type="spellEnd"/>
      <w:r w:rsidR="00087541">
        <w:rPr>
          <w:rFonts w:ascii="Palatino Linotype" w:eastAsia="Times New Roman" w:hAnsi="Palatino Linotype" w:cs="Palatino Linotype"/>
          <w:color w:val="000000"/>
          <w:sz w:val="24"/>
          <w:szCs w:val="24"/>
          <w:lang w:val="es-ES_tradnl" w:eastAsia="es-MX"/>
        </w:rPr>
        <w:t xml:space="preserve">”, el cual fue puesto a la vista del recurrente mediante proveído de fecha 31 de marzo de 2025. </w:t>
      </w:r>
    </w:p>
    <w:p w14:paraId="76C6F849" w14:textId="12D2CEAF" w:rsidR="00087541" w:rsidRDefault="00087541"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Pr>
          <w:rFonts w:ascii="Palatino Linotype" w:eastAsia="Times New Roman" w:hAnsi="Palatino Linotype" w:cs="Palatino Linotype"/>
          <w:color w:val="000000"/>
          <w:sz w:val="24"/>
          <w:szCs w:val="24"/>
          <w:lang w:val="es-ES_tradnl" w:eastAsia="es-MX"/>
        </w:rPr>
        <w:t>Por parte del recurrente, se aprecia que no hizo manifestaciones, ni emitió alegatos o prueba alguna, por lo que no teniendo elementos pendientes de desahogar, se da por cerrada la instrucción.</w:t>
      </w:r>
    </w:p>
    <w:p w14:paraId="6D304B5F" w14:textId="77777777" w:rsidR="009757BC" w:rsidRDefault="009757BC"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p>
    <w:p w14:paraId="7A3DA78B" w14:textId="77777777" w:rsidR="00A916EF" w:rsidRPr="00F444C4" w:rsidRDefault="00A916EF"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SEXTO. Del cierre de instrucción.</w:t>
      </w:r>
    </w:p>
    <w:p w14:paraId="2A516F84" w14:textId="18EB587F" w:rsidR="00A916EF"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Así, una vez transcurrido el término legal, se decretó e</w:t>
      </w:r>
      <w:r>
        <w:rPr>
          <w:rFonts w:ascii="Palatino Linotype" w:eastAsia="Times New Roman" w:hAnsi="Palatino Linotype" w:cs="Palatino Linotype"/>
          <w:color w:val="000000"/>
          <w:sz w:val="24"/>
          <w:szCs w:val="24"/>
          <w:lang w:val="es-ES_tradnl" w:eastAsia="es-MX"/>
        </w:rPr>
        <w:t>l cierre de instrucción en fecha</w:t>
      </w:r>
      <w:r w:rsidR="00D95CD9">
        <w:rPr>
          <w:rFonts w:ascii="Palatino Linotype" w:eastAsia="Times New Roman" w:hAnsi="Palatino Linotype" w:cs="Palatino Linotype"/>
          <w:b/>
          <w:color w:val="000000"/>
          <w:sz w:val="24"/>
          <w:szCs w:val="24"/>
          <w:lang w:val="es-ES_tradnl" w:eastAsia="es-MX"/>
        </w:rPr>
        <w:t xml:space="preserve"> </w:t>
      </w:r>
      <w:r w:rsidR="00C61DBB" w:rsidRPr="00C61DBB">
        <w:rPr>
          <w:rFonts w:ascii="Palatino Linotype" w:eastAsia="Times New Roman" w:hAnsi="Palatino Linotype" w:cs="Palatino Linotype"/>
          <w:b/>
          <w:color w:val="000000"/>
          <w:sz w:val="24"/>
          <w:szCs w:val="24"/>
          <w:highlight w:val="yellow"/>
          <w:lang w:val="es-ES_tradnl" w:eastAsia="es-MX"/>
        </w:rPr>
        <w:t>cuatro</w:t>
      </w:r>
      <w:r w:rsidR="00C61DBB">
        <w:rPr>
          <w:rFonts w:ascii="Palatino Linotype" w:eastAsia="Times New Roman" w:hAnsi="Palatino Linotype" w:cs="Palatino Linotype"/>
          <w:b/>
          <w:color w:val="000000"/>
          <w:sz w:val="24"/>
          <w:szCs w:val="24"/>
          <w:lang w:val="es-ES_tradnl" w:eastAsia="es-MX"/>
        </w:rPr>
        <w:t xml:space="preserve"> de abril</w:t>
      </w:r>
      <w:r w:rsidR="00BB6139">
        <w:rPr>
          <w:rFonts w:ascii="Palatino Linotype" w:eastAsia="Times New Roman" w:hAnsi="Palatino Linotype" w:cs="Palatino Linotype"/>
          <w:b/>
          <w:color w:val="000000"/>
          <w:sz w:val="24"/>
          <w:szCs w:val="24"/>
          <w:lang w:val="es-ES_tradnl" w:eastAsia="es-MX"/>
        </w:rPr>
        <w:t xml:space="preserve"> de dos mil veinticinco</w:t>
      </w:r>
      <w:r w:rsidRPr="00F444C4">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14:paraId="5CAED328" w14:textId="77777777" w:rsidR="00BB6139" w:rsidRDefault="00BB6139"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12FE3B6" w14:textId="77777777" w:rsidR="00A916EF" w:rsidRPr="00F444C4" w:rsidRDefault="00A916EF" w:rsidP="00A916EF">
      <w:pPr>
        <w:spacing w:after="0" w:line="360" w:lineRule="auto"/>
        <w:jc w:val="both"/>
        <w:rPr>
          <w:rFonts w:ascii="Palatino Linotype" w:eastAsia="Times New Roman" w:hAnsi="Palatino Linotype" w:cs="Calibri"/>
          <w:sz w:val="24"/>
          <w:lang w:val="es-ES"/>
        </w:rPr>
      </w:pPr>
    </w:p>
    <w:p w14:paraId="753F7EE7" w14:textId="77777777" w:rsidR="00A916EF" w:rsidRPr="00F444C4" w:rsidRDefault="00A916EF" w:rsidP="00A916EF">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F444C4">
        <w:rPr>
          <w:rFonts w:ascii="Palatino Linotype" w:eastAsia="Times New Roman" w:hAnsi="Palatino Linotype" w:cs="Times New Roman"/>
          <w:b/>
          <w:color w:val="000000" w:themeColor="text1"/>
          <w:sz w:val="28"/>
          <w:szCs w:val="32"/>
          <w:lang w:val="es-ES_tradnl" w:eastAsia="es-ES"/>
        </w:rPr>
        <w:t>C O N S I D E R A N D O</w:t>
      </w:r>
    </w:p>
    <w:p w14:paraId="1FF45031"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7AB52D68" w14:textId="77777777" w:rsidR="00A916EF" w:rsidRPr="00F444C4" w:rsidRDefault="00A916EF"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PRIMERO. De la competencia.</w:t>
      </w:r>
    </w:p>
    <w:p w14:paraId="5EB37C29" w14:textId="206D9C9B" w:rsidR="00A916EF" w:rsidRDefault="00757A32"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757A32">
        <w:rPr>
          <w:rFonts w:ascii="Palatino Linotype" w:eastAsia="Times New Roman" w:hAnsi="Palatino Linotype" w:cs="Palatino Linotype"/>
          <w:color w:val="000000"/>
          <w:sz w:val="24"/>
          <w:szCs w:val="24"/>
          <w:lang w:val="es-ES_tradnl" w:eastAsia="es-MX"/>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eastAsia="Times New Roman" w:hAnsi="Palatino Linotype" w:cs="Palatino Linotype"/>
          <w:color w:val="000000"/>
          <w:sz w:val="24"/>
          <w:szCs w:val="24"/>
          <w:lang w:val="es-ES_tradnl" w:eastAsia="es-MX"/>
        </w:rPr>
        <w:t>.</w:t>
      </w:r>
    </w:p>
    <w:p w14:paraId="6B43BB19" w14:textId="77777777" w:rsidR="00757A32" w:rsidRPr="00F444C4" w:rsidRDefault="00757A32"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6AF0D0F" w14:textId="77777777" w:rsidR="00A916EF" w:rsidRPr="00F444C4" w:rsidRDefault="00A916EF"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lastRenderedPageBreak/>
        <w:t xml:space="preserve">SEGUNDO. Sobre los alcances del recurso de revisión. </w:t>
      </w:r>
    </w:p>
    <w:p w14:paraId="2494BBF6" w14:textId="77777777" w:rsidR="00A916EF" w:rsidRPr="00F444C4" w:rsidRDefault="00A916EF" w:rsidP="00A916EF">
      <w:pPr>
        <w:spacing w:after="0" w:line="360" w:lineRule="auto"/>
        <w:jc w:val="both"/>
        <w:rPr>
          <w:rFonts w:ascii="Palatino Linotype" w:eastAsia="Times New Roman" w:hAnsi="Palatino Linotype" w:cs="Calibri"/>
          <w:sz w:val="24"/>
          <w:lang w:val="es-ES_tradnl" w:eastAsia="es-MX"/>
        </w:rPr>
      </w:pPr>
      <w:r w:rsidRPr="00F444C4">
        <w:rPr>
          <w:rFonts w:ascii="Palatino Linotype" w:eastAsia="Times New Roman" w:hAnsi="Palatino Linotype" w:cs="Calibri"/>
          <w:sz w:val="24"/>
          <w:lang w:val="es-ES_tradnl" w:eastAsia="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8FB9917" w14:textId="77777777" w:rsidR="00A916EF" w:rsidRPr="00F444C4" w:rsidRDefault="00A916EF" w:rsidP="00A916EF">
      <w:pPr>
        <w:spacing w:after="0" w:line="360" w:lineRule="auto"/>
        <w:jc w:val="both"/>
        <w:rPr>
          <w:rFonts w:ascii="Palatino Linotype" w:eastAsia="Times New Roman" w:hAnsi="Palatino Linotype" w:cs="Calibri"/>
          <w:sz w:val="24"/>
          <w:lang w:val="es-ES_tradnl" w:eastAsia="es-MX"/>
        </w:rPr>
      </w:pPr>
    </w:p>
    <w:p w14:paraId="1E7ACCBE" w14:textId="61279128" w:rsidR="00BF680F" w:rsidRPr="00F444C4" w:rsidRDefault="00F116FA" w:rsidP="00EF2076">
      <w:pPr>
        <w:autoSpaceDE w:val="0"/>
        <w:autoSpaceDN w:val="0"/>
        <w:adjustRightInd w:val="0"/>
        <w:spacing w:before="240"/>
        <w:rPr>
          <w:rFonts w:ascii="Palatino Linotype" w:hAnsi="Palatino Linotype"/>
          <w:b/>
          <w:color w:val="000000" w:themeColor="text1"/>
          <w:sz w:val="26"/>
          <w:szCs w:val="26"/>
          <w:lang w:val="es-ES_tradnl"/>
        </w:rPr>
      </w:pPr>
      <w:r>
        <w:rPr>
          <w:rFonts w:ascii="Palatino Linotype" w:hAnsi="Palatino Linotype" w:cs="Arial"/>
          <w:b/>
          <w:sz w:val="28"/>
          <w:szCs w:val="28"/>
        </w:rPr>
        <w:t xml:space="preserve">TERCERO. </w:t>
      </w:r>
      <w:r w:rsidR="00BF680F" w:rsidRPr="00F444C4">
        <w:rPr>
          <w:rFonts w:ascii="Palatino Linotype" w:hAnsi="Palatino Linotype"/>
          <w:b/>
          <w:color w:val="000000" w:themeColor="text1"/>
          <w:sz w:val="26"/>
          <w:szCs w:val="26"/>
          <w:lang w:val="es-ES_tradnl"/>
        </w:rPr>
        <w:t>De las causas de improcedencia.</w:t>
      </w:r>
    </w:p>
    <w:p w14:paraId="680D65A5" w14:textId="77777777" w:rsidR="00BF680F" w:rsidRPr="00D606ED" w:rsidRDefault="00BF680F" w:rsidP="00BF680F">
      <w:pPr>
        <w:spacing w:line="360" w:lineRule="auto"/>
        <w:contextualSpacing/>
        <w:jc w:val="both"/>
        <w:rPr>
          <w:rFonts w:ascii="Palatino Linotype" w:hAnsi="Palatino Linotype" w:cs="Palatino Linotype"/>
          <w:color w:val="000000"/>
          <w:sz w:val="24"/>
          <w:szCs w:val="24"/>
          <w:lang w:val="es-ES_tradnl"/>
        </w:rPr>
      </w:pPr>
      <w:r w:rsidRPr="00D606ED">
        <w:rPr>
          <w:rFonts w:ascii="Palatino Linotype" w:hAnsi="Palatino Linotype" w:cs="Palatino Linotype"/>
          <w:color w:val="000000"/>
          <w:sz w:val="24"/>
          <w:szCs w:val="24"/>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50155DD" w14:textId="77777777" w:rsidR="00BF680F" w:rsidRPr="00D606ED" w:rsidRDefault="00BF680F" w:rsidP="00BF680F">
      <w:pPr>
        <w:spacing w:line="360" w:lineRule="auto"/>
        <w:contextualSpacing/>
        <w:jc w:val="both"/>
        <w:rPr>
          <w:rFonts w:ascii="Palatino Linotype" w:hAnsi="Palatino Linotype" w:cs="Palatino Linotype"/>
          <w:color w:val="000000"/>
          <w:sz w:val="24"/>
          <w:szCs w:val="24"/>
          <w:lang w:val="es-ES_tradnl"/>
        </w:rPr>
      </w:pPr>
    </w:p>
    <w:p w14:paraId="7F47E0D7" w14:textId="77777777" w:rsidR="00BF680F" w:rsidRPr="00D606ED" w:rsidRDefault="00BF680F" w:rsidP="00BF680F">
      <w:pPr>
        <w:spacing w:line="360" w:lineRule="auto"/>
        <w:contextualSpacing/>
        <w:jc w:val="both"/>
        <w:rPr>
          <w:rFonts w:ascii="Palatino Linotype" w:hAnsi="Palatino Linotype" w:cs="Palatino Linotype"/>
          <w:color w:val="000000"/>
          <w:sz w:val="24"/>
          <w:szCs w:val="24"/>
          <w:lang w:val="es-ES_tradnl"/>
        </w:rPr>
      </w:pPr>
      <w:r w:rsidRPr="00D606ED">
        <w:rPr>
          <w:rFonts w:ascii="Palatino Linotype" w:hAnsi="Palatino Linotype" w:cs="Palatino Linotype"/>
          <w:color w:val="000000"/>
          <w:sz w:val="24"/>
          <w:szCs w:val="24"/>
          <w:lang w:val="es-ES_tradnl"/>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w:t>
      </w:r>
      <w:r w:rsidRPr="00D606ED">
        <w:rPr>
          <w:rFonts w:ascii="Palatino Linotype" w:hAnsi="Palatino Linotype" w:cs="Palatino Linotype"/>
          <w:color w:val="000000"/>
          <w:sz w:val="24"/>
          <w:szCs w:val="24"/>
          <w:lang w:val="es-ES_tradnl"/>
        </w:rPr>
        <w:lastRenderedPageBreak/>
        <w:t>una figura procesal adoptada en la ley de la materia</w:t>
      </w:r>
      <w:r w:rsidRPr="00D606ED">
        <w:rPr>
          <w:rFonts w:ascii="Palatino Linotype" w:hAnsi="Palatino Linotype" w:cs="Palatino Linotype"/>
          <w:color w:val="000000"/>
          <w:sz w:val="24"/>
          <w:szCs w:val="24"/>
          <w:vertAlign w:val="superscript"/>
          <w:lang w:val="es-ES_tradnl"/>
        </w:rPr>
        <w:footnoteReference w:id="1"/>
      </w:r>
      <w:r w:rsidRPr="00D606ED">
        <w:rPr>
          <w:rFonts w:ascii="Palatino Linotype" w:hAnsi="Palatino Linotype" w:cs="Palatino Linotype"/>
          <w:color w:val="000000"/>
          <w:sz w:val="24"/>
          <w:szCs w:val="24"/>
          <w:lang w:val="es-ES_tradnl"/>
        </w:rPr>
        <w:t>, la cual permite dilucidar alguna causal que impida el estudio y resolución, cuando una vez admitido el recurso de revisión se advierta una causa de improcedencia que permita sobreseerlo, sin estudiar el fondo del asunto.</w:t>
      </w:r>
    </w:p>
    <w:p w14:paraId="038984FB" w14:textId="77777777" w:rsidR="00BF680F" w:rsidRPr="00D606ED" w:rsidRDefault="00BF680F" w:rsidP="00BF680F">
      <w:pPr>
        <w:spacing w:line="360" w:lineRule="auto"/>
        <w:contextualSpacing/>
        <w:jc w:val="both"/>
        <w:rPr>
          <w:rFonts w:ascii="Palatino Linotype" w:hAnsi="Palatino Linotype" w:cs="Palatino Linotype"/>
          <w:color w:val="000000"/>
          <w:sz w:val="24"/>
          <w:szCs w:val="24"/>
          <w:lang w:val="es-ES_tradnl"/>
        </w:rPr>
      </w:pPr>
    </w:p>
    <w:p w14:paraId="4DBF41D0" w14:textId="77777777" w:rsidR="00BF680F" w:rsidRPr="00D606ED" w:rsidRDefault="00BF680F" w:rsidP="00BF680F">
      <w:pPr>
        <w:spacing w:line="360" w:lineRule="auto"/>
        <w:contextualSpacing/>
        <w:jc w:val="both"/>
        <w:rPr>
          <w:rFonts w:ascii="Palatino Linotype" w:hAnsi="Palatino Linotype" w:cs="Palatino Linotype"/>
          <w:color w:val="000000"/>
          <w:sz w:val="24"/>
          <w:szCs w:val="24"/>
          <w:lang w:val="es-ES_tradnl"/>
        </w:rPr>
      </w:pPr>
      <w:r w:rsidRPr="00D606ED">
        <w:rPr>
          <w:rFonts w:ascii="Palatino Linotype" w:hAnsi="Palatino Linotype" w:cs="Palatino Linotype"/>
          <w:color w:val="000000"/>
          <w:sz w:val="24"/>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26653B03" w14:textId="77777777" w:rsidR="009A1F0E" w:rsidRDefault="009A1F0E"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p>
    <w:p w14:paraId="584AFBD5" w14:textId="62CD553D" w:rsidR="00A916EF" w:rsidRPr="001B3A3D" w:rsidRDefault="009757BC"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Pr>
          <w:rFonts w:ascii="Palatino Linotype" w:eastAsia="Times New Roman" w:hAnsi="Palatino Linotype" w:cs="Times New Roman"/>
          <w:b/>
          <w:color w:val="000000" w:themeColor="text1"/>
          <w:sz w:val="26"/>
          <w:szCs w:val="26"/>
          <w:lang w:val="es-ES_tradnl" w:eastAsia="es-MX"/>
        </w:rPr>
        <w:t>CUARTO</w:t>
      </w:r>
      <w:r w:rsidR="009A1F0E">
        <w:rPr>
          <w:rFonts w:ascii="Palatino Linotype" w:eastAsia="Times New Roman" w:hAnsi="Palatino Linotype" w:cs="Times New Roman"/>
          <w:b/>
          <w:color w:val="000000" w:themeColor="text1"/>
          <w:sz w:val="26"/>
          <w:szCs w:val="26"/>
          <w:lang w:val="es-ES_tradnl" w:eastAsia="es-MX"/>
        </w:rPr>
        <w:t xml:space="preserve">. </w:t>
      </w:r>
      <w:r w:rsidR="00A916EF" w:rsidRPr="00F444C4">
        <w:rPr>
          <w:rFonts w:ascii="Palatino Linotype" w:eastAsia="Times New Roman" w:hAnsi="Palatino Linotype" w:cs="Times New Roman"/>
          <w:b/>
          <w:color w:val="000000" w:themeColor="text1"/>
          <w:sz w:val="26"/>
          <w:szCs w:val="26"/>
          <w:lang w:val="es-ES_tradnl" w:eastAsia="es-MX"/>
        </w:rPr>
        <w:t>Estudio y resolución del asunto.</w:t>
      </w:r>
    </w:p>
    <w:p w14:paraId="4FAC00A8" w14:textId="36CBC360" w:rsidR="00A916EF" w:rsidRPr="0084376C"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w:t>
      </w:r>
      <w:r w:rsidR="007E1227">
        <w:rPr>
          <w:rFonts w:ascii="Palatino Linotype" w:eastAsia="Times New Roman" w:hAnsi="Palatino Linotype" w:cs="Palatino Linotype"/>
          <w:color w:val="000000"/>
          <w:sz w:val="24"/>
          <w:szCs w:val="24"/>
          <w:lang w:val="es-ES_tradnl" w:eastAsia="es-MX"/>
        </w:rPr>
        <w:t xml:space="preserve"> </w:t>
      </w:r>
      <w:proofErr w:type="spellStart"/>
      <w:r w:rsidR="007E1227">
        <w:rPr>
          <w:rFonts w:ascii="Palatino Linotype" w:eastAsia="Times New Roman" w:hAnsi="Palatino Linotype" w:cs="Palatino Linotype"/>
          <w:color w:val="000000"/>
          <w:sz w:val="24"/>
          <w:szCs w:val="24"/>
          <w:lang w:val="es-ES_tradnl" w:eastAsia="es-MX"/>
        </w:rPr>
        <w:t>Cosntitución</w:t>
      </w:r>
      <w:proofErr w:type="spellEnd"/>
      <w:r w:rsidRPr="00F444C4">
        <w:rPr>
          <w:rFonts w:ascii="Palatino Linotype" w:eastAsia="Times New Roman" w:hAnsi="Palatino Linotype" w:cs="Palatino Linotype"/>
          <w:color w:val="000000"/>
          <w:sz w:val="24"/>
          <w:szCs w:val="24"/>
          <w:lang w:val="es-ES_tradnl" w:eastAsia="es-MX"/>
        </w:rPr>
        <w:t xml:space="preserve"> Local y demás leyes aplicables en la materia, así como en los tratados internacionales en los que el Estado Mexicano sea </w:t>
      </w:r>
      <w:r w:rsidRPr="0084376C">
        <w:rPr>
          <w:rFonts w:ascii="Palatino Linotype" w:eastAsia="Times New Roman" w:hAnsi="Palatino Linotype" w:cs="Palatino Linotype"/>
          <w:color w:val="000000"/>
          <w:sz w:val="24"/>
          <w:szCs w:val="24"/>
          <w:lang w:val="es-ES_tradnl" w:eastAsia="es-MX"/>
        </w:rPr>
        <w:t>parte, en concordancia con el párrafo tercero del artículo 1 de la Constitución Federal y el diverso 8 de la Ley de Transparencia local.</w:t>
      </w:r>
    </w:p>
    <w:p w14:paraId="480160D7" w14:textId="77777777" w:rsidR="00F222E0" w:rsidRPr="0084376C" w:rsidRDefault="00F222E0"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4A2048D" w14:textId="77777777" w:rsidR="00A916EF" w:rsidRPr="0084376C"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84376C">
        <w:rPr>
          <w:rFonts w:ascii="Palatino Linotype" w:eastAsia="Times New Roman" w:hAnsi="Palatino Linotype" w:cs="Palatino Linotype"/>
          <w:color w:val="000000"/>
          <w:sz w:val="24"/>
          <w:szCs w:val="24"/>
          <w:lang w:val="es-ES_tradnl" w:eastAsia="es-MX"/>
        </w:rPr>
        <w:t>Por tanto, es conveniente recordar que el hoy Recurrente requirió del Sujeto Obligado, de la actual administración, lo siguiente:</w:t>
      </w:r>
    </w:p>
    <w:p w14:paraId="4E3272A9" w14:textId="1F649AB6" w:rsidR="003C2B2B" w:rsidRDefault="00951658" w:rsidP="003C2B2B">
      <w:pPr>
        <w:spacing w:after="0" w:line="360" w:lineRule="auto"/>
        <w:contextualSpacing/>
        <w:jc w:val="both"/>
        <w:rPr>
          <w:rFonts w:ascii="Palatino Linotype" w:eastAsia="Times New Roman" w:hAnsi="Palatino Linotype" w:cs="Palatino Linotype"/>
          <w:color w:val="000000"/>
          <w:sz w:val="24"/>
          <w:szCs w:val="24"/>
          <w:lang w:val="es-ES_tradnl" w:eastAsia="es-MX"/>
        </w:rPr>
      </w:pPr>
      <w:r>
        <w:rPr>
          <w:rFonts w:ascii="Palatino Linotype" w:eastAsia="Times New Roman" w:hAnsi="Palatino Linotype" w:cs="Palatino Linotype"/>
          <w:color w:val="000000"/>
          <w:sz w:val="24"/>
          <w:szCs w:val="24"/>
          <w:lang w:val="es-ES_tradnl" w:eastAsia="es-MX"/>
        </w:rPr>
        <w:t>…Sobre</w:t>
      </w:r>
      <w:r w:rsidR="003C2B2B" w:rsidRPr="003C2B2B">
        <w:rPr>
          <w:rFonts w:ascii="Palatino Linotype" w:eastAsia="Times New Roman" w:hAnsi="Palatino Linotype" w:cs="Palatino Linotype"/>
          <w:color w:val="000000"/>
          <w:sz w:val="24"/>
          <w:szCs w:val="24"/>
          <w:lang w:val="es-ES_tradnl" w:eastAsia="es-MX"/>
        </w:rPr>
        <w:t xml:space="preserve"> a las acciones que el Área de Ordenamiento Comercial está implementando o tiene previstas para garantizar el libre tránsito en el Callejón Sor Juana, el cual es una vía importante hacia el mercado municipal. </w:t>
      </w:r>
    </w:p>
    <w:p w14:paraId="26CEDB24" w14:textId="77777777" w:rsidR="003C2B2B" w:rsidRPr="003C2B2B" w:rsidRDefault="003C2B2B" w:rsidP="003C2B2B">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AD4CC50" w14:textId="0065ABFE" w:rsidR="00CE7389" w:rsidRDefault="003C2B2B" w:rsidP="003C2B2B">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3C2B2B">
        <w:rPr>
          <w:rFonts w:ascii="Palatino Linotype" w:eastAsia="Times New Roman" w:hAnsi="Palatino Linotype" w:cs="Palatino Linotype"/>
          <w:color w:val="000000"/>
          <w:sz w:val="24"/>
          <w:szCs w:val="24"/>
          <w:lang w:val="es-ES_tradnl" w:eastAsia="es-MX"/>
        </w:rPr>
        <w:t>Actualmente, locatarios con establecimiento propio ocupan parte del callejón para exhibir mercancía, lo que provoca una obstrucción del paso peatonal, afectando principalmente los días de mayor afluencia, como los fines de semana cuando se instala el tianguis.</w:t>
      </w:r>
    </w:p>
    <w:p w14:paraId="76F56DFA" w14:textId="77777777" w:rsidR="00951658" w:rsidRDefault="00951658" w:rsidP="00951658">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EE3CD86" w14:textId="22CEEA0B" w:rsidR="00951658" w:rsidRDefault="00951658" w:rsidP="0095165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951658">
        <w:rPr>
          <w:rFonts w:ascii="Palatino Linotype" w:eastAsia="Times New Roman" w:hAnsi="Palatino Linotype" w:cs="Palatino Linotype"/>
          <w:color w:val="000000"/>
          <w:sz w:val="24"/>
          <w:szCs w:val="24"/>
          <w:lang w:val="es-ES_tradnl" w:eastAsia="es-MX"/>
        </w:rPr>
        <w:t xml:space="preserve">Por lo anterior, solicito conocer: </w:t>
      </w:r>
    </w:p>
    <w:p w14:paraId="6338DEF2" w14:textId="77777777" w:rsidR="00951658" w:rsidRPr="00951658" w:rsidRDefault="00951658" w:rsidP="00951658">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4507D79" w14:textId="77777777" w:rsidR="00951658" w:rsidRPr="00130BC9" w:rsidRDefault="00951658" w:rsidP="0095165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30BC9">
        <w:rPr>
          <w:rFonts w:ascii="Palatino Linotype" w:eastAsia="Times New Roman" w:hAnsi="Palatino Linotype" w:cs="Palatino Linotype"/>
          <w:color w:val="000000"/>
          <w:sz w:val="24"/>
          <w:szCs w:val="24"/>
          <w:lang w:val="es-ES_tradnl" w:eastAsia="es-MX"/>
        </w:rPr>
        <w:lastRenderedPageBreak/>
        <w:t>1.</w:t>
      </w:r>
      <w:r w:rsidRPr="00130BC9">
        <w:rPr>
          <w:rFonts w:ascii="Palatino Linotype" w:eastAsia="Times New Roman" w:hAnsi="Palatino Linotype" w:cs="Palatino Linotype"/>
          <w:color w:val="000000"/>
          <w:sz w:val="24"/>
          <w:szCs w:val="24"/>
          <w:lang w:val="es-ES_tradnl" w:eastAsia="es-MX"/>
        </w:rPr>
        <w:tab/>
        <w:t xml:space="preserve">¿Qué medidas está implementando el Área de Ordenamiento Comercial para evitar la invasión del espacio público en el Callejón Sor Juana? </w:t>
      </w:r>
    </w:p>
    <w:p w14:paraId="7EEA6518" w14:textId="77777777" w:rsidR="00951658" w:rsidRPr="00130BC9" w:rsidRDefault="00951658" w:rsidP="0095165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30BC9">
        <w:rPr>
          <w:rFonts w:ascii="Palatino Linotype" w:eastAsia="Times New Roman" w:hAnsi="Palatino Linotype" w:cs="Palatino Linotype"/>
          <w:color w:val="000000"/>
          <w:sz w:val="24"/>
          <w:szCs w:val="24"/>
          <w:lang w:val="es-ES_tradnl" w:eastAsia="es-MX"/>
        </w:rPr>
        <w:t>2.</w:t>
      </w:r>
      <w:r w:rsidRPr="00130BC9">
        <w:rPr>
          <w:rFonts w:ascii="Palatino Linotype" w:eastAsia="Times New Roman" w:hAnsi="Palatino Linotype" w:cs="Palatino Linotype"/>
          <w:color w:val="000000"/>
          <w:sz w:val="24"/>
          <w:szCs w:val="24"/>
          <w:lang w:val="es-ES_tradnl" w:eastAsia="es-MX"/>
        </w:rPr>
        <w:tab/>
        <w:t xml:space="preserve">¿Existen sanciones o reglamentos específicos que regulen esta situación? </w:t>
      </w:r>
    </w:p>
    <w:p w14:paraId="01353745" w14:textId="77777777" w:rsidR="00951658" w:rsidRPr="00130BC9" w:rsidRDefault="00951658" w:rsidP="0095165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30BC9">
        <w:rPr>
          <w:rFonts w:ascii="Palatino Linotype" w:eastAsia="Times New Roman" w:hAnsi="Palatino Linotype" w:cs="Palatino Linotype"/>
          <w:color w:val="000000"/>
          <w:sz w:val="24"/>
          <w:szCs w:val="24"/>
          <w:lang w:val="es-ES_tradnl" w:eastAsia="es-MX"/>
        </w:rPr>
        <w:t>3.</w:t>
      </w:r>
      <w:r w:rsidRPr="00130BC9">
        <w:rPr>
          <w:rFonts w:ascii="Palatino Linotype" w:eastAsia="Times New Roman" w:hAnsi="Palatino Linotype" w:cs="Palatino Linotype"/>
          <w:color w:val="000000"/>
          <w:sz w:val="24"/>
          <w:szCs w:val="24"/>
          <w:lang w:val="es-ES_tradnl" w:eastAsia="es-MX"/>
        </w:rPr>
        <w:tab/>
        <w:t xml:space="preserve">¿Cuántas inspecciones se han realizado en los últimos meses en esta zona y cuáles han sido sus resultados? </w:t>
      </w:r>
    </w:p>
    <w:p w14:paraId="7195F4C1" w14:textId="77777777" w:rsidR="00951658" w:rsidRPr="00130BC9" w:rsidRDefault="00951658" w:rsidP="0095165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30BC9">
        <w:rPr>
          <w:rFonts w:ascii="Palatino Linotype" w:eastAsia="Times New Roman" w:hAnsi="Palatino Linotype" w:cs="Palatino Linotype"/>
          <w:color w:val="000000"/>
          <w:sz w:val="24"/>
          <w:szCs w:val="24"/>
          <w:lang w:val="es-ES_tradnl" w:eastAsia="es-MX"/>
        </w:rPr>
        <w:t>4.</w:t>
      </w:r>
      <w:r w:rsidRPr="00130BC9">
        <w:rPr>
          <w:rFonts w:ascii="Palatino Linotype" w:eastAsia="Times New Roman" w:hAnsi="Palatino Linotype" w:cs="Palatino Linotype"/>
          <w:color w:val="000000"/>
          <w:sz w:val="24"/>
          <w:szCs w:val="24"/>
          <w:lang w:val="es-ES_tradnl" w:eastAsia="es-MX"/>
        </w:rPr>
        <w:tab/>
        <w:t xml:space="preserve">¿A partir de cuándo se implementarán medidas concretas para liberar el tránsito en este callejón?  </w:t>
      </w:r>
    </w:p>
    <w:p w14:paraId="7A342AB2" w14:textId="20DB9424" w:rsidR="003C2B2B" w:rsidRPr="0084376C" w:rsidRDefault="00951658" w:rsidP="0095165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30BC9">
        <w:rPr>
          <w:rFonts w:ascii="Palatino Linotype" w:eastAsia="Times New Roman" w:hAnsi="Palatino Linotype" w:cs="Palatino Linotype"/>
          <w:color w:val="000000"/>
          <w:sz w:val="24"/>
          <w:szCs w:val="24"/>
          <w:lang w:val="es-ES_tradnl" w:eastAsia="es-MX"/>
        </w:rPr>
        <w:t>5.</w:t>
      </w:r>
      <w:r w:rsidRPr="00130BC9">
        <w:rPr>
          <w:rFonts w:ascii="Palatino Linotype" w:eastAsia="Times New Roman" w:hAnsi="Palatino Linotype" w:cs="Palatino Linotype"/>
          <w:color w:val="000000"/>
          <w:sz w:val="24"/>
          <w:szCs w:val="24"/>
          <w:lang w:val="es-ES_tradnl" w:eastAsia="es-MX"/>
        </w:rPr>
        <w:tab/>
        <w:t>¿Qué mecanismos existen para que la ciudadanía pueda reportar esta problemática y qué seguimiento se les da a estas quejas?</w:t>
      </w:r>
    </w:p>
    <w:p w14:paraId="0B429A9B" w14:textId="77777777" w:rsidR="00B75C94" w:rsidRPr="0084376C" w:rsidRDefault="00B75C94" w:rsidP="00B75C94">
      <w:pPr>
        <w:pStyle w:val="Prrafodelista"/>
        <w:ind w:left="1080"/>
        <w:contextualSpacing/>
        <w:rPr>
          <w:rFonts w:cs="Palatino Linotype"/>
          <w:color w:val="000000"/>
          <w:lang w:val="es-ES_tradnl" w:eastAsia="es-MX"/>
        </w:rPr>
      </w:pPr>
    </w:p>
    <w:p w14:paraId="404EB823" w14:textId="44B14F6C" w:rsidR="009A1F0E" w:rsidRDefault="00A916EF" w:rsidP="0000005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Por lo que atento a la solicitud de información el Sujeto Obligado</w:t>
      </w:r>
      <w:r w:rsidR="00E53BEC">
        <w:rPr>
          <w:rFonts w:ascii="Palatino Linotype" w:eastAsia="Times New Roman" w:hAnsi="Palatino Linotype" w:cs="Palatino Linotype"/>
          <w:color w:val="000000"/>
          <w:sz w:val="24"/>
          <w:szCs w:val="24"/>
          <w:lang w:val="es-ES_tradnl" w:eastAsia="es-MX"/>
        </w:rPr>
        <w:t>,</w:t>
      </w:r>
      <w:r w:rsidR="003925CF">
        <w:rPr>
          <w:rFonts w:ascii="Palatino Linotype" w:eastAsia="Times New Roman" w:hAnsi="Palatino Linotype" w:cs="Palatino Linotype"/>
          <w:color w:val="000000"/>
          <w:sz w:val="24"/>
          <w:szCs w:val="24"/>
          <w:lang w:val="es-ES_tradnl" w:eastAsia="es-MX"/>
        </w:rPr>
        <w:t xml:space="preserve"> turnó la solicitud al servidor público habilitado, y quien por conducto</w:t>
      </w:r>
      <w:r w:rsidR="00E53BEC">
        <w:rPr>
          <w:rFonts w:ascii="Palatino Linotype" w:eastAsia="Times New Roman" w:hAnsi="Palatino Linotype" w:cs="Palatino Linotype"/>
          <w:color w:val="000000"/>
          <w:sz w:val="24"/>
          <w:szCs w:val="24"/>
          <w:lang w:val="es-ES_tradnl" w:eastAsia="es-MX"/>
        </w:rPr>
        <w:t xml:space="preserve"> del Titular de la Unidad de Transparencia </w:t>
      </w:r>
      <w:r w:rsidR="003925CF">
        <w:rPr>
          <w:rFonts w:ascii="Palatino Linotype" w:eastAsia="Times New Roman" w:hAnsi="Palatino Linotype" w:cs="Palatino Linotype"/>
          <w:color w:val="000000"/>
          <w:sz w:val="24"/>
          <w:szCs w:val="24"/>
          <w:lang w:val="es-ES_tradnl" w:eastAsia="es-MX"/>
        </w:rPr>
        <w:t>notificó</w:t>
      </w:r>
      <w:r w:rsidR="00BA7A38">
        <w:rPr>
          <w:rFonts w:ascii="Palatino Linotype" w:eastAsia="Times New Roman" w:hAnsi="Palatino Linotype" w:cs="Palatino Linotype"/>
          <w:color w:val="000000"/>
          <w:sz w:val="24"/>
          <w:szCs w:val="24"/>
          <w:lang w:val="es-ES_tradnl" w:eastAsia="es-MX"/>
        </w:rPr>
        <w:t xml:space="preserve"> su respuesta en el SAIMEX, la cual versa en:</w:t>
      </w:r>
    </w:p>
    <w:p w14:paraId="419C434E" w14:textId="77777777" w:rsidR="00BA7A38" w:rsidRDefault="00BA7A38" w:rsidP="0000005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F2D9BAD" w14:textId="44C666C8" w:rsidR="00BA7A38" w:rsidRPr="00BA7A38" w:rsidRDefault="00BA7A38" w:rsidP="00BA7A38">
      <w:pPr>
        <w:spacing w:after="0" w:line="360" w:lineRule="auto"/>
        <w:ind w:left="709" w:right="565"/>
        <w:contextualSpacing/>
        <w:jc w:val="both"/>
        <w:rPr>
          <w:rFonts w:ascii="Palatino Linotype" w:eastAsia="Times New Roman" w:hAnsi="Palatino Linotype" w:cs="Palatino Linotype"/>
          <w:i/>
          <w:iCs/>
          <w:color w:val="000000"/>
          <w:sz w:val="24"/>
          <w:szCs w:val="24"/>
          <w:lang w:val="es-ES_tradnl" w:eastAsia="es-MX"/>
        </w:rPr>
      </w:pPr>
      <w:r w:rsidRPr="00BA7A38">
        <w:rPr>
          <w:rFonts w:ascii="Palatino Linotype" w:eastAsia="Times New Roman" w:hAnsi="Palatino Linotype" w:cs="Palatino Linotype"/>
          <w:i/>
          <w:iCs/>
          <w:color w:val="000000"/>
          <w:sz w:val="24"/>
          <w:szCs w:val="24"/>
          <w:lang w:val="es-ES_tradnl" w:eastAsia="es-MX"/>
        </w:rPr>
        <w:t>“</w:t>
      </w:r>
      <w:r w:rsidRPr="00052C0D">
        <w:rPr>
          <w:rFonts w:ascii="Palatino Linotype" w:eastAsia="Times New Roman" w:hAnsi="Palatino Linotype" w:cs="Palatino Linotype"/>
          <w:i/>
          <w:iCs/>
          <w:color w:val="000000"/>
          <w:sz w:val="24"/>
          <w:szCs w:val="24"/>
          <w:u w:val="single"/>
          <w:lang w:val="es-ES_tradnl" w:eastAsia="es-MX"/>
        </w:rPr>
        <w:t>Se instalo la Mesa de Diálogo Permanente con los líderes comerciantes, dónde se acordó el Programa de Ordenamiento Comercial</w:t>
      </w:r>
      <w:r w:rsidRPr="00BA7A38">
        <w:rPr>
          <w:rFonts w:ascii="Palatino Linotype" w:eastAsia="Times New Roman" w:hAnsi="Palatino Linotype" w:cs="Palatino Linotype"/>
          <w:i/>
          <w:iCs/>
          <w:color w:val="000000"/>
          <w:sz w:val="24"/>
          <w:szCs w:val="24"/>
          <w:lang w:val="es-ES_tradnl" w:eastAsia="es-MX"/>
        </w:rPr>
        <w:t xml:space="preserve">. El punto del callejón Sor Juana es parte integrante del programa. Se tiene proyectado la ampliación del mercado "San Judas Tadeo" en el cual se reubicará al comercio del primer cuadro. </w:t>
      </w:r>
      <w:proofErr w:type="gramStart"/>
      <w:r w:rsidRPr="00BA7A38">
        <w:rPr>
          <w:rFonts w:ascii="Palatino Linotype" w:eastAsia="Times New Roman" w:hAnsi="Palatino Linotype" w:cs="Palatino Linotype"/>
          <w:i/>
          <w:iCs/>
          <w:color w:val="000000"/>
          <w:sz w:val="24"/>
          <w:szCs w:val="24"/>
          <w:lang w:val="es-ES_tradnl" w:eastAsia="es-MX"/>
        </w:rPr>
        <w:t>la</w:t>
      </w:r>
      <w:proofErr w:type="gramEnd"/>
      <w:r w:rsidRPr="00BA7A38">
        <w:rPr>
          <w:rFonts w:ascii="Palatino Linotype" w:eastAsia="Times New Roman" w:hAnsi="Palatino Linotype" w:cs="Palatino Linotype"/>
          <w:i/>
          <w:iCs/>
          <w:color w:val="000000"/>
          <w:sz w:val="24"/>
          <w:szCs w:val="24"/>
          <w:lang w:val="es-ES_tradnl" w:eastAsia="es-MX"/>
        </w:rPr>
        <w:t xml:space="preserve"> obra está a cargo del Gobierno del Estado de México. (</w:t>
      </w:r>
      <w:proofErr w:type="gramStart"/>
      <w:r w:rsidRPr="00BA7A38">
        <w:rPr>
          <w:rFonts w:ascii="Palatino Linotype" w:eastAsia="Times New Roman" w:hAnsi="Palatino Linotype" w:cs="Palatino Linotype"/>
          <w:i/>
          <w:iCs/>
          <w:color w:val="000000"/>
          <w:sz w:val="24"/>
          <w:szCs w:val="24"/>
          <w:lang w:val="es-ES_tradnl" w:eastAsia="es-MX"/>
        </w:rPr>
        <w:t>por</w:t>
      </w:r>
      <w:proofErr w:type="gramEnd"/>
      <w:r w:rsidRPr="00BA7A38">
        <w:rPr>
          <w:rFonts w:ascii="Palatino Linotype" w:eastAsia="Times New Roman" w:hAnsi="Palatino Linotype" w:cs="Palatino Linotype"/>
          <w:i/>
          <w:iCs/>
          <w:color w:val="000000"/>
          <w:sz w:val="24"/>
          <w:szCs w:val="24"/>
          <w:lang w:val="es-ES_tradnl" w:eastAsia="es-MX"/>
        </w:rPr>
        <w:t xml:space="preserve"> lo cual no contamos con fecha específica). Se realizan inspecciones diarias.”</w:t>
      </w:r>
    </w:p>
    <w:p w14:paraId="135AC412" w14:textId="77777777" w:rsidR="00BA7A38" w:rsidRDefault="00BA7A38" w:rsidP="0000005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0004E7C" w14:textId="48E2C7A5" w:rsidR="00B932DB" w:rsidRPr="00AA2841" w:rsidRDefault="00A916EF" w:rsidP="00AA2841">
      <w:pPr>
        <w:spacing w:line="360" w:lineRule="auto"/>
        <w:jc w:val="both"/>
        <w:rPr>
          <w:rFonts w:ascii="Times New Roman" w:eastAsia="Times New Roman" w:hAnsi="Times New Roman" w:cs="Times New Roman"/>
          <w:sz w:val="24"/>
          <w:szCs w:val="24"/>
          <w:lang w:eastAsia="es-MX"/>
        </w:rPr>
      </w:pPr>
      <w:r w:rsidRPr="00F444C4">
        <w:rPr>
          <w:rFonts w:ascii="Palatino Linotype" w:eastAsia="Times New Roman" w:hAnsi="Palatino Linotype" w:cs="Palatino Linotype"/>
          <w:color w:val="000000"/>
          <w:sz w:val="24"/>
          <w:lang w:val="es-ES_tradnl" w:eastAsia="es-MX"/>
        </w:rPr>
        <w:t xml:space="preserve">Ante la respuesta emitida por el Sujeto Obligado, el Recurrente consideró que su derecho a la información pública había sido conculcado, por lo que interpuso el recurso de revisión al rubro citado, señalando como </w:t>
      </w:r>
      <w:r w:rsidRPr="00BF1577">
        <w:rPr>
          <w:rFonts w:ascii="Palatino Linotype" w:eastAsia="Times New Roman" w:hAnsi="Palatino Linotype" w:cs="Palatino Linotype"/>
          <w:b/>
          <w:bCs/>
          <w:color w:val="000000"/>
          <w:sz w:val="24"/>
          <w:lang w:val="es-ES_tradnl" w:eastAsia="es-MX"/>
        </w:rPr>
        <w:t>acto impugnado</w:t>
      </w:r>
      <w:r w:rsidR="00BD6BDD">
        <w:rPr>
          <w:rFonts w:ascii="Palatino Linotype" w:eastAsia="Times New Roman" w:hAnsi="Palatino Linotype" w:cs="Palatino Linotype"/>
          <w:color w:val="000000"/>
          <w:sz w:val="24"/>
          <w:lang w:val="es-ES_tradnl" w:eastAsia="es-MX"/>
        </w:rPr>
        <w:t>: “</w:t>
      </w:r>
      <w:r w:rsidR="00BF1577" w:rsidRPr="00BF1577">
        <w:rPr>
          <w:rFonts w:ascii="Palatino Linotype" w:eastAsia="Times New Roman" w:hAnsi="Palatino Linotype" w:cs="Palatino Linotype"/>
          <w:i/>
          <w:iCs/>
          <w:color w:val="000000"/>
          <w:sz w:val="24"/>
          <w:lang w:val="es-ES_tradnl" w:eastAsia="es-MX"/>
        </w:rPr>
        <w:t xml:space="preserve">La resolución emitida por la </w:t>
      </w:r>
      <w:r w:rsidR="00BF1577" w:rsidRPr="00BF1577">
        <w:rPr>
          <w:rFonts w:ascii="Palatino Linotype" w:eastAsia="Times New Roman" w:hAnsi="Palatino Linotype" w:cs="Palatino Linotype"/>
          <w:i/>
          <w:iCs/>
          <w:color w:val="000000"/>
          <w:sz w:val="24"/>
          <w:lang w:val="es-ES_tradnl" w:eastAsia="es-MX"/>
        </w:rPr>
        <w:lastRenderedPageBreak/>
        <w:t>autoridad en respuesta a la solicitud de transparencia, en la cual se limita a informar de manera general sobre la integración del Callejón Sor Juana al Programa de Ordenamiento Comercial, la existencia de una Mesa de Diálogo Permanente, la realización de inspecciones diarias y la proyección de la ampliación del mercado "San Judas Tadeo" sin proporcionar detalles concretos sobre: Las medidas específicas para garantizar el libre tránsito en el Callejón Sor Juana. Las sanciones o reglamentos aplicables a los negocios que obstruyen la vía. El número y resultados de las inspecciones realizadas. Los mecanismos de reporte y seguimiento de las quejas ciudadanas.</w:t>
      </w:r>
      <w:r w:rsidR="00BD6BDD">
        <w:rPr>
          <w:rFonts w:ascii="Palatino Linotype" w:eastAsia="Times New Roman" w:hAnsi="Palatino Linotype" w:cs="Palatino Linotype"/>
          <w:color w:val="000000"/>
          <w:sz w:val="24"/>
          <w:lang w:val="es-ES_tradnl" w:eastAsia="es-MX"/>
        </w:rPr>
        <w:t>”</w:t>
      </w:r>
      <w:r w:rsidRPr="00F444C4">
        <w:rPr>
          <w:rFonts w:ascii="Palatino Linotype" w:eastAsia="Times New Roman" w:hAnsi="Palatino Linotype" w:cs="Palatino Linotype"/>
          <w:color w:val="000000"/>
          <w:sz w:val="24"/>
          <w:lang w:val="es-ES_tradnl" w:eastAsia="es-MX"/>
        </w:rPr>
        <w:t xml:space="preserve"> </w:t>
      </w:r>
      <w:r w:rsidR="00B932DB">
        <w:rPr>
          <w:rFonts w:ascii="Palatino Linotype" w:eastAsia="Times New Roman" w:hAnsi="Palatino Linotype" w:cs="Palatino Linotype"/>
          <w:color w:val="000000"/>
          <w:sz w:val="24"/>
          <w:lang w:val="es-ES_tradnl" w:eastAsia="es-MX"/>
        </w:rPr>
        <w:t xml:space="preserve">y como </w:t>
      </w:r>
      <w:r w:rsidR="00B932DB" w:rsidRPr="00BF1577">
        <w:rPr>
          <w:rFonts w:ascii="Palatino Linotype" w:eastAsia="Times New Roman" w:hAnsi="Palatino Linotype" w:cs="Palatino Linotype"/>
          <w:b/>
          <w:bCs/>
          <w:color w:val="000000"/>
          <w:sz w:val="24"/>
          <w:lang w:val="es-ES_tradnl" w:eastAsia="es-MX"/>
        </w:rPr>
        <w:t>motivos de inconformidad</w:t>
      </w:r>
      <w:r w:rsidR="00AA2841">
        <w:rPr>
          <w:rFonts w:ascii="Palatino Linotype" w:eastAsia="Times New Roman" w:hAnsi="Palatino Linotype" w:cs="Palatino Linotype"/>
          <w:color w:val="000000"/>
          <w:sz w:val="24"/>
          <w:lang w:val="es-ES_tradnl" w:eastAsia="es-MX"/>
        </w:rPr>
        <w:t>:</w:t>
      </w:r>
      <w:r w:rsidR="00B932DB">
        <w:rPr>
          <w:rFonts w:ascii="Palatino Linotype" w:eastAsia="Times New Roman" w:hAnsi="Palatino Linotype" w:cs="Palatino Linotype"/>
          <w:color w:val="000000"/>
          <w:sz w:val="24"/>
          <w:lang w:val="es-ES_tradnl" w:eastAsia="es-MX"/>
        </w:rPr>
        <w:t xml:space="preserve"> </w:t>
      </w:r>
      <w:r w:rsidR="00381837" w:rsidRPr="00AA2841">
        <w:rPr>
          <w:rFonts w:ascii="Palatino Linotype" w:eastAsia="Times New Roman" w:hAnsi="Palatino Linotype" w:cs="Palatino Linotype"/>
          <w:i/>
          <w:iCs/>
          <w:color w:val="000000"/>
          <w:sz w:val="24"/>
          <w:lang w:val="es-ES_tradnl" w:eastAsia="es-MX"/>
        </w:rPr>
        <w:t>“</w:t>
      </w:r>
      <w:r w:rsidR="00BF1577" w:rsidRPr="00130BC9">
        <w:rPr>
          <w:rFonts w:ascii="Palatino Linotype" w:eastAsia="Times New Roman" w:hAnsi="Palatino Linotype" w:cs="Palatino Linotype"/>
          <w:i/>
          <w:iCs/>
          <w:color w:val="000000"/>
          <w:sz w:val="24"/>
          <w:u w:val="single"/>
          <w:lang w:val="es-ES_tradnl" w:eastAsia="es-MX"/>
        </w:rPr>
        <w:t>Omisión de Información Esencial</w:t>
      </w:r>
      <w:r w:rsidR="00BF1577" w:rsidRPr="00130BC9">
        <w:rPr>
          <w:rFonts w:ascii="Palatino Linotype" w:eastAsia="Times New Roman" w:hAnsi="Palatino Linotype" w:cs="Palatino Linotype"/>
          <w:i/>
          <w:iCs/>
          <w:color w:val="000000"/>
          <w:sz w:val="24"/>
          <w:lang w:val="es-ES_tradnl" w:eastAsia="es-MX"/>
        </w:rPr>
        <w:t xml:space="preserve">: No se detallan las acciones específicas implementadas o previstas para evitar la ocupación indebida del espacio público en el Callejón Sor Juana, limitándose a mencionar acciones generales sin concreción. </w:t>
      </w:r>
      <w:r w:rsidR="00BF1577" w:rsidRPr="00130BC9">
        <w:rPr>
          <w:rFonts w:ascii="Palatino Linotype" w:eastAsia="Times New Roman" w:hAnsi="Palatino Linotype" w:cs="Palatino Linotype"/>
          <w:i/>
          <w:iCs/>
          <w:color w:val="000000"/>
          <w:sz w:val="24"/>
          <w:u w:val="single"/>
          <w:lang w:val="es-ES_tradnl" w:eastAsia="es-MX"/>
        </w:rPr>
        <w:t>Falta de Datos sobre Inspecciones y Resultados</w:t>
      </w:r>
      <w:r w:rsidR="00BF1577" w:rsidRPr="00130BC9">
        <w:rPr>
          <w:rFonts w:ascii="Palatino Linotype" w:eastAsia="Times New Roman" w:hAnsi="Palatino Linotype" w:cs="Palatino Linotype"/>
          <w:i/>
          <w:iCs/>
          <w:color w:val="000000"/>
          <w:sz w:val="24"/>
          <w:lang w:val="es-ES_tradnl" w:eastAsia="es-MX"/>
        </w:rPr>
        <w:t xml:space="preserve">: La respuesta indica que se realizan inspecciones diarias, pero no se aporta información sobre el número de inspecciones realizadas en los últimos meses ni los resultados obtenidos, lo que impide evaluar la eficacia de las medidas. </w:t>
      </w:r>
      <w:r w:rsidR="00BF1577" w:rsidRPr="00130BC9">
        <w:rPr>
          <w:rFonts w:ascii="Palatino Linotype" w:eastAsia="Times New Roman" w:hAnsi="Palatino Linotype" w:cs="Palatino Linotype"/>
          <w:i/>
          <w:iCs/>
          <w:color w:val="000000"/>
          <w:sz w:val="24"/>
          <w:u w:val="single"/>
          <w:lang w:val="es-ES_tradnl" w:eastAsia="es-MX"/>
        </w:rPr>
        <w:t>Ausencia de Información sobre Sanciones y Reglamentos</w:t>
      </w:r>
      <w:r w:rsidR="00BF1577" w:rsidRPr="00130BC9">
        <w:rPr>
          <w:rFonts w:ascii="Palatino Linotype" w:eastAsia="Times New Roman" w:hAnsi="Palatino Linotype" w:cs="Palatino Linotype"/>
          <w:i/>
          <w:iCs/>
          <w:color w:val="000000"/>
          <w:sz w:val="24"/>
          <w:lang w:val="es-ES_tradnl" w:eastAsia="es-MX"/>
        </w:rPr>
        <w:t xml:space="preserve">: No se ofrece información sobre las sanciones o reglamentos específicos que regulen la situación de los negocios que obstaculizan el libre tránsito en la vía. </w:t>
      </w:r>
      <w:r w:rsidR="00BF1577" w:rsidRPr="00130BC9">
        <w:rPr>
          <w:rFonts w:ascii="Palatino Linotype" w:eastAsia="Times New Roman" w:hAnsi="Palatino Linotype" w:cs="Palatino Linotype"/>
          <w:i/>
          <w:iCs/>
          <w:color w:val="000000"/>
          <w:sz w:val="24"/>
          <w:u w:val="single"/>
          <w:lang w:val="es-ES_tradnl" w:eastAsia="es-MX"/>
        </w:rPr>
        <w:t>Indefinición en el Cronograma de Medidas Concretas</w:t>
      </w:r>
      <w:r w:rsidR="00BF1577" w:rsidRPr="00130BC9">
        <w:rPr>
          <w:rFonts w:ascii="Palatino Linotype" w:eastAsia="Times New Roman" w:hAnsi="Palatino Linotype" w:cs="Palatino Linotype"/>
          <w:i/>
          <w:iCs/>
          <w:color w:val="000000"/>
          <w:sz w:val="24"/>
          <w:lang w:val="es-ES_tradnl" w:eastAsia="es-MX"/>
        </w:rPr>
        <w:t xml:space="preserve">: Aunque se menciona la ampliación del mercado "San Judas Tadeo" como parte de la solución, no se proporciona una fecha concreta ni un cronograma que permita conocer cuándo se implementarán medidas definitivas para liberar el tránsito. </w:t>
      </w:r>
      <w:r w:rsidR="00BF1577" w:rsidRPr="00130BC9">
        <w:rPr>
          <w:rFonts w:ascii="Palatino Linotype" w:eastAsia="Times New Roman" w:hAnsi="Palatino Linotype" w:cs="Palatino Linotype"/>
          <w:i/>
          <w:iCs/>
          <w:color w:val="000000"/>
          <w:sz w:val="24"/>
          <w:u w:val="single"/>
          <w:lang w:val="es-ES_tradnl" w:eastAsia="es-MX"/>
        </w:rPr>
        <w:t>Falta de Mecanismos de Reporte y Seguimiento</w:t>
      </w:r>
      <w:r w:rsidR="00BF1577" w:rsidRPr="00BF1577">
        <w:rPr>
          <w:rFonts w:ascii="Palatino Linotype" w:eastAsia="Times New Roman" w:hAnsi="Palatino Linotype" w:cs="Palatino Linotype"/>
          <w:i/>
          <w:iCs/>
          <w:color w:val="000000"/>
          <w:sz w:val="24"/>
          <w:lang w:val="es-ES_tradnl" w:eastAsia="es-MX"/>
        </w:rPr>
        <w:t>: No se informa sobre los canales o mecanismos que permiten a la ciudadanía reportar la problemática ni sobre el seguimiento que se da a dichas quejas.</w:t>
      </w:r>
      <w:r w:rsidR="00381837" w:rsidRPr="00AA2841">
        <w:rPr>
          <w:rFonts w:ascii="Palatino Linotype" w:eastAsia="Times New Roman" w:hAnsi="Palatino Linotype" w:cs="Palatino Linotype"/>
          <w:i/>
          <w:iCs/>
          <w:color w:val="000000"/>
          <w:sz w:val="24"/>
          <w:lang w:val="es-ES_tradnl" w:eastAsia="es-MX"/>
        </w:rPr>
        <w:t>”</w:t>
      </w:r>
      <w:r w:rsidRPr="00F444C4">
        <w:rPr>
          <w:rFonts w:ascii="Palatino Linotype" w:eastAsia="Times New Roman" w:hAnsi="Palatino Linotype" w:cs="Palatino Linotype"/>
          <w:i/>
          <w:color w:val="000000"/>
          <w:lang w:val="es-ES_tradnl" w:eastAsia="es-MX"/>
        </w:rPr>
        <w:t xml:space="preserve"> </w:t>
      </w:r>
      <w:r w:rsidR="00441E84">
        <w:rPr>
          <w:rFonts w:ascii="Palatino Linotype" w:eastAsia="Times New Roman" w:hAnsi="Palatino Linotype" w:cs="Palatino Linotype"/>
          <w:i/>
          <w:color w:val="000000"/>
          <w:lang w:val="es-ES_tradnl" w:eastAsia="es-MX"/>
        </w:rPr>
        <w:t>(Sic.)</w:t>
      </w:r>
    </w:p>
    <w:p w14:paraId="02D42A16" w14:textId="77777777" w:rsidR="00FC7EB3" w:rsidRDefault="00FC7EB3" w:rsidP="00B932DB">
      <w:pPr>
        <w:spacing w:after="0" w:line="360" w:lineRule="auto"/>
        <w:contextualSpacing/>
        <w:jc w:val="both"/>
        <w:rPr>
          <w:rFonts w:ascii="Palatino Linotype" w:eastAsia="Times New Roman" w:hAnsi="Palatino Linotype" w:cs="Palatino Linotype"/>
          <w:color w:val="000000"/>
          <w:sz w:val="24"/>
          <w:lang w:val="es-ES_tradnl" w:eastAsia="es-MX"/>
        </w:rPr>
      </w:pPr>
    </w:p>
    <w:p w14:paraId="79932A5E" w14:textId="77777777" w:rsidR="00441E84" w:rsidRDefault="00441E84" w:rsidP="00B932DB">
      <w:pPr>
        <w:spacing w:after="0" w:line="360" w:lineRule="auto"/>
        <w:contextualSpacing/>
        <w:jc w:val="both"/>
        <w:rPr>
          <w:rFonts w:ascii="Palatino Linotype" w:eastAsia="Times New Roman" w:hAnsi="Palatino Linotype" w:cs="Palatino Linotype"/>
          <w:color w:val="000000"/>
          <w:sz w:val="24"/>
          <w:lang w:val="es-ES_tradnl" w:eastAsia="es-MX"/>
        </w:rPr>
      </w:pPr>
    </w:p>
    <w:p w14:paraId="03DA64C9" w14:textId="465F46A7" w:rsidR="00BC40D9" w:rsidRDefault="00BC40D9" w:rsidP="00B932DB">
      <w:pPr>
        <w:spacing w:after="0" w:line="360" w:lineRule="auto"/>
        <w:contextualSpacing/>
        <w:jc w:val="both"/>
        <w:rPr>
          <w:rFonts w:ascii="Palatino Linotype" w:eastAsia="Times New Roman" w:hAnsi="Palatino Linotype" w:cs="Palatino Linotype"/>
          <w:color w:val="000000"/>
          <w:sz w:val="24"/>
          <w:lang w:val="es-ES_tradnl" w:eastAsia="es-MX"/>
        </w:rPr>
      </w:pPr>
      <w:r>
        <w:rPr>
          <w:rFonts w:ascii="Palatino Linotype" w:eastAsia="Times New Roman" w:hAnsi="Palatino Linotype" w:cs="Palatino Linotype"/>
          <w:color w:val="000000"/>
          <w:sz w:val="24"/>
          <w:lang w:val="es-ES_tradnl" w:eastAsia="es-MX"/>
        </w:rPr>
        <w:lastRenderedPageBreak/>
        <w:t xml:space="preserve">Por lo que se desprende que la procedencia del recurso de revisión, está en la </w:t>
      </w:r>
      <w:r w:rsidR="000B6A7A">
        <w:rPr>
          <w:rFonts w:ascii="Palatino Linotype" w:eastAsia="Times New Roman" w:hAnsi="Palatino Linotype" w:cs="Palatino Linotype"/>
          <w:color w:val="000000"/>
          <w:sz w:val="24"/>
          <w:lang w:val="es-ES_tradnl" w:eastAsia="es-MX"/>
        </w:rPr>
        <w:t>fracción</w:t>
      </w:r>
      <w:r>
        <w:rPr>
          <w:rFonts w:ascii="Palatino Linotype" w:eastAsia="Times New Roman" w:hAnsi="Palatino Linotype" w:cs="Palatino Linotype"/>
          <w:color w:val="000000"/>
          <w:sz w:val="24"/>
          <w:lang w:val="es-ES_tradnl" w:eastAsia="es-MX"/>
        </w:rPr>
        <w:t xml:space="preserve"> </w:t>
      </w:r>
      <w:r w:rsidR="000B6A7A">
        <w:rPr>
          <w:rFonts w:ascii="Palatino Linotype" w:eastAsia="Times New Roman" w:hAnsi="Palatino Linotype" w:cs="Palatino Linotype"/>
          <w:color w:val="000000"/>
          <w:sz w:val="24"/>
          <w:lang w:val="es-ES_tradnl" w:eastAsia="es-MX"/>
        </w:rPr>
        <w:t>V</w:t>
      </w:r>
      <w:r>
        <w:rPr>
          <w:rFonts w:ascii="Palatino Linotype" w:eastAsia="Times New Roman" w:hAnsi="Palatino Linotype" w:cs="Palatino Linotype"/>
          <w:color w:val="000000"/>
          <w:sz w:val="24"/>
          <w:lang w:val="es-ES_tradnl" w:eastAsia="es-MX"/>
        </w:rPr>
        <w:t xml:space="preserve"> del artículo 179 de la Ley de Transparencia y Acceso a la Información Pública del Estado de México y Municipios, que a </w:t>
      </w:r>
      <w:r w:rsidR="000B6A7A">
        <w:rPr>
          <w:rFonts w:ascii="Palatino Linotype" w:eastAsia="Times New Roman" w:hAnsi="Palatino Linotype" w:cs="Palatino Linotype"/>
          <w:color w:val="000000"/>
          <w:sz w:val="24"/>
          <w:lang w:val="es-ES_tradnl" w:eastAsia="es-MX"/>
        </w:rPr>
        <w:t>letra</w:t>
      </w:r>
      <w:r>
        <w:rPr>
          <w:rFonts w:ascii="Palatino Linotype" w:eastAsia="Times New Roman" w:hAnsi="Palatino Linotype" w:cs="Palatino Linotype"/>
          <w:color w:val="000000"/>
          <w:sz w:val="24"/>
          <w:lang w:val="es-ES_tradnl" w:eastAsia="es-MX"/>
        </w:rPr>
        <w:t xml:space="preserve"> versa en: </w:t>
      </w:r>
    </w:p>
    <w:p w14:paraId="62A6B8D4" w14:textId="41FF774C" w:rsidR="00B371CB" w:rsidRPr="00B371CB" w:rsidRDefault="00B371CB" w:rsidP="00B371CB">
      <w:pPr>
        <w:spacing w:after="0" w:line="360" w:lineRule="auto"/>
        <w:ind w:left="709" w:right="707"/>
        <w:contextualSpacing/>
        <w:jc w:val="both"/>
        <w:rPr>
          <w:rFonts w:ascii="Palatino Linotype" w:eastAsia="Times New Roman" w:hAnsi="Palatino Linotype" w:cs="Palatino Linotype"/>
          <w:i/>
          <w:iCs/>
          <w:color w:val="000000"/>
          <w:szCs w:val="20"/>
          <w:lang w:val="es-ES_tradnl" w:eastAsia="es-MX"/>
        </w:rPr>
      </w:pPr>
      <w:r w:rsidRPr="00B371CB">
        <w:rPr>
          <w:rFonts w:ascii="Palatino Linotype" w:eastAsia="Times New Roman" w:hAnsi="Palatino Linotype" w:cs="Palatino Linotype"/>
          <w:b/>
          <w:bCs/>
          <w:i/>
          <w:iCs/>
          <w:color w:val="000000"/>
          <w:szCs w:val="20"/>
          <w:lang w:val="es-ES_tradnl" w:eastAsia="es-MX"/>
        </w:rPr>
        <w:t>Artículo 179.</w:t>
      </w:r>
      <w:r w:rsidRPr="00B371CB">
        <w:rPr>
          <w:rFonts w:ascii="Palatino Linotype" w:eastAsia="Times New Roman" w:hAnsi="Palatino Linotype" w:cs="Palatino Linotype"/>
          <w:i/>
          <w:iCs/>
          <w:color w:val="000000"/>
          <w:szCs w:val="20"/>
          <w:lang w:val="es-ES_tradnl" w:eastAsia="es-MX"/>
        </w:rPr>
        <w:t xml:space="preserve"> El recurso de revisión es un medio de protección que la Ley otorga a los particulares, ara hacer valer su derecho de acceso a la información pública, y procederá en contra de las siguientes causas:</w:t>
      </w:r>
    </w:p>
    <w:p w14:paraId="310D804C" w14:textId="77777777" w:rsidR="00B371CB" w:rsidRPr="00B371CB" w:rsidRDefault="00B371CB" w:rsidP="00B371CB">
      <w:pPr>
        <w:spacing w:after="0" w:line="360" w:lineRule="auto"/>
        <w:ind w:left="709" w:right="707"/>
        <w:contextualSpacing/>
        <w:jc w:val="both"/>
        <w:rPr>
          <w:rFonts w:ascii="Palatino Linotype" w:eastAsia="Times New Roman" w:hAnsi="Palatino Linotype" w:cs="Palatino Linotype"/>
          <w:i/>
          <w:iCs/>
          <w:color w:val="000000"/>
          <w:szCs w:val="20"/>
          <w:lang w:val="es-ES_tradnl" w:eastAsia="es-MX"/>
        </w:rPr>
      </w:pPr>
    </w:p>
    <w:p w14:paraId="09EB2E67" w14:textId="7F275956" w:rsidR="00BC40D9" w:rsidRDefault="000B6A7A" w:rsidP="00B371CB">
      <w:pPr>
        <w:spacing w:after="0" w:line="360" w:lineRule="auto"/>
        <w:ind w:left="709" w:right="707"/>
        <w:contextualSpacing/>
        <w:jc w:val="both"/>
        <w:rPr>
          <w:rFonts w:ascii="Palatino Linotype" w:eastAsia="Times New Roman" w:hAnsi="Palatino Linotype" w:cs="Palatino Linotype"/>
          <w:i/>
          <w:iCs/>
          <w:color w:val="000000"/>
          <w:szCs w:val="20"/>
          <w:lang w:val="es-ES_tradnl" w:eastAsia="es-MX"/>
        </w:rPr>
      </w:pPr>
      <w:r w:rsidRPr="000B6A7A">
        <w:rPr>
          <w:rFonts w:ascii="Palatino Linotype" w:eastAsia="Times New Roman" w:hAnsi="Palatino Linotype" w:cs="Palatino Linotype"/>
          <w:b/>
          <w:i/>
          <w:iCs/>
          <w:color w:val="000000"/>
          <w:szCs w:val="20"/>
          <w:lang w:val="es-ES_tradnl" w:eastAsia="es-MX"/>
        </w:rPr>
        <w:t>V.</w:t>
      </w:r>
      <w:r w:rsidRPr="000B6A7A">
        <w:rPr>
          <w:rFonts w:ascii="Palatino Linotype" w:eastAsia="Times New Roman" w:hAnsi="Palatino Linotype" w:cs="Palatino Linotype"/>
          <w:i/>
          <w:iCs/>
          <w:color w:val="000000"/>
          <w:szCs w:val="20"/>
          <w:lang w:val="es-ES_tradnl" w:eastAsia="es-MX"/>
        </w:rPr>
        <w:t xml:space="preserve"> La entrega de información incompleta</w:t>
      </w:r>
      <w:r w:rsidR="00B371CB" w:rsidRPr="00B371CB">
        <w:rPr>
          <w:rFonts w:ascii="Palatino Linotype" w:eastAsia="Times New Roman" w:hAnsi="Palatino Linotype" w:cs="Palatino Linotype"/>
          <w:i/>
          <w:iCs/>
          <w:color w:val="000000"/>
          <w:szCs w:val="20"/>
          <w:lang w:val="es-ES_tradnl" w:eastAsia="es-MX"/>
        </w:rPr>
        <w:t>;</w:t>
      </w:r>
    </w:p>
    <w:p w14:paraId="5B901836" w14:textId="77777777" w:rsidR="008F4F0F" w:rsidRDefault="008F4F0F" w:rsidP="008F4F0F">
      <w:pPr>
        <w:spacing w:after="0" w:line="360" w:lineRule="auto"/>
        <w:ind w:right="707"/>
        <w:contextualSpacing/>
        <w:jc w:val="both"/>
        <w:rPr>
          <w:rFonts w:ascii="Palatino Linotype" w:eastAsia="Times New Roman" w:hAnsi="Palatino Linotype" w:cs="Palatino Linotype"/>
          <w:b/>
          <w:bCs/>
          <w:i/>
          <w:iCs/>
          <w:color w:val="000000"/>
          <w:szCs w:val="20"/>
          <w:lang w:val="es-ES_tradnl" w:eastAsia="es-MX"/>
        </w:rPr>
      </w:pPr>
    </w:p>
    <w:p w14:paraId="7757CB3C" w14:textId="37A11527" w:rsidR="004C3540" w:rsidRDefault="004E1535" w:rsidP="008F4F0F">
      <w:pPr>
        <w:spacing w:after="0" w:line="360" w:lineRule="auto"/>
        <w:ind w:right="-2"/>
        <w:contextualSpacing/>
        <w:jc w:val="both"/>
        <w:rPr>
          <w:rFonts w:ascii="Palatino Linotype" w:hAnsi="Palatino Linotype" w:cstheme="minorHAnsi"/>
          <w:color w:val="000000"/>
          <w:sz w:val="24"/>
          <w:szCs w:val="24"/>
        </w:rPr>
      </w:pPr>
      <w:r>
        <w:rPr>
          <w:rFonts w:ascii="Palatino Linotype" w:hAnsi="Palatino Linotype" w:cstheme="minorHAnsi"/>
          <w:color w:val="000000"/>
          <w:sz w:val="24"/>
          <w:szCs w:val="24"/>
        </w:rPr>
        <w:t xml:space="preserve">Durante la etapa de manifestaciones, el Sujeto Obligado </w:t>
      </w:r>
      <w:r w:rsidR="00FE1461">
        <w:rPr>
          <w:rFonts w:ascii="Palatino Linotype" w:hAnsi="Palatino Linotype" w:cstheme="minorHAnsi"/>
          <w:color w:val="000000"/>
          <w:sz w:val="24"/>
          <w:szCs w:val="24"/>
        </w:rPr>
        <w:t>emit</w:t>
      </w:r>
      <w:r w:rsidR="004C3540">
        <w:rPr>
          <w:rFonts w:ascii="Palatino Linotype" w:hAnsi="Palatino Linotype" w:cstheme="minorHAnsi"/>
          <w:color w:val="000000"/>
          <w:sz w:val="24"/>
          <w:szCs w:val="24"/>
        </w:rPr>
        <w:t>e</w:t>
      </w:r>
      <w:r w:rsidR="00FE1461">
        <w:rPr>
          <w:rFonts w:ascii="Palatino Linotype" w:hAnsi="Palatino Linotype" w:cstheme="minorHAnsi"/>
          <w:color w:val="000000"/>
          <w:sz w:val="24"/>
          <w:szCs w:val="24"/>
        </w:rPr>
        <w:t xml:space="preserve"> su informe justificado</w:t>
      </w:r>
      <w:r w:rsidR="00C74B89">
        <w:rPr>
          <w:rFonts w:ascii="Palatino Linotype" w:hAnsi="Palatino Linotype" w:cstheme="minorHAnsi"/>
          <w:color w:val="000000"/>
          <w:sz w:val="24"/>
          <w:szCs w:val="24"/>
        </w:rPr>
        <w:t xml:space="preserve"> que es:</w:t>
      </w:r>
    </w:p>
    <w:p w14:paraId="79E5806D" w14:textId="20DC690D" w:rsidR="00C74B89" w:rsidRDefault="00C74B89" w:rsidP="00C74B89">
      <w:pPr>
        <w:pStyle w:val="Prrafodelista"/>
        <w:numPr>
          <w:ilvl w:val="0"/>
          <w:numId w:val="6"/>
        </w:numPr>
        <w:ind w:right="-2"/>
        <w:contextualSpacing/>
        <w:rPr>
          <w:rFonts w:cstheme="minorHAnsi"/>
          <w:color w:val="000000"/>
        </w:rPr>
      </w:pPr>
      <w:r w:rsidRPr="00C74B89">
        <w:rPr>
          <w:rFonts w:cstheme="minorHAnsi"/>
          <w:color w:val="000000"/>
        </w:rPr>
        <w:t>Oficio PMH/CRC/03-065/2025</w:t>
      </w:r>
      <w:r>
        <w:rPr>
          <w:rFonts w:cstheme="minorHAnsi"/>
          <w:color w:val="000000"/>
        </w:rPr>
        <w:t xml:space="preserve"> emitido por el Director de Regulación Comercial del Ayuntamiento de Huehuetoca</w:t>
      </w:r>
      <w:r w:rsidR="00E4758A">
        <w:rPr>
          <w:rFonts w:cstheme="minorHAnsi"/>
          <w:color w:val="000000"/>
        </w:rPr>
        <w:t>, en el que manifiesta:</w:t>
      </w:r>
    </w:p>
    <w:p w14:paraId="6B2638B5" w14:textId="77777777" w:rsidR="00DB47B2" w:rsidRDefault="00DB47B2" w:rsidP="00DB47B2">
      <w:pPr>
        <w:spacing w:line="360" w:lineRule="auto"/>
        <w:ind w:right="-2"/>
        <w:contextualSpacing/>
        <w:jc w:val="both"/>
        <w:rPr>
          <w:rFonts w:ascii="Palatino Linotype" w:eastAsia="Times New Roman" w:hAnsi="Palatino Linotype" w:cstheme="minorHAnsi"/>
          <w:color w:val="000000"/>
          <w:sz w:val="24"/>
          <w:szCs w:val="24"/>
          <w:lang w:val="es-ES" w:eastAsia="es-ES"/>
        </w:rPr>
      </w:pPr>
    </w:p>
    <w:p w14:paraId="79EEB193" w14:textId="5DC4B872" w:rsidR="00E4758A" w:rsidRPr="00E4758A" w:rsidRDefault="00DB47B2" w:rsidP="00DB47B2">
      <w:pPr>
        <w:spacing w:line="360" w:lineRule="auto"/>
        <w:ind w:right="-2"/>
        <w:contextualSpacing/>
        <w:jc w:val="both"/>
        <w:rPr>
          <w:rFonts w:ascii="Palatino Linotype" w:eastAsia="Times New Roman" w:hAnsi="Palatino Linotype" w:cstheme="minorHAnsi"/>
          <w:color w:val="000000"/>
          <w:sz w:val="24"/>
          <w:szCs w:val="24"/>
          <w:lang w:val="es-ES" w:eastAsia="es-ES"/>
        </w:rPr>
      </w:pPr>
      <w:r>
        <w:rPr>
          <w:rFonts w:ascii="Palatino Linotype" w:eastAsia="Times New Roman" w:hAnsi="Palatino Linotype" w:cstheme="minorHAnsi"/>
          <w:color w:val="000000"/>
          <w:sz w:val="24"/>
          <w:szCs w:val="24"/>
          <w:lang w:val="es-ES" w:eastAsia="es-ES"/>
        </w:rPr>
        <w:t>“</w:t>
      </w:r>
      <w:r w:rsidR="00E4758A" w:rsidRPr="00E4758A">
        <w:rPr>
          <w:rFonts w:ascii="Palatino Linotype" w:eastAsia="Times New Roman" w:hAnsi="Palatino Linotype" w:cstheme="minorHAnsi"/>
          <w:color w:val="000000"/>
          <w:sz w:val="24"/>
          <w:szCs w:val="24"/>
          <w:lang w:val="es-ES" w:eastAsia="es-ES"/>
        </w:rPr>
        <w:t>El Gobierno Municipal</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instal</w:t>
      </w:r>
      <w:r>
        <w:rPr>
          <w:rFonts w:ascii="Palatino Linotype" w:eastAsia="Times New Roman" w:hAnsi="Palatino Linotype" w:cstheme="minorHAnsi"/>
          <w:color w:val="000000"/>
          <w:sz w:val="24"/>
          <w:szCs w:val="24"/>
          <w:lang w:val="es-ES" w:eastAsia="es-ES"/>
        </w:rPr>
        <w:t>ó</w:t>
      </w:r>
      <w:r w:rsidR="00E4758A" w:rsidRPr="00E4758A">
        <w:rPr>
          <w:rFonts w:ascii="Palatino Linotype" w:eastAsia="Times New Roman" w:hAnsi="Palatino Linotype" w:cstheme="minorHAnsi"/>
          <w:color w:val="000000"/>
          <w:sz w:val="24"/>
          <w:szCs w:val="24"/>
          <w:lang w:val="es-ES" w:eastAsia="es-ES"/>
        </w:rPr>
        <w:t xml:space="preserve"> la Mesa de Diálogo Permanente con los lideres</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Comerciantes del</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municipio. Esta mesa la encabeza el C. Juan Manuel López Adán, Presidente Municipal y es</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coordinada por el Lic. Oscar Ortega Ortiz, Coordinador de Regulación Comercial. En esta mesa</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e presentó el Programa de Ordenamiento Comercial, en el cual, a través del diálogo</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permanente se concretan los acuerdos y acciones a realizar. Con la ampliación del mercado</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municipal “San judas Tadeo” que realizará el Gobierno del Estado de México, se generaran</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nuevos espacios para el comercio de Huehuetoca. Hasta el momento no contamos con la</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definición de las fechas para la realización de dicha obra; Motivo por el cual, la coordinación</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de regulación comercial mantiene el dialogo y acciones permanentes con los liderazgos</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 xml:space="preserve">correspondientes y el Gobierno Municipal. De </w:t>
      </w:r>
      <w:r w:rsidR="00E4758A" w:rsidRPr="00E4758A">
        <w:rPr>
          <w:rFonts w:ascii="Palatino Linotype" w:eastAsia="Times New Roman" w:hAnsi="Palatino Linotype" w:cstheme="minorHAnsi"/>
          <w:color w:val="000000"/>
          <w:sz w:val="24"/>
          <w:szCs w:val="24"/>
          <w:lang w:val="es-ES" w:eastAsia="es-ES"/>
        </w:rPr>
        <w:lastRenderedPageBreak/>
        <w:t>común acuerdo se mantienen las actividades</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comerciales evitando la instalación de nuevos comerciantes. Una vez que sea de</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conocimiento las fechas de inicio, terminación y características finales de la ampliación</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del mercado “San Judas Tadeo”, se acordaran las acciones consecuentes...La</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Constitución Política de los Estados Unidos Mexicanos, la particular del Estado libre y</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Soberano de México, la Ley de Competitividad y Ordenamiento Comercial del Estado de</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México, la Ley de Tianguis y Mercados del Estado de México, El Bando Municipal 2025 de</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Huehuetoca y los reglamentos correspondientes regulan esta actividad comercial. La</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ciudadanía puede reportar a la Coordinación de Regulación Comercial, a la Contraloría</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 xml:space="preserve">Municipal la </w:t>
      </w:r>
      <w:r>
        <w:rPr>
          <w:rFonts w:ascii="Palatino Linotype" w:eastAsia="Times New Roman" w:hAnsi="Palatino Linotype" w:cstheme="minorHAnsi"/>
          <w:color w:val="000000"/>
          <w:sz w:val="24"/>
          <w:szCs w:val="24"/>
          <w:lang w:val="es-ES" w:eastAsia="es-ES"/>
        </w:rPr>
        <w:t>p</w:t>
      </w:r>
      <w:r w:rsidRPr="00E4758A">
        <w:rPr>
          <w:rFonts w:ascii="Palatino Linotype" w:eastAsia="Times New Roman" w:hAnsi="Palatino Linotype" w:cstheme="minorHAnsi"/>
          <w:color w:val="000000"/>
          <w:sz w:val="24"/>
          <w:szCs w:val="24"/>
          <w:lang w:val="es-ES" w:eastAsia="es-ES"/>
        </w:rPr>
        <w:t>roblemática</w:t>
      </w:r>
      <w:r w:rsidR="00E4758A" w:rsidRPr="00E4758A">
        <w:rPr>
          <w:rFonts w:ascii="Palatino Linotype" w:eastAsia="Times New Roman" w:hAnsi="Palatino Linotype" w:cstheme="minorHAnsi"/>
          <w:color w:val="000000"/>
          <w:sz w:val="24"/>
          <w:szCs w:val="24"/>
          <w:lang w:val="es-ES" w:eastAsia="es-ES"/>
        </w:rPr>
        <w:t xml:space="preserve"> al</w:t>
      </w:r>
      <w:r>
        <w:rPr>
          <w:rFonts w:ascii="Palatino Linotype" w:eastAsia="Times New Roman" w:hAnsi="Palatino Linotype" w:cstheme="minorHAnsi"/>
          <w:color w:val="000000"/>
          <w:sz w:val="24"/>
          <w:szCs w:val="24"/>
          <w:lang w:val="es-ES" w:eastAsia="es-ES"/>
        </w:rPr>
        <w:t xml:space="preserve"> </w:t>
      </w:r>
      <w:r w:rsidR="00E4758A" w:rsidRPr="00E4758A">
        <w:rPr>
          <w:rFonts w:ascii="Palatino Linotype" w:eastAsia="Times New Roman" w:hAnsi="Palatino Linotype" w:cstheme="minorHAnsi"/>
          <w:color w:val="000000"/>
          <w:sz w:val="24"/>
          <w:szCs w:val="24"/>
          <w:lang w:val="es-ES" w:eastAsia="es-ES"/>
        </w:rPr>
        <w:t>respecto.</w:t>
      </w:r>
      <w:r>
        <w:rPr>
          <w:rFonts w:ascii="Palatino Linotype" w:eastAsia="Times New Roman" w:hAnsi="Palatino Linotype" w:cstheme="minorHAnsi"/>
          <w:color w:val="000000"/>
          <w:sz w:val="24"/>
          <w:szCs w:val="24"/>
          <w:lang w:val="es-ES" w:eastAsia="es-ES"/>
        </w:rPr>
        <w:t>”</w:t>
      </w:r>
    </w:p>
    <w:p w14:paraId="5FA0E0C9" w14:textId="77777777" w:rsidR="000671CF" w:rsidRDefault="000671CF" w:rsidP="00A916EF">
      <w:pPr>
        <w:spacing w:after="0" w:line="360" w:lineRule="auto"/>
        <w:contextualSpacing/>
        <w:jc w:val="both"/>
        <w:rPr>
          <w:rFonts w:ascii="Palatino Linotype" w:hAnsi="Palatino Linotype" w:cstheme="minorHAnsi"/>
          <w:color w:val="000000"/>
          <w:sz w:val="24"/>
          <w:szCs w:val="24"/>
        </w:rPr>
      </w:pPr>
    </w:p>
    <w:p w14:paraId="6DE2CB05" w14:textId="28DE8DE0" w:rsidR="00A916EF" w:rsidRPr="00A944B4" w:rsidRDefault="00A916EF" w:rsidP="00A944B4">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De lo anterior se debe señalar que el artículo 4, párrafo segundo de la Ley de Transparencia y Acceso a la Información Pública del Estado de México y Municipios, dispone:</w:t>
      </w:r>
    </w:p>
    <w:p w14:paraId="30937F05" w14:textId="77777777" w:rsidR="00A916EF" w:rsidRPr="00F444C4" w:rsidRDefault="00A916EF" w:rsidP="00A916EF">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r w:rsidRPr="00F444C4">
        <w:rPr>
          <w:rFonts w:ascii="Palatino Linotype" w:eastAsia="Times New Roman" w:hAnsi="Palatino Linotype" w:cs="Arial"/>
          <w:b/>
          <w:i/>
          <w:lang w:val="es-ES_tradnl" w:eastAsia="es-MX"/>
        </w:rPr>
        <w:t xml:space="preserve">Artículo 4. </w:t>
      </w:r>
      <w:r w:rsidRPr="00F444C4">
        <w:rPr>
          <w:rFonts w:ascii="Palatino Linotype" w:eastAsia="Times New Roman" w:hAnsi="Palatino Linotype" w:cs="Arial"/>
          <w:i/>
          <w:lang w:val="es-ES_tradnl" w:eastAsia="es-MX"/>
        </w:rPr>
        <w:t xml:space="preserve">… </w:t>
      </w:r>
    </w:p>
    <w:p w14:paraId="257CB491" w14:textId="77777777" w:rsidR="00A916EF" w:rsidRPr="00F444C4" w:rsidRDefault="00A916EF" w:rsidP="00A916EF">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C27D8AC" w14:textId="77777777" w:rsidR="00A916EF" w:rsidRPr="00F444C4" w:rsidRDefault="00A916EF" w:rsidP="00A916EF">
      <w:pPr>
        <w:tabs>
          <w:tab w:val="left" w:pos="709"/>
        </w:tabs>
        <w:spacing w:after="0" w:line="360" w:lineRule="auto"/>
        <w:contextualSpacing/>
        <w:jc w:val="both"/>
        <w:rPr>
          <w:rFonts w:ascii="Palatino Linotype" w:eastAsia="Times New Roman" w:hAnsi="Palatino Linotype" w:cs="Arial"/>
          <w:sz w:val="24"/>
          <w:lang w:val="es-ES_tradnl" w:eastAsia="es-MX"/>
        </w:rPr>
      </w:pPr>
    </w:p>
    <w:p w14:paraId="5FB00896" w14:textId="77777777" w:rsidR="00A916EF" w:rsidRPr="00F444C4" w:rsidRDefault="00A916EF" w:rsidP="00A916EF">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 xml:space="preserve">Del precepto legal invocado, se desprende, que la información generada, obtenida, adquirida, transmitida, administrada o en posesión de los Sujetos Obligados, será </w:t>
      </w:r>
      <w:r w:rsidRPr="00F444C4">
        <w:rPr>
          <w:rFonts w:ascii="Palatino Linotype" w:eastAsia="Times New Roman" w:hAnsi="Palatino Linotype" w:cs="Arial"/>
          <w:sz w:val="24"/>
          <w:lang w:val="es-ES_tradnl" w:eastAsia="es-MX"/>
        </w:rPr>
        <w:lastRenderedPageBreak/>
        <w:t>accesible de manera permanente a cualquier persona, privilegiando el principio de máxima publicidad de la información.</w:t>
      </w:r>
    </w:p>
    <w:p w14:paraId="7F4654FB" w14:textId="77777777" w:rsidR="00A916EF" w:rsidRPr="00F444C4" w:rsidRDefault="00A916EF" w:rsidP="00A916EF">
      <w:pPr>
        <w:tabs>
          <w:tab w:val="left" w:pos="709"/>
        </w:tabs>
        <w:spacing w:after="0" w:line="360" w:lineRule="auto"/>
        <w:contextualSpacing/>
        <w:jc w:val="both"/>
        <w:rPr>
          <w:rFonts w:ascii="Palatino Linotype" w:eastAsia="Times New Roman" w:hAnsi="Palatino Linotype" w:cs="Arial"/>
          <w:sz w:val="24"/>
          <w:lang w:val="es-ES_tradnl" w:eastAsia="es-MX"/>
        </w:rPr>
      </w:pPr>
    </w:p>
    <w:p w14:paraId="48371001" w14:textId="77777777" w:rsidR="00A916EF" w:rsidRPr="00F444C4" w:rsidRDefault="00A916EF" w:rsidP="00A916EF">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F444C4">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444C4">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036DC2B8" w14:textId="77777777" w:rsidR="00A916EF" w:rsidRPr="00F444C4" w:rsidRDefault="00A916EF" w:rsidP="00A916EF">
      <w:pPr>
        <w:spacing w:after="0" w:line="240" w:lineRule="auto"/>
        <w:rPr>
          <w:rFonts w:ascii="Times New Roman" w:eastAsia="Times New Roman" w:hAnsi="Times New Roman" w:cs="Times New Roman"/>
          <w:sz w:val="24"/>
          <w:szCs w:val="24"/>
          <w:lang w:eastAsia="es-ES"/>
        </w:rPr>
      </w:pPr>
    </w:p>
    <w:p w14:paraId="24D3C3D8" w14:textId="77777777" w:rsidR="00A916EF" w:rsidRPr="00F444C4" w:rsidRDefault="00A916EF" w:rsidP="00A916EF">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r w:rsidRPr="00F444C4">
        <w:rPr>
          <w:rFonts w:ascii="Palatino Linotype" w:eastAsia="Times New Roman" w:hAnsi="Palatino Linotype" w:cs="Arial"/>
          <w:b/>
          <w:i/>
          <w:lang w:val="es-ES_tradnl" w:eastAsia="es-MX"/>
        </w:rPr>
        <w:t xml:space="preserve">Artículo 3. </w:t>
      </w:r>
      <w:r w:rsidRPr="00F444C4">
        <w:rPr>
          <w:rFonts w:ascii="Palatino Linotype" w:eastAsia="Times New Roman" w:hAnsi="Palatino Linotype" w:cs="Arial"/>
          <w:i/>
          <w:lang w:val="es-ES_tradnl" w:eastAsia="es-MX"/>
        </w:rPr>
        <w:t>Para los efectos de la presente Ley se entenderá por:</w:t>
      </w:r>
    </w:p>
    <w:p w14:paraId="6B0CF561" w14:textId="77777777" w:rsidR="00A916EF" w:rsidRPr="00F444C4" w:rsidRDefault="00A916EF" w:rsidP="00A916EF">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6B2E881E" w14:textId="77777777" w:rsidR="00A916EF" w:rsidRPr="00F444C4" w:rsidRDefault="00A916EF" w:rsidP="00A916EF">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b/>
          <w:i/>
          <w:lang w:val="es-ES_tradnl" w:eastAsia="es-MX"/>
        </w:rPr>
        <w:t>XI. Documento:</w:t>
      </w:r>
      <w:r w:rsidRPr="00F444C4">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F444C4">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F444C4">
        <w:rPr>
          <w:rFonts w:ascii="Palatino Linotype" w:eastAsia="Times New Roman" w:hAnsi="Palatino Linotype" w:cs="Arial"/>
          <w:i/>
          <w:u w:val="single"/>
          <w:lang w:val="es-ES_tradnl" w:eastAsia="es-MX"/>
        </w:rPr>
        <w:t>,</w:t>
      </w:r>
      <w:r w:rsidRPr="00F444C4">
        <w:rPr>
          <w:rFonts w:ascii="Palatino Linotype" w:eastAsia="Times New Roman" w:hAnsi="Palatino Linotype" w:cs="Arial"/>
          <w:i/>
          <w:lang w:val="es-ES_tradnl" w:eastAsia="es-MX"/>
        </w:rPr>
        <w:t xml:space="preserve"> sus servidores públicos e integrantes, </w:t>
      </w:r>
      <w:r w:rsidRPr="00F444C4">
        <w:rPr>
          <w:rFonts w:ascii="Palatino Linotype" w:eastAsia="Times New Roman" w:hAnsi="Palatino Linotype" w:cs="Arial"/>
          <w:b/>
          <w:i/>
          <w:u w:val="single"/>
          <w:lang w:val="es-ES_tradnl" w:eastAsia="es-MX"/>
        </w:rPr>
        <w:t>sin importar su fuente o fecha de elaboración.</w:t>
      </w:r>
      <w:r w:rsidRPr="00F444C4">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14:paraId="7E5CDA0F" w14:textId="6BB257A6" w:rsidR="00AA7641" w:rsidRPr="00452B4D" w:rsidRDefault="00A916EF" w:rsidP="00B932DB">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139A87F6" w14:textId="61FD6D25" w:rsidR="00633048" w:rsidRDefault="00A916EF" w:rsidP="00A916EF">
      <w:pPr>
        <w:spacing w:before="240" w:after="240" w:line="360" w:lineRule="auto"/>
        <w:ind w:right="49"/>
        <w:contextualSpacing/>
        <w:jc w:val="both"/>
        <w:rPr>
          <w:rFonts w:ascii="Palatino Linotype" w:eastAsia="MS Mincho" w:hAnsi="Palatino Linotype" w:cs="Calibri"/>
          <w:sz w:val="24"/>
          <w:lang w:val="es-ES_tradnl" w:eastAsia="es-MX"/>
        </w:rPr>
      </w:pPr>
      <w:r w:rsidRPr="00F444C4">
        <w:rPr>
          <w:rFonts w:ascii="Palatino Linotype" w:eastAsia="Times New Roman" w:hAnsi="Palatino Linotype" w:cs="Arial"/>
          <w:sz w:val="24"/>
          <w:lang w:val="es-ES_tradnl" w:eastAsia="es-MX"/>
        </w:rPr>
        <w:t xml:space="preserve">Además, </w:t>
      </w:r>
      <w:r w:rsidRPr="00F444C4">
        <w:rPr>
          <w:rFonts w:ascii="Palatino Linotype" w:eastAsia="MS Mincho" w:hAnsi="Palatino Linotype" w:cs="Calibri"/>
          <w:sz w:val="24"/>
          <w:lang w:val="es-ES_tradnl" w:eastAsia="es-MX"/>
        </w:rPr>
        <w:t xml:space="preserve">es importante señalar que el artículo 18, de la Ley en la materia, los Sujetos Obligados cuenta con la obligación de documentar todos los actos que derive de sus </w:t>
      </w:r>
      <w:r w:rsidRPr="00F444C4">
        <w:rPr>
          <w:rFonts w:ascii="Palatino Linotype" w:eastAsia="MS Mincho" w:hAnsi="Palatino Linotype" w:cs="Calibri"/>
          <w:sz w:val="24"/>
          <w:lang w:val="es-ES_tradnl" w:eastAsia="es-MX"/>
        </w:rPr>
        <w:lastRenderedPageBreak/>
        <w:t>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755952C8" w14:textId="77777777" w:rsidR="00A944B4" w:rsidRPr="00F444C4" w:rsidRDefault="00A944B4" w:rsidP="00A916EF">
      <w:pPr>
        <w:spacing w:before="240" w:after="240" w:line="360" w:lineRule="auto"/>
        <w:ind w:right="49"/>
        <w:contextualSpacing/>
        <w:jc w:val="both"/>
        <w:rPr>
          <w:rFonts w:ascii="Palatino Linotype" w:eastAsia="MS Mincho" w:hAnsi="Palatino Linotype" w:cs="Calibri"/>
          <w:sz w:val="24"/>
          <w:lang w:val="es-ES_tradnl" w:eastAsia="es-MX"/>
        </w:rPr>
      </w:pPr>
    </w:p>
    <w:p w14:paraId="7D3FA9F4" w14:textId="3EAE455A" w:rsidR="00AA7641" w:rsidRPr="00F444C4" w:rsidRDefault="00A916EF" w:rsidP="00A916EF">
      <w:pPr>
        <w:spacing w:before="240" w:after="240" w:line="360" w:lineRule="auto"/>
        <w:ind w:right="49"/>
        <w:contextualSpacing/>
        <w:jc w:val="both"/>
        <w:rPr>
          <w:rFonts w:ascii="Palatino Linotype" w:eastAsia="MS Mincho" w:hAnsi="Palatino Linotype" w:cs="Tahoma"/>
          <w:sz w:val="24"/>
          <w:lang w:val="es-ES_tradnl" w:eastAsia="es-MX"/>
        </w:rPr>
      </w:pPr>
      <w:r w:rsidRPr="00F444C4">
        <w:rPr>
          <w:rFonts w:ascii="Palatino Linotype" w:eastAsia="Times New Roman" w:hAnsi="Palatino Linotype" w:cs="Arial"/>
          <w:sz w:val="24"/>
          <w:lang w:val="es-ES_tradnl" w:eastAsia="es-MX"/>
        </w:rPr>
        <w:t xml:space="preserve">De la misma forma, </w:t>
      </w:r>
      <w:r w:rsidR="007D5C5C" w:rsidRPr="00F444C4">
        <w:rPr>
          <w:rFonts w:ascii="Palatino Linotype" w:eastAsia="MS Mincho" w:hAnsi="Palatino Linotype" w:cs="Calibri"/>
          <w:sz w:val="24"/>
          <w:lang w:val="es-ES_tradnl" w:eastAsia="es-MX"/>
        </w:rPr>
        <w:t>de acuerdo con el</w:t>
      </w:r>
      <w:r w:rsidRPr="00F444C4">
        <w:rPr>
          <w:rFonts w:ascii="Palatino Linotype" w:eastAsia="MS Mincho" w:hAnsi="Palatino Linotype" w:cs="Calibri"/>
          <w:sz w:val="24"/>
          <w:lang w:val="es-ES_tradnl" w:eastAsia="es-MX"/>
        </w:rPr>
        <w:t xml:space="preserve"> contenido del artículo 160,</w:t>
      </w:r>
      <w:r w:rsidRPr="00F444C4">
        <w:rPr>
          <w:rFonts w:ascii="Palatino Linotype" w:eastAsia="Times New Roman" w:hAnsi="Palatino Linotype" w:cs="Arial"/>
          <w:sz w:val="24"/>
          <w:lang w:val="es-ES_tradnl" w:eastAsia="es-MX"/>
        </w:rPr>
        <w:t xml:space="preserve"> de la Ley </w:t>
      </w:r>
      <w:r w:rsidRPr="00F444C4">
        <w:rPr>
          <w:rFonts w:ascii="Palatino Linotype" w:eastAsia="MS Mincho" w:hAnsi="Palatino Linotype" w:cs="Tahoma"/>
          <w:sz w:val="24"/>
          <w:lang w:val="es-ES_tradnl" w:eastAsia="es-MX"/>
        </w:rPr>
        <w:t>General de Transparencia y Acceso a la Información Pública que a la letra dispone:</w:t>
      </w:r>
    </w:p>
    <w:p w14:paraId="0E67E18A" w14:textId="77777777" w:rsidR="00A916EF" w:rsidRDefault="00A916EF" w:rsidP="00AA7641">
      <w:pPr>
        <w:spacing w:after="0" w:line="360" w:lineRule="auto"/>
        <w:ind w:left="567" w:right="616"/>
        <w:contextualSpacing/>
        <w:jc w:val="both"/>
        <w:rPr>
          <w:rFonts w:ascii="Palatino Linotype" w:eastAsia="Times New Roman" w:hAnsi="Palatino Linotype" w:cs="Arial"/>
          <w:i/>
          <w:lang w:val="es-ES_tradnl" w:eastAsia="gl-ES"/>
        </w:rPr>
      </w:pPr>
      <w:r w:rsidRPr="00F444C4">
        <w:rPr>
          <w:rFonts w:ascii="Palatino Linotype" w:eastAsia="Times New Roman" w:hAnsi="Palatino Linotype" w:cs="Arial"/>
          <w:b/>
          <w:i/>
          <w:lang w:val="es-ES_tradnl" w:eastAsia="gl-ES"/>
        </w:rPr>
        <w:t>Artículo 160</w:t>
      </w:r>
      <w:r w:rsidRPr="00F444C4">
        <w:rPr>
          <w:rFonts w:ascii="Palatino Linotype" w:eastAsia="Times New Roman" w:hAnsi="Palatino Linotype" w:cs="Arial"/>
          <w:i/>
          <w:lang w:val="es-ES_tradnl"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CDCA4CD" w14:textId="77777777" w:rsidR="00B741D4" w:rsidRDefault="00B741D4" w:rsidP="00AA7641">
      <w:pPr>
        <w:spacing w:after="0" w:line="360" w:lineRule="auto"/>
        <w:ind w:left="567" w:right="616"/>
        <w:contextualSpacing/>
        <w:jc w:val="both"/>
        <w:rPr>
          <w:rFonts w:ascii="Palatino Linotype" w:eastAsia="Times New Roman" w:hAnsi="Palatino Linotype" w:cs="Arial"/>
          <w:i/>
          <w:lang w:val="es-ES_tradnl" w:eastAsia="gl-ES"/>
        </w:rPr>
      </w:pPr>
    </w:p>
    <w:p w14:paraId="0397A690" w14:textId="77777777" w:rsidR="00BA1AD5" w:rsidRPr="00BA1AD5" w:rsidRDefault="00BA1AD5" w:rsidP="00BA1AD5">
      <w:pPr>
        <w:spacing w:after="0" w:line="360" w:lineRule="auto"/>
        <w:jc w:val="both"/>
        <w:rPr>
          <w:rFonts w:ascii="Palatino Linotype" w:eastAsia="Times New Roman" w:hAnsi="Palatino Linotype" w:cs="Arial"/>
          <w:color w:val="222222"/>
          <w:sz w:val="24"/>
          <w:szCs w:val="19"/>
          <w:lang w:val="es-ES" w:eastAsia="es-MX"/>
        </w:rPr>
      </w:pPr>
      <w:r w:rsidRPr="00BA1AD5">
        <w:rPr>
          <w:rFonts w:ascii="Palatino Linotype" w:eastAsia="Times New Roman" w:hAnsi="Palatino Linotype" w:cs="Times New Roman"/>
          <w:color w:val="000000"/>
          <w:sz w:val="24"/>
          <w:szCs w:val="24"/>
          <w:lang w:val="es-ES" w:eastAsia="es-ES"/>
        </w:rPr>
        <w:t xml:space="preserve">Sirve como apoyo </w:t>
      </w:r>
      <w:r w:rsidRPr="00BA1AD5">
        <w:rPr>
          <w:rFonts w:ascii="Palatino Linotype" w:eastAsia="Times New Roman" w:hAnsi="Palatino Linotype" w:cs="Arial"/>
          <w:color w:val="222222"/>
          <w:sz w:val="24"/>
          <w:szCs w:val="19"/>
          <w:lang w:val="es-ES" w:eastAsia="es-MX"/>
        </w:rPr>
        <w:t>a lo anterior, el criterio 09-10, emitido por el Pleno del entonces Instituto Federal de Acceso a la Información y Protección de Datos, que a la letra dice:</w:t>
      </w:r>
    </w:p>
    <w:p w14:paraId="6BDDA1A0" w14:textId="77777777" w:rsidR="00BA1AD5" w:rsidRPr="00BA1AD5" w:rsidRDefault="00BA1AD5" w:rsidP="00BA1AD5">
      <w:pPr>
        <w:spacing w:after="0" w:line="240" w:lineRule="auto"/>
        <w:rPr>
          <w:rFonts w:ascii="Times New Roman" w:eastAsia="Times New Roman" w:hAnsi="Times New Roman" w:cs="Times New Roman"/>
          <w:sz w:val="24"/>
          <w:szCs w:val="24"/>
          <w:lang w:eastAsia="es-MX"/>
        </w:rPr>
      </w:pPr>
    </w:p>
    <w:p w14:paraId="308E639F" w14:textId="77777777" w:rsidR="00BA1AD5" w:rsidRPr="00BA1AD5" w:rsidRDefault="00BA1AD5" w:rsidP="00BA1AD5">
      <w:pPr>
        <w:shd w:val="clear" w:color="auto" w:fill="FFFFFF"/>
        <w:tabs>
          <w:tab w:val="left" w:pos="8647"/>
        </w:tabs>
        <w:spacing w:after="0" w:line="240" w:lineRule="auto"/>
        <w:ind w:left="567" w:right="616"/>
        <w:jc w:val="both"/>
        <w:rPr>
          <w:rFonts w:ascii="Palatino Linotype" w:eastAsia="Times New Roman" w:hAnsi="Palatino Linotype" w:cs="Arial"/>
          <w:i/>
          <w:iCs/>
          <w:color w:val="222222"/>
          <w:szCs w:val="24"/>
          <w:lang w:val="es-ES" w:eastAsia="es-MX"/>
        </w:rPr>
      </w:pPr>
      <w:r w:rsidRPr="00BA1AD5">
        <w:rPr>
          <w:rFonts w:ascii="Palatino Linotype" w:eastAsia="Times New Roman" w:hAnsi="Palatino Linotype" w:cs="Arial"/>
          <w:b/>
          <w:bCs/>
          <w:i/>
          <w:iCs/>
          <w:color w:val="222222"/>
          <w:szCs w:val="24"/>
          <w:lang w:val="es-ES" w:eastAsia="es-MX"/>
        </w:rPr>
        <w:t>“Las dependencias y entidades no están obligadas a generar documentos ad hoc para responder una solicitud de acceso a la información. </w:t>
      </w:r>
      <w:r w:rsidRPr="00BA1AD5">
        <w:rPr>
          <w:rFonts w:ascii="Palatino Linotype" w:eastAsia="Times New Roman" w:hAnsi="Palatino Linotype" w:cs="Arial"/>
          <w:i/>
          <w:iCs/>
          <w:color w:val="222222"/>
          <w:szCs w:val="24"/>
          <w:lang w:val="es-ES"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w:t>
      </w:r>
      <w:r w:rsidRPr="00BA1AD5">
        <w:rPr>
          <w:rFonts w:ascii="Palatino Linotype" w:eastAsia="Times New Roman" w:hAnsi="Palatino Linotype" w:cs="Arial"/>
          <w:i/>
          <w:iCs/>
          <w:color w:val="222222"/>
          <w:szCs w:val="24"/>
          <w:lang w:val="es-ES" w:eastAsia="es-MX"/>
        </w:rPr>
        <w:lastRenderedPageBreak/>
        <w:t>que deben garantizar el acceso a la información con la que cuentan en el formato que la misma así lo permita o se encuentre, en aras de dar satisfacción a la solicitud presentada.” (Sic)</w:t>
      </w:r>
    </w:p>
    <w:p w14:paraId="6190A533" w14:textId="77777777" w:rsidR="00BA1AD5" w:rsidRPr="00BA1AD5" w:rsidRDefault="00BA1AD5" w:rsidP="00BA1AD5">
      <w:pPr>
        <w:spacing w:after="0" w:line="240" w:lineRule="auto"/>
        <w:rPr>
          <w:rFonts w:ascii="Times New Roman" w:eastAsia="Times New Roman" w:hAnsi="Times New Roman" w:cs="Times New Roman"/>
          <w:sz w:val="24"/>
          <w:szCs w:val="24"/>
          <w:lang w:eastAsia="es-ES"/>
        </w:rPr>
      </w:pPr>
    </w:p>
    <w:p w14:paraId="051E7896" w14:textId="77777777" w:rsidR="00BA1AD5" w:rsidRPr="00BA1AD5" w:rsidRDefault="00BA1AD5" w:rsidP="00BA1AD5">
      <w:pPr>
        <w:spacing w:after="0" w:line="240" w:lineRule="auto"/>
        <w:rPr>
          <w:rFonts w:ascii="Times New Roman" w:eastAsia="Times New Roman" w:hAnsi="Times New Roman" w:cs="Times New Roman"/>
          <w:sz w:val="24"/>
          <w:szCs w:val="24"/>
          <w:lang w:eastAsia="es-ES"/>
        </w:rPr>
      </w:pPr>
    </w:p>
    <w:p w14:paraId="1984E1DF" w14:textId="0D8784A9" w:rsidR="00A916EF" w:rsidRPr="0015656E" w:rsidRDefault="00A916EF" w:rsidP="0015656E">
      <w:pPr>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bCs/>
          <w:sz w:val="24"/>
          <w:lang w:val="es-ES_tradnl" w:eastAsia="es-MX"/>
        </w:rPr>
        <w:t xml:space="preserve">Además, </w:t>
      </w:r>
      <w:r w:rsidRPr="00F444C4">
        <w:rPr>
          <w:rFonts w:ascii="Palatino Linotype" w:eastAsia="Times New Roman" w:hAnsi="Palatino Linotype" w:cs="Arial"/>
          <w:sz w:val="24"/>
          <w:lang w:val="es-ES_tradnl" w:eastAsia="es-MX"/>
        </w:rPr>
        <w:t>a Ley de Transparencia y Acceso a la Información Pública del Estado de México y Municipios, prevé en su artículo 23, fracción IV, que son Sujetos Obligados a Transparentar y permitir el acceso a su información y proteger l</w:t>
      </w:r>
      <w:r w:rsidR="0015656E">
        <w:rPr>
          <w:rFonts w:ascii="Palatino Linotype" w:eastAsia="Times New Roman" w:hAnsi="Palatino Linotype" w:cs="Arial"/>
          <w:sz w:val="24"/>
          <w:lang w:val="es-ES_tradnl" w:eastAsia="es-MX"/>
        </w:rPr>
        <w:t>os datos que obren en su poder:</w:t>
      </w:r>
    </w:p>
    <w:p w14:paraId="19D9EF0C" w14:textId="77777777" w:rsidR="00A916EF" w:rsidRPr="00F444C4" w:rsidRDefault="00A916EF" w:rsidP="00A916EF">
      <w:pPr>
        <w:spacing w:after="0" w:line="360" w:lineRule="auto"/>
        <w:ind w:left="567" w:right="616"/>
        <w:contextualSpacing/>
        <w:jc w:val="both"/>
        <w:rPr>
          <w:rFonts w:ascii="Palatino Linotype" w:eastAsia="Times New Roman" w:hAnsi="Palatino Linotype" w:cs="Arial"/>
          <w:i/>
          <w:lang w:val="es-ES_tradnl" w:eastAsia="es-MX"/>
        </w:rPr>
      </w:pPr>
      <w:r w:rsidRPr="00F444C4">
        <w:rPr>
          <w:rFonts w:ascii="Palatino Linotype" w:eastAsia="Times New Roman" w:hAnsi="Palatino Linotype" w:cs="Arial"/>
          <w:b/>
          <w:i/>
          <w:lang w:val="es-ES_tradnl" w:eastAsia="es-MX"/>
        </w:rPr>
        <w:t>Artículo 23.</w:t>
      </w:r>
      <w:r w:rsidRPr="00F444C4">
        <w:rPr>
          <w:rFonts w:ascii="Palatino Linotype" w:eastAsia="Times New Roman" w:hAnsi="Palatino Linotype" w:cs="Arial"/>
          <w:i/>
          <w:lang w:val="es-ES_tradnl" w:eastAsia="es-MX"/>
        </w:rPr>
        <w:t xml:space="preserve"> Son sujetos obligados a transparentar y permitir el acceso a su información y proteger los datos personales que obren en su poder:</w:t>
      </w:r>
    </w:p>
    <w:p w14:paraId="58B45A54" w14:textId="77777777" w:rsidR="00A916EF" w:rsidRPr="00F444C4" w:rsidRDefault="00A916EF" w:rsidP="00A916EF">
      <w:pPr>
        <w:spacing w:after="0" w:line="360" w:lineRule="auto"/>
        <w:ind w:left="567" w:right="616"/>
        <w:contextualSpacing/>
        <w:jc w:val="both"/>
        <w:rPr>
          <w:rFonts w:ascii="Palatino Linotype" w:eastAsia="Times New Roman" w:hAnsi="Palatino Linotype" w:cs="Arial"/>
          <w:b/>
          <w:i/>
          <w:lang w:val="es-ES_tradnl" w:eastAsia="es-MX"/>
        </w:rPr>
      </w:pPr>
    </w:p>
    <w:p w14:paraId="2BBCF1F7" w14:textId="7EC9B1EC" w:rsidR="00CB3350" w:rsidRPr="00A944B4" w:rsidRDefault="00A916EF" w:rsidP="00A944B4">
      <w:pPr>
        <w:spacing w:after="0" w:line="360" w:lineRule="auto"/>
        <w:ind w:left="567" w:right="616"/>
        <w:contextualSpacing/>
        <w:jc w:val="both"/>
        <w:rPr>
          <w:rFonts w:ascii="Palatino Linotype" w:eastAsia="Times New Roman" w:hAnsi="Palatino Linotype" w:cs="Arial"/>
          <w:bCs/>
          <w:i/>
          <w:lang w:val="es-ES_tradnl" w:eastAsia="es-MX"/>
        </w:rPr>
      </w:pPr>
      <w:r w:rsidRPr="00F444C4">
        <w:rPr>
          <w:rFonts w:ascii="Palatino Linotype" w:eastAsia="Times New Roman" w:hAnsi="Palatino Linotype" w:cs="Arial"/>
          <w:b/>
          <w:i/>
          <w:lang w:val="es-ES_tradnl" w:eastAsia="es-MX"/>
        </w:rPr>
        <w:t xml:space="preserve">IV. </w:t>
      </w:r>
      <w:r w:rsidRPr="00F444C4">
        <w:rPr>
          <w:rFonts w:ascii="Palatino Linotype" w:eastAsia="Times New Roman" w:hAnsi="Palatino Linotype" w:cs="Arial"/>
          <w:bCs/>
          <w:i/>
          <w:lang w:val="es-ES_tradnl" w:eastAsia="es-MX"/>
        </w:rPr>
        <w:t xml:space="preserve">Los ayuntamientos y las dependencias, organismos, órganos y entidades de la </w:t>
      </w:r>
      <w:r w:rsidRPr="00D66A68">
        <w:rPr>
          <w:rFonts w:ascii="Palatino Linotype" w:eastAsia="Times New Roman" w:hAnsi="Palatino Linotype" w:cs="Arial"/>
          <w:bCs/>
          <w:i/>
          <w:lang w:val="es-ES_tradnl" w:eastAsia="es-MX"/>
        </w:rPr>
        <w:t>administración municipal;</w:t>
      </w:r>
    </w:p>
    <w:p w14:paraId="0C82545B" w14:textId="77777777" w:rsidR="008F0801" w:rsidRDefault="008F0801" w:rsidP="00D66A68">
      <w:pPr>
        <w:spacing w:after="0" w:line="360" w:lineRule="auto"/>
        <w:jc w:val="both"/>
        <w:rPr>
          <w:rFonts w:ascii="Palatino Linotype" w:hAnsi="Palatino Linotype"/>
          <w:sz w:val="24"/>
          <w:szCs w:val="24"/>
        </w:rPr>
      </w:pPr>
    </w:p>
    <w:p w14:paraId="1A3E0232" w14:textId="4F79B08F" w:rsidR="00FC22FE" w:rsidRDefault="008027F5" w:rsidP="001F03A5">
      <w:pPr>
        <w:spacing w:line="360" w:lineRule="auto"/>
        <w:jc w:val="both"/>
        <w:rPr>
          <w:rFonts w:ascii="Palatino Linotype" w:hAnsi="Palatino Linotype"/>
          <w:sz w:val="24"/>
          <w:szCs w:val="24"/>
        </w:rPr>
      </w:pPr>
      <w:r>
        <w:rPr>
          <w:rFonts w:ascii="Palatino Linotype" w:hAnsi="Palatino Linotype"/>
          <w:sz w:val="24"/>
          <w:szCs w:val="24"/>
        </w:rPr>
        <w:t xml:space="preserve">Establecido lo anterior, </w:t>
      </w:r>
      <w:r w:rsidR="00FC22FE">
        <w:rPr>
          <w:rFonts w:ascii="Palatino Linotype" w:hAnsi="Palatino Linotype"/>
          <w:sz w:val="24"/>
          <w:szCs w:val="24"/>
        </w:rPr>
        <w:t xml:space="preserve">se procede a analizar la competencia del servidor público habilitado que proporciona la respuesta e informe justificado, al respecto se trae a estudio el </w:t>
      </w:r>
      <w:r w:rsidR="001F03A5">
        <w:rPr>
          <w:rFonts w:ascii="Palatino Linotype" w:hAnsi="Palatino Linotype"/>
          <w:sz w:val="24"/>
          <w:szCs w:val="24"/>
        </w:rPr>
        <w:t>artículo 160 del Bando Municipal</w:t>
      </w:r>
      <w:r w:rsidR="00C83B0F">
        <w:rPr>
          <w:rFonts w:ascii="Palatino Linotype" w:hAnsi="Palatino Linotype"/>
          <w:sz w:val="24"/>
          <w:szCs w:val="24"/>
        </w:rPr>
        <w:t xml:space="preserve"> de 2024</w:t>
      </w:r>
      <w:r w:rsidR="001F03A5">
        <w:rPr>
          <w:rFonts w:ascii="Palatino Linotype" w:hAnsi="Palatino Linotype"/>
          <w:sz w:val="24"/>
          <w:szCs w:val="24"/>
        </w:rPr>
        <w:t xml:space="preserve">, el cual establece que la </w:t>
      </w:r>
      <w:r w:rsidR="001F03A5" w:rsidRPr="001F03A5">
        <w:rPr>
          <w:rFonts w:ascii="Palatino Linotype" w:hAnsi="Palatino Linotype"/>
          <w:sz w:val="24"/>
          <w:szCs w:val="24"/>
        </w:rPr>
        <w:t>a Coordinación de</w:t>
      </w:r>
      <w:r w:rsidR="001F03A5">
        <w:rPr>
          <w:rFonts w:ascii="Palatino Linotype" w:hAnsi="Palatino Linotype"/>
          <w:sz w:val="24"/>
          <w:szCs w:val="24"/>
        </w:rPr>
        <w:t xml:space="preserve"> </w:t>
      </w:r>
      <w:r w:rsidR="001F03A5" w:rsidRPr="001F03A5">
        <w:rPr>
          <w:rFonts w:ascii="Palatino Linotype" w:hAnsi="Palatino Linotype"/>
          <w:sz w:val="24"/>
          <w:szCs w:val="24"/>
        </w:rPr>
        <w:t>Ordenamiento Comercial</w:t>
      </w:r>
      <w:r w:rsidR="00D551C2">
        <w:rPr>
          <w:rFonts w:ascii="Palatino Linotype" w:hAnsi="Palatino Linotype"/>
          <w:sz w:val="24"/>
          <w:szCs w:val="24"/>
        </w:rPr>
        <w:t xml:space="preserve">, </w:t>
      </w:r>
      <w:proofErr w:type="spellStart"/>
      <w:r w:rsidR="00D551C2">
        <w:rPr>
          <w:rFonts w:ascii="Palatino Linotype" w:hAnsi="Palatino Linotype"/>
          <w:sz w:val="24"/>
          <w:szCs w:val="24"/>
        </w:rPr>
        <w:t>esta</w:t>
      </w:r>
      <w:proofErr w:type="spellEnd"/>
      <w:r w:rsidR="00D551C2">
        <w:rPr>
          <w:rFonts w:ascii="Palatino Linotype" w:hAnsi="Palatino Linotype"/>
          <w:sz w:val="24"/>
          <w:szCs w:val="24"/>
        </w:rPr>
        <w:t xml:space="preserve"> facultado para verificar e inspeccionar el cumplimiento de las disposiciones de carácter administrativo</w:t>
      </w:r>
      <w:r w:rsidR="00775F80">
        <w:rPr>
          <w:rFonts w:ascii="Palatino Linotype" w:hAnsi="Palatino Linotype"/>
          <w:sz w:val="24"/>
          <w:szCs w:val="24"/>
        </w:rPr>
        <w:t xml:space="preserve">, así como requerir ir a quienes presenten irregularidades en su giro, así para </w:t>
      </w:r>
      <w:r w:rsidR="00D551C2">
        <w:rPr>
          <w:rFonts w:ascii="Palatino Linotype" w:hAnsi="Palatino Linotype"/>
          <w:sz w:val="24"/>
          <w:szCs w:val="24"/>
        </w:rPr>
        <w:t>conmina</w:t>
      </w:r>
      <w:r w:rsidR="00775F80">
        <w:rPr>
          <w:rFonts w:ascii="Palatino Linotype" w:hAnsi="Palatino Linotype"/>
          <w:sz w:val="24"/>
          <w:szCs w:val="24"/>
        </w:rPr>
        <w:t>r</w:t>
      </w:r>
      <w:r w:rsidR="00D551C2">
        <w:rPr>
          <w:rFonts w:ascii="Palatino Linotype" w:hAnsi="Palatino Linotype"/>
          <w:sz w:val="24"/>
          <w:szCs w:val="24"/>
        </w:rPr>
        <w:t xml:space="preserve"> a particulares a cumplir con la regulación del giro comercial que </w:t>
      </w:r>
      <w:r w:rsidR="00775F80">
        <w:rPr>
          <w:rFonts w:ascii="Palatino Linotype" w:hAnsi="Palatino Linotype"/>
          <w:sz w:val="24"/>
          <w:szCs w:val="24"/>
        </w:rPr>
        <w:t>indique</w:t>
      </w:r>
      <w:r w:rsidR="00D551C2">
        <w:rPr>
          <w:rFonts w:ascii="Palatino Linotype" w:hAnsi="Palatino Linotype"/>
          <w:sz w:val="24"/>
          <w:szCs w:val="24"/>
        </w:rPr>
        <w:t xml:space="preserve"> su licencia</w:t>
      </w:r>
      <w:r w:rsidR="00775F80">
        <w:rPr>
          <w:rFonts w:ascii="Palatino Linotype" w:hAnsi="Palatino Linotype"/>
          <w:sz w:val="24"/>
          <w:szCs w:val="24"/>
        </w:rPr>
        <w:t>.</w:t>
      </w:r>
    </w:p>
    <w:p w14:paraId="326B0261" w14:textId="748942A1" w:rsidR="00775F80" w:rsidRPr="00775F80" w:rsidRDefault="00775F80" w:rsidP="00775F80">
      <w:pPr>
        <w:spacing w:line="360" w:lineRule="auto"/>
        <w:ind w:left="851" w:right="565"/>
        <w:jc w:val="both"/>
        <w:rPr>
          <w:rFonts w:ascii="Palatino Linotype" w:hAnsi="Palatino Linotype"/>
          <w:i/>
          <w:iCs/>
        </w:rPr>
      </w:pPr>
      <w:r w:rsidRPr="00775F80">
        <w:rPr>
          <w:rFonts w:ascii="Palatino Linotype" w:hAnsi="Palatino Linotype"/>
          <w:b/>
          <w:bCs/>
          <w:i/>
          <w:iCs/>
        </w:rPr>
        <w:t>Artículo 160.-</w:t>
      </w:r>
      <w:r w:rsidRPr="00775F80">
        <w:rPr>
          <w:rFonts w:ascii="Palatino Linotype" w:hAnsi="Palatino Linotype"/>
          <w:i/>
          <w:iCs/>
        </w:rPr>
        <w:t xml:space="preserve"> El Ayuntamiento, a través de las dependencias y/o unidades administrativas correspondientes, está facultado para verificar e inspeccionar el cumplimiento de todas las disposiciones de carácter administrativo, así como requerir, en su caso, a quienes presenten irregularidad en su giro o rezago en sus obligaciones contributivas con el Municipio, en coordinación con la Tesorería Municipal.</w:t>
      </w:r>
    </w:p>
    <w:p w14:paraId="54EC53C1" w14:textId="77777777" w:rsidR="00775F80" w:rsidRDefault="00775F80" w:rsidP="00775F80">
      <w:pPr>
        <w:spacing w:line="360" w:lineRule="auto"/>
        <w:ind w:left="851" w:right="565"/>
        <w:jc w:val="both"/>
        <w:rPr>
          <w:rFonts w:ascii="Palatino Linotype" w:hAnsi="Palatino Linotype"/>
          <w:i/>
          <w:iCs/>
        </w:rPr>
      </w:pPr>
    </w:p>
    <w:p w14:paraId="326E507D" w14:textId="1596CABC" w:rsidR="00775F80" w:rsidRDefault="00775F80" w:rsidP="00775F80">
      <w:pPr>
        <w:spacing w:line="360" w:lineRule="auto"/>
        <w:ind w:left="851" w:right="565"/>
        <w:jc w:val="both"/>
        <w:rPr>
          <w:rFonts w:ascii="Palatino Linotype" w:hAnsi="Palatino Linotype"/>
          <w:i/>
          <w:iCs/>
        </w:rPr>
      </w:pPr>
      <w:r w:rsidRPr="00775F80">
        <w:rPr>
          <w:rFonts w:ascii="Palatino Linotype" w:hAnsi="Palatino Linotype"/>
          <w:i/>
          <w:iCs/>
        </w:rPr>
        <w:t>Para coadyuvar al cumplimiento de esta disposición, se faculta a la Coordinación de Ordenamiento Comercial, para que, en el marco de sus atribuciones, amoneste y conmine a los particulares a cumplir con la regulación del giro comercial que indique su licencia o permiso según sea el caso, notificándoles el citatorio para desahogar la garantía de audiencia y seguridad jurídica, con arreglo a las formalidades esenciales del procedimiento administrativo común, contemplado en el Código de Procedimientos Administrativos del Estado de México y en términos del artículo 95 fracción II de la Ley Orgánica Municipal del Estado de México.</w:t>
      </w:r>
    </w:p>
    <w:p w14:paraId="6D9FD953" w14:textId="1257E195" w:rsidR="00F85CCA" w:rsidRDefault="00C83B0F" w:rsidP="00C83B0F">
      <w:pPr>
        <w:spacing w:line="360" w:lineRule="auto"/>
        <w:ind w:right="565"/>
        <w:jc w:val="both"/>
        <w:rPr>
          <w:rFonts w:ascii="Palatino Linotype" w:hAnsi="Palatino Linotype"/>
          <w:iCs/>
        </w:rPr>
      </w:pPr>
      <w:r>
        <w:rPr>
          <w:rFonts w:ascii="Palatino Linotype" w:hAnsi="Palatino Linotype"/>
          <w:iCs/>
        </w:rPr>
        <w:t xml:space="preserve">En ese sentido, el Bando Municipal de 2025, del Sujeto Obligado determina las </w:t>
      </w:r>
      <w:r w:rsidR="00F07A7E">
        <w:rPr>
          <w:rFonts w:ascii="Palatino Linotype" w:hAnsi="Palatino Linotype"/>
          <w:iCs/>
        </w:rPr>
        <w:t>facultades</w:t>
      </w:r>
      <w:r>
        <w:rPr>
          <w:rFonts w:ascii="Palatino Linotype" w:hAnsi="Palatino Linotype"/>
          <w:iCs/>
        </w:rPr>
        <w:t xml:space="preserve"> de la ahora Coordinación de Regulación Comercial</w:t>
      </w:r>
      <w:r w:rsidR="00D60712">
        <w:rPr>
          <w:rFonts w:ascii="Palatino Linotype" w:hAnsi="Palatino Linotype"/>
          <w:iCs/>
        </w:rPr>
        <w:t xml:space="preserve">, relativas a la </w:t>
      </w:r>
      <w:r w:rsidR="00F07A7E">
        <w:rPr>
          <w:rFonts w:ascii="Palatino Linotype" w:hAnsi="Palatino Linotype"/>
          <w:iCs/>
        </w:rPr>
        <w:t>evacuación</w:t>
      </w:r>
      <w:r w:rsidR="00D60712">
        <w:rPr>
          <w:rFonts w:ascii="Palatino Linotype" w:hAnsi="Palatino Linotype"/>
          <w:iCs/>
        </w:rPr>
        <w:t xml:space="preserve">, reubicación, clausura, suspensión retiro y aseguramiento de mercancías o desalojo de inmuebles </w:t>
      </w:r>
      <w:r w:rsidR="00F07A7E">
        <w:rPr>
          <w:rFonts w:ascii="Palatino Linotype" w:hAnsi="Palatino Linotype"/>
          <w:iCs/>
        </w:rPr>
        <w:t>relativas a las unidades económicas y del comercio.</w:t>
      </w:r>
    </w:p>
    <w:p w14:paraId="59F1CBCA" w14:textId="77777777" w:rsidR="00801196" w:rsidRPr="00801196" w:rsidRDefault="00F07A7E" w:rsidP="00801196">
      <w:pPr>
        <w:spacing w:line="360" w:lineRule="auto"/>
        <w:ind w:left="851" w:right="565"/>
        <w:jc w:val="both"/>
        <w:rPr>
          <w:rFonts w:ascii="Palatino Linotype" w:hAnsi="Palatino Linotype"/>
          <w:i/>
          <w:iCs/>
        </w:rPr>
      </w:pPr>
      <w:r w:rsidRPr="00801196">
        <w:rPr>
          <w:rFonts w:ascii="Palatino Linotype" w:hAnsi="Palatino Linotype"/>
          <w:b/>
          <w:i/>
          <w:iCs/>
        </w:rPr>
        <w:t>Artículo 214.-</w:t>
      </w:r>
      <w:r w:rsidRPr="00801196">
        <w:rPr>
          <w:rFonts w:ascii="Palatino Linotype" w:hAnsi="Palatino Linotype"/>
          <w:i/>
          <w:iCs/>
        </w:rPr>
        <w:t xml:space="preserve"> El titular de la Coordinación de Regulación Comercial podrá adoptar y ordenar las siguientes medidas de seguridad: </w:t>
      </w:r>
    </w:p>
    <w:p w14:paraId="77394091" w14:textId="3BA47DA1" w:rsidR="00801196" w:rsidRPr="00801196" w:rsidRDefault="00F07A7E" w:rsidP="00801196">
      <w:pPr>
        <w:pStyle w:val="Prrafodelista"/>
        <w:numPr>
          <w:ilvl w:val="0"/>
          <w:numId w:val="8"/>
        </w:numPr>
        <w:ind w:left="851" w:right="565" w:firstLine="0"/>
        <w:rPr>
          <w:i/>
          <w:iCs/>
          <w:sz w:val="22"/>
          <w:szCs w:val="22"/>
        </w:rPr>
      </w:pPr>
      <w:r w:rsidRPr="00801196">
        <w:rPr>
          <w:i/>
          <w:iCs/>
          <w:sz w:val="22"/>
          <w:szCs w:val="22"/>
        </w:rPr>
        <w:t xml:space="preserve">Retiro y aseguramiento inmediato de mercancías, productos, enseres, anuncios, instrumentos, mobiliario, materiales, vehículos, sustancias y cualquier objeto que invada pasos peatonales, vehiculares vías, plazas públicas o lugares de uso común; </w:t>
      </w:r>
    </w:p>
    <w:p w14:paraId="24306E3A" w14:textId="77777777" w:rsidR="00801196" w:rsidRPr="00801196" w:rsidRDefault="00F07A7E" w:rsidP="00801196">
      <w:pPr>
        <w:pStyle w:val="Prrafodelista"/>
        <w:numPr>
          <w:ilvl w:val="0"/>
          <w:numId w:val="8"/>
        </w:numPr>
        <w:ind w:left="851" w:right="565" w:firstLine="0"/>
        <w:rPr>
          <w:i/>
          <w:iCs/>
          <w:sz w:val="22"/>
          <w:szCs w:val="22"/>
        </w:rPr>
      </w:pPr>
      <w:r w:rsidRPr="00801196">
        <w:rPr>
          <w:i/>
          <w:iCs/>
          <w:sz w:val="22"/>
          <w:szCs w:val="22"/>
        </w:rPr>
        <w:t xml:space="preserve">Desocupación o desalojo parcial o total de inmuebles en los cuales se ejerza la actividad económica o espectáculos públicos; </w:t>
      </w:r>
    </w:p>
    <w:p w14:paraId="32A154E8" w14:textId="77777777" w:rsidR="00801196" w:rsidRPr="00801196" w:rsidRDefault="00F07A7E" w:rsidP="00801196">
      <w:pPr>
        <w:pStyle w:val="Prrafodelista"/>
        <w:numPr>
          <w:ilvl w:val="0"/>
          <w:numId w:val="8"/>
        </w:numPr>
        <w:ind w:left="851" w:right="565" w:firstLine="0"/>
        <w:rPr>
          <w:i/>
          <w:iCs/>
          <w:sz w:val="22"/>
          <w:szCs w:val="22"/>
        </w:rPr>
      </w:pPr>
      <w:r w:rsidRPr="00801196">
        <w:rPr>
          <w:i/>
          <w:iCs/>
          <w:sz w:val="22"/>
          <w:szCs w:val="22"/>
        </w:rPr>
        <w:t xml:space="preserve">Evacuación; </w:t>
      </w:r>
    </w:p>
    <w:p w14:paraId="54BFD10E" w14:textId="77777777" w:rsidR="00801196" w:rsidRPr="00801196" w:rsidRDefault="00F07A7E" w:rsidP="00801196">
      <w:pPr>
        <w:pStyle w:val="Prrafodelista"/>
        <w:numPr>
          <w:ilvl w:val="0"/>
          <w:numId w:val="8"/>
        </w:numPr>
        <w:ind w:left="851" w:right="565" w:firstLine="0"/>
        <w:rPr>
          <w:i/>
          <w:iCs/>
          <w:sz w:val="22"/>
          <w:szCs w:val="22"/>
        </w:rPr>
      </w:pPr>
      <w:r w:rsidRPr="00801196">
        <w:rPr>
          <w:i/>
          <w:iCs/>
          <w:sz w:val="22"/>
          <w:szCs w:val="22"/>
        </w:rPr>
        <w:t xml:space="preserve">Reubicación; </w:t>
      </w:r>
    </w:p>
    <w:p w14:paraId="07E705C4" w14:textId="77777777" w:rsidR="00801196" w:rsidRPr="00801196" w:rsidRDefault="00F07A7E" w:rsidP="00801196">
      <w:pPr>
        <w:pStyle w:val="Prrafodelista"/>
        <w:numPr>
          <w:ilvl w:val="0"/>
          <w:numId w:val="8"/>
        </w:numPr>
        <w:ind w:left="851" w:right="565" w:firstLine="0"/>
        <w:rPr>
          <w:i/>
          <w:iCs/>
          <w:sz w:val="22"/>
          <w:szCs w:val="22"/>
        </w:rPr>
      </w:pPr>
      <w:r w:rsidRPr="00801196">
        <w:rPr>
          <w:i/>
          <w:iCs/>
          <w:sz w:val="22"/>
          <w:szCs w:val="22"/>
        </w:rPr>
        <w:t xml:space="preserve">Clausura temporal o provisional, total o parcial de la unidad económica, la que podrá subsistir hasta que se demuestre que se cuenta con los permisos, licencias o autorizaciones respectivos o bien, se cumplan las condiciones necesarias para permitirla operación de la </w:t>
      </w:r>
      <w:r w:rsidRPr="00801196">
        <w:rPr>
          <w:i/>
          <w:iCs/>
          <w:sz w:val="22"/>
          <w:szCs w:val="22"/>
        </w:rPr>
        <w:lastRenderedPageBreak/>
        <w:t xml:space="preserve">unidad económica o el levantamiento de la Medida; siempre y cuando los dictámenes de protección civil y desarrollo urbano expresen que no se afectan la integridad de peatones y/o cause hechos de tránsito, y no se afecte bienes de uso común respectivamente emitidos por estas dependencias. </w:t>
      </w:r>
    </w:p>
    <w:p w14:paraId="0DDBF645" w14:textId="77777777" w:rsidR="00801196" w:rsidRPr="00801196" w:rsidRDefault="00F07A7E" w:rsidP="00801196">
      <w:pPr>
        <w:pStyle w:val="Prrafodelista"/>
        <w:numPr>
          <w:ilvl w:val="0"/>
          <w:numId w:val="8"/>
        </w:numPr>
        <w:ind w:left="851" w:right="565" w:firstLine="0"/>
        <w:rPr>
          <w:i/>
          <w:iCs/>
          <w:sz w:val="22"/>
          <w:szCs w:val="22"/>
        </w:rPr>
      </w:pPr>
      <w:r w:rsidRPr="00801196">
        <w:rPr>
          <w:i/>
          <w:iCs/>
          <w:sz w:val="22"/>
          <w:szCs w:val="22"/>
        </w:rPr>
        <w:t xml:space="preserve">Suspensión del evento o espectáculo; </w:t>
      </w:r>
    </w:p>
    <w:p w14:paraId="3DB38661" w14:textId="77777777" w:rsidR="00801196" w:rsidRPr="00801196" w:rsidRDefault="00F07A7E" w:rsidP="00801196">
      <w:pPr>
        <w:pStyle w:val="Prrafodelista"/>
        <w:numPr>
          <w:ilvl w:val="0"/>
          <w:numId w:val="8"/>
        </w:numPr>
        <w:ind w:left="851" w:right="565" w:firstLine="0"/>
        <w:rPr>
          <w:i/>
          <w:iCs/>
          <w:sz w:val="22"/>
          <w:szCs w:val="22"/>
        </w:rPr>
      </w:pPr>
      <w:r w:rsidRPr="00801196">
        <w:rPr>
          <w:i/>
          <w:iCs/>
          <w:sz w:val="22"/>
          <w:szCs w:val="22"/>
        </w:rPr>
        <w:t xml:space="preserve">Suspensión temporal de la actividad económica; </w:t>
      </w:r>
    </w:p>
    <w:p w14:paraId="10AE102F" w14:textId="77777777" w:rsidR="00801196" w:rsidRPr="00801196" w:rsidRDefault="00F07A7E" w:rsidP="00801196">
      <w:pPr>
        <w:pStyle w:val="Prrafodelista"/>
        <w:numPr>
          <w:ilvl w:val="0"/>
          <w:numId w:val="8"/>
        </w:numPr>
        <w:ind w:left="851" w:right="565" w:firstLine="0"/>
        <w:rPr>
          <w:i/>
          <w:iCs/>
          <w:sz w:val="22"/>
          <w:szCs w:val="22"/>
        </w:rPr>
      </w:pPr>
      <w:r w:rsidRPr="00801196">
        <w:rPr>
          <w:i/>
          <w:iCs/>
          <w:sz w:val="22"/>
          <w:szCs w:val="22"/>
        </w:rPr>
        <w:t xml:space="preserve">Suspensión temporal del Anuncio Publicitario; </w:t>
      </w:r>
    </w:p>
    <w:p w14:paraId="3EBBA304" w14:textId="77777777" w:rsidR="00801196" w:rsidRPr="00801196" w:rsidRDefault="00F07A7E" w:rsidP="00801196">
      <w:pPr>
        <w:pStyle w:val="Prrafodelista"/>
        <w:numPr>
          <w:ilvl w:val="0"/>
          <w:numId w:val="8"/>
        </w:numPr>
        <w:ind w:left="851" w:right="565" w:firstLine="0"/>
        <w:rPr>
          <w:i/>
          <w:iCs/>
          <w:sz w:val="22"/>
          <w:szCs w:val="22"/>
        </w:rPr>
      </w:pPr>
      <w:r w:rsidRPr="00801196">
        <w:rPr>
          <w:i/>
          <w:iCs/>
          <w:sz w:val="22"/>
          <w:szCs w:val="22"/>
        </w:rPr>
        <w:t xml:space="preserve">Remisión a la autoridad competente; y </w:t>
      </w:r>
    </w:p>
    <w:p w14:paraId="2ABD5BCC" w14:textId="7593FE8C" w:rsidR="00F07A7E" w:rsidRPr="00801196" w:rsidRDefault="00F07A7E" w:rsidP="00801196">
      <w:pPr>
        <w:pStyle w:val="Prrafodelista"/>
        <w:numPr>
          <w:ilvl w:val="0"/>
          <w:numId w:val="8"/>
        </w:numPr>
        <w:ind w:left="851" w:right="565" w:firstLine="0"/>
        <w:rPr>
          <w:i/>
          <w:iCs/>
          <w:sz w:val="22"/>
          <w:szCs w:val="22"/>
        </w:rPr>
      </w:pPr>
      <w:r w:rsidRPr="00801196">
        <w:rPr>
          <w:i/>
          <w:iCs/>
          <w:sz w:val="22"/>
          <w:szCs w:val="22"/>
        </w:rPr>
        <w:t>Cualquier otra acción o medida que tienda a garantizar el orden y el estado de derecho, así como evitar daños a las personas, bienes y proteger la salud de la población.</w:t>
      </w:r>
    </w:p>
    <w:p w14:paraId="3D776FA2" w14:textId="77777777" w:rsidR="00F07A7E" w:rsidRPr="00801196" w:rsidRDefault="00F07A7E" w:rsidP="00801196">
      <w:pPr>
        <w:spacing w:line="360" w:lineRule="auto"/>
        <w:ind w:left="851" w:right="565"/>
        <w:jc w:val="both"/>
        <w:rPr>
          <w:rFonts w:ascii="Palatino Linotype" w:hAnsi="Palatino Linotype"/>
          <w:i/>
          <w:iCs/>
        </w:rPr>
      </w:pPr>
    </w:p>
    <w:p w14:paraId="68F85230" w14:textId="4B4ED7A8" w:rsidR="00C83B0F" w:rsidRPr="00801196" w:rsidRDefault="00F07A7E" w:rsidP="00801196">
      <w:pPr>
        <w:spacing w:line="360" w:lineRule="auto"/>
        <w:ind w:left="851" w:right="565"/>
        <w:jc w:val="both"/>
        <w:rPr>
          <w:rFonts w:ascii="Palatino Linotype" w:hAnsi="Palatino Linotype"/>
          <w:i/>
          <w:iCs/>
        </w:rPr>
      </w:pPr>
      <w:r w:rsidRPr="003A490D">
        <w:rPr>
          <w:rFonts w:ascii="Palatino Linotype" w:hAnsi="Palatino Linotype"/>
          <w:b/>
          <w:i/>
          <w:iCs/>
        </w:rPr>
        <w:t>Artículo 215.-</w:t>
      </w:r>
      <w:r w:rsidRPr="00801196">
        <w:rPr>
          <w:rFonts w:ascii="Palatino Linotype" w:hAnsi="Palatino Linotype"/>
          <w:i/>
          <w:iCs/>
        </w:rPr>
        <w:t xml:space="preserve"> La Coordinación de Regulación Comercial aplicará y ejecutará sanciones en materia de comercio, industria, prestación de servicios, espectáculos, anuncios publicitarios y utilización de vías, plazas públicas o lugares de uso común dentro del Municipio</w:t>
      </w:r>
      <w:r w:rsidR="00801196" w:rsidRPr="00801196">
        <w:rPr>
          <w:rFonts w:ascii="Palatino Linotype" w:hAnsi="Palatino Linotype"/>
          <w:i/>
          <w:iCs/>
        </w:rPr>
        <w:t>.</w:t>
      </w:r>
    </w:p>
    <w:p w14:paraId="48777CC0" w14:textId="77777777" w:rsidR="003A490D" w:rsidRDefault="003A490D" w:rsidP="00662322">
      <w:pPr>
        <w:spacing w:line="360" w:lineRule="auto"/>
        <w:jc w:val="both"/>
        <w:rPr>
          <w:rFonts w:ascii="Palatino Linotype" w:hAnsi="Palatino Linotype"/>
          <w:sz w:val="24"/>
          <w:szCs w:val="24"/>
        </w:rPr>
      </w:pPr>
    </w:p>
    <w:p w14:paraId="5D8E6E9D" w14:textId="063EEED7" w:rsidR="00775F80" w:rsidRDefault="00662322" w:rsidP="00662322">
      <w:pPr>
        <w:spacing w:line="360" w:lineRule="auto"/>
        <w:jc w:val="both"/>
        <w:rPr>
          <w:rFonts w:ascii="Palatino Linotype" w:hAnsi="Palatino Linotype"/>
          <w:sz w:val="24"/>
          <w:szCs w:val="24"/>
        </w:rPr>
      </w:pPr>
      <w:r>
        <w:rPr>
          <w:rFonts w:ascii="Palatino Linotype" w:hAnsi="Palatino Linotype"/>
          <w:sz w:val="24"/>
          <w:szCs w:val="24"/>
        </w:rPr>
        <w:t xml:space="preserve">Luego entonces, se coligue que la </w:t>
      </w:r>
      <w:r w:rsidRPr="00662322">
        <w:rPr>
          <w:rFonts w:ascii="Palatino Linotype" w:hAnsi="Palatino Linotype"/>
          <w:sz w:val="24"/>
          <w:szCs w:val="24"/>
        </w:rPr>
        <w:t>Coordinación de</w:t>
      </w:r>
      <w:r>
        <w:rPr>
          <w:rFonts w:ascii="Palatino Linotype" w:hAnsi="Palatino Linotype"/>
          <w:sz w:val="24"/>
          <w:szCs w:val="24"/>
        </w:rPr>
        <w:t xml:space="preserve"> </w:t>
      </w:r>
      <w:r w:rsidRPr="00662322">
        <w:rPr>
          <w:rFonts w:ascii="Palatino Linotype" w:hAnsi="Palatino Linotype"/>
          <w:sz w:val="24"/>
          <w:szCs w:val="24"/>
        </w:rPr>
        <w:t>Ordenamiento Comercial</w:t>
      </w:r>
      <w:r>
        <w:rPr>
          <w:rFonts w:ascii="Palatino Linotype" w:hAnsi="Palatino Linotype"/>
          <w:sz w:val="24"/>
          <w:szCs w:val="24"/>
        </w:rPr>
        <w:t>, es el área encargada de revisar y exhortar a los comerciantes a cumplir con las determinaciones administrativas establecidas para tal efecto. Por lo que, la respuesta, se considera emitida por el área administrativa competente.</w:t>
      </w:r>
    </w:p>
    <w:p w14:paraId="50C61B49" w14:textId="77777777" w:rsidR="00D41EF9" w:rsidRDefault="00D41EF9" w:rsidP="00662322">
      <w:pPr>
        <w:spacing w:line="360" w:lineRule="auto"/>
        <w:jc w:val="both"/>
        <w:rPr>
          <w:rFonts w:ascii="Palatino Linotype" w:hAnsi="Palatino Linotype"/>
          <w:sz w:val="24"/>
          <w:szCs w:val="24"/>
        </w:rPr>
      </w:pPr>
    </w:p>
    <w:p w14:paraId="27395CF7" w14:textId="21FA931E" w:rsidR="00D41EF9" w:rsidRPr="00D41EF9" w:rsidRDefault="00D41EF9" w:rsidP="00D41EF9">
      <w:pPr>
        <w:spacing w:after="0" w:line="360" w:lineRule="auto"/>
        <w:jc w:val="both"/>
        <w:rPr>
          <w:rFonts w:ascii="Palatino Linotype" w:eastAsia="Calibri" w:hAnsi="Palatino Linotype" w:cs="Times New Roman"/>
          <w:sz w:val="24"/>
          <w:szCs w:val="24"/>
          <w:lang w:val="es-ES_tradnl" w:eastAsia="es-ES"/>
        </w:rPr>
      </w:pPr>
      <w:r w:rsidRPr="00D41EF9">
        <w:rPr>
          <w:rFonts w:ascii="Palatino Linotype" w:eastAsia="Calibri" w:hAnsi="Palatino Linotype" w:cs="Arial"/>
          <w:sz w:val="24"/>
          <w:lang w:val="es-ES_tradnl" w:eastAsia="es-MX"/>
        </w:rPr>
        <w:t>En primer lugar, de la redacción de</w:t>
      </w:r>
      <w:r>
        <w:rPr>
          <w:rFonts w:ascii="Palatino Linotype" w:eastAsia="Calibri" w:hAnsi="Palatino Linotype" w:cs="Arial"/>
          <w:sz w:val="24"/>
          <w:lang w:val="es-ES_tradnl" w:eastAsia="es-MX"/>
        </w:rPr>
        <w:t xml:space="preserve"> </w:t>
      </w:r>
      <w:r w:rsidRPr="00D41EF9">
        <w:rPr>
          <w:rFonts w:ascii="Palatino Linotype" w:eastAsia="Calibri" w:hAnsi="Palatino Linotype" w:cs="Arial"/>
          <w:sz w:val="24"/>
          <w:lang w:val="es-ES_tradnl" w:eastAsia="es-MX"/>
        </w:rPr>
        <w:t>l</w:t>
      </w:r>
      <w:r>
        <w:rPr>
          <w:rFonts w:ascii="Palatino Linotype" w:eastAsia="Calibri" w:hAnsi="Palatino Linotype" w:cs="Arial"/>
          <w:sz w:val="24"/>
          <w:lang w:val="es-ES_tradnl" w:eastAsia="es-MX"/>
        </w:rPr>
        <w:t>os</w:t>
      </w:r>
      <w:r w:rsidRPr="00D41EF9">
        <w:rPr>
          <w:rFonts w:ascii="Palatino Linotype" w:eastAsia="Calibri" w:hAnsi="Palatino Linotype" w:cs="Arial"/>
          <w:sz w:val="24"/>
          <w:lang w:val="es-ES_tradnl" w:eastAsia="es-MX"/>
        </w:rPr>
        <w:t xml:space="preserve"> requerimiento</w:t>
      </w:r>
      <w:r>
        <w:rPr>
          <w:rFonts w:ascii="Palatino Linotype" w:eastAsia="Calibri" w:hAnsi="Palatino Linotype" w:cs="Arial"/>
          <w:sz w:val="24"/>
          <w:lang w:val="es-ES_tradnl" w:eastAsia="es-MX"/>
        </w:rPr>
        <w:t>s</w:t>
      </w:r>
      <w:r w:rsidRPr="00D41EF9">
        <w:rPr>
          <w:rFonts w:ascii="Palatino Linotype" w:eastAsia="Calibri" w:hAnsi="Palatino Linotype" w:cs="Arial"/>
          <w:sz w:val="24"/>
          <w:lang w:val="es-ES_tradnl" w:eastAsia="es-MX"/>
        </w:rPr>
        <w:t xml:space="preserve"> de información, podemos advertir que el </w:t>
      </w:r>
      <w:r w:rsidRPr="00D41EF9">
        <w:rPr>
          <w:rFonts w:ascii="Palatino Linotype" w:eastAsia="Calibri" w:hAnsi="Palatino Linotype" w:cs="Arial"/>
          <w:b/>
          <w:sz w:val="24"/>
          <w:lang w:val="es-ES_tradnl" w:eastAsia="es-MX"/>
        </w:rPr>
        <w:t>Recurrente</w:t>
      </w:r>
      <w:r w:rsidRPr="00D41EF9">
        <w:rPr>
          <w:rFonts w:ascii="Palatino Linotype" w:eastAsia="Calibri" w:hAnsi="Palatino Linotype" w:cs="Arial"/>
          <w:sz w:val="24"/>
          <w:lang w:val="es-ES_tradnl" w:eastAsia="es-MX"/>
        </w:rPr>
        <w:t xml:space="preserve"> no desea acceder a un documento en específico, al formularlo en forma </w:t>
      </w:r>
      <w:r w:rsidRPr="00D41EF9">
        <w:rPr>
          <w:rFonts w:ascii="Palatino Linotype" w:eastAsia="Calibri" w:hAnsi="Palatino Linotype" w:cs="Arial"/>
          <w:sz w:val="24"/>
          <w:lang w:val="es-ES_tradnl" w:eastAsia="es-MX"/>
        </w:rPr>
        <w:lastRenderedPageBreak/>
        <w:t xml:space="preserve">de cuestionamientos; por ello, </w:t>
      </w:r>
      <w:r w:rsidRPr="00D41EF9">
        <w:rPr>
          <w:rFonts w:ascii="Palatino Linotype" w:eastAsia="Calibri" w:hAnsi="Palatino Linotype" w:cs="Times New Roman"/>
          <w:sz w:val="24"/>
          <w:szCs w:val="24"/>
          <w:lang w:val="es-ES_tradnl" w:eastAsia="es-ES"/>
        </w:rPr>
        <w:t xml:space="preserve">resulta necesario hacerle del conocimiento que, el derecho de acceso a la información, se satisface con la entrega del soporte documental en el cual obre la información, no así en hacer que el </w:t>
      </w:r>
      <w:r w:rsidRPr="00D41EF9">
        <w:rPr>
          <w:rFonts w:ascii="Palatino Linotype" w:eastAsia="Calibri" w:hAnsi="Palatino Linotype" w:cs="Times New Roman"/>
          <w:b/>
          <w:sz w:val="24"/>
          <w:szCs w:val="24"/>
          <w:lang w:val="es-ES_tradnl" w:eastAsia="es-ES"/>
        </w:rPr>
        <w:t>Sujeto Obligado</w:t>
      </w:r>
      <w:r w:rsidRPr="00D41EF9">
        <w:rPr>
          <w:rFonts w:ascii="Palatino Linotype" w:eastAsia="Calibri" w:hAnsi="Palatino Linotype" w:cs="Times New Roman"/>
          <w:sz w:val="24"/>
          <w:szCs w:val="24"/>
          <w:lang w:val="es-ES_tradnl" w:eastAsia="es-ES"/>
        </w:rPr>
        <w:t xml:space="preserve"> se pronuncie y/o de respuesta a cuestionamientos, toda vez que esto es derecho de petición, al tratarse de interrogantes y declaraciones que no se colman con la entrega de documentos, situación que conlleva a afirmar que se está en presencia del ejercicio del derecho de petición.</w:t>
      </w:r>
    </w:p>
    <w:p w14:paraId="5EB03530" w14:textId="77777777" w:rsidR="00D41EF9" w:rsidRPr="00D41EF9" w:rsidRDefault="00D41EF9" w:rsidP="00D41EF9">
      <w:pPr>
        <w:spacing w:after="0" w:line="360" w:lineRule="auto"/>
        <w:jc w:val="both"/>
        <w:rPr>
          <w:rFonts w:ascii="Palatino Linotype" w:eastAsia="Calibri" w:hAnsi="Palatino Linotype" w:cs="Times New Roman"/>
          <w:sz w:val="24"/>
          <w:szCs w:val="24"/>
          <w:lang w:val="es-ES_tradnl" w:eastAsia="es-ES"/>
        </w:rPr>
      </w:pPr>
    </w:p>
    <w:p w14:paraId="28F55AE4" w14:textId="77777777" w:rsidR="00D41EF9" w:rsidRPr="00D41EF9" w:rsidRDefault="00D41EF9" w:rsidP="00D41EF9">
      <w:pPr>
        <w:spacing w:after="0" w:line="360" w:lineRule="auto"/>
        <w:jc w:val="both"/>
        <w:rPr>
          <w:rFonts w:ascii="Palatino Linotype" w:eastAsia="Calibri" w:hAnsi="Palatino Linotype" w:cs="Times New Roman"/>
          <w:sz w:val="24"/>
          <w:szCs w:val="24"/>
          <w:lang w:val="es-ES_tradnl" w:eastAsia="es-ES"/>
        </w:rPr>
      </w:pPr>
      <w:r w:rsidRPr="00D41EF9">
        <w:rPr>
          <w:rFonts w:ascii="Palatino Linotype" w:eastAsia="Calibri" w:hAnsi="Palatino Linotype" w:cs="Times New Roman"/>
          <w:sz w:val="24"/>
          <w:szCs w:val="24"/>
          <w:lang w:val="es-ES_tradnl" w:eastAsia="es-ES"/>
        </w:rPr>
        <w:t xml:space="preserve">La entrega de una razón o un razonamiento por el </w:t>
      </w:r>
      <w:r w:rsidRPr="00D41EF9">
        <w:rPr>
          <w:rFonts w:ascii="Palatino Linotype" w:eastAsia="Calibri" w:hAnsi="Palatino Linotype" w:cs="Times New Roman"/>
          <w:b/>
          <w:sz w:val="24"/>
          <w:szCs w:val="24"/>
          <w:lang w:val="es-ES_tradnl" w:eastAsia="es-ES"/>
        </w:rPr>
        <w:t>Sujeto Obligado</w:t>
      </w:r>
      <w:r w:rsidRPr="00D41EF9">
        <w:rPr>
          <w:rFonts w:ascii="Palatino Linotype" w:eastAsia="Calibri" w:hAnsi="Palatino Linotype" w:cs="Times New Roman"/>
          <w:sz w:val="24"/>
          <w:szCs w:val="24"/>
          <w:lang w:val="es-ES_tradnl" w:eastAsia="es-ES"/>
        </w:rPr>
        <w:t xml:space="preserve"> no es algo que la Ley de Transparencia Local establezca como atribución, derecho, facultad u obligación; pues ello implicaría un juicio de valor referente a un cuestionamiento realizado. Los cuales, al constituir interrogantes, inquietudes y manifestaciones se satisfacen vía derecho de petición (consagrado en el artículo 8° Constitucional), no así en ejercicio del derecho de acceso a la información pública.</w:t>
      </w:r>
    </w:p>
    <w:p w14:paraId="67AC983F" w14:textId="77777777" w:rsidR="00D41EF9" w:rsidRPr="00D41EF9" w:rsidRDefault="00D41EF9" w:rsidP="00D41EF9">
      <w:pPr>
        <w:spacing w:after="0" w:line="360" w:lineRule="auto"/>
        <w:jc w:val="both"/>
        <w:rPr>
          <w:rFonts w:ascii="Palatino Linotype" w:eastAsia="Calibri" w:hAnsi="Palatino Linotype" w:cs="Times New Roman"/>
          <w:sz w:val="24"/>
          <w:szCs w:val="24"/>
          <w:lang w:val="es-ES_tradnl" w:eastAsia="es-ES"/>
        </w:rPr>
      </w:pPr>
    </w:p>
    <w:p w14:paraId="6359844C" w14:textId="4611533D" w:rsidR="00D41EF9" w:rsidRPr="00D41EF9" w:rsidRDefault="00D41EF9" w:rsidP="00D41EF9">
      <w:pPr>
        <w:spacing w:after="0" w:line="360" w:lineRule="auto"/>
        <w:jc w:val="both"/>
        <w:rPr>
          <w:rFonts w:ascii="Palatino Linotype" w:eastAsia="MS Mincho" w:hAnsi="Palatino Linotype" w:cs="Arial"/>
          <w:sz w:val="24"/>
          <w:szCs w:val="28"/>
          <w:lang w:val="es-ES_tradnl" w:eastAsia="es-ES"/>
        </w:rPr>
      </w:pPr>
      <w:r w:rsidRPr="00D41EF9">
        <w:rPr>
          <w:rFonts w:ascii="Palatino Linotype" w:eastAsia="Calibri" w:hAnsi="Palatino Linotype" w:cs="Arial"/>
          <w:sz w:val="24"/>
          <w:szCs w:val="24"/>
          <w:lang w:val="es-ES" w:eastAsia="es-MX"/>
        </w:rPr>
        <w:t xml:space="preserve">En el mismo orden de ideas, si bien, corresponden a cuestionamientos atendibles mediante el derecho de petición, también lo es que </w:t>
      </w:r>
      <w:r w:rsidRPr="00D41EF9">
        <w:rPr>
          <w:rFonts w:ascii="Palatino Linotype" w:eastAsia="Times New Roman" w:hAnsi="Palatino Linotype" w:cs="Arial"/>
          <w:bCs/>
          <w:iCs/>
          <w:color w:val="000000"/>
          <w:sz w:val="24"/>
          <w:szCs w:val="28"/>
          <w:lang w:val="es-ES_tradnl" w:eastAsia="es-ES"/>
        </w:rPr>
        <w:t xml:space="preserve">de conformidad con el </w:t>
      </w:r>
      <w:r w:rsidRPr="00D41EF9">
        <w:rPr>
          <w:rFonts w:ascii="Palatino Linotype" w:eastAsia="MS Mincho" w:hAnsi="Palatino Linotype" w:cs="Times New Roman"/>
          <w:sz w:val="24"/>
          <w:szCs w:val="28"/>
          <w:lang w:val="es-ES_tradnl" w:eastAsia="es-ES"/>
        </w:rPr>
        <w:t>Criterio</w:t>
      </w:r>
      <w:r w:rsidR="0054701A">
        <w:rPr>
          <w:rFonts w:ascii="Palatino Linotype" w:eastAsia="MS Mincho" w:hAnsi="Palatino Linotype" w:cs="Times New Roman"/>
          <w:sz w:val="24"/>
          <w:szCs w:val="28"/>
          <w:lang w:val="es-ES_tradnl" w:eastAsia="es-ES"/>
        </w:rPr>
        <w:t xml:space="preserve"> orientador</w:t>
      </w:r>
      <w:r w:rsidR="0054701A" w:rsidRPr="00D41EF9">
        <w:rPr>
          <w:rFonts w:ascii="Palatino Linotype" w:eastAsia="MS Mincho" w:hAnsi="Palatino Linotype" w:cs="Arial"/>
          <w:sz w:val="24"/>
          <w:szCs w:val="28"/>
          <w:lang w:val="es-ES_tradnl" w:eastAsia="es-ES"/>
        </w:rPr>
        <w:t xml:space="preserve"> </w:t>
      </w:r>
      <w:r w:rsidRPr="00D41EF9">
        <w:rPr>
          <w:rFonts w:ascii="Palatino Linotype" w:eastAsia="MS Mincho" w:hAnsi="Palatino Linotype" w:cs="Times New Roman"/>
          <w:b/>
          <w:sz w:val="24"/>
          <w:szCs w:val="28"/>
          <w:lang w:val="es-ES_tradnl" w:eastAsia="es-ES"/>
        </w:rPr>
        <w:t>028</w:t>
      </w:r>
      <w:r w:rsidRPr="00D41EF9">
        <w:rPr>
          <w:rFonts w:ascii="Palatino Linotype" w:eastAsia="MS Mincho" w:hAnsi="Palatino Linotype" w:cs="Arial"/>
          <w:b/>
          <w:sz w:val="24"/>
          <w:szCs w:val="28"/>
          <w:lang w:val="es-ES_tradnl" w:eastAsia="es-ES"/>
        </w:rPr>
        <w:t>-</w:t>
      </w:r>
      <w:r w:rsidRPr="00D41EF9">
        <w:rPr>
          <w:rFonts w:ascii="Palatino Linotype" w:eastAsia="MS Mincho" w:hAnsi="Palatino Linotype" w:cs="Times New Roman"/>
          <w:b/>
          <w:sz w:val="24"/>
          <w:szCs w:val="28"/>
          <w:lang w:val="es-ES_tradnl" w:eastAsia="es-ES"/>
        </w:rPr>
        <w:t>10</w:t>
      </w:r>
      <w:r w:rsidRPr="00D41EF9">
        <w:rPr>
          <w:rFonts w:ascii="Palatino Linotype" w:eastAsia="MS Mincho" w:hAnsi="Palatino Linotype" w:cs="Arial"/>
          <w:sz w:val="24"/>
          <w:szCs w:val="28"/>
          <w:lang w:val="es-ES_tradnl" w:eastAsia="es-ES"/>
        </w:rPr>
        <w:t xml:space="preserve"> emitido por el Pleno del entonces llamado Instituto Federal de Acceso a la Información y Protección de Datos, </w:t>
      </w:r>
      <w:r w:rsidR="0054701A">
        <w:rPr>
          <w:rFonts w:ascii="Palatino Linotype" w:eastAsia="MS Mincho" w:hAnsi="Palatino Linotype" w:cs="Arial"/>
          <w:sz w:val="24"/>
          <w:szCs w:val="28"/>
          <w:lang w:val="es-ES_tradnl" w:eastAsia="es-ES"/>
        </w:rPr>
        <w:t>y antes,</w:t>
      </w:r>
      <w:r w:rsidRPr="00D41EF9">
        <w:rPr>
          <w:rFonts w:ascii="Palatino Linotype" w:eastAsia="MS Mincho" w:hAnsi="Palatino Linotype" w:cs="Arial"/>
          <w:sz w:val="24"/>
          <w:szCs w:val="28"/>
          <w:lang w:val="es-ES_tradnl" w:eastAsia="es-ES"/>
        </w:rPr>
        <w:t xml:space="preserve"> Instituto Nacional de Transparencia, Acceso a la Información y Protección de Datos Personales, el cual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criterio que para mayor referencia se cita a continuación:</w:t>
      </w:r>
    </w:p>
    <w:p w14:paraId="7C354886" w14:textId="77777777" w:rsidR="00D41EF9" w:rsidRPr="00D41EF9" w:rsidRDefault="00D41EF9" w:rsidP="00D41EF9">
      <w:pPr>
        <w:tabs>
          <w:tab w:val="left" w:pos="851"/>
        </w:tabs>
        <w:spacing w:after="0" w:line="360" w:lineRule="auto"/>
        <w:ind w:right="49"/>
        <w:contextualSpacing/>
        <w:jc w:val="both"/>
        <w:rPr>
          <w:rFonts w:ascii="Palatino Linotype" w:eastAsia="MS Mincho" w:hAnsi="Palatino Linotype" w:cs="Arial"/>
          <w:sz w:val="24"/>
          <w:szCs w:val="28"/>
          <w:lang w:val="es-ES_tradnl" w:eastAsia="es-ES"/>
        </w:rPr>
      </w:pPr>
    </w:p>
    <w:p w14:paraId="232C329E" w14:textId="77777777" w:rsidR="00D41EF9" w:rsidRPr="00D41EF9" w:rsidRDefault="00D41EF9" w:rsidP="00D41EF9">
      <w:pPr>
        <w:shd w:val="clear" w:color="auto" w:fill="FFFFFF"/>
        <w:spacing w:after="0" w:line="240" w:lineRule="auto"/>
        <w:ind w:left="567" w:right="616"/>
        <w:jc w:val="both"/>
        <w:rPr>
          <w:rFonts w:ascii="Palatino Linotype" w:eastAsia="Times New Roman" w:hAnsi="Palatino Linotype" w:cs="Arial"/>
          <w:iCs/>
          <w:color w:val="222222"/>
          <w:sz w:val="24"/>
          <w:lang w:val="es-ES_tradnl" w:eastAsia="es-MX"/>
        </w:rPr>
      </w:pPr>
      <w:r w:rsidRPr="00D41EF9">
        <w:rPr>
          <w:rFonts w:ascii="Palatino Linotype" w:eastAsia="Times New Roman" w:hAnsi="Palatino Linotype" w:cs="Arial"/>
          <w:b/>
          <w:bCs/>
          <w:i/>
          <w:iCs/>
          <w:color w:val="222222"/>
          <w:sz w:val="24"/>
          <w:lang w:val="es-ES_tradnl" w:eastAsia="es-MX"/>
        </w:rPr>
        <w:t>“Cuando en una solicitud de información no se identifique un documento en específico, si ésta tiene una expresión documental, el sujeto obligado deberá entregar al particular el documento en específico.</w:t>
      </w:r>
      <w:r w:rsidRPr="00D41EF9">
        <w:rPr>
          <w:rFonts w:ascii="Palatino Linotype" w:eastAsia="Times New Roman" w:hAnsi="Palatino Linotype" w:cs="Arial"/>
          <w:i/>
          <w:iCs/>
          <w:color w:val="222222"/>
          <w:sz w:val="24"/>
          <w:lang w:val="es-ES_tradnl" w:eastAsia="es-MX"/>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w:t>
      </w:r>
      <w:r w:rsidRPr="00D41EF9">
        <w:rPr>
          <w:rFonts w:ascii="Palatino Linotype" w:eastAsia="Times New Roman" w:hAnsi="Palatino Linotype" w:cs="Arial"/>
          <w:i/>
          <w:iCs/>
          <w:color w:val="222222"/>
          <w:sz w:val="24"/>
          <w:u w:val="single"/>
          <w:lang w:val="es-ES_tradnl" w:eastAsia="es-MX"/>
        </w:rPr>
        <w:t>,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D41EF9">
        <w:rPr>
          <w:rFonts w:ascii="Palatino Linotype" w:eastAsia="Times New Roman" w:hAnsi="Palatino Linotype" w:cs="Arial"/>
          <w:i/>
          <w:iCs/>
          <w:color w:val="222222"/>
          <w:sz w:val="24"/>
          <w:lang w:val="es-ES_tradnl" w:eastAsia="es-MX"/>
        </w:rPr>
        <w:t>. Es decir, si la respuesta a la solicitud obra en algún documento en poder de la autoridad, pero el particular no hace referencia específica a tal documento, se deberá hacer entrega del mismo al solicitante.”</w:t>
      </w:r>
    </w:p>
    <w:p w14:paraId="719EADA3" w14:textId="77777777" w:rsidR="00D41EF9" w:rsidRPr="00D41EF9" w:rsidRDefault="00D41EF9" w:rsidP="00D41EF9">
      <w:pPr>
        <w:shd w:val="clear" w:color="auto" w:fill="FFFFFF"/>
        <w:spacing w:after="0" w:line="240" w:lineRule="auto"/>
        <w:ind w:left="567" w:right="616"/>
        <w:jc w:val="both"/>
        <w:rPr>
          <w:rFonts w:ascii="Palatino Linotype" w:eastAsia="Times New Roman" w:hAnsi="Palatino Linotype" w:cs="Arial"/>
          <w:iCs/>
          <w:color w:val="222222"/>
          <w:sz w:val="24"/>
          <w:lang w:val="es-ES_tradnl" w:eastAsia="es-MX"/>
        </w:rPr>
      </w:pPr>
    </w:p>
    <w:p w14:paraId="6F784909" w14:textId="77777777" w:rsidR="00D41EF9" w:rsidRPr="00D41EF9" w:rsidRDefault="00D41EF9" w:rsidP="00D41EF9">
      <w:pPr>
        <w:shd w:val="clear" w:color="auto" w:fill="FFFFFF"/>
        <w:spacing w:after="0" w:line="240" w:lineRule="auto"/>
        <w:ind w:left="567" w:right="616"/>
        <w:jc w:val="right"/>
        <w:rPr>
          <w:rFonts w:ascii="Palatino Linotype" w:eastAsia="Times New Roman" w:hAnsi="Palatino Linotype" w:cs="Arial"/>
          <w:color w:val="222222"/>
          <w:sz w:val="24"/>
          <w:lang w:val="es-ES_tradnl" w:eastAsia="es-MX"/>
        </w:rPr>
      </w:pPr>
      <w:r w:rsidRPr="00D41EF9">
        <w:rPr>
          <w:rFonts w:ascii="Palatino Linotype" w:eastAsia="Times New Roman" w:hAnsi="Palatino Linotype" w:cs="Arial"/>
          <w:bCs/>
          <w:iCs/>
          <w:color w:val="222222"/>
          <w:sz w:val="24"/>
          <w:lang w:val="es-ES_tradnl" w:eastAsia="es-MX"/>
        </w:rPr>
        <w:t>(Énfasis añadido)</w:t>
      </w:r>
    </w:p>
    <w:p w14:paraId="7496E42A" w14:textId="77777777" w:rsidR="00D41EF9" w:rsidRPr="00D41EF9" w:rsidRDefault="00D41EF9" w:rsidP="00D41EF9">
      <w:pPr>
        <w:spacing w:after="0" w:line="360" w:lineRule="auto"/>
        <w:ind w:right="49"/>
        <w:contextualSpacing/>
        <w:jc w:val="both"/>
        <w:rPr>
          <w:rFonts w:ascii="Palatino Linotype" w:eastAsia="MS Mincho" w:hAnsi="Palatino Linotype" w:cs="Arial"/>
          <w:sz w:val="24"/>
          <w:szCs w:val="24"/>
          <w:lang w:val="es-ES" w:eastAsia="es-ES"/>
        </w:rPr>
      </w:pPr>
    </w:p>
    <w:p w14:paraId="5BBC0FE0" w14:textId="758812AF" w:rsidR="00D41EF9" w:rsidRPr="00D41EF9" w:rsidRDefault="00D41EF9" w:rsidP="00D41EF9">
      <w:pPr>
        <w:spacing w:after="0" w:line="360" w:lineRule="auto"/>
        <w:ind w:right="49"/>
        <w:contextualSpacing/>
        <w:jc w:val="both"/>
        <w:rPr>
          <w:rFonts w:ascii="Palatino Linotype" w:eastAsia="MS Mincho" w:hAnsi="Palatino Linotype" w:cs="Arial"/>
          <w:sz w:val="24"/>
          <w:szCs w:val="24"/>
          <w:lang w:val="es-ES_tradnl" w:eastAsia="es-ES"/>
        </w:rPr>
      </w:pPr>
      <w:r w:rsidRPr="00D41EF9">
        <w:rPr>
          <w:rFonts w:ascii="Palatino Linotype" w:eastAsia="MS Mincho" w:hAnsi="Palatino Linotype" w:cs="Arial"/>
          <w:sz w:val="24"/>
          <w:szCs w:val="24"/>
          <w:lang w:val="es-ES" w:eastAsia="es-ES"/>
        </w:rPr>
        <w:t xml:space="preserve">Robustece lo anterior </w:t>
      </w:r>
      <w:r w:rsidRPr="00D41EF9">
        <w:rPr>
          <w:rFonts w:ascii="Palatino Linotype" w:eastAsia="MS Mincho" w:hAnsi="Palatino Linotype" w:cs="Arial"/>
          <w:sz w:val="24"/>
          <w:szCs w:val="24"/>
          <w:lang w:val="es-ES_tradnl" w:eastAsia="es-ES"/>
        </w:rPr>
        <w:t xml:space="preserve">el Criterio Orientador </w:t>
      </w:r>
      <w:r w:rsidRPr="00D41EF9">
        <w:rPr>
          <w:rFonts w:ascii="Palatino Linotype" w:eastAsia="MS Mincho" w:hAnsi="Palatino Linotype" w:cs="Arial"/>
          <w:b/>
          <w:sz w:val="24"/>
          <w:szCs w:val="24"/>
          <w:lang w:val="es-ES_tradnl" w:eastAsia="es-ES"/>
        </w:rPr>
        <w:t>16/17</w:t>
      </w:r>
      <w:r w:rsidRPr="00D41EF9">
        <w:rPr>
          <w:rFonts w:ascii="Palatino Linotype" w:eastAsia="MS Mincho" w:hAnsi="Palatino Linotype" w:cs="Arial"/>
          <w:sz w:val="24"/>
          <w:szCs w:val="24"/>
          <w:lang w:val="es-ES_tradnl" w:eastAsia="es-ES"/>
        </w:rPr>
        <w:t xml:space="preserve"> emitido de igual forma por el</w:t>
      </w:r>
      <w:r w:rsidR="0054701A">
        <w:rPr>
          <w:rFonts w:ascii="Palatino Linotype" w:eastAsia="MS Mincho" w:hAnsi="Palatino Linotype" w:cs="Arial"/>
          <w:sz w:val="24"/>
          <w:szCs w:val="24"/>
          <w:lang w:val="es-ES_tradnl" w:eastAsia="es-ES"/>
        </w:rPr>
        <w:t xml:space="preserve"> entonces </w:t>
      </w:r>
      <w:r w:rsidRPr="00D41EF9">
        <w:rPr>
          <w:rFonts w:ascii="Palatino Linotype" w:eastAsia="MS Mincho" w:hAnsi="Palatino Linotype" w:cs="Arial"/>
          <w:sz w:val="24"/>
          <w:szCs w:val="24"/>
          <w:lang w:val="es-ES_tradnl" w:eastAsia="es-ES"/>
        </w:rPr>
        <w:t xml:space="preserve"> Instituto Nacional de Transparencia, Acceso a la Información y Protección de Datos Personales que a la literalidad prevé:</w:t>
      </w:r>
    </w:p>
    <w:p w14:paraId="58B9DE83" w14:textId="77777777" w:rsidR="00D41EF9" w:rsidRPr="00D41EF9" w:rsidRDefault="00D41EF9" w:rsidP="00D41EF9">
      <w:pPr>
        <w:spacing w:after="0" w:line="360" w:lineRule="auto"/>
        <w:ind w:right="49"/>
        <w:contextualSpacing/>
        <w:jc w:val="both"/>
        <w:rPr>
          <w:rFonts w:ascii="Palatino Linotype" w:eastAsia="MS Mincho" w:hAnsi="Palatino Linotype" w:cs="Arial"/>
          <w:sz w:val="24"/>
          <w:lang w:val="es-ES_tradnl" w:eastAsia="es-ES"/>
        </w:rPr>
      </w:pPr>
    </w:p>
    <w:p w14:paraId="6D9A3522" w14:textId="77777777" w:rsidR="00D41EF9" w:rsidRPr="00D41EF9" w:rsidRDefault="00D41EF9" w:rsidP="00D41EF9">
      <w:pPr>
        <w:spacing w:after="0" w:line="240" w:lineRule="auto"/>
        <w:ind w:left="567" w:right="616"/>
        <w:jc w:val="both"/>
        <w:rPr>
          <w:rFonts w:ascii="Palatino Linotype" w:eastAsia="MS Mincho" w:hAnsi="Palatino Linotype" w:cs="Arial"/>
          <w:i/>
          <w:sz w:val="24"/>
          <w:lang w:val="es-ES_tradnl" w:eastAsia="es-ES"/>
        </w:rPr>
      </w:pPr>
      <w:r w:rsidRPr="00D41EF9">
        <w:rPr>
          <w:rFonts w:ascii="Palatino Linotype" w:eastAsia="MS Mincho" w:hAnsi="Palatino Linotype" w:cs="Arial"/>
          <w:b/>
          <w:i/>
          <w:sz w:val="24"/>
          <w:lang w:val="es-ES_tradnl" w:eastAsia="es-ES"/>
        </w:rPr>
        <w:t>“Expresión documental</w:t>
      </w:r>
      <w:r w:rsidRPr="00D41EF9">
        <w:rPr>
          <w:rFonts w:ascii="Palatino Linotype" w:eastAsia="MS Mincho" w:hAnsi="Palatino Linotype" w:cs="Arial"/>
          <w:i/>
          <w:sz w:val="24"/>
          <w:lang w:val="es-ES_tradnl" w:eastAsia="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4FF5489F" w14:textId="77777777" w:rsidR="00D41EF9" w:rsidRPr="00D41EF9" w:rsidRDefault="00D41EF9" w:rsidP="00D41EF9">
      <w:pPr>
        <w:spacing w:after="0" w:line="240" w:lineRule="auto"/>
        <w:ind w:left="567" w:right="567"/>
        <w:jc w:val="both"/>
        <w:rPr>
          <w:rFonts w:ascii="Palatino Linotype" w:eastAsia="MS Mincho" w:hAnsi="Palatino Linotype" w:cs="Arial"/>
          <w:i/>
          <w:sz w:val="20"/>
          <w:lang w:val="es-ES_tradnl" w:eastAsia="es-ES"/>
        </w:rPr>
      </w:pPr>
      <w:r w:rsidRPr="00D41EF9">
        <w:rPr>
          <w:rFonts w:ascii="Palatino Linotype" w:eastAsia="MS Mincho" w:hAnsi="Palatino Linotype" w:cs="Arial"/>
          <w:i/>
          <w:sz w:val="20"/>
          <w:lang w:val="es-ES_tradnl" w:eastAsia="es-ES"/>
        </w:rPr>
        <w:t>Resoluciones:</w:t>
      </w:r>
    </w:p>
    <w:p w14:paraId="0FEFCB90" w14:textId="77777777" w:rsidR="00D41EF9" w:rsidRPr="00D41EF9" w:rsidRDefault="00D41EF9" w:rsidP="00D41EF9">
      <w:pPr>
        <w:spacing w:after="0" w:line="240" w:lineRule="auto"/>
        <w:ind w:left="567" w:right="567"/>
        <w:jc w:val="both"/>
        <w:rPr>
          <w:rFonts w:ascii="Palatino Linotype" w:eastAsia="MS Mincho" w:hAnsi="Palatino Linotype" w:cs="Arial"/>
          <w:i/>
          <w:sz w:val="20"/>
          <w:lang w:val="es-ES_tradnl" w:eastAsia="es-ES"/>
        </w:rPr>
      </w:pPr>
      <w:r w:rsidRPr="00D41EF9">
        <w:rPr>
          <w:rFonts w:ascii="Palatino Linotype" w:eastAsia="MS Mincho" w:hAnsi="Palatino Linotype" w:cs="Arial"/>
          <w:i/>
          <w:sz w:val="20"/>
          <w:lang w:val="es-ES_tradnl" w:eastAsia="es-ES"/>
        </w:rPr>
        <w:lastRenderedPageBreak/>
        <w:t>•</w:t>
      </w:r>
      <w:r w:rsidRPr="00D41EF9">
        <w:rPr>
          <w:rFonts w:ascii="Palatino Linotype" w:eastAsia="MS Mincho" w:hAnsi="Palatino Linotype" w:cs="Arial"/>
          <w:i/>
          <w:sz w:val="20"/>
          <w:lang w:val="es-ES_tradnl" w:eastAsia="es-ES"/>
        </w:rPr>
        <w:tab/>
        <w:t xml:space="preserve">RRA 0774/16. Secretaría de Salud. 31 de agosto de 2016. Por unanimidad. Comisionada Ponente María Patricia </w:t>
      </w:r>
      <w:proofErr w:type="spellStart"/>
      <w:r w:rsidRPr="00D41EF9">
        <w:rPr>
          <w:rFonts w:ascii="Palatino Linotype" w:eastAsia="MS Mincho" w:hAnsi="Palatino Linotype" w:cs="Arial"/>
          <w:i/>
          <w:sz w:val="20"/>
          <w:lang w:val="es-ES_tradnl" w:eastAsia="es-ES"/>
        </w:rPr>
        <w:t>Kurczyn</w:t>
      </w:r>
      <w:proofErr w:type="spellEnd"/>
      <w:r w:rsidRPr="00D41EF9">
        <w:rPr>
          <w:rFonts w:ascii="Palatino Linotype" w:eastAsia="MS Mincho" w:hAnsi="Palatino Linotype" w:cs="Arial"/>
          <w:i/>
          <w:sz w:val="20"/>
          <w:lang w:val="es-ES_tradnl" w:eastAsia="es-ES"/>
        </w:rPr>
        <w:t xml:space="preserve"> Villalobos.</w:t>
      </w:r>
    </w:p>
    <w:p w14:paraId="7D6117F2" w14:textId="77777777" w:rsidR="00D41EF9" w:rsidRPr="00D41EF9" w:rsidRDefault="00D41EF9" w:rsidP="00D41EF9">
      <w:pPr>
        <w:spacing w:after="0" w:line="240" w:lineRule="auto"/>
        <w:ind w:left="567" w:right="567"/>
        <w:jc w:val="both"/>
        <w:rPr>
          <w:rFonts w:ascii="Palatino Linotype" w:eastAsia="MS Mincho" w:hAnsi="Palatino Linotype" w:cs="Arial"/>
          <w:i/>
          <w:sz w:val="20"/>
          <w:lang w:val="es-ES_tradnl" w:eastAsia="es-ES"/>
        </w:rPr>
      </w:pPr>
      <w:r w:rsidRPr="00D41EF9">
        <w:rPr>
          <w:rFonts w:ascii="Palatino Linotype" w:eastAsia="MS Mincho" w:hAnsi="Palatino Linotype" w:cs="Arial"/>
          <w:i/>
          <w:sz w:val="20"/>
          <w:lang w:val="es-ES_tradnl" w:eastAsia="es-ES"/>
        </w:rPr>
        <w:t>•</w:t>
      </w:r>
      <w:r w:rsidRPr="00D41EF9">
        <w:rPr>
          <w:rFonts w:ascii="Palatino Linotype" w:eastAsia="MS Mincho" w:hAnsi="Palatino Linotype" w:cs="Arial"/>
          <w:i/>
          <w:sz w:val="20"/>
          <w:lang w:val="es-ES_tradnl" w:eastAsia="es-ES"/>
        </w:rPr>
        <w:tab/>
        <w:t xml:space="preserve">RRA 0143/17. Universidad Autónoma Agraria Antonio Narro. 22 de febrero de 2017. Por unanimidad. Comisionado Ponente Oscar Mauricio Guerra Ford. </w:t>
      </w:r>
    </w:p>
    <w:p w14:paraId="10E08771" w14:textId="77777777" w:rsidR="00D41EF9" w:rsidRPr="00D41EF9" w:rsidRDefault="00D41EF9" w:rsidP="00D41EF9">
      <w:pPr>
        <w:spacing w:after="0" w:line="240" w:lineRule="auto"/>
        <w:ind w:left="567" w:right="567"/>
        <w:jc w:val="both"/>
        <w:rPr>
          <w:rFonts w:ascii="Palatino Linotype" w:eastAsia="MS Mincho" w:hAnsi="Palatino Linotype" w:cs="Arial"/>
          <w:i/>
          <w:sz w:val="20"/>
          <w:lang w:val="es-ES_tradnl" w:eastAsia="es-ES"/>
        </w:rPr>
      </w:pPr>
      <w:r w:rsidRPr="00D41EF9">
        <w:rPr>
          <w:rFonts w:ascii="Palatino Linotype" w:eastAsia="MS Mincho" w:hAnsi="Palatino Linotype" w:cs="Arial"/>
          <w:i/>
          <w:sz w:val="20"/>
          <w:lang w:val="es-ES_tradnl" w:eastAsia="es-ES"/>
        </w:rPr>
        <w:t>•</w:t>
      </w:r>
      <w:r w:rsidRPr="00D41EF9">
        <w:rPr>
          <w:rFonts w:ascii="Palatino Linotype" w:eastAsia="MS Mincho" w:hAnsi="Palatino Linotype" w:cs="Arial"/>
          <w:i/>
          <w:sz w:val="20"/>
          <w:lang w:val="es-ES_tradnl" w:eastAsia="es-ES"/>
        </w:rPr>
        <w:tab/>
        <w:t>RRA 0540/17. Secretaría de Economía. 08 de marzo del 2017. Por unanimidad. Comisionado Ponente Francisco Javier Acuña Llamas”</w:t>
      </w:r>
    </w:p>
    <w:p w14:paraId="10B8BC84" w14:textId="77777777" w:rsidR="00D41EF9" w:rsidRPr="00D41EF9" w:rsidRDefault="00D41EF9" w:rsidP="00D41EF9">
      <w:pPr>
        <w:tabs>
          <w:tab w:val="left" w:pos="426"/>
        </w:tabs>
        <w:spacing w:after="0" w:line="360" w:lineRule="auto"/>
        <w:ind w:right="49"/>
        <w:contextualSpacing/>
        <w:jc w:val="both"/>
        <w:rPr>
          <w:rFonts w:ascii="Palatino Linotype" w:eastAsia="Times New Roman" w:hAnsi="Palatino Linotype" w:cs="Times New Roman"/>
          <w:sz w:val="24"/>
          <w:szCs w:val="24"/>
          <w:lang w:val="es-ES" w:eastAsia="es-ES"/>
        </w:rPr>
      </w:pPr>
    </w:p>
    <w:p w14:paraId="1A24CBDA" w14:textId="77777777" w:rsidR="00D41EF9" w:rsidRPr="00D41EF9" w:rsidRDefault="00D41EF9" w:rsidP="00D41EF9">
      <w:pPr>
        <w:spacing w:after="0" w:line="360" w:lineRule="auto"/>
        <w:jc w:val="both"/>
        <w:rPr>
          <w:rFonts w:ascii="Palatino Linotype" w:eastAsia="Times New Roman" w:hAnsi="Palatino Linotype" w:cs="Times New Roman"/>
          <w:sz w:val="24"/>
          <w:szCs w:val="24"/>
          <w:lang w:val="es-ES" w:eastAsia="es-ES"/>
        </w:rPr>
      </w:pPr>
      <w:r w:rsidRPr="00D41EF9">
        <w:rPr>
          <w:rFonts w:ascii="Palatino Linotype" w:eastAsia="Times New Roman" w:hAnsi="Palatino Linotype" w:cs="Times New Roman"/>
          <w:sz w:val="24"/>
          <w:szCs w:val="24"/>
          <w:lang w:val="es-ES" w:eastAsia="es-ES"/>
        </w:rPr>
        <w:t>Es así que, cuando se aprecien deficiencias en la solicitud, o bien, que los particulares no especifiquen el documento en donde consta la información requerida, los sujetos obligados deben realizar acciones tendientes a garantizar el derecho de los recurrentes, haciendo entrega del soporte documental que dé cuenta de los requerimientos.</w:t>
      </w:r>
    </w:p>
    <w:p w14:paraId="10AD3101" w14:textId="77777777" w:rsidR="00D41EF9" w:rsidRPr="00D41EF9" w:rsidRDefault="00D41EF9" w:rsidP="00D41EF9">
      <w:pPr>
        <w:spacing w:after="0" w:line="360" w:lineRule="auto"/>
        <w:jc w:val="both"/>
        <w:rPr>
          <w:rFonts w:ascii="Palatino Linotype" w:eastAsia="Calibri" w:hAnsi="Palatino Linotype" w:cs="Times New Roman"/>
          <w:color w:val="000000"/>
          <w:sz w:val="24"/>
          <w:szCs w:val="24"/>
        </w:rPr>
      </w:pPr>
    </w:p>
    <w:p w14:paraId="13D46A0C" w14:textId="76C4E4CB" w:rsidR="00662322" w:rsidRDefault="00F85CCA" w:rsidP="00662322">
      <w:pPr>
        <w:spacing w:line="360" w:lineRule="auto"/>
        <w:jc w:val="both"/>
        <w:rPr>
          <w:rFonts w:ascii="Palatino Linotype" w:hAnsi="Palatino Linotype"/>
          <w:sz w:val="24"/>
          <w:szCs w:val="24"/>
        </w:rPr>
      </w:pPr>
      <w:r>
        <w:rPr>
          <w:rFonts w:ascii="Palatino Linotype" w:hAnsi="Palatino Linotype"/>
          <w:sz w:val="24"/>
          <w:szCs w:val="24"/>
        </w:rPr>
        <w:t>Bajo ésta lógica, se procede a analizar la respuesta, como agravios e información comunicada en informe justificado.</w:t>
      </w:r>
    </w:p>
    <w:tbl>
      <w:tblPr>
        <w:tblStyle w:val="Tabladecuadrcula5oscura"/>
        <w:tblW w:w="9923" w:type="dxa"/>
        <w:tblInd w:w="-289" w:type="dxa"/>
        <w:tblLook w:val="04A0" w:firstRow="1" w:lastRow="0" w:firstColumn="1" w:lastColumn="0" w:noHBand="0" w:noVBand="1"/>
      </w:tblPr>
      <w:tblGrid>
        <w:gridCol w:w="1843"/>
        <w:gridCol w:w="1838"/>
        <w:gridCol w:w="1723"/>
        <w:gridCol w:w="2535"/>
        <w:gridCol w:w="1984"/>
      </w:tblGrid>
      <w:tr w:rsidR="001A6582" w14:paraId="6B30D7BA" w14:textId="61E5D380" w:rsidTr="001A65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5885510" w14:textId="26B377D6" w:rsidR="00477B01" w:rsidRDefault="00477B01" w:rsidP="00477B01">
            <w:pPr>
              <w:spacing w:line="276" w:lineRule="auto"/>
              <w:jc w:val="both"/>
              <w:rPr>
                <w:rFonts w:ascii="Palatino Linotype" w:hAnsi="Palatino Linotype"/>
                <w:sz w:val="24"/>
                <w:szCs w:val="24"/>
              </w:rPr>
            </w:pPr>
            <w:r>
              <w:rPr>
                <w:rFonts w:ascii="Palatino Linotype" w:hAnsi="Palatino Linotype"/>
                <w:sz w:val="24"/>
                <w:szCs w:val="24"/>
              </w:rPr>
              <w:t>Pretensiones del solicitante</w:t>
            </w:r>
          </w:p>
        </w:tc>
        <w:tc>
          <w:tcPr>
            <w:tcW w:w="1838" w:type="dxa"/>
          </w:tcPr>
          <w:p w14:paraId="1A3432B6" w14:textId="462E151E" w:rsidR="00477B01" w:rsidRDefault="00477B01" w:rsidP="00477B01">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Pr>
                <w:rFonts w:ascii="Palatino Linotype" w:hAnsi="Palatino Linotype"/>
                <w:sz w:val="24"/>
                <w:szCs w:val="24"/>
              </w:rPr>
              <w:t>Respuesta</w:t>
            </w:r>
          </w:p>
        </w:tc>
        <w:tc>
          <w:tcPr>
            <w:tcW w:w="1723" w:type="dxa"/>
          </w:tcPr>
          <w:p w14:paraId="5F8A392C" w14:textId="41B661CC" w:rsidR="00477B01" w:rsidRDefault="00477B01" w:rsidP="00477B01">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Pr>
                <w:rFonts w:ascii="Palatino Linotype" w:hAnsi="Palatino Linotype"/>
                <w:sz w:val="24"/>
                <w:szCs w:val="24"/>
              </w:rPr>
              <w:t>Agravio</w:t>
            </w:r>
          </w:p>
        </w:tc>
        <w:tc>
          <w:tcPr>
            <w:tcW w:w="2535" w:type="dxa"/>
          </w:tcPr>
          <w:p w14:paraId="54C02AA5" w14:textId="022EBB97" w:rsidR="00477B01" w:rsidRDefault="00477B01" w:rsidP="00477B01">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Pr>
                <w:rFonts w:ascii="Palatino Linotype" w:hAnsi="Palatino Linotype"/>
                <w:sz w:val="24"/>
                <w:szCs w:val="24"/>
              </w:rPr>
              <w:t>Informe Justificado</w:t>
            </w:r>
          </w:p>
        </w:tc>
        <w:tc>
          <w:tcPr>
            <w:tcW w:w="1984" w:type="dxa"/>
          </w:tcPr>
          <w:p w14:paraId="48EFD268" w14:textId="7E9FA5F1" w:rsidR="00477B01" w:rsidRDefault="00477B01" w:rsidP="00477B01">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Pr>
                <w:rFonts w:ascii="Palatino Linotype" w:hAnsi="Palatino Linotype"/>
                <w:sz w:val="24"/>
                <w:szCs w:val="24"/>
              </w:rPr>
              <w:t>Observaciones</w:t>
            </w:r>
          </w:p>
        </w:tc>
      </w:tr>
      <w:tr w:rsidR="001A6582" w14:paraId="66E38ACD" w14:textId="3367B1C1" w:rsidTr="001A6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BD0E7F7" w14:textId="0EE42473" w:rsidR="00477B01" w:rsidRPr="00C5447A" w:rsidRDefault="00477B01" w:rsidP="00C5447A">
            <w:pPr>
              <w:spacing w:line="276" w:lineRule="auto"/>
              <w:jc w:val="both"/>
              <w:rPr>
                <w:rFonts w:ascii="Palatino Linotype" w:hAnsi="Palatino Linotype"/>
              </w:rPr>
            </w:pPr>
            <w:r w:rsidRPr="00C5447A">
              <w:rPr>
                <w:rFonts w:ascii="Palatino Linotype" w:hAnsi="Palatino Linotype"/>
              </w:rPr>
              <w:t>1. ¿Qué medidas está implementando el Área de Ordenamiento Comercial para evitar la invasión del espacio público en el Callejón Sor Juana?</w:t>
            </w:r>
          </w:p>
        </w:tc>
        <w:tc>
          <w:tcPr>
            <w:tcW w:w="1838" w:type="dxa"/>
          </w:tcPr>
          <w:p w14:paraId="7BD8793C" w14:textId="77777777" w:rsidR="00477B01" w:rsidRPr="00C5447A" w:rsidRDefault="008B4128" w:rsidP="00C5447A">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C5447A">
              <w:rPr>
                <w:rFonts w:ascii="Palatino Linotype" w:hAnsi="Palatino Linotype"/>
              </w:rPr>
              <w:t>Se instalo la Mesa de Diálogo Permanente con los líderes comerciantes, dónde se acordó el Programa de Ordenamiento Comercial.</w:t>
            </w:r>
          </w:p>
          <w:p w14:paraId="285FD010" w14:textId="777B1C5F" w:rsidR="00385F2B" w:rsidRPr="00C5447A" w:rsidRDefault="00385F2B" w:rsidP="00C5447A">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C5447A">
              <w:rPr>
                <w:rFonts w:ascii="Palatino Linotype" w:hAnsi="Palatino Linotype"/>
              </w:rPr>
              <w:t xml:space="preserve">Se tiene proyectado la ampliación del mercado "San Judas Tadeo" en el cual se </w:t>
            </w:r>
            <w:r w:rsidRPr="00C5447A">
              <w:rPr>
                <w:rFonts w:ascii="Palatino Linotype" w:hAnsi="Palatino Linotype"/>
              </w:rPr>
              <w:lastRenderedPageBreak/>
              <w:t>reubicará al comercio del primer cuadro</w:t>
            </w:r>
            <w:r w:rsidR="001F35F0" w:rsidRPr="00C5447A">
              <w:rPr>
                <w:rFonts w:ascii="Palatino Linotype" w:hAnsi="Palatino Linotype"/>
              </w:rPr>
              <w:t>.</w:t>
            </w:r>
          </w:p>
        </w:tc>
        <w:tc>
          <w:tcPr>
            <w:tcW w:w="1723" w:type="dxa"/>
          </w:tcPr>
          <w:p w14:paraId="7EBDCDC6" w14:textId="727E5E08" w:rsidR="00477B01" w:rsidRPr="00C5447A" w:rsidRDefault="001F35F0" w:rsidP="00C5447A">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C5447A">
              <w:rPr>
                <w:rFonts w:ascii="Palatino Linotype" w:hAnsi="Palatino Linotype"/>
              </w:rPr>
              <w:lastRenderedPageBreak/>
              <w:t xml:space="preserve">No se detallan las acciones específicas implementadas o previstas para evitar la ocupación indebida del espacio público en el Callejón Sor Juana, limitándose a mencionar acciones </w:t>
            </w:r>
            <w:r w:rsidRPr="00C5447A">
              <w:rPr>
                <w:rFonts w:ascii="Palatino Linotype" w:hAnsi="Palatino Linotype"/>
              </w:rPr>
              <w:lastRenderedPageBreak/>
              <w:t>generales sin concreción.</w:t>
            </w:r>
          </w:p>
        </w:tc>
        <w:tc>
          <w:tcPr>
            <w:tcW w:w="2535" w:type="dxa"/>
          </w:tcPr>
          <w:p w14:paraId="25787587" w14:textId="1D9223D7" w:rsidR="00477B01" w:rsidRPr="00C5447A" w:rsidRDefault="00B01A54" w:rsidP="00C5447A">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roofErr w:type="gramStart"/>
            <w:r w:rsidRPr="00C5447A">
              <w:rPr>
                <w:rFonts w:ascii="Palatino Linotype" w:hAnsi="Palatino Linotype"/>
              </w:rPr>
              <w:lastRenderedPageBreak/>
              <w:t>instaló</w:t>
            </w:r>
            <w:proofErr w:type="gramEnd"/>
            <w:r w:rsidRPr="00C5447A">
              <w:rPr>
                <w:rFonts w:ascii="Palatino Linotype" w:hAnsi="Palatino Linotype"/>
              </w:rPr>
              <w:t xml:space="preserve"> la Mesa de Diálogo Permanente con los lideres Comerciantes del municipio. Esta mesa la encabeza el C. Juan Manuel López Adán, Presidente Municipal y es coordinada por el Lic. Oscar Ortega Ortiz, Coordinador de Regulación Comercial. En esta mesa </w:t>
            </w:r>
            <w:r w:rsidR="00E21E45">
              <w:rPr>
                <w:rFonts w:ascii="Palatino Linotype" w:hAnsi="Palatino Linotype"/>
              </w:rPr>
              <w:t>s</w:t>
            </w:r>
            <w:r w:rsidRPr="00C5447A">
              <w:rPr>
                <w:rFonts w:ascii="Palatino Linotype" w:hAnsi="Palatino Linotype"/>
              </w:rPr>
              <w:t xml:space="preserve">e presentó el Programa de Ordenamiento </w:t>
            </w:r>
            <w:r w:rsidRPr="00C5447A">
              <w:rPr>
                <w:rFonts w:ascii="Palatino Linotype" w:hAnsi="Palatino Linotype"/>
              </w:rPr>
              <w:lastRenderedPageBreak/>
              <w:t>Comercial, en el cual, a través del diálogo permanente se concretan los acuerdos y acciones a realizar.</w:t>
            </w:r>
          </w:p>
          <w:p w14:paraId="528C2E92" w14:textId="2BB021AD" w:rsidR="00B01A54" w:rsidRPr="00C5447A" w:rsidRDefault="00B01A54" w:rsidP="00C5447A">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C5447A">
              <w:rPr>
                <w:rFonts w:ascii="Palatino Linotype" w:hAnsi="Palatino Linotype"/>
              </w:rPr>
              <w:t>Con la ampliación del mercado municipal “San judas Tadeo” que realizará el Gobierno del Estado de México, se generaran nuevos espacios para el comercio de Huehuetoca.</w:t>
            </w:r>
          </w:p>
        </w:tc>
        <w:tc>
          <w:tcPr>
            <w:tcW w:w="1984" w:type="dxa"/>
          </w:tcPr>
          <w:p w14:paraId="1443BE9E" w14:textId="1F5319F8" w:rsidR="00477B01" w:rsidRPr="00C33291" w:rsidRDefault="00423483" w:rsidP="00C33291">
            <w:pPr>
              <w:spacing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C33291">
              <w:rPr>
                <w:rFonts w:ascii="Palatino Linotype" w:hAnsi="Palatino Linotype"/>
                <w:b/>
                <w:bCs/>
              </w:rPr>
              <w:lastRenderedPageBreak/>
              <w:t>Colma</w:t>
            </w:r>
            <w:r w:rsidRPr="00C33291">
              <w:rPr>
                <w:rFonts w:ascii="Palatino Linotype" w:hAnsi="Palatino Linotype"/>
              </w:rPr>
              <w:t xml:space="preserve">, </w:t>
            </w:r>
            <w:r w:rsidR="00E21E45" w:rsidRPr="00C33291">
              <w:rPr>
                <w:rFonts w:ascii="Palatino Linotype" w:hAnsi="Palatino Linotype"/>
              </w:rPr>
              <w:t>(</w:t>
            </w:r>
            <w:r w:rsidRPr="00C33291">
              <w:rPr>
                <w:rFonts w:ascii="Palatino Linotype" w:hAnsi="Palatino Linotype"/>
              </w:rPr>
              <w:t>derecho de petición.</w:t>
            </w:r>
            <w:r w:rsidR="00E21E45" w:rsidRPr="00C33291">
              <w:rPr>
                <w:rFonts w:ascii="Palatino Linotype" w:hAnsi="Palatino Linotype"/>
              </w:rPr>
              <w:t>)</w:t>
            </w:r>
          </w:p>
          <w:p w14:paraId="00A6E454" w14:textId="77777777" w:rsidR="00E21E45" w:rsidRPr="00C33291" w:rsidRDefault="00E21E45" w:rsidP="00C33291">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2C1B0804" w14:textId="4A619BFA" w:rsidR="00423483" w:rsidRDefault="00423483" w:rsidP="00C33291">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C33291">
              <w:rPr>
                <w:rFonts w:ascii="Palatino Linotype" w:hAnsi="Palatino Linotype"/>
              </w:rPr>
              <w:t xml:space="preserve">Asimismo, el Sujeto Obligado </w:t>
            </w:r>
            <w:r w:rsidR="00E21E45" w:rsidRPr="00C33291">
              <w:rPr>
                <w:rFonts w:ascii="Palatino Linotype" w:hAnsi="Palatino Linotype"/>
              </w:rPr>
              <w:t>informa que la respuesta a la petición es la mesa de diálogo, el Programa de Ordenamiento Comercial y ampliación del mercado municipal.</w:t>
            </w:r>
          </w:p>
        </w:tc>
      </w:tr>
      <w:tr w:rsidR="001A6582" w:rsidRPr="00C5447A" w14:paraId="58F51EEF" w14:textId="240F3F32" w:rsidTr="001A6582">
        <w:tc>
          <w:tcPr>
            <w:cnfStyle w:val="001000000000" w:firstRow="0" w:lastRow="0" w:firstColumn="1" w:lastColumn="0" w:oddVBand="0" w:evenVBand="0" w:oddHBand="0" w:evenHBand="0" w:firstRowFirstColumn="0" w:firstRowLastColumn="0" w:lastRowFirstColumn="0" w:lastRowLastColumn="0"/>
            <w:tcW w:w="1843" w:type="dxa"/>
          </w:tcPr>
          <w:p w14:paraId="4250CCAA" w14:textId="30998316" w:rsidR="00477B01" w:rsidRPr="00C5447A" w:rsidRDefault="00477B01" w:rsidP="00C5447A">
            <w:pPr>
              <w:spacing w:line="276" w:lineRule="auto"/>
              <w:jc w:val="both"/>
              <w:rPr>
                <w:rFonts w:ascii="Palatino Linotype" w:hAnsi="Palatino Linotype"/>
              </w:rPr>
            </w:pPr>
            <w:r w:rsidRPr="00C5447A">
              <w:rPr>
                <w:rFonts w:ascii="Palatino Linotype" w:hAnsi="Palatino Linotype"/>
              </w:rPr>
              <w:t>2.</w:t>
            </w:r>
            <w:r w:rsidRPr="00C5447A">
              <w:rPr>
                <w:rFonts w:ascii="Palatino Linotype" w:hAnsi="Palatino Linotype"/>
              </w:rPr>
              <w:tab/>
              <w:t>¿Existen sanciones o reglamentos específicos que regulen esta situación?</w:t>
            </w:r>
          </w:p>
        </w:tc>
        <w:tc>
          <w:tcPr>
            <w:tcW w:w="1838" w:type="dxa"/>
          </w:tcPr>
          <w:p w14:paraId="30C868B4" w14:textId="0CE57D22" w:rsidR="00477B01" w:rsidRPr="00C5447A" w:rsidRDefault="00A129E8" w:rsidP="00B35C52">
            <w:pPr>
              <w:spacing w:line="276"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Pr>
                <w:rFonts w:ascii="Palatino Linotype" w:hAnsi="Palatino Linotype"/>
              </w:rPr>
              <w:t>-</w:t>
            </w:r>
            <w:r w:rsidR="008B4128" w:rsidRPr="00B35C52">
              <w:rPr>
                <w:rFonts w:ascii="Palatino Linotype" w:hAnsi="Palatino Linotype"/>
                <w:i/>
                <w:iCs/>
              </w:rPr>
              <w:t>No se pronuncia</w:t>
            </w:r>
            <w:r>
              <w:rPr>
                <w:rFonts w:ascii="Palatino Linotype" w:hAnsi="Palatino Linotype"/>
              </w:rPr>
              <w:t>-</w:t>
            </w:r>
          </w:p>
        </w:tc>
        <w:tc>
          <w:tcPr>
            <w:tcW w:w="1723" w:type="dxa"/>
          </w:tcPr>
          <w:p w14:paraId="13659E28" w14:textId="75329F76" w:rsidR="00477B01" w:rsidRPr="00C5447A" w:rsidRDefault="007B06C3" w:rsidP="00C5447A">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C5447A">
              <w:rPr>
                <w:rFonts w:ascii="Palatino Linotype" w:hAnsi="Palatino Linotype"/>
              </w:rPr>
              <w:t>No se ofrece información sobre las sanciones o reglamentos específicos que regulen la situación de los negocios que obstaculizan el libre tránsito en la vía.</w:t>
            </w:r>
          </w:p>
        </w:tc>
        <w:tc>
          <w:tcPr>
            <w:tcW w:w="2535" w:type="dxa"/>
          </w:tcPr>
          <w:p w14:paraId="3C711310" w14:textId="3586F3D8" w:rsidR="00477B01" w:rsidRPr="00C5447A" w:rsidRDefault="00C5447A" w:rsidP="00C5447A">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C5447A">
              <w:rPr>
                <w:rFonts w:ascii="Palatino Linotype" w:hAnsi="Palatino Linotype"/>
              </w:rPr>
              <w:t>La Constitución Política de los Estados Unidos Mexicanos, la particular del Estado libre y Soberano de México, la Ley de Competitividad y Ordenamiento Comercial del Estado de México, la Ley de Tianguis y Mercados del Estado de México, El Bando Municipal 2025 de Huehuetoca y los reglamentos correspondientes</w:t>
            </w:r>
            <w:r w:rsidR="00A129E8">
              <w:rPr>
                <w:rFonts w:ascii="Palatino Linotype" w:hAnsi="Palatino Linotype"/>
              </w:rPr>
              <w:t xml:space="preserve"> </w:t>
            </w:r>
            <w:r w:rsidRPr="00C5447A">
              <w:rPr>
                <w:rFonts w:ascii="Palatino Linotype" w:hAnsi="Palatino Linotype"/>
              </w:rPr>
              <w:t xml:space="preserve">regulan esta actividad comercial. </w:t>
            </w:r>
          </w:p>
        </w:tc>
        <w:tc>
          <w:tcPr>
            <w:tcW w:w="1984" w:type="dxa"/>
          </w:tcPr>
          <w:p w14:paraId="567F4898" w14:textId="77777777" w:rsidR="00477B01" w:rsidRDefault="00A129E8" w:rsidP="00C33291">
            <w:pPr>
              <w:spacing w:line="276"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C33291">
              <w:rPr>
                <w:rFonts w:ascii="Palatino Linotype" w:hAnsi="Palatino Linotype"/>
                <w:b/>
                <w:bCs/>
              </w:rPr>
              <w:t>Colma</w:t>
            </w:r>
            <w:r w:rsidRPr="00A129E8">
              <w:rPr>
                <w:rFonts w:ascii="Palatino Linotype" w:hAnsi="Palatino Linotype"/>
              </w:rPr>
              <w:t>, (derecho de petición.)</w:t>
            </w:r>
          </w:p>
          <w:p w14:paraId="5CEF5FBF" w14:textId="77777777" w:rsidR="00A129E8" w:rsidRDefault="00A129E8" w:rsidP="00C33291">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2426A2E9" w14:textId="58D7D8F2" w:rsidR="00A129E8" w:rsidRDefault="00A129E8" w:rsidP="00C33291">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Pr>
                <w:rFonts w:ascii="Palatino Linotype" w:hAnsi="Palatino Linotype"/>
              </w:rPr>
              <w:t>El Sujeto Obligado proporciona los nombres de los ordenamientos jurídicos que regulan la actividad comercial.</w:t>
            </w:r>
          </w:p>
          <w:p w14:paraId="77F82E69" w14:textId="6AD3A886" w:rsidR="00A129E8" w:rsidRPr="00C5447A" w:rsidRDefault="00A129E8" w:rsidP="00C33291">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tc>
      </w:tr>
      <w:tr w:rsidR="00A129E8" w:rsidRPr="00C5447A" w14:paraId="4C10763F" w14:textId="07197CC4" w:rsidTr="001A6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EB093A9" w14:textId="4461ACAE" w:rsidR="00A129E8" w:rsidRPr="00C5447A" w:rsidRDefault="00A129E8" w:rsidP="00A129E8">
            <w:pPr>
              <w:spacing w:line="276" w:lineRule="auto"/>
              <w:jc w:val="both"/>
              <w:rPr>
                <w:rFonts w:ascii="Palatino Linotype" w:hAnsi="Palatino Linotype"/>
              </w:rPr>
            </w:pPr>
            <w:r w:rsidRPr="00C5447A">
              <w:rPr>
                <w:rFonts w:ascii="Palatino Linotype" w:hAnsi="Palatino Linotype"/>
              </w:rPr>
              <w:t>3.</w:t>
            </w:r>
            <w:r w:rsidRPr="00C5447A">
              <w:rPr>
                <w:rFonts w:ascii="Palatino Linotype" w:hAnsi="Palatino Linotype"/>
              </w:rPr>
              <w:tab/>
              <w:t xml:space="preserve">¿Cuántas inspecciones se han realizado </w:t>
            </w:r>
            <w:r w:rsidRPr="00C5447A">
              <w:rPr>
                <w:rFonts w:ascii="Palatino Linotype" w:hAnsi="Palatino Linotype"/>
              </w:rPr>
              <w:lastRenderedPageBreak/>
              <w:t>en los últimos meses en esta zona y cuáles han sido sus resultados?</w:t>
            </w:r>
          </w:p>
        </w:tc>
        <w:tc>
          <w:tcPr>
            <w:tcW w:w="1838" w:type="dxa"/>
          </w:tcPr>
          <w:p w14:paraId="671D9641" w14:textId="0657A2F1" w:rsidR="00A129E8" w:rsidRPr="00C5447A" w:rsidRDefault="00A129E8" w:rsidP="00A129E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C5447A">
              <w:rPr>
                <w:rFonts w:ascii="Palatino Linotype" w:hAnsi="Palatino Linotype"/>
              </w:rPr>
              <w:lastRenderedPageBreak/>
              <w:t>Se realizan inspecciones diarias.</w:t>
            </w:r>
          </w:p>
        </w:tc>
        <w:tc>
          <w:tcPr>
            <w:tcW w:w="1723" w:type="dxa"/>
          </w:tcPr>
          <w:p w14:paraId="751A2FF9" w14:textId="6BBF3599" w:rsidR="00A129E8" w:rsidRPr="00C5447A" w:rsidRDefault="00A129E8" w:rsidP="00A129E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C5447A">
              <w:rPr>
                <w:rFonts w:ascii="Palatino Linotype" w:hAnsi="Palatino Linotype"/>
              </w:rPr>
              <w:t xml:space="preserve">La respuesta indica que se realizan </w:t>
            </w:r>
            <w:r w:rsidRPr="00C5447A">
              <w:rPr>
                <w:rFonts w:ascii="Palatino Linotype" w:hAnsi="Palatino Linotype"/>
              </w:rPr>
              <w:lastRenderedPageBreak/>
              <w:t>inspecciones diarias, pero no se aporta información sobre el número de inspecciones realizadas en los últimos meses ni los resultados obtenidos, lo que impide evaluar la eficacia de las medidas.</w:t>
            </w:r>
          </w:p>
        </w:tc>
        <w:tc>
          <w:tcPr>
            <w:tcW w:w="2535" w:type="dxa"/>
          </w:tcPr>
          <w:p w14:paraId="08AF6709" w14:textId="5AFE313B" w:rsidR="00A129E8" w:rsidRPr="00C5447A" w:rsidRDefault="00A129E8" w:rsidP="00B35C52">
            <w:pPr>
              <w:spacing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Pr>
                <w:rFonts w:ascii="Palatino Linotype" w:hAnsi="Palatino Linotype"/>
              </w:rPr>
              <w:lastRenderedPageBreak/>
              <w:t>-</w:t>
            </w:r>
            <w:r w:rsidRPr="00B35C52">
              <w:rPr>
                <w:rFonts w:ascii="Palatino Linotype" w:hAnsi="Palatino Linotype"/>
                <w:i/>
                <w:iCs/>
              </w:rPr>
              <w:t>No se pronuncia</w:t>
            </w:r>
            <w:r>
              <w:rPr>
                <w:rFonts w:ascii="Palatino Linotype" w:hAnsi="Palatino Linotype"/>
              </w:rPr>
              <w:t>-</w:t>
            </w:r>
          </w:p>
        </w:tc>
        <w:tc>
          <w:tcPr>
            <w:tcW w:w="1984" w:type="dxa"/>
          </w:tcPr>
          <w:p w14:paraId="34968969" w14:textId="53A8748E" w:rsidR="00A75103" w:rsidRPr="00C33291" w:rsidRDefault="00A75103" w:rsidP="00C33291">
            <w:pPr>
              <w:spacing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bCs/>
              </w:rPr>
            </w:pPr>
            <w:r w:rsidRPr="00C33291">
              <w:rPr>
                <w:rFonts w:ascii="Palatino Linotype" w:hAnsi="Palatino Linotype"/>
                <w:b/>
                <w:bCs/>
              </w:rPr>
              <w:t>No colma</w:t>
            </w:r>
          </w:p>
          <w:p w14:paraId="22DF9AC9" w14:textId="77777777" w:rsidR="00A75103" w:rsidRDefault="00A75103" w:rsidP="00C33291">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77D4202D" w14:textId="789DA02E" w:rsidR="00A129E8" w:rsidRPr="00C5447A" w:rsidRDefault="00B35C52" w:rsidP="00C33291">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6357F6">
              <w:rPr>
                <w:rFonts w:ascii="Palatino Linotype" w:hAnsi="Palatino Linotype"/>
              </w:rPr>
              <w:lastRenderedPageBreak/>
              <w:t>El Sujeto Obligado, manifiesta realizar inspecciones diarias</w:t>
            </w:r>
            <w:r w:rsidR="00A75103" w:rsidRPr="006357F6">
              <w:rPr>
                <w:rFonts w:ascii="Palatino Linotype" w:hAnsi="Palatino Linotype"/>
              </w:rPr>
              <w:t>, no obstante, no es señalada la temporalidad, asimismo no informa del resultado de</w:t>
            </w:r>
            <w:r w:rsidR="00A75103">
              <w:rPr>
                <w:rFonts w:ascii="Palatino Linotype" w:hAnsi="Palatino Linotype"/>
              </w:rPr>
              <w:t xml:space="preserve"> las inspecciones.</w:t>
            </w:r>
          </w:p>
        </w:tc>
      </w:tr>
      <w:tr w:rsidR="00A129E8" w:rsidRPr="00C5447A" w14:paraId="6D64EAB6" w14:textId="77777777" w:rsidTr="001A6582">
        <w:tc>
          <w:tcPr>
            <w:cnfStyle w:val="001000000000" w:firstRow="0" w:lastRow="0" w:firstColumn="1" w:lastColumn="0" w:oddVBand="0" w:evenVBand="0" w:oddHBand="0" w:evenHBand="0" w:firstRowFirstColumn="0" w:firstRowLastColumn="0" w:lastRowFirstColumn="0" w:lastRowLastColumn="0"/>
            <w:tcW w:w="1843" w:type="dxa"/>
          </w:tcPr>
          <w:p w14:paraId="273F6FEC" w14:textId="086D582A" w:rsidR="00A129E8" w:rsidRPr="00C5447A" w:rsidRDefault="00A129E8" w:rsidP="00A129E8">
            <w:pPr>
              <w:spacing w:line="276" w:lineRule="auto"/>
              <w:jc w:val="both"/>
              <w:rPr>
                <w:rFonts w:ascii="Palatino Linotype" w:hAnsi="Palatino Linotype"/>
              </w:rPr>
            </w:pPr>
            <w:r w:rsidRPr="00C5447A">
              <w:rPr>
                <w:rFonts w:ascii="Palatino Linotype" w:hAnsi="Palatino Linotype"/>
              </w:rPr>
              <w:lastRenderedPageBreak/>
              <w:t>4.</w:t>
            </w:r>
            <w:r w:rsidRPr="00C5447A">
              <w:rPr>
                <w:rFonts w:ascii="Palatino Linotype" w:hAnsi="Palatino Linotype"/>
              </w:rPr>
              <w:tab/>
              <w:t xml:space="preserve">¿A partir de cuándo se implementarán medidas concretas para liberar el tránsito en este callejón?  </w:t>
            </w:r>
          </w:p>
        </w:tc>
        <w:tc>
          <w:tcPr>
            <w:tcW w:w="1838" w:type="dxa"/>
          </w:tcPr>
          <w:p w14:paraId="47B58447" w14:textId="0B1A33B5" w:rsidR="00A129E8" w:rsidRPr="00C5447A" w:rsidRDefault="00A129E8" w:rsidP="00A129E8">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C5447A">
              <w:rPr>
                <w:rFonts w:ascii="Palatino Linotype" w:hAnsi="Palatino Linotype"/>
              </w:rPr>
              <w:t>La obra está a cargo del Gobierno del Estado de México. (por lo cual no contamos con fecha específica)</w:t>
            </w:r>
          </w:p>
        </w:tc>
        <w:tc>
          <w:tcPr>
            <w:tcW w:w="1723" w:type="dxa"/>
          </w:tcPr>
          <w:p w14:paraId="19A085F1" w14:textId="761C440E" w:rsidR="00A129E8" w:rsidRPr="00C5447A" w:rsidRDefault="00A129E8" w:rsidP="00A129E8">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C5447A">
              <w:rPr>
                <w:rFonts w:ascii="Palatino Linotype" w:hAnsi="Palatino Linotype"/>
              </w:rPr>
              <w:t>No se proporciona una fecha concreta ni un cronograma que permita conocer cuándo se implementarán medidas definitivas para liberar el tránsito.</w:t>
            </w:r>
          </w:p>
        </w:tc>
        <w:tc>
          <w:tcPr>
            <w:tcW w:w="2535" w:type="dxa"/>
          </w:tcPr>
          <w:p w14:paraId="5A5248A0" w14:textId="77777777" w:rsidR="00A129E8" w:rsidRPr="00C5447A" w:rsidRDefault="00A129E8" w:rsidP="00A129E8">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C5447A">
              <w:rPr>
                <w:rFonts w:ascii="Palatino Linotype" w:hAnsi="Palatino Linotype"/>
              </w:rPr>
              <w:t>Hasta el momento no contamos con la definición de las fechas para la realización de dicha obra; Motivo por el cual, la coordinación de regulación comercial mantiene el dialogo y acciones permanentes con los liderazgos correspondientes y el Gobierno Municipal.</w:t>
            </w:r>
          </w:p>
          <w:p w14:paraId="507EC636" w14:textId="77777777" w:rsidR="00A129E8" w:rsidRPr="00C5447A" w:rsidRDefault="00A129E8" w:rsidP="00A129E8">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7253154E" w14:textId="77777777" w:rsidR="00A129E8" w:rsidRPr="00C5447A" w:rsidRDefault="00A129E8" w:rsidP="00A129E8">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C5447A">
              <w:rPr>
                <w:rFonts w:ascii="Palatino Linotype" w:hAnsi="Palatino Linotype"/>
              </w:rPr>
              <w:t xml:space="preserve">De común acuerdo se mantienen las actividades comerciales evitando la instalación </w:t>
            </w:r>
            <w:r w:rsidRPr="00C5447A">
              <w:rPr>
                <w:rFonts w:ascii="Palatino Linotype" w:hAnsi="Palatino Linotype"/>
              </w:rPr>
              <w:lastRenderedPageBreak/>
              <w:t>de nuevos comerciantes.</w:t>
            </w:r>
          </w:p>
          <w:p w14:paraId="3E3F227A" w14:textId="4ED499E3" w:rsidR="00A129E8" w:rsidRPr="00C5447A" w:rsidRDefault="00A129E8" w:rsidP="00A129E8">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C5447A">
              <w:rPr>
                <w:rFonts w:ascii="Palatino Linotype" w:hAnsi="Palatino Linotype"/>
              </w:rPr>
              <w:t>Una vez que sea de conocimiento las fechas de inicio, terminación y características finales de la ampliación del mercado “San Judas Tadeo”, se acordaran las acciones consecuentes...</w:t>
            </w:r>
          </w:p>
        </w:tc>
        <w:tc>
          <w:tcPr>
            <w:tcW w:w="1984" w:type="dxa"/>
          </w:tcPr>
          <w:p w14:paraId="71878C23" w14:textId="5AB1E6A0" w:rsidR="00A129E8" w:rsidRDefault="00A75103" w:rsidP="00C33291">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C33291">
              <w:rPr>
                <w:rFonts w:ascii="Palatino Linotype" w:hAnsi="Palatino Linotype"/>
                <w:b/>
                <w:bCs/>
              </w:rPr>
              <w:lastRenderedPageBreak/>
              <w:t>Colma</w:t>
            </w:r>
            <w:r>
              <w:rPr>
                <w:rFonts w:ascii="Palatino Linotype" w:hAnsi="Palatino Linotype"/>
              </w:rPr>
              <w:t xml:space="preserve"> (derecho de petición</w:t>
            </w:r>
            <w:r w:rsidR="002F56E3">
              <w:rPr>
                <w:rFonts w:ascii="Palatino Linotype" w:hAnsi="Palatino Linotype"/>
              </w:rPr>
              <w:t xml:space="preserve"> y hechos negativos</w:t>
            </w:r>
            <w:r>
              <w:rPr>
                <w:rFonts w:ascii="Palatino Linotype" w:hAnsi="Palatino Linotype"/>
              </w:rPr>
              <w:t>)</w:t>
            </w:r>
          </w:p>
          <w:p w14:paraId="177C7A18" w14:textId="77777777" w:rsidR="002F56E3" w:rsidRDefault="002F56E3" w:rsidP="00C33291">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171A7771" w14:textId="22BD5EBD" w:rsidR="002F56E3" w:rsidRPr="00C5447A" w:rsidRDefault="002F56E3" w:rsidP="00C33291">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tc>
      </w:tr>
      <w:tr w:rsidR="00A129E8" w:rsidRPr="00C5447A" w14:paraId="01E2D802" w14:textId="77777777" w:rsidTr="001A6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38D3EF4" w14:textId="69142B04" w:rsidR="00A129E8" w:rsidRPr="00C5447A" w:rsidRDefault="00A129E8" w:rsidP="00A129E8">
            <w:pPr>
              <w:spacing w:line="276" w:lineRule="auto"/>
              <w:jc w:val="both"/>
              <w:rPr>
                <w:rFonts w:ascii="Palatino Linotype" w:hAnsi="Palatino Linotype"/>
              </w:rPr>
            </w:pPr>
            <w:r w:rsidRPr="00C5447A">
              <w:rPr>
                <w:rFonts w:ascii="Palatino Linotype" w:hAnsi="Palatino Linotype"/>
              </w:rPr>
              <w:t>5.</w:t>
            </w:r>
            <w:r w:rsidRPr="00C5447A">
              <w:rPr>
                <w:rFonts w:ascii="Palatino Linotype" w:hAnsi="Palatino Linotype"/>
              </w:rPr>
              <w:tab/>
              <w:t>¿Qué mecanismos existen para que la ciudadanía pueda reportar esta problemática y qué seguimiento se les da a estas quejas?</w:t>
            </w:r>
          </w:p>
        </w:tc>
        <w:tc>
          <w:tcPr>
            <w:tcW w:w="1838" w:type="dxa"/>
          </w:tcPr>
          <w:p w14:paraId="6CB4F3C6" w14:textId="69B1FBED" w:rsidR="00A129E8" w:rsidRPr="00C5447A" w:rsidRDefault="00A129E8" w:rsidP="00A129E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C5447A">
              <w:rPr>
                <w:rFonts w:ascii="Palatino Linotype" w:hAnsi="Palatino Linotype"/>
              </w:rPr>
              <w:t>No se pronuncia</w:t>
            </w:r>
          </w:p>
        </w:tc>
        <w:tc>
          <w:tcPr>
            <w:tcW w:w="1723" w:type="dxa"/>
          </w:tcPr>
          <w:p w14:paraId="74F8EAAA" w14:textId="25329E9A" w:rsidR="00A129E8" w:rsidRPr="00C5447A" w:rsidRDefault="00A129E8" w:rsidP="00A129E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C5447A">
              <w:rPr>
                <w:rFonts w:ascii="Palatino Linotype" w:hAnsi="Palatino Linotype"/>
              </w:rPr>
              <w:t>No se informa sobre los canales o mecanismos que permiten a la ciudadanía reportar la problemática ni sobre el seguimiento que se da a dichas quejas</w:t>
            </w:r>
          </w:p>
        </w:tc>
        <w:tc>
          <w:tcPr>
            <w:tcW w:w="2535" w:type="dxa"/>
          </w:tcPr>
          <w:p w14:paraId="0C4F5FCA" w14:textId="0527372E" w:rsidR="00A129E8" w:rsidRPr="00C5447A" w:rsidRDefault="00A129E8" w:rsidP="00A129E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C5447A">
              <w:rPr>
                <w:rFonts w:ascii="Palatino Linotype" w:hAnsi="Palatino Linotype"/>
              </w:rPr>
              <w:t>La ciudadanía puede reportar a la Coordinación de Regulación Comercial, a la Contraloría Municipal la problemática al respecto.</w:t>
            </w:r>
          </w:p>
        </w:tc>
        <w:tc>
          <w:tcPr>
            <w:tcW w:w="1984" w:type="dxa"/>
          </w:tcPr>
          <w:p w14:paraId="1CB42D4A" w14:textId="4C1C8047" w:rsidR="00A129E8" w:rsidRDefault="002F56E3" w:rsidP="00C33291">
            <w:pPr>
              <w:spacing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C33291">
              <w:rPr>
                <w:rFonts w:ascii="Palatino Linotype" w:hAnsi="Palatino Linotype"/>
                <w:b/>
                <w:bCs/>
              </w:rPr>
              <w:t>Parcial</w:t>
            </w:r>
            <w:r>
              <w:rPr>
                <w:rFonts w:ascii="Palatino Linotype" w:hAnsi="Palatino Linotype"/>
              </w:rPr>
              <w:t>.</w:t>
            </w:r>
          </w:p>
          <w:p w14:paraId="1C00F6E2" w14:textId="77777777" w:rsidR="002F56E3" w:rsidRDefault="002F56E3" w:rsidP="00C33291">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07E03BE2" w14:textId="21C41B60" w:rsidR="002F56E3" w:rsidRDefault="002F56E3" w:rsidP="00C33291">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Pr>
                <w:rFonts w:ascii="Palatino Linotype" w:hAnsi="Palatino Linotype"/>
              </w:rPr>
              <w:t xml:space="preserve">El Sujeto Obligado, proporciona que el mecanismo es el reporte, no obstante no </w:t>
            </w:r>
            <w:r w:rsidR="00C33291">
              <w:rPr>
                <w:rFonts w:ascii="Palatino Linotype" w:hAnsi="Palatino Linotype"/>
              </w:rPr>
              <w:t>orienta respecto del seguimiento del trámite.</w:t>
            </w:r>
          </w:p>
          <w:p w14:paraId="5C1A8EBD" w14:textId="2A3BEE4D" w:rsidR="00C33291" w:rsidRPr="00C5447A" w:rsidRDefault="00C33291" w:rsidP="00C33291">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tc>
      </w:tr>
    </w:tbl>
    <w:p w14:paraId="24E0DDBC" w14:textId="77777777" w:rsidR="00F85CCA" w:rsidRDefault="00F85CCA" w:rsidP="00662322">
      <w:pPr>
        <w:spacing w:line="360" w:lineRule="auto"/>
        <w:jc w:val="both"/>
        <w:rPr>
          <w:rFonts w:ascii="Palatino Linotype" w:hAnsi="Palatino Linotype"/>
          <w:sz w:val="24"/>
          <w:szCs w:val="24"/>
        </w:rPr>
      </w:pPr>
    </w:p>
    <w:p w14:paraId="6563BF22" w14:textId="5F397556" w:rsidR="00F85CCA" w:rsidRDefault="00B060E0" w:rsidP="00662322">
      <w:pPr>
        <w:spacing w:line="360" w:lineRule="auto"/>
        <w:jc w:val="both"/>
        <w:rPr>
          <w:rFonts w:ascii="Palatino Linotype" w:hAnsi="Palatino Linotype"/>
          <w:sz w:val="24"/>
          <w:szCs w:val="24"/>
        </w:rPr>
      </w:pPr>
      <w:r>
        <w:rPr>
          <w:rFonts w:ascii="Palatino Linotype" w:hAnsi="Palatino Linotype"/>
          <w:sz w:val="24"/>
          <w:szCs w:val="24"/>
        </w:rPr>
        <w:t xml:space="preserve">De los requerimientos señalados con los </w:t>
      </w:r>
      <w:r w:rsidRPr="0027179F">
        <w:rPr>
          <w:rFonts w:ascii="Palatino Linotype" w:hAnsi="Palatino Linotype"/>
          <w:sz w:val="24"/>
          <w:szCs w:val="24"/>
        </w:rPr>
        <w:t>números</w:t>
      </w:r>
      <w:r>
        <w:rPr>
          <w:rFonts w:ascii="Palatino Linotype" w:hAnsi="Palatino Linotype"/>
          <w:sz w:val="24"/>
          <w:szCs w:val="24"/>
        </w:rPr>
        <w:t xml:space="preserve"> </w:t>
      </w:r>
      <w:r w:rsidR="00F86FD1">
        <w:rPr>
          <w:rFonts w:ascii="Palatino Linotype" w:hAnsi="Palatino Linotype"/>
          <w:sz w:val="24"/>
          <w:szCs w:val="24"/>
        </w:rPr>
        <w:t xml:space="preserve">1, 2, 4, </w:t>
      </w:r>
      <w:r w:rsidR="006A6E36">
        <w:rPr>
          <w:rFonts w:ascii="Palatino Linotype" w:hAnsi="Palatino Linotype"/>
          <w:sz w:val="24"/>
          <w:szCs w:val="24"/>
        </w:rPr>
        <w:t xml:space="preserve">se expone que nos encontramos frente al Derecho de Petición, no obstante el Ayuntamiento de Huehuetoca </w:t>
      </w:r>
      <w:r w:rsidR="0027179F">
        <w:rPr>
          <w:rFonts w:ascii="Palatino Linotype" w:hAnsi="Palatino Linotype"/>
          <w:sz w:val="24"/>
          <w:szCs w:val="24"/>
        </w:rPr>
        <w:t xml:space="preserve">proporciona las respuestas a las interrogantes </w:t>
      </w:r>
      <w:r w:rsidR="0027179F" w:rsidRPr="0074118A">
        <w:rPr>
          <w:rFonts w:ascii="Palatino Linotype" w:hAnsi="Palatino Linotype"/>
          <w:sz w:val="24"/>
          <w:szCs w:val="24"/>
        </w:rPr>
        <w:t>formuladas</w:t>
      </w:r>
      <w:r w:rsidR="0027179F">
        <w:rPr>
          <w:rFonts w:ascii="Palatino Linotype" w:hAnsi="Palatino Linotype"/>
          <w:sz w:val="24"/>
          <w:szCs w:val="24"/>
        </w:rPr>
        <w:t xml:space="preserve">, </w:t>
      </w:r>
      <w:r w:rsidR="00092299">
        <w:rPr>
          <w:rFonts w:ascii="Palatino Linotype" w:hAnsi="Palatino Linotype"/>
          <w:sz w:val="24"/>
          <w:szCs w:val="24"/>
        </w:rPr>
        <w:t>por lo que se tienen por colmados los puntos.</w:t>
      </w:r>
    </w:p>
    <w:p w14:paraId="3E265999" w14:textId="1FE6F74A" w:rsidR="00597357" w:rsidRPr="00597357" w:rsidRDefault="002B1EF8" w:rsidP="00D87D09">
      <w:pPr>
        <w:spacing w:line="360" w:lineRule="auto"/>
        <w:jc w:val="both"/>
        <w:rPr>
          <w:rFonts w:ascii="Palatino Linotype" w:eastAsia="Palatino Linotype" w:hAnsi="Palatino Linotype" w:cs="Palatino Linotype"/>
          <w:color w:val="000000"/>
          <w:sz w:val="24"/>
          <w:szCs w:val="24"/>
          <w:lang w:eastAsia="es-MX"/>
        </w:rPr>
      </w:pPr>
      <w:r>
        <w:rPr>
          <w:rFonts w:ascii="Palatino Linotype" w:hAnsi="Palatino Linotype"/>
          <w:sz w:val="24"/>
          <w:szCs w:val="24"/>
        </w:rPr>
        <w:lastRenderedPageBreak/>
        <w:t xml:space="preserve">Cabe decir que del punto cuatro, </w:t>
      </w:r>
      <w:r w:rsidR="0069505E">
        <w:rPr>
          <w:rFonts w:ascii="Palatino Linotype" w:hAnsi="Palatino Linotype"/>
          <w:sz w:val="24"/>
          <w:szCs w:val="24"/>
        </w:rPr>
        <w:t xml:space="preserve">de la respuesta del Sujeto Obligado se aprecia la figura jurídica de los hechos negativos toda vez que manifiesta que </w:t>
      </w:r>
      <w:r w:rsidR="00597357">
        <w:rPr>
          <w:rFonts w:ascii="Palatino Linotype" w:hAnsi="Palatino Linotype"/>
          <w:sz w:val="24"/>
          <w:szCs w:val="24"/>
        </w:rPr>
        <w:t>al momento no se tienen fechas para la realización de las obras</w:t>
      </w:r>
      <w:r w:rsidR="00D87D09">
        <w:rPr>
          <w:rFonts w:ascii="Palatino Linotype" w:hAnsi="Palatino Linotype"/>
          <w:sz w:val="24"/>
          <w:szCs w:val="24"/>
        </w:rPr>
        <w:t xml:space="preserve">, </w:t>
      </w:r>
      <w:r w:rsidR="00597357" w:rsidRPr="00597357">
        <w:rPr>
          <w:rFonts w:ascii="Palatino Linotype" w:eastAsia="Palatino Linotype" w:hAnsi="Palatino Linotype" w:cs="Palatino Linotype"/>
          <w:sz w:val="24"/>
          <w:szCs w:val="24"/>
          <w:lang w:eastAsia="es-MX"/>
        </w:rPr>
        <w:t xml:space="preserve">resultando aplicable la siguiente tesis: </w:t>
      </w:r>
    </w:p>
    <w:p w14:paraId="60481D9E" w14:textId="77777777" w:rsidR="00597357" w:rsidRPr="00597357" w:rsidRDefault="00597357" w:rsidP="00597357">
      <w:pPr>
        <w:pBdr>
          <w:top w:val="nil"/>
          <w:left w:val="nil"/>
          <w:bottom w:val="nil"/>
          <w:right w:val="nil"/>
          <w:between w:val="nil"/>
        </w:pBdr>
        <w:ind w:left="1134" w:right="900"/>
        <w:jc w:val="both"/>
        <w:rPr>
          <w:rFonts w:ascii="Palatino Linotype" w:eastAsia="Palatino Linotype" w:hAnsi="Palatino Linotype" w:cs="Palatino Linotype"/>
          <w:i/>
          <w:color w:val="000000"/>
          <w:lang w:eastAsia="es-MX"/>
        </w:rPr>
      </w:pPr>
      <w:r w:rsidRPr="00597357">
        <w:rPr>
          <w:rFonts w:ascii="Palatino Linotype" w:eastAsia="Palatino Linotype" w:hAnsi="Palatino Linotype" w:cs="Palatino Linotype"/>
          <w:i/>
          <w:color w:val="000000"/>
          <w:lang w:eastAsia="es-MX"/>
        </w:rPr>
        <w:t>«</w:t>
      </w:r>
      <w:r w:rsidRPr="00597357">
        <w:rPr>
          <w:rFonts w:ascii="Palatino Linotype" w:eastAsia="Palatino Linotype" w:hAnsi="Palatino Linotype" w:cs="Palatino Linotype"/>
          <w:b/>
          <w:i/>
          <w:color w:val="000000"/>
          <w:lang w:eastAsia="es-MX"/>
        </w:rPr>
        <w:t>HECHOS NEGATIVOS, NO SON SUSCEPTIBLES DE DEMOSTRACIÓN.</w:t>
      </w:r>
    </w:p>
    <w:p w14:paraId="49A52AD6" w14:textId="77777777" w:rsidR="00597357" w:rsidRPr="00597357" w:rsidRDefault="00597357" w:rsidP="00597357">
      <w:pPr>
        <w:pBdr>
          <w:top w:val="nil"/>
          <w:left w:val="nil"/>
          <w:bottom w:val="nil"/>
          <w:right w:val="nil"/>
          <w:between w:val="nil"/>
        </w:pBdr>
        <w:ind w:left="1134" w:right="900"/>
        <w:jc w:val="both"/>
        <w:rPr>
          <w:rFonts w:ascii="Palatino Linotype" w:eastAsia="Palatino Linotype" w:hAnsi="Palatino Linotype" w:cs="Palatino Linotype"/>
          <w:i/>
          <w:color w:val="000000"/>
          <w:lang w:eastAsia="es-MX"/>
        </w:rPr>
      </w:pPr>
      <w:r w:rsidRPr="00597357">
        <w:rPr>
          <w:rFonts w:ascii="Palatino Linotype" w:eastAsia="Palatino Linotype" w:hAnsi="Palatino Linotype" w:cs="Palatino Linotype"/>
          <w:i/>
          <w:color w:val="000000"/>
          <w:lang w:eastAsia="es-MX"/>
        </w:rPr>
        <w:t>Tratándose de un hecho negativo, el Juez no tiene por qué invocar prueba alguna de la que se desprenda, ya que es bien sabido que esta clase de hechos no son susceptibles de demostración.</w:t>
      </w:r>
    </w:p>
    <w:p w14:paraId="606937EB" w14:textId="77777777" w:rsidR="00597357" w:rsidRPr="00597357" w:rsidRDefault="00597357" w:rsidP="00597357">
      <w:pPr>
        <w:pBdr>
          <w:top w:val="nil"/>
          <w:left w:val="nil"/>
          <w:bottom w:val="nil"/>
          <w:right w:val="nil"/>
          <w:between w:val="nil"/>
        </w:pBdr>
        <w:ind w:left="1134" w:right="900"/>
        <w:jc w:val="both"/>
        <w:rPr>
          <w:rFonts w:ascii="Palatino Linotype" w:eastAsia="Palatino Linotype" w:hAnsi="Palatino Linotype" w:cs="Palatino Linotype"/>
          <w:i/>
          <w:color w:val="000000"/>
          <w:lang w:eastAsia="es-MX"/>
        </w:rPr>
      </w:pPr>
      <w:r w:rsidRPr="00597357">
        <w:rPr>
          <w:rFonts w:ascii="Palatino Linotype" w:eastAsia="Palatino Linotype" w:hAnsi="Palatino Linotype" w:cs="Palatino Linotype"/>
          <w:i/>
          <w:color w:val="000000"/>
          <w:lang w:eastAsia="es-MX"/>
        </w:rPr>
        <w:t>Amparo en revisión 2022/61. José García Florín (Menor). 9 de octubre de 1961. Cinco votos. Ponente: José Rivera Pérez Campos</w:t>
      </w:r>
    </w:p>
    <w:p w14:paraId="3F932CF4" w14:textId="77777777" w:rsidR="00597357" w:rsidRPr="00597357" w:rsidRDefault="00597357" w:rsidP="00597357">
      <w:pPr>
        <w:spacing w:line="360" w:lineRule="auto"/>
        <w:jc w:val="both"/>
        <w:rPr>
          <w:rFonts w:ascii="Palatino Linotype" w:eastAsia="Palatino Linotype" w:hAnsi="Palatino Linotype" w:cs="Palatino Linotype"/>
          <w:sz w:val="24"/>
          <w:szCs w:val="24"/>
          <w:lang w:eastAsia="es-MX"/>
        </w:rPr>
      </w:pPr>
    </w:p>
    <w:p w14:paraId="0C306CC7" w14:textId="714418E0" w:rsidR="00597357" w:rsidRPr="00597357" w:rsidRDefault="00597357" w:rsidP="00597357">
      <w:pPr>
        <w:spacing w:line="360" w:lineRule="auto"/>
        <w:jc w:val="both"/>
        <w:rPr>
          <w:rFonts w:ascii="Palatino Linotype" w:eastAsia="Palatino Linotype" w:hAnsi="Palatino Linotype" w:cs="Palatino Linotype"/>
          <w:color w:val="000000"/>
          <w:sz w:val="24"/>
          <w:szCs w:val="24"/>
          <w:lang w:eastAsia="es-MX"/>
        </w:rPr>
      </w:pPr>
      <w:r w:rsidRPr="00597357">
        <w:rPr>
          <w:rFonts w:ascii="Palatino Linotype" w:eastAsia="Palatino Linotype" w:hAnsi="Palatino Linotype" w:cs="Palatino Linotype"/>
          <w:sz w:val="24"/>
          <w:szCs w:val="24"/>
          <w:lang w:eastAsia="es-MX"/>
        </w:rPr>
        <w:t xml:space="preserve">De lo que se desprende que es materialmente imposible </w:t>
      </w:r>
      <w:r w:rsidR="00D87D09">
        <w:rPr>
          <w:rFonts w:ascii="Palatino Linotype" w:eastAsia="Palatino Linotype" w:hAnsi="Palatino Linotype" w:cs="Palatino Linotype"/>
          <w:sz w:val="24"/>
          <w:szCs w:val="24"/>
          <w:lang w:eastAsia="es-MX"/>
        </w:rPr>
        <w:t>comunicar alguna fecha</w:t>
      </w:r>
      <w:r w:rsidRPr="00597357">
        <w:rPr>
          <w:rFonts w:ascii="Palatino Linotype" w:eastAsia="Palatino Linotype" w:hAnsi="Palatino Linotype" w:cs="Palatino Linotype"/>
          <w:sz w:val="24"/>
          <w:szCs w:val="24"/>
          <w:lang w:eastAsia="es-MX"/>
        </w:rPr>
        <w:t xml:space="preserve"> que no ha generado el </w:t>
      </w:r>
      <w:r w:rsidRPr="00597357">
        <w:rPr>
          <w:rFonts w:ascii="Palatino Linotype" w:eastAsia="Palatino Linotype" w:hAnsi="Palatino Linotype" w:cs="Palatino Linotype"/>
          <w:b/>
          <w:sz w:val="24"/>
          <w:szCs w:val="24"/>
          <w:lang w:eastAsia="es-MX"/>
        </w:rPr>
        <w:t>SUJETO OBLIGADO</w:t>
      </w:r>
      <w:r w:rsidRPr="00597357">
        <w:rPr>
          <w:rFonts w:ascii="Palatino Linotype" w:eastAsia="Palatino Linotype" w:hAnsi="Palatino Linotype" w:cs="Palatino Linotype"/>
          <w:sz w:val="24"/>
          <w:szCs w:val="24"/>
          <w:lang w:eastAsia="es-MX"/>
        </w:rPr>
        <w:t xml:space="preserve">. </w:t>
      </w:r>
      <w:r w:rsidRPr="00597357">
        <w:rPr>
          <w:rFonts w:ascii="Palatino Linotype" w:eastAsia="Palatino Linotype" w:hAnsi="Palatino Linotype" w:cs="Palatino Linotype"/>
          <w:color w:val="000000"/>
          <w:sz w:val="24"/>
          <w:szCs w:val="24"/>
          <w:lang w:eastAsia="es-MX"/>
        </w:rPr>
        <w:t>Al respecto, este Órgano Garante carece de facultades para dudar de la veracidad de la respuesta emitida pues no está facultado para pronunciarse sobre la veracidad de la información que los Sujetos Obligados ponen a disposición de los solicitantes; situación que se aleja de las atribuciones de este Instituto.</w:t>
      </w:r>
    </w:p>
    <w:p w14:paraId="3A575FF3" w14:textId="1CC9757A" w:rsidR="00092299" w:rsidRDefault="00092299" w:rsidP="00662322">
      <w:pPr>
        <w:spacing w:line="360" w:lineRule="auto"/>
        <w:jc w:val="both"/>
        <w:rPr>
          <w:rFonts w:ascii="Palatino Linotype" w:hAnsi="Palatino Linotype"/>
          <w:sz w:val="24"/>
          <w:szCs w:val="24"/>
        </w:rPr>
      </w:pPr>
      <w:r>
        <w:rPr>
          <w:rFonts w:ascii="Palatino Linotype" w:hAnsi="Palatino Linotype"/>
          <w:sz w:val="24"/>
          <w:szCs w:val="24"/>
        </w:rPr>
        <w:t xml:space="preserve">En lo que respecta al 3 y 5 </w:t>
      </w:r>
      <w:r w:rsidR="00D87D09">
        <w:rPr>
          <w:rFonts w:ascii="Palatino Linotype" w:hAnsi="Palatino Linotype"/>
          <w:sz w:val="24"/>
          <w:szCs w:val="24"/>
        </w:rPr>
        <w:t xml:space="preserve">se tienen por no colmado y por colmado parcial, en razón de lo siguiente; para el punto tres se pidieron el número de inspecciones que se han realizado en los últimos meses y los resultados obtenidos, </w:t>
      </w:r>
      <w:r w:rsidR="0047761A">
        <w:rPr>
          <w:rFonts w:ascii="Palatino Linotype" w:hAnsi="Palatino Linotype"/>
          <w:sz w:val="24"/>
          <w:szCs w:val="24"/>
        </w:rPr>
        <w:t xml:space="preserve">al respecto </w:t>
      </w:r>
      <w:r w:rsidR="00C43524">
        <w:rPr>
          <w:rFonts w:ascii="Palatino Linotype" w:hAnsi="Palatino Linotype"/>
          <w:sz w:val="24"/>
          <w:szCs w:val="24"/>
        </w:rPr>
        <w:t>el titular de la Coordinación de Regulación Comercial</w:t>
      </w:r>
      <w:r w:rsidR="00993EDF">
        <w:rPr>
          <w:rFonts w:ascii="Palatino Linotype" w:hAnsi="Palatino Linotype"/>
          <w:sz w:val="24"/>
          <w:szCs w:val="24"/>
        </w:rPr>
        <w:t>, informo que se realizan inspecciones diarias.</w:t>
      </w:r>
    </w:p>
    <w:p w14:paraId="32E2A5C0" w14:textId="11ED8A3B" w:rsidR="00993EDF" w:rsidRDefault="006B6D75" w:rsidP="00662322">
      <w:pPr>
        <w:spacing w:line="360" w:lineRule="auto"/>
        <w:jc w:val="both"/>
        <w:rPr>
          <w:rFonts w:ascii="Palatino Linotype" w:hAnsi="Palatino Linotype"/>
          <w:sz w:val="24"/>
          <w:szCs w:val="24"/>
        </w:rPr>
      </w:pPr>
      <w:r>
        <w:rPr>
          <w:rFonts w:ascii="Palatino Linotype" w:hAnsi="Palatino Linotype"/>
          <w:sz w:val="24"/>
          <w:szCs w:val="24"/>
        </w:rPr>
        <w:t>Queda claro que no existe temporalidad señalada ni por el particular, ahora recurrente, ni por el Sujeto Obligado</w:t>
      </w:r>
      <w:r w:rsidR="00C112BF">
        <w:rPr>
          <w:rFonts w:ascii="Palatino Linotype" w:hAnsi="Palatino Linotype"/>
          <w:sz w:val="24"/>
          <w:szCs w:val="24"/>
        </w:rPr>
        <w:t>, a</w:t>
      </w:r>
      <w:r w:rsidR="00993EDF">
        <w:rPr>
          <w:rFonts w:ascii="Palatino Linotype" w:hAnsi="Palatino Linotype"/>
          <w:sz w:val="24"/>
          <w:szCs w:val="24"/>
        </w:rPr>
        <w:t xml:space="preserve">l respecto </w:t>
      </w:r>
      <w:r>
        <w:rPr>
          <w:rFonts w:ascii="Palatino Linotype" w:hAnsi="Palatino Linotype"/>
          <w:sz w:val="24"/>
          <w:szCs w:val="24"/>
        </w:rPr>
        <w:t xml:space="preserve">se realizó indagatoria en redes sociales y se localizó un </w:t>
      </w:r>
      <w:r w:rsidR="00C112BF">
        <w:rPr>
          <w:rFonts w:ascii="Palatino Linotype" w:hAnsi="Palatino Linotype"/>
          <w:sz w:val="24"/>
          <w:szCs w:val="24"/>
        </w:rPr>
        <w:t>video que aparece con fecha de subida el “16 de enero de 2025”</w:t>
      </w:r>
      <w:r w:rsidR="00443AAA">
        <w:rPr>
          <w:rFonts w:ascii="Palatino Linotype" w:hAnsi="Palatino Linotype"/>
          <w:sz w:val="24"/>
          <w:szCs w:val="24"/>
        </w:rPr>
        <w:t xml:space="preserve"> en el cual el Director de Regulación Comercial habla sobre el reordenamiento de comerciantes, en el Municipio.</w:t>
      </w:r>
    </w:p>
    <w:p w14:paraId="115D4EEF" w14:textId="486AEE97" w:rsidR="00E54245" w:rsidRDefault="00E54245" w:rsidP="00662322">
      <w:pPr>
        <w:spacing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lastRenderedPageBreak/>
        <w:drawing>
          <wp:anchor distT="0" distB="0" distL="114300" distR="114300" simplePos="0" relativeHeight="251658240" behindDoc="0" locked="0" layoutInCell="1" allowOverlap="1" wp14:anchorId="04955358" wp14:editId="095A40A6">
            <wp:simplePos x="0" y="0"/>
            <wp:positionH relativeFrom="column">
              <wp:posOffset>585066</wp:posOffset>
            </wp:positionH>
            <wp:positionV relativeFrom="paragraph">
              <wp:posOffset>395</wp:posOffset>
            </wp:positionV>
            <wp:extent cx="4590415" cy="3110865"/>
            <wp:effectExtent l="0" t="0" r="63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E8D340.tmp"/>
                    <pic:cNvPicPr/>
                  </pic:nvPicPr>
                  <pic:blipFill>
                    <a:blip r:embed="rId8">
                      <a:extLst>
                        <a:ext uri="{28A0092B-C50C-407E-A947-70E740481C1C}">
                          <a14:useLocalDpi xmlns:a14="http://schemas.microsoft.com/office/drawing/2010/main" val="0"/>
                        </a:ext>
                      </a:extLst>
                    </a:blip>
                    <a:stretch>
                      <a:fillRect/>
                    </a:stretch>
                  </pic:blipFill>
                  <pic:spPr>
                    <a:xfrm>
                      <a:off x="0" y="0"/>
                      <a:ext cx="4590415" cy="3110865"/>
                    </a:xfrm>
                    <a:prstGeom prst="rect">
                      <a:avLst/>
                    </a:prstGeom>
                  </pic:spPr>
                </pic:pic>
              </a:graphicData>
            </a:graphic>
            <wp14:sizeRelH relativeFrom="margin">
              <wp14:pctWidth>0</wp14:pctWidth>
            </wp14:sizeRelH>
            <wp14:sizeRelV relativeFrom="margin">
              <wp14:pctHeight>0</wp14:pctHeight>
            </wp14:sizeRelV>
          </wp:anchor>
        </w:drawing>
      </w:r>
    </w:p>
    <w:p w14:paraId="60DCBCCB" w14:textId="4F3F3F44" w:rsidR="00443AAA" w:rsidRDefault="00443AAA" w:rsidP="00662322">
      <w:pPr>
        <w:spacing w:line="360" w:lineRule="auto"/>
        <w:jc w:val="both"/>
        <w:rPr>
          <w:rFonts w:ascii="Palatino Linotype" w:hAnsi="Palatino Linotype"/>
          <w:sz w:val="24"/>
          <w:szCs w:val="24"/>
        </w:rPr>
      </w:pPr>
    </w:p>
    <w:p w14:paraId="0F439CE7" w14:textId="4EF883DF" w:rsidR="00443AAA" w:rsidRDefault="00443AAA" w:rsidP="00662322">
      <w:pPr>
        <w:spacing w:line="360" w:lineRule="auto"/>
        <w:jc w:val="both"/>
        <w:rPr>
          <w:rFonts w:ascii="Palatino Linotype" w:hAnsi="Palatino Linotype"/>
          <w:sz w:val="24"/>
          <w:szCs w:val="24"/>
        </w:rPr>
      </w:pPr>
    </w:p>
    <w:p w14:paraId="2FE705A3" w14:textId="77777777" w:rsidR="00443AAA" w:rsidRDefault="00443AAA" w:rsidP="00662322">
      <w:pPr>
        <w:spacing w:line="360" w:lineRule="auto"/>
        <w:jc w:val="both"/>
        <w:rPr>
          <w:rFonts w:ascii="Palatino Linotype" w:hAnsi="Palatino Linotype"/>
          <w:sz w:val="24"/>
          <w:szCs w:val="24"/>
        </w:rPr>
      </w:pPr>
    </w:p>
    <w:p w14:paraId="21640A4D" w14:textId="77777777" w:rsidR="002C25D1" w:rsidRDefault="002C25D1" w:rsidP="00662322">
      <w:pPr>
        <w:spacing w:line="360" w:lineRule="auto"/>
        <w:jc w:val="both"/>
        <w:rPr>
          <w:rFonts w:ascii="Palatino Linotype" w:hAnsi="Palatino Linotype"/>
          <w:sz w:val="24"/>
          <w:szCs w:val="24"/>
        </w:rPr>
      </w:pPr>
    </w:p>
    <w:p w14:paraId="15EBF4E1" w14:textId="77777777" w:rsidR="002C25D1" w:rsidRDefault="002C25D1" w:rsidP="00662322">
      <w:pPr>
        <w:spacing w:line="360" w:lineRule="auto"/>
        <w:jc w:val="both"/>
        <w:rPr>
          <w:rFonts w:ascii="Palatino Linotype" w:hAnsi="Palatino Linotype"/>
          <w:sz w:val="24"/>
          <w:szCs w:val="24"/>
        </w:rPr>
      </w:pPr>
    </w:p>
    <w:p w14:paraId="181E2B77" w14:textId="77777777" w:rsidR="002C25D1" w:rsidRDefault="002C25D1" w:rsidP="00662322">
      <w:pPr>
        <w:spacing w:line="360" w:lineRule="auto"/>
        <w:jc w:val="both"/>
        <w:rPr>
          <w:rFonts w:ascii="Palatino Linotype" w:hAnsi="Palatino Linotype"/>
          <w:sz w:val="24"/>
          <w:szCs w:val="24"/>
        </w:rPr>
      </w:pPr>
    </w:p>
    <w:p w14:paraId="587631E5" w14:textId="77777777" w:rsidR="002C25D1" w:rsidRDefault="002C25D1" w:rsidP="00662322">
      <w:pPr>
        <w:spacing w:line="360" w:lineRule="auto"/>
        <w:jc w:val="both"/>
        <w:rPr>
          <w:rFonts w:ascii="Palatino Linotype" w:hAnsi="Palatino Linotype"/>
          <w:sz w:val="24"/>
          <w:szCs w:val="24"/>
        </w:rPr>
      </w:pPr>
    </w:p>
    <w:p w14:paraId="4100A294" w14:textId="77777777" w:rsidR="009C4A60" w:rsidRPr="009C4A60" w:rsidRDefault="009C4A60" w:rsidP="009C4A60">
      <w:pPr>
        <w:spacing w:line="360" w:lineRule="auto"/>
        <w:contextualSpacing/>
        <w:jc w:val="both"/>
        <w:rPr>
          <w:rFonts w:ascii="Palatino Linotype" w:hAnsi="Palatino Linotype"/>
          <w:sz w:val="24"/>
          <w:szCs w:val="24"/>
        </w:rPr>
      </w:pPr>
      <w:r w:rsidRPr="009C4A60">
        <w:rPr>
          <w:rFonts w:ascii="Palatino Linotype" w:hAnsi="Palatino Linotype"/>
          <w:sz w:val="24"/>
          <w:szCs w:val="24"/>
        </w:rPr>
        <w:t>Ahora bien, es importante mencionar que, la información precisada con anterioridad es referente a notas periodísticas, por lo que es de precisarse que, en el caso concreto, las notas periodísticas y los argumentos vertidos en párrafos que preceden, si bien es cierto, carecen de valor probatorio, también lo es que arrojan indicios sobre los hechos a los que se refieren.</w:t>
      </w:r>
    </w:p>
    <w:p w14:paraId="5069D910" w14:textId="77777777" w:rsidR="009C4A60" w:rsidRPr="009C4A60" w:rsidRDefault="009C4A60" w:rsidP="009C4A60">
      <w:pPr>
        <w:spacing w:line="360" w:lineRule="auto"/>
        <w:contextualSpacing/>
        <w:jc w:val="both"/>
        <w:rPr>
          <w:rFonts w:ascii="Palatino Linotype" w:hAnsi="Palatino Linotype"/>
          <w:sz w:val="24"/>
        </w:rPr>
      </w:pPr>
      <w:r w:rsidRPr="009C4A60">
        <w:rPr>
          <w:rFonts w:ascii="Palatino Linotype" w:hAnsi="Palatino Linotype"/>
          <w:sz w:val="24"/>
        </w:rPr>
        <w:t>Sirve de apoyo a lo anteriormente señalado, la Jurisprudencia emitida por la Sala Superior de la Suprema Corte de Justicia de la Nación, Tercera Época</w:t>
      </w:r>
      <w:r w:rsidRPr="009C4A60">
        <w:rPr>
          <w:rFonts w:ascii="Palatino Linotype" w:hAnsi="Palatino Linotype"/>
          <w:sz w:val="24"/>
          <w:vertAlign w:val="superscript"/>
        </w:rPr>
        <w:footnoteReference w:id="2"/>
      </w:r>
      <w:r w:rsidRPr="009C4A60">
        <w:rPr>
          <w:rFonts w:ascii="Palatino Linotype" w:hAnsi="Palatino Linotype"/>
          <w:sz w:val="24"/>
        </w:rPr>
        <w:t>, que se muestra a continuación:</w:t>
      </w:r>
    </w:p>
    <w:p w14:paraId="07B917BA" w14:textId="77777777" w:rsidR="009C4A60" w:rsidRPr="009C4A60" w:rsidRDefault="009C4A60" w:rsidP="009C4A60">
      <w:pPr>
        <w:spacing w:before="240" w:line="360" w:lineRule="auto"/>
        <w:ind w:left="851" w:right="851"/>
        <w:jc w:val="both"/>
        <w:rPr>
          <w:rFonts w:ascii="Palatino Linotype" w:hAnsi="Palatino Linotype" w:cs="Arial"/>
          <w:b/>
          <w:i/>
        </w:rPr>
      </w:pPr>
      <w:r w:rsidRPr="009C4A60">
        <w:rPr>
          <w:rFonts w:ascii="Palatino Linotype" w:hAnsi="Palatino Linotype" w:cs="Arial"/>
          <w:b/>
          <w:i/>
        </w:rPr>
        <w:t xml:space="preserve">“NOTAS PERIODÍSTICAS. ELEMENTOS PARA DETERMINAR SU FUERZA INDICIARIA. </w:t>
      </w:r>
    </w:p>
    <w:p w14:paraId="62CFF709" w14:textId="77777777" w:rsidR="009C4A60" w:rsidRPr="009C4A60" w:rsidRDefault="009C4A60" w:rsidP="009C4A60">
      <w:pPr>
        <w:spacing w:before="240" w:line="360" w:lineRule="auto"/>
        <w:ind w:left="851" w:right="851"/>
        <w:jc w:val="both"/>
        <w:rPr>
          <w:rFonts w:ascii="Palatino Linotype" w:eastAsia="Times New Roman" w:hAnsi="Palatino Linotype" w:cs="Arial"/>
          <w:b/>
          <w:bCs/>
          <w:i/>
          <w:sz w:val="24"/>
          <w:szCs w:val="24"/>
          <w:lang w:eastAsia="es-MX"/>
        </w:rPr>
      </w:pPr>
      <w:r w:rsidRPr="009C4A60">
        <w:rPr>
          <w:rFonts w:ascii="Palatino Linotype" w:hAnsi="Palatino Linotype" w:cs="Arial"/>
          <w:i/>
        </w:rPr>
        <w:lastRenderedPageBreak/>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9C4A60">
        <w:rPr>
          <w:rFonts w:ascii="Palatino Linotype" w:hAnsi="Palatino Linotype" w:cs="Arial"/>
          <w:i/>
        </w:rPr>
        <w:t>convictivo</w:t>
      </w:r>
      <w:proofErr w:type="spellEnd"/>
      <w:r w:rsidRPr="009C4A60">
        <w:rPr>
          <w:rFonts w:ascii="Palatino Linotype" w:hAnsi="Palatino Linotype" w:cs="Arial"/>
          <w:i/>
        </w:rPr>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r w:rsidRPr="009C4A60">
        <w:rPr>
          <w:rFonts w:ascii="Palatino Linotype" w:hAnsi="Palatino Linotype" w:cs="Arial"/>
          <w:b/>
          <w:bCs/>
          <w:i/>
        </w:rPr>
        <w:t>(Sic)</w:t>
      </w:r>
    </w:p>
    <w:p w14:paraId="4CD00F23" w14:textId="3AE13BBE" w:rsidR="00443AAA" w:rsidRDefault="00443AAA" w:rsidP="00662322">
      <w:pPr>
        <w:spacing w:line="360" w:lineRule="auto"/>
        <w:jc w:val="both"/>
        <w:rPr>
          <w:rFonts w:ascii="Palatino Linotype" w:hAnsi="Palatino Linotype"/>
          <w:sz w:val="24"/>
          <w:szCs w:val="24"/>
        </w:rPr>
      </w:pPr>
      <w:r>
        <w:rPr>
          <w:rFonts w:ascii="Palatino Linotype" w:hAnsi="Palatino Linotype"/>
          <w:sz w:val="24"/>
          <w:szCs w:val="24"/>
        </w:rPr>
        <w:t xml:space="preserve">Cabe </w:t>
      </w:r>
      <w:r w:rsidR="00382EBB">
        <w:rPr>
          <w:rFonts w:ascii="Palatino Linotype" w:hAnsi="Palatino Linotype"/>
          <w:sz w:val="24"/>
          <w:szCs w:val="24"/>
        </w:rPr>
        <w:t>referir</w:t>
      </w:r>
      <w:r>
        <w:rPr>
          <w:rFonts w:ascii="Palatino Linotype" w:hAnsi="Palatino Linotype"/>
          <w:sz w:val="24"/>
          <w:szCs w:val="24"/>
        </w:rPr>
        <w:t xml:space="preserve"> que la Administración del Ayuntamiento actual com</w:t>
      </w:r>
      <w:r w:rsidR="00382EBB">
        <w:rPr>
          <w:rFonts w:ascii="Palatino Linotype" w:hAnsi="Palatino Linotype"/>
          <w:sz w:val="24"/>
          <w:szCs w:val="24"/>
        </w:rPr>
        <w:t>en</w:t>
      </w:r>
      <w:r>
        <w:rPr>
          <w:rFonts w:ascii="Palatino Linotype" w:hAnsi="Palatino Linotype"/>
          <w:sz w:val="24"/>
          <w:szCs w:val="24"/>
        </w:rPr>
        <w:t xml:space="preserve">zó en 2025 (2025-2027), por lo que se estima </w:t>
      </w:r>
      <w:r w:rsidR="00382EBB">
        <w:rPr>
          <w:rFonts w:ascii="Palatino Linotype" w:hAnsi="Palatino Linotype"/>
          <w:sz w:val="24"/>
          <w:szCs w:val="24"/>
        </w:rPr>
        <w:t>conveniente fijar como fecha de la cual se requiere la información del 01 de enero de 2025</w:t>
      </w:r>
      <w:r w:rsidR="009B487F">
        <w:rPr>
          <w:rFonts w:ascii="Palatino Linotype" w:hAnsi="Palatino Linotype"/>
          <w:sz w:val="24"/>
          <w:szCs w:val="24"/>
        </w:rPr>
        <w:t>, a la fecha de ingreso de la solicitud, esto es al 20 de febrero de 2025.</w:t>
      </w:r>
    </w:p>
    <w:p w14:paraId="558A1D7F" w14:textId="0A9943C5" w:rsidR="002C25D1" w:rsidRDefault="002C25D1" w:rsidP="00662322">
      <w:pPr>
        <w:spacing w:line="360" w:lineRule="auto"/>
        <w:jc w:val="both"/>
        <w:rPr>
          <w:rFonts w:ascii="Palatino Linotype" w:hAnsi="Palatino Linotype"/>
          <w:sz w:val="24"/>
          <w:szCs w:val="24"/>
        </w:rPr>
      </w:pPr>
      <w:r>
        <w:rPr>
          <w:rFonts w:ascii="Palatino Linotype" w:hAnsi="Palatino Linotype"/>
          <w:sz w:val="24"/>
          <w:szCs w:val="24"/>
        </w:rPr>
        <w:t xml:space="preserve">Determinado lo anterior, </w:t>
      </w:r>
      <w:r w:rsidR="00F763C8">
        <w:rPr>
          <w:rFonts w:ascii="Palatino Linotype" w:hAnsi="Palatino Linotype"/>
          <w:sz w:val="24"/>
          <w:szCs w:val="24"/>
        </w:rPr>
        <w:t xml:space="preserve">el servidor público habilitado manifiesta que se realizan inspecciones diarias </w:t>
      </w:r>
      <w:r w:rsidR="00642373">
        <w:rPr>
          <w:rFonts w:ascii="Palatino Linotype" w:hAnsi="Palatino Linotype"/>
          <w:sz w:val="24"/>
          <w:szCs w:val="24"/>
        </w:rPr>
        <w:t xml:space="preserve">sin esclarecer el número preciso de las inspecciones. </w:t>
      </w:r>
    </w:p>
    <w:p w14:paraId="21DC5615" w14:textId="279C52F8" w:rsidR="00642373" w:rsidRDefault="00642373" w:rsidP="00662322">
      <w:pPr>
        <w:spacing w:line="360" w:lineRule="auto"/>
        <w:jc w:val="both"/>
        <w:rPr>
          <w:rFonts w:ascii="Palatino Linotype" w:hAnsi="Palatino Linotype"/>
          <w:sz w:val="24"/>
          <w:szCs w:val="24"/>
        </w:rPr>
      </w:pPr>
      <w:r>
        <w:rPr>
          <w:rFonts w:ascii="Palatino Linotype" w:hAnsi="Palatino Linotype"/>
          <w:sz w:val="24"/>
          <w:szCs w:val="24"/>
        </w:rPr>
        <w:lastRenderedPageBreak/>
        <w:t xml:space="preserve">Al respecto se observa que del contenido del artículo 214 del Bando Municipal, </w:t>
      </w:r>
      <w:r w:rsidRPr="00642373">
        <w:rPr>
          <w:rFonts w:ascii="Palatino Linotype" w:hAnsi="Palatino Linotype"/>
          <w:sz w:val="24"/>
          <w:szCs w:val="24"/>
        </w:rPr>
        <w:t>titular de la Coordinación de Regulación Comercial</w:t>
      </w:r>
      <w:r>
        <w:rPr>
          <w:rFonts w:ascii="Palatino Linotype" w:hAnsi="Palatino Linotype"/>
          <w:sz w:val="24"/>
          <w:szCs w:val="24"/>
        </w:rPr>
        <w:t xml:space="preserve"> tiene atribuciones para </w:t>
      </w:r>
      <w:r w:rsidR="00414EC7">
        <w:rPr>
          <w:rFonts w:ascii="Palatino Linotype" w:hAnsi="Palatino Linotype"/>
          <w:sz w:val="24"/>
          <w:szCs w:val="24"/>
        </w:rPr>
        <w:t>ejecutar las siguientes medidas de seguridad.</w:t>
      </w:r>
    </w:p>
    <w:p w14:paraId="6B5B4EA3" w14:textId="77777777" w:rsidR="00414EC7" w:rsidRPr="00414EC7" w:rsidRDefault="00414EC7" w:rsidP="00414EC7">
      <w:pPr>
        <w:spacing w:line="360" w:lineRule="auto"/>
        <w:ind w:left="851" w:right="707"/>
        <w:jc w:val="both"/>
        <w:rPr>
          <w:rFonts w:ascii="Palatino Linotype" w:hAnsi="Palatino Linotype"/>
          <w:i/>
        </w:rPr>
      </w:pPr>
      <w:r w:rsidRPr="001A3321">
        <w:rPr>
          <w:rFonts w:ascii="Palatino Linotype" w:hAnsi="Palatino Linotype"/>
          <w:b/>
          <w:i/>
        </w:rPr>
        <w:t>Artículo 214.-</w:t>
      </w:r>
      <w:r w:rsidRPr="00414EC7">
        <w:rPr>
          <w:rFonts w:ascii="Palatino Linotype" w:hAnsi="Palatino Linotype"/>
          <w:i/>
        </w:rPr>
        <w:t xml:space="preserve"> El titular de la Coordinación de Regulación Comercial podrá adoptar y ordenar las siguientes medidas de seguridad: </w:t>
      </w:r>
    </w:p>
    <w:p w14:paraId="6638EA85" w14:textId="339E355D" w:rsidR="00414EC7" w:rsidRPr="00414EC7" w:rsidRDefault="00414EC7" w:rsidP="00414EC7">
      <w:pPr>
        <w:pStyle w:val="Prrafodelista"/>
        <w:numPr>
          <w:ilvl w:val="0"/>
          <w:numId w:val="9"/>
        </w:numPr>
        <w:ind w:left="851" w:right="707" w:firstLine="0"/>
        <w:rPr>
          <w:i/>
          <w:sz w:val="22"/>
          <w:szCs w:val="22"/>
        </w:rPr>
      </w:pPr>
      <w:r w:rsidRPr="00414EC7">
        <w:rPr>
          <w:i/>
          <w:sz w:val="22"/>
          <w:szCs w:val="22"/>
        </w:rPr>
        <w:t xml:space="preserve">Retiro y aseguramiento inmediato de mercancías, productos, enseres, anuncios, instrumentos, mobiliario, materiales, vehículos, sustancias y cualquier objeto que invada pasos peatonales, vehiculares vías, plazas públicas o lugares de uso común; </w:t>
      </w:r>
    </w:p>
    <w:p w14:paraId="70EC8D00" w14:textId="77777777" w:rsidR="00414EC7" w:rsidRPr="00414EC7" w:rsidRDefault="00414EC7" w:rsidP="00414EC7">
      <w:pPr>
        <w:pStyle w:val="Prrafodelista"/>
        <w:numPr>
          <w:ilvl w:val="0"/>
          <w:numId w:val="9"/>
        </w:numPr>
        <w:ind w:left="851" w:right="707" w:firstLine="0"/>
        <w:rPr>
          <w:i/>
          <w:sz w:val="22"/>
          <w:szCs w:val="22"/>
        </w:rPr>
      </w:pPr>
      <w:r w:rsidRPr="00414EC7">
        <w:rPr>
          <w:i/>
          <w:sz w:val="22"/>
          <w:szCs w:val="22"/>
        </w:rPr>
        <w:t xml:space="preserve"> Desocupación o desalojo parcial o total de inmuebles en los cuales se ejerza la actividad económica o espectáculos públicos; </w:t>
      </w:r>
    </w:p>
    <w:p w14:paraId="31B9A365" w14:textId="77777777" w:rsidR="00414EC7" w:rsidRPr="00414EC7" w:rsidRDefault="00414EC7" w:rsidP="00414EC7">
      <w:pPr>
        <w:pStyle w:val="Prrafodelista"/>
        <w:numPr>
          <w:ilvl w:val="0"/>
          <w:numId w:val="9"/>
        </w:numPr>
        <w:ind w:left="851" w:right="707" w:firstLine="0"/>
        <w:rPr>
          <w:i/>
          <w:sz w:val="22"/>
          <w:szCs w:val="22"/>
        </w:rPr>
      </w:pPr>
      <w:r w:rsidRPr="00414EC7">
        <w:rPr>
          <w:i/>
          <w:sz w:val="22"/>
          <w:szCs w:val="22"/>
        </w:rPr>
        <w:t xml:space="preserve">Evacuación; </w:t>
      </w:r>
    </w:p>
    <w:p w14:paraId="65448A9C" w14:textId="77777777" w:rsidR="00414EC7" w:rsidRPr="00414EC7" w:rsidRDefault="00414EC7" w:rsidP="00414EC7">
      <w:pPr>
        <w:pStyle w:val="Prrafodelista"/>
        <w:numPr>
          <w:ilvl w:val="0"/>
          <w:numId w:val="9"/>
        </w:numPr>
        <w:ind w:left="851" w:right="707" w:firstLine="0"/>
        <w:rPr>
          <w:i/>
          <w:sz w:val="22"/>
          <w:szCs w:val="22"/>
        </w:rPr>
      </w:pPr>
      <w:r w:rsidRPr="00414EC7">
        <w:rPr>
          <w:i/>
          <w:sz w:val="22"/>
          <w:szCs w:val="22"/>
        </w:rPr>
        <w:t xml:space="preserve">Reubicación; </w:t>
      </w:r>
    </w:p>
    <w:p w14:paraId="268B4B9D" w14:textId="77777777" w:rsidR="00414EC7" w:rsidRPr="00414EC7" w:rsidRDefault="00414EC7" w:rsidP="00414EC7">
      <w:pPr>
        <w:pStyle w:val="Prrafodelista"/>
        <w:numPr>
          <w:ilvl w:val="0"/>
          <w:numId w:val="9"/>
        </w:numPr>
        <w:ind w:left="851" w:right="707" w:firstLine="0"/>
        <w:rPr>
          <w:i/>
          <w:sz w:val="22"/>
          <w:szCs w:val="22"/>
        </w:rPr>
      </w:pPr>
      <w:r w:rsidRPr="00414EC7">
        <w:rPr>
          <w:i/>
          <w:sz w:val="22"/>
          <w:szCs w:val="22"/>
        </w:rPr>
        <w:t xml:space="preserve">Clausura temporal o provisional, total o parcial de la unidad económica, la que podrá subsistir hasta que se demuestre que se cuenta con los permisos, licencias o autorizaciones respectivos o bien, se cumplan las condiciones necesarias para permitirla operación de la unidad económica o el levantamiento de la Medida; siempre y cuando los dictámenes de protección civil y desarrollo urbano expresen que no se afectan la integridad de peatones y/o cause hechos de tránsito, y no se afecte bienes de uso común respectivamente emitidos por estas dependencias. </w:t>
      </w:r>
    </w:p>
    <w:p w14:paraId="707D7373" w14:textId="16E97CF2" w:rsidR="00414EC7" w:rsidRPr="00414EC7" w:rsidRDefault="00414EC7" w:rsidP="00414EC7">
      <w:pPr>
        <w:pStyle w:val="Prrafodelista"/>
        <w:numPr>
          <w:ilvl w:val="0"/>
          <w:numId w:val="9"/>
        </w:numPr>
        <w:ind w:left="851" w:right="707" w:firstLine="0"/>
        <w:rPr>
          <w:i/>
          <w:sz w:val="22"/>
          <w:szCs w:val="22"/>
        </w:rPr>
      </w:pPr>
      <w:r w:rsidRPr="00414EC7">
        <w:rPr>
          <w:i/>
          <w:sz w:val="22"/>
          <w:szCs w:val="22"/>
        </w:rPr>
        <w:t xml:space="preserve">Suspensión del evento o espectáculo; </w:t>
      </w:r>
    </w:p>
    <w:p w14:paraId="166B0724" w14:textId="77777777" w:rsidR="00414EC7" w:rsidRPr="00414EC7" w:rsidRDefault="00414EC7" w:rsidP="00414EC7">
      <w:pPr>
        <w:pStyle w:val="Prrafodelista"/>
        <w:numPr>
          <w:ilvl w:val="0"/>
          <w:numId w:val="9"/>
        </w:numPr>
        <w:ind w:left="851" w:right="707" w:firstLine="0"/>
        <w:rPr>
          <w:i/>
          <w:sz w:val="22"/>
          <w:szCs w:val="22"/>
        </w:rPr>
      </w:pPr>
      <w:r w:rsidRPr="00414EC7">
        <w:rPr>
          <w:i/>
          <w:sz w:val="22"/>
          <w:szCs w:val="22"/>
        </w:rPr>
        <w:t xml:space="preserve"> Suspensión temporal de la actividad económica; </w:t>
      </w:r>
    </w:p>
    <w:p w14:paraId="53742037" w14:textId="77777777" w:rsidR="00414EC7" w:rsidRPr="00414EC7" w:rsidRDefault="00414EC7" w:rsidP="00414EC7">
      <w:pPr>
        <w:pStyle w:val="Prrafodelista"/>
        <w:numPr>
          <w:ilvl w:val="0"/>
          <w:numId w:val="9"/>
        </w:numPr>
        <w:ind w:left="851" w:right="707" w:firstLine="0"/>
        <w:rPr>
          <w:i/>
          <w:sz w:val="22"/>
          <w:szCs w:val="22"/>
        </w:rPr>
      </w:pPr>
      <w:r w:rsidRPr="00414EC7">
        <w:rPr>
          <w:i/>
          <w:sz w:val="22"/>
          <w:szCs w:val="22"/>
        </w:rPr>
        <w:t xml:space="preserve">Suspensión temporal del Anuncio Publicitario; </w:t>
      </w:r>
    </w:p>
    <w:p w14:paraId="21FCC2D2" w14:textId="77777777" w:rsidR="00414EC7" w:rsidRPr="00414EC7" w:rsidRDefault="00414EC7" w:rsidP="00414EC7">
      <w:pPr>
        <w:pStyle w:val="Prrafodelista"/>
        <w:numPr>
          <w:ilvl w:val="0"/>
          <w:numId w:val="9"/>
        </w:numPr>
        <w:ind w:left="851" w:right="707" w:firstLine="0"/>
        <w:rPr>
          <w:i/>
          <w:sz w:val="22"/>
          <w:szCs w:val="22"/>
        </w:rPr>
      </w:pPr>
      <w:r w:rsidRPr="00414EC7">
        <w:rPr>
          <w:i/>
          <w:sz w:val="22"/>
          <w:szCs w:val="22"/>
        </w:rPr>
        <w:t xml:space="preserve">Remisión a la autoridad competente; y </w:t>
      </w:r>
    </w:p>
    <w:p w14:paraId="3327C70A" w14:textId="668DD12A" w:rsidR="00414EC7" w:rsidRPr="00414EC7" w:rsidRDefault="00414EC7" w:rsidP="00414EC7">
      <w:pPr>
        <w:pStyle w:val="Prrafodelista"/>
        <w:numPr>
          <w:ilvl w:val="0"/>
          <w:numId w:val="9"/>
        </w:numPr>
        <w:ind w:left="851" w:right="707" w:firstLine="0"/>
        <w:rPr>
          <w:i/>
          <w:sz w:val="22"/>
          <w:szCs w:val="22"/>
        </w:rPr>
      </w:pPr>
      <w:r w:rsidRPr="00414EC7">
        <w:rPr>
          <w:i/>
          <w:sz w:val="22"/>
          <w:szCs w:val="22"/>
        </w:rPr>
        <w:t>Cualquier otra acción o medida que tienda a garantizar el orden y el estado de derecho, así como evitar daños a las personas, bienes y proteger la salud de la población.</w:t>
      </w:r>
    </w:p>
    <w:p w14:paraId="180BA766" w14:textId="7DDDEB3B" w:rsidR="00414EC7" w:rsidRDefault="00414EC7" w:rsidP="00662322">
      <w:pPr>
        <w:spacing w:line="360" w:lineRule="auto"/>
        <w:jc w:val="both"/>
        <w:rPr>
          <w:rFonts w:ascii="Palatino Linotype" w:hAnsi="Palatino Linotype"/>
          <w:sz w:val="24"/>
          <w:szCs w:val="24"/>
        </w:rPr>
      </w:pPr>
      <w:r>
        <w:rPr>
          <w:rFonts w:ascii="Palatino Linotype" w:hAnsi="Palatino Linotype"/>
          <w:sz w:val="24"/>
          <w:szCs w:val="24"/>
        </w:rPr>
        <w:lastRenderedPageBreak/>
        <w:t xml:space="preserve">Luego entonces podemos colegir que de las actividades realizadas </w:t>
      </w:r>
      <w:r w:rsidR="00DD6BF9">
        <w:rPr>
          <w:rFonts w:ascii="Palatino Linotype" w:hAnsi="Palatino Linotype"/>
          <w:sz w:val="24"/>
          <w:szCs w:val="24"/>
        </w:rPr>
        <w:t xml:space="preserve">es posible advertir un resultado </w:t>
      </w:r>
      <w:r w:rsidR="001A3321">
        <w:rPr>
          <w:rFonts w:ascii="Palatino Linotype" w:hAnsi="Palatino Linotype"/>
          <w:sz w:val="24"/>
          <w:szCs w:val="24"/>
        </w:rPr>
        <w:t>de las verificaciones realizadas.</w:t>
      </w:r>
    </w:p>
    <w:p w14:paraId="459628B4" w14:textId="4CE3985C" w:rsidR="001A3321" w:rsidRDefault="00FF1C2E" w:rsidP="00662322">
      <w:pPr>
        <w:spacing w:line="360" w:lineRule="auto"/>
        <w:jc w:val="both"/>
        <w:rPr>
          <w:rFonts w:ascii="Palatino Linotype" w:hAnsi="Palatino Linotype"/>
          <w:sz w:val="24"/>
          <w:szCs w:val="24"/>
        </w:rPr>
      </w:pPr>
      <w:r>
        <w:rPr>
          <w:rFonts w:ascii="Palatino Linotype" w:hAnsi="Palatino Linotype"/>
          <w:sz w:val="24"/>
          <w:szCs w:val="24"/>
        </w:rPr>
        <w:t>Al respecto tenemos en cuenta el segundo párrafo del artículo 12 de la Ley de Transparencia y Acceso a la Información Pública del Estado de México y Municipios, el cual versa en:</w:t>
      </w:r>
    </w:p>
    <w:p w14:paraId="5A1BA8D1" w14:textId="77777777" w:rsidR="00FF1C2E" w:rsidRPr="00FF1C2E" w:rsidRDefault="00FF1C2E" w:rsidP="00FF1C2E">
      <w:pPr>
        <w:spacing w:line="360" w:lineRule="auto"/>
        <w:ind w:left="851" w:right="707"/>
        <w:jc w:val="both"/>
        <w:rPr>
          <w:rFonts w:ascii="Palatino Linotype" w:hAnsi="Palatino Linotype"/>
          <w:i/>
          <w:szCs w:val="24"/>
        </w:rPr>
      </w:pPr>
      <w:r w:rsidRPr="00FF1C2E">
        <w:rPr>
          <w:rFonts w:ascii="Palatino Linotype" w:hAnsi="Palatino Linotype"/>
          <w:b/>
          <w:i/>
          <w:szCs w:val="24"/>
        </w:rPr>
        <w:t>Artículo 12.</w:t>
      </w:r>
      <w:r w:rsidRPr="00FF1C2E">
        <w:rPr>
          <w:rFonts w:ascii="Palatino Linotype" w:hAnsi="Palatino Linotype"/>
          <w:i/>
          <w:szCs w:val="24"/>
        </w:rPr>
        <w:t xml:space="preserve"> Quienes generen, recopilen, administren, manejen, procesen, archiven o conserven información pública serán responsables de la misma en los términos de las disposiciones jurídicas aplicables.</w:t>
      </w:r>
    </w:p>
    <w:p w14:paraId="5258E78C" w14:textId="72283E2D" w:rsidR="00FF1C2E" w:rsidRPr="00FF1C2E" w:rsidRDefault="00FF1C2E" w:rsidP="00FF1C2E">
      <w:pPr>
        <w:spacing w:line="360" w:lineRule="auto"/>
        <w:ind w:left="851" w:right="707"/>
        <w:jc w:val="both"/>
        <w:rPr>
          <w:rFonts w:ascii="Palatino Linotype" w:hAnsi="Palatino Linotype"/>
          <w:i/>
          <w:szCs w:val="24"/>
        </w:rPr>
      </w:pPr>
      <w:r w:rsidRPr="00A67C3D">
        <w:rPr>
          <w:rFonts w:ascii="Palatino Linotype" w:hAnsi="Palatino Linotype"/>
          <w:i/>
          <w:szCs w:val="24"/>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F1C2E">
        <w:rPr>
          <w:rFonts w:ascii="Palatino Linotype" w:hAnsi="Palatino Linotype"/>
          <w:i/>
          <w:szCs w:val="24"/>
        </w:rPr>
        <w:t>.</w:t>
      </w:r>
    </w:p>
    <w:p w14:paraId="1BD57CCF" w14:textId="003D4EC2" w:rsidR="002F18EE" w:rsidRDefault="002F18EE" w:rsidP="00662322">
      <w:pPr>
        <w:spacing w:line="360" w:lineRule="auto"/>
        <w:jc w:val="both"/>
        <w:rPr>
          <w:rFonts w:ascii="Palatino Linotype" w:hAnsi="Palatino Linotype"/>
          <w:sz w:val="24"/>
          <w:szCs w:val="24"/>
        </w:rPr>
      </w:pPr>
      <w:r>
        <w:rPr>
          <w:rFonts w:ascii="Palatino Linotype" w:hAnsi="Palatino Linotype"/>
          <w:sz w:val="24"/>
          <w:szCs w:val="24"/>
        </w:rPr>
        <w:t>En relación con el artículo 163 del Bando Municipal.</w:t>
      </w:r>
    </w:p>
    <w:p w14:paraId="6C035C39" w14:textId="0F5C396F" w:rsidR="002F18EE" w:rsidRPr="002F18EE" w:rsidRDefault="002F18EE" w:rsidP="002F18EE">
      <w:pPr>
        <w:spacing w:line="276" w:lineRule="auto"/>
        <w:ind w:left="851" w:right="849"/>
        <w:jc w:val="both"/>
        <w:rPr>
          <w:rFonts w:ascii="Palatino Linotype" w:hAnsi="Palatino Linotype"/>
          <w:i/>
          <w:szCs w:val="24"/>
          <w:u w:val="single"/>
        </w:rPr>
      </w:pPr>
      <w:r w:rsidRPr="002F18EE">
        <w:rPr>
          <w:rFonts w:ascii="Palatino Linotype" w:hAnsi="Palatino Linotype"/>
          <w:b/>
          <w:i/>
          <w:szCs w:val="24"/>
        </w:rPr>
        <w:t>Artículo 163.-</w:t>
      </w:r>
      <w:r w:rsidRPr="002F18EE">
        <w:rPr>
          <w:rFonts w:ascii="Palatino Linotype" w:hAnsi="Palatino Linotype"/>
          <w:i/>
          <w:szCs w:val="24"/>
        </w:rPr>
        <w:t xml:space="preserve"> </w:t>
      </w:r>
      <w:r w:rsidRPr="002F18EE">
        <w:rPr>
          <w:rFonts w:ascii="Palatino Linotype" w:hAnsi="Palatino Linotype"/>
          <w:i/>
          <w:szCs w:val="24"/>
          <w:u w:val="single"/>
        </w:rPr>
        <w:t xml:space="preserve">El Ayuntamiento, a través de las dependencias y/o unidades administrativas correspondientes, está facultado para verificar e inspeccionar el cumplimiento de todas las disposiciones de carácter administrativo, así como requerir, en su caso, a quienes presenten irregularidad en su giro o rezago en sus obligaciones contributivas con el Municipio, en coordinación con la Tesorería Municipal. </w:t>
      </w:r>
    </w:p>
    <w:p w14:paraId="4B032578" w14:textId="57F5E4ED" w:rsidR="002F18EE" w:rsidRPr="002F18EE" w:rsidRDefault="002F18EE" w:rsidP="002F18EE">
      <w:pPr>
        <w:spacing w:line="276" w:lineRule="auto"/>
        <w:ind w:left="851" w:right="849"/>
        <w:jc w:val="both"/>
        <w:rPr>
          <w:rFonts w:ascii="Palatino Linotype" w:hAnsi="Palatino Linotype"/>
          <w:i/>
          <w:szCs w:val="24"/>
        </w:rPr>
      </w:pPr>
      <w:r w:rsidRPr="002F18EE">
        <w:rPr>
          <w:rFonts w:ascii="Palatino Linotype" w:hAnsi="Palatino Linotype"/>
          <w:i/>
          <w:szCs w:val="24"/>
          <w:u w:val="single"/>
        </w:rPr>
        <w:t>Para coadyuvar al cumplimiento de esta disposición, se faculta a la Coordinación de Regulación Comercial</w:t>
      </w:r>
      <w:r w:rsidRPr="002F18EE">
        <w:rPr>
          <w:rFonts w:ascii="Palatino Linotype" w:hAnsi="Palatino Linotype"/>
          <w:i/>
          <w:szCs w:val="24"/>
        </w:rPr>
        <w:t xml:space="preserve">, Protección Civil y Desarrollo Urbano, para que, en el marco de sus atribuciones, amoneste y conmine a los particulares a cumplir con la regulación del giro comercial que indique su licencia o permiso según sea el caso, notificándoles el citatorio para desahogar la garantía de audiencia y seguridad jurídica, con arreglo a las formalidades esenciales del procedimiento administrativo común, contemplado en el Código de Procedimientos Administrativos del Estado de México y en términos del </w:t>
      </w:r>
      <w:r w:rsidRPr="002F18EE">
        <w:rPr>
          <w:rFonts w:ascii="Palatino Linotype" w:hAnsi="Palatino Linotype"/>
          <w:i/>
          <w:szCs w:val="24"/>
        </w:rPr>
        <w:lastRenderedPageBreak/>
        <w:t>artículo 95 fracción II de la Ley Orgánica Municipal del Estado de México, teniendo la obligación todo prestador de servicio de permitir a las autoridades municipales competentes la verificación que corresponda según sus atribuciones solicitando según sea el caso el uso de la fuerza pública para cumplir con dicha verificación y en su caso se remita al infractor al juzgado cívico, indistintamente de las sanciones que se le imponga por el juez cívico y la coordinación de regulación comercial.</w:t>
      </w:r>
    </w:p>
    <w:p w14:paraId="7ACA214B" w14:textId="77777777" w:rsidR="002F18EE" w:rsidRDefault="002F18EE" w:rsidP="00662322">
      <w:pPr>
        <w:spacing w:line="360" w:lineRule="auto"/>
        <w:jc w:val="both"/>
        <w:rPr>
          <w:rFonts w:ascii="Palatino Linotype" w:hAnsi="Palatino Linotype"/>
          <w:sz w:val="24"/>
          <w:szCs w:val="24"/>
        </w:rPr>
      </w:pPr>
    </w:p>
    <w:p w14:paraId="37B7D5CE" w14:textId="62970D4E" w:rsidR="00FF1C2E" w:rsidRDefault="00E07E85" w:rsidP="00662322">
      <w:pPr>
        <w:spacing w:line="360" w:lineRule="auto"/>
        <w:jc w:val="both"/>
        <w:rPr>
          <w:rFonts w:ascii="Palatino Linotype" w:hAnsi="Palatino Linotype"/>
          <w:sz w:val="24"/>
          <w:szCs w:val="24"/>
        </w:rPr>
      </w:pPr>
      <w:r>
        <w:rPr>
          <w:rFonts w:ascii="Palatino Linotype" w:hAnsi="Palatino Linotype"/>
          <w:sz w:val="24"/>
          <w:szCs w:val="24"/>
        </w:rPr>
        <w:t>Luego entonces, este Órgano Garante considera válido instruir al Sujeto Obligado, a través del área correspondiente a entregar al Recurrente:</w:t>
      </w:r>
    </w:p>
    <w:p w14:paraId="2C7A663E" w14:textId="33FFB63B" w:rsidR="00E07E85" w:rsidRDefault="00E07E85" w:rsidP="00662322">
      <w:pPr>
        <w:spacing w:line="360" w:lineRule="auto"/>
        <w:jc w:val="both"/>
        <w:rPr>
          <w:rFonts w:ascii="Palatino Linotype" w:hAnsi="Palatino Linotype"/>
          <w:sz w:val="24"/>
          <w:szCs w:val="24"/>
        </w:rPr>
      </w:pPr>
      <w:r>
        <w:rPr>
          <w:rFonts w:ascii="Palatino Linotype" w:hAnsi="Palatino Linotype"/>
          <w:sz w:val="24"/>
          <w:szCs w:val="24"/>
        </w:rPr>
        <w:t>Los documentos donde consten</w:t>
      </w:r>
      <w:r w:rsidR="002F18EE">
        <w:rPr>
          <w:rFonts w:ascii="Palatino Linotype" w:hAnsi="Palatino Linotype"/>
          <w:sz w:val="24"/>
          <w:szCs w:val="24"/>
        </w:rPr>
        <w:t>:</w:t>
      </w:r>
    </w:p>
    <w:p w14:paraId="73FECAA0" w14:textId="701E6376" w:rsidR="002F18EE" w:rsidRDefault="002F18EE" w:rsidP="00662322">
      <w:pPr>
        <w:spacing w:line="360" w:lineRule="auto"/>
        <w:jc w:val="both"/>
        <w:rPr>
          <w:rFonts w:ascii="Palatino Linotype" w:hAnsi="Palatino Linotype"/>
          <w:sz w:val="24"/>
          <w:szCs w:val="24"/>
        </w:rPr>
      </w:pPr>
      <w:r>
        <w:rPr>
          <w:rFonts w:ascii="Palatino Linotype" w:hAnsi="Palatino Linotype"/>
          <w:sz w:val="24"/>
          <w:szCs w:val="24"/>
        </w:rPr>
        <w:t>1.- E</w:t>
      </w:r>
      <w:r w:rsidR="00153066">
        <w:rPr>
          <w:rFonts w:ascii="Palatino Linotype" w:hAnsi="Palatino Linotype"/>
          <w:sz w:val="24"/>
          <w:szCs w:val="24"/>
        </w:rPr>
        <w:t>l</w:t>
      </w:r>
      <w:r>
        <w:rPr>
          <w:rFonts w:ascii="Palatino Linotype" w:hAnsi="Palatino Linotype"/>
          <w:sz w:val="24"/>
          <w:szCs w:val="24"/>
        </w:rPr>
        <w:t xml:space="preserve"> número de inspecciones </w:t>
      </w:r>
      <w:r w:rsidR="00153066">
        <w:rPr>
          <w:rFonts w:ascii="Palatino Linotype" w:hAnsi="Palatino Linotype"/>
          <w:sz w:val="24"/>
          <w:szCs w:val="24"/>
        </w:rPr>
        <w:t xml:space="preserve">realizadas por la </w:t>
      </w:r>
      <w:r w:rsidR="00153066" w:rsidRPr="00153066">
        <w:rPr>
          <w:rFonts w:ascii="Palatino Linotype" w:hAnsi="Palatino Linotype"/>
          <w:sz w:val="24"/>
          <w:szCs w:val="24"/>
        </w:rPr>
        <w:t>Coordinación de Regulación Comercial</w:t>
      </w:r>
      <w:r w:rsidR="00153066">
        <w:rPr>
          <w:rFonts w:ascii="Palatino Linotype" w:hAnsi="Palatino Linotype"/>
          <w:sz w:val="24"/>
          <w:szCs w:val="24"/>
        </w:rPr>
        <w:t xml:space="preserve">, para </w:t>
      </w:r>
      <w:r w:rsidR="00153066" w:rsidRPr="00153066">
        <w:rPr>
          <w:rFonts w:ascii="Palatino Linotype" w:hAnsi="Palatino Linotype"/>
          <w:sz w:val="24"/>
          <w:szCs w:val="24"/>
        </w:rPr>
        <w:t>evitar la invasión del espacio público en el Callejón Sor Juana</w:t>
      </w:r>
      <w:r w:rsidR="00153066">
        <w:rPr>
          <w:rFonts w:ascii="Palatino Linotype" w:hAnsi="Palatino Linotype"/>
          <w:sz w:val="24"/>
          <w:szCs w:val="24"/>
        </w:rPr>
        <w:t>, por comerciantes</w:t>
      </w:r>
      <w:r w:rsidR="00412B90">
        <w:rPr>
          <w:rFonts w:ascii="Palatino Linotype" w:hAnsi="Palatino Linotype"/>
          <w:sz w:val="24"/>
          <w:szCs w:val="24"/>
        </w:rPr>
        <w:t xml:space="preserve">, del periodo del 1 de enero al </w:t>
      </w:r>
      <w:r w:rsidR="005E41A3">
        <w:rPr>
          <w:rFonts w:ascii="Palatino Linotype" w:hAnsi="Palatino Linotype"/>
          <w:sz w:val="24"/>
          <w:szCs w:val="24"/>
        </w:rPr>
        <w:t>20</w:t>
      </w:r>
      <w:r w:rsidR="00412B90">
        <w:rPr>
          <w:rFonts w:ascii="Palatino Linotype" w:hAnsi="Palatino Linotype"/>
          <w:sz w:val="24"/>
          <w:szCs w:val="24"/>
        </w:rPr>
        <w:t xml:space="preserve"> de febrero de dos mil veinticinco</w:t>
      </w:r>
      <w:r w:rsidR="005E41A3">
        <w:rPr>
          <w:rFonts w:ascii="Palatino Linotype" w:hAnsi="Palatino Linotype"/>
          <w:sz w:val="24"/>
          <w:szCs w:val="24"/>
        </w:rPr>
        <w:t>.</w:t>
      </w:r>
    </w:p>
    <w:p w14:paraId="58DA93B6" w14:textId="5AD6F091" w:rsidR="005E41A3" w:rsidRDefault="005E41A3" w:rsidP="00662322">
      <w:pPr>
        <w:spacing w:line="360" w:lineRule="auto"/>
        <w:jc w:val="both"/>
        <w:rPr>
          <w:rFonts w:ascii="Palatino Linotype" w:hAnsi="Palatino Linotype"/>
          <w:sz w:val="24"/>
          <w:szCs w:val="24"/>
        </w:rPr>
      </w:pPr>
      <w:r>
        <w:rPr>
          <w:rFonts w:ascii="Palatino Linotype" w:hAnsi="Palatino Linotype"/>
          <w:sz w:val="24"/>
          <w:szCs w:val="24"/>
        </w:rPr>
        <w:t>2. Resultado de las inspecciones realizadas.</w:t>
      </w:r>
    </w:p>
    <w:p w14:paraId="693EAA7F" w14:textId="77777777" w:rsidR="00B61773" w:rsidRDefault="00B61773" w:rsidP="00662322">
      <w:pPr>
        <w:spacing w:line="360" w:lineRule="auto"/>
        <w:jc w:val="both"/>
        <w:rPr>
          <w:rFonts w:ascii="Palatino Linotype" w:hAnsi="Palatino Linotype"/>
          <w:sz w:val="24"/>
          <w:szCs w:val="24"/>
        </w:rPr>
      </w:pPr>
    </w:p>
    <w:p w14:paraId="54DE4CD0" w14:textId="5FE5BD8B" w:rsidR="005E41A3" w:rsidRDefault="003432AE" w:rsidP="00662322">
      <w:pPr>
        <w:spacing w:line="360" w:lineRule="auto"/>
        <w:jc w:val="both"/>
        <w:rPr>
          <w:rFonts w:ascii="Palatino Linotype" w:hAnsi="Palatino Linotype"/>
          <w:sz w:val="24"/>
          <w:szCs w:val="24"/>
        </w:rPr>
      </w:pPr>
      <w:r>
        <w:rPr>
          <w:rFonts w:ascii="Palatino Linotype" w:hAnsi="Palatino Linotype"/>
          <w:sz w:val="24"/>
          <w:szCs w:val="24"/>
        </w:rPr>
        <w:t xml:space="preserve">Ahora bien, por lo que cabe al punto cinco, el Sujeto Obligado proporciona que el mecanismo es el reporte, no obstante, no especifica, cual es el trámite o seguimiento de </w:t>
      </w:r>
      <w:r w:rsidR="00BB522B">
        <w:rPr>
          <w:rFonts w:ascii="Palatino Linotype" w:hAnsi="Palatino Linotype"/>
          <w:sz w:val="24"/>
          <w:szCs w:val="24"/>
        </w:rPr>
        <w:t>los mismos</w:t>
      </w:r>
      <w:r>
        <w:rPr>
          <w:rFonts w:ascii="Palatino Linotype" w:hAnsi="Palatino Linotype"/>
          <w:sz w:val="24"/>
          <w:szCs w:val="24"/>
        </w:rPr>
        <w:t>.</w:t>
      </w:r>
    </w:p>
    <w:p w14:paraId="77308091" w14:textId="6DA6D1A6" w:rsidR="00BF70AD" w:rsidRDefault="00BF70AD" w:rsidP="00662322">
      <w:pPr>
        <w:spacing w:line="360" w:lineRule="auto"/>
        <w:jc w:val="both"/>
        <w:rPr>
          <w:rFonts w:ascii="Palatino Linotype" w:hAnsi="Palatino Linotype"/>
          <w:sz w:val="24"/>
          <w:szCs w:val="24"/>
        </w:rPr>
      </w:pPr>
      <w:r>
        <w:rPr>
          <w:rFonts w:ascii="Palatino Linotype" w:hAnsi="Palatino Linotype"/>
          <w:sz w:val="24"/>
          <w:szCs w:val="24"/>
        </w:rPr>
        <w:t xml:space="preserve">El citado Bando Municipal prevé a modo de ejemplo que para las denuncias y quejas cuidadas </w:t>
      </w:r>
      <w:r w:rsidR="00EB5852">
        <w:rPr>
          <w:rFonts w:ascii="Palatino Linotype" w:hAnsi="Palatino Linotype"/>
          <w:sz w:val="24"/>
          <w:szCs w:val="24"/>
        </w:rPr>
        <w:t>en la prevención de prácticas ilícitas y anticorrupción, procedimientos de atención y respuesta de manera coordinada y eficiente.</w:t>
      </w:r>
    </w:p>
    <w:p w14:paraId="503F5E34" w14:textId="5ADCCC1F" w:rsidR="006E1E30" w:rsidRPr="006E1E30" w:rsidRDefault="00EB5852" w:rsidP="006E1E30">
      <w:pPr>
        <w:spacing w:line="276" w:lineRule="auto"/>
        <w:jc w:val="center"/>
        <w:rPr>
          <w:rFonts w:ascii="Palatino Linotype" w:hAnsi="Palatino Linotype"/>
          <w:b/>
          <w:i/>
          <w:sz w:val="24"/>
          <w:szCs w:val="24"/>
        </w:rPr>
      </w:pPr>
      <w:r w:rsidRPr="006E1E30">
        <w:rPr>
          <w:rFonts w:ascii="Palatino Linotype" w:hAnsi="Palatino Linotype"/>
          <w:b/>
          <w:i/>
          <w:sz w:val="24"/>
          <w:szCs w:val="24"/>
        </w:rPr>
        <w:t>CAPÍTULO CUARTO</w:t>
      </w:r>
    </w:p>
    <w:p w14:paraId="5F6429F4" w14:textId="638FAA24" w:rsidR="00EB5852" w:rsidRPr="006E1E30" w:rsidRDefault="00EB5852" w:rsidP="006E1E30">
      <w:pPr>
        <w:spacing w:line="276" w:lineRule="auto"/>
        <w:jc w:val="center"/>
        <w:rPr>
          <w:rFonts w:ascii="Palatino Linotype" w:hAnsi="Palatino Linotype"/>
          <w:b/>
          <w:i/>
          <w:sz w:val="24"/>
          <w:szCs w:val="24"/>
        </w:rPr>
      </w:pPr>
      <w:r w:rsidRPr="006E1E30">
        <w:rPr>
          <w:rFonts w:ascii="Palatino Linotype" w:hAnsi="Palatino Linotype"/>
          <w:b/>
          <w:i/>
          <w:sz w:val="24"/>
          <w:szCs w:val="24"/>
        </w:rPr>
        <w:t>ANTICORRUPCIÓN</w:t>
      </w:r>
    </w:p>
    <w:p w14:paraId="703541F0" w14:textId="77777777" w:rsidR="006E1E30" w:rsidRPr="006E1E30" w:rsidRDefault="00EB5852" w:rsidP="006E1E30">
      <w:pPr>
        <w:spacing w:line="360" w:lineRule="auto"/>
        <w:ind w:left="851" w:right="707"/>
        <w:jc w:val="both"/>
        <w:rPr>
          <w:rFonts w:ascii="Palatino Linotype" w:hAnsi="Palatino Linotype"/>
          <w:i/>
          <w:szCs w:val="24"/>
        </w:rPr>
      </w:pPr>
      <w:r w:rsidRPr="006E1E30">
        <w:rPr>
          <w:rFonts w:ascii="Palatino Linotype" w:hAnsi="Palatino Linotype"/>
          <w:b/>
          <w:i/>
          <w:szCs w:val="24"/>
        </w:rPr>
        <w:lastRenderedPageBreak/>
        <w:t>Artículo 72.-</w:t>
      </w:r>
      <w:r w:rsidRPr="006E1E30">
        <w:rPr>
          <w:rFonts w:ascii="Palatino Linotype" w:hAnsi="Palatino Linotype"/>
          <w:i/>
          <w:szCs w:val="24"/>
        </w:rPr>
        <w:t xml:space="preserve"> El Municipio de Huehuetoca creará los mecanismos para evitar prácticas ilícitas y de corrupción, de conformidad con los siguientes: </w:t>
      </w:r>
    </w:p>
    <w:p w14:paraId="26829E5C" w14:textId="77777777" w:rsidR="006E1E30" w:rsidRPr="006E1E30" w:rsidRDefault="00EB5852" w:rsidP="006E1E30">
      <w:pPr>
        <w:spacing w:line="360" w:lineRule="auto"/>
        <w:ind w:left="851" w:right="707"/>
        <w:jc w:val="both"/>
        <w:rPr>
          <w:rFonts w:ascii="Palatino Linotype" w:hAnsi="Palatino Linotype"/>
          <w:i/>
          <w:szCs w:val="24"/>
        </w:rPr>
      </w:pPr>
      <w:r w:rsidRPr="006E1E30">
        <w:rPr>
          <w:rFonts w:ascii="Palatino Linotype" w:hAnsi="Palatino Linotype"/>
          <w:b/>
          <w:i/>
          <w:szCs w:val="24"/>
        </w:rPr>
        <w:t>I.</w:t>
      </w:r>
      <w:r w:rsidRPr="006E1E30">
        <w:rPr>
          <w:rFonts w:ascii="Palatino Linotype" w:hAnsi="Palatino Linotype"/>
          <w:i/>
          <w:szCs w:val="24"/>
        </w:rPr>
        <w:t xml:space="preserve"> La integración de la Unidad de Verificación Patrimonial que estará a cargo de la Contraloría Interna Municipal y la cual tendrá por objetivo: </w:t>
      </w:r>
    </w:p>
    <w:p w14:paraId="7435CC00" w14:textId="77777777" w:rsidR="006E1E30" w:rsidRPr="006E1E30" w:rsidRDefault="00EB5852" w:rsidP="006E1E30">
      <w:pPr>
        <w:spacing w:line="360" w:lineRule="auto"/>
        <w:ind w:left="851" w:right="707"/>
        <w:jc w:val="both"/>
        <w:rPr>
          <w:rFonts w:ascii="Palatino Linotype" w:hAnsi="Palatino Linotype"/>
          <w:i/>
          <w:szCs w:val="24"/>
        </w:rPr>
      </w:pPr>
      <w:r w:rsidRPr="006E1E30">
        <w:rPr>
          <w:rFonts w:ascii="Palatino Linotype" w:hAnsi="Palatino Linotype"/>
          <w:b/>
          <w:i/>
          <w:szCs w:val="24"/>
        </w:rPr>
        <w:t>a)</w:t>
      </w:r>
      <w:r w:rsidRPr="006E1E30">
        <w:rPr>
          <w:rFonts w:ascii="Palatino Linotype" w:hAnsi="Palatino Linotype"/>
          <w:i/>
          <w:szCs w:val="24"/>
        </w:rPr>
        <w:t xml:space="preserve"> Un plan de auditorías a los funcionarios y servidores públicos que conforman la Administración Pública Municipal; </w:t>
      </w:r>
    </w:p>
    <w:p w14:paraId="0759009F" w14:textId="77777777" w:rsidR="006E1E30" w:rsidRPr="006E1E30" w:rsidRDefault="00EB5852" w:rsidP="006E1E30">
      <w:pPr>
        <w:spacing w:line="360" w:lineRule="auto"/>
        <w:ind w:left="851" w:right="707"/>
        <w:jc w:val="both"/>
        <w:rPr>
          <w:rFonts w:ascii="Palatino Linotype" w:hAnsi="Palatino Linotype"/>
          <w:i/>
          <w:szCs w:val="24"/>
        </w:rPr>
      </w:pPr>
      <w:r w:rsidRPr="006E1E30">
        <w:rPr>
          <w:rFonts w:ascii="Palatino Linotype" w:hAnsi="Palatino Linotype"/>
          <w:b/>
          <w:i/>
          <w:szCs w:val="24"/>
        </w:rPr>
        <w:t>b)</w:t>
      </w:r>
      <w:r w:rsidRPr="006E1E30">
        <w:rPr>
          <w:rFonts w:ascii="Palatino Linotype" w:hAnsi="Palatino Linotype"/>
          <w:i/>
          <w:szCs w:val="24"/>
        </w:rPr>
        <w:t xml:space="preserve"> Estrategias para que los organismos auditores den seguimiento a las acciones de vigilancia; </w:t>
      </w:r>
    </w:p>
    <w:p w14:paraId="60343F14" w14:textId="77777777" w:rsidR="006E1E30" w:rsidRPr="006E1E30" w:rsidRDefault="00EB5852" w:rsidP="006E1E30">
      <w:pPr>
        <w:spacing w:line="360" w:lineRule="auto"/>
        <w:ind w:left="851" w:right="707"/>
        <w:jc w:val="both"/>
        <w:rPr>
          <w:rFonts w:ascii="Palatino Linotype" w:hAnsi="Palatino Linotype"/>
          <w:i/>
          <w:szCs w:val="24"/>
        </w:rPr>
      </w:pPr>
      <w:r w:rsidRPr="006E1E30">
        <w:rPr>
          <w:rFonts w:ascii="Palatino Linotype" w:hAnsi="Palatino Linotype"/>
          <w:b/>
          <w:i/>
          <w:szCs w:val="24"/>
        </w:rPr>
        <w:t>c)</w:t>
      </w:r>
      <w:r w:rsidRPr="006E1E30">
        <w:rPr>
          <w:rFonts w:ascii="Palatino Linotype" w:hAnsi="Palatino Linotype"/>
          <w:i/>
          <w:szCs w:val="24"/>
        </w:rPr>
        <w:t xml:space="preserve"> </w:t>
      </w:r>
      <w:r w:rsidRPr="006E1E30">
        <w:rPr>
          <w:rFonts w:ascii="Palatino Linotype" w:hAnsi="Palatino Linotype"/>
          <w:i/>
          <w:szCs w:val="24"/>
          <w:u w:val="single"/>
        </w:rPr>
        <w:t>Promoción y recepción de denuncias y quejas ciudadanas, lo cual implica un procedimiento de atención y respuesta de manera coordinada y eficiente</w:t>
      </w:r>
      <w:r w:rsidRPr="006E1E30">
        <w:rPr>
          <w:rFonts w:ascii="Palatino Linotype" w:hAnsi="Palatino Linotype"/>
          <w:i/>
          <w:szCs w:val="24"/>
        </w:rPr>
        <w:t xml:space="preserve">; </w:t>
      </w:r>
    </w:p>
    <w:p w14:paraId="664C2C95" w14:textId="77777777" w:rsidR="006E1E30" w:rsidRPr="006E1E30" w:rsidRDefault="00EB5852" w:rsidP="006E1E30">
      <w:pPr>
        <w:spacing w:line="360" w:lineRule="auto"/>
        <w:ind w:left="851" w:right="707"/>
        <w:jc w:val="both"/>
        <w:rPr>
          <w:rFonts w:ascii="Palatino Linotype" w:hAnsi="Palatino Linotype"/>
          <w:i/>
          <w:szCs w:val="24"/>
        </w:rPr>
      </w:pPr>
      <w:r w:rsidRPr="006E1E30">
        <w:rPr>
          <w:rFonts w:ascii="Palatino Linotype" w:hAnsi="Palatino Linotype"/>
          <w:b/>
          <w:i/>
          <w:szCs w:val="24"/>
        </w:rPr>
        <w:t>d)</w:t>
      </w:r>
      <w:r w:rsidRPr="006E1E30">
        <w:rPr>
          <w:rFonts w:ascii="Palatino Linotype" w:hAnsi="Palatino Linotype"/>
          <w:i/>
          <w:szCs w:val="24"/>
        </w:rPr>
        <w:t xml:space="preserve"> Aplicación de la normativa en materia de control interno; </w:t>
      </w:r>
    </w:p>
    <w:p w14:paraId="15337B44" w14:textId="77777777" w:rsidR="006E1E30" w:rsidRPr="006E1E30" w:rsidRDefault="00EB5852" w:rsidP="006E1E30">
      <w:pPr>
        <w:spacing w:line="360" w:lineRule="auto"/>
        <w:ind w:left="851" w:right="707"/>
        <w:jc w:val="both"/>
        <w:rPr>
          <w:rFonts w:ascii="Palatino Linotype" w:hAnsi="Palatino Linotype"/>
          <w:i/>
          <w:szCs w:val="24"/>
        </w:rPr>
      </w:pPr>
      <w:r w:rsidRPr="006E1E30">
        <w:rPr>
          <w:rFonts w:ascii="Palatino Linotype" w:hAnsi="Palatino Linotype"/>
          <w:b/>
          <w:i/>
          <w:szCs w:val="24"/>
        </w:rPr>
        <w:t>e)</w:t>
      </w:r>
      <w:r w:rsidRPr="006E1E30">
        <w:rPr>
          <w:rFonts w:ascii="Palatino Linotype" w:hAnsi="Palatino Linotype"/>
          <w:i/>
          <w:szCs w:val="24"/>
        </w:rPr>
        <w:t xml:space="preserve"> Exámenes de control y confianza y antidoping a los cuerpos policiacos en términos de la legislación aplicable; </w:t>
      </w:r>
    </w:p>
    <w:p w14:paraId="4385A83F" w14:textId="77777777" w:rsidR="006E1E30" w:rsidRPr="006E1E30" w:rsidRDefault="00EB5852" w:rsidP="006E1E30">
      <w:pPr>
        <w:spacing w:line="360" w:lineRule="auto"/>
        <w:ind w:left="851" w:right="707"/>
        <w:jc w:val="both"/>
        <w:rPr>
          <w:rFonts w:ascii="Palatino Linotype" w:hAnsi="Palatino Linotype"/>
          <w:i/>
          <w:szCs w:val="24"/>
        </w:rPr>
      </w:pPr>
      <w:r w:rsidRPr="006E1E30">
        <w:rPr>
          <w:rFonts w:ascii="Palatino Linotype" w:hAnsi="Palatino Linotype"/>
          <w:b/>
          <w:i/>
          <w:szCs w:val="24"/>
        </w:rPr>
        <w:t>f)</w:t>
      </w:r>
      <w:r w:rsidRPr="006E1E30">
        <w:rPr>
          <w:rFonts w:ascii="Palatino Linotype" w:hAnsi="Palatino Linotype"/>
          <w:i/>
          <w:szCs w:val="24"/>
        </w:rPr>
        <w:t xml:space="preserve"> Así como la vigilancia del gasto público con el proceso de fiscalización. </w:t>
      </w:r>
    </w:p>
    <w:p w14:paraId="4A4D7A35" w14:textId="77777777" w:rsidR="006E1E30" w:rsidRPr="006E1E30" w:rsidRDefault="00EB5852" w:rsidP="006E1E30">
      <w:pPr>
        <w:spacing w:line="360" w:lineRule="auto"/>
        <w:ind w:left="851" w:right="707"/>
        <w:jc w:val="both"/>
        <w:rPr>
          <w:rFonts w:ascii="Palatino Linotype" w:hAnsi="Palatino Linotype"/>
          <w:i/>
          <w:szCs w:val="24"/>
        </w:rPr>
      </w:pPr>
      <w:r w:rsidRPr="006E1E30">
        <w:rPr>
          <w:rFonts w:ascii="Palatino Linotype" w:hAnsi="Palatino Linotype"/>
          <w:b/>
          <w:i/>
          <w:szCs w:val="24"/>
        </w:rPr>
        <w:t>II.</w:t>
      </w:r>
      <w:r w:rsidRPr="006E1E30">
        <w:rPr>
          <w:rFonts w:ascii="Palatino Linotype" w:hAnsi="Palatino Linotype"/>
          <w:i/>
          <w:szCs w:val="24"/>
        </w:rPr>
        <w:t xml:space="preserve"> Funcionamiento del Sistema Municipal Anticorrupción; y </w:t>
      </w:r>
    </w:p>
    <w:p w14:paraId="33C5CDF6" w14:textId="19562231" w:rsidR="00EB5852" w:rsidRPr="006E1E30" w:rsidRDefault="00EB5852" w:rsidP="006E1E30">
      <w:pPr>
        <w:spacing w:line="360" w:lineRule="auto"/>
        <w:ind w:left="851" w:right="707"/>
        <w:jc w:val="both"/>
        <w:rPr>
          <w:rFonts w:ascii="Palatino Linotype" w:hAnsi="Palatino Linotype"/>
          <w:i/>
          <w:szCs w:val="24"/>
        </w:rPr>
      </w:pPr>
      <w:r w:rsidRPr="006E1E30">
        <w:rPr>
          <w:rFonts w:ascii="Palatino Linotype" w:hAnsi="Palatino Linotype"/>
          <w:b/>
          <w:i/>
          <w:szCs w:val="24"/>
        </w:rPr>
        <w:t>III.</w:t>
      </w:r>
      <w:r w:rsidRPr="006E1E30">
        <w:rPr>
          <w:rFonts w:ascii="Palatino Linotype" w:hAnsi="Palatino Linotype"/>
          <w:i/>
          <w:szCs w:val="24"/>
        </w:rPr>
        <w:t xml:space="preserve"> Las demás que establezcan las leyes relativas y aplicables.</w:t>
      </w:r>
    </w:p>
    <w:p w14:paraId="1A011AFA" w14:textId="3374688B" w:rsidR="003432AE" w:rsidRDefault="006E1E30" w:rsidP="00662322">
      <w:pPr>
        <w:spacing w:line="360" w:lineRule="auto"/>
        <w:jc w:val="both"/>
        <w:rPr>
          <w:rFonts w:ascii="Palatino Linotype" w:hAnsi="Palatino Linotype"/>
          <w:sz w:val="24"/>
          <w:szCs w:val="24"/>
        </w:rPr>
      </w:pPr>
      <w:r>
        <w:rPr>
          <w:rFonts w:ascii="Palatino Linotype" w:hAnsi="Palatino Linotype"/>
          <w:sz w:val="24"/>
          <w:szCs w:val="24"/>
        </w:rPr>
        <w:t xml:space="preserve">Que en analogía nos permite colegir, en materia de </w:t>
      </w:r>
      <w:r w:rsidR="006C4578">
        <w:rPr>
          <w:rFonts w:ascii="Palatino Linotype" w:hAnsi="Palatino Linotype"/>
          <w:sz w:val="24"/>
          <w:szCs w:val="24"/>
        </w:rPr>
        <w:t>comercio se tiene previstos procedimientos de atención y respuesta.</w:t>
      </w:r>
    </w:p>
    <w:p w14:paraId="55393E36" w14:textId="77777777" w:rsidR="0024068D" w:rsidRDefault="006C4578" w:rsidP="00662322">
      <w:pPr>
        <w:spacing w:line="360" w:lineRule="auto"/>
        <w:jc w:val="both"/>
        <w:rPr>
          <w:rFonts w:ascii="Palatino Linotype" w:hAnsi="Palatino Linotype"/>
          <w:sz w:val="24"/>
          <w:szCs w:val="24"/>
        </w:rPr>
      </w:pPr>
      <w:r>
        <w:rPr>
          <w:rFonts w:ascii="Palatino Linotype" w:hAnsi="Palatino Linotype"/>
          <w:sz w:val="24"/>
          <w:szCs w:val="24"/>
        </w:rPr>
        <w:t xml:space="preserve">De lo anterior, resulta procedente instruir al Sujeto Obligado haga </w:t>
      </w:r>
      <w:r w:rsidR="00B61773">
        <w:rPr>
          <w:rFonts w:ascii="Palatino Linotype" w:hAnsi="Palatino Linotype"/>
          <w:sz w:val="24"/>
          <w:szCs w:val="24"/>
        </w:rPr>
        <w:t>entrega al Recurrente de los documentos donde consten</w:t>
      </w:r>
      <w:r w:rsidR="0024068D">
        <w:rPr>
          <w:rFonts w:ascii="Palatino Linotype" w:hAnsi="Palatino Linotype"/>
          <w:sz w:val="24"/>
          <w:szCs w:val="24"/>
        </w:rPr>
        <w:t>:</w:t>
      </w:r>
    </w:p>
    <w:p w14:paraId="13DB6721" w14:textId="0794E31B" w:rsidR="006C4578" w:rsidRDefault="0024068D" w:rsidP="00662322">
      <w:pPr>
        <w:spacing w:line="360" w:lineRule="auto"/>
        <w:jc w:val="both"/>
        <w:rPr>
          <w:rFonts w:ascii="Palatino Linotype" w:hAnsi="Palatino Linotype"/>
          <w:sz w:val="24"/>
          <w:szCs w:val="24"/>
        </w:rPr>
      </w:pPr>
      <w:r>
        <w:rPr>
          <w:rFonts w:ascii="Palatino Linotype" w:hAnsi="Palatino Linotype"/>
          <w:sz w:val="24"/>
          <w:szCs w:val="24"/>
        </w:rPr>
        <w:t xml:space="preserve">3. </w:t>
      </w:r>
      <w:r w:rsidR="00B61773">
        <w:rPr>
          <w:rFonts w:ascii="Palatino Linotype" w:hAnsi="Palatino Linotype"/>
          <w:sz w:val="24"/>
          <w:szCs w:val="24"/>
        </w:rPr>
        <w:t xml:space="preserve"> </w:t>
      </w:r>
      <w:r>
        <w:rPr>
          <w:rFonts w:ascii="Palatino Linotype" w:hAnsi="Palatino Linotype"/>
          <w:sz w:val="24"/>
          <w:szCs w:val="24"/>
        </w:rPr>
        <w:t>e</w:t>
      </w:r>
      <w:r w:rsidR="00B61773">
        <w:rPr>
          <w:rFonts w:ascii="Palatino Linotype" w:hAnsi="Palatino Linotype"/>
          <w:sz w:val="24"/>
          <w:szCs w:val="24"/>
        </w:rPr>
        <w:t xml:space="preserve">l </w:t>
      </w:r>
      <w:r w:rsidR="00B61773" w:rsidRPr="00B61773">
        <w:rPr>
          <w:rFonts w:ascii="Palatino Linotype" w:hAnsi="Palatino Linotype"/>
          <w:sz w:val="24"/>
          <w:szCs w:val="24"/>
        </w:rPr>
        <w:t xml:space="preserve">trámite o seguimiento de los </w:t>
      </w:r>
      <w:r w:rsidR="00B61773">
        <w:rPr>
          <w:rFonts w:ascii="Palatino Linotype" w:hAnsi="Palatino Linotype"/>
          <w:sz w:val="24"/>
          <w:szCs w:val="24"/>
        </w:rPr>
        <w:t>reportes, al veinte de febrero de la anualidad actuante.</w:t>
      </w:r>
    </w:p>
    <w:p w14:paraId="0795676C" w14:textId="77777777" w:rsidR="00B2733A" w:rsidRPr="00B2733A" w:rsidRDefault="00B2733A" w:rsidP="00B2733A">
      <w:pPr>
        <w:spacing w:before="240" w:after="240" w:line="360" w:lineRule="auto"/>
        <w:jc w:val="both"/>
        <w:rPr>
          <w:rFonts w:ascii="Palatino Linotype" w:hAnsi="Palatino Linotype"/>
          <w:b/>
          <w:sz w:val="28"/>
          <w:szCs w:val="28"/>
        </w:rPr>
      </w:pPr>
      <w:r w:rsidRPr="00B2733A">
        <w:rPr>
          <w:rFonts w:ascii="Palatino Linotype" w:hAnsi="Palatino Linotype"/>
          <w:b/>
          <w:bCs/>
          <w:sz w:val="28"/>
          <w:szCs w:val="28"/>
        </w:rPr>
        <w:lastRenderedPageBreak/>
        <w:t>De la</w:t>
      </w:r>
      <w:r w:rsidRPr="00B2733A">
        <w:rPr>
          <w:rFonts w:ascii="Palatino Linotype" w:hAnsi="Palatino Linotype"/>
          <w:bCs/>
          <w:sz w:val="24"/>
          <w:szCs w:val="24"/>
        </w:rPr>
        <w:t xml:space="preserve"> </w:t>
      </w:r>
      <w:r w:rsidRPr="00B2733A">
        <w:rPr>
          <w:rFonts w:ascii="Palatino Linotype" w:hAnsi="Palatino Linotype"/>
          <w:b/>
          <w:sz w:val="28"/>
          <w:szCs w:val="28"/>
        </w:rPr>
        <w:t xml:space="preserve">Versión Pública </w:t>
      </w:r>
    </w:p>
    <w:p w14:paraId="09AD48C5" w14:textId="77777777" w:rsidR="00B2733A" w:rsidRPr="00B2733A" w:rsidRDefault="00B2733A" w:rsidP="00B2733A">
      <w:pPr>
        <w:tabs>
          <w:tab w:val="left" w:pos="7938"/>
        </w:tabs>
        <w:spacing w:before="240" w:after="240" w:line="360" w:lineRule="auto"/>
        <w:jc w:val="both"/>
        <w:rPr>
          <w:rFonts w:ascii="Palatino Linotype" w:eastAsia="Arial Unicode MS" w:hAnsi="Palatino Linotype" w:cs="Arial"/>
          <w:sz w:val="24"/>
          <w:szCs w:val="24"/>
        </w:rPr>
      </w:pPr>
      <w:r w:rsidRPr="00B2733A">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7CD5953"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i/>
        </w:rPr>
        <w:t>“Artículo 3. Para los efectos de la presente Ley se entenderá por:</w:t>
      </w:r>
    </w:p>
    <w:p w14:paraId="7BE8A1FC"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i/>
        </w:rPr>
        <w:t>(…)</w:t>
      </w:r>
    </w:p>
    <w:p w14:paraId="269B42C6" w14:textId="77777777" w:rsidR="00B2733A" w:rsidRPr="00B2733A" w:rsidRDefault="00B2733A" w:rsidP="00B2733A">
      <w:pPr>
        <w:spacing w:before="240" w:line="360" w:lineRule="auto"/>
        <w:ind w:left="851" w:right="851"/>
        <w:jc w:val="both"/>
        <w:rPr>
          <w:rFonts w:ascii="Palatino Linotype" w:hAnsi="Palatino Linotype" w:cs="Arial"/>
          <w:b/>
          <w:i/>
        </w:rPr>
      </w:pPr>
      <w:r w:rsidRPr="00B2733A">
        <w:rPr>
          <w:rFonts w:ascii="Palatino Linotype" w:hAnsi="Palatino Linotype" w:cs="Arial"/>
          <w:b/>
          <w:i/>
          <w:u w:val="single"/>
        </w:rPr>
        <w:t>IX. Datos personales:</w:t>
      </w:r>
      <w:r w:rsidRPr="00B2733A">
        <w:rPr>
          <w:rFonts w:ascii="Palatino Linotype" w:hAnsi="Palatino Linotype" w:cs="Arial"/>
          <w:b/>
          <w:i/>
        </w:rPr>
        <w:t xml:space="preserve"> </w:t>
      </w:r>
      <w:r w:rsidRPr="00B2733A">
        <w:rPr>
          <w:rFonts w:ascii="Palatino Linotype" w:hAnsi="Palatino Linotype" w:cs="Arial"/>
          <w:i/>
        </w:rPr>
        <w:t>La información concerniente a una persona, identificada o identificable según lo dispuesto por la Ley de Protección de Datos Personales del Estado de México;</w:t>
      </w:r>
    </w:p>
    <w:p w14:paraId="2D5D7415" w14:textId="77777777" w:rsidR="00B2733A" w:rsidRPr="00B2733A" w:rsidRDefault="00B2733A" w:rsidP="00B2733A">
      <w:pPr>
        <w:spacing w:before="240" w:line="360" w:lineRule="auto"/>
        <w:ind w:left="851" w:right="851"/>
        <w:jc w:val="both"/>
        <w:rPr>
          <w:rFonts w:ascii="Palatino Linotype" w:hAnsi="Palatino Linotype" w:cs="Arial"/>
          <w:b/>
          <w:i/>
        </w:rPr>
      </w:pPr>
      <w:r w:rsidRPr="00B2733A">
        <w:rPr>
          <w:rFonts w:ascii="Palatino Linotype" w:hAnsi="Palatino Linotype" w:cs="Arial"/>
          <w:b/>
          <w:i/>
        </w:rPr>
        <w:t>(…)</w:t>
      </w:r>
    </w:p>
    <w:p w14:paraId="753B0E69" w14:textId="77777777" w:rsidR="00B2733A" w:rsidRPr="00B2733A" w:rsidRDefault="00B2733A" w:rsidP="00B2733A">
      <w:pPr>
        <w:spacing w:before="240" w:line="360" w:lineRule="auto"/>
        <w:ind w:left="851" w:right="851"/>
        <w:jc w:val="both"/>
        <w:rPr>
          <w:rFonts w:ascii="Palatino Linotype" w:hAnsi="Palatino Linotype" w:cs="Arial"/>
          <w:b/>
          <w:i/>
        </w:rPr>
      </w:pPr>
      <w:r w:rsidRPr="00B2733A">
        <w:rPr>
          <w:rFonts w:ascii="Palatino Linotype" w:hAnsi="Palatino Linotype" w:cs="Arial"/>
          <w:b/>
          <w:i/>
          <w:u w:val="single"/>
        </w:rPr>
        <w:t>XLV. Versión pública:</w:t>
      </w:r>
      <w:r w:rsidRPr="00B2733A">
        <w:rPr>
          <w:rFonts w:ascii="Palatino Linotype" w:hAnsi="Palatino Linotype" w:cs="Arial"/>
          <w:b/>
          <w:i/>
        </w:rPr>
        <w:t xml:space="preserve"> </w:t>
      </w:r>
      <w:r w:rsidRPr="00B2733A">
        <w:rPr>
          <w:rFonts w:ascii="Palatino Linotype" w:hAnsi="Palatino Linotype" w:cs="Arial"/>
          <w:i/>
        </w:rPr>
        <w:t>Documento en el que se elimine, suprime o borra la información clasificada como reservada o confidencial para permitir su acceso.</w:t>
      </w:r>
    </w:p>
    <w:p w14:paraId="75A4C89A" w14:textId="77777777" w:rsidR="00B2733A" w:rsidRPr="00B2733A" w:rsidRDefault="00B2733A" w:rsidP="00B2733A">
      <w:pPr>
        <w:spacing w:before="240" w:line="360" w:lineRule="auto"/>
        <w:ind w:left="851" w:right="851"/>
        <w:jc w:val="both"/>
        <w:rPr>
          <w:rFonts w:ascii="Palatino Linotype" w:hAnsi="Palatino Linotype" w:cs="Arial"/>
          <w:b/>
          <w:i/>
        </w:rPr>
      </w:pPr>
      <w:r w:rsidRPr="00B2733A">
        <w:rPr>
          <w:rFonts w:ascii="Palatino Linotype" w:hAnsi="Palatino Linotype" w:cs="Arial"/>
          <w:i/>
        </w:rPr>
        <w:t xml:space="preserve">Artículo 122. </w:t>
      </w:r>
      <w:r w:rsidRPr="00B2733A">
        <w:rPr>
          <w:rFonts w:ascii="Palatino Linotype" w:hAnsi="Palatino Linotype" w:cs="Arial"/>
          <w:b/>
          <w:i/>
          <w:u w:val="single"/>
        </w:rPr>
        <w:t xml:space="preserve">La clasificación es el proceso mediante el cual el sujeto obligado determina que la información en su poder </w:t>
      </w:r>
      <w:proofErr w:type="spellStart"/>
      <w:r w:rsidRPr="00B2733A">
        <w:rPr>
          <w:rFonts w:ascii="Palatino Linotype" w:hAnsi="Palatino Linotype" w:cs="Arial"/>
          <w:b/>
          <w:i/>
          <w:u w:val="single"/>
        </w:rPr>
        <w:t>actualiza</w:t>
      </w:r>
      <w:proofErr w:type="spellEnd"/>
      <w:r w:rsidRPr="00B2733A">
        <w:rPr>
          <w:rFonts w:ascii="Palatino Linotype" w:hAnsi="Palatino Linotype" w:cs="Arial"/>
          <w:b/>
          <w:i/>
          <w:u w:val="single"/>
        </w:rPr>
        <w:t xml:space="preserve"> alguno de los supuestos de </w:t>
      </w:r>
      <w:r w:rsidRPr="00B2733A">
        <w:rPr>
          <w:rFonts w:ascii="Palatino Linotype" w:hAnsi="Palatino Linotype" w:cs="Arial"/>
          <w:b/>
          <w:i/>
          <w:u w:val="single"/>
        </w:rPr>
        <w:lastRenderedPageBreak/>
        <w:t>reserva o confidencialidad, de conformidad con lo dispuesto en el presente título.</w:t>
      </w:r>
    </w:p>
    <w:p w14:paraId="4DB0C2E4"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i/>
        </w:rPr>
        <w:t>[…]</w:t>
      </w:r>
    </w:p>
    <w:p w14:paraId="113183EA"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i/>
        </w:rPr>
        <w:t>Artículo 132. La clasificación de la información se llevará a cabo en el momento en que:</w:t>
      </w:r>
    </w:p>
    <w:p w14:paraId="339E6EBE"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i/>
        </w:rPr>
        <w:t>[…]</w:t>
      </w:r>
    </w:p>
    <w:p w14:paraId="600B347B" w14:textId="77777777" w:rsidR="00B2733A" w:rsidRPr="00B2733A" w:rsidRDefault="00B2733A" w:rsidP="00B2733A">
      <w:pPr>
        <w:spacing w:before="240" w:line="360" w:lineRule="auto"/>
        <w:ind w:left="851" w:right="851"/>
        <w:jc w:val="both"/>
        <w:rPr>
          <w:rFonts w:ascii="Palatino Linotype" w:hAnsi="Palatino Linotype" w:cs="Arial"/>
          <w:b/>
          <w:i/>
          <w:u w:val="single"/>
        </w:rPr>
      </w:pPr>
      <w:r w:rsidRPr="00B2733A">
        <w:rPr>
          <w:rFonts w:ascii="Palatino Linotype" w:hAnsi="Palatino Linotype" w:cs="Arial"/>
          <w:b/>
          <w:i/>
          <w:u w:val="single"/>
        </w:rPr>
        <w:t>II. Se determine mediante resolución de autoridad competente; o</w:t>
      </w:r>
    </w:p>
    <w:p w14:paraId="28E93B23" w14:textId="77777777" w:rsidR="00B2733A" w:rsidRPr="00B2733A" w:rsidRDefault="00B2733A" w:rsidP="00B2733A">
      <w:pPr>
        <w:spacing w:before="240" w:line="360" w:lineRule="auto"/>
        <w:ind w:left="851" w:right="851"/>
        <w:jc w:val="both"/>
        <w:rPr>
          <w:rFonts w:ascii="Palatino Linotype" w:hAnsi="Palatino Linotype" w:cs="Arial"/>
          <w:b/>
          <w:i/>
        </w:rPr>
      </w:pPr>
      <w:r w:rsidRPr="00B2733A">
        <w:rPr>
          <w:rFonts w:ascii="Palatino Linotype" w:hAnsi="Palatino Linotype" w:cs="Arial"/>
          <w:b/>
          <w:i/>
        </w:rPr>
        <w:t>(…)</w:t>
      </w:r>
    </w:p>
    <w:p w14:paraId="168E6923" w14:textId="77777777" w:rsidR="00B2733A" w:rsidRPr="00B2733A" w:rsidRDefault="00B2733A" w:rsidP="00B2733A">
      <w:pPr>
        <w:spacing w:before="240" w:line="360" w:lineRule="auto"/>
        <w:ind w:left="851" w:right="851"/>
        <w:jc w:val="both"/>
        <w:rPr>
          <w:rFonts w:ascii="Palatino Linotype" w:hAnsi="Palatino Linotype" w:cs="Arial"/>
          <w:b/>
          <w:i/>
        </w:rPr>
      </w:pPr>
      <w:r w:rsidRPr="00B2733A">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B2733A">
        <w:rPr>
          <w:rFonts w:ascii="Palatino Linotype" w:hAnsi="Palatino Linotype" w:cs="Arial"/>
          <w:b/>
          <w:i/>
        </w:rPr>
        <w:t xml:space="preserve"> </w:t>
      </w:r>
      <w:r w:rsidRPr="00B2733A">
        <w:rPr>
          <w:rFonts w:ascii="Palatino Linotype" w:hAnsi="Palatino Linotype" w:cs="Arial"/>
          <w:b/>
          <w:i/>
          <w:u w:val="single"/>
        </w:rPr>
        <w:t xml:space="preserve">de manera genérica y fundando y motivando su clasificación.” </w:t>
      </w:r>
      <w:r w:rsidRPr="00B2733A">
        <w:rPr>
          <w:rFonts w:ascii="Palatino Linotype" w:hAnsi="Palatino Linotype" w:cs="Arial"/>
          <w:b/>
          <w:i/>
        </w:rPr>
        <w:t>[Sic]</w:t>
      </w:r>
    </w:p>
    <w:p w14:paraId="706418C3" w14:textId="77777777" w:rsidR="00B2733A" w:rsidRPr="00B2733A" w:rsidRDefault="00B2733A" w:rsidP="00B2733A">
      <w:pPr>
        <w:spacing w:after="0" w:line="360" w:lineRule="auto"/>
        <w:ind w:right="51"/>
        <w:jc w:val="both"/>
        <w:rPr>
          <w:rFonts w:ascii="Palatino Linotype" w:eastAsia="Arial Unicode MS" w:hAnsi="Palatino Linotype" w:cs="Arial"/>
          <w:sz w:val="24"/>
          <w:szCs w:val="24"/>
        </w:rPr>
      </w:pPr>
    </w:p>
    <w:p w14:paraId="4B16E1C2" w14:textId="77777777" w:rsidR="00B2733A" w:rsidRPr="00B2733A" w:rsidRDefault="00B2733A" w:rsidP="00B2733A">
      <w:pPr>
        <w:spacing w:after="0" w:line="360" w:lineRule="auto"/>
        <w:ind w:right="51"/>
        <w:jc w:val="both"/>
        <w:rPr>
          <w:rFonts w:ascii="Palatino Linotype" w:hAnsi="Palatino Linotype" w:cs="Arial"/>
          <w:sz w:val="24"/>
          <w:szCs w:val="24"/>
        </w:rPr>
      </w:pPr>
      <w:r w:rsidRPr="00B2733A">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B2733A">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7DF9F20" w14:textId="77777777" w:rsidR="00B2733A" w:rsidRPr="00B2733A" w:rsidRDefault="00B2733A" w:rsidP="00B2733A">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B2733A">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8E86BAF" w14:textId="77777777" w:rsidR="00B2733A" w:rsidRPr="00B2733A" w:rsidRDefault="00B2733A" w:rsidP="00B2733A">
      <w:pPr>
        <w:spacing w:before="240" w:after="240" w:line="360" w:lineRule="auto"/>
        <w:ind w:right="-91"/>
        <w:jc w:val="both"/>
        <w:rPr>
          <w:rFonts w:ascii="Palatino Linotype" w:eastAsia="Times New Roman" w:hAnsi="Palatino Linotype" w:cs="Arial"/>
          <w:sz w:val="24"/>
          <w:szCs w:val="24"/>
          <w:lang w:eastAsia="es-MX"/>
        </w:rPr>
      </w:pPr>
      <w:r w:rsidRPr="00B2733A">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7780958" w14:textId="77777777" w:rsidR="00B2733A" w:rsidRPr="00B2733A" w:rsidRDefault="00B2733A" w:rsidP="00B2733A">
      <w:pPr>
        <w:spacing w:before="240" w:after="240" w:line="360" w:lineRule="auto"/>
        <w:jc w:val="both"/>
        <w:rPr>
          <w:rFonts w:ascii="Palatino Linotype" w:hAnsi="Palatino Linotype" w:cs="Arial"/>
          <w:sz w:val="24"/>
          <w:szCs w:val="24"/>
          <w:lang w:eastAsia="es-MX"/>
        </w:rPr>
      </w:pPr>
      <w:r w:rsidRPr="00B2733A">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B2733A">
        <w:rPr>
          <w:rFonts w:ascii="Palatino Linotype" w:hAnsi="Palatino Linotype" w:cs="Arial"/>
          <w:sz w:val="24"/>
          <w:szCs w:val="24"/>
          <w:lang w:eastAsia="es-MX"/>
        </w:rPr>
        <w:t>homoclave</w:t>
      </w:r>
      <w:proofErr w:type="spellEnd"/>
      <w:r w:rsidRPr="00B2733A">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130B369C" w14:textId="77777777" w:rsidR="00B2733A" w:rsidRPr="00B2733A" w:rsidRDefault="00B2733A" w:rsidP="00B2733A">
      <w:pPr>
        <w:spacing w:before="240" w:after="240" w:line="360" w:lineRule="auto"/>
        <w:jc w:val="both"/>
        <w:rPr>
          <w:rFonts w:ascii="Palatino Linotype" w:eastAsia="Calibri" w:hAnsi="Palatino Linotype" w:cs="Arial"/>
          <w:sz w:val="24"/>
          <w:szCs w:val="24"/>
          <w:lang w:eastAsia="es-MX"/>
        </w:rPr>
      </w:pPr>
      <w:r w:rsidRPr="00B2733A">
        <w:rPr>
          <w:rFonts w:ascii="Palatino Linotype" w:hAnsi="Palatino Linotype" w:cs="Arial"/>
          <w:sz w:val="24"/>
          <w:szCs w:val="24"/>
          <w:lang w:eastAsia="es-MX"/>
        </w:rPr>
        <w:t xml:space="preserve">En cuanto a la </w:t>
      </w:r>
      <w:r w:rsidRPr="00B2733A">
        <w:rPr>
          <w:rFonts w:ascii="Palatino Linotype" w:hAnsi="Palatino Linotype" w:cs="Arial"/>
          <w:sz w:val="24"/>
          <w:szCs w:val="24"/>
        </w:rPr>
        <w:t xml:space="preserve">Clave Única de Registro de Población (CURP) en virtud de que éste se </w:t>
      </w:r>
      <w:r w:rsidRPr="00B2733A">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9285DFC" w14:textId="77777777" w:rsidR="00B2733A" w:rsidRPr="00B2733A" w:rsidRDefault="00B2733A" w:rsidP="00B2733A">
      <w:pPr>
        <w:spacing w:line="360" w:lineRule="auto"/>
        <w:jc w:val="both"/>
        <w:rPr>
          <w:rFonts w:ascii="Palatino Linotype" w:hAnsi="Palatino Linotype"/>
          <w:sz w:val="24"/>
          <w:szCs w:val="24"/>
        </w:rPr>
      </w:pPr>
      <w:r w:rsidRPr="00B2733A">
        <w:rPr>
          <w:rFonts w:ascii="Palatino Linotype" w:hAnsi="Palatino Linotype"/>
          <w:sz w:val="24"/>
          <w:szCs w:val="24"/>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w:t>
      </w:r>
      <w:r w:rsidRPr="00B2733A">
        <w:rPr>
          <w:rFonts w:ascii="Palatino Linotype" w:hAnsi="Palatino Linotype"/>
          <w:sz w:val="24"/>
          <w:szCs w:val="24"/>
        </w:rPr>
        <w:lastRenderedPageBreak/>
        <w:t>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CAA4FC3" w14:textId="77777777" w:rsidR="00B2733A" w:rsidRPr="00B2733A" w:rsidRDefault="00B2733A" w:rsidP="00B2733A">
      <w:pPr>
        <w:spacing w:line="360" w:lineRule="auto"/>
        <w:jc w:val="both"/>
        <w:rPr>
          <w:rFonts w:ascii="Palatino Linotype" w:hAnsi="Palatino Linotype"/>
          <w:sz w:val="24"/>
          <w:szCs w:val="24"/>
        </w:rPr>
      </w:pPr>
      <w:r w:rsidRPr="00B2733A">
        <w:rPr>
          <w:rFonts w:ascii="Palatino Linotype" w:hAnsi="Palatino Linotype"/>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CC29CB1" w14:textId="77777777" w:rsidR="00B2733A" w:rsidRPr="00B2733A" w:rsidRDefault="00B2733A" w:rsidP="00B2733A">
      <w:pPr>
        <w:spacing w:line="360" w:lineRule="auto"/>
        <w:jc w:val="both"/>
        <w:rPr>
          <w:rFonts w:ascii="Palatino Linotype" w:hAnsi="Palatino Linotype"/>
          <w:sz w:val="24"/>
          <w:szCs w:val="24"/>
        </w:rPr>
      </w:pPr>
      <w:r w:rsidRPr="00B2733A">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51021CA0"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b/>
          <w:i/>
        </w:rPr>
        <w:t xml:space="preserve">“Artículo 49. </w:t>
      </w:r>
      <w:r w:rsidRPr="00B2733A">
        <w:rPr>
          <w:rFonts w:ascii="Palatino Linotype" w:hAnsi="Palatino Linotype" w:cs="Arial"/>
          <w:i/>
        </w:rPr>
        <w:t>Los Comités de Transparencia tendrán las siguientes atribuciones:</w:t>
      </w:r>
    </w:p>
    <w:p w14:paraId="5910F65F" w14:textId="77777777" w:rsidR="00B2733A" w:rsidRPr="00B2733A" w:rsidRDefault="00B2733A" w:rsidP="00B2733A">
      <w:pPr>
        <w:spacing w:before="240" w:line="360" w:lineRule="auto"/>
        <w:ind w:left="851" w:right="851"/>
        <w:jc w:val="both"/>
        <w:rPr>
          <w:rFonts w:ascii="Palatino Linotype" w:hAnsi="Palatino Linotype" w:cs="Arial"/>
          <w:bCs/>
          <w:i/>
        </w:rPr>
      </w:pPr>
      <w:r w:rsidRPr="00B2733A">
        <w:rPr>
          <w:rFonts w:ascii="Palatino Linotype" w:hAnsi="Palatino Linotype" w:cs="Arial"/>
          <w:bCs/>
          <w:i/>
        </w:rPr>
        <w:lastRenderedPageBreak/>
        <w:t>(…)</w:t>
      </w:r>
    </w:p>
    <w:p w14:paraId="7AC888F4"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b/>
          <w:i/>
        </w:rPr>
        <w:t>VIII.</w:t>
      </w:r>
      <w:r w:rsidRPr="00B2733A">
        <w:rPr>
          <w:rFonts w:ascii="Palatino Linotype" w:hAnsi="Palatino Linotype" w:cs="Arial"/>
          <w:i/>
        </w:rPr>
        <w:t xml:space="preserve"> Aprobar, modificar o revocar la clasificación de la información;</w:t>
      </w:r>
    </w:p>
    <w:p w14:paraId="7A3AEECD" w14:textId="77777777" w:rsidR="00B2733A" w:rsidRPr="00B2733A" w:rsidRDefault="00B2733A" w:rsidP="00B2733A">
      <w:pPr>
        <w:spacing w:before="240" w:line="360" w:lineRule="auto"/>
        <w:ind w:left="851" w:right="851"/>
        <w:jc w:val="both"/>
        <w:rPr>
          <w:rFonts w:ascii="Palatino Linotype" w:hAnsi="Palatino Linotype" w:cs="Arial"/>
          <w:bCs/>
          <w:i/>
        </w:rPr>
      </w:pPr>
      <w:r w:rsidRPr="00B2733A">
        <w:rPr>
          <w:rFonts w:ascii="Palatino Linotype" w:hAnsi="Palatino Linotype" w:cs="Arial"/>
          <w:bCs/>
          <w:i/>
        </w:rPr>
        <w:t>(…)</w:t>
      </w:r>
    </w:p>
    <w:p w14:paraId="41E8198C"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b/>
          <w:i/>
        </w:rPr>
        <w:t>Artículo 132.</w:t>
      </w:r>
      <w:r w:rsidRPr="00B2733A">
        <w:rPr>
          <w:rFonts w:ascii="Palatino Linotype" w:hAnsi="Palatino Linotype" w:cs="Arial"/>
          <w:i/>
        </w:rPr>
        <w:t xml:space="preserve"> La clasificación de la información se llevará a cabo en el momento en que:</w:t>
      </w:r>
    </w:p>
    <w:p w14:paraId="0028D912"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b/>
          <w:i/>
        </w:rPr>
        <w:t>I.</w:t>
      </w:r>
      <w:r w:rsidRPr="00B2733A">
        <w:rPr>
          <w:rFonts w:ascii="Palatino Linotype" w:hAnsi="Palatino Linotype" w:cs="Arial"/>
          <w:i/>
        </w:rPr>
        <w:t xml:space="preserve"> Se reciba una solicitud de acceso a la información;</w:t>
      </w:r>
    </w:p>
    <w:p w14:paraId="3A1C2669"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b/>
          <w:i/>
        </w:rPr>
        <w:t>II.</w:t>
      </w:r>
      <w:r w:rsidRPr="00B2733A">
        <w:rPr>
          <w:rFonts w:ascii="Palatino Linotype" w:hAnsi="Palatino Linotype" w:cs="Arial"/>
          <w:i/>
        </w:rPr>
        <w:t xml:space="preserve"> Se determine mediante resolución de autoridad competente; o</w:t>
      </w:r>
    </w:p>
    <w:p w14:paraId="64FA5DB0" w14:textId="77777777" w:rsidR="00B2733A" w:rsidRPr="00B2733A" w:rsidRDefault="00B2733A" w:rsidP="00B2733A">
      <w:pPr>
        <w:spacing w:before="240" w:line="360" w:lineRule="auto"/>
        <w:ind w:left="851" w:right="851"/>
        <w:jc w:val="both"/>
        <w:rPr>
          <w:rFonts w:ascii="Palatino Linotype" w:hAnsi="Palatino Linotype" w:cs="Arial"/>
          <w:b/>
          <w:i/>
        </w:rPr>
      </w:pPr>
      <w:r w:rsidRPr="00B2733A">
        <w:rPr>
          <w:rFonts w:ascii="Palatino Linotype" w:hAnsi="Palatino Linotype" w:cs="Arial"/>
          <w:b/>
          <w:bCs/>
          <w:i/>
        </w:rPr>
        <w:t>III.</w:t>
      </w:r>
      <w:r w:rsidRPr="00B2733A">
        <w:rPr>
          <w:rFonts w:ascii="Palatino Linotype" w:hAnsi="Palatino Linotype" w:cs="Arial"/>
          <w:i/>
        </w:rPr>
        <w:t xml:space="preserve"> Se generen versiones públicas para dar cumplimiento a las obligaciones de transparencia previstas en esta Ley.</w:t>
      </w:r>
      <w:r w:rsidRPr="00B2733A">
        <w:rPr>
          <w:rFonts w:ascii="Palatino Linotype" w:hAnsi="Palatino Linotype" w:cs="Arial"/>
          <w:b/>
          <w:i/>
        </w:rPr>
        <w:t>”</w:t>
      </w:r>
    </w:p>
    <w:p w14:paraId="73E92577"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b/>
          <w:i/>
        </w:rPr>
        <w:t>Segundo.-</w:t>
      </w:r>
      <w:r w:rsidRPr="00B2733A">
        <w:rPr>
          <w:rFonts w:ascii="Palatino Linotype" w:hAnsi="Palatino Linotype" w:cs="Arial"/>
          <w:i/>
        </w:rPr>
        <w:t xml:space="preserve"> Para efectos de los presentes Lineamientos Generales, se entenderá por:</w:t>
      </w:r>
    </w:p>
    <w:p w14:paraId="524F4216"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i/>
        </w:rPr>
        <w:t>(…)</w:t>
      </w:r>
    </w:p>
    <w:p w14:paraId="45A72992"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b/>
          <w:i/>
        </w:rPr>
        <w:t>XVIII.</w:t>
      </w:r>
      <w:r w:rsidRPr="00B2733A">
        <w:rPr>
          <w:rFonts w:ascii="Palatino Linotype" w:hAnsi="Palatino Linotype" w:cs="Arial"/>
          <w:i/>
        </w:rPr>
        <w:t xml:space="preserve"> </w:t>
      </w:r>
      <w:r w:rsidRPr="00B2733A">
        <w:rPr>
          <w:rFonts w:ascii="Palatino Linotype" w:hAnsi="Palatino Linotype" w:cs="Arial"/>
          <w:b/>
          <w:i/>
        </w:rPr>
        <w:t>Versión pública:</w:t>
      </w:r>
      <w:r w:rsidRPr="00B2733A">
        <w:rPr>
          <w:rFonts w:ascii="Palatino Linotype" w:hAnsi="Palatino Linotype" w:cs="Arial"/>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8F2AF3D"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b/>
          <w:i/>
        </w:rPr>
        <w:t>Cuarto.</w:t>
      </w:r>
      <w:r w:rsidRPr="00B2733A">
        <w:rPr>
          <w:rFonts w:ascii="Palatino Linotype" w:hAnsi="Palatino Linotype" w:cs="Arial"/>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13991E6"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i/>
        </w:rPr>
        <w:lastRenderedPageBreak/>
        <w:t>Los sujetos obligados deberán aplicar, de manera estricta, las excepciones al derecho de acceso a la información y sólo podrán invocarlas cuando acrediten su procedencia.</w:t>
      </w:r>
    </w:p>
    <w:p w14:paraId="289EFD1F"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b/>
          <w:i/>
        </w:rPr>
        <w:t>Quinto.</w:t>
      </w:r>
      <w:r w:rsidRPr="00B2733A">
        <w:rPr>
          <w:rFonts w:ascii="Palatino Linotype" w:hAnsi="Palatino Linotype" w:cs="Arial"/>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6615C8F"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b/>
          <w:i/>
        </w:rPr>
        <w:t>Séptimo.</w:t>
      </w:r>
      <w:r w:rsidRPr="00B2733A">
        <w:rPr>
          <w:rFonts w:ascii="Palatino Linotype" w:hAnsi="Palatino Linotype" w:cs="Arial"/>
          <w:i/>
        </w:rPr>
        <w:t xml:space="preserve"> La clasificación de la información se llevará a cabo en el momento en que:</w:t>
      </w:r>
    </w:p>
    <w:p w14:paraId="1028D309"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b/>
          <w:i/>
        </w:rPr>
        <w:t>I.</w:t>
      </w:r>
      <w:r w:rsidRPr="00B2733A">
        <w:rPr>
          <w:rFonts w:ascii="Palatino Linotype" w:hAnsi="Palatino Linotype" w:cs="Arial"/>
          <w:i/>
        </w:rPr>
        <w:t xml:space="preserve"> Se reciba una solicitud de acceso a la información;</w:t>
      </w:r>
    </w:p>
    <w:p w14:paraId="0934C821"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b/>
          <w:i/>
        </w:rPr>
        <w:t>II.</w:t>
      </w:r>
      <w:r w:rsidRPr="00B2733A">
        <w:rPr>
          <w:rFonts w:ascii="Palatino Linotype" w:hAnsi="Palatino Linotype" w:cs="Arial"/>
          <w:i/>
        </w:rPr>
        <w:t xml:space="preserve"> Se determine mediante resolución del Comité de </w:t>
      </w:r>
      <w:proofErr w:type="spellStart"/>
      <w:r w:rsidRPr="00B2733A">
        <w:rPr>
          <w:rFonts w:ascii="Palatino Linotype" w:hAnsi="Palatino Linotype" w:cs="Arial"/>
          <w:i/>
        </w:rPr>
        <w:t>Transparnecia</w:t>
      </w:r>
      <w:proofErr w:type="spellEnd"/>
      <w:r w:rsidRPr="00B2733A">
        <w:rPr>
          <w:rFonts w:ascii="Palatino Linotype" w:hAnsi="Palatino Linotype" w:cs="Arial"/>
          <w:i/>
        </w:rPr>
        <w:t>, el órgano garante competente, o en cumplimiento a una sentencia del Poder Judicial; o</w:t>
      </w:r>
    </w:p>
    <w:p w14:paraId="48EE54E2"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b/>
          <w:i/>
        </w:rPr>
        <w:t>III.</w:t>
      </w:r>
      <w:r w:rsidRPr="00B2733A">
        <w:rPr>
          <w:rFonts w:ascii="Palatino Linotype" w:hAnsi="Palatino Linotype" w:cs="Arial"/>
          <w:i/>
        </w:rPr>
        <w:t xml:space="preserve"> Se generen versiones públicas para dar cumplimiento a las obligaciones de transparencia previstas en la Ley General, la Ley Federal y las correspondientes de las entidades federativas.</w:t>
      </w:r>
    </w:p>
    <w:p w14:paraId="7A3B3319"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i/>
        </w:rPr>
        <w:t>Los titulares de las áreas deberán revisar la información requerida al momento de la recepción de una solicitud de acceso, para verificar si encuadra en una causal de reserva o de confidencialidad.</w:t>
      </w:r>
    </w:p>
    <w:p w14:paraId="4C242D7C"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b/>
          <w:i/>
        </w:rPr>
        <w:t>Octavo.</w:t>
      </w:r>
      <w:r w:rsidRPr="00B2733A">
        <w:rPr>
          <w:rFonts w:ascii="Palatino Linotype" w:hAnsi="Palatino Linotype" w:cs="Arial"/>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2F1BB00"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i/>
        </w:rPr>
        <w:lastRenderedPageBreak/>
        <w:t>Para motivar la clasificación se deberán señalar las razones o circunstancias especiales que lo llevaron a concluir que el caso particular se ajusta al supuesto previsto por la norma legal invocada como fundamento.</w:t>
      </w:r>
    </w:p>
    <w:p w14:paraId="2E9FB762"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i/>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04AEFE9"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b/>
          <w:i/>
        </w:rPr>
        <w:t>Noveno.</w:t>
      </w:r>
      <w:r w:rsidRPr="00B2733A">
        <w:rPr>
          <w:rFonts w:ascii="Palatino Linotype" w:hAnsi="Palatino Linotype" w:cs="Arial"/>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5E29829"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b/>
          <w:i/>
        </w:rPr>
        <w:t>Décimo.</w:t>
      </w:r>
      <w:r w:rsidRPr="00B2733A">
        <w:rPr>
          <w:rFonts w:ascii="Palatino Linotype" w:hAnsi="Palatino Linotype" w:cs="Arial"/>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0F4208E"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2091C240" w14:textId="77777777" w:rsidR="00B2733A" w:rsidRPr="00B2733A" w:rsidRDefault="00B2733A" w:rsidP="00B2733A">
      <w:pPr>
        <w:spacing w:before="240" w:line="360" w:lineRule="auto"/>
        <w:ind w:left="851" w:right="851"/>
        <w:jc w:val="both"/>
        <w:rPr>
          <w:rFonts w:ascii="Palatino Linotype" w:hAnsi="Palatino Linotype" w:cs="Arial"/>
          <w:b/>
          <w:bCs/>
          <w:i/>
        </w:rPr>
      </w:pPr>
      <w:r w:rsidRPr="00B2733A">
        <w:rPr>
          <w:rFonts w:ascii="Palatino Linotype" w:hAnsi="Palatino Linotype" w:cs="Arial"/>
          <w:b/>
          <w:i/>
        </w:rPr>
        <w:t>Décimo primero.</w:t>
      </w:r>
      <w:r w:rsidRPr="00B2733A">
        <w:rPr>
          <w:rFonts w:ascii="Palatino Linotype" w:hAnsi="Palatino Linotype" w:cs="Arial"/>
          <w:i/>
        </w:rPr>
        <w:t xml:space="preserve"> En el intercambio de información entre Sujetos Obligados para el ejercicio de sus atribuciones, los documentos que se encuentren clasificados deberán </w:t>
      </w:r>
      <w:r w:rsidRPr="00B2733A">
        <w:rPr>
          <w:rFonts w:ascii="Palatino Linotype" w:hAnsi="Palatino Linotype" w:cs="Arial"/>
          <w:i/>
        </w:rPr>
        <w:lastRenderedPageBreak/>
        <w:t xml:space="preserve">llevar la leyenda correspondiente de conformidad con lo dispuesto en el Capítulo VIII de los presentes lineamientos.” </w:t>
      </w:r>
      <w:r w:rsidRPr="00B2733A">
        <w:rPr>
          <w:rFonts w:ascii="Palatino Linotype" w:hAnsi="Palatino Linotype" w:cs="Arial"/>
          <w:b/>
          <w:bCs/>
          <w:i/>
        </w:rPr>
        <w:t>(Sic)</w:t>
      </w:r>
    </w:p>
    <w:p w14:paraId="12D5E2DA" w14:textId="77777777" w:rsidR="00B2733A" w:rsidRPr="00B2733A" w:rsidRDefault="00B2733A" w:rsidP="00B2733A">
      <w:pPr>
        <w:rPr>
          <w:rFonts w:cs="Arial"/>
          <w:i/>
          <w:szCs w:val="24"/>
        </w:rPr>
      </w:pPr>
    </w:p>
    <w:p w14:paraId="326C7141" w14:textId="77777777" w:rsidR="00B2733A" w:rsidRPr="00B2733A" w:rsidRDefault="00B2733A" w:rsidP="00B2733A">
      <w:pPr>
        <w:spacing w:line="360" w:lineRule="auto"/>
        <w:jc w:val="both"/>
        <w:rPr>
          <w:rFonts w:ascii="Palatino Linotype" w:hAnsi="Palatino Linotype"/>
          <w:sz w:val="24"/>
          <w:szCs w:val="24"/>
        </w:rPr>
      </w:pPr>
      <w:r w:rsidRPr="00B2733A">
        <w:rPr>
          <w:rFonts w:ascii="Palatino Linotype" w:hAnsi="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5419CF7" w14:textId="77777777" w:rsidR="00B2733A" w:rsidRPr="00B2733A" w:rsidRDefault="00B2733A" w:rsidP="00B2733A">
      <w:pPr>
        <w:spacing w:line="360" w:lineRule="auto"/>
        <w:jc w:val="both"/>
        <w:rPr>
          <w:rFonts w:ascii="Palatino Linotype" w:hAnsi="Palatino Linotype"/>
          <w:sz w:val="24"/>
          <w:szCs w:val="24"/>
        </w:rPr>
      </w:pPr>
      <w:r w:rsidRPr="00B2733A">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412F54BF" w14:textId="77777777" w:rsidR="00B2733A" w:rsidRPr="00B2733A" w:rsidRDefault="00B2733A" w:rsidP="00B2733A">
      <w:pPr>
        <w:spacing w:line="360" w:lineRule="auto"/>
        <w:jc w:val="both"/>
        <w:rPr>
          <w:rFonts w:ascii="Palatino Linotype" w:hAnsi="Palatino Linotype"/>
          <w:sz w:val="24"/>
          <w:szCs w:val="24"/>
        </w:rPr>
      </w:pPr>
      <w:r w:rsidRPr="00B2733A">
        <w:rPr>
          <w:rFonts w:ascii="Palatino Linotype" w:hAnsi="Palatino Linotype"/>
          <w:sz w:val="24"/>
          <w:szCs w:val="24"/>
        </w:rPr>
        <w:t>Al respecto, el máximo tribunal del país ha establecido jurisprudencia respecto a qué debe entenderse por fundamentación y motivación, en los siguientes términos:</w:t>
      </w:r>
    </w:p>
    <w:p w14:paraId="4FD2F2E3" w14:textId="77777777" w:rsidR="00B2733A" w:rsidRPr="00B2733A" w:rsidRDefault="00B2733A" w:rsidP="00B2733A">
      <w:pPr>
        <w:spacing w:before="240" w:line="360" w:lineRule="auto"/>
        <w:ind w:left="851" w:right="851"/>
        <w:jc w:val="both"/>
        <w:rPr>
          <w:rFonts w:ascii="Palatino Linotype" w:hAnsi="Palatino Linotype" w:cs="Arial"/>
          <w:b/>
          <w:bCs/>
          <w:i/>
        </w:rPr>
      </w:pPr>
      <w:r w:rsidRPr="00B2733A">
        <w:rPr>
          <w:rFonts w:ascii="Palatino Linotype" w:hAnsi="Palatino Linotype" w:cs="Arial"/>
          <w:b/>
          <w:bCs/>
          <w:i/>
        </w:rPr>
        <w:t xml:space="preserve">“FUNDAMENTACIÓN Y MOTIVACIÓN. </w:t>
      </w:r>
    </w:p>
    <w:p w14:paraId="6ABCBD96" w14:textId="77777777" w:rsidR="00B2733A" w:rsidRPr="00B2733A" w:rsidRDefault="00B2733A" w:rsidP="00B2733A">
      <w:pPr>
        <w:spacing w:before="240" w:line="360" w:lineRule="auto"/>
        <w:ind w:left="851" w:right="851"/>
        <w:jc w:val="both"/>
        <w:rPr>
          <w:rFonts w:ascii="Palatino Linotype" w:hAnsi="Palatino Linotype" w:cs="Arial"/>
          <w:b/>
          <w:bCs/>
          <w:i/>
        </w:rPr>
      </w:pPr>
      <w:r w:rsidRPr="00B2733A">
        <w:rPr>
          <w:rFonts w:ascii="Palatino Linotype" w:hAnsi="Palatino Linotype" w:cs="Arial"/>
          <w:i/>
        </w:rPr>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B2733A">
        <w:rPr>
          <w:rFonts w:ascii="Palatino Linotype" w:hAnsi="Palatino Linotype" w:cs="Arial"/>
          <w:b/>
          <w:bCs/>
          <w:i/>
        </w:rPr>
        <w:t>(Sic)</w:t>
      </w:r>
    </w:p>
    <w:p w14:paraId="65C21C80" w14:textId="77777777" w:rsidR="00B2733A" w:rsidRPr="00B2733A" w:rsidRDefault="00B2733A" w:rsidP="00B2733A">
      <w:pPr>
        <w:rPr>
          <w:szCs w:val="24"/>
        </w:rPr>
      </w:pPr>
    </w:p>
    <w:p w14:paraId="62CC41C0" w14:textId="77777777" w:rsidR="00B2733A" w:rsidRPr="00B2733A" w:rsidRDefault="00B2733A" w:rsidP="00B2733A">
      <w:pPr>
        <w:spacing w:line="360" w:lineRule="auto"/>
        <w:jc w:val="both"/>
        <w:rPr>
          <w:rFonts w:ascii="Palatino Linotype" w:hAnsi="Palatino Linotype"/>
          <w:sz w:val="24"/>
          <w:szCs w:val="24"/>
        </w:rPr>
      </w:pPr>
      <w:r w:rsidRPr="00B2733A">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1034821" w14:textId="77777777" w:rsidR="00B2733A" w:rsidRPr="00B2733A" w:rsidRDefault="00B2733A" w:rsidP="00B2733A">
      <w:pPr>
        <w:spacing w:line="360" w:lineRule="auto"/>
        <w:jc w:val="both"/>
        <w:rPr>
          <w:rFonts w:ascii="Palatino Linotype" w:hAnsi="Palatino Linotype"/>
          <w:sz w:val="24"/>
          <w:szCs w:val="24"/>
        </w:rPr>
      </w:pPr>
      <w:r w:rsidRPr="00B2733A">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05F2EA9D" w14:textId="77777777" w:rsidR="00B2733A" w:rsidRPr="00B2733A" w:rsidRDefault="00B2733A" w:rsidP="00B2733A">
      <w:pPr>
        <w:spacing w:before="240" w:line="360" w:lineRule="auto"/>
        <w:ind w:left="851" w:right="851"/>
        <w:jc w:val="both"/>
        <w:rPr>
          <w:rFonts w:ascii="Palatino Linotype" w:hAnsi="Palatino Linotype" w:cs="Arial"/>
          <w:b/>
          <w:bCs/>
          <w:i/>
        </w:rPr>
      </w:pPr>
      <w:r w:rsidRPr="00B2733A">
        <w:rPr>
          <w:rFonts w:ascii="Palatino Linotype" w:hAnsi="Palatino Linotype" w:cs="Arial"/>
          <w:b/>
          <w:bCs/>
          <w:i/>
        </w:rPr>
        <w:t xml:space="preserve">“FUNDAMENTACIÓN Y MOTIVACIÓN. EL ASPECTO FORMAL DE LA GARANTÍA Y SU FINALIDAD SE TRADUCEN EN EXPLICAR, JUSTIFICAR, POSIBILITAR LA DEFENSA Y COMUNICAR LA DECISIÓN. </w:t>
      </w:r>
    </w:p>
    <w:p w14:paraId="531F4D98" w14:textId="77777777" w:rsidR="00B2733A" w:rsidRPr="00B2733A" w:rsidRDefault="00B2733A" w:rsidP="00B2733A">
      <w:pPr>
        <w:spacing w:before="240" w:line="360" w:lineRule="auto"/>
        <w:ind w:left="851" w:right="851"/>
        <w:jc w:val="both"/>
        <w:rPr>
          <w:rFonts w:ascii="Palatino Linotype" w:hAnsi="Palatino Linotype" w:cs="Arial"/>
          <w:i/>
        </w:rPr>
      </w:pPr>
      <w:r w:rsidRPr="00B2733A">
        <w:rPr>
          <w:rFonts w:ascii="Palatino Linotype" w:hAnsi="Palatino Linotype" w:cs="Arial"/>
          <w:i/>
        </w:rPr>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w:t>
      </w:r>
      <w:r w:rsidRPr="00B2733A">
        <w:rPr>
          <w:rFonts w:ascii="Palatino Linotype" w:hAnsi="Palatino Linotype" w:cs="Arial"/>
          <w:i/>
        </w:rPr>
        <w:lastRenderedPageBreak/>
        <w:t>habilitante y un argumento mínimo pero suficiente para acreditar el razonamiento del que se deduzca la relación de pertenencia lógica de los hechos al derecho invocado, que es la subsunción.</w:t>
      </w:r>
    </w:p>
    <w:p w14:paraId="72F0A1C6" w14:textId="77777777" w:rsidR="00B2733A" w:rsidRPr="00B2733A" w:rsidRDefault="00B2733A" w:rsidP="00B2733A">
      <w:pPr>
        <w:spacing w:line="360" w:lineRule="auto"/>
        <w:jc w:val="both"/>
        <w:rPr>
          <w:rFonts w:ascii="Palatino Linotype" w:hAnsi="Palatino Linotype"/>
          <w:sz w:val="24"/>
          <w:szCs w:val="24"/>
        </w:rPr>
      </w:pPr>
    </w:p>
    <w:p w14:paraId="147B15CE" w14:textId="77777777" w:rsidR="00B2733A" w:rsidRPr="00B2733A" w:rsidRDefault="00B2733A" w:rsidP="00B2733A">
      <w:pPr>
        <w:spacing w:line="360" w:lineRule="auto"/>
        <w:jc w:val="both"/>
        <w:rPr>
          <w:rFonts w:ascii="Palatino Linotype" w:hAnsi="Palatino Linotype"/>
          <w:sz w:val="24"/>
          <w:szCs w:val="24"/>
        </w:rPr>
      </w:pPr>
      <w:r w:rsidRPr="00B2733A">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1003077" w14:textId="77777777" w:rsidR="00B2733A" w:rsidRPr="00B2733A" w:rsidRDefault="00B2733A" w:rsidP="00B2733A">
      <w:pPr>
        <w:spacing w:line="360" w:lineRule="auto"/>
        <w:jc w:val="both"/>
        <w:rPr>
          <w:rFonts w:ascii="Palatino Linotype" w:hAnsi="Palatino Linotype"/>
          <w:sz w:val="24"/>
          <w:szCs w:val="24"/>
        </w:rPr>
      </w:pPr>
      <w:r w:rsidRPr="00B2733A">
        <w:rPr>
          <w:rFonts w:ascii="Palatino Linotype" w:hAnsi="Palatino Linotype"/>
          <w:sz w:val="24"/>
          <w:szCs w:val="24"/>
        </w:rPr>
        <w:t>Por lo tanto, la entrega de documentos en su versión pública debe acompañarse necesariamente del Acuerdo del Comité de Transparencia del Sujeto Obligado</w:t>
      </w:r>
      <w:r w:rsidRPr="00B2733A">
        <w:rPr>
          <w:rFonts w:ascii="Palatino Linotype" w:hAnsi="Palatino Linotype"/>
          <w:b/>
          <w:sz w:val="24"/>
          <w:szCs w:val="24"/>
        </w:rPr>
        <w:t xml:space="preserve"> </w:t>
      </w:r>
      <w:r w:rsidRPr="00B2733A">
        <w:rPr>
          <w:rFonts w:ascii="Palatino Linotype" w:hAnsi="Palatino Linotype"/>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0F1B2ED8" w14:textId="52913511" w:rsidR="00B2733A" w:rsidRPr="00B2733A" w:rsidRDefault="00B2733A" w:rsidP="00B2733A">
      <w:pPr>
        <w:tabs>
          <w:tab w:val="left" w:pos="709"/>
        </w:tabs>
        <w:spacing w:before="240" w:line="360" w:lineRule="auto"/>
        <w:ind w:right="51"/>
        <w:jc w:val="both"/>
        <w:rPr>
          <w:rFonts w:ascii="Palatino Linotype" w:hAnsi="Palatino Linotype"/>
          <w:sz w:val="24"/>
          <w:szCs w:val="24"/>
        </w:rPr>
      </w:pPr>
      <w:r w:rsidRPr="00B2733A">
        <w:rPr>
          <w:rFonts w:ascii="Palatino Linotype" w:hAnsi="Palatino Linotype"/>
          <w:iCs/>
          <w:sz w:val="24"/>
          <w:szCs w:val="24"/>
        </w:rPr>
        <w:t xml:space="preserve">En mérito de lo expuesto </w:t>
      </w:r>
      <w:r w:rsidRPr="00B2733A">
        <w:rPr>
          <w:rFonts w:ascii="Palatino Linotype" w:hAnsi="Palatino Linotype"/>
          <w:sz w:val="24"/>
          <w:szCs w:val="24"/>
        </w:rPr>
        <w:t xml:space="preserve">en líneas anteriores, resultan parcialmente fundados los motivos de inconformidad vertidos por </w:t>
      </w:r>
      <w:r w:rsidRPr="00B2733A">
        <w:rPr>
          <w:rFonts w:ascii="Palatino Linotype" w:hAnsi="Palatino Linotype"/>
          <w:b/>
          <w:sz w:val="24"/>
          <w:szCs w:val="24"/>
        </w:rPr>
        <w:t xml:space="preserve">El Recurrente, </w:t>
      </w:r>
      <w:r w:rsidRPr="00B2733A">
        <w:rPr>
          <w:rFonts w:ascii="Palatino Linotype" w:hAnsi="Palatino Linotype"/>
          <w:sz w:val="24"/>
          <w:szCs w:val="24"/>
        </w:rPr>
        <w:t xml:space="preserve">por ello con fundamento en el artículo 186 fracción III de la Ley de Transparencia y Acceso a la Información Pública del </w:t>
      </w:r>
      <w:r w:rsidRPr="00B2733A">
        <w:rPr>
          <w:rFonts w:ascii="Palatino Linotype" w:hAnsi="Palatino Linotype"/>
          <w:sz w:val="24"/>
          <w:szCs w:val="24"/>
        </w:rPr>
        <w:lastRenderedPageBreak/>
        <w:t xml:space="preserve">Estado de México y Municipios, se </w:t>
      </w:r>
      <w:r w:rsidRPr="00B2733A">
        <w:rPr>
          <w:rFonts w:ascii="Palatino Linotype" w:hAnsi="Palatino Linotype"/>
          <w:b/>
          <w:sz w:val="24"/>
          <w:szCs w:val="24"/>
        </w:rPr>
        <w:t xml:space="preserve">MODIFICA </w:t>
      </w:r>
      <w:r w:rsidRPr="00B2733A">
        <w:rPr>
          <w:rFonts w:ascii="Palatino Linotype" w:hAnsi="Palatino Linotype"/>
          <w:sz w:val="24"/>
          <w:szCs w:val="24"/>
        </w:rPr>
        <w:t xml:space="preserve">la respuesta a la solicitud de información </w:t>
      </w:r>
      <w:r w:rsidR="00CC404F" w:rsidRPr="00CC404F">
        <w:rPr>
          <w:rFonts w:ascii="Palatino Linotype" w:hAnsi="Palatino Linotype"/>
          <w:b/>
          <w:bCs/>
          <w:sz w:val="24"/>
          <w:szCs w:val="24"/>
        </w:rPr>
        <w:t>00067/HUEHUETO/IP/2025</w:t>
      </w:r>
      <w:r w:rsidRPr="00B2733A">
        <w:rPr>
          <w:rFonts w:ascii="Palatino Linotype" w:hAnsi="Palatino Linotype"/>
          <w:b/>
          <w:bCs/>
          <w:sz w:val="24"/>
          <w:szCs w:val="24"/>
        </w:rPr>
        <w:t xml:space="preserve">, </w:t>
      </w:r>
      <w:r w:rsidRPr="00B2733A">
        <w:rPr>
          <w:rFonts w:ascii="Palatino Linotype" w:hAnsi="Palatino Linotype"/>
          <w:sz w:val="24"/>
          <w:szCs w:val="24"/>
        </w:rPr>
        <w:t xml:space="preserve">que ha sido materia del presente fallo. </w:t>
      </w:r>
    </w:p>
    <w:p w14:paraId="20E0D476" w14:textId="77777777" w:rsidR="00B2733A" w:rsidRPr="00B2733A" w:rsidRDefault="00B2733A" w:rsidP="00B2733A">
      <w:pPr>
        <w:spacing w:before="240" w:after="240" w:line="360" w:lineRule="auto"/>
        <w:jc w:val="both"/>
        <w:rPr>
          <w:rFonts w:ascii="Palatino Linotype" w:eastAsia="Times New Roman" w:hAnsi="Palatino Linotype" w:cs="Times New Roman"/>
          <w:sz w:val="24"/>
          <w:szCs w:val="24"/>
          <w:lang w:val="es-ES" w:eastAsia="es-ES"/>
        </w:rPr>
      </w:pPr>
      <w:r w:rsidRPr="00B2733A">
        <w:rPr>
          <w:rFonts w:ascii="Palatino Linotype" w:eastAsia="Times New Roman" w:hAnsi="Palatino Linotype" w:cs="Times New Roman"/>
          <w:sz w:val="24"/>
          <w:szCs w:val="24"/>
          <w:lang w:val="es-ES" w:eastAsia="es-ES"/>
        </w:rPr>
        <w:t xml:space="preserve">Por lo antes expuesto y fundado es de resolverse y, </w:t>
      </w:r>
    </w:p>
    <w:p w14:paraId="12CCC2FE" w14:textId="5461410C" w:rsidR="0081317B" w:rsidRPr="00215BF1" w:rsidRDefault="00A916EF" w:rsidP="0081317B">
      <w:pPr>
        <w:spacing w:before="240" w:line="360" w:lineRule="auto"/>
        <w:jc w:val="center"/>
        <w:rPr>
          <w:rFonts w:ascii="Palatino Linotype" w:eastAsia="Times New Roman" w:hAnsi="Palatino Linotype"/>
          <w:b/>
          <w:bCs/>
          <w:spacing w:val="60"/>
          <w:sz w:val="28"/>
          <w:szCs w:val="28"/>
          <w:lang w:val="es-ES_tradnl"/>
        </w:rPr>
      </w:pPr>
      <w:r w:rsidRPr="00215BF1">
        <w:rPr>
          <w:rFonts w:ascii="Palatino Linotype" w:eastAsia="Times New Roman" w:hAnsi="Palatino Linotype"/>
          <w:b/>
          <w:bCs/>
          <w:spacing w:val="60"/>
          <w:sz w:val="28"/>
          <w:szCs w:val="28"/>
          <w:lang w:val="es-ES_tradnl"/>
        </w:rPr>
        <w:t>SE    RESUELVE</w:t>
      </w:r>
    </w:p>
    <w:p w14:paraId="3EAF7E86" w14:textId="5F2A2A99" w:rsidR="006F21D0" w:rsidRPr="00215BF1" w:rsidRDefault="00A916EF" w:rsidP="00A916EF">
      <w:pPr>
        <w:spacing w:before="240" w:line="360" w:lineRule="auto"/>
        <w:jc w:val="both"/>
        <w:rPr>
          <w:rFonts w:ascii="Palatino Linotype" w:hAnsi="Palatino Linotype" w:cs="Arial"/>
          <w:sz w:val="24"/>
        </w:rPr>
      </w:pPr>
      <w:r w:rsidRPr="00215BF1">
        <w:rPr>
          <w:rFonts w:ascii="Palatino Linotype" w:hAnsi="Palatino Linotype" w:cs="Arial"/>
          <w:b/>
          <w:sz w:val="24"/>
          <w:szCs w:val="24"/>
          <w:lang w:val="es-ES_tradnl"/>
        </w:rPr>
        <w:t>PRIMERO.</w:t>
      </w:r>
      <w:r w:rsidRPr="00215BF1">
        <w:rPr>
          <w:rFonts w:ascii="Palatino Linotype" w:hAnsi="Palatino Linotype" w:cs="Arial"/>
          <w:sz w:val="24"/>
          <w:szCs w:val="24"/>
          <w:lang w:val="es-ES_tradnl"/>
        </w:rPr>
        <w:t xml:space="preserve"> </w:t>
      </w:r>
      <w:r w:rsidRPr="00215BF1">
        <w:rPr>
          <w:rFonts w:ascii="Palatino Linotype" w:hAnsi="Palatino Linotype" w:cs="Arial"/>
          <w:sz w:val="24"/>
          <w:szCs w:val="24"/>
        </w:rPr>
        <w:t xml:space="preserve">Se </w:t>
      </w:r>
      <w:r w:rsidR="0042716B">
        <w:rPr>
          <w:rFonts w:ascii="Palatino Linotype" w:hAnsi="Palatino Linotype" w:cs="Arial"/>
          <w:b/>
          <w:sz w:val="24"/>
          <w:szCs w:val="24"/>
        </w:rPr>
        <w:t>MODIFICA</w:t>
      </w:r>
      <w:r w:rsidRPr="00215BF1">
        <w:rPr>
          <w:rFonts w:cs="Arial"/>
          <w:b/>
          <w:szCs w:val="24"/>
        </w:rPr>
        <w:t xml:space="preserve"> </w:t>
      </w:r>
      <w:r w:rsidRPr="00215BF1">
        <w:rPr>
          <w:rFonts w:ascii="Palatino Linotype" w:hAnsi="Palatino Linotype" w:cs="Arial"/>
          <w:sz w:val="24"/>
          <w:szCs w:val="24"/>
        </w:rPr>
        <w:t xml:space="preserve">la respuesta entregada por </w:t>
      </w:r>
      <w:r w:rsidRPr="00215BF1">
        <w:rPr>
          <w:rFonts w:ascii="Palatino Linotype" w:hAnsi="Palatino Linotype" w:cs="Arial"/>
          <w:b/>
          <w:sz w:val="24"/>
          <w:szCs w:val="24"/>
        </w:rPr>
        <w:t xml:space="preserve">EL SUJETO OBLIGADO, </w:t>
      </w:r>
      <w:r w:rsidRPr="00215BF1">
        <w:rPr>
          <w:rFonts w:ascii="Palatino Linotype" w:hAnsi="Palatino Linotype" w:cs="Arial"/>
          <w:sz w:val="24"/>
          <w:szCs w:val="24"/>
        </w:rPr>
        <w:t>a la solicitud de información</w:t>
      </w:r>
      <w:r w:rsidRPr="00215BF1">
        <w:rPr>
          <w:rFonts w:cs="Arial"/>
          <w:szCs w:val="24"/>
        </w:rPr>
        <w:t xml:space="preserve"> con</w:t>
      </w:r>
      <w:r w:rsidRPr="00215BF1">
        <w:rPr>
          <w:rFonts w:ascii="Palatino Linotype" w:hAnsi="Palatino Linotype" w:cs="Arial"/>
          <w:sz w:val="24"/>
          <w:szCs w:val="24"/>
        </w:rPr>
        <w:t xml:space="preserve"> número</w:t>
      </w:r>
      <w:r w:rsidR="00BD10AF" w:rsidRPr="00215BF1">
        <w:rPr>
          <w:rFonts w:ascii="Palatino Linotype" w:hAnsi="Palatino Linotype" w:cs="Arial"/>
          <w:sz w:val="24"/>
          <w:szCs w:val="24"/>
        </w:rPr>
        <w:t xml:space="preserve"> </w:t>
      </w:r>
      <w:r w:rsidR="00CC404F" w:rsidRPr="00CC404F">
        <w:rPr>
          <w:rFonts w:ascii="Palatino Linotype" w:hAnsi="Palatino Linotype"/>
          <w:b/>
          <w:bCs/>
          <w:sz w:val="24"/>
          <w:szCs w:val="24"/>
        </w:rPr>
        <w:t xml:space="preserve">00067/HUEHUETO/IP/2025 </w:t>
      </w:r>
      <w:r w:rsidRPr="00215BF1">
        <w:rPr>
          <w:rFonts w:ascii="Palatino Linotype" w:hAnsi="Palatino Linotype" w:cs="Arial"/>
          <w:sz w:val="24"/>
        </w:rPr>
        <w:t xml:space="preserve">por resultar fundados los motivos de inconformidad que arguye </w:t>
      </w:r>
      <w:r w:rsidRPr="00215BF1">
        <w:rPr>
          <w:rFonts w:ascii="Palatino Linotype" w:hAnsi="Palatino Linotype" w:cs="Arial"/>
          <w:b/>
          <w:sz w:val="24"/>
        </w:rPr>
        <w:t xml:space="preserve">EL RECURRENTE, </w:t>
      </w:r>
      <w:r w:rsidRPr="00215BF1">
        <w:rPr>
          <w:rFonts w:ascii="Palatino Linotype" w:hAnsi="Palatino Linotype" w:cs="Arial"/>
          <w:sz w:val="24"/>
        </w:rPr>
        <w:t xml:space="preserve">en términos del </w:t>
      </w:r>
      <w:r w:rsidRPr="00215BF1">
        <w:rPr>
          <w:rFonts w:ascii="Palatino Linotype" w:hAnsi="Palatino Linotype" w:cs="Arial"/>
          <w:b/>
          <w:sz w:val="24"/>
        </w:rPr>
        <w:t xml:space="preserve">Considerando </w:t>
      </w:r>
      <w:r w:rsidR="00236C70">
        <w:rPr>
          <w:rFonts w:ascii="Palatino Linotype" w:hAnsi="Palatino Linotype" w:cs="Arial"/>
          <w:b/>
          <w:sz w:val="24"/>
        </w:rPr>
        <w:t>CUARTO</w:t>
      </w:r>
      <w:r w:rsidRPr="00215BF1">
        <w:rPr>
          <w:rFonts w:ascii="Palatino Linotype" w:hAnsi="Palatino Linotype" w:cs="Arial"/>
          <w:b/>
          <w:sz w:val="24"/>
        </w:rPr>
        <w:t xml:space="preserve"> </w:t>
      </w:r>
      <w:r w:rsidRPr="00215BF1">
        <w:rPr>
          <w:rFonts w:ascii="Palatino Linotype" w:hAnsi="Palatino Linotype" w:cs="Arial"/>
          <w:sz w:val="24"/>
        </w:rPr>
        <w:t xml:space="preserve">de la presente resolución. </w:t>
      </w:r>
    </w:p>
    <w:p w14:paraId="5FFCB4CF" w14:textId="77777777" w:rsidR="00F91DF5" w:rsidRPr="00215BF1" w:rsidRDefault="00F91DF5" w:rsidP="00A95908">
      <w:pPr>
        <w:spacing w:line="360" w:lineRule="auto"/>
        <w:jc w:val="both"/>
        <w:rPr>
          <w:rFonts w:ascii="Palatino Linotype" w:hAnsi="Palatino Linotype" w:cs="Arial"/>
          <w:b/>
          <w:sz w:val="24"/>
          <w:szCs w:val="24"/>
          <w:lang w:val="es-ES_tradnl"/>
        </w:rPr>
      </w:pPr>
    </w:p>
    <w:p w14:paraId="2F5CFCA1" w14:textId="59C54468" w:rsidR="00427810" w:rsidRDefault="00A916EF" w:rsidP="00A95908">
      <w:pPr>
        <w:spacing w:line="360" w:lineRule="auto"/>
        <w:jc w:val="both"/>
        <w:rPr>
          <w:rFonts w:ascii="Palatino Linotype" w:hAnsi="Palatino Linotype" w:cs="Arial"/>
          <w:bCs/>
          <w:sz w:val="24"/>
          <w:szCs w:val="24"/>
        </w:rPr>
      </w:pPr>
      <w:r w:rsidRPr="00215BF1">
        <w:rPr>
          <w:rFonts w:ascii="Palatino Linotype" w:hAnsi="Palatino Linotype" w:cs="Arial"/>
          <w:b/>
          <w:sz w:val="24"/>
          <w:szCs w:val="24"/>
          <w:lang w:val="es-ES_tradnl"/>
        </w:rPr>
        <w:t>SEGUNDO.</w:t>
      </w:r>
      <w:r w:rsidRPr="00215BF1">
        <w:rPr>
          <w:rFonts w:ascii="Palatino Linotype" w:hAnsi="Palatino Linotype" w:cs="Arial"/>
          <w:sz w:val="24"/>
          <w:szCs w:val="24"/>
        </w:rPr>
        <w:t xml:space="preserve"> Se </w:t>
      </w:r>
      <w:r w:rsidRPr="00215BF1">
        <w:rPr>
          <w:rFonts w:ascii="Palatino Linotype" w:hAnsi="Palatino Linotype" w:cs="Arial"/>
          <w:b/>
          <w:sz w:val="24"/>
          <w:szCs w:val="24"/>
        </w:rPr>
        <w:t>ORDENA</w:t>
      </w:r>
      <w:r w:rsidRPr="00215BF1">
        <w:rPr>
          <w:rFonts w:ascii="Palatino Linotype" w:hAnsi="Palatino Linotype" w:cs="Arial"/>
          <w:sz w:val="24"/>
          <w:szCs w:val="24"/>
        </w:rPr>
        <w:t xml:space="preserve"> al </w:t>
      </w:r>
      <w:r w:rsidRPr="00215BF1">
        <w:rPr>
          <w:rFonts w:ascii="Palatino Linotype" w:hAnsi="Palatino Linotype" w:cs="Arial"/>
          <w:b/>
          <w:sz w:val="24"/>
          <w:szCs w:val="24"/>
        </w:rPr>
        <w:t>SUJETO OBLIGADO</w:t>
      </w:r>
      <w:r w:rsidRPr="00215BF1">
        <w:rPr>
          <w:rFonts w:ascii="Palatino Linotype" w:hAnsi="Palatino Linotype" w:cs="Arial"/>
          <w:sz w:val="24"/>
          <w:szCs w:val="24"/>
        </w:rPr>
        <w:t xml:space="preserve"> haga entrega al</w:t>
      </w:r>
      <w:r w:rsidRPr="00215BF1">
        <w:rPr>
          <w:rFonts w:ascii="Palatino Linotype" w:hAnsi="Palatino Linotype" w:cs="Arial"/>
          <w:b/>
          <w:sz w:val="24"/>
          <w:szCs w:val="24"/>
        </w:rPr>
        <w:t xml:space="preserve"> RECURRENTE </w:t>
      </w:r>
      <w:r w:rsidRPr="00215BF1">
        <w:rPr>
          <w:rFonts w:ascii="Palatino Linotype" w:hAnsi="Palatino Linotype" w:cs="Arial"/>
          <w:sz w:val="24"/>
          <w:szCs w:val="24"/>
        </w:rPr>
        <w:t xml:space="preserve">en términos del Considerando </w:t>
      </w:r>
      <w:r w:rsidR="00236C70" w:rsidRPr="00236C70">
        <w:rPr>
          <w:rFonts w:ascii="Palatino Linotype" w:hAnsi="Palatino Linotype" w:cs="Arial"/>
          <w:b/>
          <w:sz w:val="24"/>
          <w:szCs w:val="24"/>
        </w:rPr>
        <w:t xml:space="preserve">CUARTO </w:t>
      </w:r>
      <w:r w:rsidRPr="00215BF1">
        <w:rPr>
          <w:rFonts w:ascii="Palatino Linotype" w:hAnsi="Palatino Linotype" w:cs="Arial"/>
          <w:sz w:val="24"/>
          <w:szCs w:val="24"/>
        </w:rPr>
        <w:t>de esta resolución</w:t>
      </w:r>
      <w:r w:rsidRPr="00215BF1">
        <w:rPr>
          <w:rFonts w:ascii="Palatino Linotype" w:hAnsi="Palatino Linotype" w:cs="Arial"/>
          <w:b/>
          <w:sz w:val="24"/>
          <w:szCs w:val="24"/>
        </w:rPr>
        <w:t xml:space="preserve">, </w:t>
      </w:r>
      <w:r w:rsidRPr="00215BF1">
        <w:rPr>
          <w:rFonts w:ascii="Palatino Linotype" w:hAnsi="Palatino Linotype" w:cs="Arial"/>
          <w:sz w:val="24"/>
          <w:szCs w:val="24"/>
        </w:rPr>
        <w:t xml:space="preserve">a través del Sistema de Acceso a la Información Mexiquense </w:t>
      </w:r>
      <w:r w:rsidR="00CC404F">
        <w:rPr>
          <w:rFonts w:ascii="Palatino Linotype" w:hAnsi="Palatino Linotype" w:cs="Arial"/>
          <w:b/>
          <w:sz w:val="24"/>
          <w:szCs w:val="24"/>
        </w:rPr>
        <w:t>(SAIMEX)</w:t>
      </w:r>
      <w:r w:rsidR="00236C70">
        <w:rPr>
          <w:rFonts w:ascii="Palatino Linotype" w:hAnsi="Palatino Linotype" w:cs="Arial"/>
          <w:b/>
          <w:sz w:val="24"/>
          <w:szCs w:val="24"/>
        </w:rPr>
        <w:t xml:space="preserve">, </w:t>
      </w:r>
      <w:r w:rsidR="000305B5" w:rsidRPr="000305B5">
        <w:rPr>
          <w:rFonts w:ascii="Palatino Linotype" w:hAnsi="Palatino Linotype" w:cs="Arial"/>
          <w:bCs/>
          <w:sz w:val="24"/>
          <w:szCs w:val="24"/>
        </w:rPr>
        <w:t xml:space="preserve">en versión pública </w:t>
      </w:r>
      <w:r w:rsidR="000305B5">
        <w:rPr>
          <w:rFonts w:ascii="Palatino Linotype" w:hAnsi="Palatino Linotype" w:cs="Arial"/>
          <w:bCs/>
          <w:sz w:val="24"/>
          <w:szCs w:val="24"/>
        </w:rPr>
        <w:t xml:space="preserve">de ser procedente, </w:t>
      </w:r>
      <w:r w:rsidR="00427810" w:rsidRPr="000305B5">
        <w:rPr>
          <w:rFonts w:ascii="Palatino Linotype" w:hAnsi="Palatino Linotype" w:cs="Arial"/>
          <w:bCs/>
          <w:sz w:val="24"/>
          <w:szCs w:val="24"/>
        </w:rPr>
        <w:t>de</w:t>
      </w:r>
      <w:r w:rsidR="00427810" w:rsidRPr="00215BF1">
        <w:rPr>
          <w:rFonts w:ascii="Palatino Linotype" w:hAnsi="Palatino Linotype" w:cs="Arial"/>
          <w:bCs/>
          <w:sz w:val="24"/>
          <w:szCs w:val="24"/>
        </w:rPr>
        <w:t xml:space="preserve"> lo </w:t>
      </w:r>
      <w:r w:rsidR="00427810" w:rsidRPr="0002103F">
        <w:rPr>
          <w:rFonts w:ascii="Palatino Linotype" w:hAnsi="Palatino Linotype" w:cs="Arial"/>
          <w:bCs/>
          <w:sz w:val="24"/>
          <w:szCs w:val="24"/>
        </w:rPr>
        <w:t>siguiente:</w:t>
      </w:r>
      <w:r w:rsidR="00236C70">
        <w:rPr>
          <w:rFonts w:ascii="Palatino Linotype" w:hAnsi="Palatino Linotype" w:cs="Arial"/>
          <w:bCs/>
          <w:sz w:val="24"/>
          <w:szCs w:val="24"/>
        </w:rPr>
        <w:t xml:space="preserve"> </w:t>
      </w:r>
    </w:p>
    <w:p w14:paraId="1CDDD29E" w14:textId="77777777" w:rsidR="0024068D" w:rsidRPr="0024068D" w:rsidRDefault="0024068D" w:rsidP="0024068D">
      <w:pPr>
        <w:pStyle w:val="Prrafodelista"/>
        <w:ind w:left="851" w:right="707"/>
        <w:rPr>
          <w:rFonts w:cs="Arial"/>
          <w:bCs/>
        </w:rPr>
      </w:pPr>
      <w:r w:rsidRPr="0024068D">
        <w:rPr>
          <w:rFonts w:cs="Arial"/>
          <w:bCs/>
        </w:rPr>
        <w:t>1.- El número de inspecciones realizadas por la Coordinación de Regulación Comercial, para evitar la invasión del espacio público en el Callejón Sor Juana, por comerciantes, del periodo del primero de enero al veinte de febrero de dos mil veinticinco.</w:t>
      </w:r>
    </w:p>
    <w:p w14:paraId="04E5B12C" w14:textId="35543FEA" w:rsidR="0024068D" w:rsidRPr="0024068D" w:rsidRDefault="0024068D" w:rsidP="0024068D">
      <w:pPr>
        <w:pStyle w:val="Prrafodelista"/>
        <w:ind w:left="851" w:right="707"/>
        <w:rPr>
          <w:rFonts w:cs="Arial"/>
          <w:bCs/>
        </w:rPr>
      </w:pPr>
      <w:r w:rsidRPr="0024068D">
        <w:rPr>
          <w:rFonts w:cs="Arial"/>
          <w:bCs/>
        </w:rPr>
        <w:t>2. Resultado de las inspecciones realizadas.</w:t>
      </w:r>
    </w:p>
    <w:p w14:paraId="2F029F09" w14:textId="39E55DE8" w:rsidR="00CE2F7E" w:rsidRDefault="0024068D" w:rsidP="0024068D">
      <w:pPr>
        <w:pStyle w:val="Prrafodelista"/>
        <w:ind w:left="851" w:right="707"/>
        <w:rPr>
          <w:rFonts w:cs="Arial"/>
          <w:bCs/>
        </w:rPr>
      </w:pPr>
      <w:r w:rsidRPr="0024068D">
        <w:rPr>
          <w:rFonts w:cs="Arial"/>
          <w:bCs/>
        </w:rPr>
        <w:t xml:space="preserve">3.  El trámite </w:t>
      </w:r>
      <w:r w:rsidR="00F91DC1">
        <w:rPr>
          <w:rFonts w:cs="Arial"/>
          <w:bCs/>
        </w:rPr>
        <w:t>o procedimiento que se le da a</w:t>
      </w:r>
      <w:r w:rsidRPr="0024068D">
        <w:rPr>
          <w:rFonts w:cs="Arial"/>
          <w:bCs/>
        </w:rPr>
        <w:t xml:space="preserve"> los reportes, al veinte de febrero de la anualidad actuante.</w:t>
      </w:r>
    </w:p>
    <w:p w14:paraId="026B913A" w14:textId="77777777" w:rsidR="0024068D" w:rsidRPr="00215BF1" w:rsidRDefault="0024068D" w:rsidP="0024068D">
      <w:pPr>
        <w:pStyle w:val="Prrafodelista"/>
        <w:ind w:left="851" w:right="707"/>
        <w:rPr>
          <w:rFonts w:cs="Arial"/>
          <w:b/>
        </w:rPr>
      </w:pPr>
    </w:p>
    <w:p w14:paraId="4D4226BE" w14:textId="4892BDCC" w:rsidR="00427810" w:rsidRDefault="00DE74CF" w:rsidP="00DE74CF">
      <w:pPr>
        <w:spacing w:line="276" w:lineRule="auto"/>
        <w:ind w:left="851" w:right="707"/>
        <w:jc w:val="both"/>
        <w:rPr>
          <w:rFonts w:ascii="Palatino Linotype" w:eastAsia="Times New Roman" w:hAnsi="Palatino Linotype" w:cs="Arial"/>
          <w:bCs/>
          <w:i/>
          <w:iCs/>
          <w:lang w:val="es-ES" w:eastAsia="es-ES"/>
        </w:rPr>
      </w:pPr>
      <w:r w:rsidRPr="00DE74CF">
        <w:rPr>
          <w:rFonts w:ascii="Palatino Linotype" w:eastAsia="Times New Roman" w:hAnsi="Palatino Linotype" w:cs="Arial"/>
          <w:bCs/>
          <w:i/>
          <w:iCs/>
          <w:lang w:val="es-ES" w:eastAsia="es-ES"/>
        </w:rPr>
        <w:lastRenderedPageBreak/>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77970247" w14:textId="4A70BE3E" w:rsidR="00DE74CF" w:rsidRDefault="00F91DC1" w:rsidP="00DE74CF">
      <w:pPr>
        <w:spacing w:line="276" w:lineRule="auto"/>
        <w:ind w:left="851" w:right="707"/>
        <w:jc w:val="both"/>
        <w:rPr>
          <w:rFonts w:ascii="Palatino Linotype" w:hAnsi="Palatino Linotype" w:cs="Arial"/>
          <w:i/>
          <w:iCs/>
        </w:rPr>
      </w:pPr>
      <w:r w:rsidRPr="00F91DC1">
        <w:rPr>
          <w:rFonts w:ascii="Palatino Linotype" w:hAnsi="Palatino Linotype" w:cs="Arial"/>
          <w:i/>
          <w:iCs/>
        </w:rPr>
        <w:t xml:space="preserve">En caso de que el Sujeto Obligado, no tenga documentado el </w:t>
      </w:r>
      <w:r>
        <w:rPr>
          <w:rFonts w:ascii="Palatino Linotype" w:hAnsi="Palatino Linotype" w:cs="Arial"/>
          <w:i/>
          <w:iCs/>
        </w:rPr>
        <w:t>t</w:t>
      </w:r>
      <w:r w:rsidRPr="00F91DC1">
        <w:rPr>
          <w:rFonts w:ascii="Palatino Linotype" w:hAnsi="Palatino Linotype" w:cs="Arial"/>
          <w:i/>
          <w:iCs/>
        </w:rPr>
        <w:t>r</w:t>
      </w:r>
      <w:r>
        <w:rPr>
          <w:rFonts w:ascii="Palatino Linotype" w:hAnsi="Palatino Linotype" w:cs="Arial"/>
          <w:i/>
          <w:iCs/>
        </w:rPr>
        <w:t>á</w:t>
      </w:r>
      <w:r w:rsidRPr="00F91DC1">
        <w:rPr>
          <w:rFonts w:ascii="Palatino Linotype" w:hAnsi="Palatino Linotype" w:cs="Arial"/>
          <w:i/>
          <w:iCs/>
        </w:rPr>
        <w:t>mite o procedimiento que se d</w:t>
      </w:r>
      <w:r w:rsidR="002D4781">
        <w:rPr>
          <w:rFonts w:ascii="Palatino Linotype" w:hAnsi="Palatino Linotype" w:cs="Arial"/>
          <w:i/>
          <w:iCs/>
        </w:rPr>
        <w:t xml:space="preserve">a a los reportes, en términos de esta resolución, que es la información ordenada entregar en el punto </w:t>
      </w:r>
      <w:r w:rsidR="002D4781" w:rsidRPr="002D4781">
        <w:rPr>
          <w:rFonts w:ascii="Palatino Linotype" w:hAnsi="Palatino Linotype" w:cs="Arial"/>
          <w:b/>
          <w:i/>
          <w:iCs/>
        </w:rPr>
        <w:t>tres</w:t>
      </w:r>
      <w:r w:rsidR="002D4781">
        <w:rPr>
          <w:rFonts w:ascii="Palatino Linotype" w:hAnsi="Palatino Linotype" w:cs="Arial"/>
          <w:i/>
          <w:iCs/>
        </w:rPr>
        <w:t>, bastará con que lo haga del conocimiento del particular.</w:t>
      </w:r>
    </w:p>
    <w:p w14:paraId="623F2D95" w14:textId="77777777" w:rsidR="002D4781" w:rsidRPr="00F91DC1" w:rsidRDefault="002D4781" w:rsidP="00DE74CF">
      <w:pPr>
        <w:spacing w:line="276" w:lineRule="auto"/>
        <w:ind w:left="851" w:right="707"/>
        <w:jc w:val="both"/>
        <w:rPr>
          <w:rFonts w:ascii="Palatino Linotype" w:hAnsi="Palatino Linotype" w:cs="Arial"/>
          <w:i/>
          <w:iCs/>
        </w:rPr>
      </w:pPr>
    </w:p>
    <w:p w14:paraId="7A3FFC15" w14:textId="79349BBC" w:rsidR="00424456" w:rsidRPr="00215BF1" w:rsidRDefault="00A916EF" w:rsidP="00424456">
      <w:pPr>
        <w:spacing w:after="0" w:line="360" w:lineRule="auto"/>
        <w:jc w:val="both"/>
        <w:rPr>
          <w:rFonts w:ascii="Palatino Linotype" w:hAnsi="Palatino Linotype" w:cstheme="minorHAnsi"/>
          <w:sz w:val="24"/>
          <w:szCs w:val="24"/>
        </w:rPr>
      </w:pPr>
      <w:r w:rsidRPr="00215BF1">
        <w:rPr>
          <w:rFonts w:ascii="Palatino Linotype" w:eastAsia="Times New Roman" w:hAnsi="Palatino Linotype" w:cs="Arial"/>
          <w:b/>
          <w:sz w:val="28"/>
          <w:szCs w:val="24"/>
          <w:lang w:eastAsia="es-ES"/>
        </w:rPr>
        <w:t>TERCERO</w:t>
      </w:r>
      <w:r w:rsidRPr="00215BF1">
        <w:rPr>
          <w:rFonts w:ascii="Palatino Linotype" w:eastAsia="Times New Roman" w:hAnsi="Palatino Linotype" w:cs="Arial"/>
          <w:b/>
          <w:sz w:val="24"/>
          <w:szCs w:val="24"/>
          <w:lang w:eastAsia="es-ES"/>
        </w:rPr>
        <w:t>.</w:t>
      </w:r>
      <w:r w:rsidRPr="00215BF1">
        <w:rPr>
          <w:rFonts w:ascii="Palatino Linotype" w:eastAsia="Times New Roman" w:hAnsi="Palatino Linotype" w:cs="Arial"/>
          <w:sz w:val="24"/>
          <w:szCs w:val="24"/>
          <w:lang w:eastAsia="es-ES"/>
        </w:rPr>
        <w:t xml:space="preserve"> </w:t>
      </w:r>
      <w:r w:rsidRPr="00215BF1">
        <w:rPr>
          <w:rFonts w:ascii="Palatino Linotype" w:hAnsi="Palatino Linotype" w:cstheme="minorHAnsi"/>
          <w:b/>
          <w:sz w:val="24"/>
          <w:szCs w:val="24"/>
        </w:rPr>
        <w:t>NOTIFÍQUESE</w:t>
      </w:r>
      <w:r w:rsidRPr="00215BF1">
        <w:rPr>
          <w:rFonts w:ascii="Palatino Linotype" w:hAnsi="Palatino Linotype" w:cstheme="minorHAnsi"/>
          <w:i/>
          <w:sz w:val="24"/>
          <w:szCs w:val="24"/>
        </w:rPr>
        <w:t xml:space="preserve"> </w:t>
      </w:r>
      <w:r w:rsidRPr="00215BF1">
        <w:rPr>
          <w:rFonts w:ascii="Palatino Linotype" w:hAnsi="Palatino Linotype" w:cstheme="minorHAnsi"/>
          <w:sz w:val="24"/>
          <w:szCs w:val="24"/>
        </w:rPr>
        <w:t xml:space="preserve">la presente resolución al Titular de la Unidad de Transparencia del Sujeto Obligado, </w:t>
      </w:r>
      <w:r w:rsidR="00D82022" w:rsidRPr="00215BF1">
        <w:rPr>
          <w:rFonts w:ascii="Palatino Linotype" w:hAnsi="Palatino Linotype" w:cstheme="minorHAnsi"/>
          <w:sz w:val="24"/>
          <w:szCs w:val="24"/>
        </w:rPr>
        <w:t xml:space="preserve">vía </w:t>
      </w:r>
      <w:r w:rsidR="00D82022" w:rsidRPr="00215BF1">
        <w:rPr>
          <w:rFonts w:ascii="Palatino Linotype" w:hAnsi="Palatino Linotype" w:cs="Arial"/>
          <w:sz w:val="24"/>
          <w:szCs w:val="24"/>
        </w:rPr>
        <w:t xml:space="preserve">Sistema de Acceso a la Información Mexiquense </w:t>
      </w:r>
      <w:r w:rsidR="00D82022" w:rsidRPr="00215BF1">
        <w:rPr>
          <w:rFonts w:ascii="Palatino Linotype" w:hAnsi="Palatino Linotype" w:cs="Arial"/>
          <w:b/>
          <w:sz w:val="24"/>
          <w:szCs w:val="24"/>
        </w:rPr>
        <w:t xml:space="preserve">(SAIMEX) </w:t>
      </w:r>
      <w:r w:rsidRPr="00215BF1">
        <w:rPr>
          <w:rFonts w:ascii="Palatino Linotype" w:hAnsi="Palatino Linotype" w:cstheme="minorHAnsi"/>
          <w:sz w:val="24"/>
          <w:szCs w:val="24"/>
        </w:rPr>
        <w:t>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781E50" w14:textId="77777777" w:rsidR="00A95908" w:rsidRPr="00215BF1" w:rsidRDefault="00A95908" w:rsidP="00424456">
      <w:pPr>
        <w:spacing w:after="0" w:line="360" w:lineRule="auto"/>
        <w:jc w:val="both"/>
        <w:rPr>
          <w:rFonts w:ascii="Palatino Linotype" w:hAnsi="Palatino Linotype" w:cstheme="minorHAnsi"/>
          <w:sz w:val="24"/>
          <w:szCs w:val="24"/>
        </w:rPr>
      </w:pPr>
    </w:p>
    <w:p w14:paraId="425E8CA5" w14:textId="61EA7A48" w:rsidR="004F3F50" w:rsidRPr="00215BF1" w:rsidRDefault="00A916EF" w:rsidP="0064281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15BF1">
        <w:rPr>
          <w:rFonts w:ascii="Palatino Linotype" w:eastAsia="Times New Roman" w:hAnsi="Palatino Linotype" w:cs="Arial"/>
          <w:b/>
          <w:sz w:val="26"/>
          <w:szCs w:val="26"/>
          <w:lang w:eastAsia="es-ES"/>
        </w:rPr>
        <w:t>CUARTO.</w:t>
      </w:r>
      <w:r w:rsidRPr="00215BF1">
        <w:rPr>
          <w:rFonts w:ascii="Palatino Linotype" w:eastAsia="Times New Roman" w:hAnsi="Palatino Linotype" w:cs="Arial"/>
          <w:b/>
          <w:sz w:val="24"/>
          <w:szCs w:val="24"/>
          <w:lang w:eastAsia="es-ES"/>
        </w:rPr>
        <w:t xml:space="preserve"> </w:t>
      </w:r>
      <w:r w:rsidRPr="00215BF1">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D4ACEDC" w14:textId="77777777" w:rsidR="00D82022" w:rsidRPr="00215BF1" w:rsidRDefault="00D82022" w:rsidP="0064281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9F158A4" w14:textId="44019480" w:rsidR="00AF5801" w:rsidRPr="00215BF1" w:rsidRDefault="00BD10AF" w:rsidP="0015656E">
      <w:pPr>
        <w:autoSpaceDE w:val="0"/>
        <w:autoSpaceDN w:val="0"/>
        <w:adjustRightInd w:val="0"/>
        <w:spacing w:line="360" w:lineRule="auto"/>
        <w:jc w:val="both"/>
      </w:pPr>
      <w:r w:rsidRPr="00215BF1">
        <w:rPr>
          <w:rFonts w:ascii="Palatino Linotype" w:hAnsi="Palatino Linotype" w:cs="Arial"/>
          <w:b/>
          <w:sz w:val="28"/>
          <w:szCs w:val="28"/>
        </w:rPr>
        <w:lastRenderedPageBreak/>
        <w:t xml:space="preserve">QUINTO. </w:t>
      </w:r>
      <w:r w:rsidR="00A916EF" w:rsidRPr="00215BF1">
        <w:rPr>
          <w:rFonts w:ascii="Palatino Linotype" w:eastAsia="Times New Roman" w:hAnsi="Palatino Linotype" w:cs="Arial"/>
          <w:b/>
          <w:sz w:val="24"/>
          <w:szCs w:val="24"/>
          <w:lang w:eastAsia="es-ES"/>
        </w:rPr>
        <w:t xml:space="preserve">NOTIFÍQUESE </w:t>
      </w:r>
      <w:r w:rsidR="00A916EF" w:rsidRPr="00215BF1">
        <w:rPr>
          <w:rFonts w:ascii="Palatino Linotype" w:eastAsia="Times New Roman" w:hAnsi="Palatino Linotype" w:cs="Arial"/>
          <w:sz w:val="24"/>
          <w:szCs w:val="24"/>
          <w:lang w:eastAsia="es-ES"/>
        </w:rPr>
        <w:t xml:space="preserve">la presente resolución al </w:t>
      </w:r>
      <w:r w:rsidR="00A916EF" w:rsidRPr="00215BF1">
        <w:rPr>
          <w:rFonts w:ascii="Palatino Linotype" w:eastAsia="Times New Roman" w:hAnsi="Palatino Linotype" w:cs="Arial"/>
          <w:b/>
          <w:sz w:val="24"/>
          <w:szCs w:val="24"/>
          <w:lang w:eastAsia="es-ES"/>
        </w:rPr>
        <w:t xml:space="preserve">RECURRENTE vía </w:t>
      </w:r>
      <w:r w:rsidR="00A916EF" w:rsidRPr="00215BF1">
        <w:rPr>
          <w:rFonts w:ascii="Palatino Linotype" w:hAnsi="Palatino Linotype" w:cs="Arial"/>
          <w:sz w:val="24"/>
          <w:szCs w:val="24"/>
        </w:rPr>
        <w:t xml:space="preserve">Sistema de Acceso a la Información Mexiquense </w:t>
      </w:r>
      <w:r w:rsidR="00A916EF" w:rsidRPr="00215BF1">
        <w:rPr>
          <w:rFonts w:ascii="Palatino Linotype" w:hAnsi="Palatino Linotype" w:cs="Arial"/>
          <w:b/>
          <w:sz w:val="24"/>
          <w:szCs w:val="24"/>
        </w:rPr>
        <w:t xml:space="preserve">(SAIMEX) </w:t>
      </w:r>
      <w:r w:rsidR="003D0F04" w:rsidRPr="00215BF1">
        <w:rPr>
          <w:rFonts w:ascii="Palatino Linotype" w:hAnsi="Palatino Linotype" w:cs="Arial"/>
          <w:sz w:val="24"/>
          <w:szCs w:val="24"/>
        </w:rPr>
        <w:t>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r w:rsidR="00A35929" w:rsidRPr="00215BF1">
        <w:t>.</w:t>
      </w:r>
    </w:p>
    <w:p w14:paraId="553E33DE" w14:textId="77777777" w:rsidR="00B932DB" w:rsidRPr="00215BF1" w:rsidRDefault="00B932DB" w:rsidP="0015656E">
      <w:pPr>
        <w:autoSpaceDE w:val="0"/>
        <w:autoSpaceDN w:val="0"/>
        <w:adjustRightInd w:val="0"/>
        <w:spacing w:line="360" w:lineRule="auto"/>
        <w:jc w:val="both"/>
      </w:pPr>
    </w:p>
    <w:p w14:paraId="55E518FB" w14:textId="6DB20E0E" w:rsidR="00A916EF" w:rsidRPr="0064281B" w:rsidRDefault="00A916EF" w:rsidP="00A916EF">
      <w:pPr>
        <w:spacing w:after="0" w:line="360" w:lineRule="auto"/>
        <w:jc w:val="both"/>
        <w:rPr>
          <w:rFonts w:ascii="Palatino Linotype" w:eastAsia="Times New Roman" w:hAnsi="Palatino Linotype" w:cs="Arial"/>
          <w:sz w:val="24"/>
          <w:szCs w:val="24"/>
          <w:lang w:eastAsia="es-MX"/>
        </w:rPr>
      </w:pPr>
      <w:r w:rsidRPr="00F444C4">
        <w:rPr>
          <w:rFonts w:ascii="Palatino Linotype" w:eastAsia="Times New Roman" w:hAnsi="Palatino Linotype" w:cs="Arial"/>
          <w:sz w:val="24"/>
          <w:szCs w:val="24"/>
          <w:lang w:val="es-ES_tradnl" w:eastAsia="es-MX"/>
        </w:rPr>
        <w:t xml:space="preserve">ASÍ LO RESUELVE, POR </w:t>
      </w:r>
      <w:r w:rsidRPr="00CB6C3B">
        <w:rPr>
          <w:rFonts w:ascii="Palatino Linotype" w:eastAsia="Times New Roman" w:hAnsi="Palatino Linotype" w:cs="Arial"/>
          <w:b/>
          <w:bCs/>
          <w:sz w:val="24"/>
          <w:szCs w:val="24"/>
          <w:lang w:val="es-ES_tradnl" w:eastAsia="es-MX"/>
        </w:rPr>
        <w:t>UNANIMIDAD DE VOTOS</w:t>
      </w:r>
      <w:r w:rsidRPr="00F444C4">
        <w:rPr>
          <w:rFonts w:ascii="Palatino Linotype" w:eastAsia="Times New Roman" w:hAnsi="Palatino Linotype" w:cs="Arial"/>
          <w:sz w:val="24"/>
          <w:szCs w:val="24"/>
          <w:lang w:val="es-ES_tradnl" w:eastAsia="es-MX"/>
        </w:rPr>
        <w:t xml:space="preserve"> EL PLENO DEL</w:t>
      </w:r>
      <w:r w:rsidRPr="00F444C4">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F444C4">
        <w:rPr>
          <w:rFonts w:ascii="Palatino Linotype" w:eastAsia="Times New Roman" w:hAnsi="Palatino Linotype" w:cs="Arial"/>
          <w:sz w:val="24"/>
          <w:szCs w:val="24"/>
          <w:lang w:val="es-ES_tradnl" w:eastAsia="es-MX"/>
        </w:rPr>
        <w:t>, CONFORMADO POR LOS COMISIONADOS JOSÉ MARTÍNEZ VILCHIS, MARÍA DEL ROSARIO MEJÍA AYALA, SHARON CRISTINA MORALES MARTÍNEZ, LUIS GUSTAVO PARRA NORIEGA Y GUADALUPE RAMÍREZ PEÑA, EN LA</w:t>
      </w:r>
      <w:r w:rsidRPr="00F444C4">
        <w:rPr>
          <w:rFonts w:ascii="Palatino Linotype" w:eastAsia="Times New Roman" w:hAnsi="Palatino Linotype" w:cs="Arial"/>
          <w:sz w:val="24"/>
          <w:szCs w:val="24"/>
          <w:lang w:val="es-419" w:eastAsia="es-MX"/>
        </w:rPr>
        <w:t xml:space="preserve"> </w:t>
      </w:r>
      <w:r w:rsidR="006344CA">
        <w:rPr>
          <w:rFonts w:ascii="Palatino Linotype" w:eastAsia="Times New Roman" w:hAnsi="Palatino Linotype" w:cs="Arial"/>
          <w:sz w:val="24"/>
          <w:szCs w:val="24"/>
          <w:lang w:val="es-419" w:eastAsia="es-MX"/>
        </w:rPr>
        <w:t>DÉCIMA QUINTA</w:t>
      </w:r>
      <w:r w:rsidR="00CB6C3B">
        <w:rPr>
          <w:rFonts w:ascii="Palatino Linotype" w:eastAsia="Times New Roman" w:hAnsi="Palatino Linotype" w:cs="Arial"/>
          <w:sz w:val="24"/>
          <w:szCs w:val="24"/>
          <w:lang w:val="es-419" w:eastAsia="es-MX"/>
        </w:rPr>
        <w:t xml:space="preserve"> </w:t>
      </w:r>
      <w:r>
        <w:rPr>
          <w:rFonts w:ascii="Palatino Linotype" w:eastAsia="Times New Roman" w:hAnsi="Palatino Linotype" w:cs="Arial"/>
          <w:sz w:val="24"/>
          <w:szCs w:val="24"/>
          <w:lang w:val="es-419" w:eastAsia="es-MX"/>
        </w:rPr>
        <w:t xml:space="preserve">SESIÓN </w:t>
      </w:r>
      <w:r w:rsidRPr="00F444C4">
        <w:rPr>
          <w:rFonts w:ascii="Palatino Linotype" w:eastAsia="Times New Roman" w:hAnsi="Palatino Linotype" w:cs="Arial"/>
          <w:sz w:val="24"/>
          <w:szCs w:val="24"/>
          <w:lang w:val="es-419" w:eastAsia="es-MX"/>
        </w:rPr>
        <w:t xml:space="preserve">ORDINARIA CELEBRADA EL </w:t>
      </w:r>
      <w:r w:rsidR="006344CA">
        <w:rPr>
          <w:rFonts w:ascii="Palatino Linotype" w:eastAsia="Times New Roman" w:hAnsi="Palatino Linotype" w:cs="Arial"/>
          <w:sz w:val="24"/>
          <w:szCs w:val="24"/>
          <w:lang w:val="es-419" w:eastAsia="es-MX"/>
        </w:rPr>
        <w:t>TREINTA DE ABRIL</w:t>
      </w:r>
      <w:r w:rsidR="00CB6C3B">
        <w:rPr>
          <w:rFonts w:ascii="Palatino Linotype" w:eastAsia="Times New Roman" w:hAnsi="Palatino Linotype" w:cs="Arial"/>
          <w:sz w:val="24"/>
          <w:szCs w:val="24"/>
          <w:lang w:val="es-419" w:eastAsia="es-MX"/>
        </w:rPr>
        <w:t xml:space="preserve"> </w:t>
      </w:r>
      <w:r w:rsidRPr="00F444C4">
        <w:rPr>
          <w:rFonts w:ascii="Palatino Linotype" w:eastAsia="Times New Roman" w:hAnsi="Palatino Linotype" w:cs="Arial"/>
          <w:sz w:val="24"/>
          <w:szCs w:val="24"/>
          <w:lang w:val="es-419" w:eastAsia="es-MX"/>
        </w:rPr>
        <w:t>DE DOS MIL VEINTICUATRO</w:t>
      </w:r>
      <w:r w:rsidRPr="00F444C4">
        <w:rPr>
          <w:rFonts w:ascii="Palatino Linotype" w:eastAsia="Times New Roman" w:hAnsi="Palatino Linotype" w:cs="Arial"/>
          <w:sz w:val="24"/>
          <w:szCs w:val="24"/>
          <w:lang w:val="es-ES_tradnl" w:eastAsia="es-MX"/>
        </w:rPr>
        <w:t xml:space="preserve">, ANTE EL SECRETARIO TÉCNICO DEL PLENO, ALEXIS TAPIA RAMÍREZ. </w:t>
      </w:r>
      <w:r w:rsidR="0064281B">
        <w:rPr>
          <w:rFonts w:ascii="Palatino Linotype" w:eastAsia="Times New Roman" w:hAnsi="Palatino Linotype" w:cs="Arial"/>
          <w:sz w:val="24"/>
          <w:szCs w:val="24"/>
          <w:lang w:val="es-ES_tradnl" w:eastAsia="es-MX"/>
        </w:rPr>
        <w:t>--------------------------------------------------------------------------------------------</w:t>
      </w:r>
      <w:r w:rsidRPr="00F444C4">
        <w:rPr>
          <w:rFonts w:ascii="Palatino Linotype" w:eastAsia="Times New Roman" w:hAnsi="Palatino Linotype" w:cs="Arial"/>
          <w:sz w:val="24"/>
          <w:szCs w:val="24"/>
          <w:lang w:val="es-ES_tradnl" w:eastAsia="es-MX"/>
        </w:rPr>
        <w:t>-----------------------------------------------------------------------------------------------------------------------------------------------------------</w:t>
      </w:r>
      <w:r w:rsidR="001113C8" w:rsidRPr="001113C8">
        <w:rPr>
          <w:rFonts w:ascii="Palatino Linotype" w:eastAsia="Times New Roman" w:hAnsi="Palatino Linotype" w:cs="Arial"/>
          <w:sz w:val="24"/>
          <w:szCs w:val="24"/>
          <w:lang w:eastAsia="es-MX"/>
        </w:rPr>
        <w:t>------------------------------------------------------------------------------------------------------------------------------------------------------------------------------------------------------------------------------------------------------------------------------------------------------------------------------------------------------------------------------------------------------------------------------------------------------------------------------------</w:t>
      </w:r>
    </w:p>
    <w:p w14:paraId="50FC42A7" w14:textId="342DBE7A" w:rsidR="00A916EF" w:rsidRPr="00F444C4" w:rsidRDefault="00A916EF" w:rsidP="00A916EF">
      <w:pPr>
        <w:spacing w:after="0" w:line="360" w:lineRule="auto"/>
        <w:jc w:val="both"/>
        <w:rPr>
          <w:rFonts w:ascii="Palatino Linotype" w:eastAsia="Times New Roman" w:hAnsi="Palatino Linotype" w:cs="Arial"/>
          <w:sz w:val="20"/>
          <w:lang w:val="es-ES_tradnl" w:eastAsia="es-MX"/>
        </w:rPr>
      </w:pPr>
      <w:r w:rsidRPr="00F444C4">
        <w:rPr>
          <w:rFonts w:ascii="Palatino Linotype" w:eastAsia="Times New Roman" w:hAnsi="Palatino Linotype" w:cs="Arial"/>
          <w:sz w:val="24"/>
          <w:szCs w:val="24"/>
          <w:lang w:val="es-ES_tradnl" w:eastAsia="es-MX"/>
        </w:rPr>
        <w:t>-------------------------------------------------------------------------------------------------------------------</w:t>
      </w:r>
      <w:r w:rsidR="001113C8">
        <w:rPr>
          <w:rFonts w:ascii="Palatino Linotype" w:eastAsia="Times New Roman" w:hAnsi="Palatino Linotype" w:cs="Arial"/>
          <w:sz w:val="24"/>
          <w:szCs w:val="24"/>
          <w:lang w:val="es-ES_tradnl" w:eastAsia="es-MX"/>
        </w:rPr>
        <w:t>--</w:t>
      </w:r>
    </w:p>
    <w:p w14:paraId="2A1745F1" w14:textId="67A2E857" w:rsidR="00A916EF" w:rsidRPr="00F444C4" w:rsidRDefault="00C531E6" w:rsidP="00A916EF">
      <w:pPr>
        <w:spacing w:after="0" w:line="360" w:lineRule="auto"/>
        <w:jc w:val="both"/>
        <w:rPr>
          <w:rFonts w:ascii="Palatino Linotype" w:eastAsia="Times New Roman" w:hAnsi="Palatino Linotype" w:cs="Arial"/>
          <w:sz w:val="20"/>
          <w:lang w:val="es-ES_tradnl" w:eastAsia="es-MX"/>
        </w:rPr>
      </w:pPr>
      <w:r>
        <w:rPr>
          <w:rFonts w:ascii="Palatino Linotype" w:eastAsia="Times New Roman" w:hAnsi="Palatino Linotype" w:cs="Arial"/>
          <w:sz w:val="20"/>
          <w:lang w:val="es-ES_tradnl" w:eastAsia="es-MX"/>
        </w:rPr>
        <w:t>CCR/</w:t>
      </w:r>
      <w:proofErr w:type="spellStart"/>
      <w:r>
        <w:rPr>
          <w:rFonts w:ascii="Palatino Linotype" w:eastAsia="Times New Roman" w:hAnsi="Palatino Linotype" w:cs="Arial"/>
          <w:sz w:val="20"/>
          <w:lang w:val="es-ES_tradnl" w:eastAsia="es-MX"/>
        </w:rPr>
        <w:t>ikdf</w:t>
      </w:r>
      <w:proofErr w:type="spellEnd"/>
    </w:p>
    <w:p w14:paraId="22D193FE"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D274306"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6432F85"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A82E234"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A2C930C"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0B120902"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DF03671" w14:textId="77777777" w:rsidR="00A916EF" w:rsidRPr="00F444C4" w:rsidRDefault="00A916EF" w:rsidP="00A916EF">
      <w:pPr>
        <w:spacing w:after="0" w:line="360" w:lineRule="auto"/>
        <w:jc w:val="both"/>
        <w:rPr>
          <w:rFonts w:ascii="Palatino Linotype" w:eastAsia="Times New Roman" w:hAnsi="Palatino Linotype" w:cs="Calibri"/>
          <w:sz w:val="24"/>
          <w:lang w:val="es-ES_tradnl" w:eastAsia="es-MX"/>
        </w:rPr>
      </w:pPr>
    </w:p>
    <w:p w14:paraId="1365670B" w14:textId="77777777" w:rsidR="00A916EF" w:rsidRPr="00F444C4" w:rsidRDefault="00A916EF" w:rsidP="00A916EF">
      <w:pPr>
        <w:spacing w:after="0" w:line="360" w:lineRule="auto"/>
        <w:jc w:val="both"/>
        <w:rPr>
          <w:rFonts w:ascii="Palatino Linotype" w:eastAsia="Times New Roman" w:hAnsi="Palatino Linotype" w:cs="Calibri"/>
          <w:sz w:val="24"/>
          <w:lang w:val="es-ES_tradnl" w:eastAsia="es-MX"/>
        </w:rPr>
      </w:pPr>
    </w:p>
    <w:p w14:paraId="342ECA3E" w14:textId="77777777" w:rsidR="00A916EF" w:rsidRPr="00F444C4" w:rsidRDefault="00A916EF" w:rsidP="00A916EF">
      <w:pPr>
        <w:spacing w:after="0" w:line="360" w:lineRule="auto"/>
        <w:jc w:val="both"/>
        <w:rPr>
          <w:rFonts w:ascii="Palatino Linotype" w:eastAsia="Times New Roman" w:hAnsi="Palatino Linotype" w:cs="Calibri"/>
          <w:sz w:val="24"/>
          <w:lang w:val="es-ES_tradnl" w:eastAsia="es-MX"/>
        </w:rPr>
      </w:pPr>
    </w:p>
    <w:p w14:paraId="02117DAD" w14:textId="77777777" w:rsidR="00A916EF" w:rsidRDefault="00A916EF" w:rsidP="00A916EF">
      <w:pPr>
        <w:spacing w:after="0" w:line="360" w:lineRule="auto"/>
        <w:jc w:val="both"/>
        <w:rPr>
          <w:rFonts w:ascii="Palatino Linotype" w:eastAsia="Times New Roman" w:hAnsi="Palatino Linotype" w:cs="Calibri"/>
          <w:sz w:val="24"/>
          <w:lang w:val="es-ES_tradnl" w:eastAsia="es-MX"/>
        </w:rPr>
      </w:pPr>
    </w:p>
    <w:p w14:paraId="28CDA07B"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73925377"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4F98F2B1"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39A350E2"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4962CD1C"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6E63914C"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7CCA008D"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6C840972"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206B4DBB"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4F91C763"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269B139B"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264BF7B4"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4B6A786D" w14:textId="77777777" w:rsidR="008A36EF" w:rsidRPr="00F444C4" w:rsidRDefault="008A36EF" w:rsidP="00A916EF">
      <w:pPr>
        <w:spacing w:after="0" w:line="360" w:lineRule="auto"/>
        <w:jc w:val="both"/>
        <w:rPr>
          <w:rFonts w:ascii="Palatino Linotype" w:eastAsia="Times New Roman" w:hAnsi="Palatino Linotype" w:cs="Calibri"/>
          <w:sz w:val="24"/>
          <w:lang w:val="es-ES_tradnl" w:eastAsia="es-MX"/>
        </w:rPr>
      </w:pPr>
    </w:p>
    <w:p w14:paraId="740EFE75" w14:textId="77777777" w:rsidR="00A916EF" w:rsidRDefault="00A916EF" w:rsidP="00A916EF"/>
    <w:sectPr w:rsidR="00A916EF" w:rsidSect="00C37348">
      <w:headerReference w:type="even" r:id="rId9"/>
      <w:headerReference w:type="default" r:id="rId10"/>
      <w:footerReference w:type="default" r:id="rId11"/>
      <w:headerReference w:type="first" r:id="rId12"/>
      <w:footerReference w:type="first" r:id="rId13"/>
      <w:pgSz w:w="12240" w:h="15840"/>
      <w:pgMar w:top="2977" w:right="1134" w:bottom="1191" w:left="1752"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056C2" w14:textId="77777777" w:rsidR="00550DB6" w:rsidRDefault="00550DB6" w:rsidP="00A916EF">
      <w:pPr>
        <w:spacing w:after="0" w:line="240" w:lineRule="auto"/>
      </w:pPr>
      <w:r>
        <w:separator/>
      </w:r>
    </w:p>
  </w:endnote>
  <w:endnote w:type="continuationSeparator" w:id="0">
    <w:p w14:paraId="5A343610" w14:textId="77777777" w:rsidR="00550DB6" w:rsidRDefault="00550DB6" w:rsidP="00A91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96180" w14:textId="77777777" w:rsidR="002D4781" w:rsidRPr="00871A91" w:rsidRDefault="002D4781" w:rsidP="00C37348">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3738A">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3738A">
      <w:rPr>
        <w:rFonts w:ascii="Palatino Linotype" w:hAnsi="Palatino Linotype"/>
        <w:b/>
        <w:bCs/>
        <w:noProof/>
        <w:sz w:val="20"/>
      </w:rPr>
      <w:t>44</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87BF7" w14:textId="77777777" w:rsidR="002D4781" w:rsidRPr="00871A91" w:rsidRDefault="002D4781" w:rsidP="00C37348">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3738A">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3738A">
      <w:rPr>
        <w:rFonts w:ascii="Palatino Linotype" w:hAnsi="Palatino Linotype"/>
        <w:b/>
        <w:bCs/>
        <w:noProof/>
        <w:sz w:val="20"/>
      </w:rPr>
      <w:t>44</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909FA" w14:textId="77777777" w:rsidR="00550DB6" w:rsidRDefault="00550DB6" w:rsidP="00A916EF">
      <w:pPr>
        <w:spacing w:after="0" w:line="240" w:lineRule="auto"/>
      </w:pPr>
      <w:r>
        <w:separator/>
      </w:r>
    </w:p>
  </w:footnote>
  <w:footnote w:type="continuationSeparator" w:id="0">
    <w:p w14:paraId="6125D61A" w14:textId="77777777" w:rsidR="00550DB6" w:rsidRDefault="00550DB6" w:rsidP="00A916EF">
      <w:pPr>
        <w:spacing w:after="0" w:line="240" w:lineRule="auto"/>
      </w:pPr>
      <w:r>
        <w:continuationSeparator/>
      </w:r>
    </w:p>
  </w:footnote>
  <w:footnote w:id="1">
    <w:p w14:paraId="3D4C9DFB" w14:textId="77777777" w:rsidR="002D4781" w:rsidRPr="0031280C" w:rsidRDefault="002D4781" w:rsidP="00BF680F">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3F5582B8" w14:textId="77777777" w:rsidR="002D4781" w:rsidRPr="0031280C" w:rsidRDefault="002D4781" w:rsidP="00BF680F">
      <w:pPr>
        <w:rPr>
          <w:rFonts w:cs="Palatino Linotype"/>
          <w:color w:val="000000"/>
          <w:sz w:val="20"/>
          <w:szCs w:val="20"/>
        </w:rPr>
      </w:pPr>
    </w:p>
    <w:p w14:paraId="4E84B332" w14:textId="77777777" w:rsidR="002D4781" w:rsidRPr="0031280C" w:rsidRDefault="002D4781" w:rsidP="00BF680F">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53DB63A6" w14:textId="77777777" w:rsidR="002D4781" w:rsidRPr="00783A97" w:rsidRDefault="002D4781" w:rsidP="00BF680F">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F450483" w14:textId="77777777" w:rsidR="002D4781" w:rsidRDefault="002D4781" w:rsidP="009C4A60">
      <w:pPr>
        <w:pStyle w:val="Textonotapie"/>
        <w:jc w:val="both"/>
        <w:rPr>
          <w:sz w:val="18"/>
          <w:szCs w:val="18"/>
          <w:u w:val="single"/>
        </w:rPr>
      </w:pPr>
      <w:r w:rsidRPr="000F0A6E">
        <w:rPr>
          <w:rStyle w:val="Refdenotaalpie"/>
          <w:rFonts w:eastAsia="Calibri"/>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3" w:history="1">
        <w:r w:rsidRPr="007D0948">
          <w:rPr>
            <w:rStyle w:val="Hipervnculo"/>
            <w:sz w:val="18"/>
            <w:szCs w:val="18"/>
          </w:rPr>
          <w:t>https://sjf.scjn.gob.mx/sjfsist/Paginas/DetalleGeneralV2.aspx?ID=1000830&amp;Clase=DetalleTesisBL&amp;Semanario=0</w:t>
        </w:r>
      </w:hyperlink>
      <w:r>
        <w:rPr>
          <w:sz w:val="18"/>
          <w:szCs w:val="18"/>
        </w:rPr>
        <w:t xml:space="preserve"> </w:t>
      </w:r>
      <w:r>
        <w:rPr>
          <w:sz w:val="18"/>
          <w:szCs w:val="18"/>
          <w:u w:val="single"/>
        </w:rPr>
        <w:t>.</w:t>
      </w:r>
    </w:p>
    <w:p w14:paraId="75CAF32C" w14:textId="77777777" w:rsidR="002D4781" w:rsidRPr="000F0A6E" w:rsidRDefault="002D4781" w:rsidP="009C4A60">
      <w:pPr>
        <w:pStyle w:val="Textonotapie"/>
        <w:jc w:val="both"/>
        <w:rPr>
          <w:sz w:val="18"/>
          <w:szCs w:val="18"/>
          <w:u w:val="singl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DF38E" w14:textId="77777777" w:rsidR="002D4781" w:rsidRDefault="0043738A">
    <w:pPr>
      <w:pStyle w:val="Encabezado"/>
    </w:pPr>
    <w:r>
      <w:rPr>
        <w:noProof/>
        <w:lang w:val="es-MX" w:eastAsia="es-MX"/>
      </w:rPr>
      <w:pict w14:anchorId="78FCE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5" type="#_x0000_t75" style="position:absolute;left:0;text-align:left;margin-left:0;margin-top:0;width:609.4pt;height:793.75pt;z-index:-251658752;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D4781" w:rsidRPr="00B17577" w14:paraId="1A427CBA" w14:textId="77777777" w:rsidTr="00C37348">
      <w:trPr>
        <w:trHeight w:val="227"/>
      </w:trPr>
      <w:tc>
        <w:tcPr>
          <w:tcW w:w="5103" w:type="dxa"/>
          <w:hideMark/>
        </w:tcPr>
        <w:p w14:paraId="390D0D75" w14:textId="77777777" w:rsidR="002D4781" w:rsidRPr="00F70BDE" w:rsidRDefault="002D4781" w:rsidP="00C37348">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44CA26E2" w14:textId="6E9F0BA8" w:rsidR="002D4781" w:rsidRPr="00F70BDE" w:rsidRDefault="002D4781" w:rsidP="00C63B3F">
          <w:pPr>
            <w:spacing w:after="120" w:line="240" w:lineRule="auto"/>
            <w:ind w:right="71"/>
            <w:jc w:val="right"/>
            <w:rPr>
              <w:rFonts w:ascii="Palatino Linotype" w:hAnsi="Palatino Linotype" w:cs="Arial"/>
              <w:b/>
              <w:sz w:val="24"/>
              <w:szCs w:val="24"/>
            </w:rPr>
          </w:pPr>
          <w:r w:rsidRPr="00F70BDE">
            <w:rPr>
              <w:rFonts w:ascii="Palatino Linotype" w:hAnsi="Palatino Linotype" w:cs="Arial"/>
              <w:b/>
              <w:bCs/>
              <w:sz w:val="24"/>
              <w:szCs w:val="24"/>
            </w:rPr>
            <w:t>0</w:t>
          </w:r>
          <w:r>
            <w:rPr>
              <w:rFonts w:ascii="Palatino Linotype" w:hAnsi="Palatino Linotype" w:cs="Arial"/>
              <w:b/>
              <w:bCs/>
              <w:sz w:val="24"/>
              <w:szCs w:val="24"/>
            </w:rPr>
            <w:t>2680/INFOEM/IP/RR/2025</w:t>
          </w:r>
        </w:p>
      </w:tc>
    </w:tr>
    <w:tr w:rsidR="002D4781" w14:paraId="6E16985D" w14:textId="77777777" w:rsidTr="00C37348">
      <w:trPr>
        <w:trHeight w:val="242"/>
      </w:trPr>
      <w:tc>
        <w:tcPr>
          <w:tcW w:w="5103" w:type="dxa"/>
          <w:hideMark/>
        </w:tcPr>
        <w:p w14:paraId="03B7B022" w14:textId="77777777" w:rsidR="002D4781" w:rsidRPr="00F70BDE" w:rsidRDefault="002D4781" w:rsidP="00C37348">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38ECC38C" w14:textId="1F4F8FAC" w:rsidR="002D4781" w:rsidRPr="00F70BDE" w:rsidRDefault="002D4781" w:rsidP="00394BFF">
          <w:pPr>
            <w:spacing w:after="120" w:line="240" w:lineRule="auto"/>
            <w:ind w:left="-81" w:right="71"/>
            <w:jc w:val="right"/>
            <w:rPr>
              <w:rFonts w:ascii="Palatino Linotype" w:hAnsi="Palatino Linotype" w:cs="Arial"/>
              <w:sz w:val="24"/>
              <w:szCs w:val="24"/>
            </w:rPr>
          </w:pPr>
          <w:r w:rsidRPr="00C63B3F">
            <w:rPr>
              <w:rFonts w:ascii="Palatino Linotype" w:hAnsi="Palatino Linotype"/>
              <w:b/>
              <w:bCs/>
              <w:color w:val="000000"/>
              <w:sz w:val="24"/>
              <w:szCs w:val="24"/>
            </w:rPr>
            <w:t xml:space="preserve">Ayuntamiento de </w:t>
          </w:r>
          <w:r w:rsidRPr="00EB2193">
            <w:rPr>
              <w:rFonts w:ascii="Palatino Linotype" w:hAnsi="Palatino Linotype"/>
              <w:b/>
              <w:bCs/>
              <w:color w:val="000000"/>
              <w:sz w:val="24"/>
              <w:szCs w:val="24"/>
            </w:rPr>
            <w:t>Huehuetoca</w:t>
          </w:r>
        </w:p>
      </w:tc>
    </w:tr>
    <w:tr w:rsidR="002D4781" w:rsidRPr="00F63239" w14:paraId="09B55395" w14:textId="77777777" w:rsidTr="00C37348">
      <w:trPr>
        <w:trHeight w:val="342"/>
      </w:trPr>
      <w:tc>
        <w:tcPr>
          <w:tcW w:w="5103" w:type="dxa"/>
          <w:hideMark/>
        </w:tcPr>
        <w:p w14:paraId="73E02510" w14:textId="77777777" w:rsidR="002D4781" w:rsidRPr="00F70BDE" w:rsidRDefault="002D4781" w:rsidP="00C37348">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78FACB9F" w14:textId="77777777" w:rsidR="002D4781" w:rsidRPr="00F70BDE" w:rsidRDefault="002D4781" w:rsidP="00C37348">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14:paraId="486299DB" w14:textId="77777777" w:rsidR="002D4781" w:rsidRPr="00F70BDE" w:rsidRDefault="002D4781" w:rsidP="00C37348">
          <w:pPr>
            <w:spacing w:after="120" w:line="240" w:lineRule="auto"/>
            <w:ind w:left="-486" w:right="71" w:firstLine="567"/>
            <w:jc w:val="right"/>
            <w:rPr>
              <w:rFonts w:ascii="Palatino Linotype" w:hAnsi="Palatino Linotype" w:cs="Arial"/>
              <w:sz w:val="24"/>
              <w:szCs w:val="24"/>
            </w:rPr>
          </w:pPr>
        </w:p>
      </w:tc>
    </w:tr>
  </w:tbl>
  <w:p w14:paraId="0C54399F" w14:textId="77777777" w:rsidR="002D4781" w:rsidRPr="00871A91" w:rsidRDefault="0043738A">
    <w:pPr>
      <w:pStyle w:val="Encabezado"/>
      <w:rPr>
        <w:sz w:val="2"/>
      </w:rPr>
    </w:pPr>
    <w:r>
      <w:rPr>
        <w:noProof/>
        <w:lang w:val="es-MX" w:eastAsia="es-MX"/>
      </w:rPr>
      <w:pict w14:anchorId="18C85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style="position:absolute;left:0;text-align:left;margin-left:-81.55pt;margin-top:-142.95pt;width:609.4pt;height:793.75pt;z-index:-251657728;mso-wrap-edited:f;mso-position-horizontal-relative:margin;mso-position-vertical-relative:margin" o:allowincell="f">
          <v:imagedata r:id="rId1" o:title=""/>
          <w10:wrap anchorx="margin" anchory="margin"/>
        </v:shape>
      </w:pict>
    </w:r>
    <w:r w:rsidR="002D4781">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D4781" w:rsidRPr="00F70BDE" w14:paraId="2D609BD5" w14:textId="77777777" w:rsidTr="00C37348">
      <w:trPr>
        <w:trHeight w:val="227"/>
      </w:trPr>
      <w:tc>
        <w:tcPr>
          <w:tcW w:w="5103" w:type="dxa"/>
          <w:hideMark/>
        </w:tcPr>
        <w:p w14:paraId="070A637D" w14:textId="77777777" w:rsidR="002D4781" w:rsidRPr="00F70BDE" w:rsidRDefault="002D4781" w:rsidP="00C3734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349759E6" w14:textId="09B717B8" w:rsidR="002D4781" w:rsidRPr="00F70BDE" w:rsidRDefault="002D4781" w:rsidP="00C63B3F">
          <w:pPr>
            <w:spacing w:after="120" w:line="240" w:lineRule="auto"/>
            <w:ind w:left="-486" w:right="68" w:firstLine="558"/>
            <w:jc w:val="right"/>
            <w:rPr>
              <w:rFonts w:ascii="Palatino Linotype" w:hAnsi="Palatino Linotype" w:cs="Arial"/>
              <w:b/>
              <w:bCs/>
              <w:sz w:val="24"/>
              <w:szCs w:val="24"/>
            </w:rPr>
          </w:pPr>
          <w:r w:rsidRPr="00F70BDE">
            <w:rPr>
              <w:rFonts w:ascii="Palatino Linotype" w:hAnsi="Palatino Linotype" w:cs="Arial"/>
              <w:b/>
              <w:bCs/>
              <w:sz w:val="24"/>
              <w:szCs w:val="24"/>
            </w:rPr>
            <w:t>0</w:t>
          </w:r>
          <w:r>
            <w:rPr>
              <w:rFonts w:ascii="Palatino Linotype" w:hAnsi="Palatino Linotype" w:cs="Arial"/>
              <w:b/>
              <w:bCs/>
              <w:sz w:val="24"/>
              <w:szCs w:val="24"/>
            </w:rPr>
            <w:t>2680/INFOEM/IP/RR/2025</w:t>
          </w:r>
        </w:p>
      </w:tc>
    </w:tr>
    <w:tr w:rsidR="002D4781" w:rsidRPr="00F70BDE" w14:paraId="4B4636FB" w14:textId="77777777" w:rsidTr="00C37348">
      <w:trPr>
        <w:trHeight w:val="227"/>
      </w:trPr>
      <w:tc>
        <w:tcPr>
          <w:tcW w:w="5103" w:type="dxa"/>
        </w:tcPr>
        <w:p w14:paraId="6E46F498" w14:textId="77777777" w:rsidR="002D4781" w:rsidRPr="00F70BDE" w:rsidRDefault="002D4781" w:rsidP="00C3734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33227098" w14:textId="3F48E0D7" w:rsidR="002D4781" w:rsidRPr="00893BF2" w:rsidRDefault="0043738A" w:rsidP="00893BF2">
          <w:pPr>
            <w:jc w:val="right"/>
            <w:rPr>
              <w:rFonts w:ascii="Palatino Linotype" w:hAnsi="Palatino Linotype"/>
              <w:sz w:val="24"/>
              <w:szCs w:val="24"/>
            </w:rPr>
          </w:pPr>
          <w:r>
            <w:rPr>
              <w:rFonts w:ascii="Palatino Linotype" w:hAnsi="Palatino Linotype"/>
              <w:sz w:val="24"/>
              <w:szCs w:val="24"/>
            </w:rPr>
            <w:t>XXXX</w:t>
          </w:r>
        </w:p>
      </w:tc>
    </w:tr>
    <w:tr w:rsidR="002D4781" w:rsidRPr="00F70BDE" w14:paraId="45808255" w14:textId="77777777" w:rsidTr="00C37348">
      <w:trPr>
        <w:trHeight w:val="242"/>
      </w:trPr>
      <w:tc>
        <w:tcPr>
          <w:tcW w:w="5103" w:type="dxa"/>
          <w:hideMark/>
        </w:tcPr>
        <w:p w14:paraId="5FB82B20" w14:textId="77777777" w:rsidR="002D4781" w:rsidRPr="00F70BDE" w:rsidRDefault="002D4781" w:rsidP="00C3734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375B52B4" w14:textId="62AD04FB" w:rsidR="002D4781" w:rsidRPr="00394BFF" w:rsidRDefault="002D4781" w:rsidP="00C63B3F">
          <w:pPr>
            <w:spacing w:after="120" w:line="240" w:lineRule="auto"/>
            <w:ind w:left="-70" w:right="68"/>
            <w:jc w:val="right"/>
            <w:rPr>
              <w:rFonts w:ascii="Palatino Linotype" w:hAnsi="Palatino Linotype" w:cs="Arial"/>
              <w:sz w:val="24"/>
              <w:szCs w:val="24"/>
            </w:rPr>
          </w:pPr>
          <w:r w:rsidRPr="00394BFF">
            <w:rPr>
              <w:rFonts w:ascii="Palatino Linotype" w:hAnsi="Palatino Linotype"/>
              <w:b/>
              <w:bCs/>
              <w:color w:val="000000"/>
              <w:sz w:val="24"/>
              <w:szCs w:val="24"/>
            </w:rPr>
            <w:t xml:space="preserve">Ayuntamiento de </w:t>
          </w:r>
          <w:r w:rsidRPr="00EB2193">
            <w:rPr>
              <w:rFonts w:ascii="Palatino Linotype" w:hAnsi="Palatino Linotype"/>
              <w:b/>
              <w:bCs/>
              <w:color w:val="000000"/>
              <w:sz w:val="24"/>
              <w:szCs w:val="24"/>
            </w:rPr>
            <w:t>Huehuetoca</w:t>
          </w:r>
        </w:p>
      </w:tc>
    </w:tr>
    <w:tr w:rsidR="002D4781" w:rsidRPr="00F70BDE" w14:paraId="6822ED1B" w14:textId="77777777" w:rsidTr="00C37348">
      <w:trPr>
        <w:trHeight w:val="342"/>
      </w:trPr>
      <w:tc>
        <w:tcPr>
          <w:tcW w:w="5103" w:type="dxa"/>
          <w:hideMark/>
        </w:tcPr>
        <w:p w14:paraId="6E14C088" w14:textId="77777777" w:rsidR="002D4781" w:rsidRPr="00F70BDE" w:rsidRDefault="002D4781" w:rsidP="00C37348">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2D2B1074" w14:textId="77777777" w:rsidR="002D4781" w:rsidRPr="00F70BDE" w:rsidRDefault="002D4781" w:rsidP="00C37348">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14:paraId="1EEF2324" w14:textId="77777777" w:rsidR="002D4781" w:rsidRPr="00871A91" w:rsidRDefault="002D4781">
    <w:pPr>
      <w:pStyle w:val="Encabezado"/>
      <w:rPr>
        <w:sz w:val="2"/>
      </w:rPr>
    </w:pPr>
    <w:r>
      <w:rPr>
        <w:noProof/>
        <w:lang w:val="es-MX" w:eastAsia="es-MX"/>
      </w:rPr>
      <w:drawing>
        <wp:anchor distT="0" distB="0" distL="114300" distR="114300" simplePos="0" relativeHeight="251656704" behindDoc="1" locked="0" layoutInCell="0" allowOverlap="1" wp14:anchorId="57F24093" wp14:editId="6DE45FB6">
          <wp:simplePos x="0" y="0"/>
          <wp:positionH relativeFrom="margin">
            <wp:posOffset>-1029970</wp:posOffset>
          </wp:positionH>
          <wp:positionV relativeFrom="margin">
            <wp:posOffset>-1807845</wp:posOffset>
          </wp:positionV>
          <wp:extent cx="7739380" cy="10080625"/>
          <wp:effectExtent l="0" t="0" r="0" b="0"/>
          <wp:wrapNone/>
          <wp:docPr id="4" name="Imagen 4"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985C961"/>
    <w:multiLevelType w:val="hybridMultilevel"/>
    <w:tmpl w:val="6F01DC4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9E56AA"/>
    <w:multiLevelType w:val="hybridMultilevel"/>
    <w:tmpl w:val="FD206FCE"/>
    <w:lvl w:ilvl="0" w:tplc="442A8E6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3104513"/>
    <w:multiLevelType w:val="hybridMultilevel"/>
    <w:tmpl w:val="0EDED762"/>
    <w:lvl w:ilvl="0" w:tplc="166EED58">
      <w:numFmt w:val="bullet"/>
      <w:lvlText w:val=""/>
      <w:lvlJc w:val="left"/>
      <w:pPr>
        <w:ind w:left="720" w:hanging="360"/>
      </w:pPr>
      <w:rPr>
        <w:rFonts w:ascii="Symbol" w:eastAsia="Times New Roman"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73795D"/>
    <w:multiLevelType w:val="hybridMultilevel"/>
    <w:tmpl w:val="47FE64C2"/>
    <w:lvl w:ilvl="0" w:tplc="74C8C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6C3165"/>
    <w:multiLevelType w:val="hybridMultilevel"/>
    <w:tmpl w:val="780E3958"/>
    <w:lvl w:ilvl="0" w:tplc="A65A7386">
      <w:start w:val="5"/>
      <w:numFmt w:val="bullet"/>
      <w:lvlText w:val="-"/>
      <w:lvlJc w:val="left"/>
      <w:pPr>
        <w:ind w:left="720" w:hanging="360"/>
      </w:pPr>
      <w:rPr>
        <w:rFonts w:ascii="Palatino Linotype" w:eastAsiaTheme="minorHAnsi" w:hAnsi="Palatino Linotype"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7714D3E"/>
    <w:multiLevelType w:val="hybridMultilevel"/>
    <w:tmpl w:val="2030473E"/>
    <w:lvl w:ilvl="0" w:tplc="F6C472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F453674"/>
    <w:multiLevelType w:val="hybridMultilevel"/>
    <w:tmpl w:val="FD5A2DB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2"/>
  </w:num>
  <w:num w:numId="2">
    <w:abstractNumId w:val="8"/>
  </w:num>
  <w:num w:numId="3">
    <w:abstractNumId w:val="1"/>
  </w:num>
  <w:num w:numId="4">
    <w:abstractNumId w:val="6"/>
  </w:num>
  <w:num w:numId="5">
    <w:abstractNumId w:val="0"/>
  </w:num>
  <w:num w:numId="6">
    <w:abstractNumId w:val="4"/>
  </w:num>
  <w:num w:numId="7">
    <w:abstractNumId w:val="7"/>
  </w:num>
  <w:num w:numId="8">
    <w:abstractNumId w:val="3"/>
  </w:num>
  <w:num w:numId="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6EF"/>
    <w:rsid w:val="00000057"/>
    <w:rsid w:val="00000BE7"/>
    <w:rsid w:val="00001378"/>
    <w:rsid w:val="0000436C"/>
    <w:rsid w:val="00004AC6"/>
    <w:rsid w:val="00006463"/>
    <w:rsid w:val="0000689A"/>
    <w:rsid w:val="00006A5C"/>
    <w:rsid w:val="00006E13"/>
    <w:rsid w:val="00007F7A"/>
    <w:rsid w:val="0001461E"/>
    <w:rsid w:val="00015212"/>
    <w:rsid w:val="00015B53"/>
    <w:rsid w:val="00020113"/>
    <w:rsid w:val="0002103F"/>
    <w:rsid w:val="00024851"/>
    <w:rsid w:val="000271DE"/>
    <w:rsid w:val="00030449"/>
    <w:rsid w:val="000305B5"/>
    <w:rsid w:val="0003176E"/>
    <w:rsid w:val="00034E2D"/>
    <w:rsid w:val="00035DA0"/>
    <w:rsid w:val="00036020"/>
    <w:rsid w:val="00036F5C"/>
    <w:rsid w:val="00037F49"/>
    <w:rsid w:val="00040F7E"/>
    <w:rsid w:val="00043A69"/>
    <w:rsid w:val="000442C1"/>
    <w:rsid w:val="0004659E"/>
    <w:rsid w:val="00050574"/>
    <w:rsid w:val="00052C0D"/>
    <w:rsid w:val="000570B8"/>
    <w:rsid w:val="0006063E"/>
    <w:rsid w:val="00063F61"/>
    <w:rsid w:val="000671CF"/>
    <w:rsid w:val="00075089"/>
    <w:rsid w:val="0007661C"/>
    <w:rsid w:val="0008053A"/>
    <w:rsid w:val="0008167E"/>
    <w:rsid w:val="00081A8D"/>
    <w:rsid w:val="00083A55"/>
    <w:rsid w:val="00087541"/>
    <w:rsid w:val="00091511"/>
    <w:rsid w:val="00092299"/>
    <w:rsid w:val="0009322C"/>
    <w:rsid w:val="00093CD2"/>
    <w:rsid w:val="0009416C"/>
    <w:rsid w:val="000949EA"/>
    <w:rsid w:val="00095EAC"/>
    <w:rsid w:val="000961B1"/>
    <w:rsid w:val="000A7142"/>
    <w:rsid w:val="000A7626"/>
    <w:rsid w:val="000B122F"/>
    <w:rsid w:val="000B5D89"/>
    <w:rsid w:val="000B6A7A"/>
    <w:rsid w:val="000C1FF8"/>
    <w:rsid w:val="000C20E7"/>
    <w:rsid w:val="000C3263"/>
    <w:rsid w:val="000D1D97"/>
    <w:rsid w:val="000D4AFA"/>
    <w:rsid w:val="000D6082"/>
    <w:rsid w:val="000D6953"/>
    <w:rsid w:val="000E6B51"/>
    <w:rsid w:val="000F2C4B"/>
    <w:rsid w:val="000F6C50"/>
    <w:rsid w:val="000F7C19"/>
    <w:rsid w:val="000F7C4A"/>
    <w:rsid w:val="00100528"/>
    <w:rsid w:val="00100B61"/>
    <w:rsid w:val="00103461"/>
    <w:rsid w:val="00107171"/>
    <w:rsid w:val="001113C8"/>
    <w:rsid w:val="00114F6E"/>
    <w:rsid w:val="0012462B"/>
    <w:rsid w:val="00127FAF"/>
    <w:rsid w:val="00130BC9"/>
    <w:rsid w:val="00133BD8"/>
    <w:rsid w:val="00134846"/>
    <w:rsid w:val="00136B1C"/>
    <w:rsid w:val="001403F6"/>
    <w:rsid w:val="00142FAA"/>
    <w:rsid w:val="00146EF7"/>
    <w:rsid w:val="001471E0"/>
    <w:rsid w:val="00153066"/>
    <w:rsid w:val="0015478F"/>
    <w:rsid w:val="00155FA3"/>
    <w:rsid w:val="0015656E"/>
    <w:rsid w:val="00160685"/>
    <w:rsid w:val="00162CEF"/>
    <w:rsid w:val="001772B6"/>
    <w:rsid w:val="0018021C"/>
    <w:rsid w:val="00183EAE"/>
    <w:rsid w:val="00185C98"/>
    <w:rsid w:val="00186E1B"/>
    <w:rsid w:val="001904BB"/>
    <w:rsid w:val="00190A05"/>
    <w:rsid w:val="00191065"/>
    <w:rsid w:val="00191433"/>
    <w:rsid w:val="001924EB"/>
    <w:rsid w:val="001A1E38"/>
    <w:rsid w:val="001A2F9C"/>
    <w:rsid w:val="001A3321"/>
    <w:rsid w:val="001A33DB"/>
    <w:rsid w:val="001A51EF"/>
    <w:rsid w:val="001A6582"/>
    <w:rsid w:val="001A75DE"/>
    <w:rsid w:val="001B5679"/>
    <w:rsid w:val="001C3978"/>
    <w:rsid w:val="001C6BDD"/>
    <w:rsid w:val="001D1E3A"/>
    <w:rsid w:val="001D4962"/>
    <w:rsid w:val="001D70EC"/>
    <w:rsid w:val="001E24E2"/>
    <w:rsid w:val="001E4153"/>
    <w:rsid w:val="001E52BD"/>
    <w:rsid w:val="001E6341"/>
    <w:rsid w:val="001E6BAF"/>
    <w:rsid w:val="001E714F"/>
    <w:rsid w:val="001F03A5"/>
    <w:rsid w:val="001F1AA0"/>
    <w:rsid w:val="001F35F0"/>
    <w:rsid w:val="001F6F1A"/>
    <w:rsid w:val="001F72FC"/>
    <w:rsid w:val="002005BA"/>
    <w:rsid w:val="0020107E"/>
    <w:rsid w:val="002063CA"/>
    <w:rsid w:val="00207600"/>
    <w:rsid w:val="00212407"/>
    <w:rsid w:val="00212E73"/>
    <w:rsid w:val="002131A4"/>
    <w:rsid w:val="002139B5"/>
    <w:rsid w:val="00215BF1"/>
    <w:rsid w:val="00220285"/>
    <w:rsid w:val="00222B8C"/>
    <w:rsid w:val="00227418"/>
    <w:rsid w:val="00230F1A"/>
    <w:rsid w:val="00233118"/>
    <w:rsid w:val="0023633F"/>
    <w:rsid w:val="0023671B"/>
    <w:rsid w:val="00236C70"/>
    <w:rsid w:val="00237095"/>
    <w:rsid w:val="0023768A"/>
    <w:rsid w:val="0024068D"/>
    <w:rsid w:val="00241A12"/>
    <w:rsid w:val="00244283"/>
    <w:rsid w:val="002445BC"/>
    <w:rsid w:val="002575C0"/>
    <w:rsid w:val="0026359D"/>
    <w:rsid w:val="002636E4"/>
    <w:rsid w:val="0026535D"/>
    <w:rsid w:val="00265619"/>
    <w:rsid w:val="0027179F"/>
    <w:rsid w:val="002722A2"/>
    <w:rsid w:val="0027253F"/>
    <w:rsid w:val="002778D1"/>
    <w:rsid w:val="0028296D"/>
    <w:rsid w:val="00282AF9"/>
    <w:rsid w:val="00283164"/>
    <w:rsid w:val="00292834"/>
    <w:rsid w:val="002946BF"/>
    <w:rsid w:val="00295831"/>
    <w:rsid w:val="002A67B6"/>
    <w:rsid w:val="002B0B11"/>
    <w:rsid w:val="002B1EF8"/>
    <w:rsid w:val="002B36DA"/>
    <w:rsid w:val="002B6C4C"/>
    <w:rsid w:val="002C25D1"/>
    <w:rsid w:val="002C307A"/>
    <w:rsid w:val="002C3614"/>
    <w:rsid w:val="002C3F76"/>
    <w:rsid w:val="002C45D2"/>
    <w:rsid w:val="002C5BC8"/>
    <w:rsid w:val="002C627F"/>
    <w:rsid w:val="002C6F16"/>
    <w:rsid w:val="002D1B75"/>
    <w:rsid w:val="002D350B"/>
    <w:rsid w:val="002D3912"/>
    <w:rsid w:val="002D4781"/>
    <w:rsid w:val="002D5C85"/>
    <w:rsid w:val="002D6158"/>
    <w:rsid w:val="002D6E90"/>
    <w:rsid w:val="002D6FA4"/>
    <w:rsid w:val="002E1533"/>
    <w:rsid w:val="002E27B4"/>
    <w:rsid w:val="002E4532"/>
    <w:rsid w:val="002E5A91"/>
    <w:rsid w:val="002F18EE"/>
    <w:rsid w:val="002F2D13"/>
    <w:rsid w:val="002F56E3"/>
    <w:rsid w:val="002F76D4"/>
    <w:rsid w:val="00302AC0"/>
    <w:rsid w:val="0030607E"/>
    <w:rsid w:val="0030613D"/>
    <w:rsid w:val="00311F4A"/>
    <w:rsid w:val="003127B3"/>
    <w:rsid w:val="003127F7"/>
    <w:rsid w:val="00315CA3"/>
    <w:rsid w:val="00315E2D"/>
    <w:rsid w:val="003205CA"/>
    <w:rsid w:val="00320647"/>
    <w:rsid w:val="00320FAC"/>
    <w:rsid w:val="0032637D"/>
    <w:rsid w:val="003269A6"/>
    <w:rsid w:val="0032700A"/>
    <w:rsid w:val="00327628"/>
    <w:rsid w:val="003313E6"/>
    <w:rsid w:val="00332E9A"/>
    <w:rsid w:val="003342DB"/>
    <w:rsid w:val="00340A00"/>
    <w:rsid w:val="0034119A"/>
    <w:rsid w:val="003432AE"/>
    <w:rsid w:val="003501AA"/>
    <w:rsid w:val="00350827"/>
    <w:rsid w:val="0035629F"/>
    <w:rsid w:val="00357FDF"/>
    <w:rsid w:val="00364D3A"/>
    <w:rsid w:val="00366A10"/>
    <w:rsid w:val="00370B25"/>
    <w:rsid w:val="0037119C"/>
    <w:rsid w:val="00375584"/>
    <w:rsid w:val="00376809"/>
    <w:rsid w:val="00381837"/>
    <w:rsid w:val="00382EBB"/>
    <w:rsid w:val="0038417E"/>
    <w:rsid w:val="003843F0"/>
    <w:rsid w:val="00385F2B"/>
    <w:rsid w:val="003923AE"/>
    <w:rsid w:val="003925CF"/>
    <w:rsid w:val="00394063"/>
    <w:rsid w:val="00394BFF"/>
    <w:rsid w:val="003A25CF"/>
    <w:rsid w:val="003A3659"/>
    <w:rsid w:val="003A4066"/>
    <w:rsid w:val="003A490D"/>
    <w:rsid w:val="003A4DF5"/>
    <w:rsid w:val="003A63B4"/>
    <w:rsid w:val="003A7183"/>
    <w:rsid w:val="003B0A08"/>
    <w:rsid w:val="003B2F74"/>
    <w:rsid w:val="003B433D"/>
    <w:rsid w:val="003C02FB"/>
    <w:rsid w:val="003C0408"/>
    <w:rsid w:val="003C2A5B"/>
    <w:rsid w:val="003C2B2B"/>
    <w:rsid w:val="003C3D64"/>
    <w:rsid w:val="003C53B2"/>
    <w:rsid w:val="003C6E7A"/>
    <w:rsid w:val="003D0F04"/>
    <w:rsid w:val="003D4C3F"/>
    <w:rsid w:val="003D60C5"/>
    <w:rsid w:val="003D6ABC"/>
    <w:rsid w:val="003D7594"/>
    <w:rsid w:val="003E2818"/>
    <w:rsid w:val="003E2B4C"/>
    <w:rsid w:val="003E48CB"/>
    <w:rsid w:val="003E673B"/>
    <w:rsid w:val="003E6CC7"/>
    <w:rsid w:val="003F21A2"/>
    <w:rsid w:val="003F510F"/>
    <w:rsid w:val="003F6131"/>
    <w:rsid w:val="003F6482"/>
    <w:rsid w:val="00400AD2"/>
    <w:rsid w:val="00401983"/>
    <w:rsid w:val="00401D9A"/>
    <w:rsid w:val="00403CD2"/>
    <w:rsid w:val="004076A4"/>
    <w:rsid w:val="00411BDA"/>
    <w:rsid w:val="00412B90"/>
    <w:rsid w:val="00413F1F"/>
    <w:rsid w:val="00413F75"/>
    <w:rsid w:val="00414EC7"/>
    <w:rsid w:val="004154A6"/>
    <w:rsid w:val="00416F82"/>
    <w:rsid w:val="00417DC7"/>
    <w:rsid w:val="00421AB2"/>
    <w:rsid w:val="00423483"/>
    <w:rsid w:val="00424456"/>
    <w:rsid w:val="0042448F"/>
    <w:rsid w:val="00424C52"/>
    <w:rsid w:val="0042716B"/>
    <w:rsid w:val="00427810"/>
    <w:rsid w:val="00435F6C"/>
    <w:rsid w:val="0043738A"/>
    <w:rsid w:val="00441E84"/>
    <w:rsid w:val="00443AAA"/>
    <w:rsid w:val="00445F58"/>
    <w:rsid w:val="004470EA"/>
    <w:rsid w:val="0046334A"/>
    <w:rsid w:val="004654E7"/>
    <w:rsid w:val="00465788"/>
    <w:rsid w:val="00470372"/>
    <w:rsid w:val="00470843"/>
    <w:rsid w:val="004755AB"/>
    <w:rsid w:val="0047761A"/>
    <w:rsid w:val="00477B01"/>
    <w:rsid w:val="00483AA4"/>
    <w:rsid w:val="00484932"/>
    <w:rsid w:val="00484FEA"/>
    <w:rsid w:val="0048595F"/>
    <w:rsid w:val="00486420"/>
    <w:rsid w:val="00490C3B"/>
    <w:rsid w:val="00491AA5"/>
    <w:rsid w:val="00496017"/>
    <w:rsid w:val="004A33C9"/>
    <w:rsid w:val="004A33FA"/>
    <w:rsid w:val="004A6B47"/>
    <w:rsid w:val="004B1E9A"/>
    <w:rsid w:val="004B38BA"/>
    <w:rsid w:val="004C3540"/>
    <w:rsid w:val="004C52CE"/>
    <w:rsid w:val="004C77D8"/>
    <w:rsid w:val="004D230D"/>
    <w:rsid w:val="004D4CB8"/>
    <w:rsid w:val="004D5905"/>
    <w:rsid w:val="004E1535"/>
    <w:rsid w:val="004E4E5D"/>
    <w:rsid w:val="004E5D59"/>
    <w:rsid w:val="004F3F50"/>
    <w:rsid w:val="004F64F9"/>
    <w:rsid w:val="00501CDB"/>
    <w:rsid w:val="005021D8"/>
    <w:rsid w:val="0050307A"/>
    <w:rsid w:val="00504486"/>
    <w:rsid w:val="00504F69"/>
    <w:rsid w:val="00504FE8"/>
    <w:rsid w:val="00511E2F"/>
    <w:rsid w:val="0051296C"/>
    <w:rsid w:val="00522606"/>
    <w:rsid w:val="00523806"/>
    <w:rsid w:val="005249CC"/>
    <w:rsid w:val="00524DEA"/>
    <w:rsid w:val="00531E8F"/>
    <w:rsid w:val="00533F42"/>
    <w:rsid w:val="00534334"/>
    <w:rsid w:val="005347AD"/>
    <w:rsid w:val="0054701A"/>
    <w:rsid w:val="00550761"/>
    <w:rsid w:val="00550DB6"/>
    <w:rsid w:val="005569DB"/>
    <w:rsid w:val="00564F65"/>
    <w:rsid w:val="00566ED7"/>
    <w:rsid w:val="005863FB"/>
    <w:rsid w:val="00590E29"/>
    <w:rsid w:val="0059103F"/>
    <w:rsid w:val="005932CA"/>
    <w:rsid w:val="00597357"/>
    <w:rsid w:val="005A2599"/>
    <w:rsid w:val="005A2D6E"/>
    <w:rsid w:val="005A5474"/>
    <w:rsid w:val="005A790F"/>
    <w:rsid w:val="005B6230"/>
    <w:rsid w:val="005B6DE4"/>
    <w:rsid w:val="005C06F0"/>
    <w:rsid w:val="005D0A5A"/>
    <w:rsid w:val="005D5330"/>
    <w:rsid w:val="005D6277"/>
    <w:rsid w:val="005E0345"/>
    <w:rsid w:val="005E1878"/>
    <w:rsid w:val="005E1896"/>
    <w:rsid w:val="005E41A3"/>
    <w:rsid w:val="00604EBB"/>
    <w:rsid w:val="00605F6C"/>
    <w:rsid w:val="00620F71"/>
    <w:rsid w:val="00623FE9"/>
    <w:rsid w:val="006251B6"/>
    <w:rsid w:val="006276E9"/>
    <w:rsid w:val="00633048"/>
    <w:rsid w:val="006344CA"/>
    <w:rsid w:val="00634982"/>
    <w:rsid w:val="006357F6"/>
    <w:rsid w:val="00642373"/>
    <w:rsid w:val="0064281B"/>
    <w:rsid w:val="0064304F"/>
    <w:rsid w:val="006436C3"/>
    <w:rsid w:val="00643E30"/>
    <w:rsid w:val="00644831"/>
    <w:rsid w:val="006518E9"/>
    <w:rsid w:val="00654DB1"/>
    <w:rsid w:val="00660E86"/>
    <w:rsid w:val="006612AC"/>
    <w:rsid w:val="00662322"/>
    <w:rsid w:val="0066312D"/>
    <w:rsid w:val="006646D5"/>
    <w:rsid w:val="006663A2"/>
    <w:rsid w:val="00667668"/>
    <w:rsid w:val="00671804"/>
    <w:rsid w:val="00671867"/>
    <w:rsid w:val="00673811"/>
    <w:rsid w:val="0067498B"/>
    <w:rsid w:val="00677765"/>
    <w:rsid w:val="00683EAB"/>
    <w:rsid w:val="00684506"/>
    <w:rsid w:val="00685360"/>
    <w:rsid w:val="006938F5"/>
    <w:rsid w:val="00693CD7"/>
    <w:rsid w:val="0069468E"/>
    <w:rsid w:val="00694893"/>
    <w:rsid w:val="0069505E"/>
    <w:rsid w:val="006A236D"/>
    <w:rsid w:val="006A3A9F"/>
    <w:rsid w:val="006A4D59"/>
    <w:rsid w:val="006A5953"/>
    <w:rsid w:val="006A65E5"/>
    <w:rsid w:val="006A6E36"/>
    <w:rsid w:val="006B1D3C"/>
    <w:rsid w:val="006B265B"/>
    <w:rsid w:val="006B40C4"/>
    <w:rsid w:val="006B51C2"/>
    <w:rsid w:val="006B6D75"/>
    <w:rsid w:val="006C36B0"/>
    <w:rsid w:val="006C4578"/>
    <w:rsid w:val="006D16E8"/>
    <w:rsid w:val="006D6141"/>
    <w:rsid w:val="006D7AAA"/>
    <w:rsid w:val="006E181F"/>
    <w:rsid w:val="006E1E30"/>
    <w:rsid w:val="006E30E6"/>
    <w:rsid w:val="006E508E"/>
    <w:rsid w:val="006F21D0"/>
    <w:rsid w:val="006F2D6F"/>
    <w:rsid w:val="006F35FA"/>
    <w:rsid w:val="006F4532"/>
    <w:rsid w:val="006F5F44"/>
    <w:rsid w:val="006F74F4"/>
    <w:rsid w:val="006F777F"/>
    <w:rsid w:val="006F7D0F"/>
    <w:rsid w:val="00705FAB"/>
    <w:rsid w:val="00706311"/>
    <w:rsid w:val="00711A9E"/>
    <w:rsid w:val="00712933"/>
    <w:rsid w:val="007159C5"/>
    <w:rsid w:val="00715C25"/>
    <w:rsid w:val="00723B32"/>
    <w:rsid w:val="007248AC"/>
    <w:rsid w:val="00725F18"/>
    <w:rsid w:val="00727108"/>
    <w:rsid w:val="00730255"/>
    <w:rsid w:val="007354E6"/>
    <w:rsid w:val="00736137"/>
    <w:rsid w:val="007363BB"/>
    <w:rsid w:val="00736735"/>
    <w:rsid w:val="0074118A"/>
    <w:rsid w:val="00741B9E"/>
    <w:rsid w:val="00742510"/>
    <w:rsid w:val="00746D17"/>
    <w:rsid w:val="00751A08"/>
    <w:rsid w:val="0075366D"/>
    <w:rsid w:val="00757A32"/>
    <w:rsid w:val="00761633"/>
    <w:rsid w:val="00765DCE"/>
    <w:rsid w:val="00772EE3"/>
    <w:rsid w:val="00774CB4"/>
    <w:rsid w:val="00775F80"/>
    <w:rsid w:val="00777B39"/>
    <w:rsid w:val="00780FBE"/>
    <w:rsid w:val="00783A97"/>
    <w:rsid w:val="0078562E"/>
    <w:rsid w:val="00787A53"/>
    <w:rsid w:val="007948C9"/>
    <w:rsid w:val="007952BF"/>
    <w:rsid w:val="007A2B67"/>
    <w:rsid w:val="007A5463"/>
    <w:rsid w:val="007A5813"/>
    <w:rsid w:val="007A5B78"/>
    <w:rsid w:val="007A68F4"/>
    <w:rsid w:val="007B06C3"/>
    <w:rsid w:val="007B2D69"/>
    <w:rsid w:val="007B4ABD"/>
    <w:rsid w:val="007B6731"/>
    <w:rsid w:val="007B7E72"/>
    <w:rsid w:val="007C4AAD"/>
    <w:rsid w:val="007C4D9C"/>
    <w:rsid w:val="007C62BF"/>
    <w:rsid w:val="007C67D5"/>
    <w:rsid w:val="007C6CB8"/>
    <w:rsid w:val="007D1B5A"/>
    <w:rsid w:val="007D2836"/>
    <w:rsid w:val="007D3F5D"/>
    <w:rsid w:val="007D5C5C"/>
    <w:rsid w:val="007D6315"/>
    <w:rsid w:val="007D78D1"/>
    <w:rsid w:val="007E1117"/>
    <w:rsid w:val="007E1227"/>
    <w:rsid w:val="007E1E07"/>
    <w:rsid w:val="007E2374"/>
    <w:rsid w:val="007E27CF"/>
    <w:rsid w:val="007E562D"/>
    <w:rsid w:val="007E5B54"/>
    <w:rsid w:val="007F2112"/>
    <w:rsid w:val="007F7134"/>
    <w:rsid w:val="00801196"/>
    <w:rsid w:val="0080128F"/>
    <w:rsid w:val="00801D44"/>
    <w:rsid w:val="008027F5"/>
    <w:rsid w:val="00802F40"/>
    <w:rsid w:val="0081317B"/>
    <w:rsid w:val="0081334E"/>
    <w:rsid w:val="00814545"/>
    <w:rsid w:val="00817F74"/>
    <w:rsid w:val="00822751"/>
    <w:rsid w:val="0082546C"/>
    <w:rsid w:val="0082614A"/>
    <w:rsid w:val="008274A6"/>
    <w:rsid w:val="00827D80"/>
    <w:rsid w:val="0083011D"/>
    <w:rsid w:val="0083102A"/>
    <w:rsid w:val="008347BC"/>
    <w:rsid w:val="00836D68"/>
    <w:rsid w:val="0084251D"/>
    <w:rsid w:val="00842B5D"/>
    <w:rsid w:val="0084376C"/>
    <w:rsid w:val="00844D5F"/>
    <w:rsid w:val="0084592C"/>
    <w:rsid w:val="008505D9"/>
    <w:rsid w:val="00852251"/>
    <w:rsid w:val="00852AF1"/>
    <w:rsid w:val="00855A10"/>
    <w:rsid w:val="00855C3B"/>
    <w:rsid w:val="008562C9"/>
    <w:rsid w:val="00862FB3"/>
    <w:rsid w:val="008678FD"/>
    <w:rsid w:val="00870B68"/>
    <w:rsid w:val="00874CA6"/>
    <w:rsid w:val="008774B6"/>
    <w:rsid w:val="0087770F"/>
    <w:rsid w:val="00883EE9"/>
    <w:rsid w:val="008849E9"/>
    <w:rsid w:val="00884B6D"/>
    <w:rsid w:val="00887ABD"/>
    <w:rsid w:val="00893BF2"/>
    <w:rsid w:val="00896B8D"/>
    <w:rsid w:val="00897991"/>
    <w:rsid w:val="008A36EF"/>
    <w:rsid w:val="008A46BA"/>
    <w:rsid w:val="008A477B"/>
    <w:rsid w:val="008A560A"/>
    <w:rsid w:val="008A6251"/>
    <w:rsid w:val="008A7999"/>
    <w:rsid w:val="008B030C"/>
    <w:rsid w:val="008B4128"/>
    <w:rsid w:val="008B5304"/>
    <w:rsid w:val="008C37CD"/>
    <w:rsid w:val="008C3D0E"/>
    <w:rsid w:val="008D4749"/>
    <w:rsid w:val="008D5D98"/>
    <w:rsid w:val="008D7876"/>
    <w:rsid w:val="008E34EE"/>
    <w:rsid w:val="008F06BA"/>
    <w:rsid w:val="008F0801"/>
    <w:rsid w:val="008F376B"/>
    <w:rsid w:val="008F4F0F"/>
    <w:rsid w:val="00900BAC"/>
    <w:rsid w:val="00902752"/>
    <w:rsid w:val="009032E4"/>
    <w:rsid w:val="00907A01"/>
    <w:rsid w:val="009107BF"/>
    <w:rsid w:val="009108EE"/>
    <w:rsid w:val="0091181B"/>
    <w:rsid w:val="00913EEB"/>
    <w:rsid w:val="0091451D"/>
    <w:rsid w:val="009164AB"/>
    <w:rsid w:val="009207E7"/>
    <w:rsid w:val="00921F62"/>
    <w:rsid w:val="009251ED"/>
    <w:rsid w:val="00930EBC"/>
    <w:rsid w:val="00931176"/>
    <w:rsid w:val="00931856"/>
    <w:rsid w:val="0093634F"/>
    <w:rsid w:val="00937926"/>
    <w:rsid w:val="00937C17"/>
    <w:rsid w:val="0094153D"/>
    <w:rsid w:val="00951658"/>
    <w:rsid w:val="00951E87"/>
    <w:rsid w:val="0095255B"/>
    <w:rsid w:val="00954B7F"/>
    <w:rsid w:val="00954C96"/>
    <w:rsid w:val="0095679A"/>
    <w:rsid w:val="0096113E"/>
    <w:rsid w:val="009613B8"/>
    <w:rsid w:val="00970141"/>
    <w:rsid w:val="00970F36"/>
    <w:rsid w:val="00972E9D"/>
    <w:rsid w:val="00973068"/>
    <w:rsid w:val="0097455C"/>
    <w:rsid w:val="00974EDC"/>
    <w:rsid w:val="009757BC"/>
    <w:rsid w:val="009811C6"/>
    <w:rsid w:val="00981963"/>
    <w:rsid w:val="00986C0F"/>
    <w:rsid w:val="00993AF5"/>
    <w:rsid w:val="00993EDF"/>
    <w:rsid w:val="00995A0C"/>
    <w:rsid w:val="009A0A2B"/>
    <w:rsid w:val="009A0C21"/>
    <w:rsid w:val="009A1F0E"/>
    <w:rsid w:val="009A5212"/>
    <w:rsid w:val="009B1915"/>
    <w:rsid w:val="009B26E3"/>
    <w:rsid w:val="009B2BFA"/>
    <w:rsid w:val="009B3A03"/>
    <w:rsid w:val="009B487F"/>
    <w:rsid w:val="009C2683"/>
    <w:rsid w:val="009C3217"/>
    <w:rsid w:val="009C4A60"/>
    <w:rsid w:val="009C67D5"/>
    <w:rsid w:val="009C73C4"/>
    <w:rsid w:val="009D3AA9"/>
    <w:rsid w:val="009D6E6A"/>
    <w:rsid w:val="009D72EF"/>
    <w:rsid w:val="009E529A"/>
    <w:rsid w:val="009E5B51"/>
    <w:rsid w:val="009E7B48"/>
    <w:rsid w:val="009F264C"/>
    <w:rsid w:val="009F751A"/>
    <w:rsid w:val="00A04226"/>
    <w:rsid w:val="00A05D76"/>
    <w:rsid w:val="00A060BC"/>
    <w:rsid w:val="00A129E8"/>
    <w:rsid w:val="00A148D9"/>
    <w:rsid w:val="00A15844"/>
    <w:rsid w:val="00A15B53"/>
    <w:rsid w:val="00A202E4"/>
    <w:rsid w:val="00A20DB7"/>
    <w:rsid w:val="00A33794"/>
    <w:rsid w:val="00A3569F"/>
    <w:rsid w:val="00A35842"/>
    <w:rsid w:val="00A35929"/>
    <w:rsid w:val="00A36AB2"/>
    <w:rsid w:val="00A410BF"/>
    <w:rsid w:val="00A4243D"/>
    <w:rsid w:val="00A43663"/>
    <w:rsid w:val="00A51B1F"/>
    <w:rsid w:val="00A520B4"/>
    <w:rsid w:val="00A5270A"/>
    <w:rsid w:val="00A60176"/>
    <w:rsid w:val="00A62850"/>
    <w:rsid w:val="00A6339E"/>
    <w:rsid w:val="00A642B1"/>
    <w:rsid w:val="00A67C3D"/>
    <w:rsid w:val="00A712EC"/>
    <w:rsid w:val="00A75103"/>
    <w:rsid w:val="00A752BC"/>
    <w:rsid w:val="00A832BD"/>
    <w:rsid w:val="00A848E1"/>
    <w:rsid w:val="00A916EF"/>
    <w:rsid w:val="00A938B4"/>
    <w:rsid w:val="00A9431F"/>
    <w:rsid w:val="00A9432E"/>
    <w:rsid w:val="00A94434"/>
    <w:rsid w:val="00A944B4"/>
    <w:rsid w:val="00A95908"/>
    <w:rsid w:val="00A95E0C"/>
    <w:rsid w:val="00AA2841"/>
    <w:rsid w:val="00AA56AA"/>
    <w:rsid w:val="00AA7641"/>
    <w:rsid w:val="00AB2999"/>
    <w:rsid w:val="00AB66D3"/>
    <w:rsid w:val="00AC009F"/>
    <w:rsid w:val="00AC418C"/>
    <w:rsid w:val="00AC4EF9"/>
    <w:rsid w:val="00AC742F"/>
    <w:rsid w:val="00AD2ED3"/>
    <w:rsid w:val="00AD3B6E"/>
    <w:rsid w:val="00AD68A0"/>
    <w:rsid w:val="00AE1173"/>
    <w:rsid w:val="00AE2BFA"/>
    <w:rsid w:val="00AE5BB0"/>
    <w:rsid w:val="00AF0C80"/>
    <w:rsid w:val="00AF114F"/>
    <w:rsid w:val="00AF3C4A"/>
    <w:rsid w:val="00AF5801"/>
    <w:rsid w:val="00AF6D56"/>
    <w:rsid w:val="00B01A54"/>
    <w:rsid w:val="00B01E37"/>
    <w:rsid w:val="00B060E0"/>
    <w:rsid w:val="00B06F0C"/>
    <w:rsid w:val="00B07846"/>
    <w:rsid w:val="00B078FC"/>
    <w:rsid w:val="00B107F1"/>
    <w:rsid w:val="00B1644A"/>
    <w:rsid w:val="00B20C15"/>
    <w:rsid w:val="00B211AF"/>
    <w:rsid w:val="00B245E6"/>
    <w:rsid w:val="00B24734"/>
    <w:rsid w:val="00B2733A"/>
    <w:rsid w:val="00B35C52"/>
    <w:rsid w:val="00B371CB"/>
    <w:rsid w:val="00B4005E"/>
    <w:rsid w:val="00B4227A"/>
    <w:rsid w:val="00B433A1"/>
    <w:rsid w:val="00B449ED"/>
    <w:rsid w:val="00B4660D"/>
    <w:rsid w:val="00B476BF"/>
    <w:rsid w:val="00B47FE6"/>
    <w:rsid w:val="00B523A0"/>
    <w:rsid w:val="00B534CD"/>
    <w:rsid w:val="00B53A87"/>
    <w:rsid w:val="00B56395"/>
    <w:rsid w:val="00B57F09"/>
    <w:rsid w:val="00B61436"/>
    <w:rsid w:val="00B61773"/>
    <w:rsid w:val="00B63229"/>
    <w:rsid w:val="00B6448A"/>
    <w:rsid w:val="00B674F2"/>
    <w:rsid w:val="00B6759A"/>
    <w:rsid w:val="00B710B2"/>
    <w:rsid w:val="00B7304E"/>
    <w:rsid w:val="00B741D4"/>
    <w:rsid w:val="00B759E4"/>
    <w:rsid w:val="00B75C94"/>
    <w:rsid w:val="00B8019F"/>
    <w:rsid w:val="00B82A40"/>
    <w:rsid w:val="00B82F15"/>
    <w:rsid w:val="00B90021"/>
    <w:rsid w:val="00B901D3"/>
    <w:rsid w:val="00B932DB"/>
    <w:rsid w:val="00B95C56"/>
    <w:rsid w:val="00B97A7C"/>
    <w:rsid w:val="00BA003D"/>
    <w:rsid w:val="00BA0AC6"/>
    <w:rsid w:val="00BA198C"/>
    <w:rsid w:val="00BA1AD5"/>
    <w:rsid w:val="00BA62B9"/>
    <w:rsid w:val="00BA7A38"/>
    <w:rsid w:val="00BB26F4"/>
    <w:rsid w:val="00BB412D"/>
    <w:rsid w:val="00BB50FA"/>
    <w:rsid w:val="00BB522B"/>
    <w:rsid w:val="00BB6139"/>
    <w:rsid w:val="00BB61FE"/>
    <w:rsid w:val="00BB6BDF"/>
    <w:rsid w:val="00BC0326"/>
    <w:rsid w:val="00BC40D9"/>
    <w:rsid w:val="00BC521A"/>
    <w:rsid w:val="00BC71B7"/>
    <w:rsid w:val="00BD10AF"/>
    <w:rsid w:val="00BD1331"/>
    <w:rsid w:val="00BD1D09"/>
    <w:rsid w:val="00BD5224"/>
    <w:rsid w:val="00BD6BDD"/>
    <w:rsid w:val="00BE1B24"/>
    <w:rsid w:val="00BE1C42"/>
    <w:rsid w:val="00BE1CDD"/>
    <w:rsid w:val="00BE7133"/>
    <w:rsid w:val="00BE7B0E"/>
    <w:rsid w:val="00BF1577"/>
    <w:rsid w:val="00BF4962"/>
    <w:rsid w:val="00BF680F"/>
    <w:rsid w:val="00BF70AD"/>
    <w:rsid w:val="00BF7EBF"/>
    <w:rsid w:val="00C02421"/>
    <w:rsid w:val="00C05E04"/>
    <w:rsid w:val="00C10CBC"/>
    <w:rsid w:val="00C112BF"/>
    <w:rsid w:val="00C12646"/>
    <w:rsid w:val="00C163AC"/>
    <w:rsid w:val="00C20E39"/>
    <w:rsid w:val="00C2492A"/>
    <w:rsid w:val="00C2537B"/>
    <w:rsid w:val="00C27A3F"/>
    <w:rsid w:val="00C31BE1"/>
    <w:rsid w:val="00C33291"/>
    <w:rsid w:val="00C37348"/>
    <w:rsid w:val="00C37DB9"/>
    <w:rsid w:val="00C40DEA"/>
    <w:rsid w:val="00C43524"/>
    <w:rsid w:val="00C45155"/>
    <w:rsid w:val="00C46016"/>
    <w:rsid w:val="00C46D8B"/>
    <w:rsid w:val="00C52CE1"/>
    <w:rsid w:val="00C531E6"/>
    <w:rsid w:val="00C5447A"/>
    <w:rsid w:val="00C54AAF"/>
    <w:rsid w:val="00C553B5"/>
    <w:rsid w:val="00C61DBB"/>
    <w:rsid w:val="00C63B3F"/>
    <w:rsid w:val="00C64AB3"/>
    <w:rsid w:val="00C67450"/>
    <w:rsid w:val="00C72748"/>
    <w:rsid w:val="00C72B27"/>
    <w:rsid w:val="00C73D05"/>
    <w:rsid w:val="00C742F6"/>
    <w:rsid w:val="00C74B89"/>
    <w:rsid w:val="00C753A1"/>
    <w:rsid w:val="00C81168"/>
    <w:rsid w:val="00C8201D"/>
    <w:rsid w:val="00C83B0F"/>
    <w:rsid w:val="00C9296E"/>
    <w:rsid w:val="00C92A37"/>
    <w:rsid w:val="00C9363A"/>
    <w:rsid w:val="00CA0D91"/>
    <w:rsid w:val="00CA0FEB"/>
    <w:rsid w:val="00CA2D93"/>
    <w:rsid w:val="00CA3276"/>
    <w:rsid w:val="00CA75F6"/>
    <w:rsid w:val="00CB0B52"/>
    <w:rsid w:val="00CB2DB3"/>
    <w:rsid w:val="00CB3350"/>
    <w:rsid w:val="00CB5372"/>
    <w:rsid w:val="00CB6C3B"/>
    <w:rsid w:val="00CB6FD8"/>
    <w:rsid w:val="00CC3164"/>
    <w:rsid w:val="00CC3F5C"/>
    <w:rsid w:val="00CC404F"/>
    <w:rsid w:val="00CC4E84"/>
    <w:rsid w:val="00CD4E20"/>
    <w:rsid w:val="00CE2F7E"/>
    <w:rsid w:val="00CE3EC1"/>
    <w:rsid w:val="00CE66C9"/>
    <w:rsid w:val="00CE7389"/>
    <w:rsid w:val="00CF293B"/>
    <w:rsid w:val="00CF298F"/>
    <w:rsid w:val="00CF3096"/>
    <w:rsid w:val="00CF3A67"/>
    <w:rsid w:val="00CF639B"/>
    <w:rsid w:val="00D03483"/>
    <w:rsid w:val="00D03718"/>
    <w:rsid w:val="00D03739"/>
    <w:rsid w:val="00D03AC3"/>
    <w:rsid w:val="00D11CB3"/>
    <w:rsid w:val="00D168D4"/>
    <w:rsid w:val="00D207F5"/>
    <w:rsid w:val="00D21E59"/>
    <w:rsid w:val="00D22003"/>
    <w:rsid w:val="00D22797"/>
    <w:rsid w:val="00D30B6B"/>
    <w:rsid w:val="00D32DB9"/>
    <w:rsid w:val="00D36F15"/>
    <w:rsid w:val="00D41EF9"/>
    <w:rsid w:val="00D44C32"/>
    <w:rsid w:val="00D46624"/>
    <w:rsid w:val="00D47C54"/>
    <w:rsid w:val="00D52D49"/>
    <w:rsid w:val="00D53EA9"/>
    <w:rsid w:val="00D53FC2"/>
    <w:rsid w:val="00D551C2"/>
    <w:rsid w:val="00D558BD"/>
    <w:rsid w:val="00D57FDF"/>
    <w:rsid w:val="00D606ED"/>
    <w:rsid w:val="00D60712"/>
    <w:rsid w:val="00D620DA"/>
    <w:rsid w:val="00D65A9D"/>
    <w:rsid w:val="00D65BC1"/>
    <w:rsid w:val="00D66A68"/>
    <w:rsid w:val="00D67A00"/>
    <w:rsid w:val="00D730F8"/>
    <w:rsid w:val="00D732BA"/>
    <w:rsid w:val="00D7338C"/>
    <w:rsid w:val="00D80431"/>
    <w:rsid w:val="00D807D6"/>
    <w:rsid w:val="00D818C6"/>
    <w:rsid w:val="00D82022"/>
    <w:rsid w:val="00D83DD0"/>
    <w:rsid w:val="00D8439B"/>
    <w:rsid w:val="00D87D09"/>
    <w:rsid w:val="00D9311F"/>
    <w:rsid w:val="00D931AA"/>
    <w:rsid w:val="00D95CD9"/>
    <w:rsid w:val="00D95D91"/>
    <w:rsid w:val="00DA2132"/>
    <w:rsid w:val="00DA3079"/>
    <w:rsid w:val="00DA3610"/>
    <w:rsid w:val="00DA7D6A"/>
    <w:rsid w:val="00DB132E"/>
    <w:rsid w:val="00DB176C"/>
    <w:rsid w:val="00DB3552"/>
    <w:rsid w:val="00DB47B2"/>
    <w:rsid w:val="00DB51DA"/>
    <w:rsid w:val="00DC3E5A"/>
    <w:rsid w:val="00DD043B"/>
    <w:rsid w:val="00DD2B21"/>
    <w:rsid w:val="00DD2F11"/>
    <w:rsid w:val="00DD3A34"/>
    <w:rsid w:val="00DD6BF9"/>
    <w:rsid w:val="00DD6DA2"/>
    <w:rsid w:val="00DE15A3"/>
    <w:rsid w:val="00DE51F9"/>
    <w:rsid w:val="00DE74CF"/>
    <w:rsid w:val="00DF06E3"/>
    <w:rsid w:val="00DF1F0A"/>
    <w:rsid w:val="00DF20B6"/>
    <w:rsid w:val="00DF7737"/>
    <w:rsid w:val="00E0305A"/>
    <w:rsid w:val="00E060BE"/>
    <w:rsid w:val="00E0704C"/>
    <w:rsid w:val="00E07E85"/>
    <w:rsid w:val="00E12043"/>
    <w:rsid w:val="00E121EF"/>
    <w:rsid w:val="00E13BBB"/>
    <w:rsid w:val="00E16713"/>
    <w:rsid w:val="00E16FE4"/>
    <w:rsid w:val="00E17B43"/>
    <w:rsid w:val="00E20364"/>
    <w:rsid w:val="00E21E45"/>
    <w:rsid w:val="00E22A12"/>
    <w:rsid w:val="00E23C2B"/>
    <w:rsid w:val="00E27358"/>
    <w:rsid w:val="00E31140"/>
    <w:rsid w:val="00E3216A"/>
    <w:rsid w:val="00E41C4D"/>
    <w:rsid w:val="00E42976"/>
    <w:rsid w:val="00E440CD"/>
    <w:rsid w:val="00E4758A"/>
    <w:rsid w:val="00E475B9"/>
    <w:rsid w:val="00E50035"/>
    <w:rsid w:val="00E5284E"/>
    <w:rsid w:val="00E53BEC"/>
    <w:rsid w:val="00E54245"/>
    <w:rsid w:val="00E608DD"/>
    <w:rsid w:val="00E63A99"/>
    <w:rsid w:val="00E74D3D"/>
    <w:rsid w:val="00E816CC"/>
    <w:rsid w:val="00E84548"/>
    <w:rsid w:val="00E87208"/>
    <w:rsid w:val="00E92F09"/>
    <w:rsid w:val="00E93AD6"/>
    <w:rsid w:val="00E96F41"/>
    <w:rsid w:val="00E97A6C"/>
    <w:rsid w:val="00EA0533"/>
    <w:rsid w:val="00EA09F7"/>
    <w:rsid w:val="00EA0D80"/>
    <w:rsid w:val="00EA7322"/>
    <w:rsid w:val="00EB2193"/>
    <w:rsid w:val="00EB260B"/>
    <w:rsid w:val="00EB28BF"/>
    <w:rsid w:val="00EB5852"/>
    <w:rsid w:val="00EB6885"/>
    <w:rsid w:val="00EC79CB"/>
    <w:rsid w:val="00ED505E"/>
    <w:rsid w:val="00ED5072"/>
    <w:rsid w:val="00ED6894"/>
    <w:rsid w:val="00EF2076"/>
    <w:rsid w:val="00EF216E"/>
    <w:rsid w:val="00EF4606"/>
    <w:rsid w:val="00EF494D"/>
    <w:rsid w:val="00EF6ABF"/>
    <w:rsid w:val="00F01242"/>
    <w:rsid w:val="00F07A7E"/>
    <w:rsid w:val="00F10362"/>
    <w:rsid w:val="00F10638"/>
    <w:rsid w:val="00F10ED6"/>
    <w:rsid w:val="00F11093"/>
    <w:rsid w:val="00F111F0"/>
    <w:rsid w:val="00F116FA"/>
    <w:rsid w:val="00F13348"/>
    <w:rsid w:val="00F13AC6"/>
    <w:rsid w:val="00F1545C"/>
    <w:rsid w:val="00F222E0"/>
    <w:rsid w:val="00F23B6F"/>
    <w:rsid w:val="00F276CB"/>
    <w:rsid w:val="00F309D2"/>
    <w:rsid w:val="00F327BB"/>
    <w:rsid w:val="00F339B4"/>
    <w:rsid w:val="00F36F19"/>
    <w:rsid w:val="00F37528"/>
    <w:rsid w:val="00F40E4C"/>
    <w:rsid w:val="00F449FD"/>
    <w:rsid w:val="00F44F23"/>
    <w:rsid w:val="00F5167A"/>
    <w:rsid w:val="00F56111"/>
    <w:rsid w:val="00F56604"/>
    <w:rsid w:val="00F62505"/>
    <w:rsid w:val="00F63E93"/>
    <w:rsid w:val="00F64216"/>
    <w:rsid w:val="00F667B3"/>
    <w:rsid w:val="00F723C2"/>
    <w:rsid w:val="00F737A7"/>
    <w:rsid w:val="00F7631E"/>
    <w:rsid w:val="00F763C8"/>
    <w:rsid w:val="00F76580"/>
    <w:rsid w:val="00F77D1B"/>
    <w:rsid w:val="00F85CCA"/>
    <w:rsid w:val="00F86220"/>
    <w:rsid w:val="00F8649B"/>
    <w:rsid w:val="00F86FD1"/>
    <w:rsid w:val="00F87691"/>
    <w:rsid w:val="00F91DC1"/>
    <w:rsid w:val="00F91DF5"/>
    <w:rsid w:val="00F95547"/>
    <w:rsid w:val="00F9749A"/>
    <w:rsid w:val="00FA7C74"/>
    <w:rsid w:val="00FB0BF2"/>
    <w:rsid w:val="00FB50DD"/>
    <w:rsid w:val="00FC0136"/>
    <w:rsid w:val="00FC0786"/>
    <w:rsid w:val="00FC22FE"/>
    <w:rsid w:val="00FC36F6"/>
    <w:rsid w:val="00FC4019"/>
    <w:rsid w:val="00FC4E45"/>
    <w:rsid w:val="00FC561A"/>
    <w:rsid w:val="00FC5A59"/>
    <w:rsid w:val="00FC7EB3"/>
    <w:rsid w:val="00FC7F82"/>
    <w:rsid w:val="00FD320F"/>
    <w:rsid w:val="00FD6931"/>
    <w:rsid w:val="00FE1461"/>
    <w:rsid w:val="00FE164F"/>
    <w:rsid w:val="00FE1CAB"/>
    <w:rsid w:val="00FE55C8"/>
    <w:rsid w:val="00FE67B1"/>
    <w:rsid w:val="00FF155B"/>
    <w:rsid w:val="00FF1C2E"/>
    <w:rsid w:val="00FF3151"/>
    <w:rsid w:val="00FF4B37"/>
    <w:rsid w:val="00FF63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F7363"/>
  <w15:chartTrackingRefBased/>
  <w15:docId w15:val="{53303014-4FA8-4628-B36D-F7495D727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1ED"/>
  </w:style>
  <w:style w:type="paragraph" w:styleId="Ttulo1">
    <w:name w:val="heading 1"/>
    <w:basedOn w:val="Normal"/>
    <w:next w:val="Normal"/>
    <w:link w:val="Ttulo1Car"/>
    <w:uiPriority w:val="9"/>
    <w:qFormat/>
    <w:rsid w:val="00F111F0"/>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F111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6EF"/>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A916E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916EF"/>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916EF"/>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916EF"/>
    <w:pPr>
      <w:spacing w:after="0" w:line="360" w:lineRule="auto"/>
      <w:ind w:left="709"/>
      <w:jc w:val="both"/>
    </w:pPr>
    <w:rPr>
      <w:rFonts w:ascii="Palatino Linotype" w:eastAsia="Times New Roman" w:hAnsi="Palatino Linotype"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916EF"/>
    <w:rPr>
      <w:rFonts w:ascii="Palatino Linotype" w:eastAsia="Times New Roman" w:hAnsi="Palatino Linotype"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A916EF"/>
    <w:rPr>
      <w:rFonts w:cs="Times New Roman"/>
      <w:color w:val="0563C1" w:themeColor="hyperlink"/>
      <w:u w:val="single"/>
    </w:rPr>
  </w:style>
  <w:style w:type="paragraph" w:customStyle="1" w:styleId="Default">
    <w:name w:val="Default"/>
    <w:rsid w:val="00A916E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A4D5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A4D59"/>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A4D59"/>
    <w:rPr>
      <w:vertAlign w:val="superscript"/>
    </w:rPr>
  </w:style>
  <w:style w:type="table" w:styleId="Tablaconcuadrcula">
    <w:name w:val="Table Grid"/>
    <w:basedOn w:val="Tablanormal"/>
    <w:uiPriority w:val="39"/>
    <w:rsid w:val="00E22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F74F4"/>
    <w:rPr>
      <w:sz w:val="16"/>
      <w:szCs w:val="16"/>
    </w:rPr>
  </w:style>
  <w:style w:type="paragraph" w:styleId="Textocomentario">
    <w:name w:val="annotation text"/>
    <w:basedOn w:val="Normal"/>
    <w:link w:val="TextocomentarioCar"/>
    <w:uiPriority w:val="99"/>
    <w:semiHidden/>
    <w:unhideWhenUsed/>
    <w:rsid w:val="006F74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74F4"/>
    <w:rPr>
      <w:sz w:val="20"/>
      <w:szCs w:val="20"/>
    </w:rPr>
  </w:style>
  <w:style w:type="paragraph" w:styleId="Asuntodelcomentario">
    <w:name w:val="annotation subject"/>
    <w:basedOn w:val="Textocomentario"/>
    <w:next w:val="Textocomentario"/>
    <w:link w:val="AsuntodelcomentarioCar"/>
    <w:uiPriority w:val="99"/>
    <w:semiHidden/>
    <w:unhideWhenUsed/>
    <w:rsid w:val="006F74F4"/>
    <w:rPr>
      <w:b/>
      <w:bCs/>
    </w:rPr>
  </w:style>
  <w:style w:type="character" w:customStyle="1" w:styleId="AsuntodelcomentarioCar">
    <w:name w:val="Asunto del comentario Car"/>
    <w:basedOn w:val="TextocomentarioCar"/>
    <w:link w:val="Asuntodelcomentario"/>
    <w:uiPriority w:val="99"/>
    <w:semiHidden/>
    <w:rsid w:val="006F74F4"/>
    <w:rPr>
      <w:b/>
      <w:bCs/>
      <w:sz w:val="20"/>
      <w:szCs w:val="20"/>
    </w:rPr>
  </w:style>
  <w:style w:type="paragraph" w:styleId="Textodeglobo">
    <w:name w:val="Balloon Text"/>
    <w:basedOn w:val="Normal"/>
    <w:link w:val="TextodegloboCar"/>
    <w:uiPriority w:val="99"/>
    <w:semiHidden/>
    <w:unhideWhenUsed/>
    <w:rsid w:val="006F74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74F4"/>
    <w:rPr>
      <w:rFonts w:ascii="Segoe UI" w:hAnsi="Segoe UI" w:cs="Segoe UI"/>
      <w:sz w:val="18"/>
      <w:szCs w:val="18"/>
    </w:rPr>
  </w:style>
  <w:style w:type="paragraph" w:customStyle="1" w:styleId="Citas">
    <w:name w:val="Citas"/>
    <w:basedOn w:val="Normal"/>
    <w:qFormat/>
    <w:rsid w:val="00F327BB"/>
    <w:pPr>
      <w:spacing w:before="240" w:line="360" w:lineRule="auto"/>
      <w:ind w:left="851" w:right="851"/>
      <w:jc w:val="both"/>
    </w:pPr>
    <w:rPr>
      <w:rFonts w:ascii="Palatino Linotype" w:hAnsi="Palatino Linotype" w:cs="Arial"/>
      <w:i/>
    </w:rPr>
  </w:style>
  <w:style w:type="character" w:customStyle="1" w:styleId="selectable-text">
    <w:name w:val="selectable-text"/>
    <w:basedOn w:val="Fuentedeprrafopredeter"/>
    <w:rsid w:val="00523806"/>
  </w:style>
  <w:style w:type="character" w:customStyle="1" w:styleId="UnresolvedMention1">
    <w:name w:val="Unresolved Mention1"/>
    <w:basedOn w:val="Fuentedeprrafopredeter"/>
    <w:uiPriority w:val="99"/>
    <w:semiHidden/>
    <w:unhideWhenUsed/>
    <w:rsid w:val="00F222E0"/>
    <w:rPr>
      <w:color w:val="605E5C"/>
      <w:shd w:val="clear" w:color="auto" w:fill="E1DFDD"/>
    </w:rPr>
  </w:style>
  <w:style w:type="paragraph" w:styleId="Sinespaciado">
    <w:name w:val="No Spacing"/>
    <w:aliases w:val="Francesa,INAI"/>
    <w:link w:val="SinespaciadoCar"/>
    <w:uiPriority w:val="1"/>
    <w:qFormat/>
    <w:rsid w:val="009B1915"/>
    <w:pPr>
      <w:spacing w:after="0" w:line="240" w:lineRule="auto"/>
    </w:pPr>
  </w:style>
  <w:style w:type="character" w:customStyle="1" w:styleId="SinespaciadoCar">
    <w:name w:val="Sin espaciado Car"/>
    <w:aliases w:val="Francesa Car,INAI Car"/>
    <w:link w:val="Sinespaciado"/>
    <w:uiPriority w:val="1"/>
    <w:locked/>
    <w:rsid w:val="009B1915"/>
  </w:style>
  <w:style w:type="paragraph" w:styleId="Revisin">
    <w:name w:val="Revision"/>
    <w:hidden/>
    <w:uiPriority w:val="99"/>
    <w:semiHidden/>
    <w:rsid w:val="00315CA3"/>
    <w:pPr>
      <w:spacing w:after="0" w:line="240" w:lineRule="auto"/>
    </w:pPr>
  </w:style>
  <w:style w:type="character" w:customStyle="1" w:styleId="Mencinsinresolver1">
    <w:name w:val="Mención sin resolver1"/>
    <w:basedOn w:val="Fuentedeprrafopredeter"/>
    <w:uiPriority w:val="99"/>
    <w:semiHidden/>
    <w:unhideWhenUsed/>
    <w:rsid w:val="00E5284E"/>
    <w:rPr>
      <w:color w:val="605E5C"/>
      <w:shd w:val="clear" w:color="auto" w:fill="E1DFDD"/>
    </w:rPr>
  </w:style>
  <w:style w:type="character" w:customStyle="1" w:styleId="Mencinsinresolver2">
    <w:name w:val="Mención sin resolver2"/>
    <w:basedOn w:val="Fuentedeprrafopredeter"/>
    <w:uiPriority w:val="99"/>
    <w:semiHidden/>
    <w:unhideWhenUsed/>
    <w:rsid w:val="00893BF2"/>
    <w:rPr>
      <w:color w:val="605E5C"/>
      <w:shd w:val="clear" w:color="auto" w:fill="E1DFDD"/>
    </w:rPr>
  </w:style>
  <w:style w:type="character" w:customStyle="1" w:styleId="Mencinsinresolver3">
    <w:name w:val="Mención sin resolver3"/>
    <w:basedOn w:val="Fuentedeprrafopredeter"/>
    <w:uiPriority w:val="99"/>
    <w:semiHidden/>
    <w:unhideWhenUsed/>
    <w:rsid w:val="00CA2D93"/>
    <w:rPr>
      <w:color w:val="605E5C"/>
      <w:shd w:val="clear" w:color="auto" w:fill="E1DFDD"/>
    </w:rPr>
  </w:style>
  <w:style w:type="character" w:customStyle="1" w:styleId="Mencinsinresolver4">
    <w:name w:val="Mención sin resolver4"/>
    <w:basedOn w:val="Fuentedeprrafopredeter"/>
    <w:uiPriority w:val="99"/>
    <w:semiHidden/>
    <w:unhideWhenUsed/>
    <w:rsid w:val="00A35929"/>
    <w:rPr>
      <w:color w:val="605E5C"/>
      <w:shd w:val="clear" w:color="auto" w:fill="E1DFDD"/>
    </w:rPr>
  </w:style>
  <w:style w:type="character" w:customStyle="1" w:styleId="Mencinsinresolver5">
    <w:name w:val="Mención sin resolver5"/>
    <w:basedOn w:val="Fuentedeprrafopredeter"/>
    <w:uiPriority w:val="99"/>
    <w:semiHidden/>
    <w:unhideWhenUsed/>
    <w:rsid w:val="006A236D"/>
    <w:rPr>
      <w:color w:val="605E5C"/>
      <w:shd w:val="clear" w:color="auto" w:fill="E1DFDD"/>
    </w:rPr>
  </w:style>
  <w:style w:type="character" w:styleId="Hipervnculovisitado">
    <w:name w:val="FollowedHyperlink"/>
    <w:basedOn w:val="Fuentedeprrafopredeter"/>
    <w:uiPriority w:val="99"/>
    <w:semiHidden/>
    <w:unhideWhenUsed/>
    <w:rsid w:val="00671867"/>
    <w:rPr>
      <w:color w:val="954F72" w:themeColor="followedHyperlink"/>
      <w:u w:val="single"/>
    </w:rPr>
  </w:style>
  <w:style w:type="table" w:customStyle="1" w:styleId="Tablaconcuadrcula1">
    <w:name w:val="Tabla con cuadrícula1"/>
    <w:basedOn w:val="Tablanormal"/>
    <w:next w:val="Tablaconcuadrcula"/>
    <w:uiPriority w:val="59"/>
    <w:rsid w:val="003C5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111F0"/>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F111F0"/>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F111F0"/>
  </w:style>
  <w:style w:type="character" w:customStyle="1" w:styleId="apple-converted-space">
    <w:name w:val="apple-converted-space"/>
    <w:basedOn w:val="Fuentedeprrafopredeter"/>
    <w:rsid w:val="00F111F0"/>
  </w:style>
  <w:style w:type="table" w:customStyle="1" w:styleId="Tabladelista1clara-nfasis1115">
    <w:name w:val="Tabla de lista 1 clara - Énfasis 1115"/>
    <w:basedOn w:val="Tablanormal"/>
    <w:next w:val="Tabladelista1clara-nfasis1"/>
    <w:uiPriority w:val="46"/>
    <w:rsid w:val="00F111F0"/>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F111F0"/>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ADB1">
    <w:name w:val="ADB1"/>
    <w:basedOn w:val="Normal"/>
    <w:next w:val="Textonotapie"/>
    <w:uiPriority w:val="99"/>
    <w:unhideWhenUsed/>
    <w:qFormat/>
    <w:rsid w:val="00F111F0"/>
    <w:pPr>
      <w:spacing w:after="0" w:line="240" w:lineRule="auto"/>
    </w:pPr>
    <w:rPr>
      <w:rFonts w:ascii="Palatino Linotype" w:eastAsia="Cambria" w:hAnsi="Palatino Linotype" w:cs="Times New Roman"/>
      <w:sz w:val="20"/>
      <w:szCs w:val="20"/>
    </w:rPr>
  </w:style>
  <w:style w:type="table" w:styleId="Tabladecuadrcula5oscura">
    <w:name w:val="Grid Table 5 Dark"/>
    <w:basedOn w:val="Tablanormal"/>
    <w:uiPriority w:val="50"/>
    <w:rsid w:val="00FC01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73480">
      <w:bodyDiv w:val="1"/>
      <w:marLeft w:val="0"/>
      <w:marRight w:val="0"/>
      <w:marTop w:val="0"/>
      <w:marBottom w:val="0"/>
      <w:divBdr>
        <w:top w:val="none" w:sz="0" w:space="0" w:color="auto"/>
        <w:left w:val="none" w:sz="0" w:space="0" w:color="auto"/>
        <w:bottom w:val="none" w:sz="0" w:space="0" w:color="auto"/>
        <w:right w:val="none" w:sz="0" w:space="0" w:color="auto"/>
      </w:divBdr>
    </w:div>
    <w:div w:id="163058980">
      <w:bodyDiv w:val="1"/>
      <w:marLeft w:val="0"/>
      <w:marRight w:val="0"/>
      <w:marTop w:val="0"/>
      <w:marBottom w:val="0"/>
      <w:divBdr>
        <w:top w:val="none" w:sz="0" w:space="0" w:color="auto"/>
        <w:left w:val="none" w:sz="0" w:space="0" w:color="auto"/>
        <w:bottom w:val="none" w:sz="0" w:space="0" w:color="auto"/>
        <w:right w:val="none" w:sz="0" w:space="0" w:color="auto"/>
      </w:divBdr>
    </w:div>
    <w:div w:id="245188407">
      <w:bodyDiv w:val="1"/>
      <w:marLeft w:val="0"/>
      <w:marRight w:val="0"/>
      <w:marTop w:val="0"/>
      <w:marBottom w:val="0"/>
      <w:divBdr>
        <w:top w:val="none" w:sz="0" w:space="0" w:color="auto"/>
        <w:left w:val="none" w:sz="0" w:space="0" w:color="auto"/>
        <w:bottom w:val="none" w:sz="0" w:space="0" w:color="auto"/>
        <w:right w:val="none" w:sz="0" w:space="0" w:color="auto"/>
      </w:divBdr>
    </w:div>
    <w:div w:id="355693580">
      <w:bodyDiv w:val="1"/>
      <w:marLeft w:val="0"/>
      <w:marRight w:val="0"/>
      <w:marTop w:val="0"/>
      <w:marBottom w:val="0"/>
      <w:divBdr>
        <w:top w:val="none" w:sz="0" w:space="0" w:color="auto"/>
        <w:left w:val="none" w:sz="0" w:space="0" w:color="auto"/>
        <w:bottom w:val="none" w:sz="0" w:space="0" w:color="auto"/>
        <w:right w:val="none" w:sz="0" w:space="0" w:color="auto"/>
      </w:divBdr>
    </w:div>
    <w:div w:id="357658745">
      <w:bodyDiv w:val="1"/>
      <w:marLeft w:val="0"/>
      <w:marRight w:val="0"/>
      <w:marTop w:val="0"/>
      <w:marBottom w:val="0"/>
      <w:divBdr>
        <w:top w:val="none" w:sz="0" w:space="0" w:color="auto"/>
        <w:left w:val="none" w:sz="0" w:space="0" w:color="auto"/>
        <w:bottom w:val="none" w:sz="0" w:space="0" w:color="auto"/>
        <w:right w:val="none" w:sz="0" w:space="0" w:color="auto"/>
      </w:divBdr>
    </w:div>
    <w:div w:id="376586446">
      <w:bodyDiv w:val="1"/>
      <w:marLeft w:val="0"/>
      <w:marRight w:val="0"/>
      <w:marTop w:val="0"/>
      <w:marBottom w:val="0"/>
      <w:divBdr>
        <w:top w:val="none" w:sz="0" w:space="0" w:color="auto"/>
        <w:left w:val="none" w:sz="0" w:space="0" w:color="auto"/>
        <w:bottom w:val="none" w:sz="0" w:space="0" w:color="auto"/>
        <w:right w:val="none" w:sz="0" w:space="0" w:color="auto"/>
      </w:divBdr>
    </w:div>
    <w:div w:id="422802263">
      <w:bodyDiv w:val="1"/>
      <w:marLeft w:val="0"/>
      <w:marRight w:val="0"/>
      <w:marTop w:val="0"/>
      <w:marBottom w:val="0"/>
      <w:divBdr>
        <w:top w:val="none" w:sz="0" w:space="0" w:color="auto"/>
        <w:left w:val="none" w:sz="0" w:space="0" w:color="auto"/>
        <w:bottom w:val="none" w:sz="0" w:space="0" w:color="auto"/>
        <w:right w:val="none" w:sz="0" w:space="0" w:color="auto"/>
      </w:divBdr>
    </w:div>
    <w:div w:id="517427663">
      <w:bodyDiv w:val="1"/>
      <w:marLeft w:val="0"/>
      <w:marRight w:val="0"/>
      <w:marTop w:val="0"/>
      <w:marBottom w:val="0"/>
      <w:divBdr>
        <w:top w:val="none" w:sz="0" w:space="0" w:color="auto"/>
        <w:left w:val="none" w:sz="0" w:space="0" w:color="auto"/>
        <w:bottom w:val="none" w:sz="0" w:space="0" w:color="auto"/>
        <w:right w:val="none" w:sz="0" w:space="0" w:color="auto"/>
      </w:divBdr>
    </w:div>
    <w:div w:id="652442375">
      <w:bodyDiv w:val="1"/>
      <w:marLeft w:val="0"/>
      <w:marRight w:val="0"/>
      <w:marTop w:val="0"/>
      <w:marBottom w:val="0"/>
      <w:divBdr>
        <w:top w:val="none" w:sz="0" w:space="0" w:color="auto"/>
        <w:left w:val="none" w:sz="0" w:space="0" w:color="auto"/>
        <w:bottom w:val="none" w:sz="0" w:space="0" w:color="auto"/>
        <w:right w:val="none" w:sz="0" w:space="0" w:color="auto"/>
      </w:divBdr>
    </w:div>
    <w:div w:id="662322867">
      <w:bodyDiv w:val="1"/>
      <w:marLeft w:val="0"/>
      <w:marRight w:val="0"/>
      <w:marTop w:val="0"/>
      <w:marBottom w:val="0"/>
      <w:divBdr>
        <w:top w:val="none" w:sz="0" w:space="0" w:color="auto"/>
        <w:left w:val="none" w:sz="0" w:space="0" w:color="auto"/>
        <w:bottom w:val="none" w:sz="0" w:space="0" w:color="auto"/>
        <w:right w:val="none" w:sz="0" w:space="0" w:color="auto"/>
      </w:divBdr>
      <w:divsChild>
        <w:div w:id="29577053">
          <w:marLeft w:val="0"/>
          <w:marRight w:val="0"/>
          <w:marTop w:val="0"/>
          <w:marBottom w:val="0"/>
          <w:divBdr>
            <w:top w:val="none" w:sz="0" w:space="0" w:color="auto"/>
            <w:left w:val="none" w:sz="0" w:space="0" w:color="auto"/>
            <w:bottom w:val="none" w:sz="0" w:space="0" w:color="auto"/>
            <w:right w:val="none" w:sz="0" w:space="0" w:color="auto"/>
          </w:divBdr>
          <w:divsChild>
            <w:div w:id="1895775406">
              <w:marLeft w:val="-360"/>
              <w:marRight w:val="-360"/>
              <w:marTop w:val="0"/>
              <w:marBottom w:val="0"/>
              <w:divBdr>
                <w:top w:val="none" w:sz="0" w:space="0" w:color="auto"/>
                <w:left w:val="none" w:sz="0" w:space="0" w:color="auto"/>
                <w:bottom w:val="none" w:sz="0" w:space="0" w:color="auto"/>
                <w:right w:val="none" w:sz="0" w:space="0" w:color="auto"/>
              </w:divBdr>
              <w:divsChild>
                <w:div w:id="252737711">
                  <w:marLeft w:val="0"/>
                  <w:marRight w:val="0"/>
                  <w:marTop w:val="0"/>
                  <w:marBottom w:val="0"/>
                  <w:divBdr>
                    <w:top w:val="none" w:sz="0" w:space="0" w:color="auto"/>
                    <w:left w:val="none" w:sz="0" w:space="0" w:color="auto"/>
                    <w:bottom w:val="none" w:sz="0" w:space="0" w:color="auto"/>
                    <w:right w:val="none" w:sz="0" w:space="0" w:color="auto"/>
                  </w:divBdr>
                  <w:divsChild>
                    <w:div w:id="1108087890">
                      <w:marLeft w:val="0"/>
                      <w:marRight w:val="0"/>
                      <w:marTop w:val="0"/>
                      <w:marBottom w:val="0"/>
                      <w:divBdr>
                        <w:top w:val="none" w:sz="0" w:space="0" w:color="auto"/>
                        <w:left w:val="none" w:sz="0" w:space="0" w:color="auto"/>
                        <w:bottom w:val="none" w:sz="0" w:space="0" w:color="auto"/>
                        <w:right w:val="none" w:sz="0" w:space="0" w:color="auto"/>
                      </w:divBdr>
                      <w:divsChild>
                        <w:div w:id="164095744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74667924">
      <w:bodyDiv w:val="1"/>
      <w:marLeft w:val="0"/>
      <w:marRight w:val="0"/>
      <w:marTop w:val="0"/>
      <w:marBottom w:val="0"/>
      <w:divBdr>
        <w:top w:val="none" w:sz="0" w:space="0" w:color="auto"/>
        <w:left w:val="none" w:sz="0" w:space="0" w:color="auto"/>
        <w:bottom w:val="none" w:sz="0" w:space="0" w:color="auto"/>
        <w:right w:val="none" w:sz="0" w:space="0" w:color="auto"/>
      </w:divBdr>
    </w:div>
    <w:div w:id="869681380">
      <w:bodyDiv w:val="1"/>
      <w:marLeft w:val="0"/>
      <w:marRight w:val="0"/>
      <w:marTop w:val="0"/>
      <w:marBottom w:val="0"/>
      <w:divBdr>
        <w:top w:val="none" w:sz="0" w:space="0" w:color="auto"/>
        <w:left w:val="none" w:sz="0" w:space="0" w:color="auto"/>
        <w:bottom w:val="none" w:sz="0" w:space="0" w:color="auto"/>
        <w:right w:val="none" w:sz="0" w:space="0" w:color="auto"/>
      </w:divBdr>
    </w:div>
    <w:div w:id="879703307">
      <w:bodyDiv w:val="1"/>
      <w:marLeft w:val="0"/>
      <w:marRight w:val="0"/>
      <w:marTop w:val="0"/>
      <w:marBottom w:val="0"/>
      <w:divBdr>
        <w:top w:val="none" w:sz="0" w:space="0" w:color="auto"/>
        <w:left w:val="none" w:sz="0" w:space="0" w:color="auto"/>
        <w:bottom w:val="none" w:sz="0" w:space="0" w:color="auto"/>
        <w:right w:val="none" w:sz="0" w:space="0" w:color="auto"/>
      </w:divBdr>
    </w:div>
    <w:div w:id="886797146">
      <w:bodyDiv w:val="1"/>
      <w:marLeft w:val="0"/>
      <w:marRight w:val="0"/>
      <w:marTop w:val="0"/>
      <w:marBottom w:val="0"/>
      <w:divBdr>
        <w:top w:val="none" w:sz="0" w:space="0" w:color="auto"/>
        <w:left w:val="none" w:sz="0" w:space="0" w:color="auto"/>
        <w:bottom w:val="none" w:sz="0" w:space="0" w:color="auto"/>
        <w:right w:val="none" w:sz="0" w:space="0" w:color="auto"/>
      </w:divBdr>
    </w:div>
    <w:div w:id="988754041">
      <w:bodyDiv w:val="1"/>
      <w:marLeft w:val="0"/>
      <w:marRight w:val="0"/>
      <w:marTop w:val="0"/>
      <w:marBottom w:val="0"/>
      <w:divBdr>
        <w:top w:val="none" w:sz="0" w:space="0" w:color="auto"/>
        <w:left w:val="none" w:sz="0" w:space="0" w:color="auto"/>
        <w:bottom w:val="none" w:sz="0" w:space="0" w:color="auto"/>
        <w:right w:val="none" w:sz="0" w:space="0" w:color="auto"/>
      </w:divBdr>
    </w:div>
    <w:div w:id="1002925912">
      <w:bodyDiv w:val="1"/>
      <w:marLeft w:val="0"/>
      <w:marRight w:val="0"/>
      <w:marTop w:val="0"/>
      <w:marBottom w:val="0"/>
      <w:divBdr>
        <w:top w:val="none" w:sz="0" w:space="0" w:color="auto"/>
        <w:left w:val="none" w:sz="0" w:space="0" w:color="auto"/>
        <w:bottom w:val="none" w:sz="0" w:space="0" w:color="auto"/>
        <w:right w:val="none" w:sz="0" w:space="0" w:color="auto"/>
      </w:divBdr>
    </w:div>
    <w:div w:id="1004093664">
      <w:bodyDiv w:val="1"/>
      <w:marLeft w:val="0"/>
      <w:marRight w:val="0"/>
      <w:marTop w:val="0"/>
      <w:marBottom w:val="0"/>
      <w:divBdr>
        <w:top w:val="none" w:sz="0" w:space="0" w:color="auto"/>
        <w:left w:val="none" w:sz="0" w:space="0" w:color="auto"/>
        <w:bottom w:val="none" w:sz="0" w:space="0" w:color="auto"/>
        <w:right w:val="none" w:sz="0" w:space="0" w:color="auto"/>
      </w:divBdr>
    </w:div>
    <w:div w:id="1048148052">
      <w:bodyDiv w:val="1"/>
      <w:marLeft w:val="0"/>
      <w:marRight w:val="0"/>
      <w:marTop w:val="0"/>
      <w:marBottom w:val="0"/>
      <w:divBdr>
        <w:top w:val="none" w:sz="0" w:space="0" w:color="auto"/>
        <w:left w:val="none" w:sz="0" w:space="0" w:color="auto"/>
        <w:bottom w:val="none" w:sz="0" w:space="0" w:color="auto"/>
        <w:right w:val="none" w:sz="0" w:space="0" w:color="auto"/>
      </w:divBdr>
    </w:div>
    <w:div w:id="1066995585">
      <w:bodyDiv w:val="1"/>
      <w:marLeft w:val="0"/>
      <w:marRight w:val="0"/>
      <w:marTop w:val="0"/>
      <w:marBottom w:val="0"/>
      <w:divBdr>
        <w:top w:val="none" w:sz="0" w:space="0" w:color="auto"/>
        <w:left w:val="none" w:sz="0" w:space="0" w:color="auto"/>
        <w:bottom w:val="none" w:sz="0" w:space="0" w:color="auto"/>
        <w:right w:val="none" w:sz="0" w:space="0" w:color="auto"/>
      </w:divBdr>
      <w:divsChild>
        <w:div w:id="1526752596">
          <w:marLeft w:val="0"/>
          <w:marRight w:val="0"/>
          <w:marTop w:val="0"/>
          <w:marBottom w:val="0"/>
          <w:divBdr>
            <w:top w:val="none" w:sz="0" w:space="0" w:color="auto"/>
            <w:left w:val="none" w:sz="0" w:space="0" w:color="auto"/>
            <w:bottom w:val="none" w:sz="0" w:space="0" w:color="auto"/>
            <w:right w:val="none" w:sz="0" w:space="0" w:color="auto"/>
          </w:divBdr>
        </w:div>
      </w:divsChild>
    </w:div>
    <w:div w:id="1125854212">
      <w:bodyDiv w:val="1"/>
      <w:marLeft w:val="0"/>
      <w:marRight w:val="0"/>
      <w:marTop w:val="0"/>
      <w:marBottom w:val="0"/>
      <w:divBdr>
        <w:top w:val="none" w:sz="0" w:space="0" w:color="auto"/>
        <w:left w:val="none" w:sz="0" w:space="0" w:color="auto"/>
        <w:bottom w:val="none" w:sz="0" w:space="0" w:color="auto"/>
        <w:right w:val="none" w:sz="0" w:space="0" w:color="auto"/>
      </w:divBdr>
    </w:div>
    <w:div w:id="1138373904">
      <w:bodyDiv w:val="1"/>
      <w:marLeft w:val="0"/>
      <w:marRight w:val="0"/>
      <w:marTop w:val="0"/>
      <w:marBottom w:val="0"/>
      <w:divBdr>
        <w:top w:val="none" w:sz="0" w:space="0" w:color="auto"/>
        <w:left w:val="none" w:sz="0" w:space="0" w:color="auto"/>
        <w:bottom w:val="none" w:sz="0" w:space="0" w:color="auto"/>
        <w:right w:val="none" w:sz="0" w:space="0" w:color="auto"/>
      </w:divBdr>
    </w:div>
    <w:div w:id="1179151069">
      <w:bodyDiv w:val="1"/>
      <w:marLeft w:val="0"/>
      <w:marRight w:val="0"/>
      <w:marTop w:val="0"/>
      <w:marBottom w:val="0"/>
      <w:divBdr>
        <w:top w:val="none" w:sz="0" w:space="0" w:color="auto"/>
        <w:left w:val="none" w:sz="0" w:space="0" w:color="auto"/>
        <w:bottom w:val="none" w:sz="0" w:space="0" w:color="auto"/>
        <w:right w:val="none" w:sz="0" w:space="0" w:color="auto"/>
      </w:divBdr>
    </w:div>
    <w:div w:id="1243373421">
      <w:bodyDiv w:val="1"/>
      <w:marLeft w:val="0"/>
      <w:marRight w:val="0"/>
      <w:marTop w:val="0"/>
      <w:marBottom w:val="0"/>
      <w:divBdr>
        <w:top w:val="none" w:sz="0" w:space="0" w:color="auto"/>
        <w:left w:val="none" w:sz="0" w:space="0" w:color="auto"/>
        <w:bottom w:val="none" w:sz="0" w:space="0" w:color="auto"/>
        <w:right w:val="none" w:sz="0" w:space="0" w:color="auto"/>
      </w:divBdr>
    </w:div>
    <w:div w:id="1258446456">
      <w:bodyDiv w:val="1"/>
      <w:marLeft w:val="0"/>
      <w:marRight w:val="0"/>
      <w:marTop w:val="0"/>
      <w:marBottom w:val="0"/>
      <w:divBdr>
        <w:top w:val="none" w:sz="0" w:space="0" w:color="auto"/>
        <w:left w:val="none" w:sz="0" w:space="0" w:color="auto"/>
        <w:bottom w:val="none" w:sz="0" w:space="0" w:color="auto"/>
        <w:right w:val="none" w:sz="0" w:space="0" w:color="auto"/>
      </w:divBdr>
      <w:divsChild>
        <w:div w:id="409423198">
          <w:marLeft w:val="0"/>
          <w:marRight w:val="0"/>
          <w:marTop w:val="0"/>
          <w:marBottom w:val="0"/>
          <w:divBdr>
            <w:top w:val="none" w:sz="0" w:space="0" w:color="auto"/>
            <w:left w:val="none" w:sz="0" w:space="0" w:color="auto"/>
            <w:bottom w:val="none" w:sz="0" w:space="0" w:color="auto"/>
            <w:right w:val="none" w:sz="0" w:space="0" w:color="auto"/>
          </w:divBdr>
        </w:div>
      </w:divsChild>
    </w:div>
    <w:div w:id="1276785612">
      <w:bodyDiv w:val="1"/>
      <w:marLeft w:val="0"/>
      <w:marRight w:val="0"/>
      <w:marTop w:val="0"/>
      <w:marBottom w:val="0"/>
      <w:divBdr>
        <w:top w:val="none" w:sz="0" w:space="0" w:color="auto"/>
        <w:left w:val="none" w:sz="0" w:space="0" w:color="auto"/>
        <w:bottom w:val="none" w:sz="0" w:space="0" w:color="auto"/>
        <w:right w:val="none" w:sz="0" w:space="0" w:color="auto"/>
      </w:divBdr>
    </w:div>
    <w:div w:id="1330325715">
      <w:bodyDiv w:val="1"/>
      <w:marLeft w:val="0"/>
      <w:marRight w:val="0"/>
      <w:marTop w:val="0"/>
      <w:marBottom w:val="0"/>
      <w:divBdr>
        <w:top w:val="none" w:sz="0" w:space="0" w:color="auto"/>
        <w:left w:val="none" w:sz="0" w:space="0" w:color="auto"/>
        <w:bottom w:val="none" w:sz="0" w:space="0" w:color="auto"/>
        <w:right w:val="none" w:sz="0" w:space="0" w:color="auto"/>
      </w:divBdr>
    </w:div>
    <w:div w:id="1330643918">
      <w:bodyDiv w:val="1"/>
      <w:marLeft w:val="0"/>
      <w:marRight w:val="0"/>
      <w:marTop w:val="0"/>
      <w:marBottom w:val="0"/>
      <w:divBdr>
        <w:top w:val="none" w:sz="0" w:space="0" w:color="auto"/>
        <w:left w:val="none" w:sz="0" w:space="0" w:color="auto"/>
        <w:bottom w:val="none" w:sz="0" w:space="0" w:color="auto"/>
        <w:right w:val="none" w:sz="0" w:space="0" w:color="auto"/>
      </w:divBdr>
    </w:div>
    <w:div w:id="1371415251">
      <w:bodyDiv w:val="1"/>
      <w:marLeft w:val="0"/>
      <w:marRight w:val="0"/>
      <w:marTop w:val="0"/>
      <w:marBottom w:val="0"/>
      <w:divBdr>
        <w:top w:val="none" w:sz="0" w:space="0" w:color="auto"/>
        <w:left w:val="none" w:sz="0" w:space="0" w:color="auto"/>
        <w:bottom w:val="none" w:sz="0" w:space="0" w:color="auto"/>
        <w:right w:val="none" w:sz="0" w:space="0" w:color="auto"/>
      </w:divBdr>
    </w:div>
    <w:div w:id="1461656504">
      <w:bodyDiv w:val="1"/>
      <w:marLeft w:val="0"/>
      <w:marRight w:val="0"/>
      <w:marTop w:val="0"/>
      <w:marBottom w:val="0"/>
      <w:divBdr>
        <w:top w:val="none" w:sz="0" w:space="0" w:color="auto"/>
        <w:left w:val="none" w:sz="0" w:space="0" w:color="auto"/>
        <w:bottom w:val="none" w:sz="0" w:space="0" w:color="auto"/>
        <w:right w:val="none" w:sz="0" w:space="0" w:color="auto"/>
      </w:divBdr>
    </w:div>
    <w:div w:id="1601253626">
      <w:bodyDiv w:val="1"/>
      <w:marLeft w:val="0"/>
      <w:marRight w:val="0"/>
      <w:marTop w:val="0"/>
      <w:marBottom w:val="0"/>
      <w:divBdr>
        <w:top w:val="none" w:sz="0" w:space="0" w:color="auto"/>
        <w:left w:val="none" w:sz="0" w:space="0" w:color="auto"/>
        <w:bottom w:val="none" w:sz="0" w:space="0" w:color="auto"/>
        <w:right w:val="none" w:sz="0" w:space="0" w:color="auto"/>
      </w:divBdr>
    </w:div>
    <w:div w:id="1848136137">
      <w:bodyDiv w:val="1"/>
      <w:marLeft w:val="0"/>
      <w:marRight w:val="0"/>
      <w:marTop w:val="0"/>
      <w:marBottom w:val="0"/>
      <w:divBdr>
        <w:top w:val="none" w:sz="0" w:space="0" w:color="auto"/>
        <w:left w:val="none" w:sz="0" w:space="0" w:color="auto"/>
        <w:bottom w:val="none" w:sz="0" w:space="0" w:color="auto"/>
        <w:right w:val="none" w:sz="0" w:space="0" w:color="auto"/>
      </w:divBdr>
    </w:div>
    <w:div w:id="1854415631">
      <w:bodyDiv w:val="1"/>
      <w:marLeft w:val="0"/>
      <w:marRight w:val="0"/>
      <w:marTop w:val="0"/>
      <w:marBottom w:val="0"/>
      <w:divBdr>
        <w:top w:val="none" w:sz="0" w:space="0" w:color="auto"/>
        <w:left w:val="none" w:sz="0" w:space="0" w:color="auto"/>
        <w:bottom w:val="none" w:sz="0" w:space="0" w:color="auto"/>
        <w:right w:val="none" w:sz="0" w:space="0" w:color="auto"/>
      </w:divBdr>
    </w:div>
    <w:div w:id="1951427000">
      <w:bodyDiv w:val="1"/>
      <w:marLeft w:val="0"/>
      <w:marRight w:val="0"/>
      <w:marTop w:val="0"/>
      <w:marBottom w:val="0"/>
      <w:divBdr>
        <w:top w:val="none" w:sz="0" w:space="0" w:color="auto"/>
        <w:left w:val="none" w:sz="0" w:space="0" w:color="auto"/>
        <w:bottom w:val="none" w:sz="0" w:space="0" w:color="auto"/>
        <w:right w:val="none" w:sz="0" w:space="0" w:color="auto"/>
      </w:divBdr>
    </w:div>
    <w:div w:id="2054695238">
      <w:bodyDiv w:val="1"/>
      <w:marLeft w:val="0"/>
      <w:marRight w:val="0"/>
      <w:marTop w:val="0"/>
      <w:marBottom w:val="0"/>
      <w:divBdr>
        <w:top w:val="none" w:sz="0" w:space="0" w:color="auto"/>
        <w:left w:val="none" w:sz="0" w:space="0" w:color="auto"/>
        <w:bottom w:val="none" w:sz="0" w:space="0" w:color="auto"/>
        <w:right w:val="none" w:sz="0" w:space="0" w:color="auto"/>
      </w:divBdr>
    </w:div>
    <w:div w:id="205947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jf.scjn.gob.mx/sjfsist/Paginas/DetalleGeneralV2.aspx?ID=1000830&amp;Clase=DetalleTesisBL&amp;Semanario=0"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112D5-AAEA-49B5-AFD6-F35FF1EE2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44</Pages>
  <Words>10332</Words>
  <Characters>56830</Characters>
  <Application>Microsoft Office Word</Application>
  <DocSecurity>0</DocSecurity>
  <Lines>473</Lines>
  <Paragraphs>134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67028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100</cp:revision>
  <dcterms:created xsi:type="dcterms:W3CDTF">2025-04-02T23:32:00Z</dcterms:created>
  <dcterms:modified xsi:type="dcterms:W3CDTF">2025-05-13T16:47:00Z</dcterms:modified>
</cp:coreProperties>
</file>