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305BA5" w:rsidRDefault="00A077F4" w:rsidP="00305BA5">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305BA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305BA5">
        <w:rPr>
          <w:rFonts w:ascii="Palatino Linotype" w:eastAsia="Palatino Linotype" w:hAnsi="Palatino Linotype" w:cs="Palatino Linotype"/>
          <w:b/>
          <w:color w:val="000000" w:themeColor="text1"/>
        </w:rPr>
        <w:t xml:space="preserve">de fecha </w:t>
      </w:r>
      <w:r w:rsidR="004D37A5" w:rsidRPr="00305BA5">
        <w:rPr>
          <w:rFonts w:ascii="Palatino Linotype" w:eastAsia="Palatino Linotype" w:hAnsi="Palatino Linotype" w:cs="Palatino Linotype"/>
          <w:b/>
          <w:color w:val="000000" w:themeColor="text1"/>
        </w:rPr>
        <w:t>veinticuatro (24) de septiembre</w:t>
      </w:r>
      <w:r w:rsidRPr="00305BA5">
        <w:rPr>
          <w:rFonts w:ascii="Palatino Linotype" w:eastAsia="Palatino Linotype" w:hAnsi="Palatino Linotype" w:cs="Palatino Linotype"/>
          <w:b/>
          <w:color w:val="000000" w:themeColor="text1"/>
        </w:rPr>
        <w:t xml:space="preserve"> de dos mil veinticinco.</w:t>
      </w:r>
    </w:p>
    <w:p w:rsidR="0072148B" w:rsidRPr="00305BA5" w:rsidRDefault="0072148B" w:rsidP="00305BA5">
      <w:pPr>
        <w:tabs>
          <w:tab w:val="left" w:pos="3465"/>
        </w:tabs>
        <w:spacing w:line="360" w:lineRule="auto"/>
        <w:jc w:val="both"/>
        <w:rPr>
          <w:rFonts w:ascii="Palatino Linotype" w:eastAsia="Palatino Linotype" w:hAnsi="Palatino Linotype" w:cs="Palatino Linotype"/>
          <w:color w:val="000000" w:themeColor="text1"/>
        </w:rPr>
      </w:pPr>
    </w:p>
    <w:p w:rsidR="0072148B" w:rsidRPr="00305BA5" w:rsidRDefault="00A077F4" w:rsidP="00305BA5">
      <w:pPr>
        <w:spacing w:line="360" w:lineRule="auto"/>
        <w:jc w:val="both"/>
        <w:rPr>
          <w:rFonts w:ascii="Palatino Linotype" w:eastAsia="Palatino Linotype" w:hAnsi="Palatino Linotype" w:cs="Palatino Linotype"/>
          <w:b/>
          <w:color w:val="000000" w:themeColor="text1"/>
        </w:rPr>
      </w:pPr>
      <w:r w:rsidRPr="00305BA5">
        <w:rPr>
          <w:rFonts w:ascii="Palatino Linotype" w:eastAsia="Palatino Linotype" w:hAnsi="Palatino Linotype" w:cs="Palatino Linotype"/>
          <w:b/>
          <w:color w:val="000000" w:themeColor="text1"/>
        </w:rPr>
        <w:t xml:space="preserve">VISTAS </w:t>
      </w:r>
      <w:r w:rsidRPr="00305BA5">
        <w:rPr>
          <w:rFonts w:ascii="Palatino Linotype" w:eastAsia="Palatino Linotype" w:hAnsi="Palatino Linotype" w:cs="Palatino Linotype"/>
          <w:color w:val="000000" w:themeColor="text1"/>
        </w:rPr>
        <w:t xml:space="preserve">las constancias para resolver </w:t>
      </w:r>
      <w:r w:rsidR="00892CE6" w:rsidRPr="00305BA5">
        <w:rPr>
          <w:rFonts w:ascii="Palatino Linotype" w:eastAsia="Palatino Linotype" w:hAnsi="Palatino Linotype" w:cs="Palatino Linotype"/>
          <w:color w:val="000000" w:themeColor="text1"/>
        </w:rPr>
        <w:t>el Recurso</w:t>
      </w:r>
      <w:r w:rsidRPr="00305BA5">
        <w:rPr>
          <w:rFonts w:ascii="Palatino Linotype" w:eastAsia="Palatino Linotype" w:hAnsi="Palatino Linotype" w:cs="Palatino Linotype"/>
          <w:color w:val="000000" w:themeColor="text1"/>
        </w:rPr>
        <w:t xml:space="preserve"> de Revisión </w:t>
      </w:r>
      <w:r w:rsidR="00A45744" w:rsidRPr="00305BA5">
        <w:rPr>
          <w:rFonts w:ascii="Palatino Linotype" w:eastAsia="Palatino Linotype" w:hAnsi="Palatino Linotype" w:cs="Palatino Linotype"/>
          <w:b/>
          <w:color w:val="000000" w:themeColor="text1"/>
        </w:rPr>
        <w:t>04848</w:t>
      </w:r>
      <w:r w:rsidR="00892CE6" w:rsidRPr="00305BA5">
        <w:rPr>
          <w:rFonts w:ascii="Palatino Linotype" w:eastAsia="Palatino Linotype" w:hAnsi="Palatino Linotype" w:cs="Palatino Linotype"/>
          <w:b/>
          <w:color w:val="000000" w:themeColor="text1"/>
        </w:rPr>
        <w:t>/INFOEM/IP/RR/2025</w:t>
      </w:r>
      <w:r w:rsidR="00892CE6" w:rsidRPr="00305BA5">
        <w:rPr>
          <w:rFonts w:ascii="Palatino Linotype" w:eastAsia="Palatino Linotype" w:hAnsi="Palatino Linotype" w:cs="Palatino Linotype"/>
          <w:color w:val="000000" w:themeColor="text1"/>
        </w:rPr>
        <w:t>, promovido</w:t>
      </w:r>
      <w:r w:rsidRPr="00305BA5">
        <w:rPr>
          <w:rFonts w:ascii="Palatino Linotype" w:eastAsia="Palatino Linotype" w:hAnsi="Palatino Linotype" w:cs="Palatino Linotype"/>
          <w:color w:val="000000" w:themeColor="text1"/>
        </w:rPr>
        <w:t xml:space="preserve"> por </w:t>
      </w:r>
      <w:r w:rsidR="009A3600" w:rsidRPr="00A9441B">
        <w:rPr>
          <w:rFonts w:ascii="Palatino Linotype" w:eastAsia="Palatino Linotype" w:hAnsi="Palatino Linotype" w:cs="Palatino Linotype"/>
          <w:b/>
          <w:color w:val="000000" w:themeColor="text1"/>
        </w:rPr>
        <w:t>una persona que no registró nombre</w:t>
      </w:r>
      <w:r w:rsidRPr="00A9441B">
        <w:rPr>
          <w:rFonts w:ascii="Palatino Linotype" w:eastAsia="Palatino Linotype" w:hAnsi="Palatino Linotype" w:cs="Palatino Linotype"/>
          <w:b/>
          <w:color w:val="000000" w:themeColor="text1"/>
        </w:rPr>
        <w:t>,</w:t>
      </w:r>
      <w:r w:rsidRPr="00305BA5">
        <w:rPr>
          <w:rFonts w:ascii="Palatino Linotype" w:eastAsia="Palatino Linotype" w:hAnsi="Palatino Linotype" w:cs="Palatino Linotype"/>
          <w:color w:val="000000" w:themeColor="text1"/>
        </w:rPr>
        <w:t xml:space="preserve"> en lo sucesivo </w:t>
      </w:r>
      <w:r w:rsidRPr="00305BA5">
        <w:rPr>
          <w:rFonts w:ascii="Palatino Linotype" w:eastAsia="Palatino Linotype" w:hAnsi="Palatino Linotype" w:cs="Palatino Linotype"/>
          <w:b/>
          <w:color w:val="000000" w:themeColor="text1"/>
        </w:rPr>
        <w:t>EL RECURRENTE</w:t>
      </w:r>
      <w:r w:rsidRPr="00305BA5">
        <w:rPr>
          <w:rFonts w:ascii="Palatino Linotype" w:eastAsia="Palatino Linotype" w:hAnsi="Palatino Linotype" w:cs="Palatino Linotype"/>
          <w:color w:val="000000" w:themeColor="text1"/>
        </w:rPr>
        <w:t xml:space="preserve">, en contra de la respuesta otorgada a </w:t>
      </w:r>
      <w:r w:rsidR="006B5B63" w:rsidRPr="00305BA5">
        <w:rPr>
          <w:rFonts w:ascii="Palatino Linotype" w:eastAsia="Palatino Linotype" w:hAnsi="Palatino Linotype" w:cs="Palatino Linotype"/>
          <w:color w:val="000000" w:themeColor="text1"/>
        </w:rPr>
        <w:t>la solicitud de</w:t>
      </w:r>
      <w:r w:rsidRPr="00305BA5">
        <w:rPr>
          <w:rFonts w:ascii="Palatino Linotype" w:eastAsia="Palatino Linotype" w:hAnsi="Palatino Linotype" w:cs="Palatino Linotype"/>
          <w:color w:val="000000" w:themeColor="text1"/>
        </w:rPr>
        <w:t xml:space="preserve"> información </w:t>
      </w:r>
      <w:r w:rsidR="00A45744" w:rsidRPr="00305BA5">
        <w:rPr>
          <w:rFonts w:ascii="Palatino Linotype" w:eastAsia="Palatino Linotype" w:hAnsi="Palatino Linotype" w:cs="Palatino Linotype"/>
          <w:b/>
          <w:color w:val="000000" w:themeColor="text1"/>
        </w:rPr>
        <w:t>00025/VIALLEN/IP/2025</w:t>
      </w:r>
      <w:r w:rsidRPr="00305BA5">
        <w:rPr>
          <w:rFonts w:ascii="Palatino Linotype" w:eastAsia="Palatino Linotype" w:hAnsi="Palatino Linotype" w:cs="Palatino Linotype"/>
          <w:color w:val="000000" w:themeColor="text1"/>
        </w:rPr>
        <w:t xml:space="preserve">, por parte </w:t>
      </w:r>
      <w:r w:rsidR="008721B7" w:rsidRPr="00305BA5">
        <w:rPr>
          <w:rFonts w:ascii="Palatino Linotype" w:eastAsia="Palatino Linotype" w:hAnsi="Palatino Linotype" w:cs="Palatino Linotype"/>
          <w:color w:val="000000" w:themeColor="text1"/>
        </w:rPr>
        <w:t>del</w:t>
      </w:r>
      <w:r w:rsidRPr="00305BA5">
        <w:rPr>
          <w:rFonts w:ascii="Palatino Linotype" w:eastAsia="Palatino Linotype" w:hAnsi="Palatino Linotype" w:cs="Palatino Linotype"/>
          <w:color w:val="000000" w:themeColor="text1"/>
        </w:rPr>
        <w:t xml:space="preserve"> </w:t>
      </w:r>
      <w:r w:rsidR="00A45744" w:rsidRPr="00305BA5">
        <w:rPr>
          <w:rFonts w:ascii="Palatino Linotype" w:eastAsia="Palatino Linotype" w:hAnsi="Palatino Linotype" w:cs="Palatino Linotype"/>
          <w:b/>
          <w:bCs/>
          <w:color w:val="000000" w:themeColor="text1"/>
        </w:rPr>
        <w:t>Ayuntamiento de Villa de Allende</w:t>
      </w:r>
      <w:r w:rsidRPr="00305BA5">
        <w:rPr>
          <w:rFonts w:ascii="Palatino Linotype" w:eastAsia="Palatino Linotype" w:hAnsi="Palatino Linotype" w:cs="Palatino Linotype"/>
          <w:b/>
          <w:color w:val="000000" w:themeColor="text1"/>
        </w:rPr>
        <w:t xml:space="preserve">, </w:t>
      </w:r>
      <w:r w:rsidRPr="00305BA5">
        <w:rPr>
          <w:rFonts w:ascii="Palatino Linotype" w:eastAsia="Palatino Linotype" w:hAnsi="Palatino Linotype" w:cs="Palatino Linotype"/>
          <w:color w:val="000000" w:themeColor="text1"/>
        </w:rPr>
        <w:t xml:space="preserve">en adelante el </w:t>
      </w:r>
      <w:r w:rsidRPr="00305BA5">
        <w:rPr>
          <w:rFonts w:ascii="Palatino Linotype" w:eastAsia="Palatino Linotype" w:hAnsi="Palatino Linotype" w:cs="Palatino Linotype"/>
          <w:b/>
          <w:color w:val="000000" w:themeColor="text1"/>
        </w:rPr>
        <w:t>SUJETO OBLIGADO</w:t>
      </w:r>
      <w:r w:rsidRPr="00305BA5">
        <w:rPr>
          <w:rFonts w:ascii="Palatino Linotype" w:eastAsia="Palatino Linotype" w:hAnsi="Palatino Linotype" w:cs="Palatino Linotype"/>
          <w:color w:val="000000" w:themeColor="text1"/>
        </w:rPr>
        <w:t>, se emite la presente resolución con base en los siguientes:</w:t>
      </w:r>
      <w:r w:rsidR="008721B7" w:rsidRPr="00305BA5">
        <w:rPr>
          <w:rFonts w:ascii="Palatino Linotype" w:eastAsia="Palatino Linotype" w:hAnsi="Palatino Linotype" w:cs="Palatino Linotype"/>
          <w:color w:val="000000" w:themeColor="text1"/>
        </w:rPr>
        <w:t xml:space="preserve"> </w:t>
      </w:r>
    </w:p>
    <w:p w:rsidR="0072148B" w:rsidRDefault="0072148B" w:rsidP="00305BA5">
      <w:pPr>
        <w:jc w:val="both"/>
        <w:rPr>
          <w:rFonts w:ascii="Palatino Linotype" w:eastAsia="Palatino Linotype" w:hAnsi="Palatino Linotype" w:cs="Palatino Linotype"/>
          <w:color w:val="000000" w:themeColor="text1"/>
        </w:rPr>
      </w:pPr>
    </w:p>
    <w:p w:rsidR="00A9441B" w:rsidRPr="00305BA5" w:rsidRDefault="00A9441B" w:rsidP="00305BA5">
      <w:pPr>
        <w:jc w:val="both"/>
        <w:rPr>
          <w:rFonts w:ascii="Palatino Linotype" w:eastAsia="Palatino Linotype" w:hAnsi="Palatino Linotype" w:cs="Palatino Linotype"/>
          <w:color w:val="000000" w:themeColor="text1"/>
        </w:rPr>
      </w:pPr>
    </w:p>
    <w:p w:rsidR="0072148B" w:rsidRPr="00305BA5" w:rsidRDefault="00A077F4" w:rsidP="00305BA5">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305BA5">
        <w:rPr>
          <w:rFonts w:ascii="Palatino Linotype" w:eastAsia="Palatino Linotype" w:hAnsi="Palatino Linotype" w:cs="Palatino Linotype"/>
          <w:b/>
          <w:color w:val="000000" w:themeColor="text1"/>
          <w:sz w:val="24"/>
          <w:szCs w:val="24"/>
        </w:rPr>
        <w:t>A N T E C E D E N T E S</w:t>
      </w:r>
    </w:p>
    <w:p w:rsidR="0072148B" w:rsidRPr="00305BA5" w:rsidRDefault="0072148B" w:rsidP="00305BA5">
      <w:pPr>
        <w:pBdr>
          <w:top w:val="nil"/>
          <w:left w:val="nil"/>
          <w:bottom w:val="nil"/>
          <w:right w:val="nil"/>
          <w:between w:val="nil"/>
        </w:pBdr>
        <w:jc w:val="both"/>
        <w:rPr>
          <w:rFonts w:ascii="Palatino Linotype" w:eastAsia="Palatino Linotype" w:hAnsi="Palatino Linotype" w:cs="Palatino Linotype"/>
          <w:b/>
          <w:color w:val="000000" w:themeColor="text1"/>
          <w:u w:val="single"/>
        </w:rPr>
      </w:pPr>
    </w:p>
    <w:p w:rsidR="0072148B" w:rsidRPr="00305BA5" w:rsidRDefault="00A077F4" w:rsidP="00305BA5">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El </w:t>
      </w:r>
      <w:r w:rsidR="00BF0020" w:rsidRPr="00305BA5">
        <w:rPr>
          <w:rFonts w:ascii="Palatino Linotype" w:eastAsia="Palatino Linotype" w:hAnsi="Palatino Linotype" w:cs="Palatino Linotype"/>
          <w:b/>
          <w:color w:val="000000" w:themeColor="text1"/>
        </w:rPr>
        <w:t>veintiocho de marzo</w:t>
      </w:r>
      <w:r w:rsidR="008721B7" w:rsidRPr="00305BA5">
        <w:rPr>
          <w:rFonts w:ascii="Palatino Linotype" w:eastAsia="Palatino Linotype" w:hAnsi="Palatino Linotype" w:cs="Palatino Linotype"/>
          <w:b/>
          <w:color w:val="000000" w:themeColor="text1"/>
        </w:rPr>
        <w:t xml:space="preserve"> de dos mil veinticinco</w:t>
      </w:r>
      <w:r w:rsidRPr="00305BA5">
        <w:rPr>
          <w:rFonts w:ascii="Palatino Linotype" w:eastAsia="Palatino Linotype" w:hAnsi="Palatino Linotype" w:cs="Palatino Linotype"/>
          <w:color w:val="000000" w:themeColor="text1"/>
        </w:rPr>
        <w:t>,</w:t>
      </w:r>
      <w:r w:rsidRPr="00305BA5">
        <w:rPr>
          <w:rFonts w:ascii="Palatino Linotype" w:eastAsia="Palatino Linotype" w:hAnsi="Palatino Linotype" w:cs="Palatino Linotype"/>
          <w:b/>
          <w:color w:val="000000" w:themeColor="text1"/>
        </w:rPr>
        <w:t xml:space="preserve"> </w:t>
      </w:r>
      <w:r w:rsidRPr="00305BA5">
        <w:rPr>
          <w:rFonts w:ascii="Palatino Linotype" w:eastAsia="Palatino Linotype" w:hAnsi="Palatino Linotype" w:cs="Palatino Linotype"/>
          <w:color w:val="000000" w:themeColor="text1"/>
        </w:rPr>
        <w:t>se presentó ante el Sujeto Obligado vía Sistema de Acceso a la Información Mex</w:t>
      </w:r>
      <w:r w:rsidR="006B5B63" w:rsidRPr="00305BA5">
        <w:rPr>
          <w:rFonts w:ascii="Palatino Linotype" w:eastAsia="Palatino Linotype" w:hAnsi="Palatino Linotype" w:cs="Palatino Linotype"/>
          <w:color w:val="000000" w:themeColor="text1"/>
        </w:rPr>
        <w:t xml:space="preserve">iquense, en adelante SAIMEX, la siguiente </w:t>
      </w:r>
      <w:r w:rsidR="006B5B63" w:rsidRPr="00305BA5">
        <w:rPr>
          <w:rFonts w:ascii="Palatino Linotype" w:eastAsia="Palatino Linotype" w:hAnsi="Palatino Linotype" w:cs="Palatino Linotype"/>
          <w:b/>
          <w:color w:val="000000" w:themeColor="text1"/>
        </w:rPr>
        <w:t>solicitud</w:t>
      </w:r>
      <w:r w:rsidRPr="00305BA5">
        <w:rPr>
          <w:rFonts w:ascii="Palatino Linotype" w:eastAsia="Palatino Linotype" w:hAnsi="Palatino Linotype" w:cs="Palatino Linotype"/>
          <w:b/>
          <w:color w:val="000000" w:themeColor="text1"/>
        </w:rPr>
        <w:t xml:space="preserve"> de información</w:t>
      </w:r>
      <w:r w:rsidRPr="00305BA5">
        <w:rPr>
          <w:rFonts w:ascii="Palatino Linotype" w:eastAsia="Palatino Linotype" w:hAnsi="Palatino Linotype" w:cs="Palatino Linotype"/>
          <w:color w:val="000000" w:themeColor="text1"/>
        </w:rPr>
        <w:t xml:space="preserve"> pública:</w:t>
      </w:r>
    </w:p>
    <w:p w:rsidR="0072148B" w:rsidRPr="00305BA5" w:rsidRDefault="0072148B" w:rsidP="00305BA5">
      <w:pPr>
        <w:pBdr>
          <w:top w:val="nil"/>
          <w:left w:val="nil"/>
          <w:bottom w:val="nil"/>
          <w:right w:val="nil"/>
          <w:between w:val="nil"/>
        </w:pBdr>
        <w:jc w:val="both"/>
        <w:rPr>
          <w:rFonts w:ascii="Palatino Linotype" w:eastAsia="Palatino Linotype" w:hAnsi="Palatino Linotype" w:cs="Palatino Linotype"/>
          <w:color w:val="000000" w:themeColor="text1"/>
        </w:rPr>
      </w:pPr>
    </w:p>
    <w:p w:rsidR="0072148B" w:rsidRPr="00305BA5" w:rsidRDefault="006B5B63" w:rsidP="00305BA5">
      <w:pPr>
        <w:pBdr>
          <w:top w:val="nil"/>
          <w:left w:val="nil"/>
          <w:bottom w:val="nil"/>
          <w:right w:val="nil"/>
          <w:between w:val="nil"/>
        </w:pBd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 </w:t>
      </w:r>
      <w:r w:rsidR="00A077F4" w:rsidRPr="00305BA5">
        <w:rPr>
          <w:rFonts w:ascii="Palatino Linotype" w:eastAsia="Palatino Linotype" w:hAnsi="Palatino Linotype" w:cs="Palatino Linotype"/>
          <w:i/>
          <w:color w:val="000000" w:themeColor="text1"/>
        </w:rPr>
        <w:t>“</w:t>
      </w:r>
      <w:r w:rsidR="00BF0020" w:rsidRPr="00305BA5">
        <w:rPr>
          <w:rFonts w:ascii="Palatino Linotype" w:eastAsia="Palatino Linotype" w:hAnsi="Palatino Linotype" w:cs="Palatino Linotype"/>
          <w:i/>
          <w:color w:val="000000" w:themeColor="text1"/>
        </w:rPr>
        <w:t>copia del contrato de cada uno de los grupos que se presentaron durante la pasada administracion 2022-2024 en septiembre 2022-2023-2024, ademas de lo gastado en su expoferia de los años 2023-2024 y gastos de publicidad todo se requiere con comprobante</w:t>
      </w:r>
      <w:r w:rsidR="008621A1" w:rsidRPr="00305BA5">
        <w:rPr>
          <w:rFonts w:ascii="Palatino Linotype" w:eastAsia="Palatino Linotype" w:hAnsi="Palatino Linotype" w:cs="Palatino Linotype"/>
          <w:i/>
          <w:color w:val="000000" w:themeColor="text1"/>
        </w:rPr>
        <w:t>.</w:t>
      </w:r>
      <w:r w:rsidRPr="00305BA5">
        <w:rPr>
          <w:rFonts w:ascii="Palatino Linotype" w:eastAsia="Palatino Linotype" w:hAnsi="Palatino Linotype" w:cs="Palatino Linotype"/>
          <w:i/>
          <w:color w:val="000000" w:themeColor="text1"/>
        </w:rPr>
        <w:t>”</w:t>
      </w:r>
      <w:r w:rsidR="00A077F4" w:rsidRPr="00305BA5">
        <w:rPr>
          <w:rFonts w:ascii="Palatino Linotype" w:eastAsia="Palatino Linotype" w:hAnsi="Palatino Linotype" w:cs="Palatino Linotype"/>
          <w:i/>
          <w:color w:val="000000" w:themeColor="text1"/>
        </w:rPr>
        <w:t xml:space="preserve"> (Sic)</w:t>
      </w:r>
    </w:p>
    <w:p w:rsidR="0072148B" w:rsidRPr="00305BA5" w:rsidRDefault="0072148B" w:rsidP="00305BA5">
      <w:pPr>
        <w:pBdr>
          <w:top w:val="nil"/>
          <w:left w:val="nil"/>
          <w:bottom w:val="nil"/>
          <w:right w:val="nil"/>
          <w:between w:val="nil"/>
        </w:pBdr>
        <w:jc w:val="both"/>
        <w:rPr>
          <w:rFonts w:ascii="Palatino Linotype" w:eastAsia="Palatino Linotype" w:hAnsi="Palatino Linotype" w:cs="Palatino Linotype"/>
          <w:color w:val="000000" w:themeColor="text1"/>
        </w:rPr>
      </w:pPr>
    </w:p>
    <w:p w:rsidR="0072148B" w:rsidRPr="00305BA5" w:rsidRDefault="00A077F4" w:rsidP="00305BA5">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Se eligió como modalidad de entrega de la información: A través del </w:t>
      </w:r>
      <w:r w:rsidRPr="00305BA5">
        <w:rPr>
          <w:rFonts w:ascii="Palatino Linotype" w:eastAsia="Palatino Linotype" w:hAnsi="Palatino Linotype" w:cs="Palatino Linotype"/>
          <w:b/>
          <w:color w:val="000000" w:themeColor="text1"/>
        </w:rPr>
        <w:t>SAIMEX.</w:t>
      </w:r>
    </w:p>
    <w:p w:rsidR="00723384" w:rsidRPr="00305BA5" w:rsidRDefault="00723384" w:rsidP="00305BA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A3600" w:rsidRPr="00305BA5" w:rsidRDefault="008721B7" w:rsidP="00305BA5">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El </w:t>
      </w:r>
      <w:r w:rsidRPr="00305BA5">
        <w:rPr>
          <w:rFonts w:ascii="Palatino Linotype" w:eastAsia="Palatino Linotype" w:hAnsi="Palatino Linotype" w:cs="Palatino Linotype"/>
          <w:b/>
          <w:color w:val="000000" w:themeColor="text1"/>
        </w:rPr>
        <w:t>Sujeto Obligado</w:t>
      </w:r>
      <w:r w:rsidRPr="00305BA5">
        <w:rPr>
          <w:rFonts w:ascii="Palatino Linotype" w:eastAsia="Palatino Linotype" w:hAnsi="Palatino Linotype" w:cs="Palatino Linotype"/>
          <w:color w:val="000000" w:themeColor="text1"/>
        </w:rPr>
        <w:t xml:space="preserve"> </w:t>
      </w:r>
      <w:r w:rsidRPr="00305BA5">
        <w:rPr>
          <w:rFonts w:ascii="Palatino Linotype" w:eastAsia="Palatino Linotype" w:hAnsi="Palatino Linotype" w:cs="Palatino Linotype"/>
          <w:b/>
          <w:color w:val="000000" w:themeColor="text1"/>
        </w:rPr>
        <w:t>no proporcionó respuesta</w:t>
      </w:r>
      <w:r w:rsidRPr="00305BA5">
        <w:rPr>
          <w:rFonts w:ascii="Palatino Linotype" w:eastAsia="Palatino Linotype" w:hAnsi="Palatino Linotype" w:cs="Palatino Linotype"/>
          <w:color w:val="000000" w:themeColor="text1"/>
        </w:rPr>
        <w:t xml:space="preserve"> a la solicitud de información dentro del plazo de quince días establecido en el artículo 163 de la Ley de Transparencia y Acceso a la Información Pública del Estado de México y Municipios.</w:t>
      </w:r>
    </w:p>
    <w:p w:rsidR="00B16349" w:rsidRPr="00305BA5" w:rsidRDefault="00B16349" w:rsidP="00305BA5">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D80BFC" w:rsidRPr="00305BA5" w:rsidRDefault="00A077F4" w:rsidP="00305BA5">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lastRenderedPageBreak/>
        <w:t>El</w:t>
      </w:r>
      <w:r w:rsidRPr="00305BA5">
        <w:rPr>
          <w:rFonts w:ascii="Palatino Linotype" w:eastAsia="Palatino Linotype" w:hAnsi="Palatino Linotype" w:cs="Palatino Linotype"/>
          <w:b/>
          <w:color w:val="000000" w:themeColor="text1"/>
        </w:rPr>
        <w:t xml:space="preserve"> </w:t>
      </w:r>
      <w:r w:rsidR="00BF0020" w:rsidRPr="00305BA5">
        <w:rPr>
          <w:rFonts w:ascii="Palatino Linotype" w:eastAsia="Palatino Linotype" w:hAnsi="Palatino Linotype" w:cs="Palatino Linotype"/>
          <w:b/>
          <w:color w:val="000000" w:themeColor="text1"/>
        </w:rPr>
        <w:t>veintiocho de abril</w:t>
      </w:r>
      <w:r w:rsidRPr="00305BA5">
        <w:rPr>
          <w:rFonts w:ascii="Palatino Linotype" w:eastAsia="Palatino Linotype" w:hAnsi="Palatino Linotype" w:cs="Palatino Linotype"/>
          <w:b/>
          <w:color w:val="000000" w:themeColor="text1"/>
        </w:rPr>
        <w:t xml:space="preserve"> de dos mil veinticinco</w:t>
      </w:r>
      <w:r w:rsidRPr="00305BA5">
        <w:rPr>
          <w:rFonts w:ascii="Palatino Linotype" w:eastAsia="Palatino Linotype" w:hAnsi="Palatino Linotype" w:cs="Palatino Linotype"/>
          <w:color w:val="000000" w:themeColor="text1"/>
        </w:rPr>
        <w:t xml:space="preserve">, el particular interpuso </w:t>
      </w:r>
      <w:r w:rsidR="00C72A3B" w:rsidRPr="00305BA5">
        <w:rPr>
          <w:rFonts w:ascii="Palatino Linotype" w:eastAsia="Palatino Linotype" w:hAnsi="Palatino Linotype" w:cs="Palatino Linotype"/>
          <w:color w:val="000000" w:themeColor="text1"/>
        </w:rPr>
        <w:t>recurso</w:t>
      </w:r>
      <w:r w:rsidRPr="00305BA5">
        <w:rPr>
          <w:rFonts w:ascii="Palatino Linotype" w:eastAsia="Palatino Linotype" w:hAnsi="Palatino Linotype" w:cs="Palatino Linotype"/>
          <w:color w:val="000000" w:themeColor="text1"/>
        </w:rPr>
        <w:t xml:space="preserve"> de revisión a</w:t>
      </w:r>
      <w:r w:rsidR="00C72A3B" w:rsidRPr="00305BA5">
        <w:rPr>
          <w:rFonts w:ascii="Palatino Linotype" w:eastAsia="Palatino Linotype" w:hAnsi="Palatino Linotype" w:cs="Palatino Linotype"/>
          <w:color w:val="000000" w:themeColor="text1"/>
        </w:rPr>
        <w:t>l</w:t>
      </w:r>
      <w:r w:rsidRPr="00305BA5">
        <w:rPr>
          <w:rFonts w:ascii="Palatino Linotype" w:eastAsia="Palatino Linotype" w:hAnsi="Palatino Linotype" w:cs="Palatino Linotype"/>
          <w:color w:val="000000" w:themeColor="text1"/>
        </w:rPr>
        <w:t xml:space="preserve"> </w:t>
      </w:r>
      <w:r w:rsidR="00C72A3B" w:rsidRPr="00305BA5">
        <w:rPr>
          <w:rFonts w:ascii="Palatino Linotype" w:eastAsia="Palatino Linotype" w:hAnsi="Palatino Linotype" w:cs="Palatino Linotype"/>
          <w:color w:val="000000" w:themeColor="text1"/>
        </w:rPr>
        <w:t>que se le</w:t>
      </w:r>
      <w:r w:rsidRPr="00305BA5">
        <w:rPr>
          <w:rFonts w:ascii="Palatino Linotype" w:eastAsia="Palatino Linotype" w:hAnsi="Palatino Linotype" w:cs="Palatino Linotype"/>
          <w:color w:val="000000" w:themeColor="text1"/>
        </w:rPr>
        <w:t xml:space="preserve"> </w:t>
      </w:r>
      <w:r w:rsidR="00C72A3B" w:rsidRPr="00305BA5">
        <w:rPr>
          <w:rFonts w:ascii="Palatino Linotype" w:eastAsia="Palatino Linotype" w:hAnsi="Palatino Linotype" w:cs="Palatino Linotype"/>
          <w:color w:val="000000" w:themeColor="text1"/>
        </w:rPr>
        <w:t>asignó el folio</w:t>
      </w:r>
      <w:r w:rsidRPr="00305BA5">
        <w:rPr>
          <w:rFonts w:ascii="Palatino Linotype" w:eastAsia="Palatino Linotype" w:hAnsi="Palatino Linotype" w:cs="Palatino Linotype"/>
          <w:color w:val="000000" w:themeColor="text1"/>
        </w:rPr>
        <w:t xml:space="preserve"> </w:t>
      </w:r>
      <w:r w:rsidR="0059542F" w:rsidRPr="00305BA5">
        <w:rPr>
          <w:rFonts w:ascii="Palatino Linotype" w:eastAsia="Palatino Linotype" w:hAnsi="Palatino Linotype" w:cs="Palatino Linotype"/>
          <w:b/>
          <w:color w:val="000000" w:themeColor="text1"/>
        </w:rPr>
        <w:t>04848</w:t>
      </w:r>
      <w:r w:rsidR="00C72A3B" w:rsidRPr="00305BA5">
        <w:rPr>
          <w:rFonts w:ascii="Palatino Linotype" w:eastAsia="Palatino Linotype" w:hAnsi="Palatino Linotype" w:cs="Palatino Linotype"/>
          <w:b/>
          <w:color w:val="000000" w:themeColor="text1"/>
        </w:rPr>
        <w:t xml:space="preserve">/INFOEM/IP/RR/2025, </w:t>
      </w:r>
      <w:r w:rsidR="00C72A3B" w:rsidRPr="00305BA5">
        <w:rPr>
          <w:rFonts w:ascii="Palatino Linotype" w:eastAsia="Palatino Linotype" w:hAnsi="Palatino Linotype" w:cs="Palatino Linotype"/>
          <w:color w:val="000000" w:themeColor="text1"/>
        </w:rPr>
        <w:t>en contra de la</w:t>
      </w:r>
      <w:r w:rsidR="00143D20" w:rsidRPr="00305BA5">
        <w:rPr>
          <w:rFonts w:ascii="Palatino Linotype" w:eastAsia="Palatino Linotype" w:hAnsi="Palatino Linotype" w:cs="Palatino Linotype"/>
          <w:color w:val="000000" w:themeColor="text1"/>
        </w:rPr>
        <w:t xml:space="preserve"> falta de</w:t>
      </w:r>
      <w:r w:rsidR="00C72A3B" w:rsidRPr="00305BA5">
        <w:rPr>
          <w:rFonts w:ascii="Palatino Linotype" w:eastAsia="Palatino Linotype" w:hAnsi="Palatino Linotype" w:cs="Palatino Linotype"/>
          <w:color w:val="000000" w:themeColor="text1"/>
        </w:rPr>
        <w:t xml:space="preserve"> respuesta </w:t>
      </w:r>
      <w:r w:rsidRPr="00305BA5">
        <w:rPr>
          <w:rFonts w:ascii="Palatino Linotype" w:eastAsia="Palatino Linotype" w:hAnsi="Palatino Linotype" w:cs="Palatino Linotype"/>
          <w:color w:val="000000" w:themeColor="text1"/>
        </w:rPr>
        <w:t>por el sujeto obligado, realizando las siguientes manifestaciones como acto impugnado y razones o motivos de inconformidad:</w:t>
      </w:r>
    </w:p>
    <w:p w:rsidR="008721B7" w:rsidRPr="00305BA5" w:rsidRDefault="008721B7" w:rsidP="00305BA5">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143D20" w:rsidRPr="00A9441B" w:rsidRDefault="00A077F4" w:rsidP="00A9441B">
      <w:pPr>
        <w:pStyle w:val="Prrafodelista"/>
        <w:numPr>
          <w:ilvl w:val="0"/>
          <w:numId w:val="38"/>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A9441B">
        <w:rPr>
          <w:rFonts w:ascii="Palatino Linotype" w:eastAsia="Palatino Linotype" w:hAnsi="Palatino Linotype" w:cs="Palatino Linotype"/>
          <w:b/>
          <w:color w:val="000000" w:themeColor="text1"/>
        </w:rPr>
        <w:t>Acto impugnado</w:t>
      </w:r>
      <w:r w:rsidR="00143D20" w:rsidRPr="00A9441B">
        <w:rPr>
          <w:rFonts w:ascii="Palatino Linotype" w:eastAsia="Palatino Linotype" w:hAnsi="Palatino Linotype" w:cs="Palatino Linotype"/>
          <w:b/>
          <w:color w:val="000000" w:themeColor="text1"/>
        </w:rPr>
        <w:t>:</w:t>
      </w:r>
      <w:r w:rsidR="00143D20" w:rsidRPr="00A9441B">
        <w:rPr>
          <w:rFonts w:ascii="Palatino Linotype" w:eastAsia="Palatino Linotype" w:hAnsi="Palatino Linotype" w:cs="Palatino Linotype"/>
          <w:i/>
          <w:color w:val="000000" w:themeColor="text1"/>
        </w:rPr>
        <w:t xml:space="preserve"> “</w:t>
      </w:r>
      <w:r w:rsidR="0059542F" w:rsidRPr="00A9441B">
        <w:rPr>
          <w:rFonts w:ascii="Palatino Linotype" w:eastAsia="Palatino Linotype" w:hAnsi="Palatino Linotype" w:cs="Palatino Linotype"/>
          <w:i/>
          <w:color w:val="000000" w:themeColor="text1"/>
        </w:rPr>
        <w:t>no entregaron nada.</w:t>
      </w:r>
      <w:r w:rsidR="00143D20" w:rsidRPr="00A9441B">
        <w:rPr>
          <w:rFonts w:ascii="Palatino Linotype" w:eastAsia="Palatino Linotype" w:hAnsi="Palatino Linotype" w:cs="Palatino Linotype"/>
          <w:i/>
          <w:color w:val="000000" w:themeColor="text1"/>
        </w:rPr>
        <w:t>” (Sic)</w:t>
      </w:r>
      <w:bookmarkStart w:id="3" w:name="_heading=h.1fob9te" w:colFirst="0" w:colLast="0"/>
      <w:bookmarkEnd w:id="3"/>
    </w:p>
    <w:p w:rsidR="00143D20" w:rsidRPr="00305BA5" w:rsidRDefault="00143D20" w:rsidP="00305BA5">
      <w:pPr>
        <w:pBdr>
          <w:top w:val="nil"/>
          <w:left w:val="nil"/>
          <w:bottom w:val="nil"/>
          <w:right w:val="nil"/>
          <w:between w:val="nil"/>
        </w:pBdr>
        <w:jc w:val="both"/>
        <w:rPr>
          <w:rFonts w:ascii="Palatino Linotype" w:eastAsia="Palatino Linotype" w:hAnsi="Palatino Linotype" w:cs="Palatino Linotype"/>
          <w:b/>
          <w:color w:val="000000" w:themeColor="text1"/>
        </w:rPr>
      </w:pPr>
    </w:p>
    <w:p w:rsidR="00143D20" w:rsidRPr="00305BA5" w:rsidRDefault="00143D20" w:rsidP="00305BA5">
      <w:pPr>
        <w:pBdr>
          <w:top w:val="nil"/>
          <w:left w:val="nil"/>
          <w:bottom w:val="nil"/>
          <w:right w:val="nil"/>
          <w:between w:val="nil"/>
        </w:pBdr>
        <w:jc w:val="both"/>
        <w:rPr>
          <w:rFonts w:ascii="Palatino Linotype" w:eastAsia="Palatino Linotype" w:hAnsi="Palatino Linotype" w:cs="Palatino Linotype"/>
          <w:b/>
          <w:color w:val="000000" w:themeColor="text1"/>
        </w:rPr>
      </w:pPr>
    </w:p>
    <w:p w:rsidR="00386CEB" w:rsidRPr="00A9441B" w:rsidRDefault="007A4327" w:rsidP="00A9441B">
      <w:pPr>
        <w:pStyle w:val="Prrafodelista"/>
        <w:numPr>
          <w:ilvl w:val="0"/>
          <w:numId w:val="38"/>
        </w:numPr>
        <w:pBdr>
          <w:top w:val="nil"/>
          <w:left w:val="nil"/>
          <w:bottom w:val="nil"/>
          <w:right w:val="nil"/>
          <w:between w:val="nil"/>
        </w:pBdr>
        <w:jc w:val="both"/>
        <w:rPr>
          <w:rFonts w:ascii="Palatino Linotype" w:eastAsia="Palatino Linotype" w:hAnsi="Palatino Linotype" w:cs="Palatino Linotype"/>
          <w:b/>
          <w:color w:val="000000" w:themeColor="text1"/>
        </w:rPr>
      </w:pPr>
      <w:r w:rsidRPr="00A9441B">
        <w:rPr>
          <w:rFonts w:ascii="Palatino Linotype" w:eastAsia="Palatino Linotype" w:hAnsi="Palatino Linotype" w:cs="Palatino Linotype"/>
          <w:b/>
          <w:color w:val="000000" w:themeColor="text1"/>
        </w:rPr>
        <w:t xml:space="preserve">Razones o Motivos de </w:t>
      </w:r>
      <w:r w:rsidR="00386CEB" w:rsidRPr="00A9441B">
        <w:rPr>
          <w:rFonts w:ascii="Palatino Linotype" w:eastAsia="Palatino Linotype" w:hAnsi="Palatino Linotype" w:cs="Palatino Linotype"/>
          <w:b/>
          <w:color w:val="000000" w:themeColor="text1"/>
        </w:rPr>
        <w:t>inconformidad:</w:t>
      </w:r>
      <w:r w:rsidR="00A077F4" w:rsidRPr="00A9441B">
        <w:rPr>
          <w:rFonts w:ascii="Palatino Linotype" w:eastAsia="Palatino Linotype" w:hAnsi="Palatino Linotype" w:cs="Palatino Linotype"/>
          <w:b/>
          <w:color w:val="000000" w:themeColor="text1"/>
        </w:rPr>
        <w:t xml:space="preserve"> </w:t>
      </w:r>
      <w:r w:rsidR="00143D20" w:rsidRPr="00A9441B">
        <w:rPr>
          <w:rFonts w:ascii="Palatino Linotype" w:eastAsia="Palatino Linotype" w:hAnsi="Palatino Linotype" w:cs="Palatino Linotype"/>
          <w:i/>
          <w:color w:val="000000" w:themeColor="text1"/>
        </w:rPr>
        <w:t>“</w:t>
      </w:r>
      <w:r w:rsidR="0059542F" w:rsidRPr="00A9441B">
        <w:rPr>
          <w:rFonts w:ascii="Palatino Linotype" w:eastAsia="Palatino Linotype" w:hAnsi="Palatino Linotype" w:cs="Palatino Linotype"/>
          <w:i/>
          <w:color w:val="000000" w:themeColor="text1"/>
        </w:rPr>
        <w:t>no entregaron nada.</w:t>
      </w:r>
      <w:r w:rsidR="00143D20" w:rsidRPr="00A9441B">
        <w:rPr>
          <w:rFonts w:ascii="Palatino Linotype" w:eastAsia="Palatino Linotype" w:hAnsi="Palatino Linotype" w:cs="Palatino Linotype"/>
          <w:i/>
          <w:color w:val="000000" w:themeColor="text1"/>
        </w:rPr>
        <w:t>” (Sic)</w:t>
      </w:r>
    </w:p>
    <w:p w:rsidR="00386CEB" w:rsidRPr="00305BA5" w:rsidRDefault="00386CEB" w:rsidP="00305BA5">
      <w:pPr>
        <w:pBdr>
          <w:top w:val="nil"/>
          <w:left w:val="nil"/>
          <w:bottom w:val="nil"/>
          <w:right w:val="nil"/>
          <w:between w:val="nil"/>
        </w:pBdr>
        <w:jc w:val="both"/>
        <w:rPr>
          <w:rFonts w:ascii="Palatino Linotype" w:eastAsia="Palatino Linotype" w:hAnsi="Palatino Linotype" w:cs="Palatino Linotype"/>
          <w:b/>
          <w:color w:val="000000" w:themeColor="text1"/>
        </w:rPr>
      </w:pPr>
    </w:p>
    <w:p w:rsidR="0072148B" w:rsidRPr="00305BA5" w:rsidRDefault="0072148B" w:rsidP="00305BA5">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u w:val="single"/>
        </w:rPr>
      </w:pPr>
    </w:p>
    <w:p w:rsidR="005845B2" w:rsidRPr="00305BA5" w:rsidRDefault="005845B2" w:rsidP="00305BA5">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305BA5">
        <w:rPr>
          <w:rFonts w:ascii="Palatino Linotype" w:eastAsia="Palatino Linotype" w:hAnsi="Palatino Linotype" w:cs="Palatino Linotype"/>
          <w:b/>
          <w:color w:val="000000" w:themeColor="text1"/>
        </w:rPr>
        <w:t xml:space="preserve">acuerdo de admisión </w:t>
      </w:r>
      <w:r w:rsidRPr="00305BA5">
        <w:rPr>
          <w:rFonts w:ascii="Palatino Linotype" w:eastAsia="Palatino Linotype" w:hAnsi="Palatino Linotype" w:cs="Palatino Linotype"/>
          <w:color w:val="000000" w:themeColor="text1"/>
        </w:rPr>
        <w:t xml:space="preserve">de fecha </w:t>
      </w:r>
      <w:r w:rsidR="0059542F" w:rsidRPr="00305BA5">
        <w:rPr>
          <w:rFonts w:ascii="Palatino Linotype" w:eastAsia="Palatino Linotype" w:hAnsi="Palatino Linotype" w:cs="Palatino Linotype"/>
          <w:b/>
          <w:color w:val="000000" w:themeColor="text1"/>
        </w:rPr>
        <w:t>treinta de abril</w:t>
      </w:r>
      <w:r w:rsidR="00DC7B42" w:rsidRPr="00305BA5">
        <w:rPr>
          <w:rFonts w:ascii="Palatino Linotype" w:eastAsia="Palatino Linotype" w:hAnsi="Palatino Linotype" w:cs="Palatino Linotype"/>
          <w:b/>
          <w:color w:val="000000" w:themeColor="text1"/>
        </w:rPr>
        <w:t xml:space="preserve"> de</w:t>
      </w:r>
      <w:r w:rsidRPr="00305BA5">
        <w:rPr>
          <w:rFonts w:ascii="Palatino Linotype" w:eastAsia="Palatino Linotype" w:hAnsi="Palatino Linotype" w:cs="Palatino Linotype"/>
          <w:b/>
          <w:color w:val="000000" w:themeColor="text1"/>
        </w:rPr>
        <w:t xml:space="preserve"> dos mil veinticinco, </w:t>
      </w:r>
      <w:r w:rsidRPr="00305BA5">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305BA5">
        <w:rPr>
          <w:rFonts w:ascii="Palatino Linotype" w:eastAsia="Palatino Linotype" w:hAnsi="Palatino Linotype" w:cs="Palatino Linotype"/>
          <w:b/>
          <w:color w:val="000000" w:themeColor="text1"/>
        </w:rPr>
        <w:t xml:space="preserve">SUJETO OBLIGADO </w:t>
      </w:r>
      <w:r w:rsidRPr="00305BA5">
        <w:rPr>
          <w:rFonts w:ascii="Palatino Linotype" w:eastAsia="Palatino Linotype" w:hAnsi="Palatino Linotype" w:cs="Palatino Linotype"/>
          <w:color w:val="000000" w:themeColor="text1"/>
        </w:rPr>
        <w:t>presentará el Informe Justificado procedente.</w:t>
      </w:r>
    </w:p>
    <w:p w:rsidR="005845B2" w:rsidRPr="00305BA5" w:rsidRDefault="005845B2" w:rsidP="00305BA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5845B2" w:rsidRPr="00305BA5" w:rsidRDefault="00D93F3D" w:rsidP="00305BA5">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El Recurrente</w:t>
      </w:r>
      <w:r w:rsidRPr="00305BA5">
        <w:rPr>
          <w:rFonts w:ascii="Palatino Linotype" w:eastAsia="Palatino Linotype" w:hAnsi="Palatino Linotype" w:cs="Palatino Linotype"/>
          <w:b/>
          <w:color w:val="000000" w:themeColor="text1"/>
        </w:rPr>
        <w:t xml:space="preserve"> </w:t>
      </w:r>
      <w:r w:rsidRPr="00305BA5">
        <w:rPr>
          <w:rFonts w:ascii="Palatino Linotype" w:eastAsia="Palatino Linotype" w:hAnsi="Palatino Linotype" w:cs="Palatino Linotype"/>
          <w:color w:val="000000" w:themeColor="text1"/>
        </w:rPr>
        <w:t>dejó de realizar manifestaciones que a su derecho conviniera y asistiera, por su parte, e</w:t>
      </w:r>
      <w:r w:rsidR="0059542F" w:rsidRPr="00305BA5">
        <w:rPr>
          <w:rFonts w:ascii="Palatino Linotype" w:eastAsia="Palatino Linotype" w:hAnsi="Palatino Linotype" w:cs="Palatino Linotype"/>
          <w:color w:val="000000" w:themeColor="text1"/>
        </w:rPr>
        <w:t xml:space="preserve">l </w:t>
      </w:r>
      <w:r w:rsidR="00A8169A" w:rsidRPr="00305BA5">
        <w:rPr>
          <w:rFonts w:ascii="Palatino Linotype" w:eastAsia="Palatino Linotype" w:hAnsi="Palatino Linotype" w:cs="Palatino Linotype"/>
          <w:color w:val="000000" w:themeColor="text1"/>
        </w:rPr>
        <w:t xml:space="preserve">Sujeto Obligado rindió el </w:t>
      </w:r>
      <w:r w:rsidR="00A8169A" w:rsidRPr="00305BA5">
        <w:rPr>
          <w:rFonts w:ascii="Palatino Linotype" w:eastAsia="Palatino Linotype" w:hAnsi="Palatino Linotype" w:cs="Palatino Linotype"/>
          <w:b/>
          <w:color w:val="000000" w:themeColor="text1"/>
        </w:rPr>
        <w:t>Informe Justificado</w:t>
      </w:r>
      <w:r w:rsidR="00A8169A" w:rsidRPr="00305BA5">
        <w:rPr>
          <w:rFonts w:ascii="Palatino Linotype" w:eastAsia="Palatino Linotype" w:hAnsi="Palatino Linotype" w:cs="Palatino Linotype"/>
          <w:color w:val="000000" w:themeColor="text1"/>
        </w:rPr>
        <w:t xml:space="preserve"> el </w:t>
      </w:r>
      <w:r w:rsidR="0059542F" w:rsidRPr="00305BA5">
        <w:rPr>
          <w:rFonts w:ascii="Palatino Linotype" w:eastAsia="Palatino Linotype" w:hAnsi="Palatino Linotype" w:cs="Palatino Linotype"/>
          <w:b/>
          <w:color w:val="000000" w:themeColor="text1"/>
        </w:rPr>
        <w:t>uno y siete de mayo</w:t>
      </w:r>
      <w:r w:rsidR="00A8169A" w:rsidRPr="00305BA5">
        <w:rPr>
          <w:rFonts w:ascii="Palatino Linotype" w:eastAsia="Palatino Linotype" w:hAnsi="Palatino Linotype" w:cs="Palatino Linotype"/>
          <w:b/>
          <w:color w:val="000000" w:themeColor="text1"/>
        </w:rPr>
        <w:t xml:space="preserve"> de dos mil veinticinco</w:t>
      </w:r>
      <w:r w:rsidR="00A8169A" w:rsidRPr="00305BA5">
        <w:rPr>
          <w:rFonts w:ascii="Palatino Linotype" w:eastAsia="Palatino Linotype" w:hAnsi="Palatino Linotype" w:cs="Palatino Linotype"/>
          <w:color w:val="000000" w:themeColor="text1"/>
        </w:rPr>
        <w:t>, adjuntando</w:t>
      </w:r>
      <w:r w:rsidR="0059542F" w:rsidRPr="00305BA5">
        <w:rPr>
          <w:rFonts w:ascii="Palatino Linotype" w:eastAsia="Palatino Linotype" w:hAnsi="Palatino Linotype" w:cs="Palatino Linotype"/>
          <w:color w:val="000000" w:themeColor="text1"/>
        </w:rPr>
        <w:t xml:space="preserve"> los</w:t>
      </w:r>
      <w:r w:rsidR="00A8169A" w:rsidRPr="00305BA5">
        <w:rPr>
          <w:rFonts w:ascii="Palatino Linotype" w:eastAsia="Palatino Linotype" w:hAnsi="Palatino Linotype" w:cs="Palatino Linotype"/>
          <w:color w:val="000000" w:themeColor="text1"/>
        </w:rPr>
        <w:t xml:space="preserve"> archivos electrónicos</w:t>
      </w:r>
      <w:r w:rsidR="00BD5B95" w:rsidRPr="00305BA5">
        <w:rPr>
          <w:rFonts w:ascii="Palatino Linotype" w:eastAsia="Palatino Linotype" w:hAnsi="Palatino Linotype" w:cs="Palatino Linotype"/>
          <w:color w:val="000000" w:themeColor="text1"/>
        </w:rPr>
        <w:t xml:space="preserve"> que</w:t>
      </w:r>
      <w:r w:rsidR="00A8169A" w:rsidRPr="00305BA5">
        <w:rPr>
          <w:rFonts w:ascii="Palatino Linotype" w:eastAsia="Palatino Linotype" w:hAnsi="Palatino Linotype" w:cs="Palatino Linotype"/>
          <w:color w:val="000000" w:themeColor="text1"/>
        </w:rPr>
        <w:t xml:space="preserve"> se describen a continuación</w:t>
      </w:r>
      <w:r w:rsidR="006C7CBE" w:rsidRPr="00305BA5">
        <w:rPr>
          <w:rFonts w:ascii="Palatino Linotype" w:eastAsia="Palatino Linotype" w:hAnsi="Palatino Linotype" w:cs="Palatino Linotype"/>
          <w:color w:val="000000" w:themeColor="text1"/>
        </w:rPr>
        <w:t>:</w:t>
      </w:r>
    </w:p>
    <w:p w:rsidR="00BD5B95" w:rsidRPr="00305BA5" w:rsidRDefault="00BD5B95" w:rsidP="00305BA5">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p w:rsidR="00C2791B" w:rsidRPr="00305BA5" w:rsidRDefault="0059542F" w:rsidP="00305BA5">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05BA5">
        <w:rPr>
          <w:rFonts w:ascii="Palatino Linotype" w:eastAsia="Palatino Linotype" w:hAnsi="Palatino Linotype" w:cs="Palatino Linotype"/>
          <w:b/>
          <w:i/>
          <w:color w:val="000000" w:themeColor="text1"/>
        </w:rPr>
        <w:t>R25 (1).pdf</w:t>
      </w:r>
    </w:p>
    <w:p w:rsidR="0059542F" w:rsidRPr="00305BA5" w:rsidRDefault="0059542F" w:rsidP="00305BA5">
      <w:pPr>
        <w:pBdr>
          <w:top w:val="nil"/>
          <w:left w:val="nil"/>
          <w:bottom w:val="nil"/>
          <w:right w:val="nil"/>
          <w:between w:val="nil"/>
        </w:pBdr>
        <w:jc w:val="both"/>
        <w:rPr>
          <w:rFonts w:ascii="Palatino Linotype" w:eastAsia="Palatino Linotype" w:hAnsi="Palatino Linotype" w:cs="Palatino Linotype"/>
          <w:color w:val="000000" w:themeColor="text1"/>
        </w:rPr>
      </w:pPr>
    </w:p>
    <w:p w:rsidR="0059542F" w:rsidRPr="00305BA5" w:rsidRDefault="0059542F" w:rsidP="00305BA5">
      <w:pPr>
        <w:pBdr>
          <w:top w:val="nil"/>
          <w:left w:val="nil"/>
          <w:bottom w:val="nil"/>
          <w:right w:val="nil"/>
          <w:between w:val="nil"/>
        </w:pBdr>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 Oficio UTAIPNA/107/V/2025 de fecha 28 de abril de 2025, firmado por la Encargada del Despacho de la Unidad de Trasparecía a través del cual informa que se turnó la solicitud </w:t>
      </w:r>
      <w:r w:rsidR="006C39F8" w:rsidRPr="00305BA5">
        <w:rPr>
          <w:rFonts w:ascii="Palatino Linotype" w:eastAsia="Palatino Linotype" w:hAnsi="Palatino Linotype" w:cs="Palatino Linotype"/>
          <w:color w:val="000000" w:themeColor="text1"/>
        </w:rPr>
        <w:t>a la Tesorería Municipal y la Dirección de Administración y Finanzas.</w:t>
      </w:r>
    </w:p>
    <w:p w:rsidR="006C39F8" w:rsidRPr="00305BA5" w:rsidRDefault="006C39F8" w:rsidP="00305BA5">
      <w:pPr>
        <w:pBdr>
          <w:top w:val="nil"/>
          <w:left w:val="nil"/>
          <w:bottom w:val="nil"/>
          <w:right w:val="nil"/>
          <w:between w:val="nil"/>
        </w:pBdr>
        <w:jc w:val="both"/>
        <w:rPr>
          <w:rFonts w:ascii="Palatino Linotype" w:eastAsia="Palatino Linotype" w:hAnsi="Palatino Linotype" w:cs="Palatino Linotype"/>
          <w:color w:val="000000" w:themeColor="text1"/>
        </w:rPr>
      </w:pPr>
    </w:p>
    <w:p w:rsidR="006C39F8" w:rsidRPr="00305BA5" w:rsidRDefault="006C39F8" w:rsidP="00305BA5">
      <w:pPr>
        <w:pBdr>
          <w:top w:val="nil"/>
          <w:left w:val="nil"/>
          <w:bottom w:val="nil"/>
          <w:right w:val="nil"/>
          <w:between w:val="nil"/>
        </w:pBd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color w:val="000000" w:themeColor="text1"/>
        </w:rPr>
        <w:lastRenderedPageBreak/>
        <w:t xml:space="preserve"> De esta manera, señala que </w:t>
      </w:r>
      <w:r w:rsidRPr="00305BA5">
        <w:rPr>
          <w:rFonts w:ascii="Palatino Linotype" w:eastAsia="Palatino Linotype" w:hAnsi="Palatino Linotype" w:cs="Palatino Linotype"/>
          <w:i/>
          <w:color w:val="000000" w:themeColor="text1"/>
        </w:rPr>
        <w:t xml:space="preserve">“se adjunta el acta correspondiente del Comité de Transparencia, en la cual se aprobó el </w:t>
      </w:r>
      <w:r w:rsidRPr="00305BA5">
        <w:rPr>
          <w:rFonts w:ascii="Palatino Linotype" w:eastAsia="Palatino Linotype" w:hAnsi="Palatino Linotype" w:cs="Palatino Linotype"/>
          <w:b/>
          <w:i/>
          <w:color w:val="000000" w:themeColor="text1"/>
        </w:rPr>
        <w:t>cambio de modalidad</w:t>
      </w:r>
      <w:r w:rsidRPr="00305BA5">
        <w:rPr>
          <w:rFonts w:ascii="Palatino Linotype" w:eastAsia="Palatino Linotype" w:hAnsi="Palatino Linotype" w:cs="Palatino Linotype"/>
          <w:i/>
          <w:color w:val="000000" w:themeColor="text1"/>
        </w:rPr>
        <w:t xml:space="preserve"> de consulta para la información relativa a administraciones pasadas. Dicho acuerdo permite que la consulta de la información generada en ejercicios anteriores se realice de manera directa en el Archivo Municipal, a fin de facilitar el acceso a la documentación que, por sus características, no se encuentra digitalizada ni sistematizada.</w:t>
      </w:r>
    </w:p>
    <w:p w:rsidR="006C39F8" w:rsidRPr="00305BA5" w:rsidRDefault="006C39F8" w:rsidP="00305BA5">
      <w:pPr>
        <w:pBdr>
          <w:top w:val="nil"/>
          <w:left w:val="nil"/>
          <w:bottom w:val="nil"/>
          <w:right w:val="nil"/>
          <w:between w:val="nil"/>
        </w:pBdr>
        <w:jc w:val="both"/>
        <w:rPr>
          <w:rFonts w:ascii="Palatino Linotype" w:eastAsia="Palatino Linotype" w:hAnsi="Palatino Linotype" w:cs="Palatino Linotype"/>
          <w:i/>
          <w:color w:val="000000" w:themeColor="text1"/>
        </w:rPr>
      </w:pPr>
    </w:p>
    <w:p w:rsidR="006C39F8" w:rsidRPr="00305BA5" w:rsidRDefault="006C39F8" w:rsidP="00305BA5">
      <w:pPr>
        <w:pBdr>
          <w:top w:val="nil"/>
          <w:left w:val="nil"/>
          <w:bottom w:val="nil"/>
          <w:right w:val="nil"/>
          <w:between w:val="nil"/>
        </w:pBd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Asimismo, le Informamos que a partir de los primeros días de mayo podrá consultar de manera pública la Información actualizada de este Sujeto Obligado a través de la plataforma IPOMEX, en cumplimiento con las obligaciones de transparencia.” (Sic)</w:t>
      </w:r>
    </w:p>
    <w:p w:rsidR="006C39F8" w:rsidRPr="00305BA5" w:rsidRDefault="006C39F8" w:rsidP="00305BA5">
      <w:pPr>
        <w:pBdr>
          <w:top w:val="nil"/>
          <w:left w:val="nil"/>
          <w:bottom w:val="nil"/>
          <w:right w:val="nil"/>
          <w:between w:val="nil"/>
        </w:pBdr>
        <w:jc w:val="both"/>
        <w:rPr>
          <w:rFonts w:ascii="Palatino Linotype" w:eastAsia="Palatino Linotype" w:hAnsi="Palatino Linotype" w:cs="Palatino Linotype"/>
          <w:color w:val="000000" w:themeColor="text1"/>
        </w:rPr>
      </w:pPr>
    </w:p>
    <w:p w:rsidR="00313F39" w:rsidRPr="00305BA5" w:rsidRDefault="00313F39" w:rsidP="00305BA5">
      <w:pPr>
        <w:pBdr>
          <w:top w:val="nil"/>
          <w:left w:val="nil"/>
          <w:bottom w:val="nil"/>
          <w:right w:val="nil"/>
          <w:between w:val="nil"/>
        </w:pBd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color w:val="000000" w:themeColor="text1"/>
        </w:rPr>
        <w:t xml:space="preserve">- Oficio VA/TM/0020/IV/2025 de fecha 08 de abril de 2025, firmado por el Tesorero, a través del cual refiere que </w:t>
      </w:r>
      <w:r w:rsidRPr="00305BA5">
        <w:rPr>
          <w:rFonts w:ascii="Palatino Linotype" w:eastAsia="Palatino Linotype" w:hAnsi="Palatino Linotype" w:cs="Palatino Linotype"/>
          <w:i/>
          <w:color w:val="000000" w:themeColor="text1"/>
        </w:rPr>
        <w:t>“</w:t>
      </w:r>
      <w:r w:rsidRPr="00305BA5">
        <w:rPr>
          <w:rFonts w:ascii="Palatino Linotype" w:eastAsia="Palatino Linotype" w:hAnsi="Palatino Linotype" w:cs="Palatino Linotype"/>
          <w:b/>
          <w:i/>
          <w:color w:val="000000" w:themeColor="text1"/>
        </w:rPr>
        <w:t>la información solicitada implica análisis y procesamiento de documentos cuya entrega o reproducción sobrepasa las capacidades humanas y administrativas</w:t>
      </w:r>
      <w:r w:rsidRPr="00305BA5">
        <w:rPr>
          <w:rFonts w:ascii="Palatino Linotype" w:eastAsia="Palatino Linotype" w:hAnsi="Palatino Linotype" w:cs="Palatino Linotype"/>
          <w:i/>
          <w:color w:val="000000" w:themeColor="text1"/>
        </w:rPr>
        <w:t xml:space="preserve"> para cumplir con la solicitud en los plazos establecidos y </w:t>
      </w:r>
      <w:r w:rsidRPr="00305BA5">
        <w:rPr>
          <w:rFonts w:ascii="Palatino Linotype" w:eastAsia="Palatino Linotype" w:hAnsi="Palatino Linotype" w:cs="Palatino Linotype"/>
          <w:b/>
          <w:i/>
          <w:color w:val="000000" w:themeColor="text1"/>
        </w:rPr>
        <w:t>también sobrepasa la capacidad técnica del SAIMЕX</w:t>
      </w:r>
      <w:r w:rsidRPr="00305BA5">
        <w:rPr>
          <w:rFonts w:ascii="Palatino Linotype" w:eastAsia="Palatino Linotype" w:hAnsi="Palatino Linotype" w:cs="Palatino Linotype"/>
          <w:i/>
          <w:color w:val="000000" w:themeColor="text1"/>
        </w:rPr>
        <w:t xml:space="preserve"> para la carga y entrega de esa información ya que se reitera que en conjunto, la información asciende a un peso considerable de Gigabytes (GB). </w:t>
      </w:r>
    </w:p>
    <w:p w:rsidR="00313F39" w:rsidRPr="00305BA5" w:rsidRDefault="00313F39" w:rsidP="00305BA5">
      <w:pPr>
        <w:pBdr>
          <w:top w:val="nil"/>
          <w:left w:val="nil"/>
          <w:bottom w:val="nil"/>
          <w:right w:val="nil"/>
          <w:between w:val="nil"/>
        </w:pBdr>
        <w:jc w:val="both"/>
        <w:rPr>
          <w:rFonts w:ascii="Palatino Linotype" w:eastAsia="Palatino Linotype" w:hAnsi="Palatino Linotype" w:cs="Palatino Linotype"/>
          <w:i/>
          <w:color w:val="000000" w:themeColor="text1"/>
        </w:rPr>
      </w:pPr>
    </w:p>
    <w:p w:rsidR="00313F39" w:rsidRPr="00305BA5" w:rsidRDefault="00313F39" w:rsidP="00305BA5">
      <w:pPr>
        <w:pBdr>
          <w:top w:val="nil"/>
          <w:left w:val="nil"/>
          <w:bottom w:val="nil"/>
          <w:right w:val="nil"/>
          <w:between w:val="nil"/>
        </w:pBd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Por lo anterior, se pondrá a disposición del solicitante los documentos en cita, en la </w:t>
      </w:r>
      <w:r w:rsidRPr="00305BA5">
        <w:rPr>
          <w:rFonts w:ascii="Palatino Linotype" w:eastAsia="Palatino Linotype" w:hAnsi="Palatino Linotype" w:cs="Palatino Linotype"/>
          <w:b/>
          <w:i/>
          <w:color w:val="000000" w:themeColor="text1"/>
        </w:rPr>
        <w:t>modalidad de consulta directa</w:t>
      </w:r>
      <w:r w:rsidRPr="00305BA5">
        <w:rPr>
          <w:rFonts w:ascii="Palatino Linotype" w:eastAsia="Palatino Linotype" w:hAnsi="Palatino Linotype" w:cs="Palatino Linotype"/>
          <w:i/>
          <w:color w:val="000000" w:themeColor="text1"/>
        </w:rPr>
        <w:t xml:space="preserve"> (In situ), salvo la información clasificada…” (Sic)</w:t>
      </w:r>
    </w:p>
    <w:p w:rsidR="00313F39" w:rsidRPr="00305BA5" w:rsidRDefault="00313F39" w:rsidP="00305BA5">
      <w:pPr>
        <w:pBdr>
          <w:top w:val="nil"/>
          <w:left w:val="nil"/>
          <w:bottom w:val="nil"/>
          <w:right w:val="nil"/>
          <w:between w:val="nil"/>
        </w:pBdr>
        <w:jc w:val="both"/>
        <w:rPr>
          <w:rFonts w:ascii="Palatino Linotype" w:eastAsia="Palatino Linotype" w:hAnsi="Palatino Linotype" w:cs="Palatino Linotype"/>
          <w:i/>
          <w:color w:val="000000" w:themeColor="text1"/>
        </w:rPr>
      </w:pPr>
    </w:p>
    <w:p w:rsidR="00313F39" w:rsidRPr="00305BA5" w:rsidRDefault="00313F39" w:rsidP="00305BA5">
      <w:pPr>
        <w:pBdr>
          <w:top w:val="nil"/>
          <w:left w:val="nil"/>
          <w:bottom w:val="nil"/>
          <w:right w:val="nil"/>
          <w:between w:val="nil"/>
        </w:pBdr>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b/>
          <w:i/>
          <w:color w:val="000000" w:themeColor="text1"/>
        </w:rPr>
        <w:t xml:space="preserve"> </w:t>
      </w:r>
      <w:r w:rsidRPr="00305BA5">
        <w:rPr>
          <w:rFonts w:ascii="Palatino Linotype" w:eastAsia="Palatino Linotype" w:hAnsi="Palatino Linotype" w:cs="Palatino Linotype"/>
          <w:color w:val="000000" w:themeColor="text1"/>
        </w:rPr>
        <w:t>Del mismo modo solicita someter a consideración del Comité de transparencia el cambio de modalidad a consulta directa.</w:t>
      </w:r>
    </w:p>
    <w:p w:rsidR="004B16C7" w:rsidRPr="00305BA5" w:rsidRDefault="004B16C7" w:rsidP="00305BA5">
      <w:pPr>
        <w:pBdr>
          <w:top w:val="nil"/>
          <w:left w:val="nil"/>
          <w:bottom w:val="nil"/>
          <w:right w:val="nil"/>
          <w:between w:val="nil"/>
        </w:pBdr>
        <w:jc w:val="both"/>
        <w:rPr>
          <w:rFonts w:ascii="Palatino Linotype" w:eastAsia="Palatino Linotype" w:hAnsi="Palatino Linotype" w:cs="Palatino Linotype"/>
          <w:color w:val="000000" w:themeColor="text1"/>
        </w:rPr>
      </w:pPr>
    </w:p>
    <w:p w:rsidR="004B16C7" w:rsidRPr="00305BA5" w:rsidRDefault="004B16C7" w:rsidP="00305BA5">
      <w:pPr>
        <w:pBdr>
          <w:top w:val="nil"/>
          <w:left w:val="nil"/>
          <w:bottom w:val="nil"/>
          <w:right w:val="nil"/>
          <w:between w:val="nil"/>
        </w:pBdr>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ACTA DE LA SEGUNDA SESIÓN EXTRAORDINARIA DEL COMITÉ DE TRANSPARENCIA DEL AYUNTAMIENTO DE VILLA DE ALLENDE</w:t>
      </w:r>
      <w:r w:rsidR="0092688D" w:rsidRPr="00305BA5">
        <w:rPr>
          <w:rFonts w:ascii="Palatino Linotype" w:eastAsia="Palatino Linotype" w:hAnsi="Palatino Linotype" w:cs="Palatino Linotype"/>
          <w:color w:val="000000" w:themeColor="text1"/>
        </w:rPr>
        <w:t>.</w:t>
      </w:r>
    </w:p>
    <w:p w:rsidR="0092688D" w:rsidRPr="00305BA5" w:rsidRDefault="0092688D" w:rsidP="00305BA5">
      <w:pPr>
        <w:pBdr>
          <w:top w:val="nil"/>
          <w:left w:val="nil"/>
          <w:bottom w:val="nil"/>
          <w:right w:val="nil"/>
          <w:between w:val="nil"/>
        </w:pBdr>
        <w:jc w:val="both"/>
        <w:rPr>
          <w:rFonts w:ascii="Palatino Linotype" w:eastAsia="Palatino Linotype" w:hAnsi="Palatino Linotype" w:cs="Palatino Linotype"/>
          <w:color w:val="000000" w:themeColor="text1"/>
        </w:rPr>
      </w:pPr>
    </w:p>
    <w:p w:rsidR="0092688D" w:rsidRPr="00305BA5" w:rsidRDefault="0092688D" w:rsidP="00305BA5">
      <w:pPr>
        <w:pBdr>
          <w:top w:val="nil"/>
          <w:left w:val="nil"/>
          <w:bottom w:val="nil"/>
          <w:right w:val="nil"/>
          <w:between w:val="nil"/>
        </w:pBdr>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En el punto 5 del orden del día, de la Aprobación para el cambio de modalidad de consulta de las solicitudes de información, señala diversas solicitudes de información, entre ellas la 00025/VIALLEN/IP/2025, materia del presente recurso, bajo las siguientes precisiones:</w:t>
      </w:r>
    </w:p>
    <w:p w:rsidR="0092688D" w:rsidRPr="00305BA5" w:rsidRDefault="0092688D" w:rsidP="00305BA5">
      <w:pPr>
        <w:pBdr>
          <w:top w:val="nil"/>
          <w:left w:val="nil"/>
          <w:bottom w:val="nil"/>
          <w:right w:val="nil"/>
          <w:between w:val="nil"/>
        </w:pBdr>
        <w:jc w:val="both"/>
        <w:rPr>
          <w:rFonts w:ascii="Palatino Linotype" w:eastAsia="Palatino Linotype" w:hAnsi="Palatino Linotype" w:cs="Palatino Linotype"/>
          <w:color w:val="000000" w:themeColor="text1"/>
        </w:rPr>
      </w:pPr>
    </w:p>
    <w:p w:rsidR="0092688D" w:rsidRPr="00305BA5" w:rsidRDefault="0092688D" w:rsidP="00305BA5">
      <w:pPr>
        <w:pBdr>
          <w:top w:val="nil"/>
          <w:left w:val="nil"/>
          <w:bottom w:val="nil"/>
          <w:right w:val="nil"/>
          <w:between w:val="nil"/>
        </w:pBd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“Se explicó que </w:t>
      </w:r>
      <w:r w:rsidRPr="00305BA5">
        <w:rPr>
          <w:rFonts w:ascii="Palatino Linotype" w:eastAsia="Palatino Linotype" w:hAnsi="Palatino Linotype" w:cs="Palatino Linotype"/>
          <w:b/>
          <w:i/>
          <w:color w:val="000000" w:themeColor="text1"/>
        </w:rPr>
        <w:t>las solicitudes</w:t>
      </w:r>
      <w:r w:rsidRPr="00305BA5">
        <w:rPr>
          <w:rFonts w:ascii="Palatino Linotype" w:eastAsia="Palatino Linotype" w:hAnsi="Palatino Linotype" w:cs="Palatino Linotype"/>
          <w:i/>
          <w:color w:val="000000" w:themeColor="text1"/>
        </w:rPr>
        <w:t xml:space="preserve"> antes mencionadas </w:t>
      </w:r>
      <w:r w:rsidRPr="00305BA5">
        <w:rPr>
          <w:rFonts w:ascii="Palatino Linotype" w:eastAsia="Palatino Linotype" w:hAnsi="Palatino Linotype" w:cs="Palatino Linotype"/>
          <w:b/>
          <w:i/>
          <w:color w:val="000000" w:themeColor="text1"/>
        </w:rPr>
        <w:t>contienen requerimientos relacionados con documentación generada durante administraciones anteriores, misma que no se encuentra digitalizada ni sistematizada</w:t>
      </w:r>
      <w:r w:rsidRPr="00305BA5">
        <w:rPr>
          <w:rFonts w:ascii="Palatino Linotype" w:eastAsia="Palatino Linotype" w:hAnsi="Palatino Linotype" w:cs="Palatino Linotype"/>
          <w:i/>
          <w:color w:val="000000" w:themeColor="text1"/>
        </w:rPr>
        <w:t xml:space="preserve">. Por tal motivo,... </w:t>
      </w:r>
      <w:r w:rsidRPr="00305BA5">
        <w:rPr>
          <w:rFonts w:ascii="Palatino Linotype" w:eastAsia="Palatino Linotype" w:hAnsi="Palatino Linotype" w:cs="Palatino Linotype"/>
          <w:b/>
          <w:i/>
          <w:color w:val="000000" w:themeColor="text1"/>
        </w:rPr>
        <w:t>se propone cambiar la modalidad de entrega de la información a "consulta directa"</w:t>
      </w:r>
      <w:r w:rsidRPr="00305BA5">
        <w:rPr>
          <w:rFonts w:ascii="Palatino Linotype" w:eastAsia="Palatino Linotype" w:hAnsi="Palatino Linotype" w:cs="Palatino Linotype"/>
          <w:i/>
          <w:color w:val="000000" w:themeColor="text1"/>
        </w:rPr>
        <w:t xml:space="preserve">, invitando al solicitante a acudir a las instalaciones del Archivo Municipal para la revisión de la documentación física. </w:t>
      </w:r>
    </w:p>
    <w:p w:rsidR="0092688D" w:rsidRPr="00305BA5" w:rsidRDefault="0092688D" w:rsidP="00305BA5">
      <w:pPr>
        <w:pBdr>
          <w:top w:val="nil"/>
          <w:left w:val="nil"/>
          <w:bottom w:val="nil"/>
          <w:right w:val="nil"/>
          <w:between w:val="nil"/>
        </w:pBdr>
        <w:jc w:val="both"/>
        <w:rPr>
          <w:rFonts w:ascii="Palatino Linotype" w:eastAsia="Palatino Linotype" w:hAnsi="Palatino Linotype" w:cs="Palatino Linotype"/>
          <w:i/>
          <w:color w:val="000000" w:themeColor="text1"/>
        </w:rPr>
      </w:pPr>
    </w:p>
    <w:p w:rsidR="0092688D" w:rsidRPr="00305BA5" w:rsidRDefault="0092688D" w:rsidP="00305BA5">
      <w:pPr>
        <w:pBdr>
          <w:top w:val="nil"/>
          <w:left w:val="nil"/>
          <w:bottom w:val="nil"/>
          <w:right w:val="nil"/>
          <w:between w:val="nil"/>
        </w:pBd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lastRenderedPageBreak/>
        <w:t>Asimismo, se informó que parte de la información de administraciones pasadas también puede ser consultada de manera pública a través de la plataforma IPOMЕХ, ingresando en el apartado de municipios y seleccionando el municipio de Villa de Allende.” (Sic)</w:t>
      </w:r>
    </w:p>
    <w:p w:rsidR="006C39F8" w:rsidRPr="00305BA5" w:rsidRDefault="006C39F8" w:rsidP="00305BA5">
      <w:pPr>
        <w:pBdr>
          <w:top w:val="nil"/>
          <w:left w:val="nil"/>
          <w:bottom w:val="nil"/>
          <w:right w:val="nil"/>
          <w:between w:val="nil"/>
        </w:pBdr>
        <w:jc w:val="both"/>
        <w:rPr>
          <w:rFonts w:ascii="Palatino Linotype" w:eastAsia="Palatino Linotype" w:hAnsi="Palatino Linotype" w:cs="Palatino Linotype"/>
          <w:color w:val="000000" w:themeColor="text1"/>
        </w:rPr>
      </w:pPr>
    </w:p>
    <w:p w:rsidR="0092688D" w:rsidRPr="00305BA5" w:rsidRDefault="0092688D" w:rsidP="00305BA5">
      <w:pPr>
        <w:pBdr>
          <w:top w:val="nil"/>
          <w:left w:val="nil"/>
          <w:bottom w:val="nil"/>
          <w:right w:val="nil"/>
          <w:between w:val="nil"/>
        </w:pBdr>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Se aprueba por unanimidad de votos el cambio de modalidad de entrega de información.</w:t>
      </w:r>
    </w:p>
    <w:p w:rsidR="0059542F" w:rsidRPr="00305BA5" w:rsidRDefault="0059542F" w:rsidP="00305BA5">
      <w:pPr>
        <w:pBdr>
          <w:top w:val="nil"/>
          <w:left w:val="nil"/>
          <w:bottom w:val="nil"/>
          <w:right w:val="nil"/>
          <w:between w:val="nil"/>
        </w:pBdr>
        <w:jc w:val="both"/>
        <w:rPr>
          <w:rFonts w:ascii="Palatino Linotype" w:eastAsia="Palatino Linotype" w:hAnsi="Palatino Linotype" w:cs="Palatino Linotype"/>
          <w:color w:val="000000" w:themeColor="text1"/>
        </w:rPr>
      </w:pPr>
    </w:p>
    <w:p w:rsidR="0059542F" w:rsidRPr="00305BA5" w:rsidRDefault="0059542F" w:rsidP="00305BA5">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05BA5">
        <w:rPr>
          <w:rFonts w:ascii="Palatino Linotype" w:eastAsia="Palatino Linotype" w:hAnsi="Palatino Linotype" w:cs="Palatino Linotype"/>
          <w:b/>
          <w:i/>
          <w:color w:val="000000" w:themeColor="text1"/>
        </w:rPr>
        <w:t>R25 (1).pdf</w:t>
      </w:r>
    </w:p>
    <w:p w:rsidR="00EF0FAD" w:rsidRPr="00305BA5" w:rsidRDefault="00EF0FAD" w:rsidP="00305BA5">
      <w:pPr>
        <w:pBdr>
          <w:top w:val="nil"/>
          <w:left w:val="nil"/>
          <w:bottom w:val="nil"/>
          <w:right w:val="nil"/>
          <w:between w:val="nil"/>
        </w:pBdr>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Mismo documento ya descrito con antelación</w:t>
      </w:r>
    </w:p>
    <w:p w:rsidR="00F817B8" w:rsidRPr="00305BA5" w:rsidRDefault="00F817B8" w:rsidP="00305BA5">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D93F3D" w:rsidRPr="00305BA5" w:rsidRDefault="00D93F3D" w:rsidP="00305BA5">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Cabe mencionar que por un error involuntario, el Sujeto Obligado en fecha </w:t>
      </w:r>
      <w:r w:rsidRPr="00305BA5">
        <w:rPr>
          <w:rFonts w:ascii="Palatino Linotype" w:eastAsia="Palatino Linotype" w:hAnsi="Palatino Linotype" w:cs="Palatino Linotype"/>
          <w:b/>
          <w:color w:val="000000" w:themeColor="text1"/>
        </w:rPr>
        <w:t xml:space="preserve">trece de mayo de dos mil </w:t>
      </w:r>
      <w:r w:rsidR="00652B47" w:rsidRPr="00305BA5">
        <w:rPr>
          <w:rFonts w:ascii="Palatino Linotype" w:eastAsia="Palatino Linotype" w:hAnsi="Palatino Linotype" w:cs="Palatino Linotype"/>
          <w:b/>
          <w:color w:val="000000" w:themeColor="text1"/>
        </w:rPr>
        <w:t>veinticinco</w:t>
      </w:r>
      <w:r w:rsidRPr="00305BA5">
        <w:rPr>
          <w:rFonts w:ascii="Palatino Linotype" w:eastAsia="Palatino Linotype" w:hAnsi="Palatino Linotype" w:cs="Palatino Linotype"/>
          <w:color w:val="000000" w:themeColor="text1"/>
        </w:rPr>
        <w:t xml:space="preserve">, cargó de nuevo el archivo denominado </w:t>
      </w:r>
      <w:r w:rsidRPr="00305BA5">
        <w:rPr>
          <w:rFonts w:ascii="Palatino Linotype" w:eastAsia="Palatino Linotype" w:hAnsi="Palatino Linotype" w:cs="Palatino Linotype"/>
          <w:b/>
          <w:i/>
          <w:color w:val="000000" w:themeColor="text1"/>
        </w:rPr>
        <w:t>R25 (1).pdf</w:t>
      </w:r>
      <w:r w:rsidRPr="00305BA5">
        <w:rPr>
          <w:rFonts w:ascii="Palatino Linotype" w:eastAsia="Palatino Linotype" w:hAnsi="Palatino Linotype" w:cs="Palatino Linotype"/>
          <w:color w:val="000000" w:themeColor="text1"/>
        </w:rPr>
        <w:t xml:space="preserve">, </w:t>
      </w:r>
      <w:r w:rsidR="00652B47" w:rsidRPr="00305BA5">
        <w:rPr>
          <w:rFonts w:ascii="Palatino Linotype" w:eastAsia="Palatino Linotype" w:hAnsi="Palatino Linotype" w:cs="Palatino Linotype"/>
          <w:color w:val="000000" w:themeColor="text1"/>
        </w:rPr>
        <w:t xml:space="preserve">pero en esta ocasión en el apartado de los </w:t>
      </w:r>
      <w:r w:rsidR="00652B47" w:rsidRPr="00305BA5">
        <w:rPr>
          <w:rFonts w:ascii="Palatino Linotype" w:eastAsia="Palatino Linotype" w:hAnsi="Palatino Linotype" w:cs="Palatino Linotype"/>
          <w:i/>
          <w:color w:val="000000" w:themeColor="text1"/>
        </w:rPr>
        <w:t>Archivos enviados por el Recurrente</w:t>
      </w:r>
      <w:r w:rsidR="00652B47" w:rsidRPr="00305BA5">
        <w:rPr>
          <w:rFonts w:ascii="Palatino Linotype" w:eastAsia="Palatino Linotype" w:hAnsi="Palatino Linotype" w:cs="Palatino Linotype"/>
          <w:color w:val="000000" w:themeColor="text1"/>
        </w:rPr>
        <w:t xml:space="preserve">, </w:t>
      </w:r>
      <w:r w:rsidRPr="00305BA5">
        <w:rPr>
          <w:rFonts w:ascii="Palatino Linotype" w:eastAsia="Palatino Linotype" w:hAnsi="Palatino Linotype" w:cs="Palatino Linotype"/>
          <w:color w:val="000000" w:themeColor="text1"/>
        </w:rPr>
        <w:t>cuyo contenido es el mismo al descrito con antelación.</w:t>
      </w:r>
    </w:p>
    <w:p w:rsidR="00652B47" w:rsidRPr="00305BA5" w:rsidRDefault="00652B47" w:rsidP="00305BA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5845B2" w:rsidRPr="00305BA5" w:rsidRDefault="002F58AF" w:rsidP="00305BA5">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El</w:t>
      </w:r>
      <w:r w:rsidRPr="00305BA5">
        <w:rPr>
          <w:rFonts w:ascii="Palatino Linotype" w:eastAsia="Palatino Linotype" w:hAnsi="Palatino Linotype" w:cs="Palatino Linotype"/>
          <w:b/>
          <w:color w:val="000000" w:themeColor="text1"/>
        </w:rPr>
        <w:t xml:space="preserve"> </w:t>
      </w:r>
      <w:r w:rsidR="00154B8B" w:rsidRPr="00305BA5">
        <w:rPr>
          <w:rFonts w:ascii="Palatino Linotype" w:eastAsia="Palatino Linotype" w:hAnsi="Palatino Linotype" w:cs="Palatino Linotype"/>
          <w:b/>
          <w:color w:val="000000" w:themeColor="text1"/>
        </w:rPr>
        <w:t>doce de junio</w:t>
      </w:r>
      <w:r w:rsidR="005845B2" w:rsidRPr="00305BA5">
        <w:rPr>
          <w:rFonts w:ascii="Palatino Linotype" w:eastAsia="Palatino Linotype" w:hAnsi="Palatino Linotype" w:cs="Palatino Linotype"/>
          <w:b/>
          <w:color w:val="000000" w:themeColor="text1"/>
        </w:rPr>
        <w:t xml:space="preserve"> de dos mil veinticinco</w:t>
      </w:r>
      <w:r w:rsidR="005845B2" w:rsidRPr="00305BA5">
        <w:rPr>
          <w:rFonts w:ascii="Palatino Linotype" w:eastAsia="Palatino Linotype" w:hAnsi="Palatino Linotype" w:cs="Palatino Linotype"/>
          <w:color w:val="000000" w:themeColor="text1"/>
        </w:rPr>
        <w:t xml:space="preserve"> se acordó </w:t>
      </w:r>
      <w:r w:rsidR="005845B2" w:rsidRPr="00305BA5">
        <w:rPr>
          <w:rFonts w:ascii="Palatino Linotype" w:eastAsia="Palatino Linotype" w:hAnsi="Palatino Linotype" w:cs="Palatino Linotype"/>
          <w:b/>
          <w:color w:val="000000" w:themeColor="text1"/>
        </w:rPr>
        <w:t>ampliar el término para resolver</w:t>
      </w:r>
      <w:r w:rsidR="005845B2" w:rsidRPr="00305BA5">
        <w:rPr>
          <w:rFonts w:ascii="Palatino Linotype" w:eastAsia="Palatino Linotype" w:hAnsi="Palatino Linotype" w:cs="Palatino Linotype"/>
          <w:color w:val="000000" w:themeColor="text1"/>
        </w:rPr>
        <w:t xml:space="preserve"> el presente asunto.</w:t>
      </w:r>
    </w:p>
    <w:p w:rsidR="005845B2" w:rsidRPr="00305BA5" w:rsidRDefault="005845B2" w:rsidP="00305BA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845B2" w:rsidRPr="00305BA5" w:rsidRDefault="005845B2" w:rsidP="00305BA5">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305BA5">
        <w:rPr>
          <w:rFonts w:ascii="Palatino Linotype" w:eastAsia="Palatino Linotype" w:hAnsi="Palatino Linotype" w:cs="Palatino Linotype"/>
          <w:color w:val="000000" w:themeColor="text1"/>
        </w:rPr>
        <w:t xml:space="preserve">Seguidamente, en fecha </w:t>
      </w:r>
      <w:r w:rsidR="00154B8B" w:rsidRPr="00305BA5">
        <w:rPr>
          <w:rFonts w:ascii="Palatino Linotype" w:eastAsia="Palatino Linotype" w:hAnsi="Palatino Linotype" w:cs="Palatino Linotype"/>
          <w:b/>
          <w:color w:val="000000" w:themeColor="text1"/>
        </w:rPr>
        <w:t>veintitrés de septiembre</w:t>
      </w:r>
      <w:r w:rsidRPr="00305BA5">
        <w:rPr>
          <w:rFonts w:ascii="Palatino Linotype" w:eastAsia="Palatino Linotype" w:hAnsi="Palatino Linotype" w:cs="Palatino Linotype"/>
          <w:b/>
          <w:color w:val="000000" w:themeColor="text1"/>
        </w:rPr>
        <w:t xml:space="preserve"> de dos mil veinticinco</w:t>
      </w:r>
      <w:r w:rsidRPr="00305BA5">
        <w:rPr>
          <w:rFonts w:ascii="Palatino Linotype" w:eastAsia="Palatino Linotype" w:hAnsi="Palatino Linotype" w:cs="Palatino Linotype"/>
          <w:color w:val="000000" w:themeColor="text1"/>
        </w:rPr>
        <w:t xml:space="preserve">, la Comisionada Ponente dictó el </w:t>
      </w:r>
      <w:r w:rsidRPr="00305BA5">
        <w:rPr>
          <w:rFonts w:ascii="Palatino Linotype" w:eastAsia="Palatino Linotype" w:hAnsi="Palatino Linotype" w:cs="Palatino Linotype"/>
          <w:b/>
          <w:color w:val="000000" w:themeColor="text1"/>
        </w:rPr>
        <w:t>cierre del periodo de instrucción</w:t>
      </w:r>
      <w:r w:rsidRPr="00305BA5">
        <w:rPr>
          <w:rFonts w:ascii="Palatino Linotype" w:eastAsia="Palatino Linotype" w:hAnsi="Palatino Linotype" w:cs="Palatino Linotype"/>
          <w:color w:val="000000" w:themeColor="text1"/>
        </w:rPr>
        <w:t xml:space="preserve"> y, ordenó la resolución que conforme a Derecho proceda</w:t>
      </w:r>
      <w:r w:rsidR="005C7812" w:rsidRPr="00305BA5">
        <w:rPr>
          <w:rFonts w:ascii="Palatino Linotype" w:eastAsia="Palatino Linotype" w:hAnsi="Palatino Linotype" w:cs="Palatino Linotype"/>
          <w:color w:val="000000" w:themeColor="text1"/>
        </w:rPr>
        <w:t>.</w:t>
      </w:r>
    </w:p>
    <w:p w:rsidR="0072148B" w:rsidRPr="00305BA5" w:rsidRDefault="0072148B" w:rsidP="00305BA5">
      <w:pPr>
        <w:pBdr>
          <w:top w:val="nil"/>
          <w:left w:val="nil"/>
          <w:bottom w:val="nil"/>
          <w:right w:val="nil"/>
          <w:between w:val="nil"/>
        </w:pBdr>
        <w:jc w:val="both"/>
        <w:rPr>
          <w:rFonts w:ascii="Palatino Linotype" w:eastAsia="Palatino Linotype" w:hAnsi="Palatino Linotype" w:cs="Palatino Linotype"/>
          <w:b/>
          <w:color w:val="000000" w:themeColor="text1"/>
        </w:rPr>
      </w:pPr>
    </w:p>
    <w:p w:rsidR="005C7812" w:rsidRPr="00305BA5" w:rsidRDefault="005C7812" w:rsidP="00305BA5">
      <w:pPr>
        <w:keepNext/>
        <w:keepLines/>
        <w:spacing w:line="360" w:lineRule="auto"/>
        <w:jc w:val="center"/>
        <w:rPr>
          <w:rFonts w:ascii="Palatino Linotype" w:eastAsia="Palatino Linotype" w:hAnsi="Palatino Linotype" w:cs="Palatino Linotype"/>
          <w:b/>
          <w:color w:val="000000" w:themeColor="text1"/>
        </w:rPr>
      </w:pPr>
      <w:r w:rsidRPr="00305BA5">
        <w:rPr>
          <w:rFonts w:ascii="Palatino Linotype" w:eastAsia="Palatino Linotype" w:hAnsi="Palatino Linotype" w:cs="Palatino Linotype"/>
          <w:b/>
          <w:color w:val="000000" w:themeColor="text1"/>
        </w:rPr>
        <w:t xml:space="preserve">C O N S I D E R A N D O </w:t>
      </w:r>
    </w:p>
    <w:p w:rsidR="005C7812" w:rsidRPr="00305BA5" w:rsidRDefault="005C7812" w:rsidP="00305BA5">
      <w:pPr>
        <w:keepNext/>
        <w:keepLines/>
        <w:spacing w:line="360" w:lineRule="auto"/>
        <w:jc w:val="center"/>
        <w:rPr>
          <w:rFonts w:ascii="Palatino Linotype" w:eastAsia="Palatino Linotype" w:hAnsi="Palatino Linotype" w:cs="Palatino Linotype"/>
          <w:b/>
          <w:color w:val="000000" w:themeColor="text1"/>
        </w:rPr>
      </w:pPr>
    </w:p>
    <w:p w:rsidR="005C7812" w:rsidRPr="00305BA5" w:rsidRDefault="005C7812" w:rsidP="00305BA5">
      <w:pPr>
        <w:keepNext/>
        <w:keepLines/>
        <w:spacing w:line="360" w:lineRule="auto"/>
        <w:rPr>
          <w:rFonts w:ascii="Palatino Linotype" w:eastAsia="Palatino Linotype" w:hAnsi="Palatino Linotype" w:cs="Palatino Linotype"/>
          <w:b/>
          <w:color w:val="000000" w:themeColor="text1"/>
        </w:rPr>
      </w:pPr>
      <w:r w:rsidRPr="00305BA5">
        <w:rPr>
          <w:rFonts w:ascii="Palatino Linotype" w:eastAsia="Palatino Linotype" w:hAnsi="Palatino Linotype" w:cs="Palatino Linotype"/>
          <w:b/>
          <w:color w:val="000000" w:themeColor="text1"/>
        </w:rPr>
        <w:t>PRIMERO. De la competencia</w:t>
      </w:r>
    </w:p>
    <w:p w:rsidR="005C7812" w:rsidRPr="00305BA5" w:rsidRDefault="005C7812" w:rsidP="00305BA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w:t>
      </w:r>
      <w:r w:rsidRPr="00305BA5">
        <w:rPr>
          <w:rFonts w:ascii="Palatino Linotype" w:eastAsia="Palatino Linotype" w:hAnsi="Palatino Linotype" w:cs="Palatino Linotype"/>
          <w:color w:val="000000" w:themeColor="text1"/>
        </w:rPr>
        <w:lastRenderedPageBreak/>
        <w:t xml:space="preserve">A, fracción IV de la Constitución Política de los Estados Unidos Mexicanos; 5, </w:t>
      </w:r>
      <w:r w:rsidRPr="00305BA5">
        <w:rPr>
          <w:rFonts w:ascii="Palatino Linotype" w:eastAsia="Palatino Linotype" w:hAnsi="Palatino Linotype" w:cs="Palatino Linotype"/>
          <w:color w:val="000000" w:themeColor="text1"/>
          <w:lang w:val="es-MX"/>
        </w:rPr>
        <w:t>párrafos trigésimo séptimo, trigésimo octavo y trigésimo noveno fracciones IV y V</w:t>
      </w:r>
      <w:r w:rsidRPr="00305BA5">
        <w:rPr>
          <w:rFonts w:ascii="Palatino Linotype" w:eastAsia="Palatino Linotype" w:hAnsi="Palatino Linotype" w:cs="Palatino Linotype"/>
          <w:color w:val="000000" w:themeColor="text1"/>
        </w:rPr>
        <w:t>,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2148B" w:rsidRPr="00305BA5" w:rsidRDefault="0072148B" w:rsidP="00305BA5">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B93BA1" w:rsidRPr="00305BA5" w:rsidRDefault="005F6407" w:rsidP="00305BA5">
      <w:pPr>
        <w:spacing w:line="360" w:lineRule="auto"/>
        <w:jc w:val="both"/>
        <w:rPr>
          <w:rFonts w:ascii="Palatino Linotype" w:eastAsia="Palatino Linotype" w:hAnsi="Palatino Linotype" w:cs="Palatino Linotype"/>
          <w:color w:val="000000" w:themeColor="text1"/>
        </w:rPr>
      </w:pPr>
      <w:bookmarkStart w:id="5" w:name="_heading=h.tyjcwt" w:colFirst="0" w:colLast="0"/>
      <w:bookmarkEnd w:id="5"/>
      <w:r w:rsidRPr="00305BA5">
        <w:rPr>
          <w:rFonts w:ascii="Palatino Linotype" w:eastAsia="Palatino Linotype" w:hAnsi="Palatino Linotype" w:cs="Palatino Linotype"/>
          <w:b/>
          <w:color w:val="000000" w:themeColor="text1"/>
        </w:rPr>
        <w:t>S</w:t>
      </w:r>
      <w:r w:rsidR="00A0473C" w:rsidRPr="00305BA5">
        <w:rPr>
          <w:rFonts w:ascii="Palatino Linotype" w:eastAsia="Palatino Linotype" w:hAnsi="Palatino Linotype" w:cs="Palatino Linotype"/>
          <w:b/>
          <w:color w:val="000000" w:themeColor="text1"/>
        </w:rPr>
        <w:t>EGUNDO</w:t>
      </w:r>
      <w:r w:rsidR="00B93BA1" w:rsidRPr="00305BA5">
        <w:rPr>
          <w:rFonts w:ascii="Palatino Linotype" w:eastAsia="Palatino Linotype" w:hAnsi="Palatino Linotype" w:cs="Palatino Linotype"/>
          <w:b/>
          <w:color w:val="000000" w:themeColor="text1"/>
        </w:rPr>
        <w:t xml:space="preserve">. De la </w:t>
      </w:r>
      <w:r w:rsidR="00A0473C" w:rsidRPr="00305BA5">
        <w:rPr>
          <w:rFonts w:ascii="Palatino Linotype" w:eastAsia="Palatino Linotype" w:hAnsi="Palatino Linotype" w:cs="Palatino Linotype"/>
          <w:b/>
          <w:color w:val="000000" w:themeColor="text1"/>
        </w:rPr>
        <w:t xml:space="preserve">oportunidad </w:t>
      </w:r>
      <w:r w:rsidR="00B93BA1" w:rsidRPr="00305BA5">
        <w:rPr>
          <w:rFonts w:ascii="Palatino Linotype" w:eastAsia="Palatino Linotype" w:hAnsi="Palatino Linotype" w:cs="Palatino Linotype"/>
          <w:b/>
          <w:color w:val="000000" w:themeColor="text1"/>
        </w:rPr>
        <w:t xml:space="preserve">y </w:t>
      </w:r>
      <w:r w:rsidR="00A0473C" w:rsidRPr="00305BA5">
        <w:rPr>
          <w:rFonts w:ascii="Palatino Linotype" w:eastAsia="Palatino Linotype" w:hAnsi="Palatino Linotype" w:cs="Palatino Linotype"/>
          <w:b/>
          <w:color w:val="000000" w:themeColor="text1"/>
        </w:rPr>
        <w:t>procedencia</w:t>
      </w:r>
    </w:p>
    <w:p w:rsidR="00B93BA1" w:rsidRPr="00305BA5" w:rsidRDefault="00B93BA1" w:rsidP="00305BA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05BA5">
        <w:rPr>
          <w:rFonts w:ascii="Palatino Linotype" w:eastAsia="Palatino Linotype" w:hAnsi="Palatino Linotype" w:cs="Palatino Linotype"/>
          <w:color w:val="000000" w:themeColor="text1"/>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B93BA1" w:rsidRPr="00305BA5" w:rsidRDefault="00B93BA1" w:rsidP="00305BA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B93BA1" w:rsidRPr="00305BA5" w:rsidRDefault="00B93BA1" w:rsidP="00305BA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Por ende, se constituye la figura jurídica de la </w:t>
      </w:r>
      <w:r w:rsidRPr="00305BA5">
        <w:rPr>
          <w:rFonts w:ascii="Palatino Linotype" w:eastAsia="Palatino Linotype" w:hAnsi="Palatino Linotype" w:cs="Palatino Linotype"/>
          <w:b/>
          <w:i/>
          <w:color w:val="000000" w:themeColor="text1"/>
        </w:rPr>
        <w:t>negativa ficta</w:t>
      </w:r>
      <w:r w:rsidRPr="00305BA5">
        <w:rPr>
          <w:rFonts w:ascii="Palatino Linotype" w:eastAsia="Palatino Linotype" w:hAnsi="Palatino Linotype" w:cs="Palatino Linotype"/>
          <w:color w:val="000000" w:themeColor="text1"/>
        </w:rPr>
        <w:t xml:space="preserve">, cuya esencia es atribuir un efecto negativo al silencio de la autoridad administrativa frente a las instancias y solicitudes que hagan los particulares, lo cual encuentra sustento en lo que establece el artículo </w:t>
      </w:r>
      <w:r w:rsidRPr="00305BA5">
        <w:rPr>
          <w:rFonts w:ascii="Palatino Linotype" w:eastAsia="Palatino Linotype" w:hAnsi="Palatino Linotype" w:cs="Palatino Linotype"/>
          <w:b/>
          <w:color w:val="000000" w:themeColor="text1"/>
        </w:rPr>
        <w:t>178, segundo párrafo, de Ley de Transparencia y Acceso a la Información Pública del Estado de México y Municipios</w:t>
      </w:r>
      <w:r w:rsidRPr="00305BA5">
        <w:rPr>
          <w:rFonts w:ascii="Palatino Linotype" w:eastAsia="Palatino Linotype" w:hAnsi="Palatino Linotype" w:cs="Palatino Linotype"/>
          <w:color w:val="000000" w:themeColor="text1"/>
        </w:rPr>
        <w:t xml:space="preserve">, que dispone; </w:t>
      </w:r>
      <w:r w:rsidRPr="00305BA5">
        <w:rPr>
          <w:rFonts w:ascii="Palatino Linotype" w:eastAsia="Palatino Linotype" w:hAnsi="Palatino Linotype" w:cs="Palatino Linotype"/>
          <w:b/>
          <w:color w:val="000000" w:themeColor="text1"/>
        </w:rPr>
        <w:t>ante la falta de respuesta</w:t>
      </w:r>
      <w:r w:rsidRPr="00305BA5">
        <w:rPr>
          <w:rFonts w:ascii="Palatino Linotype" w:eastAsia="Palatino Linotype" w:hAnsi="Palatino Linotype" w:cs="Palatino Linotype"/>
          <w:color w:val="000000" w:themeColor="text1"/>
        </w:rPr>
        <w:t xml:space="preserve"> del SUJETO </w:t>
      </w:r>
      <w:r w:rsidRPr="00305BA5">
        <w:rPr>
          <w:rFonts w:ascii="Palatino Linotype" w:eastAsia="Palatino Linotype" w:hAnsi="Palatino Linotype" w:cs="Palatino Linotype"/>
          <w:color w:val="000000" w:themeColor="text1"/>
        </w:rPr>
        <w:lastRenderedPageBreak/>
        <w:t xml:space="preserve">OBLIGADO, dentro de los plazos establecidos en esta Ley, a una solicitud de acceso a la información pública, </w:t>
      </w:r>
      <w:r w:rsidRPr="00305BA5">
        <w:rPr>
          <w:rFonts w:ascii="Palatino Linotype" w:eastAsia="Palatino Linotype" w:hAnsi="Palatino Linotype" w:cs="Palatino Linotype"/>
          <w:b/>
          <w:color w:val="000000" w:themeColor="text1"/>
        </w:rPr>
        <w:t>el recurso podrá ser interpuesto en cualquier momento</w:t>
      </w:r>
      <w:r w:rsidRPr="00305BA5">
        <w:rPr>
          <w:rFonts w:ascii="Palatino Linotype" w:eastAsia="Palatino Linotype" w:hAnsi="Palatino Linotype" w:cs="Palatino Linotype"/>
          <w:color w:val="000000" w:themeColor="text1"/>
        </w:rPr>
        <w:t xml:space="preserve">. </w:t>
      </w:r>
    </w:p>
    <w:p w:rsidR="00B93BA1" w:rsidRPr="00305BA5" w:rsidRDefault="00B93BA1" w:rsidP="00305BA5">
      <w:pPr>
        <w:tabs>
          <w:tab w:val="left" w:pos="284"/>
        </w:tabs>
        <w:spacing w:line="360" w:lineRule="auto"/>
        <w:jc w:val="both"/>
        <w:rPr>
          <w:rFonts w:ascii="Palatino Linotype" w:eastAsia="Palatino Linotype" w:hAnsi="Palatino Linotype" w:cs="Palatino Linotype"/>
          <w:color w:val="000000" w:themeColor="text1"/>
        </w:rPr>
      </w:pPr>
    </w:p>
    <w:p w:rsidR="00B93BA1" w:rsidRPr="00305BA5" w:rsidRDefault="00B93BA1" w:rsidP="00305BA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Por lo que, tratándose de la </w:t>
      </w:r>
      <w:r w:rsidRPr="00305BA5">
        <w:rPr>
          <w:rFonts w:ascii="Palatino Linotype" w:eastAsia="Palatino Linotype" w:hAnsi="Palatino Linotype" w:cs="Palatino Linotype"/>
          <w:b/>
          <w:i/>
          <w:color w:val="000000" w:themeColor="text1"/>
        </w:rPr>
        <w:t>negativa ficta</w:t>
      </w:r>
      <w:r w:rsidRPr="00305BA5">
        <w:rPr>
          <w:rFonts w:ascii="Palatino Linotype" w:eastAsia="Palatino Linotype" w:hAnsi="Palatino Linotype" w:cs="Palatino Linotype"/>
          <w:color w:val="000000" w:themeColor="text1"/>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05BA5">
        <w:rPr>
          <w:rFonts w:ascii="Palatino Linotype" w:eastAsia="Palatino Linotype" w:hAnsi="Palatino Linotype" w:cs="Palatino Linotype"/>
          <w:b/>
          <w:i/>
          <w:color w:val="000000" w:themeColor="text1"/>
        </w:rPr>
        <w:t>negativa ficta</w:t>
      </w:r>
      <w:r w:rsidRPr="00305BA5">
        <w:rPr>
          <w:rFonts w:ascii="Palatino Linotype" w:eastAsia="Palatino Linotype" w:hAnsi="Palatino Linotype" w:cs="Palatino Linotype"/>
          <w:color w:val="000000" w:themeColor="text1"/>
        </w:rPr>
        <w:t>, que señala:</w:t>
      </w:r>
    </w:p>
    <w:p w:rsidR="00B93BA1" w:rsidRPr="00305BA5" w:rsidRDefault="00B93BA1" w:rsidP="00305BA5">
      <w:pPr>
        <w:tabs>
          <w:tab w:val="left" w:pos="284"/>
          <w:tab w:val="left" w:pos="7655"/>
        </w:tabs>
        <w:spacing w:after="240"/>
        <w:jc w:val="center"/>
        <w:rPr>
          <w:rFonts w:ascii="Palatino Linotype" w:eastAsia="Palatino Linotype" w:hAnsi="Palatino Linotype" w:cs="Palatino Linotype"/>
          <w:b/>
          <w:color w:val="000000" w:themeColor="text1"/>
        </w:rPr>
      </w:pPr>
      <w:r w:rsidRPr="00305BA5">
        <w:rPr>
          <w:rFonts w:ascii="Palatino Linotype" w:eastAsia="Palatino Linotype" w:hAnsi="Palatino Linotype" w:cs="Palatino Linotype"/>
          <w:b/>
          <w:color w:val="000000" w:themeColor="text1"/>
        </w:rPr>
        <w:t>Criterio 0001-15</w:t>
      </w:r>
    </w:p>
    <w:p w:rsidR="00B93BA1" w:rsidRPr="00305BA5" w:rsidRDefault="00B93BA1" w:rsidP="00305BA5">
      <w:pPr>
        <w:tabs>
          <w:tab w:val="left" w:pos="284"/>
          <w:tab w:val="left" w:pos="7655"/>
        </w:tabs>
        <w:spacing w:before="240" w:after="240"/>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NEGATIVA FICTA. PLAZO PARA INTERPONER EL RECURSO DE REVISIÓN TRATÁNDOSE DE.</w:t>
      </w:r>
      <w:r w:rsidRPr="00305BA5">
        <w:rPr>
          <w:rFonts w:ascii="Palatino Linotype" w:eastAsia="Palatino Linotype" w:hAnsi="Palatino Linotype" w:cs="Palatino Linotype"/>
          <w:i/>
          <w:color w:val="000000" w:themeColor="text1"/>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93BA1" w:rsidRPr="00305BA5" w:rsidRDefault="00B93BA1" w:rsidP="00305BA5">
      <w:pPr>
        <w:tabs>
          <w:tab w:val="left" w:pos="284"/>
          <w:tab w:val="left" w:pos="7655"/>
          <w:tab w:val="left" w:pos="7938"/>
        </w:tabs>
        <w:jc w:val="both"/>
        <w:rPr>
          <w:rFonts w:ascii="Palatino Linotype" w:eastAsia="Palatino Linotype" w:hAnsi="Palatino Linotype" w:cs="Palatino Linotype"/>
          <w:i/>
          <w:color w:val="000000" w:themeColor="text1"/>
        </w:rPr>
      </w:pPr>
    </w:p>
    <w:p w:rsidR="00B93BA1" w:rsidRPr="00305BA5" w:rsidRDefault="00B93BA1" w:rsidP="00305BA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lastRenderedPageBreak/>
        <w:t xml:space="preserve">Lo anterior, se explica porque la </w:t>
      </w:r>
      <w:r w:rsidRPr="00305BA5">
        <w:rPr>
          <w:rFonts w:ascii="Palatino Linotype" w:eastAsia="Palatino Linotype" w:hAnsi="Palatino Linotype" w:cs="Palatino Linotype"/>
          <w:b/>
          <w:color w:val="000000" w:themeColor="text1"/>
          <w:u w:val="single"/>
        </w:rPr>
        <w:t>posible ausencia</w:t>
      </w:r>
      <w:r w:rsidRPr="00305BA5">
        <w:rPr>
          <w:rFonts w:ascii="Palatino Linotype" w:eastAsia="Palatino Linotype" w:hAnsi="Palatino Linotype" w:cs="Palatino Linotype"/>
          <w:color w:val="000000" w:themeColor="text1"/>
        </w:rPr>
        <w:t xml:space="preserve"> de una respuesta en la solicitud constituye un acto que vulnera el derecho de manera continua y actualizable cada día en tanto, no se emita la respuesta a la que esté impuesto el </w:t>
      </w:r>
      <w:r w:rsidRPr="00305BA5">
        <w:rPr>
          <w:rFonts w:ascii="Palatino Linotype" w:eastAsia="Palatino Linotype" w:hAnsi="Palatino Linotype" w:cs="Palatino Linotype"/>
          <w:b/>
          <w:color w:val="000000" w:themeColor="text1"/>
        </w:rPr>
        <w:t>SUJETO OBLIGADO</w:t>
      </w:r>
      <w:r w:rsidRPr="00305BA5">
        <w:rPr>
          <w:rFonts w:ascii="Palatino Linotype" w:eastAsia="Palatino Linotype" w:hAnsi="Palatino Linotype" w:cs="Palatino Linotype"/>
          <w:color w:val="000000" w:themeColor="text1"/>
        </w:rPr>
        <w:t>.</w:t>
      </w:r>
    </w:p>
    <w:p w:rsidR="00B93BA1" w:rsidRPr="00305BA5" w:rsidRDefault="00B93BA1" w:rsidP="00305BA5">
      <w:pPr>
        <w:spacing w:line="360" w:lineRule="auto"/>
        <w:jc w:val="both"/>
        <w:rPr>
          <w:rFonts w:ascii="Palatino Linotype" w:eastAsia="Palatino Linotype" w:hAnsi="Palatino Linotype" w:cs="Palatino Linotype"/>
          <w:color w:val="000000" w:themeColor="text1"/>
        </w:rPr>
      </w:pPr>
    </w:p>
    <w:p w:rsidR="00B93BA1" w:rsidRPr="00305BA5" w:rsidRDefault="00B93BA1" w:rsidP="00305BA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305BA5">
        <w:rPr>
          <w:rFonts w:ascii="Palatino Linotype" w:eastAsia="Palatino Linotype" w:hAnsi="Palatino Linotype" w:cs="Palatino Linotype"/>
          <w:b/>
          <w:color w:val="000000" w:themeColor="text1"/>
        </w:rPr>
        <w:t>Recurrente</w:t>
      </w:r>
      <w:r w:rsidRPr="00305BA5">
        <w:rPr>
          <w:rFonts w:ascii="Palatino Linotype" w:eastAsia="Palatino Linotype" w:hAnsi="Palatino Linotype" w:cs="Palatino Linotype"/>
          <w:color w:val="000000" w:themeColor="text1"/>
        </w:rPr>
        <w:t xml:space="preserve">, por lo que, en el presente caso, al haber sido presentado el recurso de revisión vía </w:t>
      </w:r>
      <w:r w:rsidRPr="00305BA5">
        <w:rPr>
          <w:rFonts w:ascii="Palatino Linotype" w:eastAsia="Palatino Linotype" w:hAnsi="Palatino Linotype" w:cs="Palatino Linotype"/>
          <w:b/>
          <w:color w:val="000000" w:themeColor="text1"/>
        </w:rPr>
        <w:t>SAIMEX</w:t>
      </w:r>
      <w:r w:rsidRPr="00305BA5">
        <w:rPr>
          <w:rFonts w:ascii="Palatino Linotype" w:eastAsia="Palatino Linotype" w:hAnsi="Palatino Linotype" w:cs="Palatino Linotype"/>
          <w:color w:val="000000" w:themeColor="text1"/>
        </w:rPr>
        <w:t>, dicho requisito resulta innecesario.</w:t>
      </w:r>
    </w:p>
    <w:p w:rsidR="00B93BA1" w:rsidRPr="00305BA5" w:rsidRDefault="00B93BA1" w:rsidP="00305BA5">
      <w:pPr>
        <w:spacing w:line="360" w:lineRule="auto"/>
        <w:jc w:val="both"/>
        <w:rPr>
          <w:rFonts w:ascii="Palatino Linotype" w:eastAsia="Palatino Linotype" w:hAnsi="Palatino Linotype" w:cs="Palatino Linotype"/>
          <w:color w:val="000000" w:themeColor="text1"/>
        </w:rPr>
      </w:pPr>
    </w:p>
    <w:p w:rsidR="00B93BA1" w:rsidRPr="00305BA5" w:rsidRDefault="00B93BA1" w:rsidP="00305BA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color w:val="000000" w:themeColor="text1"/>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305BA5">
        <w:rPr>
          <w:rFonts w:ascii="Palatino Linotype" w:eastAsia="Palatino Linotype" w:hAnsi="Palatino Linotype" w:cs="Palatino Linotype"/>
          <w:b/>
          <w:color w:val="000000" w:themeColor="text1"/>
        </w:rPr>
        <w:t>Sujeto Obligado</w:t>
      </w:r>
      <w:r w:rsidRPr="00305BA5">
        <w:rPr>
          <w:rFonts w:ascii="Palatino Linotype" w:eastAsia="Palatino Linotype" w:hAnsi="Palatino Linotype" w:cs="Palatino Linotype"/>
          <w:color w:val="000000" w:themeColor="text1"/>
        </w:rPr>
        <w:t xml:space="preserve">, hipótesis jurídica que se actualiza en este caso, aunado a que la parte </w:t>
      </w:r>
      <w:r w:rsidRPr="00305BA5">
        <w:rPr>
          <w:rFonts w:ascii="Palatino Linotype" w:eastAsia="Palatino Linotype" w:hAnsi="Palatino Linotype" w:cs="Palatino Linotype"/>
          <w:b/>
          <w:color w:val="000000" w:themeColor="text1"/>
        </w:rPr>
        <w:t>Recurrente</w:t>
      </w:r>
      <w:r w:rsidRPr="00305BA5">
        <w:rPr>
          <w:rFonts w:ascii="Palatino Linotype" w:eastAsia="Palatino Linotype" w:hAnsi="Palatino Linotype" w:cs="Palatino Linotype"/>
          <w:color w:val="000000" w:themeColor="text1"/>
        </w:rPr>
        <w:t xml:space="preserve"> combate la falta de respuesta por el </w:t>
      </w:r>
      <w:r w:rsidRPr="00305BA5">
        <w:rPr>
          <w:rFonts w:ascii="Palatino Linotype" w:eastAsia="Palatino Linotype" w:hAnsi="Palatino Linotype" w:cs="Palatino Linotype"/>
          <w:b/>
          <w:color w:val="000000" w:themeColor="text1"/>
        </w:rPr>
        <w:t>Sujeto Obligado</w:t>
      </w:r>
      <w:r w:rsidRPr="00305BA5">
        <w:rPr>
          <w:rFonts w:ascii="Palatino Linotype" w:eastAsia="Palatino Linotype" w:hAnsi="Palatino Linotype" w:cs="Palatino Linotype"/>
          <w:color w:val="000000" w:themeColor="text1"/>
        </w:rPr>
        <w:t>.</w:t>
      </w:r>
    </w:p>
    <w:p w:rsidR="00B93BA1" w:rsidRPr="00305BA5" w:rsidRDefault="00B93BA1" w:rsidP="00305BA5">
      <w:pPr>
        <w:spacing w:line="360" w:lineRule="auto"/>
        <w:jc w:val="both"/>
        <w:rPr>
          <w:rFonts w:ascii="Palatino Linotype" w:eastAsia="Palatino Linotype" w:hAnsi="Palatino Linotype" w:cs="Palatino Linotype"/>
          <w:color w:val="000000" w:themeColor="text1"/>
        </w:rPr>
      </w:pPr>
    </w:p>
    <w:p w:rsidR="00B93BA1" w:rsidRPr="00305BA5" w:rsidRDefault="00B93BA1" w:rsidP="00305BA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1061C4" w:rsidRPr="00305BA5" w:rsidRDefault="00A16F82" w:rsidP="00305BA5">
      <w:pPr>
        <w:pStyle w:val="Ttulo2"/>
        <w:rPr>
          <w:rFonts w:ascii="Palatino Linotype" w:eastAsia="Palatino Linotype" w:hAnsi="Palatino Linotype" w:cs="Palatino Linotype"/>
          <w:b/>
          <w:i/>
          <w:color w:val="000000" w:themeColor="text1"/>
          <w:sz w:val="24"/>
          <w:szCs w:val="24"/>
        </w:rPr>
      </w:pPr>
      <w:bookmarkStart w:id="6" w:name="_heading=h.3dy6vkm" w:colFirst="0" w:colLast="0"/>
      <w:bookmarkEnd w:id="6"/>
      <w:r w:rsidRPr="00305BA5">
        <w:rPr>
          <w:rFonts w:ascii="Palatino Linotype" w:eastAsia="Palatino Linotype" w:hAnsi="Palatino Linotype" w:cs="Palatino Linotype"/>
          <w:b/>
          <w:color w:val="000000" w:themeColor="text1"/>
          <w:sz w:val="24"/>
          <w:szCs w:val="24"/>
        </w:rPr>
        <w:lastRenderedPageBreak/>
        <w:t xml:space="preserve">TERCERO. Del planteamiento de la </w:t>
      </w:r>
      <w:r w:rsidRPr="00305BA5">
        <w:rPr>
          <w:rFonts w:ascii="Palatino Linotype" w:eastAsia="Palatino Linotype" w:hAnsi="Palatino Linotype" w:cs="Palatino Linotype"/>
          <w:b/>
          <w:i/>
          <w:color w:val="000000" w:themeColor="text1"/>
          <w:sz w:val="24"/>
          <w:szCs w:val="24"/>
        </w:rPr>
        <w:t>Litis.</w:t>
      </w:r>
    </w:p>
    <w:p w:rsidR="0072148B" w:rsidRPr="00305BA5" w:rsidRDefault="00A077F4" w:rsidP="00305BA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Se solicitó tener acceso, a la información que a continuación se simplifica:</w:t>
      </w:r>
    </w:p>
    <w:p w:rsidR="00C556C3" w:rsidRPr="00305BA5" w:rsidRDefault="00C556C3" w:rsidP="00305BA5">
      <w:pPr>
        <w:pStyle w:val="Prrafodelista"/>
        <w:numPr>
          <w:ilvl w:val="0"/>
          <w:numId w:val="32"/>
        </w:numPr>
        <w:ind w:left="0" w:firstLine="0"/>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Contrato de cada uno de los grupos que se presentaron en septiembre 2022, 2023, y2024.</w:t>
      </w:r>
    </w:p>
    <w:p w:rsidR="0093720C" w:rsidRPr="00305BA5" w:rsidRDefault="006E270F" w:rsidP="00305BA5">
      <w:pPr>
        <w:pStyle w:val="Prrafodelista"/>
        <w:numPr>
          <w:ilvl w:val="0"/>
          <w:numId w:val="32"/>
        </w:numPr>
        <w:ind w:left="0" w:firstLine="0"/>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Gastos </w:t>
      </w:r>
      <w:r w:rsidR="00C556C3" w:rsidRPr="00305BA5">
        <w:rPr>
          <w:rFonts w:ascii="Palatino Linotype" w:eastAsia="Palatino Linotype" w:hAnsi="Palatino Linotype" w:cs="Palatino Linotype"/>
          <w:i/>
          <w:color w:val="000000" w:themeColor="text1"/>
        </w:rPr>
        <w:t xml:space="preserve">erogados en la expo feria de los años 2023 y </w:t>
      </w:r>
      <w:r w:rsidRPr="00305BA5">
        <w:rPr>
          <w:rFonts w:ascii="Palatino Linotype" w:eastAsia="Palatino Linotype" w:hAnsi="Palatino Linotype" w:cs="Palatino Linotype"/>
          <w:i/>
          <w:color w:val="000000" w:themeColor="text1"/>
        </w:rPr>
        <w:t xml:space="preserve">2024, </w:t>
      </w:r>
      <w:r w:rsidR="00C556C3" w:rsidRPr="00305BA5">
        <w:rPr>
          <w:rFonts w:ascii="Palatino Linotype" w:eastAsia="Palatino Linotype" w:hAnsi="Palatino Linotype" w:cs="Palatino Linotype"/>
          <w:i/>
          <w:color w:val="000000" w:themeColor="text1"/>
        </w:rPr>
        <w:t>gastos de publicidad</w:t>
      </w:r>
      <w:r w:rsidRPr="00305BA5">
        <w:rPr>
          <w:rFonts w:ascii="Palatino Linotype" w:eastAsia="Palatino Linotype" w:hAnsi="Palatino Linotype" w:cs="Palatino Linotype"/>
          <w:i/>
          <w:color w:val="000000" w:themeColor="text1"/>
        </w:rPr>
        <w:t xml:space="preserve"> y el documento que lo acredite.</w:t>
      </w:r>
    </w:p>
    <w:p w:rsidR="0093720C" w:rsidRDefault="0093720C" w:rsidP="00305BA5">
      <w:pPr>
        <w:rPr>
          <w:rFonts w:ascii="Palatino Linotype" w:eastAsia="Palatino Linotype" w:hAnsi="Palatino Linotype" w:cs="Palatino Linotype"/>
          <w:i/>
          <w:color w:val="000000" w:themeColor="text1"/>
        </w:rPr>
      </w:pPr>
    </w:p>
    <w:p w:rsidR="00F01451" w:rsidRPr="00305BA5" w:rsidRDefault="00F01451" w:rsidP="00305BA5">
      <w:pPr>
        <w:rPr>
          <w:rFonts w:ascii="Palatino Linotype" w:eastAsia="Palatino Linotype" w:hAnsi="Palatino Linotype" w:cs="Palatino Linotype"/>
          <w:i/>
          <w:color w:val="000000" w:themeColor="text1"/>
        </w:rPr>
      </w:pPr>
    </w:p>
    <w:p w:rsidR="0072148B" w:rsidRPr="00305BA5" w:rsidRDefault="002F3DF1" w:rsidP="00305BA5">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color w:val="000000" w:themeColor="text1"/>
        </w:rPr>
        <w:t>El</w:t>
      </w:r>
      <w:r w:rsidRPr="00305BA5">
        <w:rPr>
          <w:rFonts w:ascii="Palatino Linotype" w:eastAsia="Palatino Linotype" w:hAnsi="Palatino Linotype" w:cs="Palatino Linotype"/>
          <w:b/>
          <w:color w:val="000000" w:themeColor="text1"/>
        </w:rPr>
        <w:t xml:space="preserve"> </w:t>
      </w:r>
      <w:r w:rsidR="001C50E4" w:rsidRPr="00305BA5">
        <w:rPr>
          <w:rFonts w:ascii="Palatino Linotype" w:eastAsia="Palatino Linotype" w:hAnsi="Palatino Linotype" w:cs="Palatino Linotype"/>
          <w:b/>
          <w:color w:val="000000" w:themeColor="text1"/>
        </w:rPr>
        <w:t>SUJETO OBLIGADO</w:t>
      </w:r>
      <w:r w:rsidR="001C50E4" w:rsidRPr="00305BA5">
        <w:rPr>
          <w:rFonts w:ascii="Palatino Linotype" w:eastAsia="Palatino Linotype" w:hAnsi="Palatino Linotype" w:cs="Palatino Linotype"/>
          <w:color w:val="000000" w:themeColor="text1"/>
        </w:rPr>
        <w:t xml:space="preserve"> no emitió respuesta, el particular se dolió por la falta de la misma.</w:t>
      </w:r>
    </w:p>
    <w:p w:rsidR="0072148B" w:rsidRPr="00305BA5" w:rsidRDefault="0072148B" w:rsidP="00305BA5">
      <w:pPr>
        <w:spacing w:line="360" w:lineRule="auto"/>
        <w:jc w:val="both"/>
        <w:rPr>
          <w:rFonts w:ascii="Palatino Linotype" w:eastAsia="Palatino Linotype" w:hAnsi="Palatino Linotype" w:cs="Palatino Linotype"/>
          <w:i/>
          <w:color w:val="000000" w:themeColor="text1"/>
        </w:rPr>
      </w:pPr>
    </w:p>
    <w:p w:rsidR="0072148B" w:rsidRPr="00305BA5" w:rsidRDefault="00A077F4"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305BA5">
        <w:rPr>
          <w:rFonts w:ascii="Palatino Linotype" w:eastAsia="Palatino Linotype" w:hAnsi="Palatino Linotype" w:cs="Palatino Linotype"/>
          <w:b/>
          <w:color w:val="000000" w:themeColor="text1"/>
        </w:rPr>
        <w:t xml:space="preserve">179, fracción </w:t>
      </w:r>
      <w:r w:rsidR="00824237" w:rsidRPr="00305BA5">
        <w:rPr>
          <w:rFonts w:ascii="Palatino Linotype" w:eastAsia="Palatino Linotype" w:hAnsi="Palatino Linotype" w:cs="Palatino Linotype"/>
          <w:b/>
          <w:color w:val="000000" w:themeColor="text1"/>
        </w:rPr>
        <w:t>VII</w:t>
      </w:r>
      <w:r w:rsidRPr="00305BA5">
        <w:rPr>
          <w:rFonts w:ascii="Palatino Linotype" w:eastAsia="Palatino Linotype" w:hAnsi="Palatino Linotype" w:cs="Palatino Linotype"/>
          <w:b/>
          <w:color w:val="000000" w:themeColor="text1"/>
        </w:rPr>
        <w:t>, de la Ley de Transparencia y Acceso a la Información Pública del Estado de México y Municipios</w:t>
      </w:r>
      <w:r w:rsidRPr="00305BA5">
        <w:rPr>
          <w:rFonts w:ascii="Palatino Linotype" w:eastAsia="Palatino Linotype" w:hAnsi="Palatino Linotype" w:cs="Palatino Linotype"/>
          <w:color w:val="000000" w:themeColor="text1"/>
        </w:rPr>
        <w:t xml:space="preserve">; fracción que determina la hipótesis relativa a </w:t>
      </w:r>
      <w:r w:rsidR="00824237" w:rsidRPr="00305BA5">
        <w:rPr>
          <w:rFonts w:ascii="Palatino Linotype" w:eastAsia="Palatino Linotype" w:hAnsi="Palatino Linotype" w:cs="Palatino Linotype"/>
          <w:color w:val="000000" w:themeColor="text1"/>
        </w:rPr>
        <w:t xml:space="preserve">la </w:t>
      </w:r>
      <w:r w:rsidR="00824237" w:rsidRPr="00305BA5">
        <w:rPr>
          <w:rFonts w:ascii="Palatino Linotype" w:eastAsia="Palatino Linotype" w:hAnsi="Palatino Linotype" w:cs="Palatino Linotype"/>
          <w:b/>
          <w:color w:val="000000" w:themeColor="text1"/>
        </w:rPr>
        <w:t>falta de respuesta a una solicitud d</w:t>
      </w:r>
      <w:r w:rsidR="00103707" w:rsidRPr="00305BA5">
        <w:rPr>
          <w:rFonts w:ascii="Palatino Linotype" w:eastAsia="Palatino Linotype" w:hAnsi="Palatino Linotype" w:cs="Palatino Linotype"/>
          <w:b/>
          <w:color w:val="000000" w:themeColor="text1"/>
        </w:rPr>
        <w:t>e</w:t>
      </w:r>
      <w:r w:rsidR="00824237" w:rsidRPr="00305BA5">
        <w:rPr>
          <w:rFonts w:ascii="Palatino Linotype" w:eastAsia="Palatino Linotype" w:hAnsi="Palatino Linotype" w:cs="Palatino Linotype"/>
          <w:b/>
          <w:color w:val="000000" w:themeColor="text1"/>
        </w:rPr>
        <w:t xml:space="preserve"> acceso a la información</w:t>
      </w:r>
      <w:r w:rsidRPr="00305BA5">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305BA5">
        <w:rPr>
          <w:rFonts w:ascii="Palatino Linotype" w:eastAsia="Palatino Linotype" w:hAnsi="Palatino Linotype" w:cs="Palatino Linotype"/>
          <w:b/>
          <w:color w:val="000000" w:themeColor="text1"/>
        </w:rPr>
        <w:t xml:space="preserve"> </w:t>
      </w:r>
      <w:r w:rsidRPr="00305BA5">
        <w:rPr>
          <w:rFonts w:ascii="Palatino Linotype" w:eastAsia="Palatino Linotype" w:hAnsi="Palatino Linotype" w:cs="Palatino Linotype"/>
          <w:color w:val="000000" w:themeColor="text1"/>
        </w:rPr>
        <w:t xml:space="preserve">señalada. </w:t>
      </w:r>
    </w:p>
    <w:p w:rsidR="0072148B" w:rsidRPr="00305BA5" w:rsidRDefault="0072148B" w:rsidP="00305BA5">
      <w:pPr>
        <w:spacing w:line="360" w:lineRule="auto"/>
        <w:rPr>
          <w:rFonts w:ascii="Palatino Linotype" w:eastAsia="Palatino Linotype" w:hAnsi="Palatino Linotype" w:cs="Palatino Linotype"/>
          <w:color w:val="000000" w:themeColor="text1"/>
        </w:rPr>
      </w:pPr>
    </w:p>
    <w:p w:rsidR="00206AA8" w:rsidRPr="00305BA5" w:rsidRDefault="00A16F82" w:rsidP="00305BA5">
      <w:pPr>
        <w:pStyle w:val="Ttulo2"/>
        <w:rPr>
          <w:rFonts w:ascii="Palatino Linotype" w:eastAsia="Palatino Linotype" w:hAnsi="Palatino Linotype" w:cs="Palatino Linotype"/>
          <w:b/>
          <w:color w:val="000000" w:themeColor="text1"/>
          <w:sz w:val="24"/>
          <w:szCs w:val="24"/>
        </w:rPr>
      </w:pPr>
      <w:bookmarkStart w:id="7" w:name="_heading=h.1t3h5sf" w:colFirst="0" w:colLast="0"/>
      <w:bookmarkEnd w:id="7"/>
      <w:r w:rsidRPr="00305BA5">
        <w:rPr>
          <w:rFonts w:ascii="Palatino Linotype" w:eastAsia="Palatino Linotype" w:hAnsi="Palatino Linotype" w:cs="Palatino Linotype"/>
          <w:b/>
          <w:color w:val="000000" w:themeColor="text1"/>
          <w:sz w:val="24"/>
          <w:szCs w:val="24"/>
        </w:rPr>
        <w:t>CUARTO. Del estudio y resolución del asunto.</w:t>
      </w:r>
    </w:p>
    <w:p w:rsidR="007E0E86" w:rsidRPr="00305BA5" w:rsidRDefault="007E0E86"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En cumplimiento a las obligaciones que establece nuestra Carta Magna, la Constitución Estatal y la Ley de la materia le imponen, el </w:t>
      </w:r>
      <w:r w:rsidRPr="00305BA5">
        <w:rPr>
          <w:rFonts w:ascii="Palatino Linotype" w:eastAsia="Palatino Linotype" w:hAnsi="Palatino Linotype" w:cs="Palatino Linotype"/>
          <w:b/>
          <w:color w:val="000000" w:themeColor="text1"/>
        </w:rPr>
        <w:t>Sujeto Obligado</w:t>
      </w:r>
      <w:r w:rsidRPr="00305BA5">
        <w:rPr>
          <w:rFonts w:ascii="Palatino Linotype" w:eastAsia="Palatino Linotype" w:hAnsi="Palatino Linotype" w:cs="Palatino Linotype"/>
          <w:color w:val="000000" w:themeColor="text1"/>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305BA5">
        <w:rPr>
          <w:rFonts w:ascii="Palatino Linotype" w:eastAsia="Palatino Linotype" w:hAnsi="Palatino Linotype" w:cs="Palatino Linotype"/>
          <w:b/>
          <w:color w:val="000000" w:themeColor="text1"/>
        </w:rPr>
        <w:t>Sujeto Obligado</w:t>
      </w:r>
      <w:r w:rsidRPr="00305BA5">
        <w:rPr>
          <w:rFonts w:ascii="Palatino Linotype" w:eastAsia="Palatino Linotype" w:hAnsi="Palatino Linotype" w:cs="Palatino Linotype"/>
          <w:color w:val="000000" w:themeColor="text1"/>
        </w:rPr>
        <w:t xml:space="preserve"> </w:t>
      </w:r>
      <w:r w:rsidRPr="00305BA5">
        <w:rPr>
          <w:rFonts w:ascii="Palatino Linotype" w:eastAsia="Palatino Linotype" w:hAnsi="Palatino Linotype" w:cs="Palatino Linotype"/>
          <w:color w:val="000000" w:themeColor="text1"/>
        </w:rPr>
        <w:lastRenderedPageBreak/>
        <w:t>fue omiso en dar respuesta a la solicitud de información dentro de los plazos establecidos en la Ley de Transparencia Loca.</w:t>
      </w:r>
    </w:p>
    <w:p w:rsidR="007E0E86" w:rsidRPr="00305BA5" w:rsidRDefault="007E0E86" w:rsidP="00305BA5">
      <w:pPr>
        <w:spacing w:line="360" w:lineRule="auto"/>
        <w:jc w:val="both"/>
        <w:rPr>
          <w:rFonts w:ascii="Palatino Linotype" w:eastAsia="Palatino Linotype" w:hAnsi="Palatino Linotype" w:cs="Palatino Linotype"/>
          <w:color w:val="000000" w:themeColor="text1"/>
        </w:rPr>
      </w:pPr>
    </w:p>
    <w:p w:rsidR="007E0E86" w:rsidRPr="00305BA5" w:rsidRDefault="007E0E86"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305BA5">
        <w:rPr>
          <w:rFonts w:ascii="Palatino Linotype" w:eastAsia="Palatino Linotype" w:hAnsi="Palatino Linotype" w:cs="Palatino Linotype"/>
          <w:b/>
          <w:color w:val="000000" w:themeColor="text1"/>
        </w:rPr>
        <w:t xml:space="preserve"> </w:t>
      </w:r>
      <w:r w:rsidRPr="00305BA5">
        <w:rPr>
          <w:rFonts w:ascii="Palatino Linotype" w:eastAsia="Palatino Linotype" w:hAnsi="Palatino Linotype" w:cs="Palatino Linotype"/>
          <w:color w:val="000000" w:themeColor="text1"/>
        </w:rPr>
        <w:t>y</w:t>
      </w:r>
      <w:r w:rsidRPr="00305BA5">
        <w:rPr>
          <w:rFonts w:ascii="Palatino Linotype" w:eastAsia="Palatino Linotype" w:hAnsi="Palatino Linotype" w:cs="Palatino Linotype"/>
          <w:b/>
          <w:color w:val="000000" w:themeColor="text1"/>
        </w:rPr>
        <w:t xml:space="preserve"> </w:t>
      </w:r>
      <w:r w:rsidRPr="00305BA5">
        <w:rPr>
          <w:rFonts w:ascii="Palatino Linotype" w:eastAsia="Palatino Linotype" w:hAnsi="Palatino Linotype" w:cs="Palatino Linotype"/>
          <w:color w:val="000000" w:themeColor="text1"/>
        </w:rPr>
        <w:t>por tanto, es procedente la interposición del recurso de revisión.</w:t>
      </w:r>
    </w:p>
    <w:p w:rsidR="007E0E86" w:rsidRPr="00305BA5" w:rsidRDefault="007E0E86" w:rsidP="00305BA5">
      <w:pPr>
        <w:spacing w:line="360" w:lineRule="auto"/>
        <w:jc w:val="both"/>
        <w:rPr>
          <w:rFonts w:ascii="Palatino Linotype" w:eastAsia="Palatino Linotype" w:hAnsi="Palatino Linotype" w:cs="Palatino Linotype"/>
          <w:color w:val="000000" w:themeColor="text1"/>
        </w:rPr>
      </w:pPr>
    </w:p>
    <w:p w:rsidR="007E0E86" w:rsidRPr="00305BA5" w:rsidRDefault="007E0E86"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Ahora bien 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E0E86" w:rsidRPr="00305BA5" w:rsidRDefault="007E0E86" w:rsidP="00305BA5">
      <w:pPr>
        <w:pBdr>
          <w:top w:val="nil"/>
          <w:left w:val="nil"/>
          <w:bottom w:val="nil"/>
          <w:right w:val="nil"/>
          <w:between w:val="nil"/>
        </w:pBdr>
        <w:tabs>
          <w:tab w:val="left" w:pos="0"/>
          <w:tab w:val="left" w:pos="2850"/>
        </w:tabs>
        <w:spacing w:line="360" w:lineRule="auto"/>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ab/>
      </w:r>
    </w:p>
    <w:p w:rsidR="007E0E86" w:rsidRPr="00305BA5" w:rsidRDefault="007E0E86"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Por su parte, 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E0E86" w:rsidRPr="00305BA5" w:rsidRDefault="007E0E86" w:rsidP="00305BA5">
      <w:pPr>
        <w:widowControl w:val="0"/>
        <w:tabs>
          <w:tab w:val="left" w:pos="1276"/>
        </w:tabs>
        <w:spacing w:line="360" w:lineRule="auto"/>
        <w:jc w:val="both"/>
        <w:rPr>
          <w:rFonts w:ascii="Palatino Linotype" w:eastAsia="Palatino Linotype" w:hAnsi="Palatino Linotype" w:cs="Palatino Linotype"/>
          <w:color w:val="000000" w:themeColor="text1"/>
        </w:rPr>
      </w:pPr>
    </w:p>
    <w:p w:rsidR="007E0E86" w:rsidRPr="00305BA5" w:rsidRDefault="007E0E86"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E0E86" w:rsidRPr="00305BA5" w:rsidRDefault="007E0E86" w:rsidP="00305BA5">
      <w:pPr>
        <w:spacing w:line="360" w:lineRule="auto"/>
        <w:jc w:val="both"/>
        <w:rPr>
          <w:rFonts w:ascii="Palatino Linotype" w:eastAsia="Palatino Linotype" w:hAnsi="Palatino Linotype" w:cs="Palatino Linotype"/>
          <w:color w:val="000000" w:themeColor="text1"/>
        </w:rPr>
      </w:pPr>
    </w:p>
    <w:p w:rsidR="007E0E86" w:rsidRPr="00305BA5" w:rsidRDefault="007E0E86" w:rsidP="00305BA5">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color w:val="000000" w:themeColor="text1"/>
        </w:rPr>
        <w:t xml:space="preserve">En consecuencia, según lo dispuesto por el artículo 150 de la Ley de Transparencia y Acceso a la Información Pública del Estado de México y Municipios, el </w:t>
      </w:r>
      <w:r w:rsidRPr="00305BA5">
        <w:rPr>
          <w:rFonts w:ascii="Palatino Linotype" w:eastAsia="Palatino Linotype" w:hAnsi="Palatino Linotype" w:cs="Palatino Linotype"/>
          <w:i/>
          <w:color w:val="000000" w:themeColor="text1"/>
        </w:rPr>
        <w:t xml:space="preserve">procedimiento de acceso a la información es la garantía primaria del derecho en cuestión, </w:t>
      </w:r>
      <w:r w:rsidRPr="00305BA5">
        <w:rPr>
          <w:rFonts w:ascii="Palatino Linotype" w:eastAsia="Palatino Linotype" w:hAnsi="Palatino Linotype" w:cs="Palatino Linotype"/>
          <w:color w:val="000000" w:themeColor="text1"/>
        </w:rPr>
        <w:t xml:space="preserve">por lo tanto, la falta de respuesta a una solicitud de acceso a la información constituye un incumplimiento del </w:t>
      </w:r>
      <w:r w:rsidRPr="00305BA5">
        <w:rPr>
          <w:rFonts w:ascii="Palatino Linotype" w:eastAsia="Palatino Linotype" w:hAnsi="Palatino Linotype" w:cs="Palatino Linotype"/>
          <w:b/>
          <w:color w:val="000000" w:themeColor="text1"/>
        </w:rPr>
        <w:t>Sujeto Obligado</w:t>
      </w:r>
      <w:r w:rsidRPr="00305BA5">
        <w:rPr>
          <w:rFonts w:ascii="Palatino Linotype" w:eastAsia="Palatino Linotype" w:hAnsi="Palatino Linotype" w:cs="Palatino Linotype"/>
          <w:color w:val="000000" w:themeColor="text1"/>
        </w:rPr>
        <w:t xml:space="preserve"> a su deber de garantizar el derecho, lo que constituye una vulneración al mismo.</w:t>
      </w:r>
    </w:p>
    <w:p w:rsidR="007E0E86" w:rsidRPr="00305BA5" w:rsidRDefault="007E0E86" w:rsidP="00305BA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7E0E86" w:rsidRPr="00305BA5" w:rsidRDefault="007E0E86" w:rsidP="00305BA5">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color w:val="000000" w:themeColor="text1"/>
        </w:rPr>
        <w:t xml:space="preserve">Sin embargo, una vez admitido el Recurso de Revisión el </w:t>
      </w:r>
      <w:r w:rsidRPr="00305BA5">
        <w:rPr>
          <w:rFonts w:ascii="Palatino Linotype" w:eastAsia="Palatino Linotype" w:hAnsi="Palatino Linotype" w:cs="Palatino Linotype"/>
          <w:b/>
          <w:color w:val="000000" w:themeColor="text1"/>
        </w:rPr>
        <w:t>Sujeto Obligado</w:t>
      </w:r>
      <w:r w:rsidR="0021698D" w:rsidRPr="00305BA5">
        <w:rPr>
          <w:rFonts w:ascii="Palatino Linotype" w:eastAsia="Palatino Linotype" w:hAnsi="Palatino Linotype" w:cs="Palatino Linotype"/>
          <w:color w:val="000000" w:themeColor="text1"/>
        </w:rPr>
        <w:t xml:space="preserve"> </w:t>
      </w:r>
      <w:r w:rsidRPr="00305BA5">
        <w:rPr>
          <w:rFonts w:ascii="Palatino Linotype" w:eastAsia="Palatino Linotype" w:hAnsi="Palatino Linotype" w:cs="Palatino Linotype"/>
          <w:color w:val="000000" w:themeColor="text1"/>
        </w:rPr>
        <w:t xml:space="preserve">realizó las manifestaciones correspondientes respecto de la solicitud de información, </w:t>
      </w:r>
      <w:r w:rsidR="0021698D" w:rsidRPr="00305BA5">
        <w:rPr>
          <w:rFonts w:ascii="Palatino Linotype" w:eastAsia="Palatino Linotype" w:hAnsi="Palatino Linotype" w:cs="Palatino Linotype"/>
          <w:color w:val="000000" w:themeColor="text1"/>
        </w:rPr>
        <w:t xml:space="preserve">informando </w:t>
      </w:r>
      <w:r w:rsidR="00E60D47" w:rsidRPr="00305BA5">
        <w:rPr>
          <w:rFonts w:ascii="Palatino Linotype" w:eastAsia="Palatino Linotype" w:hAnsi="Palatino Linotype" w:cs="Palatino Linotype"/>
          <w:color w:val="000000" w:themeColor="text1"/>
        </w:rPr>
        <w:t xml:space="preserve">la </w:t>
      </w:r>
      <w:r w:rsidR="00E60D47" w:rsidRPr="00305BA5">
        <w:rPr>
          <w:rFonts w:ascii="Palatino Linotype" w:eastAsia="Palatino Linotype" w:hAnsi="Palatino Linotype" w:cs="Palatino Linotype"/>
          <w:b/>
          <w:color w:val="000000" w:themeColor="text1"/>
        </w:rPr>
        <w:t>Tesorería Municipal</w:t>
      </w:r>
      <w:r w:rsidR="00E60D47" w:rsidRPr="00305BA5">
        <w:rPr>
          <w:rFonts w:ascii="Palatino Linotype" w:eastAsia="Palatino Linotype" w:hAnsi="Palatino Linotype" w:cs="Palatino Linotype"/>
          <w:color w:val="000000" w:themeColor="text1"/>
        </w:rPr>
        <w:t xml:space="preserve"> que </w:t>
      </w:r>
      <w:r w:rsidR="00E60D47" w:rsidRPr="00305BA5">
        <w:rPr>
          <w:rFonts w:ascii="Palatino Linotype" w:eastAsia="Palatino Linotype" w:hAnsi="Palatino Linotype" w:cs="Palatino Linotype"/>
          <w:i/>
          <w:color w:val="000000" w:themeColor="text1"/>
        </w:rPr>
        <w:t>“</w:t>
      </w:r>
      <w:r w:rsidR="00E60D47" w:rsidRPr="00305BA5">
        <w:rPr>
          <w:rFonts w:ascii="Palatino Linotype" w:eastAsia="Palatino Linotype" w:hAnsi="Palatino Linotype" w:cs="Palatino Linotype"/>
          <w:b/>
          <w:i/>
          <w:color w:val="000000" w:themeColor="text1"/>
        </w:rPr>
        <w:t>la información solicitada implica análisis y procesamiento de documentos cuya entrega o reproducción sobrepasa las capacidades humanas y administrativas</w:t>
      </w:r>
      <w:r w:rsidR="00E60D47" w:rsidRPr="00305BA5">
        <w:rPr>
          <w:rFonts w:ascii="Palatino Linotype" w:eastAsia="Palatino Linotype" w:hAnsi="Palatino Linotype" w:cs="Palatino Linotype"/>
          <w:i/>
          <w:color w:val="000000" w:themeColor="text1"/>
        </w:rPr>
        <w:t xml:space="preserve"> para cumplir con la solicitud en los plazos establecidos y </w:t>
      </w:r>
      <w:r w:rsidR="00E60D47" w:rsidRPr="00305BA5">
        <w:rPr>
          <w:rFonts w:ascii="Palatino Linotype" w:eastAsia="Palatino Linotype" w:hAnsi="Palatino Linotype" w:cs="Palatino Linotype"/>
          <w:b/>
          <w:i/>
          <w:color w:val="000000" w:themeColor="text1"/>
        </w:rPr>
        <w:t>también sobrepasa la capacidad técnica del SAIMЕX</w:t>
      </w:r>
      <w:r w:rsidR="00E60D47" w:rsidRPr="00305BA5">
        <w:rPr>
          <w:rFonts w:ascii="Palatino Linotype" w:eastAsia="Palatino Linotype" w:hAnsi="Palatino Linotype" w:cs="Palatino Linotype"/>
          <w:i/>
          <w:color w:val="000000" w:themeColor="text1"/>
        </w:rPr>
        <w:t xml:space="preserve"> para la carga y entrega de esa información ya que se reitera que en conjunto, la información asciende a un peso considerable de Gigabytes (GB). Por lo anterior, se pondrá a disposición del solicitante los documentos en cita, en la </w:t>
      </w:r>
      <w:r w:rsidR="00E60D47" w:rsidRPr="00305BA5">
        <w:rPr>
          <w:rFonts w:ascii="Palatino Linotype" w:eastAsia="Palatino Linotype" w:hAnsi="Palatino Linotype" w:cs="Palatino Linotype"/>
          <w:b/>
          <w:i/>
          <w:color w:val="000000" w:themeColor="text1"/>
        </w:rPr>
        <w:t>modalidad de consulta directa</w:t>
      </w:r>
      <w:r w:rsidR="00E60D47" w:rsidRPr="00305BA5">
        <w:rPr>
          <w:rFonts w:ascii="Palatino Linotype" w:eastAsia="Palatino Linotype" w:hAnsi="Palatino Linotype" w:cs="Palatino Linotype"/>
          <w:i/>
          <w:color w:val="000000" w:themeColor="text1"/>
        </w:rPr>
        <w:t xml:space="preserve"> (In situ), </w:t>
      </w:r>
      <w:r w:rsidR="00E60D47" w:rsidRPr="00305BA5">
        <w:rPr>
          <w:rFonts w:ascii="Palatino Linotype" w:eastAsia="Palatino Linotype" w:hAnsi="Palatino Linotype" w:cs="Palatino Linotype"/>
          <w:i/>
          <w:color w:val="000000" w:themeColor="text1"/>
        </w:rPr>
        <w:lastRenderedPageBreak/>
        <w:t>salvo la información clasificada</w:t>
      </w:r>
      <w:r w:rsidR="00E60D47" w:rsidRPr="00305BA5">
        <w:rPr>
          <w:rFonts w:ascii="Palatino Linotype" w:eastAsia="Palatino Linotype" w:hAnsi="Palatino Linotype" w:cs="Palatino Linotype"/>
          <w:color w:val="000000" w:themeColor="text1"/>
        </w:rPr>
        <w:t>, remitiendo el acta del Comité de Transparencia a través del cual Se aprueba por unanimidad de votos el cambio de modalidad de entrega de información.</w:t>
      </w:r>
    </w:p>
    <w:p w:rsidR="0072148B" w:rsidRPr="00305BA5" w:rsidRDefault="0072148B" w:rsidP="00305BA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305BA5" w:rsidRDefault="005748DE" w:rsidP="00305BA5">
      <w:pPr>
        <w:numPr>
          <w:ilvl w:val="0"/>
          <w:numId w:val="9"/>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305BA5">
        <w:rPr>
          <w:rFonts w:ascii="Palatino Linotype" w:eastAsia="Palatino Linotype" w:hAnsi="Palatino Linotype" w:cs="Palatino Linotype"/>
          <w:b/>
          <w:color w:val="000000" w:themeColor="text1"/>
        </w:rPr>
        <w:t>Del Sujeto Obligado</w:t>
      </w:r>
    </w:p>
    <w:p w:rsidR="00991899" w:rsidRPr="00305BA5" w:rsidRDefault="00991899"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De conformidad con el artículo 93 de la Ley Orgánica Municipal del Estado</w:t>
      </w:r>
      <w:r w:rsidR="00FE652C" w:rsidRPr="00305BA5">
        <w:rPr>
          <w:rFonts w:ascii="Palatino Linotype" w:eastAsia="Palatino Linotype" w:hAnsi="Palatino Linotype" w:cs="Palatino Linotype"/>
          <w:color w:val="000000" w:themeColor="text1"/>
        </w:rPr>
        <w:t xml:space="preserve"> de México, l</w:t>
      </w:r>
      <w:r w:rsidRPr="00305BA5">
        <w:rPr>
          <w:rFonts w:ascii="Palatino Linotype" w:eastAsia="Palatino Linotype" w:hAnsi="Palatino Linotype" w:cs="Palatino Linotype"/>
          <w:color w:val="000000" w:themeColor="text1"/>
        </w:rPr>
        <w:t xml:space="preserve">a </w:t>
      </w:r>
      <w:r w:rsidRPr="00305BA5">
        <w:rPr>
          <w:rFonts w:ascii="Palatino Linotype" w:eastAsia="Palatino Linotype" w:hAnsi="Palatino Linotype" w:cs="Palatino Linotype"/>
          <w:b/>
          <w:color w:val="000000" w:themeColor="text1"/>
        </w:rPr>
        <w:t>tesorería municipal</w:t>
      </w:r>
      <w:r w:rsidRPr="00305BA5">
        <w:rPr>
          <w:rFonts w:ascii="Palatino Linotype" w:eastAsia="Palatino Linotype" w:hAnsi="Palatino Linotype" w:cs="Palatino Linotype"/>
          <w:color w:val="000000" w:themeColor="text1"/>
        </w:rPr>
        <w:t xml:space="preserve"> es el órgano encargado de la recaudación de los ingresos municipales y responsable de realizar las erogaciones que haga el ayuntamiento</w:t>
      </w:r>
      <w:r w:rsidR="00FE652C" w:rsidRPr="00305BA5">
        <w:rPr>
          <w:rFonts w:ascii="Palatino Linotype" w:eastAsia="Palatino Linotype" w:hAnsi="Palatino Linotype" w:cs="Palatino Linotype"/>
          <w:color w:val="000000" w:themeColor="text1"/>
        </w:rPr>
        <w:t>, y dentro de sus funciones tendrá las siguientes:</w:t>
      </w:r>
    </w:p>
    <w:p w:rsidR="00FE652C" w:rsidRPr="00305BA5" w:rsidRDefault="00FE652C" w:rsidP="00305BA5">
      <w:pPr>
        <w:jc w:val="center"/>
        <w:rPr>
          <w:rFonts w:ascii="Palatino Linotype" w:eastAsia="Palatino Linotype" w:hAnsi="Palatino Linotype" w:cs="Palatino Linotype"/>
          <w:b/>
          <w:i/>
          <w:color w:val="000000" w:themeColor="text1"/>
        </w:rPr>
      </w:pPr>
      <w:r w:rsidRPr="00305BA5">
        <w:rPr>
          <w:rFonts w:ascii="Palatino Linotype" w:eastAsia="Palatino Linotype" w:hAnsi="Palatino Linotype" w:cs="Palatino Linotype"/>
          <w:b/>
          <w:i/>
          <w:color w:val="000000" w:themeColor="text1"/>
        </w:rPr>
        <w:t>Ley Orgánica Municipal del Estado de México</w:t>
      </w:r>
    </w:p>
    <w:p w:rsidR="00FE652C" w:rsidRPr="00305BA5" w:rsidRDefault="00FE652C" w:rsidP="00305BA5">
      <w:pPr>
        <w:jc w:val="center"/>
        <w:rPr>
          <w:rFonts w:ascii="Palatino Linotype" w:eastAsia="Palatino Linotype" w:hAnsi="Palatino Linotype" w:cs="Palatino Linotype"/>
          <w:b/>
          <w:i/>
          <w:color w:val="000000" w:themeColor="text1"/>
        </w:rPr>
      </w:pPr>
    </w:p>
    <w:p w:rsidR="00FE652C" w:rsidRPr="00305BA5" w:rsidRDefault="00FE652C"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 xml:space="preserve">Artículo 95.- </w:t>
      </w:r>
      <w:r w:rsidRPr="00305BA5">
        <w:rPr>
          <w:rFonts w:ascii="Palatino Linotype" w:eastAsia="Palatino Linotype" w:hAnsi="Palatino Linotype" w:cs="Palatino Linotype"/>
          <w:i/>
          <w:color w:val="000000" w:themeColor="text1"/>
        </w:rPr>
        <w:t xml:space="preserve">Son atribuciones del tesorero municipal: </w:t>
      </w:r>
    </w:p>
    <w:p w:rsidR="00FE652C" w:rsidRPr="00305BA5" w:rsidRDefault="00FE652C" w:rsidP="00305BA5">
      <w:pPr>
        <w:jc w:val="both"/>
        <w:rPr>
          <w:rFonts w:ascii="Palatino Linotype" w:eastAsia="Palatino Linotype" w:hAnsi="Palatino Linotype" w:cs="Palatino Linotype"/>
          <w:i/>
          <w:color w:val="000000" w:themeColor="text1"/>
        </w:rPr>
      </w:pPr>
    </w:p>
    <w:p w:rsidR="00FE652C" w:rsidRPr="00305BA5" w:rsidRDefault="00FE652C"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I. Administrar la hacienda pública municipal, de conformidad con las disposiciones legales aplicables; </w:t>
      </w:r>
    </w:p>
    <w:p w:rsidR="00FE652C" w:rsidRPr="00305BA5" w:rsidRDefault="00FE652C"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II. Determinar, liquidar, recaudar, fiscalizar y administrar las contribuciones en los términos de los ordenamientos jurídicos aplicables y, en su caso, aplicar el procedimiento administrativo de ejecución en términos de las disposiciones aplicables;</w:t>
      </w:r>
    </w:p>
    <w:p w:rsidR="00FE652C" w:rsidRPr="00305BA5" w:rsidRDefault="00FE652C"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w:t>
      </w:r>
    </w:p>
    <w:p w:rsidR="00FE652C" w:rsidRPr="00305BA5" w:rsidRDefault="00FE652C"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IV. Llevar los registros contables, financieros y administrativos de los ingresos, egresos, e inventarios;</w:t>
      </w:r>
    </w:p>
    <w:p w:rsidR="00FE652C" w:rsidRPr="00305BA5" w:rsidRDefault="00FE652C"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w:t>
      </w:r>
    </w:p>
    <w:p w:rsidR="00FE652C" w:rsidRPr="00305BA5" w:rsidRDefault="00FE652C" w:rsidP="00305BA5">
      <w:pPr>
        <w:spacing w:line="360" w:lineRule="auto"/>
        <w:jc w:val="both"/>
        <w:rPr>
          <w:rFonts w:ascii="Palatino Linotype" w:eastAsia="Palatino Linotype" w:hAnsi="Palatino Linotype" w:cs="Palatino Linotype"/>
          <w:color w:val="000000" w:themeColor="text1"/>
        </w:rPr>
      </w:pPr>
    </w:p>
    <w:p w:rsidR="00B210D2" w:rsidRPr="00305BA5" w:rsidRDefault="005748DE" w:rsidP="00305BA5">
      <w:pPr>
        <w:numPr>
          <w:ilvl w:val="0"/>
          <w:numId w:val="6"/>
        </w:numP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Para el ejercicio de sus atribuciones y responsabilidades ejecutivas, el Presidente Municipal se auxiliará de las dependencias y entidades de la administración municipal</w:t>
      </w:r>
      <w:r w:rsidR="00933EEA" w:rsidRPr="00305BA5">
        <w:rPr>
          <w:rFonts w:ascii="Palatino Linotype" w:eastAsia="Palatino Linotype" w:hAnsi="Palatino Linotype" w:cs="Palatino Linotype"/>
          <w:color w:val="000000" w:themeColor="text1"/>
        </w:rPr>
        <w:t xml:space="preserve">, de conformidad </w:t>
      </w:r>
      <w:r w:rsidRPr="00305BA5">
        <w:rPr>
          <w:rFonts w:ascii="Palatino Linotype" w:eastAsia="Palatino Linotype" w:hAnsi="Palatino Linotype" w:cs="Palatino Linotype"/>
          <w:color w:val="000000" w:themeColor="text1"/>
        </w:rPr>
        <w:t>con el artículo 39 del Bando Municipal 2025:</w:t>
      </w:r>
    </w:p>
    <w:p w:rsidR="006D3B66" w:rsidRPr="00305BA5" w:rsidRDefault="005748DE" w:rsidP="00305BA5">
      <w:pPr>
        <w:jc w:val="center"/>
        <w:rPr>
          <w:rFonts w:ascii="Palatino Linotype" w:eastAsia="Palatino Linotype" w:hAnsi="Palatino Linotype" w:cs="Palatino Linotype"/>
          <w:b/>
          <w:i/>
          <w:color w:val="000000" w:themeColor="text1"/>
        </w:rPr>
      </w:pPr>
      <w:r w:rsidRPr="00305BA5">
        <w:rPr>
          <w:rFonts w:ascii="Palatino Linotype" w:eastAsia="Palatino Linotype" w:hAnsi="Palatino Linotype" w:cs="Palatino Linotype"/>
          <w:b/>
          <w:i/>
          <w:color w:val="000000" w:themeColor="text1"/>
        </w:rPr>
        <w:t>Bando Municipal 2025</w:t>
      </w:r>
    </w:p>
    <w:p w:rsidR="005748DE" w:rsidRPr="00305BA5" w:rsidRDefault="005748DE" w:rsidP="00305BA5">
      <w:pPr>
        <w:jc w:val="center"/>
        <w:rPr>
          <w:rFonts w:ascii="Palatino Linotype" w:eastAsia="Palatino Linotype" w:hAnsi="Palatino Linotype" w:cs="Palatino Linotype"/>
          <w:b/>
          <w:i/>
          <w:color w:val="000000" w:themeColor="text1"/>
        </w:rPr>
      </w:pPr>
    </w:p>
    <w:p w:rsidR="005748DE" w:rsidRPr="00305BA5" w:rsidRDefault="005748DE"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 xml:space="preserve">Artículo 39. </w:t>
      </w:r>
      <w:r w:rsidRPr="00305BA5">
        <w:rPr>
          <w:rFonts w:ascii="Palatino Linotype" w:eastAsia="Palatino Linotype" w:hAnsi="Palatino Linotype" w:cs="Palatino Linotype"/>
          <w:i/>
          <w:color w:val="000000" w:themeColor="text1"/>
        </w:rPr>
        <w:t xml:space="preserve">Para el ejercicio de sus atribuciones y responsabilidades ejecutivas, el Presidente Municipal se auxiliará de las dependencias y entidades de la administración municipal siguientes: </w:t>
      </w:r>
    </w:p>
    <w:p w:rsidR="005748DE" w:rsidRPr="00305BA5" w:rsidRDefault="005748DE" w:rsidP="00305BA5">
      <w:pPr>
        <w:jc w:val="both"/>
        <w:rPr>
          <w:rFonts w:ascii="Palatino Linotype" w:eastAsia="Palatino Linotype" w:hAnsi="Palatino Linotype" w:cs="Palatino Linotype"/>
          <w:i/>
          <w:color w:val="000000" w:themeColor="text1"/>
        </w:rPr>
      </w:pPr>
    </w:p>
    <w:p w:rsidR="005748DE" w:rsidRPr="00305BA5" w:rsidRDefault="005748DE"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w:t>
      </w:r>
    </w:p>
    <w:p w:rsidR="005748DE" w:rsidRPr="00305BA5" w:rsidRDefault="005748DE"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 II. Tesorería Municipal. </w:t>
      </w:r>
    </w:p>
    <w:p w:rsidR="005748DE" w:rsidRPr="00305BA5" w:rsidRDefault="005748DE"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lastRenderedPageBreak/>
        <w:t>…</w:t>
      </w:r>
    </w:p>
    <w:p w:rsidR="005748DE" w:rsidRPr="00305BA5" w:rsidRDefault="005748DE" w:rsidP="00305BA5">
      <w:pPr>
        <w:jc w:val="both"/>
        <w:rPr>
          <w:rFonts w:ascii="Palatino Linotype" w:eastAsia="Palatino Linotype" w:hAnsi="Palatino Linotype" w:cs="Palatino Linotype"/>
          <w:b/>
          <w:i/>
          <w:color w:val="000000" w:themeColor="text1"/>
        </w:rPr>
      </w:pPr>
      <w:r w:rsidRPr="00305BA5">
        <w:rPr>
          <w:rFonts w:ascii="Palatino Linotype" w:eastAsia="Palatino Linotype" w:hAnsi="Palatino Linotype" w:cs="Palatino Linotype"/>
          <w:i/>
          <w:color w:val="000000" w:themeColor="text1"/>
        </w:rPr>
        <w:t>V. Dirección de Administración y Finanzas.</w:t>
      </w:r>
    </w:p>
    <w:p w:rsidR="00933EEA" w:rsidRPr="00305BA5" w:rsidRDefault="00933EEA" w:rsidP="00305BA5">
      <w:pPr>
        <w:jc w:val="center"/>
        <w:rPr>
          <w:rFonts w:ascii="Palatino Linotype" w:eastAsia="Palatino Linotype" w:hAnsi="Palatino Linotype" w:cs="Palatino Linotype"/>
          <w:b/>
          <w:i/>
          <w:color w:val="000000" w:themeColor="text1"/>
        </w:rPr>
      </w:pPr>
    </w:p>
    <w:p w:rsidR="00933EEA" w:rsidRPr="00305BA5" w:rsidRDefault="00933EEA" w:rsidP="00305BA5">
      <w:pPr>
        <w:jc w:val="both"/>
        <w:rPr>
          <w:rFonts w:ascii="Palatino Linotype" w:eastAsia="Palatino Linotype" w:hAnsi="Palatino Linotype" w:cs="Palatino Linotype"/>
          <w:b/>
          <w:i/>
          <w:color w:val="000000" w:themeColor="text1"/>
        </w:rPr>
      </w:pPr>
      <w:r w:rsidRPr="00305BA5">
        <w:rPr>
          <w:rFonts w:ascii="Palatino Linotype" w:eastAsia="Palatino Linotype" w:hAnsi="Palatino Linotype" w:cs="Palatino Linotype"/>
          <w:b/>
          <w:i/>
          <w:color w:val="000000" w:themeColor="text1"/>
        </w:rPr>
        <w:t xml:space="preserve">DE LA INTEGRACIÓN Y ORGANIZACIÓN DEL AYUNTAMIENTO </w:t>
      </w:r>
    </w:p>
    <w:p w:rsidR="00933EEA" w:rsidRPr="00305BA5" w:rsidRDefault="00933EEA" w:rsidP="00305BA5">
      <w:pPr>
        <w:jc w:val="both"/>
        <w:rPr>
          <w:rFonts w:ascii="Palatino Linotype" w:eastAsia="Palatino Linotype" w:hAnsi="Palatino Linotype" w:cs="Palatino Linotype"/>
          <w:b/>
          <w:i/>
          <w:color w:val="000000" w:themeColor="text1"/>
        </w:rPr>
      </w:pPr>
    </w:p>
    <w:p w:rsidR="00E62804" w:rsidRPr="00305BA5" w:rsidRDefault="00933EEA"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 xml:space="preserve">Artículo 2.3. </w:t>
      </w:r>
      <w:r w:rsidRPr="00305BA5">
        <w:rPr>
          <w:rFonts w:ascii="Palatino Linotype" w:eastAsia="Palatino Linotype" w:hAnsi="Palatino Linotype" w:cs="Palatino Linotype"/>
          <w:i/>
          <w:color w:val="000000" w:themeColor="text1"/>
        </w:rPr>
        <w:t>Conforme a las disposiciones legales, el Ayuntamiento de Toluca se integra por:</w:t>
      </w:r>
    </w:p>
    <w:p w:rsidR="00E62804" w:rsidRPr="00305BA5" w:rsidRDefault="00933EEA"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 I. El presidente municipal; </w:t>
      </w:r>
    </w:p>
    <w:p w:rsidR="00E62804" w:rsidRPr="00305BA5" w:rsidRDefault="00933EEA"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II. Tres síndicos, dos de mayoría relativa y uno de representación proporcional; y </w:t>
      </w:r>
    </w:p>
    <w:p w:rsidR="00044620" w:rsidRPr="00305BA5" w:rsidRDefault="00933EEA"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III. </w:t>
      </w:r>
      <w:r w:rsidRPr="00305BA5">
        <w:rPr>
          <w:rFonts w:ascii="Palatino Linotype" w:eastAsia="Palatino Linotype" w:hAnsi="Palatino Linotype" w:cs="Palatino Linotype"/>
          <w:b/>
          <w:i/>
          <w:color w:val="000000" w:themeColor="text1"/>
        </w:rPr>
        <w:t>Dieciséis regidoras o regidores</w:t>
      </w:r>
      <w:r w:rsidRPr="00305BA5">
        <w:rPr>
          <w:rFonts w:ascii="Palatino Linotype" w:eastAsia="Palatino Linotype" w:hAnsi="Palatino Linotype" w:cs="Palatino Linotype"/>
          <w:i/>
          <w:color w:val="000000" w:themeColor="text1"/>
        </w:rPr>
        <w:t>, nueve de mayoría relativa y siete de representación proporcional.</w:t>
      </w:r>
    </w:p>
    <w:p w:rsidR="00991899" w:rsidRPr="00305BA5" w:rsidRDefault="00991899" w:rsidP="00305BA5">
      <w:pPr>
        <w:jc w:val="both"/>
        <w:rPr>
          <w:rFonts w:ascii="Palatino Linotype" w:eastAsia="Palatino Linotype" w:hAnsi="Palatino Linotype" w:cs="Palatino Linotype"/>
          <w:i/>
          <w:color w:val="000000" w:themeColor="text1"/>
        </w:rPr>
      </w:pPr>
    </w:p>
    <w:p w:rsidR="00044620" w:rsidRPr="00305BA5" w:rsidRDefault="00044620" w:rsidP="00305BA5">
      <w:pPr>
        <w:jc w:val="both"/>
        <w:rPr>
          <w:rFonts w:ascii="Palatino Linotype" w:eastAsia="Palatino Linotype" w:hAnsi="Palatino Linotype" w:cs="Palatino Linotype"/>
          <w:b/>
          <w:i/>
          <w:color w:val="000000" w:themeColor="text1"/>
        </w:rPr>
      </w:pPr>
    </w:p>
    <w:p w:rsidR="005B551C" w:rsidRPr="00305BA5" w:rsidRDefault="00A4527F"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La </w:t>
      </w:r>
      <w:r w:rsidR="005748DE" w:rsidRPr="00305BA5">
        <w:rPr>
          <w:rFonts w:ascii="Palatino Linotype" w:eastAsia="Palatino Linotype" w:hAnsi="Palatino Linotype" w:cs="Palatino Linotype"/>
          <w:b/>
          <w:color w:val="000000" w:themeColor="text1"/>
        </w:rPr>
        <w:t>Tesorería Municipal</w:t>
      </w:r>
      <w:r w:rsidR="005748DE" w:rsidRPr="00305BA5">
        <w:rPr>
          <w:rFonts w:ascii="Palatino Linotype" w:eastAsia="Palatino Linotype" w:hAnsi="Palatino Linotype" w:cs="Palatino Linotype"/>
          <w:color w:val="000000" w:themeColor="text1"/>
        </w:rPr>
        <w:t xml:space="preserve"> </w:t>
      </w:r>
      <w:r w:rsidRPr="00305BA5">
        <w:rPr>
          <w:rFonts w:ascii="Palatino Linotype" w:eastAsia="Palatino Linotype" w:hAnsi="Palatino Linotype" w:cs="Palatino Linotype"/>
          <w:color w:val="000000" w:themeColor="text1"/>
        </w:rPr>
        <w:t xml:space="preserve"> </w:t>
      </w:r>
      <w:r w:rsidR="005748DE" w:rsidRPr="00305BA5">
        <w:rPr>
          <w:rFonts w:ascii="Palatino Linotype" w:eastAsia="Palatino Linotype" w:hAnsi="Palatino Linotype" w:cs="Palatino Linotype"/>
          <w:color w:val="000000" w:themeColor="text1"/>
        </w:rPr>
        <w:t>de conformidad con su Manual de Organización, tiene como funciones las de Asegurar la eficiente, transparente y oportuna gestión de los recursos financieros del municipio, garantizando el cumplimiento de las obligaciones financieras, la estabilidad económica y el apoyo a los objetivos de desarrollo municipal, en estricto apego a la normativa aplicable, tal como lo muestra el ordenamiento en comento:</w:t>
      </w:r>
    </w:p>
    <w:p w:rsidR="005748DE" w:rsidRPr="00305BA5" w:rsidRDefault="005748DE" w:rsidP="00305BA5">
      <w:pPr>
        <w:jc w:val="both"/>
        <w:rPr>
          <w:rFonts w:ascii="Palatino Linotype" w:eastAsia="Palatino Linotype" w:hAnsi="Palatino Linotype" w:cs="Palatino Linotype"/>
          <w:b/>
          <w:i/>
          <w:color w:val="000000" w:themeColor="text1"/>
        </w:rPr>
      </w:pPr>
      <w:r w:rsidRPr="00305BA5">
        <w:rPr>
          <w:rFonts w:ascii="Palatino Linotype" w:eastAsia="Palatino Linotype" w:hAnsi="Palatino Linotype" w:cs="Palatino Linotype"/>
          <w:b/>
          <w:i/>
          <w:color w:val="000000" w:themeColor="text1"/>
        </w:rPr>
        <w:t xml:space="preserve">FUNCIONES </w:t>
      </w:r>
    </w:p>
    <w:p w:rsidR="005748DE" w:rsidRPr="00305BA5" w:rsidRDefault="005748DE"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Gestión Financiera y Presupuestaria</w:t>
      </w:r>
      <w:r w:rsidRPr="00305BA5">
        <w:rPr>
          <w:rFonts w:ascii="Palatino Linotype" w:eastAsia="Palatino Linotype" w:hAnsi="Palatino Linotype" w:cs="Palatino Linotype"/>
          <w:i/>
          <w:color w:val="000000" w:themeColor="text1"/>
        </w:rPr>
        <w:t>:</w:t>
      </w:r>
    </w:p>
    <w:p w:rsidR="005748DE" w:rsidRPr="00305BA5" w:rsidRDefault="005748DE"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 xml:space="preserve"> I. Recaudación de Ingresos</w:t>
      </w:r>
      <w:r w:rsidRPr="00305BA5">
        <w:rPr>
          <w:rFonts w:ascii="Palatino Linotype" w:eastAsia="Palatino Linotype" w:hAnsi="Palatino Linotype" w:cs="Palatino Linotype"/>
          <w:i/>
          <w:color w:val="000000" w:themeColor="text1"/>
        </w:rPr>
        <w:t xml:space="preserve">: Vigilar y asegurar la correcta recaudación de impuestos, derechos, productos, aprovechamientos y otros ingresos municipales establecidos en la Ley de Ingresos. </w:t>
      </w:r>
    </w:p>
    <w:p w:rsidR="005748DE" w:rsidRPr="00305BA5" w:rsidRDefault="005748DE"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II. Custodia y Administración de Fondos</w:t>
      </w:r>
      <w:r w:rsidRPr="00305BA5">
        <w:rPr>
          <w:rFonts w:ascii="Palatino Linotype" w:eastAsia="Palatino Linotype" w:hAnsi="Palatino Linotype" w:cs="Palatino Linotype"/>
          <w:i/>
          <w:color w:val="000000" w:themeColor="text1"/>
        </w:rPr>
        <w:t xml:space="preserve">: Responsable de la custodia, depósito y manejo de los fondos y valores municipales. </w:t>
      </w:r>
    </w:p>
    <w:p w:rsidR="005748DE" w:rsidRPr="00305BA5" w:rsidRDefault="005748DE"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III. Ejercicio del Presupuesto</w:t>
      </w:r>
      <w:r w:rsidRPr="00305BA5">
        <w:rPr>
          <w:rFonts w:ascii="Palatino Linotype" w:eastAsia="Palatino Linotype" w:hAnsi="Palatino Linotype" w:cs="Palatino Linotype"/>
          <w:i/>
          <w:color w:val="000000" w:themeColor="text1"/>
        </w:rPr>
        <w:t xml:space="preserve">: Administrar y controlar el ejercicio del presupuesto de egresos, realizando los pagos de acuerdo a las partidas aprobadas. </w:t>
      </w:r>
    </w:p>
    <w:p w:rsidR="004A3C4F" w:rsidRPr="00305BA5" w:rsidRDefault="005748DE"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IV. Elaboración del Presupuesto</w:t>
      </w:r>
      <w:r w:rsidRPr="00305BA5">
        <w:rPr>
          <w:rFonts w:ascii="Palatino Linotype" w:eastAsia="Palatino Linotype" w:hAnsi="Palatino Linotype" w:cs="Palatino Linotype"/>
          <w:i/>
          <w:color w:val="000000" w:themeColor="text1"/>
        </w:rPr>
        <w:t xml:space="preserve">: Participar en la elaboración del proyecto de la Ley de Ingresos y del Presupuesto de Egresos del municipio. </w:t>
      </w:r>
    </w:p>
    <w:p w:rsidR="004A3C4F" w:rsidRPr="00305BA5" w:rsidRDefault="005748DE"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V. Contabilidad Municipal</w:t>
      </w:r>
      <w:r w:rsidRPr="00305BA5">
        <w:rPr>
          <w:rFonts w:ascii="Palatino Linotype" w:eastAsia="Palatino Linotype" w:hAnsi="Palatino Linotype" w:cs="Palatino Linotype"/>
          <w:i/>
          <w:color w:val="000000" w:themeColor="text1"/>
        </w:rPr>
        <w:t xml:space="preserve">: Llevar la contabilidad general del municipio, registrando ingresos, egresos y movimientos financieros. </w:t>
      </w:r>
    </w:p>
    <w:p w:rsidR="004A3C4F" w:rsidRPr="00305BA5" w:rsidRDefault="005748DE"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VI</w:t>
      </w:r>
      <w:r w:rsidRPr="00305BA5">
        <w:rPr>
          <w:rFonts w:ascii="Palatino Linotype" w:eastAsia="Palatino Linotype" w:hAnsi="Palatino Linotype" w:cs="Palatino Linotype"/>
          <w:b/>
          <w:i/>
          <w:color w:val="000000" w:themeColor="text1"/>
        </w:rPr>
        <w:t>. Informes Financieros</w:t>
      </w:r>
      <w:r w:rsidRPr="00305BA5">
        <w:rPr>
          <w:rFonts w:ascii="Palatino Linotype" w:eastAsia="Palatino Linotype" w:hAnsi="Palatino Linotype" w:cs="Palatino Linotype"/>
          <w:i/>
          <w:color w:val="000000" w:themeColor="text1"/>
        </w:rPr>
        <w:t xml:space="preserve">: Elaborar y presentar informes financieros periódicos al Ayuntamiento y a las autoridades correspondientes. </w:t>
      </w:r>
    </w:p>
    <w:p w:rsidR="004A3C4F" w:rsidRPr="00305BA5" w:rsidRDefault="005748DE"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VII. Control Interno</w:t>
      </w:r>
      <w:r w:rsidRPr="00305BA5">
        <w:rPr>
          <w:rFonts w:ascii="Palatino Linotype" w:eastAsia="Palatino Linotype" w:hAnsi="Palatino Linotype" w:cs="Palatino Linotype"/>
          <w:i/>
          <w:color w:val="000000" w:themeColor="text1"/>
        </w:rPr>
        <w:t xml:space="preserve">: Establecer y mantener sistemas de control interno para asegurar el correcto manejo de los recursos municipales. </w:t>
      </w:r>
    </w:p>
    <w:p w:rsidR="004A3C4F" w:rsidRPr="00305BA5" w:rsidRDefault="005748DE"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VIII</w:t>
      </w:r>
      <w:r w:rsidRPr="00305BA5">
        <w:rPr>
          <w:rFonts w:ascii="Palatino Linotype" w:eastAsia="Palatino Linotype" w:hAnsi="Palatino Linotype" w:cs="Palatino Linotype"/>
          <w:b/>
          <w:i/>
          <w:color w:val="000000" w:themeColor="text1"/>
        </w:rPr>
        <w:t>. Deuda Pública</w:t>
      </w:r>
      <w:r w:rsidRPr="00305BA5">
        <w:rPr>
          <w:rFonts w:ascii="Palatino Linotype" w:eastAsia="Palatino Linotype" w:hAnsi="Palatino Linotype" w:cs="Palatino Linotype"/>
          <w:i/>
          <w:color w:val="000000" w:themeColor="text1"/>
        </w:rPr>
        <w:t xml:space="preserve">: Administrar la deuda pública municipal, si la hubiere, realizando los pagos y gestiones necesarias. </w:t>
      </w:r>
    </w:p>
    <w:p w:rsidR="008054EC" w:rsidRPr="00305BA5" w:rsidRDefault="005748DE"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lastRenderedPageBreak/>
        <w:t>IX. Inversiones</w:t>
      </w:r>
      <w:r w:rsidRPr="00305BA5">
        <w:rPr>
          <w:rFonts w:ascii="Palatino Linotype" w:eastAsia="Palatino Linotype" w:hAnsi="Palatino Linotype" w:cs="Palatino Linotype"/>
          <w:i/>
          <w:color w:val="000000" w:themeColor="text1"/>
        </w:rPr>
        <w:t>: En algunos casos, administrar las inversiones financieras del municipio buscando la mejor rentabilidad y seguridad.</w:t>
      </w:r>
    </w:p>
    <w:p w:rsidR="0072148B" w:rsidRPr="00305BA5" w:rsidRDefault="0072148B" w:rsidP="00305BA5">
      <w:pPr>
        <w:spacing w:line="360" w:lineRule="auto"/>
        <w:jc w:val="both"/>
        <w:rPr>
          <w:rFonts w:ascii="Palatino Linotype" w:eastAsia="Palatino Linotype" w:hAnsi="Palatino Linotype" w:cs="Palatino Linotype"/>
          <w:color w:val="000000" w:themeColor="text1"/>
        </w:rPr>
      </w:pPr>
    </w:p>
    <w:p w:rsidR="00670255" w:rsidRPr="00305BA5" w:rsidRDefault="00670255" w:rsidP="00305BA5">
      <w:pPr>
        <w:numPr>
          <w:ilvl w:val="0"/>
          <w:numId w:val="6"/>
        </w:numP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Es de recordar que del tablero del SAIMEX se puede apreciar que el Sujeto Obligado turnó el requerimiento de información a la Tesorería Municipal y a la Dirección de Administración y Finanzas, derivado de la falta de respuesta se interpuso el presente medio de impugnación.</w:t>
      </w:r>
    </w:p>
    <w:p w:rsidR="00670255" w:rsidRPr="00305BA5" w:rsidRDefault="00670255" w:rsidP="00305BA5">
      <w:pPr>
        <w:spacing w:line="360" w:lineRule="auto"/>
        <w:jc w:val="both"/>
        <w:rPr>
          <w:rFonts w:ascii="Palatino Linotype" w:hAnsi="Palatino Linotype"/>
          <w:color w:val="000000" w:themeColor="text1"/>
        </w:rPr>
      </w:pPr>
    </w:p>
    <w:p w:rsidR="00670255" w:rsidRPr="00305BA5" w:rsidRDefault="00670255" w:rsidP="00305BA5">
      <w:pPr>
        <w:numPr>
          <w:ilvl w:val="0"/>
          <w:numId w:val="6"/>
        </w:numP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 xml:space="preserve">Acto posterior, a través de Informe Justificado, se emite pronunciamiento por la </w:t>
      </w:r>
      <w:r w:rsidRPr="00305BA5">
        <w:rPr>
          <w:rFonts w:ascii="Palatino Linotype" w:eastAsia="Palatino Linotype" w:hAnsi="Palatino Linotype" w:cs="Palatino Linotype"/>
          <w:b/>
          <w:color w:val="000000" w:themeColor="text1"/>
        </w:rPr>
        <w:t>Tesorería Municipal</w:t>
      </w:r>
      <w:r w:rsidRPr="00305BA5">
        <w:rPr>
          <w:rFonts w:ascii="Palatino Linotype" w:eastAsia="Palatino Linotype" w:hAnsi="Palatino Linotype" w:cs="Palatino Linotype"/>
          <w:color w:val="000000" w:themeColor="text1"/>
        </w:rPr>
        <w:t xml:space="preserve">  por lo que podemos advertir que </w:t>
      </w:r>
      <w:r w:rsidRPr="00305BA5">
        <w:rPr>
          <w:rFonts w:ascii="Palatino Linotype" w:eastAsia="Palatino Linotype" w:hAnsi="Palatino Linotype" w:cs="Palatino Linotype"/>
          <w:b/>
          <w:color w:val="000000" w:themeColor="text1"/>
        </w:rPr>
        <w:t xml:space="preserve">EL SUJETO OBLIGADO </w:t>
      </w:r>
      <w:r w:rsidRPr="00305BA5">
        <w:rPr>
          <w:rFonts w:ascii="Palatino Linotype" w:eastAsia="Palatino Linotype" w:hAnsi="Palatino Linotype" w:cs="Palatino Linotype"/>
          <w:color w:val="000000" w:themeColor="text1"/>
        </w:rPr>
        <w:t>siguió el procedimiento inmerso en la normatividad aplicable, ya que tornó el requerimiento de información a la unidad administrativa competente, vigilando lo establecido por el artículo 162 de la Ley de Transparencia y Acceso a la Información Pública del Estado de México y Municipios, al turnar la solicitud de información a las áreas en las que pudiera obrar la información de conformidad con la fracción XXXIX del artículo tercero de la legislación local vigente en materia de transparencia:</w:t>
      </w:r>
    </w:p>
    <w:p w:rsidR="00670255" w:rsidRPr="00305BA5" w:rsidRDefault="00670255"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XXXIX.</w:t>
      </w:r>
      <w:r w:rsidRPr="00305BA5">
        <w:rPr>
          <w:rFonts w:ascii="Palatino Linotype" w:eastAsia="Palatino Linotype" w:hAnsi="Palatino Linotype" w:cs="Palatino Linotype"/>
          <w:i/>
          <w:color w:val="000000" w:themeColor="text1"/>
        </w:rPr>
        <w:t xml:space="preserve"> </w:t>
      </w:r>
      <w:r w:rsidRPr="00305BA5">
        <w:rPr>
          <w:rFonts w:ascii="Palatino Linotype" w:eastAsia="Palatino Linotype" w:hAnsi="Palatino Linotype" w:cs="Palatino Linotype"/>
          <w:b/>
          <w:i/>
          <w:color w:val="000000" w:themeColor="text1"/>
        </w:rPr>
        <w:t>Servidor público habilitado</w:t>
      </w:r>
      <w:r w:rsidRPr="00305BA5">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670255" w:rsidRPr="00305BA5" w:rsidRDefault="00670255" w:rsidP="00305BA5">
      <w:pPr>
        <w:spacing w:line="360" w:lineRule="auto"/>
        <w:jc w:val="both"/>
        <w:rPr>
          <w:rFonts w:ascii="Palatino Linotype" w:eastAsia="Palatino Linotype" w:hAnsi="Palatino Linotype" w:cs="Palatino Linotype"/>
          <w:color w:val="000000" w:themeColor="text1"/>
        </w:rPr>
      </w:pPr>
    </w:p>
    <w:p w:rsidR="00670255" w:rsidRPr="00305BA5" w:rsidRDefault="00670255" w:rsidP="00305BA5">
      <w:pPr>
        <w:numPr>
          <w:ilvl w:val="0"/>
          <w:numId w:val="6"/>
        </w:numP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670255" w:rsidRPr="00305BA5" w:rsidRDefault="00670255"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w:t>
      </w:r>
      <w:r w:rsidRPr="00305BA5">
        <w:rPr>
          <w:rFonts w:ascii="Palatino Linotype" w:eastAsia="Palatino Linotype" w:hAnsi="Palatino Linotype" w:cs="Palatino Linotype"/>
          <w:b/>
          <w:i/>
          <w:color w:val="000000" w:themeColor="text1"/>
        </w:rPr>
        <w:t>Artículo 162</w:t>
      </w:r>
      <w:r w:rsidRPr="00305BA5">
        <w:rPr>
          <w:rFonts w:ascii="Palatino Linotype" w:eastAsia="Palatino Linotype" w:hAnsi="Palatino Linotype" w:cs="Palatino Linotype"/>
          <w:i/>
          <w:color w:val="000000" w:themeColor="text1"/>
        </w:rPr>
        <w:t xml:space="preserve">. Las unidades de transparencia deberán garantizar que las solicitudes se turnen a todas las Áreas competentes que cuenten con la información o deban tenerla de acuerdo a sus facultades, </w:t>
      </w:r>
      <w:r w:rsidRPr="00305BA5">
        <w:rPr>
          <w:rFonts w:ascii="Palatino Linotype" w:eastAsia="Palatino Linotype" w:hAnsi="Palatino Linotype" w:cs="Palatino Linotype"/>
          <w:i/>
          <w:color w:val="000000" w:themeColor="text1"/>
        </w:rPr>
        <w:lastRenderedPageBreak/>
        <w:t>competencias y funciones, con el objeto de que realicen una búsqueda exhaustiva y razonable de la información solicitada.”</w:t>
      </w:r>
    </w:p>
    <w:p w:rsidR="00670255" w:rsidRPr="00305BA5" w:rsidRDefault="00670255" w:rsidP="00305BA5">
      <w:pPr>
        <w:spacing w:line="360" w:lineRule="auto"/>
        <w:jc w:val="both"/>
        <w:rPr>
          <w:rFonts w:ascii="Palatino Linotype" w:eastAsia="Palatino Linotype" w:hAnsi="Palatino Linotype" w:cs="Palatino Linotype"/>
          <w:color w:val="000000" w:themeColor="text1"/>
        </w:rPr>
      </w:pPr>
    </w:p>
    <w:p w:rsidR="00670255" w:rsidRPr="00305BA5" w:rsidRDefault="00670255" w:rsidP="00305BA5">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color w:val="000000" w:themeColor="text1"/>
        </w:rPr>
        <w:t xml:space="preserve">Es de </w:t>
      </w:r>
      <w:r w:rsidR="0035592A" w:rsidRPr="00305BA5">
        <w:rPr>
          <w:rFonts w:ascii="Palatino Linotype" w:eastAsia="Palatino Linotype" w:hAnsi="Palatino Linotype" w:cs="Palatino Linotype"/>
          <w:color w:val="000000" w:themeColor="text1"/>
        </w:rPr>
        <w:t xml:space="preserve">recordar que el Sujeto Obligado fue omiso en proporcionar respuesta, circunstancia de la cual se dolió el recurrente; no obstante en un acto posterior a través de Informe Justificado la unidad administrativa competente refiere que </w:t>
      </w:r>
      <w:r w:rsidR="0035592A" w:rsidRPr="00305BA5">
        <w:rPr>
          <w:rFonts w:ascii="Palatino Linotype" w:eastAsia="Palatino Linotype" w:hAnsi="Palatino Linotype" w:cs="Palatino Linotype"/>
          <w:i/>
          <w:color w:val="000000" w:themeColor="text1"/>
        </w:rPr>
        <w:t>“</w:t>
      </w:r>
      <w:r w:rsidR="0035592A" w:rsidRPr="00305BA5">
        <w:rPr>
          <w:rFonts w:ascii="Palatino Linotype" w:eastAsia="Palatino Linotype" w:hAnsi="Palatino Linotype" w:cs="Palatino Linotype"/>
          <w:b/>
          <w:i/>
          <w:color w:val="000000" w:themeColor="text1"/>
        </w:rPr>
        <w:t>la información solicitada implica análisis y procesamiento de documentos cuya entrega o reproducción sobrepasa las capacidades humanas y administrativas</w:t>
      </w:r>
      <w:r w:rsidR="0035592A" w:rsidRPr="00305BA5">
        <w:rPr>
          <w:rFonts w:ascii="Palatino Linotype" w:eastAsia="Palatino Linotype" w:hAnsi="Palatino Linotype" w:cs="Palatino Linotype"/>
          <w:i/>
          <w:color w:val="000000" w:themeColor="text1"/>
        </w:rPr>
        <w:t xml:space="preserve"> para cumplir con la solicitud en los plazos establecidos y </w:t>
      </w:r>
      <w:r w:rsidR="0035592A" w:rsidRPr="00305BA5">
        <w:rPr>
          <w:rFonts w:ascii="Palatino Linotype" w:eastAsia="Palatino Linotype" w:hAnsi="Palatino Linotype" w:cs="Palatino Linotype"/>
          <w:b/>
          <w:i/>
          <w:color w:val="000000" w:themeColor="text1"/>
        </w:rPr>
        <w:t>también sobrepasa la capacidad técnica del SAIMЕX</w:t>
      </w:r>
      <w:r w:rsidR="0035592A" w:rsidRPr="00305BA5">
        <w:rPr>
          <w:rFonts w:ascii="Palatino Linotype" w:eastAsia="Palatino Linotype" w:hAnsi="Palatino Linotype" w:cs="Palatino Linotype"/>
          <w:i/>
          <w:color w:val="000000" w:themeColor="text1"/>
        </w:rPr>
        <w:t xml:space="preserve"> para la carga y entrega de esa información ya que se reitera que en conjunto, la información asciende a un peso considerable de Gigabytes (GB). Por lo que, se pondrá a disposición del solicitante los documentos en cita, en la </w:t>
      </w:r>
      <w:r w:rsidR="0035592A" w:rsidRPr="00305BA5">
        <w:rPr>
          <w:rFonts w:ascii="Palatino Linotype" w:eastAsia="Palatino Linotype" w:hAnsi="Palatino Linotype" w:cs="Palatino Linotype"/>
          <w:b/>
          <w:i/>
          <w:color w:val="000000" w:themeColor="text1"/>
        </w:rPr>
        <w:t>modalidad de consulta directa</w:t>
      </w:r>
      <w:r w:rsidR="0035592A" w:rsidRPr="00305BA5">
        <w:rPr>
          <w:rFonts w:ascii="Palatino Linotype" w:eastAsia="Palatino Linotype" w:hAnsi="Palatino Linotype" w:cs="Palatino Linotype"/>
          <w:i/>
          <w:color w:val="000000" w:themeColor="text1"/>
        </w:rPr>
        <w:t xml:space="preserve"> (In situ), salvo la información clasificada…”</w:t>
      </w:r>
    </w:p>
    <w:p w:rsidR="00670255" w:rsidRPr="00305BA5" w:rsidRDefault="00670255" w:rsidP="00305BA5">
      <w:pPr>
        <w:spacing w:line="360" w:lineRule="auto"/>
        <w:jc w:val="both"/>
        <w:rPr>
          <w:rFonts w:ascii="Palatino Linotype" w:hAnsi="Palatino Linotype"/>
          <w:color w:val="000000" w:themeColor="text1"/>
        </w:rPr>
      </w:pPr>
    </w:p>
    <w:p w:rsidR="00670255" w:rsidRPr="00305BA5" w:rsidRDefault="00670255" w:rsidP="00305BA5">
      <w:pPr>
        <w:numPr>
          <w:ilvl w:val="0"/>
          <w:numId w:val="6"/>
        </w:numP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 xml:space="preserve"> De lo anterior, y con el objeto de contar con los elementos necesarios para la elaboración de la presente resolución, el </w:t>
      </w:r>
      <w:r w:rsidR="002E454E" w:rsidRPr="00305BA5">
        <w:rPr>
          <w:rFonts w:ascii="Palatino Linotype" w:eastAsia="Palatino Linotype" w:hAnsi="Palatino Linotype" w:cs="Palatino Linotype"/>
          <w:color w:val="000000" w:themeColor="text1"/>
        </w:rPr>
        <w:t>17 de septiembre</w:t>
      </w:r>
      <w:r w:rsidRPr="00305BA5">
        <w:rPr>
          <w:rFonts w:ascii="Palatino Linotype" w:eastAsia="Palatino Linotype" w:hAnsi="Palatino Linotype" w:cs="Palatino Linotype"/>
          <w:color w:val="000000" w:themeColor="text1"/>
        </w:rPr>
        <w:t xml:space="preserve"> de 2025, se solicitó a la </w:t>
      </w:r>
      <w:r w:rsidRPr="00305BA5">
        <w:rPr>
          <w:rFonts w:ascii="Palatino Linotype" w:eastAsia="Palatino Linotype" w:hAnsi="Palatino Linotype" w:cs="Palatino Linotype"/>
          <w:b/>
          <w:color w:val="000000" w:themeColor="text1"/>
        </w:rPr>
        <w:t xml:space="preserve">Dirección General de Informática </w:t>
      </w:r>
      <w:r w:rsidRPr="00305BA5">
        <w:rPr>
          <w:rFonts w:ascii="Palatino Linotype" w:eastAsia="Palatino Linotype" w:hAnsi="Palatino Linotype" w:cs="Palatino Linotype"/>
          <w:color w:val="000000" w:themeColor="text1"/>
        </w:rPr>
        <w:t xml:space="preserve">de este Instituto, vía correo electrónico institucional, si se tiene registro de reporte de incidencias por parte del Sujeto Obligado, respecto a la cantidad de información que pretende otorgar como respuesta a la solicitud de información </w:t>
      </w:r>
      <w:r w:rsidR="002E454E" w:rsidRPr="00305BA5">
        <w:rPr>
          <w:rFonts w:ascii="Palatino Linotype" w:eastAsia="Palatino Linotype" w:hAnsi="Palatino Linotype" w:cs="Palatino Linotype"/>
          <w:b/>
          <w:color w:val="000000" w:themeColor="text1"/>
        </w:rPr>
        <w:t>00025/VIALLEN/IP/2025</w:t>
      </w:r>
      <w:r w:rsidRPr="00305BA5">
        <w:rPr>
          <w:rFonts w:ascii="Palatino Linotype" w:eastAsia="Palatino Linotype" w:hAnsi="Palatino Linotype" w:cs="Palatino Linotype"/>
          <w:color w:val="000000" w:themeColor="text1"/>
        </w:rPr>
        <w:t xml:space="preserve">. Asimismo, informar la capacidad con la que cuenta el Sistema de Acceso a la Información Mexiquense SAIMEX, para que los Sujetos Obligados puedan reportar a través de </w:t>
      </w:r>
      <w:r w:rsidR="002E454E" w:rsidRPr="00305BA5">
        <w:rPr>
          <w:rFonts w:ascii="Palatino Linotype" w:eastAsia="Palatino Linotype" w:hAnsi="Palatino Linotype" w:cs="Palatino Linotype"/>
          <w:color w:val="000000" w:themeColor="text1"/>
        </w:rPr>
        <w:t>este medio</w:t>
      </w:r>
      <w:r w:rsidRPr="00305BA5">
        <w:rPr>
          <w:rFonts w:ascii="Palatino Linotype" w:eastAsia="Palatino Linotype" w:hAnsi="Palatino Linotype" w:cs="Palatino Linotype"/>
          <w:color w:val="000000" w:themeColor="text1"/>
        </w:rPr>
        <w:t xml:space="preserve"> su información documental.</w:t>
      </w:r>
    </w:p>
    <w:p w:rsidR="00670255" w:rsidRPr="00305BA5" w:rsidRDefault="00670255" w:rsidP="00305BA5">
      <w:pPr>
        <w:spacing w:line="360" w:lineRule="auto"/>
        <w:rPr>
          <w:rFonts w:ascii="Palatino Linotype" w:eastAsia="Palatino Linotype" w:hAnsi="Palatino Linotype" w:cs="Palatino Linotype"/>
          <w:color w:val="000000" w:themeColor="text1"/>
        </w:rPr>
      </w:pPr>
    </w:p>
    <w:p w:rsidR="00670255" w:rsidRPr="00305BA5" w:rsidRDefault="00670255" w:rsidP="00305BA5">
      <w:pPr>
        <w:numPr>
          <w:ilvl w:val="0"/>
          <w:numId w:val="6"/>
        </w:numP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 xml:space="preserve">En fecha </w:t>
      </w:r>
      <w:r w:rsidR="002E454E" w:rsidRPr="00305BA5">
        <w:rPr>
          <w:rFonts w:ascii="Palatino Linotype" w:eastAsia="Palatino Linotype" w:hAnsi="Palatino Linotype" w:cs="Palatino Linotype"/>
          <w:b/>
          <w:color w:val="000000" w:themeColor="text1"/>
        </w:rPr>
        <w:t>17 de septiembre</w:t>
      </w:r>
      <w:r w:rsidRPr="00305BA5">
        <w:rPr>
          <w:rFonts w:ascii="Palatino Linotype" w:eastAsia="Palatino Linotype" w:hAnsi="Palatino Linotype" w:cs="Palatino Linotype"/>
          <w:b/>
          <w:color w:val="000000" w:themeColor="text1"/>
        </w:rPr>
        <w:t xml:space="preserve"> de 2025</w:t>
      </w:r>
      <w:r w:rsidRPr="00305BA5">
        <w:rPr>
          <w:rFonts w:ascii="Palatino Linotype" w:eastAsia="Palatino Linotype" w:hAnsi="Palatino Linotype" w:cs="Palatino Linotype"/>
          <w:color w:val="000000" w:themeColor="text1"/>
        </w:rPr>
        <w:t xml:space="preserve">, la Dirección General de Informática de este Organismo respondió a la consulta realizada, manifestando que </w:t>
      </w:r>
      <w:r w:rsidRPr="00305BA5">
        <w:rPr>
          <w:rFonts w:ascii="Palatino Linotype" w:eastAsia="Palatino Linotype" w:hAnsi="Palatino Linotype" w:cs="Palatino Linotype"/>
          <w:i/>
          <w:color w:val="000000" w:themeColor="text1"/>
        </w:rPr>
        <w:t xml:space="preserve">“al respecto me permito informar que a la fecha </w:t>
      </w:r>
      <w:r w:rsidRPr="00305BA5">
        <w:rPr>
          <w:rFonts w:ascii="Palatino Linotype" w:eastAsia="Palatino Linotype" w:hAnsi="Palatino Linotype" w:cs="Palatino Linotype"/>
          <w:b/>
          <w:i/>
          <w:color w:val="000000" w:themeColor="text1"/>
        </w:rPr>
        <w:t xml:space="preserve">no se tiene reportado llamada alguna, ni tampoco se tiene registro de </w:t>
      </w:r>
      <w:r w:rsidRPr="00305BA5">
        <w:rPr>
          <w:rFonts w:ascii="Palatino Linotype" w:eastAsia="Palatino Linotype" w:hAnsi="Palatino Linotype" w:cs="Palatino Linotype"/>
          <w:b/>
          <w:i/>
          <w:color w:val="000000" w:themeColor="text1"/>
        </w:rPr>
        <w:lastRenderedPageBreak/>
        <w:t>incidencia por parte del Sujeto Obligado</w:t>
      </w:r>
      <w:r w:rsidRPr="00305BA5">
        <w:rPr>
          <w:rFonts w:ascii="Palatino Linotype" w:eastAsia="Palatino Linotype" w:hAnsi="Palatino Linotype" w:cs="Palatino Linotype"/>
          <w:i/>
          <w:color w:val="000000" w:themeColor="text1"/>
        </w:rPr>
        <w:t xml:space="preserve"> en comento, referente a al recurso de revisión y/o solicitud que menciona. Ahora bien en relación al </w:t>
      </w:r>
      <w:r w:rsidRPr="00305BA5">
        <w:rPr>
          <w:rFonts w:ascii="Palatino Linotype" w:eastAsia="Palatino Linotype" w:hAnsi="Palatino Linotype" w:cs="Palatino Linotype"/>
          <w:b/>
          <w:i/>
          <w:color w:val="000000" w:themeColor="text1"/>
        </w:rPr>
        <w:t>peso máximo de archivos que soporta el SAIMEX</w:t>
      </w:r>
      <w:r w:rsidRPr="00305BA5">
        <w:rPr>
          <w:rFonts w:ascii="Palatino Linotype" w:eastAsia="Palatino Linotype" w:hAnsi="Palatino Linotype" w:cs="Palatino Linotype"/>
          <w:i/>
          <w:color w:val="000000" w:themeColor="text1"/>
        </w:rPr>
        <w:t xml:space="preserve"> para adjuntar como respuesta a las solicitudes de información, al respecto hago de su conocimiento que el sistema, tiene el soporte tecnológico para que se puedan adjuntar archivos con </w:t>
      </w:r>
      <w:r w:rsidRPr="00305BA5">
        <w:rPr>
          <w:rFonts w:ascii="Palatino Linotype" w:eastAsia="Palatino Linotype" w:hAnsi="Palatino Linotype" w:cs="Palatino Linotype"/>
          <w:b/>
          <w:i/>
          <w:color w:val="000000" w:themeColor="text1"/>
        </w:rPr>
        <w:t>un peso aproximado de hasta 500Mb o un equivalente de hasta 8,000 hojas</w:t>
      </w:r>
      <w:r w:rsidRPr="00305BA5">
        <w:rPr>
          <w:rFonts w:ascii="Palatino Linotype" w:eastAsia="Palatino Linotype" w:hAnsi="Palatino Linotype" w:cs="Palatino Linotype"/>
          <w:i/>
          <w:color w:val="000000" w:themeColor="text1"/>
        </w:rPr>
        <w:t xml:space="preserve">, garantizando que el solicitante no tenga problemas en la descarga de la información usando conexiones a internet convencionales, </w:t>
      </w:r>
      <w:r w:rsidRPr="00305BA5">
        <w:rPr>
          <w:rFonts w:ascii="Palatino Linotype" w:eastAsia="Palatino Linotype" w:hAnsi="Palatino Linotype" w:cs="Palatino Linotype"/>
          <w:b/>
          <w:i/>
          <w:color w:val="000000" w:themeColor="text1"/>
        </w:rPr>
        <w:t>bajo parámetros de escaneo en resolución máxima de 150Dpi's, escala de grises y formato "PDF" extraído directamente del escáner</w:t>
      </w:r>
      <w:r w:rsidRPr="00305BA5">
        <w:rPr>
          <w:rFonts w:ascii="Palatino Linotype" w:eastAsia="Palatino Linotype" w:hAnsi="Palatino Linotype" w:cs="Palatino Linotype"/>
          <w:i/>
          <w:color w:val="000000" w:themeColor="text1"/>
        </w:rPr>
        <w:t xml:space="preserve">.” Sic </w:t>
      </w:r>
      <w:r w:rsidRPr="00305BA5">
        <w:rPr>
          <w:rFonts w:ascii="Palatino Linotype" w:eastAsia="Palatino Linotype" w:hAnsi="Palatino Linotype" w:cs="Palatino Linotype"/>
          <w:color w:val="000000" w:themeColor="text1"/>
        </w:rPr>
        <w:t>Tal como se muestra en la siguiente captura de pantalla:</w:t>
      </w:r>
    </w:p>
    <w:p w:rsidR="00746890" w:rsidRPr="00305BA5" w:rsidRDefault="00746890" w:rsidP="00305BA5">
      <w:pPr>
        <w:spacing w:line="360" w:lineRule="auto"/>
        <w:jc w:val="both"/>
        <w:rPr>
          <w:rFonts w:ascii="Palatino Linotype" w:eastAsia="Palatino Linotype" w:hAnsi="Palatino Linotype" w:cs="Palatino Linotype"/>
          <w:color w:val="000000" w:themeColor="text1"/>
        </w:rPr>
      </w:pPr>
    </w:p>
    <w:p w:rsidR="00670255" w:rsidRPr="00305BA5" w:rsidRDefault="00746890" w:rsidP="00305BA5">
      <w:pPr>
        <w:spacing w:line="360" w:lineRule="auto"/>
        <w:jc w:val="both"/>
        <w:rPr>
          <w:rFonts w:ascii="Palatino Linotype" w:hAnsi="Palatino Linotype"/>
          <w:color w:val="000000" w:themeColor="text1"/>
        </w:rPr>
      </w:pPr>
      <w:r w:rsidRPr="00305BA5">
        <w:rPr>
          <w:rFonts w:ascii="Palatino Linotype" w:hAnsi="Palatino Linotype"/>
          <w:noProof/>
          <w:color w:val="000000" w:themeColor="text1"/>
          <w:lang w:val="es-MX" w:eastAsia="es-MX"/>
        </w:rPr>
        <w:drawing>
          <wp:inline distT="0" distB="0" distL="0" distR="0" wp14:anchorId="23B8A94B" wp14:editId="49C5C8E1">
            <wp:extent cx="5756275" cy="1266825"/>
            <wp:effectExtent l="152400" t="152400" r="358775" b="3714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1266825"/>
                    </a:xfrm>
                    <a:prstGeom prst="rect">
                      <a:avLst/>
                    </a:prstGeom>
                    <a:ln>
                      <a:noFill/>
                    </a:ln>
                    <a:effectLst>
                      <a:outerShdw blurRad="292100" dist="139700" dir="2700000" algn="tl" rotWithShape="0">
                        <a:srgbClr val="333333">
                          <a:alpha val="65000"/>
                        </a:srgbClr>
                      </a:outerShdw>
                    </a:effectLst>
                  </pic:spPr>
                </pic:pic>
              </a:graphicData>
            </a:graphic>
          </wp:inline>
        </w:drawing>
      </w:r>
    </w:p>
    <w:p w:rsidR="00670255" w:rsidRPr="00305BA5" w:rsidRDefault="00670255" w:rsidP="00305BA5">
      <w:pPr>
        <w:numPr>
          <w:ilvl w:val="0"/>
          <w:numId w:val="13"/>
        </w:numPr>
        <w:pBdr>
          <w:top w:val="nil"/>
          <w:left w:val="nil"/>
          <w:bottom w:val="nil"/>
          <w:right w:val="nil"/>
          <w:between w:val="nil"/>
        </w:pBdr>
        <w:tabs>
          <w:tab w:val="left" w:pos="0"/>
          <w:tab w:val="left" w:pos="567"/>
        </w:tabs>
        <w:spacing w:before="240" w:after="240"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b/>
          <w:color w:val="000000" w:themeColor="text1"/>
        </w:rPr>
        <w:t xml:space="preserve">De la naturaleza de la información solicitada. </w:t>
      </w:r>
    </w:p>
    <w:p w:rsidR="00670255" w:rsidRPr="00305BA5" w:rsidRDefault="00670255" w:rsidP="00305BA5">
      <w:pPr>
        <w:numPr>
          <w:ilvl w:val="0"/>
          <w:numId w:val="6"/>
        </w:numP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 xml:space="preserve">Primeramente, se precisa que se obvia el análisis de la competencia por parte del </w:t>
      </w:r>
      <w:r w:rsidRPr="00305BA5">
        <w:rPr>
          <w:rFonts w:ascii="Palatino Linotype" w:eastAsia="Palatino Linotype" w:hAnsi="Palatino Linotype" w:cs="Palatino Linotype"/>
          <w:b/>
          <w:color w:val="000000" w:themeColor="text1"/>
        </w:rPr>
        <w:t>SUJETO OBLIGADO</w:t>
      </w:r>
      <w:r w:rsidRPr="00305BA5">
        <w:rPr>
          <w:rFonts w:ascii="Palatino Linotype" w:eastAsia="Palatino Linotype" w:hAnsi="Palatino Linotype" w:cs="Palatino Linotype"/>
          <w:color w:val="000000" w:themeColor="text1"/>
        </w:rPr>
        <w:t xml:space="preserve">, para generar, administrar o poseer la información solicitada, dado que éste ha asumido la misma, en razón que en </w:t>
      </w:r>
      <w:r w:rsidR="000831E7" w:rsidRPr="00305BA5">
        <w:rPr>
          <w:rFonts w:ascii="Palatino Linotype" w:eastAsia="Palatino Linotype" w:hAnsi="Palatino Linotype" w:cs="Palatino Linotype"/>
          <w:color w:val="000000" w:themeColor="text1"/>
        </w:rPr>
        <w:t>Informe Justificado</w:t>
      </w:r>
      <w:r w:rsidRPr="00305BA5">
        <w:rPr>
          <w:rFonts w:ascii="Palatino Linotype" w:eastAsia="Palatino Linotype" w:hAnsi="Palatino Linotype" w:cs="Palatino Linotype"/>
          <w:color w:val="000000" w:themeColor="text1"/>
        </w:rPr>
        <w:t xml:space="preserve"> admitió contar con dicha información, tan es así que realizó cambio de modalidad par</w:t>
      </w:r>
      <w:r w:rsidR="000831E7" w:rsidRPr="00305BA5">
        <w:rPr>
          <w:rFonts w:ascii="Palatino Linotype" w:eastAsia="Palatino Linotype" w:hAnsi="Palatino Linotype" w:cs="Palatino Linotype"/>
          <w:color w:val="000000" w:themeColor="text1"/>
        </w:rPr>
        <w:t>a la entrega de la información.</w:t>
      </w:r>
    </w:p>
    <w:p w:rsidR="00670255" w:rsidRPr="00305BA5" w:rsidRDefault="00670255" w:rsidP="00305BA5">
      <w:pPr>
        <w:tabs>
          <w:tab w:val="left" w:pos="0"/>
          <w:tab w:val="left" w:pos="567"/>
        </w:tabs>
        <w:spacing w:line="360" w:lineRule="auto"/>
        <w:jc w:val="both"/>
        <w:rPr>
          <w:rFonts w:ascii="Palatino Linotype" w:eastAsia="Palatino Linotype" w:hAnsi="Palatino Linotype" w:cs="Palatino Linotype"/>
          <w:color w:val="000000" w:themeColor="text1"/>
        </w:rPr>
      </w:pPr>
    </w:p>
    <w:p w:rsidR="00670255" w:rsidRPr="00305BA5" w:rsidRDefault="00670255" w:rsidP="00305BA5">
      <w:pPr>
        <w:numPr>
          <w:ilvl w:val="0"/>
          <w:numId w:val="6"/>
        </w:numPr>
        <w:spacing w:line="360" w:lineRule="auto"/>
        <w:ind w:left="0" w:firstLine="0"/>
        <w:jc w:val="both"/>
        <w:rPr>
          <w:rFonts w:ascii="Palatino Linotype" w:hAnsi="Palatino Linotype"/>
          <w:color w:val="000000" w:themeColor="text1"/>
        </w:rPr>
      </w:pPr>
      <w:bookmarkStart w:id="8" w:name="_heading=h.2s8eyo1" w:colFirst="0" w:colLast="0"/>
      <w:bookmarkEnd w:id="8"/>
      <w:r w:rsidRPr="00305BA5">
        <w:rPr>
          <w:rFonts w:ascii="Palatino Linotype" w:eastAsia="Palatino Linotype" w:hAnsi="Palatino Linotype" w:cs="Palatino Linotype"/>
          <w:color w:val="000000" w:themeColor="text1"/>
        </w:rPr>
        <w:lastRenderedPageBreak/>
        <w:t xml:space="preserve">En efecto, el hecho de que </w:t>
      </w:r>
      <w:r w:rsidRPr="00305BA5">
        <w:rPr>
          <w:rFonts w:ascii="Palatino Linotype" w:eastAsia="Palatino Linotype" w:hAnsi="Palatino Linotype" w:cs="Palatino Linotype"/>
          <w:b/>
          <w:color w:val="000000" w:themeColor="text1"/>
        </w:rPr>
        <w:t>EL SUJETO OBLIGADO</w:t>
      </w:r>
      <w:r w:rsidRPr="00305BA5">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670255" w:rsidRPr="00305BA5" w:rsidRDefault="00670255" w:rsidP="00305BA5">
      <w:pPr>
        <w:tabs>
          <w:tab w:val="left" w:pos="8505"/>
        </w:tabs>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w:t>
      </w:r>
      <w:r w:rsidRPr="00305BA5">
        <w:rPr>
          <w:rFonts w:ascii="Palatino Linotype" w:eastAsia="Palatino Linotype" w:hAnsi="Palatino Linotype" w:cs="Palatino Linotype"/>
          <w:b/>
          <w:i/>
          <w:color w:val="000000" w:themeColor="text1"/>
        </w:rPr>
        <w:t>Artículo 12.</w:t>
      </w:r>
      <w:r w:rsidRPr="00305BA5">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670255" w:rsidRPr="00305BA5" w:rsidRDefault="00670255" w:rsidP="00305BA5">
      <w:pPr>
        <w:tabs>
          <w:tab w:val="left" w:pos="8505"/>
        </w:tabs>
        <w:jc w:val="both"/>
        <w:rPr>
          <w:rFonts w:ascii="Palatino Linotype" w:eastAsia="Palatino Linotype" w:hAnsi="Palatino Linotype" w:cs="Palatino Linotype"/>
          <w:i/>
          <w:color w:val="000000" w:themeColor="text1"/>
        </w:rPr>
      </w:pPr>
    </w:p>
    <w:p w:rsidR="00670255" w:rsidRPr="00305BA5" w:rsidRDefault="00670255" w:rsidP="00305BA5">
      <w:pPr>
        <w:tabs>
          <w:tab w:val="left" w:pos="8505"/>
        </w:tabs>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70255" w:rsidRDefault="00670255" w:rsidP="00305BA5">
      <w:pPr>
        <w:pBdr>
          <w:top w:val="nil"/>
          <w:left w:val="nil"/>
          <w:bottom w:val="nil"/>
          <w:right w:val="nil"/>
          <w:between w:val="nil"/>
        </w:pBdr>
        <w:rPr>
          <w:rFonts w:ascii="Palatino Linotype" w:eastAsia="Palatino Linotype" w:hAnsi="Palatino Linotype" w:cs="Palatino Linotype"/>
          <w:color w:val="000000" w:themeColor="text1"/>
        </w:rPr>
      </w:pPr>
    </w:p>
    <w:p w:rsidR="00A9441B" w:rsidRPr="00305BA5" w:rsidRDefault="00A9441B" w:rsidP="00305BA5">
      <w:pPr>
        <w:pBdr>
          <w:top w:val="nil"/>
          <w:left w:val="nil"/>
          <w:bottom w:val="nil"/>
          <w:right w:val="nil"/>
          <w:between w:val="nil"/>
        </w:pBdr>
        <w:rPr>
          <w:rFonts w:ascii="Palatino Linotype" w:eastAsia="Palatino Linotype" w:hAnsi="Palatino Linotype" w:cs="Palatino Linotype"/>
          <w:color w:val="000000" w:themeColor="text1"/>
        </w:rPr>
      </w:pPr>
    </w:p>
    <w:p w:rsidR="00670255" w:rsidRPr="00305BA5" w:rsidRDefault="00670255" w:rsidP="00305BA5">
      <w:pPr>
        <w:numPr>
          <w:ilvl w:val="0"/>
          <w:numId w:val="6"/>
        </w:numP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305BA5">
        <w:rPr>
          <w:rFonts w:ascii="Palatino Linotype" w:eastAsia="Palatino Linotype" w:hAnsi="Palatino Linotype" w:cs="Palatino Linotype"/>
          <w:b/>
          <w:color w:val="000000" w:themeColor="text1"/>
        </w:rPr>
        <w:t>EL SUJETO OBLIGADO</w:t>
      </w:r>
      <w:r w:rsidRPr="00305BA5">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0831E7" w:rsidRPr="00305BA5" w:rsidRDefault="000831E7" w:rsidP="00305BA5">
      <w:pPr>
        <w:spacing w:line="360" w:lineRule="auto"/>
        <w:jc w:val="both"/>
        <w:rPr>
          <w:rFonts w:ascii="Palatino Linotype" w:hAnsi="Palatino Linotype"/>
          <w:color w:val="000000" w:themeColor="text1"/>
        </w:rPr>
      </w:pPr>
    </w:p>
    <w:p w:rsidR="000831E7" w:rsidRPr="00305BA5" w:rsidRDefault="000831E7" w:rsidP="00305BA5">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color w:val="000000" w:themeColor="text1"/>
        </w:rPr>
        <w:t xml:space="preserve">No obstante, es de recordar que el particular requirió </w:t>
      </w:r>
      <w:r w:rsidRPr="00305BA5">
        <w:rPr>
          <w:rFonts w:ascii="Palatino Linotype" w:eastAsia="Palatino Linotype" w:hAnsi="Palatino Linotype" w:cs="Palatino Linotype"/>
          <w:i/>
          <w:color w:val="000000" w:themeColor="text1"/>
          <w:u w:val="single"/>
        </w:rPr>
        <w:t>Contrato de cada uno de los grupos que se presentaron en septiembre 2022, 2023, y2024; y Comprobantes de gastos erogados en la expo feria de los años 2023 y 2024 y gastos de publicidad</w:t>
      </w:r>
      <w:r w:rsidRPr="00305BA5">
        <w:rPr>
          <w:rFonts w:ascii="Palatino Linotype" w:eastAsia="Palatino Linotype" w:hAnsi="Palatino Linotype" w:cs="Palatino Linotype"/>
          <w:color w:val="000000" w:themeColor="text1"/>
        </w:rPr>
        <w:t>, por lo que se considera viable traer a contexto el estudio siguiente.</w:t>
      </w:r>
    </w:p>
    <w:p w:rsidR="00F12F49" w:rsidRPr="00305BA5" w:rsidRDefault="00F12F49" w:rsidP="00305BA5">
      <w:pPr>
        <w:spacing w:line="360" w:lineRule="auto"/>
        <w:jc w:val="both"/>
        <w:rPr>
          <w:rFonts w:ascii="Palatino Linotype" w:eastAsia="Palatino Linotype" w:hAnsi="Palatino Linotype" w:cs="Palatino Linotype"/>
          <w:color w:val="000000" w:themeColor="text1"/>
        </w:rPr>
      </w:pPr>
    </w:p>
    <w:p w:rsidR="00F12F49" w:rsidRPr="00305BA5" w:rsidRDefault="00F12F49"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lastRenderedPageBreak/>
        <w:t xml:space="preserve">Conforme al artículo 65 de la Ley de Contratación Pública del Estado de México y Municipios, </w:t>
      </w:r>
      <w:r w:rsidRPr="00305BA5">
        <w:rPr>
          <w:rFonts w:ascii="Palatino Linotype" w:eastAsia="Palatino Linotype" w:hAnsi="Palatino Linotype" w:cs="Palatino Linotype"/>
          <w:b/>
          <w:color w:val="000000" w:themeColor="text1"/>
        </w:rPr>
        <w:t>la adjudicación de un procedimiento de adquisición y arrendamiento de bienes y contratación de servicios se realizará mediante la suscripción de un contrato</w:t>
      </w:r>
      <w:r w:rsidRPr="00305BA5">
        <w:rPr>
          <w:rFonts w:ascii="Palatino Linotype" w:eastAsia="Palatino Linotype" w:hAnsi="Palatino Linotype" w:cs="Palatino Linotype"/>
          <w:color w:val="000000" w:themeColor="text1"/>
        </w:rPr>
        <w:t>, entre el Sujeto Obligado y la persona a la cual haya ganado el procedimiento respectivo, dentro de los diez días hábiles siguientes a la notificación del fallo.</w:t>
      </w:r>
    </w:p>
    <w:p w:rsidR="00F12F49" w:rsidRPr="00305BA5" w:rsidRDefault="00F12F49" w:rsidP="00305BA5">
      <w:pPr>
        <w:spacing w:line="360" w:lineRule="auto"/>
        <w:jc w:val="both"/>
        <w:rPr>
          <w:rFonts w:ascii="Palatino Linotype" w:eastAsia="Palatino Linotype" w:hAnsi="Palatino Linotype" w:cs="Palatino Linotype"/>
          <w:color w:val="000000" w:themeColor="text1"/>
        </w:rPr>
      </w:pPr>
    </w:p>
    <w:p w:rsidR="00F12F49" w:rsidRPr="00305BA5" w:rsidRDefault="00F12F49"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Ahora bien, por cuanto hace a los contratos que emanan de los procedimientos que regula la Ley de Contratación Pública del Estado de México y Municipios, el Reglamento de esta, establece que los instrumentos jurídicos vinculantes deberán reunir los siguientes elementos: </w:t>
      </w:r>
    </w:p>
    <w:p w:rsidR="00F12F49" w:rsidRPr="00305BA5" w:rsidRDefault="00F12F49" w:rsidP="00305BA5">
      <w:pPr>
        <w:jc w:val="center"/>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“TÍTULO NOVENO</w:t>
      </w:r>
    </w:p>
    <w:p w:rsidR="00F12F49" w:rsidRPr="00305BA5" w:rsidRDefault="00F12F49" w:rsidP="00305BA5">
      <w:pPr>
        <w:jc w:val="center"/>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DE LOS CONTRATOS</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Artículo 120.- Los contratos relacionados con las materias reguladas por la Ley referirán, como mínimo, lo siguiente:</w:t>
      </w:r>
      <w:r w:rsidRPr="00305BA5">
        <w:rPr>
          <w:rFonts w:ascii="Palatino Linotype" w:eastAsia="Palatino Linotype" w:hAnsi="Palatino Linotype" w:cs="Palatino Linotype"/>
          <w:i/>
          <w:color w:val="000000" w:themeColor="text1"/>
        </w:rPr>
        <w:t xml:space="preserve">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I. Objeto;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II. Fecha de suministro de los bienes o período de prestación del servicio;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III. Datos del procedimiento que dio origen al contrato;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IV. Importe total;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V. Porcentajes, número y fechas de las exhibiciones y amortización de los anticipos que se otorguen;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VI. Formalidades para el otorgamiento y cobro de garantías;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VII. Penas convencionales por causas imputables al proveedor o prestador del servicio, las que se determinarán en función del incumplimiento de las condiciones convenidas, y que en ningún caso podrán ser superiores, en su conjunto, al monto de la garantía de cumplimiento. Las dependencias, organismos auxiliares, tribunales administrativos y municipios deberán fijar los términos, forma y porcentajes para aplicar las penas convencionales;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VIII. Términos en que el proveedor o prestador del servicio, en su caso, reintegrará las cantidades que, en cualquier forma, hubiere recibido en exceso por la contratación;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IX. Causales por las que la Secretaría, organismos auxiliares, tribunales administrativos o municipios podrán dar por rescindido el contrato y sus efectos;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X. Las consecuencias de la cancelación o terminación anticipada por causas imputables al proveedor o prestador del servicio;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lastRenderedPageBreak/>
        <w:t xml:space="preserve">XI. Señalamiento del domicilio de las partes, ubicado en el territorio del Estado, o bien, domicilio para oír y recibir notificaciones; y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XII. Renuncia expresa al fuero que les pudiera corresponder en función de su domicilio o vecindad presente o futuro.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 xml:space="preserve">Artículo 121.- </w:t>
      </w:r>
      <w:r w:rsidRPr="00305BA5">
        <w:rPr>
          <w:rFonts w:ascii="Palatino Linotype" w:eastAsia="Palatino Linotype" w:hAnsi="Palatino Linotype" w:cs="Palatino Linotype"/>
          <w:i/>
          <w:color w:val="000000" w:themeColor="text1"/>
        </w:rPr>
        <w:t xml:space="preserve">Cuando el contrato sea adjudicado a varios participantes, deberá ser firmado por todos, especificando las obligaciones que a cada uno correspondan.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 xml:space="preserve">Artículo 122.- </w:t>
      </w:r>
      <w:r w:rsidRPr="00305BA5">
        <w:rPr>
          <w:rFonts w:ascii="Palatino Linotype" w:eastAsia="Palatino Linotype" w:hAnsi="Palatino Linotype" w:cs="Palatino Linotype"/>
          <w:i/>
          <w:color w:val="000000" w:themeColor="text1"/>
        </w:rPr>
        <w:t xml:space="preserve">Cuando dentro del término establecido para ello, el contrato no sea firmado por la persona que resulte adjudicada, la convocante podrá adjudicarlo al oferente que haya presentado la propuesta económica solvente más cercana a la ganadora, y así sucesivamente; en todo caso, la diferencia de precio no deberá ser superior al diez por ciento, incluyendo el Impuesto al Valor Agregado, respecto de la propuesta ganadora.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 xml:space="preserve">Artículo 123.- </w:t>
      </w:r>
      <w:r w:rsidRPr="00305BA5">
        <w:rPr>
          <w:rFonts w:ascii="Palatino Linotype" w:eastAsia="Palatino Linotype" w:hAnsi="Palatino Linotype" w:cs="Palatino Linotype"/>
          <w:i/>
          <w:color w:val="000000" w:themeColor="text1"/>
        </w:rPr>
        <w:t xml:space="preserve">El proveedor o prestador del servicio que desee transmitir sus derechos de cobro, deberá solicitar por escrito el consentimiento de la contratante, misma que resolverá lo procedente en un término de quince días naturales contados a partir de la presentación de dicha solicitud.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No se generará el pago de gastos o recargos por parte de la contratante, si durante el plazo para emitir la resolución de la transmisión de los derechos de cobro, se origina un retraso en el pago pactado.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 xml:space="preserve">Artículo 124.- </w:t>
      </w:r>
      <w:r w:rsidRPr="00305BA5">
        <w:rPr>
          <w:rFonts w:ascii="Palatino Linotype" w:eastAsia="Palatino Linotype" w:hAnsi="Palatino Linotype" w:cs="Palatino Linotype"/>
          <w:i/>
          <w:color w:val="000000" w:themeColor="text1"/>
        </w:rPr>
        <w:t xml:space="preserve">En los contratos se establecerán los casos concretos en los que procederá la subcontratación, la cual invariablemente deberá ser autorizada de manera previa por la contratante; en el entendido de que en ningún caso los licitantes que hayan resultado adjudicados podrán subcontratar a personas físicas o jurídicas colectivas que hayan participado por sí mismos o a través de otros, en el mismo procedimiento licitatorio del que se derive dicho contrato.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 xml:space="preserve">Artículo 125.- </w:t>
      </w:r>
      <w:r w:rsidRPr="00305BA5">
        <w:rPr>
          <w:rFonts w:ascii="Palatino Linotype" w:eastAsia="Palatino Linotype" w:hAnsi="Palatino Linotype" w:cs="Palatino Linotype"/>
          <w:i/>
          <w:color w:val="000000" w:themeColor="text1"/>
        </w:rPr>
        <w:t xml:space="preserve">La contratante en caso de ser necesario y se aseguren las mejores condiciones disponibles en cuanto precio, calidad, financiamiento, oportunidad y demás circunstancias pertinentes, podrá acordar conforme a las previsiones y disposiciones presupuestarias respectivas, incrementos en la cantidad de bienes adquiridos mediante modificaciones a sus contratos vigentes, dentro de los doce meses posteriores a su suscripción, siempre que el monto total de la modificación no rebase, en su conjunto, el treinta por ciento del importe original y el precio de los bienes sea igual al pactado inicialmente. El incremento se aplicará al importe total del contrato, independientemente de la cantidad de partidas que decidan ampliarse.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Igual porcentaje se aplicará a las modificaciones o prórrogas que se hagan respecto a la vigencia de los contratos de prestación de servicios.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 xml:space="preserve">Artículo 126.- </w:t>
      </w:r>
      <w:r w:rsidRPr="00305BA5">
        <w:rPr>
          <w:rFonts w:ascii="Palatino Linotype" w:eastAsia="Palatino Linotype" w:hAnsi="Palatino Linotype" w:cs="Palatino Linotype"/>
          <w:i/>
          <w:color w:val="000000" w:themeColor="text1"/>
        </w:rPr>
        <w:t xml:space="preserve">Los contratos de inmuebles del dominio privado se regularán por las disposiciones de la Ley, este Reglamento, las normas, políticas, bases o lineamientos que expida la Secretaría y, supletoriamente, las del Código Civil del Estado de México, en lo conducente.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 xml:space="preserve">Artículo 127.- </w:t>
      </w:r>
      <w:r w:rsidRPr="00305BA5">
        <w:rPr>
          <w:rFonts w:ascii="Palatino Linotype" w:eastAsia="Palatino Linotype" w:hAnsi="Palatino Linotype" w:cs="Palatino Linotype"/>
          <w:i/>
          <w:color w:val="000000" w:themeColor="text1"/>
        </w:rPr>
        <w:t xml:space="preserve">Las unidades administrativas usuarias deberán informar por escrito a la contratante, dentro de los cinco días hábiles siguientes contados a partir de la fecha indicada para el suministro de </w:t>
      </w:r>
      <w:r w:rsidRPr="00305BA5">
        <w:rPr>
          <w:rFonts w:ascii="Palatino Linotype" w:eastAsia="Palatino Linotype" w:hAnsi="Palatino Linotype" w:cs="Palatino Linotype"/>
          <w:i/>
          <w:color w:val="000000" w:themeColor="text1"/>
        </w:rPr>
        <w:lastRenderedPageBreak/>
        <w:t xml:space="preserve">los bienes o prestación del servicio, sobre el cumplimiento o incumplimiento a las condiciones, características y especificaciones técnicas pactadas en los contratos respectivos.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Al escrito por medio del cual se informe el cumplimiento o incumplimiento del proveedor o prestador del servicio, se adjuntarán copia de las facturas que acrediten el suministro de los bienes o prestación de los servicios relativos. </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Lo anterior, podrá ser informado a través del sistema COMPRAMEX.”</w:t>
      </w:r>
    </w:p>
    <w:p w:rsidR="00F12F49" w:rsidRPr="00305BA5" w:rsidRDefault="00F12F49" w:rsidP="00305BA5">
      <w:pPr>
        <w:spacing w:line="360" w:lineRule="auto"/>
        <w:jc w:val="both"/>
        <w:rPr>
          <w:rFonts w:ascii="Palatino Linotype" w:eastAsia="Palatino Linotype" w:hAnsi="Palatino Linotype" w:cs="Palatino Linotype"/>
          <w:color w:val="000000" w:themeColor="text1"/>
        </w:rPr>
      </w:pPr>
    </w:p>
    <w:p w:rsidR="00F12F49" w:rsidRPr="00305BA5" w:rsidRDefault="00F12F49"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Luego entonces </w:t>
      </w:r>
      <w:r w:rsidRPr="00305BA5">
        <w:rPr>
          <w:rFonts w:ascii="Palatino Linotype" w:eastAsia="Palatino Linotype" w:hAnsi="Palatino Linotype" w:cs="Palatino Linotype"/>
          <w:b/>
          <w:color w:val="000000" w:themeColor="text1"/>
        </w:rPr>
        <w:t>la contratación de servicios se formalizará mediante la suscripción de un contrato</w:t>
      </w:r>
      <w:r w:rsidRPr="00305BA5">
        <w:rPr>
          <w:rFonts w:ascii="Palatino Linotype" w:eastAsia="Palatino Linotype" w:hAnsi="Palatino Linotype" w:cs="Palatino Linotype"/>
          <w:color w:val="000000" w:themeColor="text1"/>
        </w:rPr>
        <w:t>.</w:t>
      </w:r>
    </w:p>
    <w:p w:rsidR="00F12F49" w:rsidRPr="00305BA5" w:rsidRDefault="00F12F49" w:rsidP="00305BA5">
      <w:pPr>
        <w:spacing w:line="360" w:lineRule="auto"/>
        <w:jc w:val="both"/>
        <w:rPr>
          <w:rFonts w:ascii="Palatino Linotype" w:hAnsi="Palatino Linotype" w:cs="Tahoma"/>
          <w:color w:val="000000" w:themeColor="text1"/>
          <w:highlight w:val="yellow"/>
        </w:rPr>
      </w:pPr>
    </w:p>
    <w:p w:rsidR="00F12F49" w:rsidRPr="00305BA5" w:rsidRDefault="00F12F49"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Ahora bien, </w:t>
      </w:r>
      <w:r w:rsidRPr="00305BA5">
        <w:rPr>
          <w:rFonts w:ascii="Palatino Linotype" w:eastAsia="Palatino Linotype" w:hAnsi="Palatino Linotype" w:cs="Palatino Linotype"/>
          <w:b/>
          <w:color w:val="000000" w:themeColor="text1"/>
        </w:rPr>
        <w:t>respecto de los documentos que acrediten la erogación de un gasto</w:t>
      </w:r>
      <w:r w:rsidRPr="00305BA5">
        <w:rPr>
          <w:rFonts w:ascii="Palatino Linotype" w:eastAsia="Palatino Linotype" w:hAnsi="Palatino Linotype" w:cs="Palatino Linotype"/>
          <w:color w:val="000000" w:themeColor="text1"/>
        </w:rPr>
        <w:t xml:space="preserve">, resulta necesario traer a contexto, la Resolución Miscelánea Fiscal, establece que la </w:t>
      </w:r>
      <w:r w:rsidRPr="00305BA5">
        <w:rPr>
          <w:rFonts w:ascii="Palatino Linotype" w:eastAsia="Palatino Linotype" w:hAnsi="Palatino Linotype" w:cs="Palatino Linotype"/>
          <w:b/>
          <w:color w:val="000000" w:themeColor="text1"/>
        </w:rPr>
        <w:t>factura</w:t>
      </w:r>
      <w:r w:rsidRPr="00305BA5">
        <w:rPr>
          <w:rFonts w:ascii="Palatino Linotype" w:eastAsia="Palatino Linotype" w:hAnsi="Palatino Linotype" w:cs="Palatino Linotype"/>
          <w:color w:val="000000" w:themeColor="text1"/>
        </w:rPr>
        <w:t xml:space="preserve"> es lo mismo, que un Comprobante Fiscal Digital por Internet, por lo que, se puede considerar como el documento que comprueba la realización de una transacción</w:t>
      </w:r>
      <w:r w:rsidRPr="00305BA5">
        <w:rPr>
          <w:rFonts w:ascii="Palatino Linotype" w:eastAsia="Palatino Linotype" w:hAnsi="Palatino Linotype" w:cs="Palatino Linotype"/>
          <w:b/>
          <w:color w:val="000000" w:themeColor="text1"/>
        </w:rPr>
        <w:t xml:space="preserve"> </w:t>
      </w:r>
      <w:r w:rsidRPr="00305BA5">
        <w:rPr>
          <w:rFonts w:ascii="Palatino Linotype" w:eastAsia="Palatino Linotype" w:hAnsi="Palatino Linotype" w:cs="Palatino Linotype"/>
          <w:color w:val="000000" w:themeColor="text1"/>
        </w:rPr>
        <w:t>comercial, entre un comprador y un vendedor, mediante el cual, el primero queda obligado a realizar un pago, mientras que el segundo, a entregar o brindar un producto o servicio.</w:t>
      </w:r>
    </w:p>
    <w:p w:rsidR="00F12F49" w:rsidRPr="00305BA5" w:rsidRDefault="00F12F49" w:rsidP="00305BA5">
      <w:pPr>
        <w:spacing w:line="360" w:lineRule="auto"/>
        <w:jc w:val="both"/>
        <w:rPr>
          <w:rFonts w:ascii="Palatino Linotype" w:eastAsia="Palatino Linotype" w:hAnsi="Palatino Linotype" w:cs="Palatino Linotype"/>
          <w:color w:val="000000" w:themeColor="text1"/>
        </w:rPr>
      </w:pPr>
    </w:p>
    <w:p w:rsidR="00F12F49" w:rsidRPr="00305BA5" w:rsidRDefault="00F12F49"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Ahora bien</w:t>
      </w:r>
      <w:r w:rsidRPr="00305BA5">
        <w:rPr>
          <w:rFonts w:ascii="Palatino Linotype" w:hAnsi="Palatino Linotype"/>
          <w:color w:val="000000" w:themeColor="text1"/>
        </w:rPr>
        <w:t xml:space="preserve">, </w:t>
      </w:r>
      <w:r w:rsidRPr="00305BA5">
        <w:rPr>
          <w:rFonts w:ascii="Palatino Linotype" w:eastAsia="Palatino Linotype" w:hAnsi="Palatino Linotype" w:cs="Palatino Linotype"/>
          <w:color w:val="000000" w:themeColor="text1"/>
        </w:rPr>
        <w:t>resulta importante señalar que este término se encuentra definido en el Glosario de Términos Hacendarios que emite el Instituto Hacendario del Estado de México, el cual expresa lo siguiente:</w:t>
      </w:r>
    </w:p>
    <w:p w:rsidR="00F12F49" w:rsidRPr="00305BA5" w:rsidRDefault="00F12F49" w:rsidP="00305BA5">
      <w:pPr>
        <w:jc w:val="both"/>
        <w:rPr>
          <w:rFonts w:ascii="Palatino Linotype" w:eastAsia="Palatino Linotype" w:hAnsi="Palatino Linotype" w:cs="Palatino Linotype"/>
          <w:b/>
          <w:i/>
          <w:color w:val="000000" w:themeColor="text1"/>
        </w:rPr>
      </w:pPr>
      <w:r w:rsidRPr="00305BA5">
        <w:rPr>
          <w:rFonts w:ascii="Palatino Linotype" w:eastAsia="Palatino Linotype" w:hAnsi="Palatino Linotype" w:cs="Palatino Linotype"/>
          <w:i/>
          <w:color w:val="000000" w:themeColor="text1"/>
        </w:rPr>
        <w:t>“</w:t>
      </w:r>
      <w:r w:rsidRPr="00305BA5">
        <w:rPr>
          <w:rFonts w:ascii="Palatino Linotype" w:eastAsia="Palatino Linotype" w:hAnsi="Palatino Linotype" w:cs="Palatino Linotype"/>
          <w:b/>
          <w:i/>
          <w:color w:val="000000" w:themeColor="text1"/>
        </w:rPr>
        <w:t>FACTURA</w:t>
      </w:r>
    </w:p>
    <w:p w:rsidR="00F12F49" w:rsidRPr="00305BA5" w:rsidRDefault="00F12F49"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Es el documento fiscal que emite la persona física o moral para </w:t>
      </w:r>
      <w:r w:rsidRPr="00305BA5">
        <w:rPr>
          <w:rFonts w:ascii="Palatino Linotype" w:eastAsia="Palatino Linotype" w:hAnsi="Palatino Linotype" w:cs="Palatino Linotype"/>
          <w:b/>
          <w:i/>
          <w:color w:val="000000" w:themeColor="text1"/>
          <w:u w:val="single"/>
        </w:rPr>
        <w:t>comprobar la venta o adquisición de un bien y/o servicio</w:t>
      </w:r>
      <w:r w:rsidRPr="00305BA5">
        <w:rPr>
          <w:rFonts w:ascii="Palatino Linotype" w:eastAsia="Palatino Linotype" w:hAnsi="Palatino Linotype" w:cs="Palatino Linotype"/>
          <w:i/>
          <w:color w:val="000000" w:themeColor="text1"/>
        </w:rPr>
        <w:t>.” (Sic)</w:t>
      </w:r>
    </w:p>
    <w:p w:rsidR="00F12F49" w:rsidRDefault="00F12F49" w:rsidP="00305BA5">
      <w:pPr>
        <w:jc w:val="both"/>
        <w:rPr>
          <w:rFonts w:ascii="Palatino Linotype" w:eastAsia="Palatino Linotype" w:hAnsi="Palatino Linotype" w:cs="Palatino Linotype"/>
          <w:i/>
          <w:color w:val="000000" w:themeColor="text1"/>
        </w:rPr>
      </w:pPr>
    </w:p>
    <w:p w:rsidR="00A9441B" w:rsidRPr="00305BA5" w:rsidRDefault="00A9441B" w:rsidP="00305BA5">
      <w:pPr>
        <w:jc w:val="both"/>
        <w:rPr>
          <w:rFonts w:ascii="Palatino Linotype" w:eastAsia="Palatino Linotype" w:hAnsi="Palatino Linotype" w:cs="Palatino Linotype"/>
          <w:i/>
          <w:color w:val="000000" w:themeColor="text1"/>
        </w:rPr>
      </w:pPr>
    </w:p>
    <w:p w:rsidR="00F12F49" w:rsidRPr="00305BA5" w:rsidRDefault="00F12F49"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Es de señalarse que las facturas o comprobantes que amparan las erogaciones que se realizan con erario público tienen naturaleza pública pues, constituyen los medios idóneos de evidencia del gasto realizado con recursos públicos, de ahí que convenga precisar que la </w:t>
      </w:r>
      <w:r w:rsidRPr="00305BA5">
        <w:rPr>
          <w:rFonts w:ascii="Palatino Linotype" w:eastAsia="Palatino Linotype" w:hAnsi="Palatino Linotype" w:cs="Palatino Linotype"/>
          <w:color w:val="000000" w:themeColor="text1"/>
        </w:rPr>
        <w:lastRenderedPageBreak/>
        <w:t xml:space="preserve">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rsidR="00F12F49" w:rsidRPr="00305BA5" w:rsidRDefault="00F12F49" w:rsidP="00305BA5">
      <w:pPr>
        <w:spacing w:line="360" w:lineRule="auto"/>
        <w:jc w:val="both"/>
        <w:rPr>
          <w:rFonts w:ascii="Palatino Linotype" w:hAnsi="Palatino Linotype" w:cs="Tahoma"/>
          <w:color w:val="000000" w:themeColor="text1"/>
        </w:rPr>
      </w:pPr>
    </w:p>
    <w:p w:rsidR="00F12F49" w:rsidRPr="00305BA5" w:rsidRDefault="00F12F49" w:rsidP="00305BA5">
      <w:pPr>
        <w:numPr>
          <w:ilvl w:val="0"/>
          <w:numId w:val="6"/>
        </w:numPr>
        <w:spacing w:line="360" w:lineRule="auto"/>
        <w:ind w:left="0" w:firstLine="0"/>
        <w:jc w:val="both"/>
        <w:rPr>
          <w:rFonts w:ascii="Palatino Linotype" w:hAnsi="Palatino Linotype" w:cs="Tahoma"/>
          <w:color w:val="000000" w:themeColor="text1"/>
        </w:rPr>
      </w:pPr>
      <w:r w:rsidRPr="00305BA5">
        <w:rPr>
          <w:rFonts w:ascii="Palatino Linotype" w:hAnsi="Palatino Linotype" w:cs="Tahoma"/>
          <w:color w:val="000000" w:themeColor="text1"/>
        </w:rPr>
        <w:t xml:space="preserve">En ese contexto, es de referir que de conformidad con  los artículos 342, 343, 344 y 345 del Código </w:t>
      </w:r>
      <w:r w:rsidRPr="00305BA5">
        <w:rPr>
          <w:rFonts w:ascii="Palatino Linotype" w:eastAsia="Palatino Linotype" w:hAnsi="Palatino Linotype" w:cs="Palatino Linotype"/>
          <w:color w:val="000000" w:themeColor="text1"/>
        </w:rPr>
        <w:t>Financiero</w:t>
      </w:r>
      <w:r w:rsidRPr="00305BA5">
        <w:rPr>
          <w:rFonts w:ascii="Palatino Linotype" w:hAnsi="Palatino Linotype" w:cs="Tahoma"/>
          <w:color w:val="000000" w:themeColor="text1"/>
        </w:rPr>
        <w:t xml:space="preserve"> del Estado de México y Municipios, disponen el sistema y las políticas que deben seguirse para llevar el </w:t>
      </w:r>
      <w:r w:rsidRPr="00305BA5">
        <w:rPr>
          <w:rFonts w:ascii="Palatino Linotype" w:hAnsi="Palatino Linotype" w:cs="Tahoma"/>
          <w:b/>
          <w:color w:val="000000" w:themeColor="text1"/>
        </w:rPr>
        <w:t>registro contable y presupuestal de las operaciones financieras</w:t>
      </w:r>
      <w:r w:rsidRPr="00305BA5">
        <w:rPr>
          <w:rFonts w:ascii="Palatino Linotype" w:hAnsi="Palatino Linotype" w:cs="Tahoma"/>
          <w:color w:val="000000" w:themeColor="text1"/>
        </w:rPr>
        <w:t>, en los siguientes términos:</w:t>
      </w:r>
    </w:p>
    <w:p w:rsidR="00F12F49" w:rsidRPr="00305BA5" w:rsidRDefault="00F12F49" w:rsidP="00305BA5">
      <w:pPr>
        <w:jc w:val="both"/>
        <w:rPr>
          <w:rFonts w:ascii="Palatino Linotype" w:hAnsi="Palatino Linotype" w:cs="Tahoma"/>
          <w:i/>
          <w:color w:val="000000" w:themeColor="text1"/>
        </w:rPr>
      </w:pPr>
      <w:r w:rsidRPr="00305BA5">
        <w:rPr>
          <w:rFonts w:ascii="Palatino Linotype" w:hAnsi="Palatino Linotype" w:cs="Tahoma"/>
          <w:b/>
          <w:i/>
          <w:color w:val="000000" w:themeColor="text1"/>
        </w:rPr>
        <w:t>Artículo 342.-</w:t>
      </w:r>
      <w:r w:rsidRPr="00305BA5">
        <w:rPr>
          <w:rFonts w:ascii="Palatino Linotype" w:hAnsi="Palatino Linotype" w:cs="Tahoma"/>
          <w:i/>
          <w:color w:val="000000" w:themeColor="text1"/>
        </w:rPr>
        <w:t xml:space="preserve"> -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F12F49" w:rsidRPr="00305BA5" w:rsidRDefault="00F12F49" w:rsidP="00305BA5">
      <w:pPr>
        <w:jc w:val="both"/>
        <w:rPr>
          <w:rFonts w:ascii="Palatino Linotype" w:hAnsi="Palatino Linotype" w:cs="Tahoma"/>
          <w:i/>
          <w:color w:val="000000" w:themeColor="text1"/>
        </w:rPr>
      </w:pPr>
    </w:p>
    <w:p w:rsidR="00F12F49" w:rsidRPr="00305BA5" w:rsidRDefault="00F12F49" w:rsidP="00305BA5">
      <w:pPr>
        <w:jc w:val="both"/>
        <w:rPr>
          <w:rFonts w:ascii="Palatino Linotype" w:hAnsi="Palatino Linotype" w:cs="Tahoma"/>
          <w:i/>
          <w:color w:val="000000" w:themeColor="text1"/>
        </w:rPr>
      </w:pPr>
      <w:r w:rsidRPr="00305BA5">
        <w:rPr>
          <w:rFonts w:ascii="Palatino Linotype" w:hAnsi="Palatino Linotype" w:cs="Tahoma"/>
          <w:b/>
          <w:i/>
          <w:color w:val="000000" w:themeColor="text1"/>
        </w:rPr>
        <w:t>En el caso de los municipios</w:t>
      </w:r>
      <w:r w:rsidRPr="00305BA5">
        <w:rPr>
          <w:rFonts w:ascii="Palatino Linotype" w:hAnsi="Palatino Linotype" w:cs="Tahoma"/>
          <w:i/>
          <w:color w:val="000000" w:themeColor="text1"/>
        </w:rPr>
        <w:t>,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rsidR="00F12F49" w:rsidRPr="00305BA5" w:rsidRDefault="00F12F49" w:rsidP="00305BA5">
      <w:pPr>
        <w:jc w:val="both"/>
        <w:rPr>
          <w:rFonts w:ascii="Palatino Linotype" w:hAnsi="Palatino Linotype" w:cs="Tahoma"/>
          <w:i/>
          <w:color w:val="000000" w:themeColor="text1"/>
        </w:rPr>
      </w:pPr>
    </w:p>
    <w:p w:rsidR="00F12F49" w:rsidRPr="00305BA5" w:rsidRDefault="00F12F49" w:rsidP="00305BA5">
      <w:pPr>
        <w:jc w:val="both"/>
        <w:rPr>
          <w:rFonts w:ascii="Palatino Linotype" w:hAnsi="Palatino Linotype" w:cs="Tahoma"/>
          <w:i/>
          <w:color w:val="000000" w:themeColor="text1"/>
        </w:rPr>
      </w:pPr>
      <w:r w:rsidRPr="00305BA5">
        <w:rPr>
          <w:rFonts w:ascii="Palatino Linotype" w:hAnsi="Palatino Linotype" w:cs="Tahoma"/>
          <w:b/>
          <w:i/>
          <w:color w:val="000000" w:themeColor="text1"/>
        </w:rPr>
        <w:t>Artículo 343.-</w:t>
      </w:r>
      <w:r w:rsidRPr="00305BA5">
        <w:rPr>
          <w:rFonts w:ascii="Palatino Linotype" w:hAnsi="Palatino Linotype" w:cs="Tahoma"/>
          <w:i/>
          <w:color w:val="000000" w:themeColor="text1"/>
        </w:rPr>
        <w:t xml:space="preserve"> -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rsidR="00F12F49" w:rsidRPr="00305BA5" w:rsidRDefault="00F12F49" w:rsidP="00305BA5">
      <w:pPr>
        <w:jc w:val="both"/>
        <w:rPr>
          <w:rFonts w:ascii="Palatino Linotype" w:hAnsi="Palatino Linotype" w:cs="Tahoma"/>
          <w:i/>
          <w:color w:val="000000" w:themeColor="text1"/>
        </w:rPr>
      </w:pPr>
      <w:r w:rsidRPr="00305BA5">
        <w:rPr>
          <w:rFonts w:ascii="Palatino Linotype" w:hAnsi="Palatino Linotype" w:cs="Tahoma"/>
          <w:i/>
          <w:color w:val="000000" w:themeColor="text1"/>
        </w:rPr>
        <w:t>El sistema de contabilidad sobre base acumulativa total, se sustentará en las normas emitidas por el Consejo Nacional de Armonización Contable.</w:t>
      </w:r>
    </w:p>
    <w:p w:rsidR="00F12F49" w:rsidRPr="00305BA5" w:rsidRDefault="00F12F49" w:rsidP="00305BA5">
      <w:pPr>
        <w:jc w:val="both"/>
        <w:rPr>
          <w:rFonts w:ascii="Palatino Linotype" w:hAnsi="Palatino Linotype" w:cs="Tahoma"/>
          <w:b/>
          <w:i/>
          <w:color w:val="000000" w:themeColor="text1"/>
        </w:rPr>
      </w:pPr>
    </w:p>
    <w:p w:rsidR="00F12F49" w:rsidRPr="00305BA5" w:rsidRDefault="00F12F49" w:rsidP="00305BA5">
      <w:pPr>
        <w:jc w:val="both"/>
        <w:rPr>
          <w:rFonts w:ascii="Palatino Linotype" w:hAnsi="Palatino Linotype" w:cs="Tahoma"/>
          <w:b/>
          <w:i/>
          <w:color w:val="000000" w:themeColor="text1"/>
        </w:rPr>
      </w:pPr>
      <w:r w:rsidRPr="00305BA5">
        <w:rPr>
          <w:rFonts w:ascii="Palatino Linotype" w:hAnsi="Palatino Linotype" w:cs="Tahoma"/>
          <w:b/>
          <w:i/>
          <w:color w:val="000000" w:themeColor="text1"/>
        </w:rPr>
        <w:t>Artículo 344.- Los Entes Públicos, a través de cualquiera de sus unidades administrativas, de acuerdo con su naturaleza jurídica y según corresponda, registrarán contablemente el efecto patrimonial y presupuestal de las operaciones financieras que realicen</w:t>
      </w:r>
      <w:r w:rsidRPr="00305BA5">
        <w:rPr>
          <w:rFonts w:ascii="Palatino Linotype" w:hAnsi="Palatino Linotype" w:cs="Tahoma"/>
          <w:i/>
          <w:color w:val="000000" w:themeColor="text1"/>
        </w:rPr>
        <w:t>, en el momento en que ocurran, con base en el sistema y políticas de registro establecidas, en el caso de los Municipios, se hará por la Tesorería.</w:t>
      </w:r>
    </w:p>
    <w:p w:rsidR="00F12F49" w:rsidRPr="00305BA5" w:rsidRDefault="00F12F49" w:rsidP="00305BA5">
      <w:pPr>
        <w:jc w:val="both"/>
        <w:rPr>
          <w:rFonts w:ascii="Palatino Linotype" w:hAnsi="Palatino Linotype" w:cs="Tahoma"/>
          <w:b/>
          <w:i/>
          <w:color w:val="000000" w:themeColor="text1"/>
        </w:rPr>
      </w:pPr>
    </w:p>
    <w:p w:rsidR="00F12F49" w:rsidRPr="00305BA5" w:rsidRDefault="00F12F49" w:rsidP="00305BA5">
      <w:pPr>
        <w:jc w:val="both"/>
        <w:rPr>
          <w:rFonts w:ascii="Palatino Linotype" w:hAnsi="Palatino Linotype" w:cs="Tahoma"/>
          <w:b/>
          <w:i/>
          <w:color w:val="000000" w:themeColor="text1"/>
        </w:rPr>
      </w:pPr>
      <w:r w:rsidRPr="00305BA5">
        <w:rPr>
          <w:rFonts w:ascii="Palatino Linotype" w:hAnsi="Palatino Linotype" w:cs="Tahoma"/>
          <w:b/>
          <w:i/>
          <w:color w:val="000000" w:themeColor="text1"/>
        </w:rPr>
        <w:lastRenderedPageBreak/>
        <w:t xml:space="preserve">Todo registro contable y presupuestal deberá estar soportado con los documentos de registro, justificativos y comprobatorios originales, </w:t>
      </w:r>
      <w:r w:rsidRPr="00305BA5">
        <w:rPr>
          <w:rFonts w:ascii="Palatino Linotype" w:hAnsi="Palatino Linotype" w:cs="Tahoma"/>
          <w:i/>
          <w:color w:val="000000" w:themeColor="text1"/>
        </w:rPr>
        <w:t xml:space="preserve">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rsidR="00F12F49" w:rsidRPr="00305BA5" w:rsidRDefault="00F12F49" w:rsidP="00305BA5">
      <w:pPr>
        <w:jc w:val="both"/>
        <w:rPr>
          <w:rFonts w:ascii="Palatino Linotype" w:hAnsi="Palatino Linotype" w:cs="Tahoma"/>
          <w:i/>
          <w:color w:val="000000" w:themeColor="text1"/>
        </w:rPr>
      </w:pPr>
      <w:r w:rsidRPr="00305BA5">
        <w:rPr>
          <w:rFonts w:ascii="Palatino Linotype" w:hAnsi="Palatino Linotype" w:cs="Tahoma"/>
          <w:i/>
          <w:color w:val="000000" w:themeColor="text1"/>
        </w:rPr>
        <w:t>…</w:t>
      </w:r>
    </w:p>
    <w:p w:rsidR="00F12F49" w:rsidRPr="00305BA5" w:rsidRDefault="00F12F49" w:rsidP="00305BA5">
      <w:pPr>
        <w:jc w:val="both"/>
        <w:rPr>
          <w:rFonts w:ascii="Palatino Linotype" w:hAnsi="Palatino Linotype" w:cs="Tahoma"/>
          <w:b/>
          <w:i/>
          <w:color w:val="000000" w:themeColor="text1"/>
        </w:rPr>
      </w:pPr>
    </w:p>
    <w:p w:rsidR="00F12F49" w:rsidRPr="00305BA5" w:rsidRDefault="00F12F49" w:rsidP="00305BA5">
      <w:pPr>
        <w:jc w:val="both"/>
        <w:rPr>
          <w:rFonts w:ascii="Palatino Linotype" w:hAnsi="Palatino Linotype" w:cs="Tahoma"/>
          <w:i/>
          <w:color w:val="000000" w:themeColor="text1"/>
        </w:rPr>
      </w:pPr>
      <w:r w:rsidRPr="00305BA5">
        <w:rPr>
          <w:rFonts w:ascii="Palatino Linotype" w:hAnsi="Palatino Linotype" w:cs="Tahoma"/>
          <w:b/>
          <w:i/>
          <w:color w:val="000000" w:themeColor="text1"/>
        </w:rPr>
        <w:t>Artículo 345.-</w:t>
      </w:r>
      <w:r w:rsidRPr="00305BA5">
        <w:rPr>
          <w:rFonts w:ascii="Palatino Linotype" w:hAnsi="Palatino Linotype" w:cs="Tahoma"/>
          <w:i/>
          <w:color w:val="000000" w:themeColor="text1"/>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p>
    <w:p w:rsidR="00F12F49" w:rsidRPr="00305BA5" w:rsidRDefault="00F12F49" w:rsidP="00305BA5">
      <w:pPr>
        <w:jc w:val="both"/>
        <w:rPr>
          <w:rFonts w:ascii="Palatino Linotype" w:hAnsi="Palatino Linotype" w:cs="Tahoma"/>
          <w:i/>
          <w:color w:val="000000" w:themeColor="text1"/>
        </w:rPr>
      </w:pPr>
    </w:p>
    <w:p w:rsidR="00F12F49" w:rsidRPr="00305BA5" w:rsidRDefault="00F12F49" w:rsidP="00305BA5">
      <w:pPr>
        <w:jc w:val="both"/>
        <w:rPr>
          <w:rFonts w:ascii="Palatino Linotype" w:hAnsi="Palatino Linotype" w:cs="Tahoma"/>
          <w:i/>
          <w:color w:val="000000" w:themeColor="text1"/>
        </w:rPr>
      </w:pPr>
      <w:r w:rsidRPr="00305BA5">
        <w:rPr>
          <w:rFonts w:ascii="Palatino Linotype" w:hAnsi="Palatino Linotype" w:cs="Tahoma"/>
          <w:b/>
          <w:i/>
          <w:color w:val="000000" w:themeColor="text1"/>
        </w:rPr>
        <w:t>Los poderes Legislativo y Judicial, los Organismos Autónomos y las Entidades Públicas, de acuerdo con su naturaleza jurídica y según corresponda, deberán conservar la documentación contable del año en curso y la de ejercicios anteriores</w:t>
      </w:r>
      <w:r w:rsidRPr="00305BA5">
        <w:rPr>
          <w:rFonts w:ascii="Palatino Linotype" w:hAnsi="Palatino Linotype" w:cs="Tahoma"/>
          <w:i/>
          <w:color w:val="000000" w:themeColor="text1"/>
        </w:rPr>
        <w:t>, cuyas cuentas públicas hayan sido revisadas y fiscalizadas, en sus propios Archivos Contables. Tratándose de los comprobantes fiscales digitales, estos deberán estar agregados en forma electrónica a cada póliza de registro contable.</w:t>
      </w:r>
    </w:p>
    <w:p w:rsidR="00F12F49" w:rsidRPr="00305BA5" w:rsidRDefault="00F12F49" w:rsidP="00305BA5">
      <w:pPr>
        <w:jc w:val="both"/>
        <w:rPr>
          <w:rFonts w:ascii="Palatino Linotype" w:hAnsi="Palatino Linotype" w:cs="Tahoma"/>
          <w:i/>
          <w:color w:val="000000" w:themeColor="text1"/>
        </w:rPr>
      </w:pPr>
    </w:p>
    <w:p w:rsidR="00F12F49" w:rsidRPr="00305BA5" w:rsidRDefault="00F12F49" w:rsidP="00305BA5">
      <w:pPr>
        <w:jc w:val="both"/>
        <w:rPr>
          <w:rFonts w:ascii="Palatino Linotype" w:hAnsi="Palatino Linotype" w:cs="Tahoma"/>
          <w:i/>
          <w:color w:val="000000" w:themeColor="text1"/>
        </w:rPr>
      </w:pPr>
      <w:r w:rsidRPr="00305BA5">
        <w:rPr>
          <w:rFonts w:ascii="Palatino Linotype" w:hAnsi="Palatino Linotype" w:cs="Tahoma"/>
          <w:i/>
          <w:color w:val="000000" w:themeColor="text1"/>
        </w:rPr>
        <w:t>El plazo señalado en este artículo empezará a contar a partir de la publicación en el Periódico Oficial, del decreto correspondiente</w:t>
      </w:r>
      <w:r w:rsidRPr="00305BA5">
        <w:rPr>
          <w:rFonts w:ascii="Palatino Linotype" w:hAnsi="Palatino Linotype" w:cs="Tahoma"/>
          <w:b/>
          <w:i/>
          <w:color w:val="000000" w:themeColor="text1"/>
        </w:rPr>
        <w:t xml:space="preserve"> </w:t>
      </w:r>
    </w:p>
    <w:p w:rsidR="00F12F49" w:rsidRPr="00305BA5" w:rsidRDefault="00F12F49" w:rsidP="00305BA5">
      <w:pPr>
        <w:spacing w:line="360" w:lineRule="auto"/>
        <w:jc w:val="both"/>
        <w:rPr>
          <w:rFonts w:ascii="Palatino Linotype" w:hAnsi="Palatino Linotype" w:cs="Tahoma"/>
          <w:i/>
          <w:color w:val="000000" w:themeColor="text1"/>
        </w:rPr>
      </w:pPr>
    </w:p>
    <w:p w:rsidR="00F12F49" w:rsidRPr="00305BA5" w:rsidRDefault="00F12F49" w:rsidP="00305BA5">
      <w:pPr>
        <w:numPr>
          <w:ilvl w:val="0"/>
          <w:numId w:val="6"/>
        </w:numPr>
        <w:spacing w:line="360" w:lineRule="auto"/>
        <w:ind w:left="0" w:firstLine="0"/>
        <w:jc w:val="both"/>
        <w:rPr>
          <w:rFonts w:ascii="Palatino Linotype" w:hAnsi="Palatino Linotype" w:cs="Tahoma"/>
          <w:color w:val="000000" w:themeColor="text1"/>
        </w:rPr>
      </w:pPr>
      <w:r w:rsidRPr="00305BA5">
        <w:rPr>
          <w:rFonts w:ascii="Palatino Linotype" w:hAnsi="Palatino Linotype" w:cs="Tahoma"/>
          <w:color w:val="000000" w:themeColor="text1"/>
        </w:rPr>
        <w:t xml:space="preserve">De una </w:t>
      </w:r>
      <w:r w:rsidRPr="00305BA5">
        <w:rPr>
          <w:rFonts w:ascii="Palatino Linotype" w:eastAsia="Palatino Linotype" w:hAnsi="Palatino Linotype" w:cs="Palatino Linotype"/>
          <w:color w:val="000000" w:themeColor="text1"/>
        </w:rPr>
        <w:t>interpretación</w:t>
      </w:r>
      <w:r w:rsidRPr="00305BA5">
        <w:rPr>
          <w:rFonts w:ascii="Palatino Linotype" w:hAnsi="Palatino Linotype" w:cs="Tahoma"/>
          <w:color w:val="000000" w:themeColor="text1"/>
        </w:rPr>
        <w:t xml:space="preserve">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F12F49" w:rsidRPr="00305BA5" w:rsidRDefault="00F12F49" w:rsidP="00305BA5">
      <w:pPr>
        <w:spacing w:line="360" w:lineRule="auto"/>
        <w:jc w:val="both"/>
        <w:rPr>
          <w:rFonts w:ascii="Palatino Linotype" w:hAnsi="Palatino Linotype" w:cs="Tahoma"/>
          <w:color w:val="000000" w:themeColor="text1"/>
        </w:rPr>
      </w:pPr>
    </w:p>
    <w:p w:rsidR="00F12F49" w:rsidRPr="00305BA5" w:rsidRDefault="00F12F49" w:rsidP="00305BA5">
      <w:pPr>
        <w:numPr>
          <w:ilvl w:val="0"/>
          <w:numId w:val="6"/>
        </w:numPr>
        <w:spacing w:line="360" w:lineRule="auto"/>
        <w:ind w:left="0" w:firstLine="0"/>
        <w:jc w:val="both"/>
        <w:rPr>
          <w:rFonts w:ascii="Palatino Linotype" w:hAnsi="Palatino Linotype" w:cs="Tahoma"/>
          <w:color w:val="000000" w:themeColor="text1"/>
        </w:rPr>
      </w:pPr>
      <w:r w:rsidRPr="00305BA5">
        <w:rPr>
          <w:rFonts w:ascii="Palatino Linotype" w:hAnsi="Palatino Linotype" w:cs="Tahoma"/>
          <w:color w:val="000000" w:themeColor="text1"/>
        </w:rPr>
        <w:lastRenderedPageBreak/>
        <w:t xml:space="preserve">Al respecto, si bien es cierto que el Código Financiero del Estado de México y Municipios establece la </w:t>
      </w:r>
      <w:r w:rsidRPr="00305BA5">
        <w:rPr>
          <w:rFonts w:ascii="Palatino Linotype" w:eastAsia="Palatino Linotype" w:hAnsi="Palatino Linotype" w:cs="Palatino Linotype"/>
          <w:color w:val="000000" w:themeColor="text1"/>
        </w:rPr>
        <w:t>obligación</w:t>
      </w:r>
      <w:r w:rsidRPr="00305BA5">
        <w:rPr>
          <w:rFonts w:ascii="Palatino Linotype" w:hAnsi="Palatino Linotype" w:cs="Tahoma"/>
          <w:color w:val="000000" w:themeColor="text1"/>
        </w:rPr>
        <w:t xml:space="preserve"> a los Municipios para llevar los registros contables y presupuestales; también lo es que, dicho ordenamiento jurídico no establece que debemos entender por registro contable y presupuestal; sin embargo, el “</w:t>
      </w:r>
      <w:r w:rsidRPr="00305BA5">
        <w:rPr>
          <w:rFonts w:ascii="Palatino Linotype" w:hAnsi="Palatino Linotype" w:cs="Tahoma"/>
          <w:i/>
          <w:color w:val="000000" w:themeColor="text1"/>
        </w:rPr>
        <w:t>Glosario de Términos para el Proceso de Planeación, Programación, Presupuestación y Evaluación en la Administración Pública”</w:t>
      </w:r>
      <w:r w:rsidRPr="00305BA5">
        <w:rPr>
          <w:rFonts w:ascii="Palatino Linotype" w:hAnsi="Palatino Linotype" w:cs="Tahoma"/>
          <w:color w:val="000000" w:themeColor="text1"/>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F12F49" w:rsidRPr="00305BA5" w:rsidRDefault="00F12F49" w:rsidP="00305BA5">
      <w:pPr>
        <w:jc w:val="both"/>
        <w:rPr>
          <w:rFonts w:ascii="Palatino Linotype" w:hAnsi="Palatino Linotype" w:cs="Tahoma"/>
          <w:b/>
          <w:i/>
          <w:color w:val="000000" w:themeColor="text1"/>
        </w:rPr>
      </w:pPr>
      <w:r w:rsidRPr="00305BA5">
        <w:rPr>
          <w:rFonts w:ascii="Palatino Linotype" w:hAnsi="Palatino Linotype" w:cs="Tahoma"/>
          <w:b/>
          <w:i/>
          <w:color w:val="000000" w:themeColor="text1"/>
        </w:rPr>
        <w:t xml:space="preserve">REGISTRO CONTABLE. </w:t>
      </w:r>
      <w:r w:rsidRPr="00305BA5">
        <w:rPr>
          <w:rFonts w:ascii="Palatino Linotype" w:hAnsi="Palatino Linotype" w:cs="Tahoma"/>
          <w:i/>
          <w:color w:val="000000" w:themeColor="text1"/>
        </w:rPr>
        <w:t>Asiento que se realiza en los libros de contabilidad de las actividades relacionadas con el ingreso y egresos de un ente económico.</w:t>
      </w:r>
    </w:p>
    <w:p w:rsidR="00F12F49" w:rsidRPr="00305BA5" w:rsidRDefault="00F12F49" w:rsidP="00305BA5">
      <w:pPr>
        <w:jc w:val="both"/>
        <w:rPr>
          <w:rFonts w:ascii="Palatino Linotype" w:hAnsi="Palatino Linotype" w:cs="Tahoma"/>
          <w:i/>
          <w:color w:val="000000" w:themeColor="text1"/>
        </w:rPr>
      </w:pPr>
    </w:p>
    <w:p w:rsidR="00F12F49" w:rsidRPr="00305BA5" w:rsidRDefault="00F12F49" w:rsidP="00305BA5">
      <w:pPr>
        <w:jc w:val="both"/>
        <w:rPr>
          <w:rFonts w:ascii="Palatino Linotype" w:hAnsi="Palatino Linotype" w:cs="Tahoma"/>
          <w:i/>
          <w:color w:val="000000" w:themeColor="text1"/>
        </w:rPr>
      </w:pPr>
      <w:r w:rsidRPr="00305BA5">
        <w:rPr>
          <w:rFonts w:ascii="Palatino Linotype" w:hAnsi="Palatino Linotype" w:cs="Tahoma"/>
          <w:b/>
          <w:i/>
          <w:color w:val="000000" w:themeColor="text1"/>
        </w:rPr>
        <w:t xml:space="preserve">REGISTRO PRESUPUESTARIO. </w:t>
      </w:r>
      <w:r w:rsidRPr="00305BA5">
        <w:rPr>
          <w:rFonts w:ascii="Palatino Linotype" w:hAnsi="Palatino Linotype" w:cs="Tahoma"/>
          <w:i/>
          <w:color w:val="000000" w:themeColor="text1"/>
        </w:rPr>
        <w:t>Asiento contable de las erogaciones realizadas por las dependencias y entidades con relación a la asignación, modificación y ejercicio de los recursos presupuestarios que se les hayan autorizado.</w:t>
      </w:r>
    </w:p>
    <w:p w:rsidR="00F12F49" w:rsidRPr="00305BA5" w:rsidRDefault="00F12F49" w:rsidP="00305BA5">
      <w:pPr>
        <w:spacing w:line="360" w:lineRule="auto"/>
        <w:jc w:val="both"/>
        <w:rPr>
          <w:rFonts w:ascii="Palatino Linotype" w:hAnsi="Palatino Linotype" w:cs="Tahoma"/>
          <w:color w:val="000000" w:themeColor="text1"/>
          <w:highlight w:val="yellow"/>
        </w:rPr>
      </w:pPr>
    </w:p>
    <w:p w:rsidR="00F12F49" w:rsidRPr="00305BA5" w:rsidRDefault="00F12F49" w:rsidP="00305BA5">
      <w:pPr>
        <w:numPr>
          <w:ilvl w:val="0"/>
          <w:numId w:val="6"/>
        </w:numPr>
        <w:spacing w:line="360" w:lineRule="auto"/>
        <w:ind w:left="0" w:firstLine="0"/>
        <w:jc w:val="both"/>
        <w:rPr>
          <w:rFonts w:ascii="Palatino Linotype" w:hAnsi="Palatino Linotype" w:cs="Tahoma"/>
          <w:color w:val="000000" w:themeColor="text1"/>
        </w:rPr>
      </w:pPr>
      <w:r w:rsidRPr="00305BA5">
        <w:rPr>
          <w:rFonts w:ascii="Palatino Linotype" w:hAnsi="Palatino Linotype" w:cs="Tahoma"/>
          <w:color w:val="000000" w:themeColor="text1"/>
        </w:rPr>
        <w:t xml:space="preserve">En este sentido, </w:t>
      </w:r>
      <w:r w:rsidRPr="00305BA5">
        <w:rPr>
          <w:rFonts w:ascii="Palatino Linotype" w:eastAsia="Palatino Linotype" w:hAnsi="Palatino Linotype" w:cs="Palatino Linotype"/>
          <w:color w:val="000000" w:themeColor="text1"/>
        </w:rPr>
        <w:t>cabe</w:t>
      </w:r>
      <w:r w:rsidRPr="00305BA5">
        <w:rPr>
          <w:rFonts w:ascii="Palatino Linotype" w:hAnsi="Palatino Linotype" w:cs="Tahoma"/>
          <w:color w:val="000000" w:themeColor="text1"/>
        </w:rPr>
        <w:t xml:space="preserve"> referir que la Ley de Fiscalización Superior del Estado de México prevé en su artículo 4 que los Poderes Públicos del Estado son considerados entes fiscalizables, tal como se observa a continuación:</w:t>
      </w:r>
    </w:p>
    <w:p w:rsidR="00F12F49" w:rsidRPr="00305BA5" w:rsidRDefault="00F12F49" w:rsidP="00305BA5">
      <w:pPr>
        <w:jc w:val="both"/>
        <w:rPr>
          <w:rFonts w:ascii="Palatino Linotype" w:hAnsi="Palatino Linotype" w:cs="Tahoma"/>
          <w:i/>
          <w:color w:val="000000" w:themeColor="text1"/>
        </w:rPr>
      </w:pPr>
      <w:r w:rsidRPr="00305BA5">
        <w:rPr>
          <w:rFonts w:ascii="Palatino Linotype" w:hAnsi="Palatino Linotype" w:cs="Tahoma"/>
          <w:b/>
          <w:i/>
          <w:color w:val="000000" w:themeColor="text1"/>
        </w:rPr>
        <w:t>Artículo 4.</w:t>
      </w:r>
      <w:r w:rsidRPr="00305BA5">
        <w:rPr>
          <w:rFonts w:ascii="Palatino Linotype" w:hAnsi="Palatino Linotype" w:cs="Tahoma"/>
          <w:i/>
          <w:color w:val="000000" w:themeColor="text1"/>
        </w:rPr>
        <w:t xml:space="preserve"> Son sujetos de fiscalización:</w:t>
      </w:r>
    </w:p>
    <w:p w:rsidR="00F12F49" w:rsidRPr="00305BA5" w:rsidRDefault="00F12F49" w:rsidP="00305BA5">
      <w:pPr>
        <w:jc w:val="both"/>
        <w:rPr>
          <w:rFonts w:ascii="Palatino Linotype" w:hAnsi="Palatino Linotype" w:cs="Tahoma"/>
          <w:i/>
          <w:color w:val="000000" w:themeColor="text1"/>
        </w:rPr>
      </w:pPr>
      <w:r w:rsidRPr="00305BA5">
        <w:rPr>
          <w:rFonts w:ascii="Palatino Linotype" w:hAnsi="Palatino Linotype" w:cs="Tahoma"/>
          <w:i/>
          <w:color w:val="000000" w:themeColor="text1"/>
        </w:rPr>
        <w:t>I. Los Poderes Públicos del Estado;</w:t>
      </w:r>
    </w:p>
    <w:p w:rsidR="00F12F49" w:rsidRPr="00305BA5" w:rsidRDefault="00F12F49" w:rsidP="00305BA5">
      <w:pPr>
        <w:jc w:val="both"/>
        <w:rPr>
          <w:rFonts w:ascii="Palatino Linotype" w:hAnsi="Palatino Linotype" w:cs="Tahoma"/>
          <w:b/>
          <w:i/>
          <w:color w:val="000000" w:themeColor="text1"/>
        </w:rPr>
      </w:pPr>
      <w:r w:rsidRPr="00305BA5">
        <w:rPr>
          <w:rFonts w:ascii="Palatino Linotype" w:hAnsi="Palatino Linotype" w:cs="Tahoma"/>
          <w:b/>
          <w:i/>
          <w:color w:val="000000" w:themeColor="text1"/>
        </w:rPr>
        <w:t>II. Los municipios del Estado de México;</w:t>
      </w:r>
    </w:p>
    <w:p w:rsidR="00F12F49" w:rsidRPr="00305BA5" w:rsidRDefault="00F12F49" w:rsidP="00305BA5">
      <w:pPr>
        <w:jc w:val="both"/>
        <w:rPr>
          <w:rFonts w:ascii="Palatino Linotype" w:hAnsi="Palatino Linotype" w:cs="Tahoma"/>
          <w:color w:val="000000" w:themeColor="text1"/>
        </w:rPr>
      </w:pPr>
      <w:r w:rsidRPr="00305BA5">
        <w:rPr>
          <w:rFonts w:ascii="Palatino Linotype" w:hAnsi="Palatino Linotype" w:cs="Tahoma"/>
          <w:color w:val="000000" w:themeColor="text1"/>
        </w:rPr>
        <w:t xml:space="preserve">Asimismo, el ordenamiento legal referido señala en su artículo 8, fracción XI lo siguiente: </w:t>
      </w:r>
    </w:p>
    <w:p w:rsidR="00F12F49" w:rsidRPr="00305BA5" w:rsidRDefault="00F12F49" w:rsidP="00305BA5">
      <w:pPr>
        <w:jc w:val="both"/>
        <w:rPr>
          <w:rFonts w:ascii="Palatino Linotype" w:hAnsi="Palatino Linotype" w:cs="Tahoma"/>
          <w:color w:val="000000" w:themeColor="text1"/>
        </w:rPr>
      </w:pPr>
    </w:p>
    <w:p w:rsidR="00F12F49" w:rsidRPr="00305BA5" w:rsidRDefault="00F12F49" w:rsidP="00305BA5">
      <w:pPr>
        <w:jc w:val="both"/>
        <w:rPr>
          <w:rFonts w:ascii="Palatino Linotype" w:hAnsi="Palatino Linotype" w:cs="Tahoma"/>
          <w:i/>
          <w:color w:val="000000" w:themeColor="text1"/>
        </w:rPr>
      </w:pPr>
      <w:r w:rsidRPr="00305BA5">
        <w:rPr>
          <w:rFonts w:ascii="Palatino Linotype" w:hAnsi="Palatino Linotype" w:cs="Tahoma"/>
          <w:i/>
          <w:color w:val="000000" w:themeColor="text1"/>
        </w:rPr>
        <w:t>Artículo 8. El Órgano Superior tendrá las siguientes atribuciones:</w:t>
      </w:r>
    </w:p>
    <w:p w:rsidR="00F12F49" w:rsidRPr="00305BA5" w:rsidRDefault="00F12F49" w:rsidP="00305BA5">
      <w:pPr>
        <w:jc w:val="both"/>
        <w:rPr>
          <w:rFonts w:ascii="Palatino Linotype" w:hAnsi="Palatino Linotype" w:cs="Tahoma"/>
          <w:i/>
          <w:color w:val="000000" w:themeColor="text1"/>
        </w:rPr>
      </w:pPr>
      <w:r w:rsidRPr="00305BA5">
        <w:rPr>
          <w:rFonts w:ascii="Palatino Linotype" w:hAnsi="Palatino Linotype" w:cs="Tahoma"/>
          <w:i/>
          <w:color w:val="000000" w:themeColor="text1"/>
        </w:rPr>
        <w:t>…</w:t>
      </w:r>
    </w:p>
    <w:p w:rsidR="00F12F49" w:rsidRPr="00305BA5" w:rsidRDefault="00F12F49" w:rsidP="00305BA5">
      <w:pPr>
        <w:jc w:val="both"/>
        <w:rPr>
          <w:rFonts w:ascii="Palatino Linotype" w:hAnsi="Palatino Linotype" w:cs="Tahoma"/>
          <w:i/>
          <w:color w:val="000000" w:themeColor="text1"/>
        </w:rPr>
      </w:pPr>
      <w:r w:rsidRPr="00305BA5">
        <w:rPr>
          <w:rFonts w:ascii="Palatino Linotype" w:hAnsi="Palatino Linotype" w:cs="Tahoma"/>
          <w:i/>
          <w:color w:val="000000" w:themeColor="text1"/>
        </w:rPr>
        <w:t xml:space="preserve">XI. </w:t>
      </w:r>
      <w:r w:rsidRPr="00305BA5">
        <w:rPr>
          <w:rFonts w:ascii="Palatino Linotype" w:hAnsi="Palatino Linotype" w:cs="Tahoma"/>
          <w:b/>
          <w:i/>
          <w:color w:val="000000" w:themeColor="text1"/>
        </w:rPr>
        <w:t>Establecer los lineamientos, criterios, procedimientos, métodos y sistemas para las acciones de control y evaluación, necesarios para la fiscalización de las cuentas públicas y los informes trimestrales</w:t>
      </w:r>
      <w:r w:rsidRPr="00305BA5">
        <w:rPr>
          <w:rFonts w:ascii="Palatino Linotype" w:hAnsi="Palatino Linotype" w:cs="Tahoma"/>
          <w:i/>
          <w:color w:val="000000" w:themeColor="text1"/>
        </w:rPr>
        <w:t xml:space="preserve">…” </w:t>
      </w:r>
    </w:p>
    <w:p w:rsidR="00F12F49" w:rsidRPr="00305BA5" w:rsidRDefault="00F12F49" w:rsidP="00305BA5">
      <w:pPr>
        <w:tabs>
          <w:tab w:val="left" w:pos="284"/>
        </w:tabs>
        <w:spacing w:before="240" w:after="240" w:line="360" w:lineRule="auto"/>
        <w:contextualSpacing/>
        <w:jc w:val="both"/>
        <w:rPr>
          <w:rFonts w:ascii="Palatino Linotype" w:eastAsia="Calibri" w:hAnsi="Palatino Linotype"/>
          <w:bCs/>
          <w:color w:val="000000" w:themeColor="text1"/>
          <w:highlight w:val="yellow"/>
          <w:lang w:val="es-ES"/>
        </w:rPr>
      </w:pPr>
    </w:p>
    <w:p w:rsidR="00F12F49" w:rsidRPr="00305BA5" w:rsidRDefault="00F12F49" w:rsidP="00305BA5">
      <w:pPr>
        <w:numPr>
          <w:ilvl w:val="0"/>
          <w:numId w:val="6"/>
        </w:numPr>
        <w:spacing w:line="360" w:lineRule="auto"/>
        <w:ind w:left="0" w:firstLine="0"/>
        <w:jc w:val="both"/>
        <w:rPr>
          <w:rFonts w:ascii="Palatino Linotype" w:eastAsia="Calibri" w:hAnsi="Palatino Linotype"/>
          <w:bCs/>
          <w:color w:val="000000" w:themeColor="text1"/>
          <w:lang w:val="es-ES"/>
        </w:rPr>
      </w:pPr>
      <w:r w:rsidRPr="00305BA5">
        <w:rPr>
          <w:rFonts w:ascii="Palatino Linotype" w:hAnsi="Palatino Linotype" w:cs="Tahoma"/>
          <w:color w:val="000000" w:themeColor="text1"/>
        </w:rPr>
        <w:lastRenderedPageBreak/>
        <w:t>De</w:t>
      </w:r>
      <w:r w:rsidRPr="00305BA5">
        <w:rPr>
          <w:rFonts w:ascii="Palatino Linotype" w:eastAsia="Calibri" w:hAnsi="Palatino Linotype"/>
          <w:color w:val="000000" w:themeColor="text1"/>
          <w:lang w:val="es-ES"/>
        </w:rPr>
        <w:t xml:space="preserve"> la normatividad previamente plasmada, se desprende primeramente que el</w:t>
      </w:r>
      <w:r w:rsidRPr="00305BA5">
        <w:rPr>
          <w:rFonts w:ascii="Palatino Linotype" w:eastAsia="Calibri" w:hAnsi="Palatino Linotype"/>
          <w:bCs/>
          <w:color w:val="000000" w:themeColor="text1"/>
          <w:lang w:val="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F12F49" w:rsidRPr="00305BA5" w:rsidRDefault="00F12F49" w:rsidP="00305BA5">
      <w:pPr>
        <w:jc w:val="both"/>
        <w:rPr>
          <w:rFonts w:ascii="Palatino Linotype" w:eastAsia="Palatino Linotype" w:hAnsi="Palatino Linotype" w:cs="Palatino Linotype"/>
          <w:i/>
          <w:color w:val="000000" w:themeColor="text1"/>
        </w:rPr>
      </w:pPr>
    </w:p>
    <w:p w:rsidR="00F12F49" w:rsidRPr="00305BA5" w:rsidRDefault="00F12F49" w:rsidP="00305BA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En razón de lo expuesto, los sujetos obligados deberán hacer pública toda aquella información relativa a los montos y las personas a quienes entreguen, por cualquier motivo, recursos públicos y en consecuencia, los servidores públicos deberán transparentar sus acciones así como garantizar y respetar el derecho de acceso a la información pública.</w:t>
      </w:r>
    </w:p>
    <w:p w:rsidR="00F12F49" w:rsidRPr="00305BA5" w:rsidRDefault="00F12F49" w:rsidP="00305BA5">
      <w:pPr>
        <w:spacing w:line="360" w:lineRule="auto"/>
        <w:jc w:val="both"/>
        <w:rPr>
          <w:rFonts w:ascii="Palatino Linotype" w:eastAsia="Palatino Linotype" w:hAnsi="Palatino Linotype" w:cs="Palatino Linotype"/>
          <w:color w:val="000000" w:themeColor="text1"/>
          <w:u w:val="single"/>
        </w:rPr>
      </w:pPr>
    </w:p>
    <w:p w:rsidR="000831E7" w:rsidRPr="00305BA5" w:rsidRDefault="00F12F49" w:rsidP="00305BA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En este mismo sentido se tiene como obligación de transparencia común la de poner a disposición la información relativa a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670255" w:rsidRPr="00305BA5" w:rsidRDefault="00670255" w:rsidP="00305BA5">
      <w:pPr>
        <w:tabs>
          <w:tab w:val="left" w:pos="0"/>
          <w:tab w:val="left" w:pos="567"/>
        </w:tabs>
        <w:spacing w:line="360" w:lineRule="auto"/>
        <w:jc w:val="both"/>
        <w:rPr>
          <w:rFonts w:ascii="Palatino Linotype" w:hAnsi="Palatino Linotype"/>
          <w:color w:val="000000" w:themeColor="text1"/>
        </w:rPr>
      </w:pPr>
    </w:p>
    <w:p w:rsidR="00670255" w:rsidRPr="00305BA5" w:rsidRDefault="00670255" w:rsidP="00305BA5">
      <w:pPr>
        <w:numPr>
          <w:ilvl w:val="0"/>
          <w:numId w:val="13"/>
        </w:numPr>
        <w:pBdr>
          <w:top w:val="nil"/>
          <w:left w:val="nil"/>
          <w:bottom w:val="nil"/>
          <w:right w:val="nil"/>
          <w:between w:val="nil"/>
        </w:pBdr>
        <w:tabs>
          <w:tab w:val="left" w:pos="0"/>
          <w:tab w:val="left" w:pos="360"/>
        </w:tabs>
        <w:spacing w:line="360" w:lineRule="auto"/>
        <w:ind w:left="0" w:firstLine="0"/>
        <w:jc w:val="both"/>
        <w:rPr>
          <w:rFonts w:ascii="Palatino Linotype" w:eastAsia="Palatino Linotype" w:hAnsi="Palatino Linotype" w:cs="Palatino Linotype"/>
          <w:b/>
          <w:color w:val="000000" w:themeColor="text1"/>
        </w:rPr>
      </w:pPr>
      <w:r w:rsidRPr="00305BA5">
        <w:rPr>
          <w:rFonts w:ascii="Palatino Linotype" w:eastAsia="Palatino Linotype" w:hAnsi="Palatino Linotype" w:cs="Palatino Linotype"/>
          <w:b/>
          <w:color w:val="000000" w:themeColor="text1"/>
        </w:rPr>
        <w:t>De la modalidad de entrega.</w:t>
      </w:r>
    </w:p>
    <w:p w:rsidR="00670255" w:rsidRPr="00305BA5" w:rsidRDefault="00670255" w:rsidP="00305BA5">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La Ley de Transparencia y Acceso a la Información Pública del Estado de México y Municipios establece en los artículos 155 fracción V, 158 y 164 lo siguiente:</w:t>
      </w:r>
    </w:p>
    <w:p w:rsidR="00670255" w:rsidRPr="00305BA5" w:rsidRDefault="00670255" w:rsidP="00305BA5">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Artículo 155</w:t>
      </w:r>
      <w:r w:rsidRPr="00305BA5">
        <w:rPr>
          <w:rFonts w:ascii="Palatino Linotype" w:eastAsia="Palatino Linotype" w:hAnsi="Palatino Linotype" w:cs="Palatino Linotype"/>
          <w:i/>
          <w:color w:val="000000" w:themeColor="text1"/>
        </w:rPr>
        <w:t>. Para presentar una solicitud por escrito, no se podrán exigir mayores requisitos que los siguientes:</w:t>
      </w:r>
    </w:p>
    <w:p w:rsidR="00670255" w:rsidRPr="00305BA5" w:rsidRDefault="00670255" w:rsidP="00305BA5">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I. a IV. …</w:t>
      </w:r>
    </w:p>
    <w:p w:rsidR="00670255" w:rsidRPr="00305BA5" w:rsidRDefault="00670255" w:rsidP="00305BA5">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670255" w:rsidRPr="00305BA5" w:rsidRDefault="00670255" w:rsidP="00305BA5">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w:t>
      </w:r>
    </w:p>
    <w:p w:rsidR="00670255" w:rsidRPr="00305BA5" w:rsidRDefault="00670255" w:rsidP="00305BA5">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lastRenderedPageBreak/>
        <w:t>Artículo 158.</w:t>
      </w:r>
      <w:r w:rsidRPr="00305BA5">
        <w:rPr>
          <w:rFonts w:ascii="Palatino Linotype" w:eastAsia="Palatino Linotype" w:hAnsi="Palatino Linotype" w:cs="Palatino Linotype"/>
          <w:i/>
          <w:color w:val="000000" w:themeColor="text1"/>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670255" w:rsidRPr="00305BA5" w:rsidRDefault="00670255" w:rsidP="00305BA5">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 </w:t>
      </w:r>
    </w:p>
    <w:p w:rsidR="00670255" w:rsidRPr="00305BA5" w:rsidRDefault="00670255" w:rsidP="00305BA5">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En todo caso, se facilitará su copia simple o certificada, así como su reproducción por cualquier medio disponible en las instalaciones del sujeto obligado o que, en su caso, aporte el solicitante.</w:t>
      </w:r>
    </w:p>
    <w:p w:rsidR="00670255" w:rsidRPr="00305BA5" w:rsidRDefault="00670255" w:rsidP="00305BA5">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p>
    <w:p w:rsidR="00670255" w:rsidRPr="00305BA5" w:rsidRDefault="00670255" w:rsidP="00305BA5">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Artículo 164</w:t>
      </w:r>
      <w:r w:rsidRPr="00305BA5">
        <w:rPr>
          <w:rFonts w:ascii="Palatino Linotype" w:eastAsia="Palatino Linotype" w:hAnsi="Palatino Linotype" w:cs="Palatino Linotype"/>
          <w:i/>
          <w:color w:val="000000" w:themeColor="text1"/>
        </w:rPr>
        <w:t>. El acceso se dará en la modalidad de entrega y, en su caso, de envío elegidos por el solicitante. Cuando la información no pueda entregarse o enviarse en la modalidad solicitada, el sujeto obligado deberá ofrecer otra u otras modalidades de entrega.</w:t>
      </w:r>
    </w:p>
    <w:p w:rsidR="00670255" w:rsidRPr="00305BA5" w:rsidRDefault="00670255" w:rsidP="00305BA5">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p>
    <w:p w:rsidR="00670255" w:rsidRPr="00305BA5" w:rsidRDefault="00670255" w:rsidP="00305BA5">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La normatividad en materia establece que se privilegiará la modalidad de entrega elegida por el Recurrente y será excepcional un cambio de modalidad cuando la información sobrepase las capacidades técnicas administrativas y humanas, dicho cambio será debidamente fundado y motivado.</w:t>
      </w:r>
    </w:p>
    <w:p w:rsidR="00670255" w:rsidRPr="00305BA5" w:rsidRDefault="00670255" w:rsidP="00305BA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670255" w:rsidRPr="00305BA5" w:rsidRDefault="00670255" w:rsidP="00305BA5">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 xml:space="preserve">Del artículo 158 ya transcrito, se tiene que, excepcionalmente, en el caso de que la información solicitada implique un análisis, estudio o procesamiento de documentos, cuya entrega o reproducción sobrepase las capacidades técnicas administrativas y humanas del </w:t>
      </w:r>
      <w:r w:rsidRPr="00305BA5">
        <w:rPr>
          <w:rFonts w:ascii="Palatino Linotype" w:eastAsia="Palatino Linotype" w:hAnsi="Palatino Linotype" w:cs="Palatino Linotype"/>
          <w:b/>
          <w:color w:val="000000" w:themeColor="text1"/>
        </w:rPr>
        <w:t>SUJETO OBLIGADO</w:t>
      </w:r>
      <w:r w:rsidRPr="00305BA5">
        <w:rPr>
          <w:rFonts w:ascii="Palatino Linotype" w:eastAsia="Palatino Linotype" w:hAnsi="Palatino Linotype" w:cs="Palatino Linotype"/>
          <w:color w:val="000000" w:themeColor="text1"/>
        </w:rPr>
        <w:t xml:space="preserve">, éste podrá poder a disposición los documentos vía </w:t>
      </w:r>
      <w:r w:rsidRPr="00305BA5">
        <w:rPr>
          <w:rFonts w:ascii="Palatino Linotype" w:eastAsia="Palatino Linotype" w:hAnsi="Palatino Linotype" w:cs="Palatino Linotype"/>
          <w:i/>
          <w:color w:val="000000" w:themeColor="text1"/>
        </w:rPr>
        <w:t>In Situ</w:t>
      </w:r>
      <w:r w:rsidRPr="00305BA5">
        <w:rPr>
          <w:rFonts w:ascii="Palatino Linotype" w:eastAsia="Palatino Linotype" w:hAnsi="Palatino Linotype" w:cs="Palatino Linotype"/>
          <w:color w:val="000000" w:themeColor="text1"/>
        </w:rPr>
        <w:t xml:space="preserve"> o Consulta Directa, </w:t>
      </w:r>
      <w:r w:rsidRPr="00305BA5">
        <w:rPr>
          <w:rFonts w:ascii="Palatino Linotype" w:eastAsia="Palatino Linotype" w:hAnsi="Palatino Linotype" w:cs="Palatino Linotype"/>
          <w:b/>
          <w:color w:val="000000" w:themeColor="text1"/>
        </w:rPr>
        <w:t>siempre y cuando se funden y motiven las razones que justifiquen la imposibilidad de entregar la información en la modalidad originalmente solicitada</w:t>
      </w:r>
      <w:r w:rsidRPr="00305BA5">
        <w:rPr>
          <w:rFonts w:ascii="Palatino Linotype" w:eastAsia="Palatino Linotype" w:hAnsi="Palatino Linotype" w:cs="Palatino Linotype"/>
          <w:color w:val="000000" w:themeColor="text1"/>
        </w:rPr>
        <w:t xml:space="preserve">. </w:t>
      </w:r>
    </w:p>
    <w:p w:rsidR="00670255" w:rsidRPr="00305BA5" w:rsidRDefault="00670255" w:rsidP="00305BA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670255" w:rsidRPr="00305BA5" w:rsidRDefault="00670255" w:rsidP="00305BA5">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 xml:space="preserve">Es decir, del artículo anterior, se derivan tres hipótesis que en conjunto, y de manera fundada y motivada, validan el cambio de modalidad de entrega de la información y las </w:t>
      </w:r>
      <w:r w:rsidRPr="00305BA5">
        <w:rPr>
          <w:rFonts w:ascii="Palatino Linotype" w:eastAsia="Palatino Linotype" w:hAnsi="Palatino Linotype" w:cs="Palatino Linotype"/>
          <w:color w:val="000000" w:themeColor="text1"/>
        </w:rPr>
        <w:lastRenderedPageBreak/>
        <w:t xml:space="preserve">cuales son, que las documentales a proporcionar </w:t>
      </w:r>
      <w:r w:rsidRPr="00305BA5">
        <w:rPr>
          <w:rFonts w:ascii="Palatino Linotype" w:eastAsia="Palatino Linotype" w:hAnsi="Palatino Linotype" w:cs="Palatino Linotype"/>
          <w:b/>
          <w:color w:val="000000" w:themeColor="text1"/>
        </w:rPr>
        <w:t>sobrepasen las capacidades técnicas, administrativas y humanas del SUJETO OBLIGADO</w:t>
      </w:r>
      <w:r w:rsidRPr="00305BA5">
        <w:rPr>
          <w:rFonts w:ascii="Palatino Linotype" w:eastAsia="Palatino Linotype" w:hAnsi="Palatino Linotype" w:cs="Palatino Linotype"/>
          <w:color w:val="000000" w:themeColor="text1"/>
        </w:rPr>
        <w:t xml:space="preserve">. </w:t>
      </w:r>
    </w:p>
    <w:p w:rsidR="00EE2B48" w:rsidRPr="00305BA5" w:rsidRDefault="00EE2B48" w:rsidP="00305BA5">
      <w:pPr>
        <w:pBdr>
          <w:top w:val="nil"/>
          <w:left w:val="nil"/>
          <w:bottom w:val="nil"/>
          <w:right w:val="nil"/>
          <w:between w:val="nil"/>
        </w:pBdr>
        <w:spacing w:line="360" w:lineRule="auto"/>
        <w:jc w:val="both"/>
        <w:rPr>
          <w:rFonts w:ascii="Palatino Linotype" w:hAnsi="Palatino Linotype"/>
          <w:color w:val="000000" w:themeColor="text1"/>
        </w:rPr>
      </w:pPr>
    </w:p>
    <w:p w:rsidR="00670255" w:rsidRPr="00305BA5" w:rsidRDefault="00670255" w:rsidP="00305BA5">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Para ello, cabe mencionar lo que se entiende por “</w:t>
      </w:r>
      <w:r w:rsidRPr="00305BA5">
        <w:rPr>
          <w:rFonts w:ascii="Palatino Linotype" w:eastAsia="Palatino Linotype" w:hAnsi="Palatino Linotype" w:cs="Palatino Linotype"/>
          <w:b/>
          <w:color w:val="000000" w:themeColor="text1"/>
        </w:rPr>
        <w:t>capacidad</w:t>
      </w:r>
      <w:r w:rsidRPr="00305BA5">
        <w:rPr>
          <w:rFonts w:ascii="Palatino Linotype" w:eastAsia="Palatino Linotype" w:hAnsi="Palatino Linotype" w:cs="Palatino Linotype"/>
          <w:color w:val="000000" w:themeColor="text1"/>
        </w:rPr>
        <w:t>”; que, de manera general, puede ser interpretado como la circunstancia o conjunto de condiciones, cualidades o aptitudes que permiten el desarrollo o el cumplimiento de una función o desempeño de un cargo.</w:t>
      </w:r>
    </w:p>
    <w:p w:rsidR="00670255" w:rsidRPr="00305BA5" w:rsidRDefault="00670255" w:rsidP="00305BA5">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670255" w:rsidRPr="00305BA5" w:rsidRDefault="00670255" w:rsidP="00305BA5">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rsidR="00670255" w:rsidRPr="00305BA5" w:rsidRDefault="00670255" w:rsidP="00305BA5">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p>
    <w:p w:rsidR="00670255" w:rsidRPr="00305BA5" w:rsidRDefault="00670255" w:rsidP="00305BA5">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 xml:space="preserve">Ahora bien, en relación con </w:t>
      </w:r>
      <w:r w:rsidRPr="00305BA5">
        <w:rPr>
          <w:rFonts w:ascii="Palatino Linotype" w:eastAsia="Palatino Linotype" w:hAnsi="Palatino Linotype" w:cs="Palatino Linotype"/>
          <w:b/>
          <w:color w:val="000000" w:themeColor="text1"/>
        </w:rPr>
        <w:t>el peso máximo de archivos que soporta el SAIMEX para adjuntar como respuesta a las solicitudes de información</w:t>
      </w:r>
      <w:r w:rsidRPr="00305BA5">
        <w:rPr>
          <w:rFonts w:ascii="Palatino Linotype" w:eastAsia="Palatino Linotype" w:hAnsi="Palatino Linotype" w:cs="Palatino Linotype"/>
          <w:color w:val="000000" w:themeColor="text1"/>
        </w:rPr>
        <w:t xml:space="preserve">, tal y como lo señaló la Dirección General de Informática de este Instituto, tiene el soporte tecnológico para que se puedan adjuntar archivos con un </w:t>
      </w:r>
      <w:r w:rsidRPr="00305BA5">
        <w:rPr>
          <w:rFonts w:ascii="Palatino Linotype" w:eastAsia="Palatino Linotype" w:hAnsi="Palatino Linotype" w:cs="Palatino Linotype"/>
          <w:b/>
          <w:color w:val="000000" w:themeColor="text1"/>
        </w:rPr>
        <w:t>peso aproximado de hasta 500Mb o un equivalente de hasta 8,000 hojas</w:t>
      </w:r>
      <w:r w:rsidRPr="00305BA5">
        <w:rPr>
          <w:rFonts w:ascii="Palatino Linotype" w:eastAsia="Palatino Linotype" w:hAnsi="Palatino Linotype" w:cs="Palatino Linotype"/>
          <w:color w:val="000000" w:themeColor="text1"/>
        </w:rPr>
        <w:t xml:space="preserve">, garantizando que el solicitante no tenga problemas en la descarga de la información usando conexiones a internet convencionales, bajo parámetros de escaneo en resolución máxima de 150Dpi's, escala de grises y formato "PDF" extraído directamente del escáner. </w:t>
      </w:r>
    </w:p>
    <w:p w:rsidR="00670255" w:rsidRPr="00305BA5" w:rsidRDefault="00670255" w:rsidP="00305BA5">
      <w:pPr>
        <w:pBdr>
          <w:top w:val="nil"/>
          <w:left w:val="nil"/>
          <w:bottom w:val="nil"/>
          <w:right w:val="nil"/>
          <w:between w:val="nil"/>
        </w:pBdr>
        <w:rPr>
          <w:rFonts w:ascii="Palatino Linotype" w:eastAsia="Palatino Linotype" w:hAnsi="Palatino Linotype" w:cs="Palatino Linotype"/>
          <w:color w:val="000000" w:themeColor="text1"/>
        </w:rPr>
      </w:pPr>
    </w:p>
    <w:p w:rsidR="00670255" w:rsidRPr="002B09F1" w:rsidRDefault="00670255" w:rsidP="00305BA5">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 xml:space="preserve">En el presente caso, la </w:t>
      </w:r>
      <w:r w:rsidR="00842F49" w:rsidRPr="00305BA5">
        <w:rPr>
          <w:rFonts w:ascii="Palatino Linotype" w:eastAsia="Palatino Linotype" w:hAnsi="Palatino Linotype" w:cs="Palatino Linotype"/>
          <w:color w:val="000000" w:themeColor="text1"/>
        </w:rPr>
        <w:t>información remitida</w:t>
      </w:r>
      <w:r w:rsidRPr="00305BA5">
        <w:rPr>
          <w:rFonts w:ascii="Palatino Linotype" w:eastAsia="Palatino Linotype" w:hAnsi="Palatino Linotype" w:cs="Palatino Linotype"/>
          <w:color w:val="000000" w:themeColor="text1"/>
        </w:rPr>
        <w:t xml:space="preserve"> por el Sujeto Obligado fue el cambio de modalidad a consulta directa, manifestando que </w:t>
      </w:r>
      <w:r w:rsidR="00842F49" w:rsidRPr="00305BA5">
        <w:rPr>
          <w:rFonts w:ascii="Palatino Linotype" w:eastAsia="Palatino Linotype" w:hAnsi="Palatino Linotype" w:cs="Palatino Linotype"/>
          <w:i/>
          <w:color w:val="000000" w:themeColor="text1"/>
        </w:rPr>
        <w:t>“</w:t>
      </w:r>
      <w:r w:rsidR="00842F49" w:rsidRPr="00305BA5">
        <w:rPr>
          <w:rFonts w:ascii="Palatino Linotype" w:eastAsia="Palatino Linotype" w:hAnsi="Palatino Linotype" w:cs="Palatino Linotype"/>
          <w:b/>
          <w:i/>
          <w:color w:val="000000" w:themeColor="text1"/>
        </w:rPr>
        <w:t xml:space="preserve">la información solicitada implica análisis y procesamiento de documentos cuya entrega o reproducción sobrepasa las capacidades </w:t>
      </w:r>
      <w:r w:rsidR="00842F49" w:rsidRPr="00305BA5">
        <w:rPr>
          <w:rFonts w:ascii="Palatino Linotype" w:eastAsia="Palatino Linotype" w:hAnsi="Palatino Linotype" w:cs="Palatino Linotype"/>
          <w:b/>
          <w:i/>
          <w:color w:val="000000" w:themeColor="text1"/>
        </w:rPr>
        <w:lastRenderedPageBreak/>
        <w:t>humanas y administrativas</w:t>
      </w:r>
      <w:r w:rsidR="00842F49" w:rsidRPr="00305BA5">
        <w:rPr>
          <w:rFonts w:ascii="Palatino Linotype" w:eastAsia="Palatino Linotype" w:hAnsi="Palatino Linotype" w:cs="Palatino Linotype"/>
          <w:i/>
          <w:color w:val="000000" w:themeColor="text1"/>
        </w:rPr>
        <w:t xml:space="preserve"> para cumplir con la solicitud en los plazos establecidos y </w:t>
      </w:r>
      <w:r w:rsidR="00842F49" w:rsidRPr="00305BA5">
        <w:rPr>
          <w:rFonts w:ascii="Palatino Linotype" w:eastAsia="Palatino Linotype" w:hAnsi="Palatino Linotype" w:cs="Palatino Linotype"/>
          <w:b/>
          <w:i/>
          <w:color w:val="000000" w:themeColor="text1"/>
        </w:rPr>
        <w:t>también sobrepasa la capacidad técnica del SAIMЕX</w:t>
      </w:r>
      <w:r w:rsidR="00842F49" w:rsidRPr="00305BA5">
        <w:rPr>
          <w:rFonts w:ascii="Palatino Linotype" w:eastAsia="Palatino Linotype" w:hAnsi="Palatino Linotype" w:cs="Palatino Linotype"/>
          <w:i/>
          <w:color w:val="000000" w:themeColor="text1"/>
        </w:rPr>
        <w:t xml:space="preserve"> para la carga y entrega de esa información ya que se reitera que en conjunto, la información asciende a un peso considerable de Gigabytes (GB).</w:t>
      </w:r>
    </w:p>
    <w:p w:rsidR="002B09F1" w:rsidRPr="00305BA5" w:rsidRDefault="002B09F1" w:rsidP="002B09F1">
      <w:pPr>
        <w:pBdr>
          <w:top w:val="nil"/>
          <w:left w:val="nil"/>
          <w:bottom w:val="nil"/>
          <w:right w:val="nil"/>
          <w:between w:val="nil"/>
        </w:pBdr>
        <w:spacing w:line="360" w:lineRule="auto"/>
        <w:jc w:val="both"/>
        <w:rPr>
          <w:rFonts w:ascii="Palatino Linotype" w:hAnsi="Palatino Linotype"/>
          <w:color w:val="000000" w:themeColor="text1"/>
        </w:rPr>
      </w:pPr>
    </w:p>
    <w:p w:rsidR="00670255" w:rsidRPr="00305BA5" w:rsidRDefault="00842F49" w:rsidP="00305BA5">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 xml:space="preserve">Asimismo, el Sujeto Obligado remitió el </w:t>
      </w:r>
      <w:r w:rsidR="00FE2F01" w:rsidRPr="00305BA5">
        <w:rPr>
          <w:rFonts w:ascii="Palatino Linotype" w:eastAsia="Palatino Linotype" w:hAnsi="Palatino Linotype" w:cs="Palatino Linotype"/>
          <w:color w:val="000000" w:themeColor="text1"/>
        </w:rPr>
        <w:t xml:space="preserve">ACTA DE LA SEGUNDA SESIÓN EXTRAORDINARIA DEL COMITÉ DE TRANSPARENCIA </w:t>
      </w:r>
      <w:r w:rsidRPr="00305BA5">
        <w:rPr>
          <w:rFonts w:ascii="Palatino Linotype" w:eastAsia="Palatino Linotype" w:hAnsi="Palatino Linotype" w:cs="Palatino Linotype"/>
          <w:color w:val="000000" w:themeColor="text1"/>
        </w:rPr>
        <w:t>en el que se aprueba el cambio de modalidad a consulta directa bajo los siguientes argumentos: “</w:t>
      </w:r>
      <w:r w:rsidRPr="00305BA5">
        <w:rPr>
          <w:rFonts w:ascii="Palatino Linotype" w:eastAsia="Palatino Linotype" w:hAnsi="Palatino Linotype" w:cs="Palatino Linotype"/>
          <w:b/>
          <w:i/>
          <w:color w:val="000000" w:themeColor="text1"/>
        </w:rPr>
        <w:t>las solicitudes</w:t>
      </w:r>
      <w:r w:rsidRPr="00305BA5">
        <w:rPr>
          <w:rFonts w:ascii="Palatino Linotype" w:eastAsia="Palatino Linotype" w:hAnsi="Palatino Linotype" w:cs="Palatino Linotype"/>
          <w:i/>
          <w:color w:val="000000" w:themeColor="text1"/>
        </w:rPr>
        <w:t xml:space="preserve">… </w:t>
      </w:r>
      <w:r w:rsidRPr="00305BA5">
        <w:rPr>
          <w:rFonts w:ascii="Palatino Linotype" w:eastAsia="Palatino Linotype" w:hAnsi="Palatino Linotype" w:cs="Palatino Linotype"/>
          <w:b/>
          <w:i/>
          <w:color w:val="000000" w:themeColor="text1"/>
        </w:rPr>
        <w:t>contienen requerimientos relacionados con documentación generada durante administraciones anteriores, misma que no se encuentra digitalizada ni sistematizada</w:t>
      </w:r>
      <w:r w:rsidRPr="00305BA5">
        <w:rPr>
          <w:rFonts w:ascii="Palatino Linotype" w:eastAsia="Palatino Linotype" w:hAnsi="Palatino Linotype" w:cs="Palatino Linotype"/>
          <w:i/>
          <w:color w:val="000000" w:themeColor="text1"/>
        </w:rPr>
        <w:t xml:space="preserve">. Por tal motivo,... </w:t>
      </w:r>
      <w:r w:rsidRPr="00305BA5">
        <w:rPr>
          <w:rFonts w:ascii="Palatino Linotype" w:eastAsia="Palatino Linotype" w:hAnsi="Palatino Linotype" w:cs="Palatino Linotype"/>
          <w:b/>
          <w:i/>
          <w:color w:val="000000" w:themeColor="text1"/>
        </w:rPr>
        <w:t>se propone cambiar la modalidad de entrega de la información a "consulta directa"</w:t>
      </w:r>
      <w:r w:rsidRPr="00305BA5">
        <w:rPr>
          <w:rFonts w:ascii="Palatino Linotype" w:eastAsia="Palatino Linotype" w:hAnsi="Palatino Linotype" w:cs="Palatino Linotype"/>
          <w:i/>
          <w:color w:val="000000" w:themeColor="text1"/>
        </w:rPr>
        <w:t>, invitando al solicitante a acudir a las instalaciones del Archivo Municipal para la revisión de la documentación física.</w:t>
      </w:r>
    </w:p>
    <w:p w:rsidR="00FE2F01" w:rsidRPr="00305BA5" w:rsidRDefault="00FE2F01" w:rsidP="00305BA5">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p>
    <w:p w:rsidR="00670255" w:rsidRPr="00305BA5" w:rsidRDefault="00FE2F01" w:rsidP="00305BA5">
      <w:pPr>
        <w:pBdr>
          <w:top w:val="nil"/>
          <w:left w:val="nil"/>
          <w:bottom w:val="nil"/>
          <w:right w:val="nil"/>
          <w:between w:val="nil"/>
        </w:pBdr>
        <w:tabs>
          <w:tab w:val="left" w:pos="426"/>
        </w:tabs>
        <w:jc w:val="center"/>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noProof/>
          <w:color w:val="000000" w:themeColor="text1"/>
          <w:lang w:val="es-MX" w:eastAsia="es-MX"/>
        </w:rPr>
        <w:drawing>
          <wp:inline distT="0" distB="0" distL="0" distR="0" wp14:anchorId="0E94985E" wp14:editId="39E7E32A">
            <wp:extent cx="4562956" cy="2828260"/>
            <wp:effectExtent l="152400" t="152400" r="352425" b="35369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3931"/>
                    <a:stretch/>
                  </pic:blipFill>
                  <pic:spPr bwMode="auto">
                    <a:xfrm>
                      <a:off x="0" y="0"/>
                      <a:ext cx="4618690" cy="286280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670255" w:rsidRPr="00305BA5" w:rsidRDefault="00670255" w:rsidP="00305BA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670255" w:rsidRPr="00305BA5" w:rsidRDefault="00670255" w:rsidP="00305BA5">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lastRenderedPageBreak/>
        <w:t>Asimismo, se puede observar que el Sujeto Obligado, en el Acuerdo del Comité de Transparencia antes referido, no ofreció otras modalidades de entrega, tal como lo señala la Ley de Transparencia Local, en su artículo 164:</w:t>
      </w:r>
    </w:p>
    <w:p w:rsidR="00670255" w:rsidRPr="00305BA5" w:rsidRDefault="00670255" w:rsidP="00305BA5">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Artículo 164</w:t>
      </w:r>
      <w:r w:rsidRPr="00305BA5">
        <w:rPr>
          <w:rFonts w:ascii="Palatino Linotype" w:eastAsia="Palatino Linotype" w:hAnsi="Palatino Linotype" w:cs="Palatino Linotype"/>
          <w:i/>
          <w:color w:val="000000" w:themeColor="text1"/>
        </w:rPr>
        <w:t>. El acceso se dará en la modalidad de entrega y, en su caso, de envío elegidos por el solicitante. Cuando la información no pueda entregarse o enviarse en la modalidad solicitada, el sujeto obligado deberá ofrecer otra u otras modalidades de entrega.</w:t>
      </w:r>
    </w:p>
    <w:p w:rsidR="00F9606C" w:rsidRPr="00305BA5" w:rsidRDefault="00F9606C" w:rsidP="00305BA5">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p>
    <w:p w:rsidR="00F9606C" w:rsidRPr="00305BA5" w:rsidRDefault="00F9606C" w:rsidP="00305BA5">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En cualquier caso, se deberá fundar y motivar la necesidad de ofrecer otras modalidades.</w:t>
      </w:r>
    </w:p>
    <w:p w:rsidR="00670255" w:rsidRPr="00305BA5" w:rsidRDefault="00670255" w:rsidP="00305BA5">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p>
    <w:p w:rsidR="00670255" w:rsidRPr="00305BA5" w:rsidRDefault="00670255" w:rsidP="00305BA5">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La normatividad en materia establece que se privilegiará la modalidad de entrega elegida por el Recurrente y será excepcional un cambio de modalidad cuando la información sobrepase las capacidades técnicas</w:t>
      </w:r>
      <w:r w:rsidR="00F9606C" w:rsidRPr="00305BA5">
        <w:rPr>
          <w:rFonts w:ascii="Palatino Linotype" w:eastAsia="Palatino Linotype" w:hAnsi="Palatino Linotype" w:cs="Palatino Linotype"/>
          <w:color w:val="000000" w:themeColor="text1"/>
        </w:rPr>
        <w:t>,</w:t>
      </w:r>
      <w:r w:rsidRPr="00305BA5">
        <w:rPr>
          <w:rFonts w:ascii="Palatino Linotype" w:eastAsia="Palatino Linotype" w:hAnsi="Palatino Linotype" w:cs="Palatino Linotype"/>
          <w:color w:val="000000" w:themeColor="text1"/>
        </w:rPr>
        <w:t xml:space="preserve"> administrativas y humanas, dicho cambio será debidamente fundado y motivado.</w:t>
      </w:r>
    </w:p>
    <w:p w:rsidR="00670255" w:rsidRPr="00305BA5" w:rsidRDefault="00670255" w:rsidP="00305BA5">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670255" w:rsidRPr="00305BA5" w:rsidRDefault="00670255" w:rsidP="00305BA5">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 xml:space="preserve">Es de recordar que la esencia de solicitar la entrega de la información vía SAIMEX es que el particular se haga de ésta por </w:t>
      </w:r>
      <w:r w:rsidRPr="00305BA5">
        <w:rPr>
          <w:rFonts w:ascii="Palatino Linotype" w:eastAsia="Palatino Linotype" w:hAnsi="Palatino Linotype" w:cs="Palatino Linotype"/>
          <w:b/>
          <w:color w:val="000000" w:themeColor="text1"/>
        </w:rPr>
        <w:t>medios electrónicos</w:t>
      </w:r>
      <w:r w:rsidRPr="00305BA5">
        <w:rPr>
          <w:rFonts w:ascii="Palatino Linotype" w:eastAsia="Palatino Linotype" w:hAnsi="Palatino Linotype" w:cs="Palatino Linotype"/>
          <w:color w:val="000000" w:themeColor="text1"/>
        </w:rPr>
        <w:t xml:space="preserve">; esto es, por una vía digital, a distancia, que le permita descargar los documentos desde un ordenador o teléfono móvil. Por ello, el </w:t>
      </w:r>
      <w:r w:rsidRPr="00305BA5">
        <w:rPr>
          <w:rFonts w:ascii="Palatino Linotype" w:eastAsia="Palatino Linotype" w:hAnsi="Palatino Linotype" w:cs="Palatino Linotype"/>
          <w:b/>
          <w:color w:val="000000" w:themeColor="text1"/>
        </w:rPr>
        <w:t>SUJETO OBLIGADO</w:t>
      </w:r>
      <w:r w:rsidRPr="00305BA5">
        <w:rPr>
          <w:rFonts w:ascii="Palatino Linotype" w:eastAsia="Palatino Linotype" w:hAnsi="Palatino Linotype" w:cs="Palatino Linotype"/>
          <w:color w:val="000000" w:themeColor="text1"/>
        </w:rPr>
        <w:t xml:space="preserve"> debió ofrecer otras modalidades digitales para entregar la información al particular, tales como, de manera enunciativa más no limitativa, </w:t>
      </w:r>
      <w:r w:rsidRPr="00305BA5">
        <w:rPr>
          <w:rFonts w:ascii="Palatino Linotype" w:eastAsia="Palatino Linotype" w:hAnsi="Palatino Linotype" w:cs="Palatino Linotype"/>
          <w:b/>
          <w:color w:val="000000" w:themeColor="text1"/>
        </w:rPr>
        <w:t>habilitar una liga electrónica para que descargue los archivos a través de un servicio de nube;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w:t>
      </w:r>
      <w:r w:rsidRPr="00305BA5">
        <w:rPr>
          <w:rFonts w:ascii="Palatino Linotype" w:eastAsia="Palatino Linotype" w:hAnsi="Palatino Linotype" w:cs="Palatino Linotype"/>
          <w:color w:val="000000" w:themeColor="text1"/>
        </w:rPr>
        <w:t xml:space="preserve">. </w:t>
      </w:r>
    </w:p>
    <w:p w:rsidR="00670255" w:rsidRPr="00305BA5" w:rsidRDefault="00670255" w:rsidP="00305BA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670255" w:rsidRPr="00305BA5" w:rsidRDefault="00670255" w:rsidP="00305BA5">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lastRenderedPageBreak/>
        <w:t xml:space="preserve">Por ello, conviene traer a estudio lo establecido en el Capítulo X de </w:t>
      </w:r>
      <w:r w:rsidRPr="00305BA5">
        <w:rPr>
          <w:rFonts w:ascii="Palatino Linotype" w:eastAsia="Palatino Linotype" w:hAnsi="Palatino Linotype" w:cs="Palatino Linotype"/>
          <w:i/>
          <w:color w:val="000000" w:themeColor="text1"/>
        </w:rPr>
        <w:t>Lineamientos Generales en Materia de Clasificación y Desclasificación de la Información, así como para la Elaboración de Versiones Públicas</w:t>
      </w:r>
      <w:r w:rsidRPr="00305BA5">
        <w:rPr>
          <w:rFonts w:ascii="Palatino Linotype" w:eastAsia="Palatino Linotype" w:hAnsi="Palatino Linotype" w:cs="Palatino Linotype"/>
          <w:color w:val="000000" w:themeColor="text1"/>
        </w:rPr>
        <w:t>, relativo a la Consulta Directa, mismo que se transcribe a continuación:</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b/>
          <w:i/>
          <w:color w:val="000000" w:themeColor="text1"/>
        </w:rPr>
      </w:pPr>
      <w:r w:rsidRPr="00305BA5">
        <w:rPr>
          <w:rFonts w:ascii="Palatino Linotype" w:eastAsia="Palatino Linotype" w:hAnsi="Palatino Linotype" w:cs="Palatino Linotype"/>
          <w:i/>
          <w:color w:val="000000" w:themeColor="text1"/>
        </w:rPr>
        <w:t>“</w:t>
      </w:r>
      <w:r w:rsidRPr="00305BA5">
        <w:rPr>
          <w:rFonts w:ascii="Palatino Linotype" w:eastAsia="Palatino Linotype" w:hAnsi="Palatino Linotype" w:cs="Palatino Linotype"/>
          <w:b/>
          <w:i/>
          <w:color w:val="000000" w:themeColor="text1"/>
        </w:rPr>
        <w:t xml:space="preserve">CAPÍTULO X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b/>
          <w:i/>
          <w:color w:val="000000" w:themeColor="text1"/>
        </w:rPr>
      </w:pPr>
      <w:r w:rsidRPr="00305BA5">
        <w:rPr>
          <w:rFonts w:ascii="Palatino Linotype" w:eastAsia="Palatino Linotype" w:hAnsi="Palatino Linotype" w:cs="Palatino Linotype"/>
          <w:b/>
          <w:i/>
          <w:color w:val="000000" w:themeColor="text1"/>
        </w:rPr>
        <w:t xml:space="preserve">DE LA CONSULTA DIRECTA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Sexagésimo séptimo.</w:t>
      </w:r>
      <w:r w:rsidRPr="00305BA5">
        <w:rPr>
          <w:rFonts w:ascii="Palatino Linotype" w:eastAsia="Palatino Linotype" w:hAnsi="Palatino Linotype" w:cs="Palatino Linotype"/>
          <w:i/>
          <w:color w:val="000000" w:themeColor="text1"/>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Sexagésimo octavo.</w:t>
      </w:r>
      <w:r w:rsidRPr="00305BA5">
        <w:rPr>
          <w:rFonts w:ascii="Palatino Linotype" w:eastAsia="Palatino Linotype" w:hAnsi="Palatino Linotype" w:cs="Palatino Linotype"/>
          <w:i/>
          <w:color w:val="000000" w:themeColor="text1"/>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Sexagésimo noveno.</w:t>
      </w:r>
      <w:r w:rsidRPr="00305BA5">
        <w:rPr>
          <w:rFonts w:ascii="Palatino Linotype" w:eastAsia="Palatino Linotype" w:hAnsi="Palatino Linotype" w:cs="Palatino Linotype"/>
          <w:i/>
          <w:color w:val="000000" w:themeColor="text1"/>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Septuagésimo.</w:t>
      </w:r>
      <w:r w:rsidRPr="00305BA5">
        <w:rPr>
          <w:rFonts w:ascii="Palatino Linotype" w:eastAsia="Palatino Linotype" w:hAnsi="Palatino Linotype" w:cs="Palatino Linotype"/>
          <w:i/>
          <w:color w:val="000000" w:themeColor="text1"/>
        </w:rPr>
        <w:t xml:space="preserve"> Para el desahogo de las actuaciones tendientes a permitir la consulta directa, en los casos en que ésta resulte procedente, los sujetos obligados deberán observar lo siguiente: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I.</w:t>
      </w:r>
      <w:r w:rsidRPr="00305BA5">
        <w:rPr>
          <w:rFonts w:ascii="Palatino Linotype" w:eastAsia="Palatino Linotype" w:hAnsi="Palatino Linotype" w:cs="Palatino Linotype"/>
          <w:i/>
          <w:color w:val="000000" w:themeColor="text1"/>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w:t>
      </w:r>
      <w:r w:rsidRPr="00305BA5">
        <w:rPr>
          <w:rFonts w:ascii="Palatino Linotype" w:eastAsia="Palatino Linotype" w:hAnsi="Palatino Linotype" w:cs="Palatino Linotype"/>
          <w:i/>
          <w:color w:val="000000" w:themeColor="text1"/>
        </w:rPr>
        <w:lastRenderedPageBreak/>
        <w:t xml:space="preserve">realizar la consulta, en la respuesta a la solicitud también se deberá indicar esta situación al solicitante y los días, y horarios en que podrá llevarse a cabo.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II.</w:t>
      </w:r>
      <w:r w:rsidRPr="00305BA5">
        <w:rPr>
          <w:rFonts w:ascii="Palatino Linotype" w:eastAsia="Palatino Linotype" w:hAnsi="Palatino Linotype" w:cs="Palatino Linotype"/>
          <w:i/>
          <w:color w:val="000000" w:themeColor="text1"/>
        </w:rPr>
        <w:t xml:space="preserve"> En su caso, la procedencia de los ajustes razonables solicitados y/o la procedencia de acceso en la lengua indígena requerida;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 xml:space="preserve">III. </w:t>
      </w:r>
      <w:r w:rsidRPr="00305BA5">
        <w:rPr>
          <w:rFonts w:ascii="Palatino Linotype" w:eastAsia="Palatino Linotype" w:hAnsi="Palatino Linotype" w:cs="Palatino Linotype"/>
          <w:i/>
          <w:color w:val="000000" w:themeColor="text1"/>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 xml:space="preserve">IV. </w:t>
      </w:r>
      <w:r w:rsidRPr="00305BA5">
        <w:rPr>
          <w:rFonts w:ascii="Palatino Linotype" w:eastAsia="Palatino Linotype" w:hAnsi="Palatino Linotype" w:cs="Palatino Linotype"/>
          <w:i/>
          <w:color w:val="000000" w:themeColor="text1"/>
        </w:rPr>
        <w:t>Proporcionar al solicitante las facilidades y asistencia requerida para la consulta de los documentos;</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V.</w:t>
      </w:r>
      <w:r w:rsidRPr="00305BA5">
        <w:rPr>
          <w:rFonts w:ascii="Palatino Linotype" w:eastAsia="Palatino Linotype" w:hAnsi="Palatino Linotype" w:cs="Palatino Linotype"/>
          <w:i/>
          <w:color w:val="000000" w:themeColor="text1"/>
        </w:rPr>
        <w:t xml:space="preserve"> Abstenerse de requerir al solicitante que acredite interés alguno;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VI.</w:t>
      </w:r>
      <w:r w:rsidRPr="00305BA5">
        <w:rPr>
          <w:rFonts w:ascii="Palatino Linotype" w:eastAsia="Palatino Linotype" w:hAnsi="Palatino Linotype" w:cs="Palatino Linotype"/>
          <w:i/>
          <w:color w:val="000000" w:themeColor="text1"/>
        </w:rPr>
        <w:t xml:space="preserve"> Adoptar las medidas técnicas, físicas, administrativas y demás que resulten necesarias para garantizar la integridad de la información a consultar, de conformidad con las características específicas del documento solicitado, tales como: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a)</w:t>
      </w:r>
      <w:r w:rsidRPr="00305BA5">
        <w:rPr>
          <w:rFonts w:ascii="Palatino Linotype" w:eastAsia="Palatino Linotype" w:hAnsi="Palatino Linotype" w:cs="Palatino Linotype"/>
          <w:i/>
          <w:color w:val="000000" w:themeColor="text1"/>
        </w:rPr>
        <w:t xml:space="preserve"> Contar con instalaciones y mobiliario adecuado para asegurar tanto la integridad del documento consultado, como para proporcionar al solicitante las mejores condiciones para poder llevar a cabo la consulta directa;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b)</w:t>
      </w:r>
      <w:r w:rsidRPr="00305BA5">
        <w:rPr>
          <w:rFonts w:ascii="Palatino Linotype" w:eastAsia="Palatino Linotype" w:hAnsi="Palatino Linotype" w:cs="Palatino Linotype"/>
          <w:i/>
          <w:color w:val="000000" w:themeColor="text1"/>
        </w:rPr>
        <w:t xml:space="preserve"> Equipo y personal de vigilancia;</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c)</w:t>
      </w:r>
      <w:r w:rsidRPr="00305BA5">
        <w:rPr>
          <w:rFonts w:ascii="Palatino Linotype" w:eastAsia="Palatino Linotype" w:hAnsi="Palatino Linotype" w:cs="Palatino Linotype"/>
          <w:i/>
          <w:color w:val="000000" w:themeColor="text1"/>
        </w:rPr>
        <w:t xml:space="preserve"> Plan de acción contra robo o vandalismo;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d)</w:t>
      </w:r>
      <w:r w:rsidRPr="00305BA5">
        <w:rPr>
          <w:rFonts w:ascii="Palatino Linotype" w:eastAsia="Palatino Linotype" w:hAnsi="Palatino Linotype" w:cs="Palatino Linotype"/>
          <w:i/>
          <w:color w:val="000000" w:themeColor="text1"/>
        </w:rPr>
        <w:t xml:space="preserve"> Extintores de fuego de gas inocuo;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e)</w:t>
      </w:r>
      <w:r w:rsidRPr="00305BA5">
        <w:rPr>
          <w:rFonts w:ascii="Palatino Linotype" w:eastAsia="Palatino Linotype" w:hAnsi="Palatino Linotype" w:cs="Palatino Linotype"/>
          <w:i/>
          <w:color w:val="000000" w:themeColor="text1"/>
        </w:rPr>
        <w:t xml:space="preserve"> Registro e identificación del personal autorizado para el tratamiento de los documentos o expedientes a revisar;</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f)</w:t>
      </w:r>
      <w:r w:rsidRPr="00305BA5">
        <w:rPr>
          <w:rFonts w:ascii="Palatino Linotype" w:eastAsia="Palatino Linotype" w:hAnsi="Palatino Linotype" w:cs="Palatino Linotype"/>
          <w:i/>
          <w:color w:val="000000" w:themeColor="text1"/>
        </w:rPr>
        <w:t xml:space="preserve"> Registro e identificación de los particulares autorizados para llevar a cabo la consulta directa, y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g)</w:t>
      </w:r>
      <w:r w:rsidRPr="00305BA5">
        <w:rPr>
          <w:rFonts w:ascii="Palatino Linotype" w:eastAsia="Palatino Linotype" w:hAnsi="Palatino Linotype" w:cs="Palatino Linotype"/>
          <w:i/>
          <w:color w:val="000000" w:themeColor="text1"/>
        </w:rPr>
        <w:t xml:space="preserve"> Las demás que, a criterio de los sujetos obligados, resulten necesarias.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VII.</w:t>
      </w:r>
      <w:r w:rsidRPr="00305BA5">
        <w:rPr>
          <w:rFonts w:ascii="Palatino Linotype" w:eastAsia="Palatino Linotype" w:hAnsi="Palatino Linotype" w:cs="Palatino Linotype"/>
          <w:i/>
          <w:color w:val="000000" w:themeColor="text1"/>
        </w:rPr>
        <w:t xml:space="preserve"> Hacer del conocimiento del solicitante, previo al acceso a la información, las reglas a que se sujetará la consulta para garantizar la integridad de los documentos, y</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VIII.</w:t>
      </w:r>
      <w:r w:rsidRPr="00305BA5">
        <w:rPr>
          <w:rFonts w:ascii="Palatino Linotype" w:eastAsia="Palatino Linotype" w:hAnsi="Palatino Linotype" w:cs="Palatino Linotype"/>
          <w:i/>
          <w:color w:val="000000" w:themeColor="text1"/>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 xml:space="preserve">Septuagésimo primero. </w:t>
      </w:r>
      <w:r w:rsidRPr="00305BA5">
        <w:rPr>
          <w:rFonts w:ascii="Palatino Linotype" w:eastAsia="Palatino Linotype" w:hAnsi="Palatino Linotype" w:cs="Palatino Linotype"/>
          <w:i/>
          <w:color w:val="000000" w:themeColor="text1"/>
        </w:rPr>
        <w:t xml:space="preserve">La consulta física de la información se realizará en presencia del personal que para tal efecto haya sido designado, quien implementará las medidas para asegurar en todo momento </w:t>
      </w:r>
      <w:r w:rsidRPr="00305BA5">
        <w:rPr>
          <w:rFonts w:ascii="Palatino Linotype" w:eastAsia="Palatino Linotype" w:hAnsi="Palatino Linotype" w:cs="Palatino Linotype"/>
          <w:i/>
          <w:color w:val="000000" w:themeColor="text1"/>
        </w:rPr>
        <w:lastRenderedPageBreak/>
        <w:t xml:space="preserve">la integridad de la documentación, conforme a la resolución que, al efecto, emita el Comité de Transparencia.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El solicitante deberá observar en todo momento las reglas que el sujeto obligado haya hecho de su conocimiento para efectos de la conservación de los documentos.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Septuagésimo segundo.</w:t>
      </w:r>
      <w:r w:rsidRPr="00305BA5">
        <w:rPr>
          <w:rFonts w:ascii="Palatino Linotype" w:eastAsia="Palatino Linotype" w:hAnsi="Palatino Linotype" w:cs="Palatino Linotype"/>
          <w:i/>
          <w:color w:val="000000" w:themeColor="text1"/>
        </w:rPr>
        <w:t xml:space="preserve"> El solicitante deberá realizar la consulta de los documentos requeridos en el lugar, horarios y con la persona destinada para tal efecto.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t>Septuagésimo tercero.</w:t>
      </w:r>
      <w:r w:rsidRPr="00305BA5">
        <w:rPr>
          <w:rFonts w:ascii="Palatino Linotype" w:eastAsia="Palatino Linotype" w:hAnsi="Palatino Linotype" w:cs="Palatino Linotype"/>
          <w:i/>
          <w:color w:val="000000" w:themeColor="text1"/>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i/>
          <w:color w:val="000000" w:themeColor="text1"/>
        </w:rPr>
        <w:t>La información deberá ser entregada sin costo, cuando implique la entrega de no más de veinte hojas simples.”</w:t>
      </w:r>
    </w:p>
    <w:p w:rsidR="00670255" w:rsidRPr="00305BA5" w:rsidRDefault="00670255" w:rsidP="00305BA5">
      <w:pPr>
        <w:pBdr>
          <w:top w:val="nil"/>
          <w:left w:val="nil"/>
          <w:bottom w:val="nil"/>
          <w:right w:val="nil"/>
          <w:between w:val="nil"/>
        </w:pBdr>
        <w:tabs>
          <w:tab w:val="left" w:pos="851"/>
        </w:tabs>
        <w:spacing w:line="276" w:lineRule="auto"/>
        <w:jc w:val="both"/>
        <w:rPr>
          <w:rFonts w:ascii="Palatino Linotype" w:eastAsia="Palatino Linotype" w:hAnsi="Palatino Linotype" w:cs="Palatino Linotype"/>
          <w:i/>
          <w:color w:val="000000" w:themeColor="text1"/>
        </w:rPr>
      </w:pPr>
    </w:p>
    <w:p w:rsidR="00670255" w:rsidRPr="00305BA5" w:rsidRDefault="00670255" w:rsidP="00305BA5">
      <w:pPr>
        <w:numPr>
          <w:ilvl w:val="0"/>
          <w:numId w:val="6"/>
        </w:numPr>
        <w:pBdr>
          <w:top w:val="nil"/>
          <w:left w:val="nil"/>
          <w:bottom w:val="nil"/>
          <w:right w:val="nil"/>
          <w:between w:val="nil"/>
        </w:pBdr>
        <w:spacing w:line="360" w:lineRule="auto"/>
        <w:ind w:left="0" w:firstLine="0"/>
        <w:jc w:val="both"/>
        <w:rPr>
          <w:rFonts w:ascii="Palatino Linotype" w:eastAsia="Calibri" w:hAnsi="Palatino Linotype" w:cs="Arial"/>
          <w:i/>
          <w:color w:val="000000" w:themeColor="text1"/>
        </w:rPr>
      </w:pPr>
      <w:r w:rsidRPr="00305BA5">
        <w:rPr>
          <w:rFonts w:ascii="Palatino Linotype" w:eastAsia="Calibri" w:hAnsi="Palatino Linotype" w:cs="Arial"/>
          <w:color w:val="000000" w:themeColor="text1"/>
        </w:rPr>
        <w:t xml:space="preserve">De lo anterior, si bien es cierto, el Sujeto Obligado asumió contar con la información, también lo es que este </w:t>
      </w:r>
      <w:r w:rsidRPr="00305BA5">
        <w:rPr>
          <w:rFonts w:ascii="Palatino Linotype" w:eastAsia="Palatino Linotype" w:hAnsi="Palatino Linotype" w:cs="Palatino Linotype"/>
          <w:color w:val="000000" w:themeColor="text1"/>
        </w:rPr>
        <w:t>Instituto</w:t>
      </w:r>
      <w:r w:rsidRPr="00305BA5">
        <w:rPr>
          <w:rFonts w:ascii="Palatino Linotype" w:eastAsia="Calibri" w:hAnsi="Palatino Linotype" w:cs="Arial"/>
          <w:color w:val="000000" w:themeColor="text1"/>
        </w:rPr>
        <w:t xml:space="preserve"> debe garantizar el derecho de acceso a la información de los particulares, por lo que, tomando en consideración la información que fue solicitada, relativa </w:t>
      </w:r>
      <w:r w:rsidR="00F9606C" w:rsidRPr="00305BA5">
        <w:rPr>
          <w:rFonts w:ascii="Palatino Linotype" w:eastAsia="Calibri" w:hAnsi="Palatino Linotype" w:cs="Arial"/>
          <w:i/>
          <w:color w:val="000000" w:themeColor="text1"/>
        </w:rPr>
        <w:t>Contrato de cada uno de los grupos que se presentaron en septiembre 2022, 2023, y2024; y Comprobantes de gastos erogados en la expo feria de los años 2023 y 2024 y gastos de publicidad</w:t>
      </w:r>
      <w:r w:rsidRPr="00305BA5">
        <w:rPr>
          <w:rFonts w:ascii="Palatino Linotype" w:eastAsia="Calibri" w:hAnsi="Palatino Linotype" w:cs="Arial"/>
          <w:color w:val="000000" w:themeColor="text1"/>
        </w:rPr>
        <w:t xml:space="preserve">, y toda vez que del </w:t>
      </w:r>
      <w:r w:rsidR="00F9606C" w:rsidRPr="00305BA5">
        <w:rPr>
          <w:rFonts w:ascii="Palatino Linotype" w:eastAsia="Calibri" w:hAnsi="Palatino Linotype" w:cs="Arial"/>
          <w:color w:val="000000" w:themeColor="text1"/>
        </w:rPr>
        <w:t xml:space="preserve">contenido del </w:t>
      </w:r>
      <w:r w:rsidRPr="00305BA5">
        <w:rPr>
          <w:rFonts w:ascii="Palatino Linotype" w:eastAsia="Calibri" w:hAnsi="Palatino Linotype" w:cs="Arial"/>
          <w:color w:val="000000" w:themeColor="text1"/>
        </w:rPr>
        <w:t>acuerdo del comité de transparencia en el que se aprobó el cambio d</w:t>
      </w:r>
      <w:r w:rsidR="00F9606C" w:rsidRPr="00305BA5">
        <w:rPr>
          <w:rFonts w:ascii="Palatino Linotype" w:eastAsia="Calibri" w:hAnsi="Palatino Linotype" w:cs="Arial"/>
          <w:color w:val="000000" w:themeColor="text1"/>
        </w:rPr>
        <w:t>e modalidad a consulta directa</w:t>
      </w:r>
      <w:r w:rsidRPr="00305BA5">
        <w:rPr>
          <w:rFonts w:ascii="Palatino Linotype" w:eastAsia="Calibri" w:hAnsi="Palatino Linotype" w:cs="Arial"/>
          <w:color w:val="000000" w:themeColor="text1"/>
        </w:rPr>
        <w:t xml:space="preserve">, se determina que </w:t>
      </w:r>
      <w:r w:rsidR="00D84B6E" w:rsidRPr="00305BA5">
        <w:rPr>
          <w:rFonts w:ascii="Palatino Linotype" w:eastAsia="Calibri" w:hAnsi="Palatino Linotype" w:cs="Arial"/>
          <w:color w:val="000000" w:themeColor="text1"/>
        </w:rPr>
        <w:t xml:space="preserve">no fundó ni motivó </w:t>
      </w:r>
      <w:r w:rsidR="00E239BF" w:rsidRPr="00305BA5">
        <w:rPr>
          <w:rFonts w:ascii="Palatino Linotype" w:eastAsia="Calibri" w:hAnsi="Palatino Linotype" w:cs="Arial"/>
          <w:color w:val="000000" w:themeColor="text1"/>
        </w:rPr>
        <w:t xml:space="preserve">tal determinación, así como </w:t>
      </w:r>
      <w:r w:rsidRPr="00305BA5">
        <w:rPr>
          <w:rFonts w:ascii="Palatino Linotype" w:eastAsia="Calibri" w:hAnsi="Palatino Linotype" w:cs="Arial"/>
          <w:color w:val="000000" w:themeColor="text1"/>
        </w:rPr>
        <w:t>no existe una justificación que sustente la necesidad de realizar un cambio de modalidad, pues</w:t>
      </w:r>
      <w:r w:rsidRPr="00305BA5">
        <w:rPr>
          <w:rFonts w:ascii="Palatino Linotype" w:eastAsia="Palatino Linotype" w:hAnsi="Palatino Linotype" w:cs="Palatino Linotype"/>
          <w:color w:val="000000" w:themeColor="text1"/>
        </w:rPr>
        <w:t xml:space="preserve"> no se acreditó </w:t>
      </w:r>
      <w:r w:rsidR="008D0DE3" w:rsidRPr="00305BA5">
        <w:rPr>
          <w:rFonts w:ascii="Palatino Linotype" w:eastAsia="Palatino Linotype" w:hAnsi="Palatino Linotype" w:cs="Palatino Linotype"/>
          <w:color w:val="000000" w:themeColor="text1"/>
        </w:rPr>
        <w:t xml:space="preserve">la imposibilidad administrativa y humana, así como que la información sobrepase las capacidades técnicas del SAIMEX como pretendió </w:t>
      </w:r>
      <w:r w:rsidR="008D0DE3" w:rsidRPr="00305BA5">
        <w:rPr>
          <w:rFonts w:ascii="Palatino Linotype" w:eastAsia="Palatino Linotype" w:hAnsi="Palatino Linotype" w:cs="Palatino Linotype"/>
          <w:color w:val="000000" w:themeColor="text1"/>
        </w:rPr>
        <w:lastRenderedPageBreak/>
        <w:t>hacerlo el Sujeto Obligado</w:t>
      </w:r>
      <w:r w:rsidRPr="00305BA5">
        <w:rPr>
          <w:rFonts w:ascii="Palatino Linotype" w:eastAsia="Palatino Linotype" w:hAnsi="Palatino Linotype" w:cs="Palatino Linotype"/>
          <w:color w:val="000000" w:themeColor="text1"/>
        </w:rPr>
        <w:t xml:space="preserve">, en consecuencia </w:t>
      </w:r>
      <w:r w:rsidRPr="00305BA5">
        <w:rPr>
          <w:rFonts w:ascii="Palatino Linotype" w:eastAsia="Palatino Linotype" w:hAnsi="Palatino Linotype" w:cs="Palatino Linotype"/>
          <w:b/>
          <w:color w:val="000000" w:themeColor="text1"/>
        </w:rPr>
        <w:t>este Organismo considera</w:t>
      </w:r>
      <w:r w:rsidRPr="00305BA5">
        <w:rPr>
          <w:rFonts w:ascii="Palatino Linotype" w:eastAsia="Palatino Linotype" w:hAnsi="Palatino Linotype" w:cs="Palatino Linotype"/>
          <w:color w:val="000000" w:themeColor="text1"/>
        </w:rPr>
        <w:t xml:space="preserve"> </w:t>
      </w:r>
      <w:r w:rsidRPr="00305BA5">
        <w:rPr>
          <w:rFonts w:ascii="Palatino Linotype" w:eastAsia="Palatino Linotype" w:hAnsi="Palatino Linotype" w:cs="Palatino Linotype"/>
          <w:b/>
          <w:color w:val="000000" w:themeColor="text1"/>
        </w:rPr>
        <w:t>inviable el cambio de modalidad de entrega de información</w:t>
      </w:r>
      <w:r w:rsidRPr="00305BA5">
        <w:rPr>
          <w:rFonts w:ascii="Palatino Linotype" w:eastAsia="Palatino Linotype" w:hAnsi="Palatino Linotype" w:cs="Palatino Linotype"/>
          <w:color w:val="000000" w:themeColor="text1"/>
        </w:rPr>
        <w:t>.</w:t>
      </w:r>
    </w:p>
    <w:p w:rsidR="00670255" w:rsidRPr="00305BA5" w:rsidRDefault="00670255" w:rsidP="00305BA5">
      <w:pPr>
        <w:pStyle w:val="Prrafodelista"/>
        <w:tabs>
          <w:tab w:val="left" w:pos="0"/>
        </w:tabs>
        <w:spacing w:line="360" w:lineRule="auto"/>
        <w:ind w:left="0"/>
        <w:jc w:val="both"/>
        <w:rPr>
          <w:rFonts w:ascii="Palatino Linotype" w:hAnsi="Palatino Linotype"/>
          <w:b/>
          <w:color w:val="000000" w:themeColor="text1"/>
        </w:rPr>
      </w:pPr>
    </w:p>
    <w:p w:rsidR="00670255" w:rsidRPr="00305BA5" w:rsidRDefault="00670255" w:rsidP="00305BA5">
      <w:pPr>
        <w:numPr>
          <w:ilvl w:val="0"/>
          <w:numId w:val="6"/>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305BA5">
        <w:rPr>
          <w:rFonts w:ascii="Palatino Linotype" w:eastAsia="Palatino Linotype" w:hAnsi="Palatino Linotype" w:cs="Palatino Linotype"/>
          <w:color w:val="000000" w:themeColor="text1"/>
        </w:rPr>
        <w:t xml:space="preserve">Por lo </w:t>
      </w:r>
      <w:r w:rsidRPr="00305BA5">
        <w:rPr>
          <w:rFonts w:ascii="Palatino Linotype" w:eastAsia="Calibri" w:hAnsi="Palatino Linotype" w:cs="Arial"/>
          <w:color w:val="000000" w:themeColor="text1"/>
        </w:rPr>
        <w:t>anterior</w:t>
      </w:r>
      <w:r w:rsidRPr="00305BA5">
        <w:rPr>
          <w:rFonts w:ascii="Palatino Linotype" w:eastAsia="Palatino Linotype" w:hAnsi="Palatino Linotype" w:cs="Palatino Linotype"/>
          <w:color w:val="000000" w:themeColor="text1"/>
        </w:rPr>
        <w:t>, se advierte que el</w:t>
      </w:r>
      <w:r w:rsidRPr="00305BA5">
        <w:rPr>
          <w:rFonts w:ascii="Palatino Linotype" w:eastAsia="Palatino Linotype" w:hAnsi="Palatino Linotype" w:cs="Palatino Linotype"/>
          <w:b/>
          <w:color w:val="000000" w:themeColor="text1"/>
        </w:rPr>
        <w:t xml:space="preserve"> SUJETO OBLIGADO</w:t>
      </w:r>
      <w:r w:rsidRPr="00305BA5">
        <w:rPr>
          <w:rFonts w:ascii="Palatino Linotype" w:eastAsia="Palatino Linotype" w:hAnsi="Palatino Linotype" w:cs="Palatino Linotype"/>
          <w:color w:val="000000" w:themeColor="text1"/>
        </w:rPr>
        <w:t xml:space="preserve"> </w:t>
      </w:r>
      <w:r w:rsidRPr="00305BA5">
        <w:rPr>
          <w:rFonts w:ascii="Palatino Linotype" w:eastAsia="Palatino Linotype" w:hAnsi="Palatino Linotype" w:cs="Palatino Linotype"/>
          <w:b/>
          <w:color w:val="000000" w:themeColor="text1"/>
        </w:rPr>
        <w:t>no acreditó la imposibilidad</w:t>
      </w:r>
      <w:r w:rsidRPr="00305BA5">
        <w:rPr>
          <w:rFonts w:ascii="Palatino Linotype" w:eastAsia="Palatino Linotype" w:hAnsi="Palatino Linotype" w:cs="Palatino Linotype"/>
          <w:color w:val="000000" w:themeColor="text1"/>
        </w:rPr>
        <w:t xml:space="preserve">, establecida en el artículo 158 de la Ley de Transparencia y Acceso a la Información Pública del Estado de México y Municipios, </w:t>
      </w:r>
      <w:r w:rsidRPr="00305BA5">
        <w:rPr>
          <w:rFonts w:ascii="Palatino Linotype" w:eastAsia="Palatino Linotype" w:hAnsi="Palatino Linotype" w:cs="Palatino Linotype"/>
          <w:b/>
          <w:color w:val="000000" w:themeColor="text1"/>
        </w:rPr>
        <w:t>para validar el cambio de modalidad a Consulta Directa</w:t>
      </w:r>
      <w:r w:rsidRPr="00305BA5">
        <w:rPr>
          <w:rFonts w:ascii="Palatino Linotype" w:eastAsia="Palatino Linotype" w:hAnsi="Palatino Linotype" w:cs="Palatino Linotype"/>
          <w:color w:val="000000" w:themeColor="text1"/>
        </w:rPr>
        <w:t>.</w:t>
      </w:r>
    </w:p>
    <w:p w:rsidR="00670255" w:rsidRPr="00305BA5" w:rsidRDefault="00670255" w:rsidP="00305BA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670255" w:rsidRPr="00305BA5" w:rsidRDefault="00670255" w:rsidP="00305BA5">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 xml:space="preserve">Derivado de todo lo anteriormente señalado, este Organismo Garante encuentra conforme a derecho el </w:t>
      </w:r>
      <w:r w:rsidRPr="00305BA5">
        <w:rPr>
          <w:rFonts w:ascii="Palatino Linotype" w:eastAsia="Palatino Linotype" w:hAnsi="Palatino Linotype" w:cs="Palatino Linotype"/>
          <w:b/>
          <w:color w:val="000000" w:themeColor="text1"/>
        </w:rPr>
        <w:t>REVOCAR</w:t>
      </w:r>
      <w:r w:rsidRPr="00305BA5">
        <w:rPr>
          <w:rFonts w:ascii="Palatino Linotype" w:eastAsia="Palatino Linotype" w:hAnsi="Palatino Linotype" w:cs="Palatino Linotype"/>
          <w:color w:val="000000" w:themeColor="text1"/>
        </w:rPr>
        <w:t xml:space="preserve"> la respuesta y se </w:t>
      </w:r>
      <w:r w:rsidRPr="00305BA5">
        <w:rPr>
          <w:rFonts w:ascii="Palatino Linotype" w:eastAsia="Palatino Linotype" w:hAnsi="Palatino Linotype" w:cs="Palatino Linotype"/>
          <w:b/>
          <w:color w:val="000000" w:themeColor="text1"/>
        </w:rPr>
        <w:t xml:space="preserve">ORDENA </w:t>
      </w:r>
      <w:r w:rsidRPr="00305BA5">
        <w:rPr>
          <w:rFonts w:ascii="Palatino Linotype" w:eastAsia="Palatino Linotype" w:hAnsi="Palatino Linotype" w:cs="Palatino Linotype"/>
          <w:color w:val="000000" w:themeColor="text1"/>
        </w:rPr>
        <w:t xml:space="preserve">al </w:t>
      </w:r>
      <w:r w:rsidRPr="00305BA5">
        <w:rPr>
          <w:rFonts w:ascii="Palatino Linotype" w:eastAsia="Palatino Linotype" w:hAnsi="Palatino Linotype" w:cs="Palatino Linotype"/>
          <w:b/>
          <w:color w:val="000000" w:themeColor="text1"/>
        </w:rPr>
        <w:t>SUJETO OBLIGADO</w:t>
      </w:r>
      <w:r w:rsidRPr="00305BA5">
        <w:rPr>
          <w:rFonts w:ascii="Palatino Linotype" w:eastAsia="Palatino Linotype" w:hAnsi="Palatino Linotype" w:cs="Palatino Linotype"/>
          <w:color w:val="000000" w:themeColor="text1"/>
        </w:rPr>
        <w:t xml:space="preserve"> entregar la información solicitada a través del </w:t>
      </w:r>
      <w:r w:rsidRPr="00305BA5">
        <w:rPr>
          <w:rFonts w:ascii="Palatino Linotype" w:eastAsia="Calibri" w:hAnsi="Palatino Linotype" w:cs="Arial"/>
          <w:color w:val="000000" w:themeColor="text1"/>
          <w:lang w:val="es-ES"/>
        </w:rPr>
        <w:t>Sistema de Acceso a la Información Mexiquense</w:t>
      </w:r>
      <w:r w:rsidRPr="00305BA5">
        <w:rPr>
          <w:rFonts w:ascii="Palatino Linotype" w:eastAsia="Palatino Linotype" w:hAnsi="Palatino Linotype" w:cs="Palatino Linotype"/>
          <w:color w:val="000000" w:themeColor="text1"/>
        </w:rPr>
        <w:t xml:space="preserve"> SAIMEX.</w:t>
      </w:r>
    </w:p>
    <w:p w:rsidR="00670255" w:rsidRPr="00305BA5" w:rsidRDefault="00670255" w:rsidP="00305BA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highlight w:val="yellow"/>
        </w:rPr>
      </w:pPr>
    </w:p>
    <w:p w:rsidR="00670255" w:rsidRPr="00305BA5" w:rsidRDefault="00670255" w:rsidP="00305BA5">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 xml:space="preserve">Por otro lado, no pasa desapercibido para este Órgano Garante, que la información que se ordena entregar puede contener información susceptible de clasificarse; para lo cual, el </w:t>
      </w:r>
      <w:r w:rsidRPr="00305BA5">
        <w:rPr>
          <w:rFonts w:ascii="Palatino Linotype" w:eastAsia="Palatino Linotype" w:hAnsi="Palatino Linotype" w:cs="Palatino Linotype"/>
          <w:b/>
          <w:color w:val="000000" w:themeColor="text1"/>
        </w:rPr>
        <w:t>SUJETO OBLIGADO</w:t>
      </w:r>
      <w:r w:rsidRPr="00305BA5">
        <w:rPr>
          <w:rFonts w:ascii="Palatino Linotype" w:eastAsia="Palatino Linotype" w:hAnsi="Palatino Linotype" w:cs="Palatino Linotype"/>
          <w:color w:val="000000" w:themeColor="text1"/>
        </w:rPr>
        <w:t xml:space="preserve"> deberá atender al siguiente Considerando.</w:t>
      </w:r>
    </w:p>
    <w:p w:rsidR="00670255" w:rsidRPr="00305BA5" w:rsidRDefault="00670255" w:rsidP="00305BA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70255" w:rsidRPr="00305BA5" w:rsidRDefault="00670255" w:rsidP="00305BA5">
      <w:pPr>
        <w:keepNext/>
        <w:keepLines/>
        <w:spacing w:after="160" w:line="360" w:lineRule="auto"/>
        <w:rPr>
          <w:rFonts w:ascii="Palatino Linotype" w:eastAsia="Palatino Linotype" w:hAnsi="Palatino Linotype" w:cs="Palatino Linotype"/>
          <w:b/>
          <w:color w:val="000000" w:themeColor="text1"/>
        </w:rPr>
      </w:pPr>
      <w:r w:rsidRPr="00305BA5">
        <w:rPr>
          <w:rFonts w:ascii="Palatino Linotype" w:eastAsia="Palatino Linotype" w:hAnsi="Palatino Linotype" w:cs="Palatino Linotype"/>
          <w:b/>
          <w:color w:val="000000" w:themeColor="text1"/>
        </w:rPr>
        <w:t>QUINTO. De la versión pública.</w:t>
      </w:r>
    </w:p>
    <w:p w:rsidR="00670255" w:rsidRPr="00305BA5" w:rsidRDefault="00670255" w:rsidP="00305BA5">
      <w:pPr>
        <w:keepNext/>
        <w:keepLines/>
        <w:numPr>
          <w:ilvl w:val="0"/>
          <w:numId w:val="7"/>
        </w:numPr>
        <w:tabs>
          <w:tab w:val="left" w:pos="284"/>
        </w:tabs>
        <w:spacing w:after="160" w:line="360" w:lineRule="auto"/>
        <w:ind w:left="0" w:firstLine="0"/>
        <w:rPr>
          <w:rFonts w:ascii="Palatino Linotype" w:eastAsia="Palatino Linotype" w:hAnsi="Palatino Linotype" w:cs="Palatino Linotype"/>
          <w:b/>
          <w:color w:val="000000" w:themeColor="text1"/>
        </w:rPr>
      </w:pPr>
      <w:r w:rsidRPr="00305BA5">
        <w:rPr>
          <w:rFonts w:ascii="Palatino Linotype" w:eastAsia="Palatino Linotype" w:hAnsi="Palatino Linotype" w:cs="Palatino Linotype"/>
          <w:b/>
          <w:color w:val="000000" w:themeColor="text1"/>
        </w:rPr>
        <w:t xml:space="preserve">Nociones generales. </w:t>
      </w:r>
    </w:p>
    <w:p w:rsidR="00670255" w:rsidRPr="00305BA5" w:rsidRDefault="00670255"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Debe destacarse que, debido a la naturaleza de la información solicitada</w:t>
      </w:r>
      <w:r w:rsidRPr="00305BA5">
        <w:rPr>
          <w:rFonts w:ascii="Palatino Linotype" w:eastAsia="Palatino Linotype" w:hAnsi="Palatino Linotype" w:cs="Palatino Linotype"/>
          <w:b/>
          <w:color w:val="000000" w:themeColor="text1"/>
        </w:rPr>
        <w:t xml:space="preserve">, </w:t>
      </w:r>
      <w:r w:rsidRPr="00305BA5">
        <w:rPr>
          <w:rFonts w:ascii="Palatino Linotype" w:eastAsia="Palatino Linotype" w:hAnsi="Palatino Linotype" w:cs="Palatino Linotype"/>
          <w:color w:val="000000" w:themeColor="text1"/>
        </w:rPr>
        <w:t xml:space="preserve">eventualmente pudieran obrar datos personales susceptibles de protegerse, el </w:t>
      </w:r>
      <w:r w:rsidRPr="00305BA5">
        <w:rPr>
          <w:rFonts w:ascii="Palatino Linotype" w:eastAsia="Palatino Linotype" w:hAnsi="Palatino Linotype" w:cs="Palatino Linotype"/>
          <w:b/>
          <w:color w:val="000000" w:themeColor="text1"/>
        </w:rPr>
        <w:t xml:space="preserve">SUJETO OBLIGADO </w:t>
      </w:r>
      <w:r w:rsidRPr="00305BA5">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670255" w:rsidRPr="00305BA5" w:rsidRDefault="00670255" w:rsidP="00305BA5">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670255" w:rsidRPr="00305BA5" w:rsidRDefault="00670255"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lastRenderedPageBreak/>
        <w:t>No pasa desapercibido para este Órgano Garante que los Sujetos Obligados</w:t>
      </w:r>
      <w:r w:rsidRPr="00305BA5">
        <w:rPr>
          <w:rFonts w:ascii="Palatino Linotype" w:eastAsia="Palatino Linotype" w:hAnsi="Palatino Linotype" w:cs="Palatino Linotype"/>
          <w:b/>
          <w:color w:val="000000" w:themeColor="text1"/>
        </w:rPr>
        <w:t xml:space="preserve"> </w:t>
      </w:r>
      <w:r w:rsidRPr="00305BA5">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70255" w:rsidRPr="00305BA5" w:rsidRDefault="00670255" w:rsidP="00305BA5">
      <w:pPr>
        <w:tabs>
          <w:tab w:val="left" w:pos="284"/>
        </w:tabs>
        <w:spacing w:after="160" w:line="360" w:lineRule="auto"/>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AC2F95" w:rsidRPr="00305BA5" w:rsidTr="00A9441B">
        <w:tc>
          <w:tcPr>
            <w:tcW w:w="2689" w:type="dxa"/>
          </w:tcPr>
          <w:p w:rsidR="00670255" w:rsidRPr="00305BA5" w:rsidRDefault="00670255" w:rsidP="00305BA5">
            <w:pPr>
              <w:tabs>
                <w:tab w:val="left" w:pos="284"/>
              </w:tabs>
              <w:spacing w:line="360" w:lineRule="auto"/>
              <w:rPr>
                <w:rFonts w:ascii="Palatino Linotype" w:eastAsia="Palatino Linotype" w:hAnsi="Palatino Linotype" w:cs="Palatino Linotype"/>
                <w:b/>
                <w:color w:val="000000" w:themeColor="text1"/>
              </w:rPr>
            </w:pPr>
            <w:r w:rsidRPr="00305BA5">
              <w:rPr>
                <w:rFonts w:ascii="Palatino Linotype" w:eastAsia="Palatino Linotype" w:hAnsi="Palatino Linotype" w:cs="Palatino Linotype"/>
                <w:b/>
                <w:color w:val="000000" w:themeColor="text1"/>
              </w:rPr>
              <w:t>a) Requisitos previos.</w:t>
            </w:r>
          </w:p>
        </w:tc>
        <w:tc>
          <w:tcPr>
            <w:tcW w:w="6945" w:type="dxa"/>
          </w:tcPr>
          <w:p w:rsidR="00670255" w:rsidRPr="00305BA5" w:rsidRDefault="00670255" w:rsidP="00305BA5">
            <w:pPr>
              <w:tabs>
                <w:tab w:val="left" w:pos="284"/>
              </w:tabs>
              <w:spacing w:line="360" w:lineRule="auto"/>
              <w:jc w:val="both"/>
              <w:rPr>
                <w:rFonts w:ascii="Palatino Linotype" w:eastAsia="Palatino Linotype" w:hAnsi="Palatino Linotype" w:cs="Palatino Linotype"/>
                <w:b/>
                <w:color w:val="000000" w:themeColor="text1"/>
              </w:rPr>
            </w:pPr>
            <w:r w:rsidRPr="00305BA5">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670255" w:rsidRPr="00305BA5" w:rsidRDefault="00670255" w:rsidP="00305BA5">
            <w:pPr>
              <w:tabs>
                <w:tab w:val="left" w:pos="284"/>
              </w:tabs>
              <w:spacing w:line="360" w:lineRule="auto"/>
              <w:jc w:val="both"/>
              <w:rPr>
                <w:rFonts w:ascii="Palatino Linotype" w:eastAsia="Palatino Linotype" w:hAnsi="Palatino Linotype" w:cs="Palatino Linotype"/>
                <w:b/>
                <w:color w:val="000000" w:themeColor="text1"/>
              </w:rPr>
            </w:pPr>
            <w:r w:rsidRPr="00305BA5">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670255" w:rsidRPr="00305BA5" w:rsidRDefault="00670255" w:rsidP="00305BA5">
            <w:pPr>
              <w:tabs>
                <w:tab w:val="left" w:pos="284"/>
              </w:tabs>
              <w:spacing w:line="360" w:lineRule="auto"/>
              <w:jc w:val="both"/>
              <w:rPr>
                <w:rFonts w:ascii="Palatino Linotype" w:eastAsia="Palatino Linotype" w:hAnsi="Palatino Linotype" w:cs="Palatino Linotype"/>
                <w:b/>
                <w:color w:val="000000" w:themeColor="text1"/>
              </w:rPr>
            </w:pPr>
            <w:r w:rsidRPr="00305BA5">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670255" w:rsidRPr="00305BA5" w:rsidRDefault="00670255" w:rsidP="00305BA5">
            <w:pPr>
              <w:tabs>
                <w:tab w:val="left" w:pos="284"/>
              </w:tabs>
              <w:spacing w:line="360" w:lineRule="auto"/>
              <w:jc w:val="both"/>
              <w:rPr>
                <w:rFonts w:ascii="Palatino Linotype" w:eastAsia="Palatino Linotype" w:hAnsi="Palatino Linotype" w:cs="Palatino Linotype"/>
                <w:b/>
                <w:color w:val="000000" w:themeColor="text1"/>
              </w:rPr>
            </w:pPr>
            <w:r w:rsidRPr="00305BA5">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305BA5">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305BA5">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w:t>
            </w:r>
            <w:r w:rsidRPr="00305BA5">
              <w:rPr>
                <w:rFonts w:ascii="Palatino Linotype" w:eastAsia="Palatino Linotype" w:hAnsi="Palatino Linotype" w:cs="Palatino Linotype"/>
                <w:b/>
                <w:color w:val="000000" w:themeColor="text1"/>
              </w:rPr>
              <w:lastRenderedPageBreak/>
              <w:t>documento con diez datos, por ejemplo, susceptibles de ser clasificados.</w:t>
            </w:r>
          </w:p>
        </w:tc>
      </w:tr>
      <w:tr w:rsidR="00AC2F95" w:rsidRPr="00305BA5" w:rsidTr="00A9441B">
        <w:tc>
          <w:tcPr>
            <w:tcW w:w="2689" w:type="dxa"/>
          </w:tcPr>
          <w:p w:rsidR="00670255" w:rsidRPr="00305BA5" w:rsidRDefault="00670255" w:rsidP="00305BA5">
            <w:pPr>
              <w:tabs>
                <w:tab w:val="left" w:pos="284"/>
              </w:tabs>
              <w:spacing w:line="360" w:lineRule="auto"/>
              <w:rPr>
                <w:rFonts w:ascii="Palatino Linotype" w:eastAsia="Palatino Linotype" w:hAnsi="Palatino Linotype" w:cs="Palatino Linotype"/>
                <w:b/>
                <w:color w:val="000000" w:themeColor="text1"/>
              </w:rPr>
            </w:pPr>
            <w:r w:rsidRPr="00305BA5">
              <w:rPr>
                <w:rFonts w:ascii="Palatino Linotype" w:eastAsia="Palatino Linotype" w:hAnsi="Palatino Linotype" w:cs="Palatino Linotype"/>
                <w:b/>
                <w:color w:val="000000" w:themeColor="text1"/>
              </w:rPr>
              <w:lastRenderedPageBreak/>
              <w:t>b) Supuestos de clasificación.</w:t>
            </w:r>
          </w:p>
        </w:tc>
        <w:tc>
          <w:tcPr>
            <w:tcW w:w="6945" w:type="dxa"/>
          </w:tcPr>
          <w:p w:rsidR="00670255" w:rsidRPr="00305BA5" w:rsidRDefault="00670255" w:rsidP="00305BA5">
            <w:pPr>
              <w:tabs>
                <w:tab w:val="left" w:pos="284"/>
              </w:tabs>
              <w:spacing w:line="360" w:lineRule="auto"/>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670255" w:rsidRPr="00305BA5" w:rsidRDefault="00670255" w:rsidP="00305BA5">
            <w:pPr>
              <w:tabs>
                <w:tab w:val="left" w:pos="284"/>
              </w:tabs>
              <w:spacing w:line="360" w:lineRule="auto"/>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70255" w:rsidRPr="00305BA5" w:rsidRDefault="00670255" w:rsidP="00305BA5">
            <w:pPr>
              <w:tabs>
                <w:tab w:val="left" w:pos="284"/>
              </w:tabs>
              <w:spacing w:line="360" w:lineRule="auto"/>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El </w:t>
            </w:r>
            <w:r w:rsidRPr="00305BA5">
              <w:rPr>
                <w:rFonts w:ascii="Palatino Linotype" w:eastAsia="Palatino Linotype" w:hAnsi="Palatino Linotype" w:cs="Palatino Linotype"/>
                <w:b/>
                <w:color w:val="000000" w:themeColor="text1"/>
              </w:rPr>
              <w:t>Sujeto Obligado</w:t>
            </w:r>
            <w:r w:rsidRPr="00305BA5">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C2F95" w:rsidRPr="00305BA5" w:rsidTr="00A9441B">
        <w:tc>
          <w:tcPr>
            <w:tcW w:w="2689" w:type="dxa"/>
          </w:tcPr>
          <w:p w:rsidR="00670255" w:rsidRPr="00305BA5" w:rsidRDefault="00670255" w:rsidP="00305BA5">
            <w:pPr>
              <w:tabs>
                <w:tab w:val="left" w:pos="284"/>
              </w:tabs>
              <w:spacing w:line="360" w:lineRule="auto"/>
              <w:rPr>
                <w:rFonts w:ascii="Palatino Linotype" w:eastAsia="Palatino Linotype" w:hAnsi="Palatino Linotype" w:cs="Palatino Linotype"/>
                <w:b/>
                <w:color w:val="000000" w:themeColor="text1"/>
              </w:rPr>
            </w:pPr>
            <w:r w:rsidRPr="00305BA5">
              <w:rPr>
                <w:rFonts w:ascii="Palatino Linotype" w:eastAsia="Palatino Linotype" w:hAnsi="Palatino Linotype" w:cs="Palatino Linotype"/>
                <w:b/>
                <w:color w:val="000000" w:themeColor="text1"/>
              </w:rPr>
              <w:lastRenderedPageBreak/>
              <w:t>c) Formalidades para emitir el acuerdo de clasificación.</w:t>
            </w:r>
          </w:p>
        </w:tc>
        <w:tc>
          <w:tcPr>
            <w:tcW w:w="6945" w:type="dxa"/>
          </w:tcPr>
          <w:p w:rsidR="00670255" w:rsidRPr="00305BA5" w:rsidRDefault="00670255" w:rsidP="00305BA5">
            <w:pPr>
              <w:tabs>
                <w:tab w:val="left" w:pos="284"/>
              </w:tabs>
              <w:spacing w:line="360" w:lineRule="auto"/>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670255" w:rsidRPr="00305BA5" w:rsidRDefault="00670255" w:rsidP="00305BA5">
            <w:pPr>
              <w:tabs>
                <w:tab w:val="left" w:pos="284"/>
              </w:tabs>
              <w:spacing w:line="360" w:lineRule="auto"/>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Es necesario que </w:t>
            </w:r>
            <w:r w:rsidRPr="00305BA5">
              <w:rPr>
                <w:rFonts w:ascii="Palatino Linotype" w:eastAsia="Palatino Linotype" w:hAnsi="Palatino Linotype" w:cs="Palatino Linotype"/>
                <w:b/>
                <w:color w:val="000000" w:themeColor="text1"/>
                <w:u w:val="single"/>
              </w:rPr>
              <w:t>el acto reúna con los requisitos elementales</w:t>
            </w:r>
            <w:r w:rsidRPr="00305BA5">
              <w:rPr>
                <w:rFonts w:ascii="Palatino Linotype" w:eastAsia="Palatino Linotype" w:hAnsi="Palatino Linotype" w:cs="Palatino Linotype"/>
                <w:color w:val="000000" w:themeColor="text1"/>
              </w:rPr>
              <w:t>, entre ellos, que la autoridad que va a emitir el acto de autoridad sea la legalmente facultada para ello.</w:t>
            </w:r>
          </w:p>
          <w:p w:rsidR="00670255" w:rsidRPr="00305BA5" w:rsidRDefault="00670255" w:rsidP="00305BA5">
            <w:pPr>
              <w:tabs>
                <w:tab w:val="left" w:pos="284"/>
              </w:tabs>
              <w:spacing w:line="360" w:lineRule="auto"/>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C2F95" w:rsidRPr="00305BA5" w:rsidTr="00A9441B">
        <w:tc>
          <w:tcPr>
            <w:tcW w:w="2689" w:type="dxa"/>
          </w:tcPr>
          <w:p w:rsidR="00670255" w:rsidRPr="00305BA5" w:rsidRDefault="00670255" w:rsidP="00305BA5">
            <w:pPr>
              <w:tabs>
                <w:tab w:val="left" w:pos="284"/>
              </w:tabs>
              <w:spacing w:line="360" w:lineRule="auto"/>
              <w:rPr>
                <w:rFonts w:ascii="Palatino Linotype" w:eastAsia="Palatino Linotype" w:hAnsi="Palatino Linotype" w:cs="Palatino Linotype"/>
                <w:b/>
                <w:color w:val="000000" w:themeColor="text1"/>
              </w:rPr>
            </w:pPr>
          </w:p>
          <w:p w:rsidR="00670255" w:rsidRPr="00305BA5" w:rsidRDefault="00670255" w:rsidP="00305BA5">
            <w:pPr>
              <w:tabs>
                <w:tab w:val="left" w:pos="284"/>
              </w:tabs>
              <w:spacing w:line="360" w:lineRule="auto"/>
              <w:jc w:val="both"/>
              <w:rPr>
                <w:rFonts w:ascii="Palatino Linotype" w:eastAsia="Palatino Linotype" w:hAnsi="Palatino Linotype" w:cs="Palatino Linotype"/>
                <w:b/>
                <w:color w:val="000000" w:themeColor="text1"/>
              </w:rPr>
            </w:pPr>
            <w:r w:rsidRPr="00305BA5">
              <w:rPr>
                <w:rFonts w:ascii="Palatino Linotype" w:eastAsia="Palatino Linotype" w:hAnsi="Palatino Linotype" w:cs="Palatino Linotype"/>
                <w:b/>
                <w:color w:val="000000" w:themeColor="text1"/>
              </w:rPr>
              <w:t xml:space="preserve">d) Requisitos de fondo del acuerdo de clasificación. </w:t>
            </w:r>
          </w:p>
        </w:tc>
        <w:tc>
          <w:tcPr>
            <w:tcW w:w="6945" w:type="dxa"/>
          </w:tcPr>
          <w:p w:rsidR="00670255" w:rsidRPr="00305BA5" w:rsidRDefault="00670255" w:rsidP="00305BA5">
            <w:pPr>
              <w:tabs>
                <w:tab w:val="left" w:pos="284"/>
              </w:tabs>
              <w:spacing w:line="360" w:lineRule="auto"/>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05BA5">
              <w:rPr>
                <w:rFonts w:ascii="Palatino Linotype" w:eastAsia="Palatino Linotype" w:hAnsi="Palatino Linotype" w:cs="Palatino Linotype"/>
                <w:b/>
                <w:color w:val="000000" w:themeColor="text1"/>
              </w:rPr>
              <w:t>Sujetos Obligados</w:t>
            </w:r>
            <w:r w:rsidRPr="00305BA5">
              <w:rPr>
                <w:rFonts w:ascii="Palatino Linotype" w:eastAsia="Palatino Linotype" w:hAnsi="Palatino Linotype" w:cs="Palatino Linotype"/>
                <w:color w:val="000000" w:themeColor="text1"/>
              </w:rPr>
              <w:t xml:space="preserve">, por lo que deberán fundar y motivar debidamente la clasificación. </w:t>
            </w:r>
          </w:p>
          <w:p w:rsidR="00670255" w:rsidRPr="00305BA5" w:rsidRDefault="00670255" w:rsidP="00305BA5">
            <w:pPr>
              <w:tabs>
                <w:tab w:val="left" w:pos="284"/>
              </w:tabs>
              <w:spacing w:line="360" w:lineRule="auto"/>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lastRenderedPageBreak/>
              <w:t xml:space="preserve">De lo anterior, se desprende que para una correcta </w:t>
            </w:r>
            <w:r w:rsidRPr="00305BA5">
              <w:rPr>
                <w:rFonts w:ascii="Palatino Linotype" w:eastAsia="Palatino Linotype" w:hAnsi="Palatino Linotype" w:cs="Palatino Linotype"/>
                <w:b/>
                <w:color w:val="000000" w:themeColor="text1"/>
              </w:rPr>
              <w:t>clasificación total o parcial</w:t>
            </w:r>
            <w:r w:rsidRPr="00305BA5">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70255" w:rsidRPr="00305BA5" w:rsidRDefault="00670255" w:rsidP="00305BA5">
            <w:pPr>
              <w:tabs>
                <w:tab w:val="left" w:pos="284"/>
              </w:tabs>
              <w:spacing w:line="360" w:lineRule="auto"/>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70255" w:rsidRPr="00305BA5" w:rsidRDefault="00670255" w:rsidP="00305BA5">
            <w:pPr>
              <w:tabs>
                <w:tab w:val="left" w:pos="284"/>
              </w:tabs>
              <w:spacing w:line="360" w:lineRule="auto"/>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670255" w:rsidRPr="00305BA5" w:rsidRDefault="00670255" w:rsidP="00305BA5">
            <w:pPr>
              <w:tabs>
                <w:tab w:val="left" w:pos="284"/>
              </w:tabs>
              <w:spacing w:line="360" w:lineRule="auto"/>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Ahora bien, </w:t>
            </w:r>
            <w:r w:rsidRPr="00305BA5">
              <w:rPr>
                <w:rFonts w:ascii="Palatino Linotype" w:eastAsia="Palatino Linotype" w:hAnsi="Palatino Linotype" w:cs="Palatino Linotype"/>
                <w:b/>
                <w:color w:val="000000" w:themeColor="text1"/>
                <w:u w:val="single"/>
              </w:rPr>
              <w:t>para cada caso además de fundar y motivar</w:t>
            </w:r>
            <w:r w:rsidRPr="00305BA5">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305BA5">
              <w:rPr>
                <w:rFonts w:ascii="Palatino Linotype" w:eastAsia="Palatino Linotype" w:hAnsi="Palatino Linotype" w:cs="Palatino Linotype"/>
                <w:color w:val="000000" w:themeColor="text1"/>
              </w:rPr>
              <w:lastRenderedPageBreak/>
              <w:t>comercial, fiscal, bursátil y postal, cuya titularidad corresponda a particulares, entre otros.</w:t>
            </w:r>
          </w:p>
        </w:tc>
      </w:tr>
      <w:tr w:rsidR="00670255" w:rsidRPr="00305BA5" w:rsidTr="00A9441B">
        <w:tc>
          <w:tcPr>
            <w:tcW w:w="2689" w:type="dxa"/>
          </w:tcPr>
          <w:p w:rsidR="00670255" w:rsidRPr="00305BA5" w:rsidRDefault="00670255" w:rsidP="00305BA5">
            <w:pPr>
              <w:tabs>
                <w:tab w:val="left" w:pos="284"/>
              </w:tabs>
              <w:spacing w:line="360" w:lineRule="auto"/>
              <w:jc w:val="both"/>
              <w:rPr>
                <w:rFonts w:ascii="Palatino Linotype" w:eastAsia="Palatino Linotype" w:hAnsi="Palatino Linotype" w:cs="Palatino Linotype"/>
                <w:b/>
                <w:color w:val="000000" w:themeColor="text1"/>
              </w:rPr>
            </w:pPr>
            <w:r w:rsidRPr="00305BA5">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945" w:type="dxa"/>
          </w:tcPr>
          <w:p w:rsidR="00670255" w:rsidRPr="00305BA5" w:rsidRDefault="00670255" w:rsidP="00305BA5">
            <w:pPr>
              <w:tabs>
                <w:tab w:val="left" w:pos="284"/>
              </w:tabs>
              <w:spacing w:line="360" w:lineRule="auto"/>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670255" w:rsidRPr="00305BA5" w:rsidRDefault="00670255" w:rsidP="00305BA5">
            <w:pPr>
              <w:tabs>
                <w:tab w:val="left" w:pos="284"/>
              </w:tabs>
              <w:spacing w:line="360" w:lineRule="auto"/>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70255" w:rsidRPr="00305BA5" w:rsidRDefault="00670255" w:rsidP="00305BA5">
            <w:pPr>
              <w:tabs>
                <w:tab w:val="left" w:pos="284"/>
              </w:tabs>
              <w:spacing w:line="360" w:lineRule="auto"/>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70255" w:rsidRPr="00305BA5" w:rsidRDefault="00670255" w:rsidP="00305BA5">
      <w:pPr>
        <w:tabs>
          <w:tab w:val="left" w:pos="284"/>
        </w:tabs>
        <w:spacing w:line="360" w:lineRule="auto"/>
        <w:rPr>
          <w:rFonts w:ascii="Palatino Linotype" w:eastAsia="Palatino Linotype" w:hAnsi="Palatino Linotype" w:cs="Palatino Linotype"/>
          <w:color w:val="000000" w:themeColor="text1"/>
        </w:rPr>
      </w:pPr>
    </w:p>
    <w:p w:rsidR="00670255" w:rsidRPr="00305BA5" w:rsidRDefault="00670255" w:rsidP="00305BA5">
      <w:pPr>
        <w:rPr>
          <w:rFonts w:ascii="Palatino Linotype" w:eastAsia="Palatino Linotype" w:hAnsi="Palatino Linotype" w:cs="Palatino Linotype"/>
          <w:color w:val="000000" w:themeColor="text1"/>
        </w:rPr>
      </w:pPr>
    </w:p>
    <w:p w:rsidR="00670255" w:rsidRPr="00305BA5" w:rsidRDefault="00670255" w:rsidP="00305BA5">
      <w:pPr>
        <w:numPr>
          <w:ilvl w:val="0"/>
          <w:numId w:val="6"/>
        </w:numPr>
        <w:spacing w:line="360" w:lineRule="auto"/>
        <w:ind w:left="0" w:firstLine="0"/>
        <w:jc w:val="both"/>
        <w:rPr>
          <w:rFonts w:ascii="Palatino Linotype" w:hAnsi="Palatino Linotype" w:cs="Tahoma"/>
          <w:bCs/>
          <w:iCs/>
          <w:color w:val="000000" w:themeColor="text1"/>
        </w:rPr>
      </w:pPr>
      <w:r w:rsidRPr="00305BA5">
        <w:rPr>
          <w:rFonts w:ascii="Palatino Linotype" w:hAnsi="Palatino Linotype" w:cs="Tahoma"/>
          <w:bCs/>
          <w:iCs/>
          <w:color w:val="000000" w:themeColor="text1"/>
        </w:rPr>
        <w:t xml:space="preserve">Dada la </w:t>
      </w:r>
      <w:r w:rsidRPr="00305BA5">
        <w:rPr>
          <w:rFonts w:ascii="Palatino Linotype" w:eastAsia="Palatino Linotype" w:hAnsi="Palatino Linotype" w:cs="Palatino Linotype"/>
          <w:color w:val="000000" w:themeColor="text1"/>
        </w:rPr>
        <w:t>complejidad</w:t>
      </w:r>
      <w:r w:rsidRPr="00305BA5">
        <w:rPr>
          <w:rFonts w:ascii="Palatino Linotype" w:hAnsi="Palatino Linotype" w:cs="Tahoma"/>
          <w:bCs/>
          <w:iCs/>
          <w:color w:val="000000" w:themeColor="text1"/>
        </w:rPr>
        <w:t xml:space="preserve">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w:t>
      </w:r>
      <w:r w:rsidRPr="00305BA5">
        <w:rPr>
          <w:rFonts w:ascii="Palatino Linotype" w:hAnsi="Palatino Linotype" w:cs="Tahoma"/>
          <w:bCs/>
          <w:iCs/>
          <w:color w:val="000000" w:themeColor="text1"/>
        </w:rPr>
        <w:lastRenderedPageBreak/>
        <w:t>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670255" w:rsidRPr="00305BA5" w:rsidRDefault="00670255" w:rsidP="00305BA5">
      <w:pPr>
        <w:spacing w:line="360" w:lineRule="auto"/>
        <w:jc w:val="both"/>
        <w:rPr>
          <w:rFonts w:ascii="Palatino Linotype" w:hAnsi="Palatino Linotype" w:cs="Tahoma"/>
          <w:bCs/>
          <w:iCs/>
          <w:color w:val="000000" w:themeColor="text1"/>
        </w:rPr>
      </w:pPr>
    </w:p>
    <w:p w:rsidR="00670255" w:rsidRPr="00305BA5" w:rsidRDefault="00670255" w:rsidP="00305BA5">
      <w:pPr>
        <w:numPr>
          <w:ilvl w:val="0"/>
          <w:numId w:val="6"/>
        </w:numPr>
        <w:spacing w:line="360" w:lineRule="auto"/>
        <w:ind w:left="0" w:firstLine="0"/>
        <w:jc w:val="both"/>
        <w:rPr>
          <w:rFonts w:ascii="Palatino Linotype" w:hAnsi="Palatino Linotype" w:cs="Tahoma"/>
          <w:bCs/>
          <w:iCs/>
          <w:color w:val="000000" w:themeColor="text1"/>
        </w:rPr>
      </w:pPr>
      <w:r w:rsidRPr="00305BA5">
        <w:rPr>
          <w:rFonts w:ascii="Palatino Linotype" w:hAnsi="Palatino Linotype" w:cs="Tahoma"/>
          <w:bCs/>
          <w:iCs/>
          <w:color w:val="000000" w:themeColor="text1"/>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670255" w:rsidRPr="00305BA5" w:rsidRDefault="00670255" w:rsidP="00305BA5">
      <w:pPr>
        <w:spacing w:line="360" w:lineRule="auto"/>
        <w:jc w:val="both"/>
        <w:rPr>
          <w:rFonts w:ascii="Palatino Linotype" w:hAnsi="Palatino Linotype" w:cs="Tahoma"/>
          <w:bCs/>
          <w:iCs/>
          <w:color w:val="000000" w:themeColor="text1"/>
        </w:rPr>
      </w:pPr>
    </w:p>
    <w:p w:rsidR="00670255" w:rsidRPr="00305BA5" w:rsidRDefault="00670255" w:rsidP="00305BA5">
      <w:pPr>
        <w:numPr>
          <w:ilvl w:val="0"/>
          <w:numId w:val="6"/>
        </w:numPr>
        <w:spacing w:line="360" w:lineRule="auto"/>
        <w:ind w:left="0" w:firstLine="0"/>
        <w:jc w:val="both"/>
        <w:rPr>
          <w:rFonts w:ascii="Palatino Linotype" w:hAnsi="Palatino Linotype" w:cs="Tahoma"/>
          <w:bCs/>
          <w:iCs/>
          <w:color w:val="000000" w:themeColor="text1"/>
        </w:rPr>
      </w:pPr>
      <w:r w:rsidRPr="00305BA5">
        <w:rPr>
          <w:rFonts w:ascii="Palatino Linotype" w:hAnsi="Palatino Linotype" w:cs="Tahoma"/>
          <w:bCs/>
          <w:iCs/>
          <w:color w:val="000000" w:themeColor="text1"/>
        </w:rPr>
        <w:t>Bajo este esquema, se aprecia que la información ordenada, puede contener información susceptible a clasificar como confidencial y otra que resulta publica; a fin de aportar mayores elementos para la correcta elaboración de las versiones públicas; de forma enunciativa más no limitativa; se analizan el Registro Federal de Contribuyentes (RFC) y la Clave Única de Registro de Población (CURP), el nombre de representante legal de una persona jurídico colectiva; entre otros, ya que son datos que obran en los documentos solicitados</w:t>
      </w:r>
      <w:r w:rsidRPr="00305BA5">
        <w:rPr>
          <w:rFonts w:ascii="Palatino Linotype" w:eastAsia="Calibri" w:hAnsi="Palatino Linotype" w:cs="Tahoma"/>
          <w:bCs/>
          <w:color w:val="000000" w:themeColor="text1"/>
          <w:lang w:eastAsia="en-US"/>
        </w:rPr>
        <w:t>.</w:t>
      </w:r>
    </w:p>
    <w:p w:rsidR="00670255" w:rsidRDefault="00670255" w:rsidP="00305BA5">
      <w:pPr>
        <w:jc w:val="both"/>
        <w:rPr>
          <w:rFonts w:ascii="Palatino Linotype" w:hAnsi="Palatino Linotype" w:cs="Tahoma"/>
          <w:b/>
          <w:color w:val="000000" w:themeColor="text1"/>
        </w:rPr>
      </w:pPr>
    </w:p>
    <w:p w:rsidR="00A9441B" w:rsidRDefault="00A9441B" w:rsidP="00305BA5">
      <w:pPr>
        <w:jc w:val="both"/>
        <w:rPr>
          <w:rFonts w:ascii="Palatino Linotype" w:hAnsi="Palatino Linotype" w:cs="Tahoma"/>
          <w:b/>
          <w:color w:val="000000" w:themeColor="text1"/>
        </w:rPr>
      </w:pPr>
    </w:p>
    <w:p w:rsidR="00A9441B" w:rsidRDefault="00A9441B" w:rsidP="00305BA5">
      <w:pPr>
        <w:jc w:val="both"/>
        <w:rPr>
          <w:rFonts w:ascii="Palatino Linotype" w:hAnsi="Palatino Linotype" w:cs="Tahoma"/>
          <w:b/>
          <w:color w:val="000000" w:themeColor="text1"/>
        </w:rPr>
      </w:pPr>
    </w:p>
    <w:p w:rsidR="00A9441B" w:rsidRDefault="00A9441B" w:rsidP="00305BA5">
      <w:pPr>
        <w:jc w:val="both"/>
        <w:rPr>
          <w:rFonts w:ascii="Palatino Linotype" w:hAnsi="Palatino Linotype" w:cs="Tahoma"/>
          <w:b/>
          <w:color w:val="000000" w:themeColor="text1"/>
        </w:rPr>
      </w:pPr>
    </w:p>
    <w:p w:rsidR="00A9441B" w:rsidRPr="00305BA5" w:rsidRDefault="00A9441B" w:rsidP="00305BA5">
      <w:pPr>
        <w:jc w:val="both"/>
        <w:rPr>
          <w:rFonts w:ascii="Palatino Linotype" w:hAnsi="Palatino Linotype" w:cs="Tahoma"/>
          <w:b/>
          <w:color w:val="000000" w:themeColor="text1"/>
        </w:rPr>
      </w:pPr>
    </w:p>
    <w:p w:rsidR="00670255" w:rsidRPr="00305BA5" w:rsidRDefault="00670255" w:rsidP="00305BA5">
      <w:pPr>
        <w:numPr>
          <w:ilvl w:val="0"/>
          <w:numId w:val="33"/>
        </w:numPr>
        <w:spacing w:line="360" w:lineRule="auto"/>
        <w:ind w:left="0" w:firstLine="0"/>
        <w:jc w:val="both"/>
        <w:rPr>
          <w:rFonts w:ascii="Palatino Linotype" w:eastAsia="Calibri" w:hAnsi="Palatino Linotype" w:cs="Tahoma"/>
          <w:bCs/>
          <w:color w:val="000000" w:themeColor="text1"/>
          <w:lang w:val="es-ES" w:eastAsia="en-US"/>
        </w:rPr>
      </w:pPr>
      <w:r w:rsidRPr="00305BA5">
        <w:rPr>
          <w:rFonts w:ascii="Palatino Linotype" w:eastAsia="Calibri" w:hAnsi="Palatino Linotype" w:cs="Tahoma"/>
          <w:b/>
          <w:bCs/>
          <w:color w:val="000000" w:themeColor="text1"/>
          <w:lang w:eastAsia="en-US"/>
        </w:rPr>
        <w:lastRenderedPageBreak/>
        <w:t>Registro Federal de Contribuyentes (RFC)</w:t>
      </w:r>
    </w:p>
    <w:p w:rsidR="00670255" w:rsidRPr="00305BA5" w:rsidRDefault="00670255" w:rsidP="00305BA5">
      <w:pPr>
        <w:spacing w:line="360" w:lineRule="auto"/>
        <w:jc w:val="both"/>
        <w:rPr>
          <w:rFonts w:ascii="Palatino Linotype" w:eastAsia="Calibri" w:hAnsi="Palatino Linotype" w:cs="Tahoma"/>
          <w:b/>
          <w:bCs/>
          <w:color w:val="000000" w:themeColor="text1"/>
          <w:lang w:eastAsia="en-US"/>
        </w:rPr>
      </w:pPr>
      <w:r w:rsidRPr="00305BA5">
        <w:rPr>
          <w:rFonts w:ascii="Palatino Linotype" w:eastAsia="Calibri" w:hAnsi="Palatino Linotype" w:cs="Tahoma"/>
          <w:b/>
          <w:bCs/>
          <w:color w:val="000000" w:themeColor="text1"/>
          <w:lang w:eastAsia="en-US"/>
        </w:rPr>
        <w:t>Persona física.</w:t>
      </w:r>
    </w:p>
    <w:p w:rsidR="00670255" w:rsidRPr="00305BA5" w:rsidRDefault="00670255" w:rsidP="00305BA5">
      <w:pPr>
        <w:numPr>
          <w:ilvl w:val="0"/>
          <w:numId w:val="6"/>
        </w:numPr>
        <w:spacing w:line="360" w:lineRule="auto"/>
        <w:ind w:left="0" w:firstLine="0"/>
        <w:jc w:val="both"/>
        <w:rPr>
          <w:rFonts w:ascii="Palatino Linotype" w:hAnsi="Palatino Linotype" w:cs="Tahoma"/>
          <w:color w:val="000000" w:themeColor="text1"/>
          <w:lang w:eastAsia="es-MX"/>
        </w:rPr>
      </w:pPr>
      <w:r w:rsidRPr="00305BA5">
        <w:rPr>
          <w:rFonts w:ascii="Palatino Linotype" w:hAnsi="Palatino Linotype" w:cs="Tahoma"/>
          <w:color w:val="000000" w:themeColor="text1"/>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670255" w:rsidRPr="00305BA5" w:rsidRDefault="00670255" w:rsidP="00305BA5">
      <w:pPr>
        <w:jc w:val="both"/>
        <w:rPr>
          <w:rFonts w:ascii="Palatino Linotype" w:hAnsi="Palatino Linotype" w:cs="Tahoma"/>
          <w:color w:val="000000" w:themeColor="text1"/>
          <w:lang w:eastAsia="es-MX"/>
        </w:rPr>
      </w:pPr>
    </w:p>
    <w:p w:rsidR="00670255" w:rsidRPr="00305BA5" w:rsidRDefault="00670255" w:rsidP="00305BA5">
      <w:pPr>
        <w:numPr>
          <w:ilvl w:val="0"/>
          <w:numId w:val="6"/>
        </w:numPr>
        <w:spacing w:line="360" w:lineRule="auto"/>
        <w:ind w:left="0" w:firstLine="0"/>
        <w:jc w:val="both"/>
        <w:rPr>
          <w:rFonts w:ascii="Palatino Linotype" w:hAnsi="Palatino Linotype" w:cs="Tahoma"/>
          <w:color w:val="000000" w:themeColor="text1"/>
          <w:lang w:eastAsia="es-MX"/>
        </w:rPr>
      </w:pPr>
      <w:r w:rsidRPr="00305BA5">
        <w:rPr>
          <w:rFonts w:ascii="Palatino Linotype" w:hAnsi="Palatino Linotype" w:cs="Tahoma"/>
          <w:color w:val="000000" w:themeColor="text1"/>
          <w:lang w:eastAsia="es-MX"/>
        </w:rPr>
        <w:t>De acuerdo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00670255" w:rsidRPr="00305BA5" w:rsidRDefault="00670255" w:rsidP="00305BA5">
      <w:pPr>
        <w:jc w:val="both"/>
        <w:rPr>
          <w:rFonts w:ascii="Palatino Linotype" w:hAnsi="Palatino Linotype" w:cs="Tahoma"/>
          <w:color w:val="000000" w:themeColor="text1"/>
          <w:lang w:eastAsia="es-MX"/>
        </w:rPr>
      </w:pPr>
    </w:p>
    <w:p w:rsidR="00670255" w:rsidRPr="00305BA5" w:rsidRDefault="00670255" w:rsidP="00305BA5">
      <w:pPr>
        <w:numPr>
          <w:ilvl w:val="0"/>
          <w:numId w:val="6"/>
        </w:numPr>
        <w:spacing w:line="360" w:lineRule="auto"/>
        <w:ind w:left="0" w:firstLine="0"/>
        <w:jc w:val="both"/>
        <w:rPr>
          <w:rFonts w:ascii="Palatino Linotype" w:hAnsi="Palatino Linotype" w:cs="Tahoma"/>
          <w:color w:val="000000" w:themeColor="text1"/>
          <w:lang w:eastAsia="es-MX"/>
        </w:rPr>
      </w:pPr>
      <w:r w:rsidRPr="00305BA5">
        <w:rPr>
          <w:rFonts w:ascii="Palatino Linotype" w:hAnsi="Palatino Linotype" w:cs="Tahoma"/>
          <w:color w:val="000000" w:themeColor="text1"/>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670255" w:rsidRPr="00305BA5" w:rsidRDefault="00670255" w:rsidP="00305BA5">
      <w:pPr>
        <w:jc w:val="both"/>
        <w:rPr>
          <w:rFonts w:ascii="Palatino Linotype" w:hAnsi="Palatino Linotype" w:cs="Tahoma"/>
          <w:color w:val="000000" w:themeColor="text1"/>
          <w:lang w:eastAsia="es-MX"/>
        </w:rPr>
      </w:pPr>
    </w:p>
    <w:p w:rsidR="00670255" w:rsidRPr="00305BA5" w:rsidRDefault="00670255" w:rsidP="00305BA5">
      <w:pPr>
        <w:numPr>
          <w:ilvl w:val="0"/>
          <w:numId w:val="6"/>
        </w:numPr>
        <w:spacing w:line="360" w:lineRule="auto"/>
        <w:ind w:left="0" w:firstLine="0"/>
        <w:jc w:val="both"/>
        <w:rPr>
          <w:rFonts w:ascii="Palatino Linotype" w:hAnsi="Palatino Linotype" w:cs="Tahoma"/>
          <w:color w:val="000000" w:themeColor="text1"/>
          <w:lang w:eastAsia="es-MX"/>
        </w:rPr>
      </w:pPr>
      <w:r w:rsidRPr="00305BA5">
        <w:rPr>
          <w:rFonts w:ascii="Palatino Linotype" w:hAnsi="Palatino Linotype" w:cs="Tahoma"/>
          <w:color w:val="000000" w:themeColor="text1"/>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w:t>
      </w:r>
      <w:r w:rsidRPr="00305BA5">
        <w:rPr>
          <w:rFonts w:ascii="Palatino Linotype" w:hAnsi="Palatino Linotype" w:cs="Tahoma"/>
          <w:color w:val="000000" w:themeColor="text1"/>
          <w:lang w:eastAsia="es-MX"/>
        </w:rPr>
        <w:lastRenderedPageBreak/>
        <w:t xml:space="preserve">únicamente para las personas involucrada, en el pago de estos, en el presente caso, del pago del Impuesto Sobre el Producto del Trabajo. </w:t>
      </w:r>
    </w:p>
    <w:p w:rsidR="00670255" w:rsidRPr="00305BA5" w:rsidRDefault="00670255" w:rsidP="00305BA5">
      <w:pPr>
        <w:spacing w:line="360" w:lineRule="auto"/>
        <w:jc w:val="both"/>
        <w:rPr>
          <w:rFonts w:ascii="Palatino Linotype" w:hAnsi="Palatino Linotype" w:cs="Tahoma"/>
          <w:color w:val="000000" w:themeColor="text1"/>
          <w:lang w:eastAsia="es-MX"/>
        </w:rPr>
      </w:pPr>
    </w:p>
    <w:p w:rsidR="00670255" w:rsidRPr="00305BA5" w:rsidRDefault="00670255" w:rsidP="00305BA5">
      <w:pPr>
        <w:numPr>
          <w:ilvl w:val="0"/>
          <w:numId w:val="6"/>
        </w:numPr>
        <w:spacing w:line="360" w:lineRule="auto"/>
        <w:ind w:left="0" w:firstLine="0"/>
        <w:jc w:val="both"/>
        <w:rPr>
          <w:rFonts w:ascii="Palatino Linotype" w:eastAsia="Calibri" w:hAnsi="Palatino Linotype" w:cs="Tahoma"/>
          <w:bCs/>
          <w:color w:val="000000" w:themeColor="text1"/>
          <w:lang w:eastAsia="es-MX"/>
        </w:rPr>
      </w:pPr>
      <w:r w:rsidRPr="00305BA5">
        <w:rPr>
          <w:rFonts w:ascii="Palatino Linotype" w:eastAsia="Calibri" w:hAnsi="Palatino Linotype" w:cs="Tahoma"/>
          <w:bCs/>
          <w:color w:val="000000" w:themeColor="text1"/>
          <w:lang w:eastAsia="es-MX"/>
        </w:rPr>
        <w:t xml:space="preserve">Lo </w:t>
      </w:r>
      <w:r w:rsidRPr="00305BA5">
        <w:rPr>
          <w:rFonts w:ascii="Palatino Linotype" w:hAnsi="Palatino Linotype" w:cs="Tahoma"/>
          <w:color w:val="000000" w:themeColor="text1"/>
          <w:lang w:eastAsia="es-MX"/>
        </w:rPr>
        <w:t>anterior</w:t>
      </w:r>
      <w:r w:rsidRPr="00305BA5">
        <w:rPr>
          <w:rFonts w:ascii="Palatino Linotype" w:eastAsia="Calibri" w:hAnsi="Palatino Linotype" w:cs="Tahoma"/>
          <w:bCs/>
          <w:color w:val="000000" w:themeColor="text1"/>
          <w:lang w:eastAsia="es-MX"/>
        </w:rPr>
        <w:t>, resulta congruente con el Criterio orientador 19/17 emitido por el Instituto Nacional de Transparencia, Acceso a la Información y Protección de Datos Personales, en el cual se señala lo siguiente:</w:t>
      </w:r>
    </w:p>
    <w:p w:rsidR="00670255" w:rsidRPr="00305BA5" w:rsidRDefault="00670255" w:rsidP="00305BA5">
      <w:pPr>
        <w:contextualSpacing/>
        <w:jc w:val="both"/>
        <w:rPr>
          <w:rFonts w:ascii="Palatino Linotype" w:hAnsi="Palatino Linotype" w:cs="Tahoma"/>
          <w:i/>
          <w:color w:val="000000" w:themeColor="text1"/>
        </w:rPr>
      </w:pPr>
      <w:r w:rsidRPr="00305BA5">
        <w:rPr>
          <w:rFonts w:ascii="Palatino Linotype" w:hAnsi="Palatino Linotype" w:cs="Tahoma"/>
          <w:b/>
          <w:i/>
          <w:color w:val="000000" w:themeColor="text1"/>
        </w:rPr>
        <w:t>Registro Federal de Contribuyentes (RFC) de personas físicas.</w:t>
      </w:r>
      <w:r w:rsidRPr="00305BA5">
        <w:rPr>
          <w:rFonts w:ascii="Palatino Linotype" w:hAnsi="Palatino Linotype" w:cs="Tahoma"/>
          <w:i/>
          <w:color w:val="000000" w:themeColor="text1"/>
        </w:rPr>
        <w:t xml:space="preserve"> El RFC es una clave de carácter fiscal, única e irrepetible, que permite identificar al titular, su edad y fecha de nacimiento, por lo que es un dato personal de carácter confidencial.</w:t>
      </w:r>
    </w:p>
    <w:p w:rsidR="00670255" w:rsidRPr="00305BA5" w:rsidRDefault="00670255" w:rsidP="00305BA5">
      <w:pPr>
        <w:spacing w:line="360" w:lineRule="auto"/>
        <w:contextualSpacing/>
        <w:jc w:val="both"/>
        <w:rPr>
          <w:rFonts w:ascii="Palatino Linotype" w:hAnsi="Palatino Linotype" w:cs="Tahoma"/>
          <w:color w:val="000000" w:themeColor="text1"/>
        </w:rPr>
      </w:pPr>
    </w:p>
    <w:p w:rsidR="00670255" w:rsidRPr="00305BA5" w:rsidRDefault="00670255" w:rsidP="00305BA5">
      <w:pPr>
        <w:numPr>
          <w:ilvl w:val="0"/>
          <w:numId w:val="6"/>
        </w:numPr>
        <w:spacing w:line="360" w:lineRule="auto"/>
        <w:ind w:left="0" w:firstLine="0"/>
        <w:jc w:val="both"/>
        <w:rPr>
          <w:rFonts w:ascii="Palatino Linotype" w:eastAsia="Calibri" w:hAnsi="Palatino Linotype" w:cs="Tahoma"/>
          <w:bCs/>
          <w:color w:val="000000" w:themeColor="text1"/>
          <w:lang w:eastAsia="en-US"/>
        </w:rPr>
      </w:pPr>
      <w:r w:rsidRPr="00305BA5">
        <w:rPr>
          <w:rFonts w:ascii="Palatino Linotype" w:hAnsi="Palatino Linotype" w:cs="Tahoma"/>
          <w:color w:val="000000" w:themeColor="text1"/>
          <w:lang w:eastAsia="es-MX"/>
        </w:rPr>
        <w:t xml:space="preserve">De tal suerte, el Registro Federal de Contribuyentes de persona físicas no guarda relación con la transparencia de los recursos públicos, por lo que constituye un dato personal </w:t>
      </w:r>
      <w:r w:rsidRPr="00305BA5">
        <w:rPr>
          <w:rFonts w:ascii="Palatino Linotype" w:eastAsia="Calibri" w:hAnsi="Palatino Linotype" w:cs="Tahoma"/>
          <w:bCs/>
          <w:color w:val="000000" w:themeColor="text1"/>
          <w:lang w:eastAsia="es-MX"/>
        </w:rPr>
        <w:t>confidencial</w:t>
      </w:r>
      <w:r w:rsidRPr="00305BA5">
        <w:rPr>
          <w:rFonts w:ascii="Palatino Linotype" w:hAnsi="Palatino Linotype" w:cs="Tahoma"/>
          <w:color w:val="000000" w:themeColor="text1"/>
          <w:lang w:eastAsia="es-MX"/>
        </w:rPr>
        <w:t xml:space="preserve"> </w:t>
      </w:r>
      <w:r w:rsidRPr="00305BA5">
        <w:rPr>
          <w:rFonts w:ascii="Palatino Linotype" w:hAnsi="Palatino Linotype" w:cs="Tahoma"/>
          <w:color w:val="000000" w:themeColor="text1"/>
        </w:rPr>
        <w:t>al actualizar el supuesto normativo del artículo 143, fracción I, de la Ley de Transparencia y Acceso a la Información Pública del Estado de México y Municipios</w:t>
      </w:r>
      <w:r w:rsidRPr="00305BA5">
        <w:rPr>
          <w:rFonts w:ascii="Palatino Linotype" w:hAnsi="Palatino Linotype" w:cs="Tahoma"/>
          <w:color w:val="000000" w:themeColor="text1"/>
          <w:lang w:eastAsia="es-MX"/>
        </w:rPr>
        <w:t>.</w:t>
      </w:r>
    </w:p>
    <w:p w:rsidR="00670255" w:rsidRPr="00305BA5" w:rsidRDefault="00670255" w:rsidP="00305BA5">
      <w:pPr>
        <w:jc w:val="both"/>
        <w:rPr>
          <w:rFonts w:ascii="Palatino Linotype" w:eastAsia="Calibri" w:hAnsi="Palatino Linotype" w:cs="Tahoma"/>
          <w:bCs/>
          <w:color w:val="000000" w:themeColor="text1"/>
          <w:lang w:val="es-ES" w:eastAsia="en-US"/>
        </w:rPr>
      </w:pPr>
    </w:p>
    <w:p w:rsidR="00670255" w:rsidRPr="00305BA5" w:rsidRDefault="00670255" w:rsidP="00305BA5">
      <w:pPr>
        <w:pStyle w:val="Prrafodelista"/>
        <w:numPr>
          <w:ilvl w:val="0"/>
          <w:numId w:val="33"/>
        </w:numPr>
        <w:spacing w:line="360" w:lineRule="auto"/>
        <w:ind w:left="0" w:firstLine="0"/>
        <w:jc w:val="both"/>
        <w:rPr>
          <w:rFonts w:ascii="Palatino Linotype" w:eastAsia="Calibri" w:hAnsi="Palatino Linotype" w:cs="Tahoma"/>
          <w:b/>
          <w:color w:val="000000" w:themeColor="text1"/>
          <w:lang w:val="es-ES" w:eastAsia="en-US"/>
        </w:rPr>
      </w:pPr>
      <w:r w:rsidRPr="00305BA5">
        <w:rPr>
          <w:rFonts w:ascii="Palatino Linotype" w:eastAsia="Calibri" w:hAnsi="Palatino Linotype" w:cs="Tahoma"/>
          <w:b/>
          <w:color w:val="000000" w:themeColor="text1"/>
          <w:lang w:val="es-ES" w:eastAsia="en-US"/>
        </w:rPr>
        <w:t>Persona Jurídico-colectiva.</w:t>
      </w:r>
    </w:p>
    <w:p w:rsidR="00670255" w:rsidRPr="00305BA5" w:rsidRDefault="00670255" w:rsidP="00305BA5">
      <w:pPr>
        <w:numPr>
          <w:ilvl w:val="0"/>
          <w:numId w:val="6"/>
        </w:numPr>
        <w:spacing w:line="360" w:lineRule="auto"/>
        <w:ind w:left="0" w:firstLine="0"/>
        <w:jc w:val="both"/>
        <w:rPr>
          <w:rFonts w:ascii="Palatino Linotype" w:eastAsia="Calibri" w:hAnsi="Palatino Linotype" w:cs="Tahoma"/>
          <w:bCs/>
          <w:color w:val="000000" w:themeColor="text1"/>
          <w:lang w:eastAsia="en-US"/>
        </w:rPr>
      </w:pPr>
      <w:r w:rsidRPr="00305BA5">
        <w:rPr>
          <w:rFonts w:ascii="Palatino Linotype" w:eastAsia="Calibri" w:hAnsi="Palatino Linotype" w:cs="Tahoma"/>
          <w:bCs/>
          <w:color w:val="000000" w:themeColor="text1"/>
          <w:lang w:val="es-ES" w:eastAsia="en-US"/>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w:t>
      </w:r>
      <w:r w:rsidRPr="00305BA5">
        <w:rPr>
          <w:rFonts w:ascii="Palatino Linotype" w:eastAsia="Calibri" w:hAnsi="Palatino Linotype" w:cs="Tahoma"/>
          <w:bCs/>
          <w:color w:val="000000" w:themeColor="text1"/>
          <w:lang w:eastAsia="en-US"/>
        </w:rPr>
        <w:t xml:space="preserve">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w:t>
      </w:r>
    </w:p>
    <w:p w:rsidR="00670255" w:rsidRPr="00305BA5" w:rsidRDefault="00670255" w:rsidP="00305BA5">
      <w:pPr>
        <w:spacing w:line="360" w:lineRule="auto"/>
        <w:jc w:val="both"/>
        <w:rPr>
          <w:rFonts w:ascii="Palatino Linotype" w:eastAsia="Calibri" w:hAnsi="Palatino Linotype" w:cs="Tahoma"/>
          <w:b/>
          <w:bCs/>
          <w:color w:val="000000" w:themeColor="text1"/>
          <w:lang w:eastAsia="en-US"/>
        </w:rPr>
      </w:pPr>
      <w:r w:rsidRPr="00305BA5">
        <w:rPr>
          <w:rFonts w:ascii="Palatino Linotype" w:eastAsia="Calibri" w:hAnsi="Palatino Linotype" w:cs="Tahoma"/>
          <w:bCs/>
          <w:color w:val="000000" w:themeColor="text1"/>
          <w:lang w:eastAsia="en-US"/>
        </w:rPr>
        <w:lastRenderedPageBreak/>
        <w:t xml:space="preserve">Derivado del trámite se obtiene, entre otros, la </w:t>
      </w:r>
      <w:r w:rsidRPr="00305BA5">
        <w:rPr>
          <w:rFonts w:ascii="Palatino Linotype" w:eastAsia="Calibri" w:hAnsi="Palatino Linotype" w:cs="Tahoma"/>
          <w:b/>
          <w:bCs/>
          <w:color w:val="000000" w:themeColor="text1"/>
          <w:lang w:eastAsia="en-US"/>
        </w:rPr>
        <w:t>cédula de identificación fiscal o constancia de registro.</w:t>
      </w:r>
    </w:p>
    <w:p w:rsidR="00670255" w:rsidRPr="00305BA5" w:rsidRDefault="00670255" w:rsidP="00305BA5">
      <w:pPr>
        <w:jc w:val="both"/>
        <w:rPr>
          <w:rFonts w:ascii="Palatino Linotype" w:eastAsia="Calibri" w:hAnsi="Palatino Linotype" w:cs="Tahoma"/>
          <w:bCs/>
          <w:color w:val="000000" w:themeColor="text1"/>
          <w:lang w:val="es-ES" w:eastAsia="en-US"/>
        </w:rPr>
      </w:pPr>
    </w:p>
    <w:p w:rsidR="00670255" w:rsidRPr="00305BA5" w:rsidRDefault="00670255" w:rsidP="00305BA5">
      <w:pPr>
        <w:numPr>
          <w:ilvl w:val="0"/>
          <w:numId w:val="6"/>
        </w:numPr>
        <w:spacing w:line="360" w:lineRule="auto"/>
        <w:ind w:left="0" w:firstLine="0"/>
        <w:jc w:val="both"/>
        <w:rPr>
          <w:rFonts w:ascii="Palatino Linotype" w:eastAsia="Calibri" w:hAnsi="Palatino Linotype" w:cs="Tahoma"/>
          <w:bCs/>
          <w:color w:val="000000" w:themeColor="text1"/>
          <w:lang w:val="es-ES" w:eastAsia="en-US"/>
        </w:rPr>
      </w:pPr>
      <w:r w:rsidRPr="00305BA5">
        <w:rPr>
          <w:rFonts w:ascii="Palatino Linotype" w:eastAsia="Calibri" w:hAnsi="Palatino Linotype" w:cs="Tahoma"/>
          <w:bCs/>
          <w:color w:val="000000" w:themeColor="text1"/>
          <w:lang w:val="es-ES" w:eastAsia="en-US"/>
        </w:rPr>
        <w:t>Por ende, la información correspondiente al Registro Federal de Contribuyentes de una persona moral da cuenta del cumplimiento o no en sus obligaciones fiscales; por tanto, no se actualiza su clasificación como confidencial.</w:t>
      </w:r>
    </w:p>
    <w:p w:rsidR="00670255" w:rsidRPr="00305BA5" w:rsidRDefault="00670255" w:rsidP="00305BA5">
      <w:pPr>
        <w:jc w:val="both"/>
        <w:rPr>
          <w:rFonts w:ascii="Palatino Linotype" w:eastAsia="Calibri" w:hAnsi="Palatino Linotype" w:cs="Tahoma"/>
          <w:b/>
          <w:bCs/>
          <w:color w:val="000000" w:themeColor="text1"/>
          <w:lang w:eastAsia="en-US"/>
        </w:rPr>
      </w:pPr>
    </w:p>
    <w:p w:rsidR="00670255" w:rsidRPr="00305BA5" w:rsidRDefault="00670255" w:rsidP="00305BA5">
      <w:pPr>
        <w:numPr>
          <w:ilvl w:val="0"/>
          <w:numId w:val="6"/>
        </w:numPr>
        <w:spacing w:line="360" w:lineRule="auto"/>
        <w:ind w:left="0" w:firstLine="0"/>
        <w:jc w:val="both"/>
        <w:rPr>
          <w:rFonts w:ascii="Palatino Linotype" w:eastAsia="Calibri" w:hAnsi="Palatino Linotype" w:cs="Tahoma"/>
          <w:bCs/>
          <w:color w:val="000000" w:themeColor="text1"/>
          <w:lang w:val="es-ES" w:eastAsia="en-US"/>
        </w:rPr>
      </w:pPr>
      <w:r w:rsidRPr="00305BA5">
        <w:rPr>
          <w:rFonts w:ascii="Palatino Linotype" w:eastAsia="Calibri" w:hAnsi="Palatino Linotype" w:cs="Tahoma"/>
          <w:bCs/>
          <w:color w:val="000000" w:themeColor="text1"/>
          <w:lang w:val="es-ES" w:eastAsia="en-US"/>
        </w:rPr>
        <w:t>Además, resulta aplicable el Criterio orientador 08/19 emitido por el Instituto Nacional de Transparencia, Acceso a la Información y Protección de Datos Personales, que señala lo siguiente:</w:t>
      </w:r>
    </w:p>
    <w:p w:rsidR="00670255" w:rsidRPr="00305BA5" w:rsidRDefault="00670255" w:rsidP="00305BA5">
      <w:pPr>
        <w:jc w:val="both"/>
        <w:rPr>
          <w:rFonts w:ascii="Palatino Linotype" w:eastAsia="Calibri" w:hAnsi="Palatino Linotype" w:cs="Tahoma"/>
          <w:bCs/>
          <w:i/>
          <w:color w:val="000000" w:themeColor="text1"/>
          <w:lang w:eastAsia="en-US"/>
        </w:rPr>
      </w:pPr>
      <w:r w:rsidRPr="00305BA5">
        <w:rPr>
          <w:rFonts w:ascii="Palatino Linotype" w:eastAsia="Calibri" w:hAnsi="Palatino Linotype" w:cs="Tahoma"/>
          <w:b/>
          <w:bCs/>
          <w:i/>
          <w:color w:val="000000" w:themeColor="text1"/>
          <w:lang w:eastAsia="en-US"/>
        </w:rPr>
        <w:t xml:space="preserve">Razón social y RFC de personas morales. </w:t>
      </w:r>
      <w:r w:rsidRPr="00305BA5">
        <w:rPr>
          <w:rFonts w:ascii="Palatino Linotype" w:eastAsia="Calibri" w:hAnsi="Palatino Linotype" w:cs="Tahoma"/>
          <w:bCs/>
          <w:i/>
          <w:color w:val="000000" w:themeColor="text1"/>
          <w:lang w:eastAsia="en-U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670255" w:rsidRPr="00305BA5" w:rsidRDefault="00670255" w:rsidP="00305BA5">
      <w:pPr>
        <w:spacing w:line="360" w:lineRule="auto"/>
        <w:jc w:val="both"/>
        <w:rPr>
          <w:rFonts w:ascii="Palatino Linotype" w:eastAsia="Calibri" w:hAnsi="Palatino Linotype" w:cs="Tahoma"/>
          <w:bCs/>
          <w:color w:val="000000" w:themeColor="text1"/>
          <w:lang w:val="es-ES" w:eastAsia="en-US"/>
        </w:rPr>
      </w:pPr>
    </w:p>
    <w:p w:rsidR="00670255" w:rsidRPr="00305BA5" w:rsidRDefault="00670255" w:rsidP="00305BA5">
      <w:pPr>
        <w:numPr>
          <w:ilvl w:val="0"/>
          <w:numId w:val="6"/>
        </w:numPr>
        <w:spacing w:line="360" w:lineRule="auto"/>
        <w:ind w:left="0" w:firstLine="0"/>
        <w:jc w:val="both"/>
        <w:rPr>
          <w:rFonts w:ascii="Palatino Linotype" w:eastAsia="Calibri" w:hAnsi="Palatino Linotype" w:cs="Tahoma"/>
          <w:bCs/>
          <w:color w:val="000000" w:themeColor="text1"/>
          <w:lang w:val="es-ES" w:eastAsia="en-US"/>
        </w:rPr>
      </w:pPr>
      <w:r w:rsidRPr="00305BA5">
        <w:rPr>
          <w:rFonts w:ascii="Palatino Linotype" w:eastAsia="Calibri" w:hAnsi="Palatino Linotype" w:cs="Tahoma"/>
          <w:bCs/>
          <w:color w:val="000000" w:themeColor="text1"/>
          <w:lang w:val="es-ES" w:eastAsia="en-US"/>
        </w:rPr>
        <w:t>Dicho criterio, precisa que el Registro Federal de Contribuyentes de personas morales, es público, al no referir a hechos o actos de carácter económico, contable, jurídico o administrativo que sean útiles o representen una ventaja a sus competidores.</w:t>
      </w:r>
    </w:p>
    <w:p w:rsidR="00670255" w:rsidRPr="00305BA5" w:rsidRDefault="00670255" w:rsidP="00305BA5">
      <w:pPr>
        <w:spacing w:line="360" w:lineRule="auto"/>
        <w:jc w:val="both"/>
        <w:rPr>
          <w:rFonts w:ascii="Palatino Linotype" w:eastAsia="Calibri" w:hAnsi="Palatino Linotype" w:cs="Tahoma"/>
          <w:bCs/>
          <w:color w:val="000000" w:themeColor="text1"/>
          <w:lang w:val="es-ES" w:eastAsia="en-US"/>
        </w:rPr>
      </w:pPr>
    </w:p>
    <w:p w:rsidR="00670255" w:rsidRPr="00305BA5" w:rsidRDefault="00670255" w:rsidP="00305BA5">
      <w:pPr>
        <w:numPr>
          <w:ilvl w:val="0"/>
          <w:numId w:val="6"/>
        </w:numPr>
        <w:spacing w:line="360" w:lineRule="auto"/>
        <w:ind w:left="0" w:firstLine="0"/>
        <w:jc w:val="both"/>
        <w:rPr>
          <w:rFonts w:ascii="Palatino Linotype" w:eastAsia="Calibri" w:hAnsi="Palatino Linotype" w:cs="Tahoma"/>
          <w:bCs/>
          <w:color w:val="000000" w:themeColor="text1"/>
          <w:lang w:eastAsia="en-US"/>
        </w:rPr>
      </w:pPr>
      <w:r w:rsidRPr="00305BA5">
        <w:rPr>
          <w:rFonts w:ascii="Palatino Linotype" w:eastAsia="Calibri" w:hAnsi="Palatino Linotype" w:cs="Tahoma"/>
          <w:bCs/>
          <w:color w:val="000000" w:themeColor="text1"/>
          <w:lang w:val="es-ES" w:eastAsia="en-US"/>
        </w:rPr>
        <w:t>De tales circunstancias, el Registro Federal de Contribuyentes de personas</w:t>
      </w:r>
      <w:r w:rsidRPr="00305BA5">
        <w:rPr>
          <w:rFonts w:ascii="Palatino Linotype" w:eastAsia="Calibri" w:hAnsi="Palatino Linotype" w:cs="Tahoma"/>
          <w:bCs/>
          <w:color w:val="000000" w:themeColor="text1"/>
          <w:lang w:eastAsia="en-US"/>
        </w:rPr>
        <w:t xml:space="preserve"> morales, no actualizan la causal de clasificación, prevista en el artículo 143, fracción I de la Ley de Transparencia y Acceso a la Información Pública del Estado de México y Municipios, al ser de naturaleza pública.</w:t>
      </w:r>
    </w:p>
    <w:p w:rsidR="00670255" w:rsidRPr="00305BA5" w:rsidRDefault="00670255" w:rsidP="00305BA5">
      <w:pPr>
        <w:spacing w:line="360" w:lineRule="auto"/>
        <w:jc w:val="both"/>
        <w:rPr>
          <w:rFonts w:ascii="Palatino Linotype" w:eastAsia="Calibri" w:hAnsi="Palatino Linotype" w:cs="Tahoma"/>
          <w:bCs/>
          <w:color w:val="000000" w:themeColor="text1"/>
          <w:lang w:eastAsia="en-US"/>
        </w:rPr>
      </w:pPr>
    </w:p>
    <w:p w:rsidR="00670255" w:rsidRPr="00305BA5" w:rsidRDefault="00670255" w:rsidP="00305BA5">
      <w:pPr>
        <w:numPr>
          <w:ilvl w:val="0"/>
          <w:numId w:val="6"/>
        </w:numPr>
        <w:spacing w:line="360" w:lineRule="auto"/>
        <w:ind w:left="0" w:firstLine="0"/>
        <w:jc w:val="both"/>
        <w:rPr>
          <w:rFonts w:ascii="Palatino Linotype" w:hAnsi="Palatino Linotype"/>
          <w:color w:val="000000" w:themeColor="text1"/>
        </w:rPr>
      </w:pPr>
      <w:r w:rsidRPr="00305BA5">
        <w:rPr>
          <w:rFonts w:ascii="Palatino Linotype" w:hAnsi="Palatino Linotype"/>
          <w:color w:val="000000" w:themeColor="text1"/>
        </w:rPr>
        <w:t xml:space="preserve">Además, las personas físicas que realicen las actividades contratadas por las instituciones, renuncian implícitamente a una parte de su derecho a la intimidad al obtener </w:t>
      </w:r>
      <w:r w:rsidRPr="00305BA5">
        <w:rPr>
          <w:rFonts w:ascii="Palatino Linotype" w:hAnsi="Palatino Linotype"/>
          <w:color w:val="000000" w:themeColor="text1"/>
        </w:rPr>
        <w:lastRenderedPageBreak/>
        <w:t>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670255" w:rsidRPr="00305BA5" w:rsidRDefault="00670255" w:rsidP="00305BA5">
      <w:pPr>
        <w:spacing w:line="360" w:lineRule="auto"/>
        <w:jc w:val="both"/>
        <w:rPr>
          <w:rFonts w:ascii="Palatino Linotype" w:hAnsi="Palatino Linotype"/>
          <w:color w:val="000000" w:themeColor="text1"/>
        </w:rPr>
      </w:pPr>
    </w:p>
    <w:p w:rsidR="00670255" w:rsidRPr="00305BA5" w:rsidRDefault="00670255" w:rsidP="00305BA5">
      <w:pPr>
        <w:numPr>
          <w:ilvl w:val="0"/>
          <w:numId w:val="6"/>
        </w:numPr>
        <w:spacing w:line="360" w:lineRule="auto"/>
        <w:ind w:left="0" w:firstLine="0"/>
        <w:jc w:val="both"/>
        <w:rPr>
          <w:rFonts w:ascii="Palatino Linotype" w:hAnsi="Palatino Linotype"/>
          <w:color w:val="000000" w:themeColor="text1"/>
        </w:rPr>
      </w:pPr>
      <w:r w:rsidRPr="00305BA5">
        <w:rPr>
          <w:rFonts w:ascii="Palatino Linotype" w:hAnsi="Palatino Linotype"/>
          <w:color w:val="000000" w:themeColor="text1"/>
        </w:rPr>
        <w:t>Robustece lo anterior el criterio orientador 04/21 emitido por el Instituto Nacional de Transparencia, Acceso a la Información y Protección de Datos Personales, INAI, el cual refiere:</w:t>
      </w:r>
    </w:p>
    <w:p w:rsidR="00670255" w:rsidRPr="00305BA5" w:rsidRDefault="00670255" w:rsidP="00305BA5">
      <w:pPr>
        <w:jc w:val="both"/>
        <w:rPr>
          <w:rFonts w:ascii="Palatino Linotype" w:hAnsi="Palatino Linotype"/>
          <w:i/>
          <w:iCs/>
          <w:color w:val="000000" w:themeColor="text1"/>
        </w:rPr>
      </w:pPr>
      <w:r w:rsidRPr="00305BA5">
        <w:rPr>
          <w:rFonts w:ascii="Palatino Linotype" w:hAnsi="Palatino Linotype"/>
          <w:b/>
          <w:bCs/>
          <w:i/>
          <w:iCs/>
          <w:color w:val="000000" w:themeColor="text1"/>
        </w:rPr>
        <w:t xml:space="preserve">“Registro Federal de Contribuyentes (RFC) de personas físicas proveedoras o contratistas. </w:t>
      </w:r>
      <w:r w:rsidRPr="00305BA5">
        <w:rPr>
          <w:rFonts w:ascii="Palatino Linotype" w:hAnsi="Palatino Linotype"/>
          <w:i/>
          <w:iCs/>
          <w:color w:val="000000" w:themeColor="text1"/>
        </w:rPr>
        <w:t xml:space="preserve">El RFC de contratistas o proveedores de los sujetos obligados debe ser público, ya que al tratarse de personas con contrataciones públicas, su difusión favorece la </w:t>
      </w:r>
      <w:r w:rsidRPr="00305BA5">
        <w:rPr>
          <w:rFonts w:ascii="Palatino Linotype" w:eastAsia="Calibri" w:hAnsi="Palatino Linotype" w:cs="Tahoma"/>
          <w:bCs/>
          <w:i/>
          <w:color w:val="000000" w:themeColor="text1"/>
          <w:lang w:eastAsia="en-US"/>
        </w:rPr>
        <w:t>transparencia</w:t>
      </w:r>
      <w:r w:rsidRPr="00305BA5">
        <w:rPr>
          <w:rFonts w:ascii="Palatino Linotype" w:hAnsi="Palatino Linotype"/>
          <w:i/>
          <w:iCs/>
          <w:color w:val="000000" w:themeColor="text1"/>
        </w:rPr>
        <w:t xml:space="preserve"> con la que deben administrarse los recursos públicos, en términos del artículo 134 de la Constitución Política de los Estados Unidos Mexicanos.”</w:t>
      </w:r>
    </w:p>
    <w:p w:rsidR="00670255" w:rsidRPr="00305BA5" w:rsidRDefault="00670255" w:rsidP="00305BA5">
      <w:pPr>
        <w:jc w:val="both"/>
        <w:rPr>
          <w:rFonts w:ascii="Palatino Linotype" w:hAnsi="Palatino Linotype" w:cs="Tahoma"/>
          <w:bCs/>
          <w:iCs/>
          <w:color w:val="000000" w:themeColor="text1"/>
        </w:rPr>
      </w:pPr>
    </w:p>
    <w:p w:rsidR="00670255" w:rsidRPr="00305BA5" w:rsidRDefault="00670255" w:rsidP="00305BA5">
      <w:pPr>
        <w:jc w:val="both"/>
        <w:rPr>
          <w:rFonts w:ascii="Palatino Linotype" w:hAnsi="Palatino Linotype" w:cs="Tahoma"/>
          <w:bCs/>
          <w:iCs/>
          <w:color w:val="000000" w:themeColor="text1"/>
        </w:rPr>
      </w:pPr>
    </w:p>
    <w:p w:rsidR="00670255" w:rsidRPr="00305BA5" w:rsidRDefault="00670255" w:rsidP="00305BA5">
      <w:pPr>
        <w:numPr>
          <w:ilvl w:val="0"/>
          <w:numId w:val="34"/>
        </w:numPr>
        <w:spacing w:line="360" w:lineRule="auto"/>
        <w:ind w:left="0" w:firstLine="0"/>
        <w:jc w:val="both"/>
        <w:rPr>
          <w:rFonts w:ascii="Palatino Linotype" w:hAnsi="Palatino Linotype" w:cs="Tahoma"/>
          <w:b/>
          <w:color w:val="000000" w:themeColor="text1"/>
        </w:rPr>
      </w:pPr>
      <w:r w:rsidRPr="00305BA5">
        <w:rPr>
          <w:rFonts w:ascii="Palatino Linotype" w:hAnsi="Palatino Linotype" w:cs="Tahoma"/>
          <w:b/>
          <w:color w:val="000000" w:themeColor="text1"/>
        </w:rPr>
        <w:t>Clave Única de Registro de Población (CURP).</w:t>
      </w:r>
    </w:p>
    <w:p w:rsidR="00670255" w:rsidRPr="00305BA5" w:rsidRDefault="00670255"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De igual manera la </w:t>
      </w:r>
      <w:r w:rsidRPr="00305BA5">
        <w:rPr>
          <w:rFonts w:ascii="Palatino Linotype" w:eastAsia="Palatino Linotype" w:hAnsi="Palatino Linotype" w:cs="Palatino Linotype"/>
          <w:b/>
          <w:color w:val="000000" w:themeColor="text1"/>
        </w:rPr>
        <w:t>Clave Única de Registro de Población (CURP),</w:t>
      </w:r>
      <w:r w:rsidRPr="00305BA5">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670255" w:rsidRPr="00305BA5" w:rsidRDefault="00670255" w:rsidP="00305BA5">
      <w:pPr>
        <w:tabs>
          <w:tab w:val="left" w:pos="284"/>
        </w:tabs>
        <w:spacing w:line="360" w:lineRule="auto"/>
        <w:jc w:val="both"/>
        <w:rPr>
          <w:rFonts w:ascii="Palatino Linotype" w:eastAsia="Palatino Linotype" w:hAnsi="Palatino Linotype" w:cs="Palatino Linotype"/>
          <w:color w:val="000000" w:themeColor="text1"/>
        </w:rPr>
      </w:pPr>
    </w:p>
    <w:p w:rsidR="00670255" w:rsidRPr="00305BA5" w:rsidRDefault="00670255"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Argumento que es compartido por el Instituto Nacional de Transparencia, Acceso a la Información y Protección de Datos Personales, INAI, conforme al criterio orientador 18/17, el cual refiere: </w:t>
      </w:r>
    </w:p>
    <w:p w:rsidR="00670255" w:rsidRPr="00305BA5" w:rsidRDefault="00670255" w:rsidP="00305BA5">
      <w:pPr>
        <w:jc w:val="both"/>
        <w:rPr>
          <w:rFonts w:ascii="Palatino Linotype" w:eastAsia="Palatino Linotype" w:hAnsi="Palatino Linotype" w:cs="Palatino Linotype"/>
          <w:i/>
          <w:color w:val="000000" w:themeColor="text1"/>
        </w:rPr>
      </w:pPr>
      <w:r w:rsidRPr="00305BA5">
        <w:rPr>
          <w:rFonts w:ascii="Palatino Linotype" w:eastAsia="Palatino Linotype" w:hAnsi="Palatino Linotype" w:cs="Palatino Linotype"/>
          <w:b/>
          <w:i/>
          <w:color w:val="000000" w:themeColor="text1"/>
        </w:rPr>
        <w:lastRenderedPageBreak/>
        <w:t xml:space="preserve">“Clave Única de Registro de Población (CURP). </w:t>
      </w:r>
      <w:r w:rsidRPr="00305BA5">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70255" w:rsidRPr="00305BA5" w:rsidRDefault="00670255" w:rsidP="00305BA5">
      <w:pPr>
        <w:pBdr>
          <w:top w:val="nil"/>
          <w:left w:val="nil"/>
          <w:bottom w:val="nil"/>
          <w:right w:val="nil"/>
          <w:between w:val="nil"/>
        </w:pBdr>
        <w:spacing w:line="360" w:lineRule="auto"/>
        <w:jc w:val="both"/>
        <w:rPr>
          <w:rFonts w:ascii="Palatino Linotype" w:eastAsia="Palatino Linotype" w:hAnsi="Palatino Linotype" w:cs="Palatino Linotype"/>
          <w:bCs/>
          <w:color w:val="000000" w:themeColor="text1"/>
        </w:rPr>
      </w:pPr>
    </w:p>
    <w:p w:rsidR="00670255" w:rsidRPr="00305BA5" w:rsidRDefault="00670255" w:rsidP="00305BA5">
      <w:pPr>
        <w:pStyle w:val="Prrafodelista"/>
        <w:numPr>
          <w:ilvl w:val="0"/>
          <w:numId w:val="36"/>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color w:val="000000" w:themeColor="text1"/>
        </w:rPr>
      </w:pPr>
      <w:r w:rsidRPr="00305BA5">
        <w:rPr>
          <w:rFonts w:ascii="Palatino Linotype" w:hAnsi="Palatino Linotype"/>
          <w:b/>
          <w:color w:val="000000" w:themeColor="text1"/>
        </w:rPr>
        <w:t>Cuentas bancarias o clabes interbancarias</w:t>
      </w:r>
    </w:p>
    <w:p w:rsidR="00670255" w:rsidRPr="00305BA5" w:rsidRDefault="00670255" w:rsidP="00305BA5">
      <w:pPr>
        <w:numPr>
          <w:ilvl w:val="0"/>
          <w:numId w:val="6"/>
        </w:numPr>
        <w:spacing w:line="360" w:lineRule="auto"/>
        <w:ind w:left="0" w:firstLine="0"/>
        <w:jc w:val="both"/>
        <w:rPr>
          <w:rFonts w:ascii="Palatino Linotype" w:hAnsi="Palatino Linotype"/>
          <w:color w:val="000000" w:themeColor="text1"/>
        </w:rPr>
      </w:pPr>
      <w:r w:rsidRPr="00305BA5">
        <w:rPr>
          <w:rFonts w:ascii="Palatino Linotype" w:eastAsia="Palatino Linotype" w:hAnsi="Palatino Linotype" w:cs="Palatino Linotype"/>
          <w:color w:val="000000" w:themeColor="text1"/>
        </w:rPr>
        <w:t xml:space="preserve">Resulta importante señalar que </w:t>
      </w:r>
      <w:r w:rsidRPr="00305BA5">
        <w:rPr>
          <w:rFonts w:ascii="Palatino Linotype" w:hAnsi="Palatino Linotype"/>
          <w:color w:val="000000" w:themeColor="text1"/>
        </w:rPr>
        <w:t>tratándose de las cuentas bancarias o clabes interbancarias de los Sujetos Obligados ya que su publicidad cede a la rendición de cuentas al transparentar la forma en que son administrados los recursos públicos.</w:t>
      </w:r>
    </w:p>
    <w:p w:rsidR="00670255" w:rsidRPr="00305BA5" w:rsidRDefault="00670255" w:rsidP="00305BA5">
      <w:pPr>
        <w:spacing w:line="360" w:lineRule="auto"/>
        <w:jc w:val="both"/>
        <w:rPr>
          <w:rFonts w:ascii="Palatino Linotype" w:hAnsi="Palatino Linotype"/>
          <w:color w:val="000000" w:themeColor="text1"/>
        </w:rPr>
      </w:pPr>
    </w:p>
    <w:p w:rsidR="00670255" w:rsidRPr="00305BA5" w:rsidRDefault="00670255" w:rsidP="00305BA5">
      <w:pPr>
        <w:numPr>
          <w:ilvl w:val="0"/>
          <w:numId w:val="6"/>
        </w:numPr>
        <w:spacing w:line="360" w:lineRule="auto"/>
        <w:ind w:left="0" w:firstLine="0"/>
        <w:jc w:val="both"/>
        <w:rPr>
          <w:rFonts w:ascii="Palatino Linotype" w:hAnsi="Palatino Linotype"/>
          <w:color w:val="000000" w:themeColor="text1"/>
        </w:rPr>
      </w:pPr>
      <w:r w:rsidRPr="00305BA5">
        <w:rPr>
          <w:rFonts w:ascii="Palatino Linotype" w:hAnsi="Palatino Linotype"/>
          <w:color w:val="000000" w:themeColor="text1"/>
        </w:rPr>
        <w:t>Lo argumentado encuentra sustento en los criterios orientadores 10/17 y 11/17 emitidos por el Instituto Nacional de Transparencia, Acceso a la Información y Protección de Datos Personales, INAI, que llevan por rubro y texto los siguientes:</w:t>
      </w:r>
    </w:p>
    <w:p w:rsidR="00670255" w:rsidRPr="00305BA5" w:rsidRDefault="00670255" w:rsidP="00305BA5">
      <w:pPr>
        <w:pStyle w:val="NormalWeb"/>
        <w:spacing w:before="240" w:beforeAutospacing="0" w:after="240" w:afterAutospacing="0"/>
        <w:jc w:val="both"/>
        <w:rPr>
          <w:rFonts w:ascii="Palatino Linotype" w:hAnsi="Palatino Linotype"/>
          <w:color w:val="000000" w:themeColor="text1"/>
        </w:rPr>
      </w:pPr>
      <w:r w:rsidRPr="00305BA5">
        <w:rPr>
          <w:rFonts w:ascii="Palatino Linotype" w:hAnsi="Palatino Linotype"/>
          <w:b/>
          <w:bCs/>
          <w:i/>
          <w:iCs/>
          <w:color w:val="000000" w:themeColor="text1"/>
        </w:rPr>
        <w:t>“Cuentas bancarias y/o CLABE interbancaria de personas físicas y morales privadas.</w:t>
      </w:r>
      <w:r w:rsidRPr="00305BA5">
        <w:rPr>
          <w:rFonts w:ascii="Palatino Linotype" w:hAnsi="Palatino Linotype"/>
          <w:i/>
          <w:iCs/>
          <w:color w:val="000000" w:themeColor="text1"/>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670255" w:rsidRPr="00305BA5" w:rsidRDefault="00670255" w:rsidP="00305BA5">
      <w:pPr>
        <w:pStyle w:val="NormalWeb"/>
        <w:spacing w:before="240" w:beforeAutospacing="0" w:after="240" w:afterAutospacing="0"/>
        <w:jc w:val="both"/>
        <w:rPr>
          <w:rFonts w:ascii="Palatino Linotype" w:hAnsi="Palatino Linotype"/>
          <w:i/>
          <w:iCs/>
          <w:color w:val="000000" w:themeColor="text1"/>
        </w:rPr>
      </w:pPr>
      <w:r w:rsidRPr="00305BA5">
        <w:rPr>
          <w:rFonts w:ascii="Palatino Linotype" w:hAnsi="Palatino Linotype"/>
          <w:b/>
          <w:bCs/>
          <w:i/>
          <w:iCs/>
          <w:color w:val="000000" w:themeColor="text1"/>
        </w:rPr>
        <w:t>Cuentas bancarias y/o CLABE interbancaria de sujetos obligados que reciben y/o transfieren recursos públicos, son información pública</w:t>
      </w:r>
      <w:r w:rsidRPr="00305BA5">
        <w:rPr>
          <w:rFonts w:ascii="Palatino Linotype" w:hAnsi="Palatino Linotype"/>
          <w:i/>
          <w:iCs/>
          <w:color w:val="000000" w:themeColor="text1"/>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670255" w:rsidRPr="00305BA5" w:rsidRDefault="00670255" w:rsidP="00305BA5">
      <w:pPr>
        <w:pStyle w:val="NormalWeb"/>
        <w:spacing w:before="240" w:beforeAutospacing="0" w:after="240" w:afterAutospacing="0"/>
        <w:jc w:val="both"/>
        <w:rPr>
          <w:rFonts w:ascii="Palatino Linotype" w:hAnsi="Palatino Linotype"/>
          <w:i/>
          <w:iCs/>
          <w:color w:val="000000" w:themeColor="text1"/>
        </w:rPr>
      </w:pPr>
    </w:p>
    <w:p w:rsidR="00670255" w:rsidRPr="00305BA5" w:rsidRDefault="00670255" w:rsidP="00305BA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Cs/>
          <w:color w:val="000000" w:themeColor="text1"/>
        </w:rPr>
      </w:pPr>
      <w:r w:rsidRPr="00305BA5">
        <w:rPr>
          <w:rFonts w:ascii="Palatino Linotype" w:eastAsia="Palatino Linotype" w:hAnsi="Palatino Linotype" w:cs="Palatino Linotype"/>
          <w:color w:val="000000" w:themeColor="text1"/>
        </w:rPr>
        <w:lastRenderedPageBreak/>
        <w:t xml:space="preserve">Si bien las cuentas bancarias y/o CLABE de personas que </w:t>
      </w:r>
      <w:r w:rsidRPr="00305BA5">
        <w:rPr>
          <w:rFonts w:ascii="Palatino Linotype" w:eastAsia="Palatino Linotype" w:hAnsi="Palatino Linotype" w:cs="Palatino Linotype"/>
          <w:bCs/>
          <w:iCs/>
          <w:color w:val="000000" w:themeColor="text1"/>
        </w:rPr>
        <w:t>reciben y/o transfieren recursos públicos</w:t>
      </w:r>
      <w:r w:rsidRPr="00305BA5">
        <w:rPr>
          <w:rFonts w:ascii="Palatino Linotype" w:eastAsia="Palatino Linotype" w:hAnsi="Palatino Linotype" w:cs="Palatino Linotype"/>
          <w:color w:val="000000" w:themeColor="text1"/>
        </w:rPr>
        <w:t xml:space="preserve"> corresponden a datos personales, </w:t>
      </w:r>
      <w:r w:rsidRPr="00305BA5">
        <w:rPr>
          <w:rFonts w:ascii="Palatino Linotype" w:eastAsia="Palatino Linotype" w:hAnsi="Palatino Linotype" w:cs="Palatino Linotype"/>
          <w:bCs/>
          <w:color w:val="000000" w:themeColor="text1"/>
        </w:rPr>
        <w:t>no actualizan la causal de clasificación establecida en el artículo 143, fracción I, de la Ley de Transparencia y Acceso a la Información Pública del Estado de México y Municipios.</w:t>
      </w:r>
    </w:p>
    <w:p w:rsidR="00670255" w:rsidRPr="00305BA5" w:rsidRDefault="00670255" w:rsidP="00305BA5">
      <w:pPr>
        <w:spacing w:line="360" w:lineRule="auto"/>
        <w:jc w:val="both"/>
        <w:rPr>
          <w:rFonts w:ascii="Palatino Linotype" w:eastAsia="Calibri" w:hAnsi="Palatino Linotype" w:cs="Tahoma"/>
          <w:bCs/>
          <w:color w:val="000000" w:themeColor="text1"/>
          <w:lang w:val="es-ES" w:eastAsia="en-US"/>
        </w:rPr>
      </w:pPr>
    </w:p>
    <w:p w:rsidR="00670255" w:rsidRPr="00305BA5" w:rsidRDefault="00670255" w:rsidP="00305BA5">
      <w:pPr>
        <w:pStyle w:val="Prrafodelista"/>
        <w:numPr>
          <w:ilvl w:val="0"/>
          <w:numId w:val="35"/>
        </w:numPr>
        <w:spacing w:line="360" w:lineRule="auto"/>
        <w:ind w:left="0" w:firstLine="0"/>
        <w:jc w:val="both"/>
        <w:rPr>
          <w:rFonts w:ascii="Palatino Linotype" w:eastAsia="Calibri" w:hAnsi="Palatino Linotype" w:cs="Tahoma"/>
          <w:b/>
          <w:color w:val="000000" w:themeColor="text1"/>
          <w:lang w:val="es-ES" w:eastAsia="en-US"/>
        </w:rPr>
      </w:pPr>
      <w:r w:rsidRPr="00305BA5">
        <w:rPr>
          <w:rFonts w:ascii="Palatino Linotype" w:eastAsia="Calibri" w:hAnsi="Palatino Linotype" w:cs="Tahoma"/>
          <w:b/>
          <w:color w:val="000000" w:themeColor="text1"/>
          <w:lang w:val="es-ES" w:eastAsia="en-US"/>
        </w:rPr>
        <w:t>Nombre, firma y rúbrica de representante legal.</w:t>
      </w:r>
    </w:p>
    <w:p w:rsidR="00670255" w:rsidRPr="00305BA5" w:rsidRDefault="00670255" w:rsidP="00305BA5">
      <w:pPr>
        <w:numPr>
          <w:ilvl w:val="0"/>
          <w:numId w:val="6"/>
        </w:numPr>
        <w:spacing w:line="360" w:lineRule="auto"/>
        <w:ind w:left="0" w:firstLine="0"/>
        <w:jc w:val="both"/>
        <w:rPr>
          <w:rFonts w:ascii="Palatino Linotype" w:hAnsi="Palatino Linotype" w:cs="Tahoma"/>
          <w:color w:val="000000" w:themeColor="text1"/>
          <w:lang w:val="es-ES"/>
        </w:rPr>
      </w:pPr>
      <w:r w:rsidRPr="00305BA5">
        <w:rPr>
          <w:rFonts w:ascii="Palatino Linotype" w:hAnsi="Palatino Linotype" w:cs="Tahoma"/>
          <w:color w:val="000000" w:themeColor="text1"/>
          <w:lang w:val="es-ES"/>
        </w:rPr>
        <w:t xml:space="preserve">Al respecto, resulta necesario señalar que las personas jurídico colectivas son representadas mediante personas físicas, debidamente acreditadas para realizar determinados actos a nombre de la jurídico-colectiva, por lo que, el nombre de dichos individuos no </w:t>
      </w:r>
      <w:r w:rsidRPr="00305BA5">
        <w:rPr>
          <w:rFonts w:ascii="Palatino Linotype" w:eastAsia="Palatino Linotype" w:hAnsi="Palatino Linotype" w:cs="Palatino Linotype"/>
          <w:color w:val="000000" w:themeColor="text1"/>
        </w:rPr>
        <w:t>puede</w:t>
      </w:r>
      <w:r w:rsidRPr="00305BA5">
        <w:rPr>
          <w:rFonts w:ascii="Palatino Linotype" w:hAnsi="Palatino Linotype" w:cs="Tahoma"/>
          <w:color w:val="000000" w:themeColor="text1"/>
          <w:lang w:val="es-ES"/>
        </w:rPr>
        <w:t xml:space="preserve"> ser objeto de clasificación, en virtud de que la representación persigue la finalidad de dar certeza jurídica a los actos que realiza, en el presente caso, solicitar y recibir diversas Licencias de Funcionamiento.</w:t>
      </w:r>
    </w:p>
    <w:p w:rsidR="00670255" w:rsidRPr="00305BA5" w:rsidRDefault="00670255" w:rsidP="00305BA5">
      <w:pPr>
        <w:spacing w:line="360" w:lineRule="auto"/>
        <w:jc w:val="both"/>
        <w:rPr>
          <w:rFonts w:ascii="Palatino Linotype" w:hAnsi="Palatino Linotype" w:cs="Tahoma"/>
          <w:color w:val="000000" w:themeColor="text1"/>
          <w:lang w:val="es-ES"/>
        </w:rPr>
      </w:pPr>
    </w:p>
    <w:p w:rsidR="00670255" w:rsidRPr="00305BA5" w:rsidRDefault="00670255" w:rsidP="00305BA5">
      <w:pPr>
        <w:numPr>
          <w:ilvl w:val="0"/>
          <w:numId w:val="6"/>
        </w:numPr>
        <w:spacing w:line="360" w:lineRule="auto"/>
        <w:ind w:left="0" w:firstLine="0"/>
        <w:jc w:val="both"/>
        <w:rPr>
          <w:rFonts w:ascii="Palatino Linotype" w:hAnsi="Palatino Linotype" w:cs="Tahoma"/>
          <w:color w:val="000000" w:themeColor="text1"/>
          <w:lang w:val="es-ES"/>
        </w:rPr>
      </w:pPr>
      <w:r w:rsidRPr="00305BA5">
        <w:rPr>
          <w:rFonts w:ascii="Palatino Linotype" w:hAnsi="Palatino Linotype" w:cs="Tahoma"/>
          <w:color w:val="000000" w:themeColor="text1"/>
          <w:lang w:val="es-ES"/>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rsidR="00670255" w:rsidRPr="00305BA5" w:rsidRDefault="00670255" w:rsidP="00305BA5">
      <w:pPr>
        <w:spacing w:line="360" w:lineRule="auto"/>
        <w:jc w:val="both"/>
        <w:rPr>
          <w:rFonts w:ascii="Palatino Linotype" w:hAnsi="Palatino Linotype" w:cs="Tahoma"/>
          <w:color w:val="000000" w:themeColor="text1"/>
          <w:lang w:val="es-ES"/>
        </w:rPr>
      </w:pPr>
    </w:p>
    <w:p w:rsidR="00670255" w:rsidRPr="00305BA5" w:rsidRDefault="00670255" w:rsidP="00305BA5">
      <w:pPr>
        <w:numPr>
          <w:ilvl w:val="0"/>
          <w:numId w:val="6"/>
        </w:numPr>
        <w:spacing w:line="360" w:lineRule="auto"/>
        <w:ind w:left="0" w:firstLine="0"/>
        <w:jc w:val="both"/>
        <w:rPr>
          <w:rFonts w:ascii="Palatino Linotype" w:hAnsi="Palatino Linotype" w:cs="Tahoma"/>
          <w:color w:val="000000" w:themeColor="text1"/>
          <w:lang w:val="es-ES"/>
        </w:rPr>
      </w:pPr>
      <w:r w:rsidRPr="00305BA5">
        <w:rPr>
          <w:rFonts w:ascii="Palatino Linotype" w:hAnsi="Palatino Linotype" w:cs="Tahoma"/>
          <w:color w:val="000000" w:themeColor="text1"/>
          <w:lang w:val="es-ES"/>
        </w:rPr>
        <w:t>En esa tesitura, la representación de las personas morales se realizará por medio de representantes o apoderados, y en el caso específico de las sociedades mercantiles, dicha representación se otorgará mediante instrumento público.</w:t>
      </w:r>
    </w:p>
    <w:p w:rsidR="00670255" w:rsidRPr="00305BA5" w:rsidRDefault="00670255" w:rsidP="00305BA5">
      <w:pPr>
        <w:spacing w:line="360" w:lineRule="auto"/>
        <w:jc w:val="both"/>
        <w:rPr>
          <w:rFonts w:ascii="Palatino Linotype" w:hAnsi="Palatino Linotype" w:cs="Tahoma"/>
          <w:color w:val="000000" w:themeColor="text1"/>
          <w:lang w:val="es-ES"/>
        </w:rPr>
      </w:pPr>
    </w:p>
    <w:p w:rsidR="00670255" w:rsidRPr="00305BA5" w:rsidRDefault="00670255" w:rsidP="00305BA5">
      <w:pPr>
        <w:numPr>
          <w:ilvl w:val="0"/>
          <w:numId w:val="6"/>
        </w:numPr>
        <w:spacing w:line="360" w:lineRule="auto"/>
        <w:ind w:left="0" w:firstLine="0"/>
        <w:jc w:val="both"/>
        <w:rPr>
          <w:rFonts w:ascii="Palatino Linotype" w:hAnsi="Palatino Linotype" w:cs="Tahoma"/>
          <w:color w:val="000000" w:themeColor="text1"/>
          <w:lang w:val="es-ES"/>
        </w:rPr>
      </w:pPr>
      <w:r w:rsidRPr="00305BA5">
        <w:rPr>
          <w:rFonts w:ascii="Palatino Linotype" w:hAnsi="Palatino Linotype" w:cs="Tahoma"/>
          <w:color w:val="000000" w:themeColor="text1"/>
          <w:lang w:val="es-ES"/>
        </w:rPr>
        <w:lastRenderedPageBreak/>
        <w:t>Ello, toda vez que la representación legal debe ser conocida para surtir efectos ante terceros; es decir, la publicidad de la misma tiene por objeto dar certeza a quienes se relacionan con la persona jurídico-colectiva representada, que las actuaciones de su representante están previamente autorizadas y que surtirán efectos legales a que constriñe cada acto.</w:t>
      </w:r>
    </w:p>
    <w:p w:rsidR="00670255" w:rsidRPr="00305BA5" w:rsidRDefault="00670255" w:rsidP="00305BA5">
      <w:pPr>
        <w:spacing w:line="360" w:lineRule="auto"/>
        <w:jc w:val="both"/>
        <w:rPr>
          <w:rFonts w:ascii="Palatino Linotype" w:hAnsi="Palatino Linotype" w:cs="Tahoma"/>
          <w:color w:val="000000" w:themeColor="text1"/>
          <w:lang w:val="es-ES"/>
        </w:rPr>
      </w:pPr>
    </w:p>
    <w:p w:rsidR="00670255" w:rsidRPr="00305BA5" w:rsidRDefault="00670255" w:rsidP="00305BA5">
      <w:pPr>
        <w:numPr>
          <w:ilvl w:val="0"/>
          <w:numId w:val="6"/>
        </w:numPr>
        <w:spacing w:line="360" w:lineRule="auto"/>
        <w:ind w:left="0" w:firstLine="0"/>
        <w:jc w:val="both"/>
        <w:rPr>
          <w:rFonts w:ascii="Palatino Linotype" w:hAnsi="Palatino Linotype" w:cs="Tahoma"/>
          <w:color w:val="000000" w:themeColor="text1"/>
          <w:lang w:val="es-ES"/>
        </w:rPr>
      </w:pPr>
      <w:r w:rsidRPr="00305BA5">
        <w:rPr>
          <w:rFonts w:ascii="Palatino Linotype" w:hAnsi="Palatino Linotype" w:cs="Tahoma"/>
          <w:color w:val="000000" w:themeColor="text1"/>
          <w:lang w:val="es-ES"/>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w:t>
      </w:r>
      <w:r w:rsidRPr="00305BA5">
        <w:rPr>
          <w:rFonts w:ascii="Palatino Linotype" w:hAnsi="Palatino Linotype" w:cs="Tahoma"/>
          <w:b/>
          <w:color w:val="000000" w:themeColor="text1"/>
          <w:lang w:val="es-ES"/>
        </w:rPr>
        <w:t>nombre, la firma y la rúbrica del apoderado legal de una empresa</w:t>
      </w:r>
      <w:r w:rsidRPr="00305BA5">
        <w:rPr>
          <w:rFonts w:ascii="Palatino Linotype" w:hAnsi="Palatino Linotype" w:cs="Tahoma"/>
          <w:color w:val="000000" w:themeColor="text1"/>
          <w:lang w:val="es-ES"/>
        </w:rPr>
        <w:t xml:space="preserve">, </w:t>
      </w:r>
      <w:r w:rsidRPr="00305BA5">
        <w:rPr>
          <w:rFonts w:ascii="Palatino Linotype" w:hAnsi="Palatino Linotype" w:cs="Tahoma"/>
          <w:b/>
          <w:color w:val="000000" w:themeColor="text1"/>
          <w:lang w:val="es-ES"/>
        </w:rPr>
        <w:t xml:space="preserve">es público, </w:t>
      </w:r>
      <w:r w:rsidRPr="00305BA5">
        <w:rPr>
          <w:rFonts w:ascii="Palatino Linotype" w:hAnsi="Palatino Linotype" w:cs="Tahoma"/>
          <w:color w:val="000000" w:themeColor="text1"/>
          <w:lang w:val="es-ES"/>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rsidR="00670255" w:rsidRPr="00305BA5" w:rsidRDefault="00670255" w:rsidP="00305BA5">
      <w:pPr>
        <w:spacing w:line="360" w:lineRule="auto"/>
        <w:jc w:val="both"/>
        <w:rPr>
          <w:rFonts w:ascii="Palatino Linotype" w:hAnsi="Palatino Linotype" w:cs="Tahoma"/>
          <w:color w:val="000000" w:themeColor="text1"/>
          <w:lang w:val="es-ES"/>
        </w:rPr>
      </w:pPr>
    </w:p>
    <w:p w:rsidR="00670255" w:rsidRPr="00305BA5" w:rsidRDefault="00670255" w:rsidP="00305BA5">
      <w:pPr>
        <w:numPr>
          <w:ilvl w:val="0"/>
          <w:numId w:val="6"/>
        </w:numPr>
        <w:spacing w:line="360" w:lineRule="auto"/>
        <w:ind w:left="0" w:firstLine="0"/>
        <w:jc w:val="both"/>
        <w:rPr>
          <w:rFonts w:ascii="Palatino Linotype" w:hAnsi="Palatino Linotype" w:cs="Tahoma"/>
          <w:color w:val="000000" w:themeColor="text1"/>
          <w:lang w:val="es-ES"/>
        </w:rPr>
      </w:pPr>
      <w:r w:rsidRPr="00305BA5">
        <w:rPr>
          <w:rFonts w:ascii="Palatino Linotype" w:hAnsi="Palatino Linotype" w:cs="Tahoma"/>
          <w:color w:val="000000" w:themeColor="text1"/>
          <w:lang w:val="es-ES"/>
        </w:rPr>
        <w:t>Lo anterior, se robustece con el criterio orientador 01/19, emitido por el Instituto Nacional de Transparencia, Acceso a la Información Pública y Protección de Datos Personales, que establece lo siguiente:</w:t>
      </w:r>
    </w:p>
    <w:p w:rsidR="00670255" w:rsidRPr="00305BA5" w:rsidRDefault="00670255" w:rsidP="00305BA5">
      <w:pPr>
        <w:tabs>
          <w:tab w:val="left" w:pos="8080"/>
        </w:tabs>
        <w:jc w:val="both"/>
        <w:rPr>
          <w:rFonts w:ascii="Palatino Linotype" w:hAnsi="Palatino Linotype" w:cs="Tahoma"/>
          <w:i/>
          <w:color w:val="000000" w:themeColor="text1"/>
          <w:lang w:val="es-ES"/>
        </w:rPr>
      </w:pPr>
      <w:r w:rsidRPr="00305BA5">
        <w:rPr>
          <w:rFonts w:ascii="Palatino Linotype" w:hAnsi="Palatino Linotype" w:cs="Tahoma"/>
          <w:b/>
          <w:i/>
          <w:color w:val="000000" w:themeColor="text1"/>
        </w:rPr>
        <w:t>Datos de identificación del representante o apoderado legal.</w:t>
      </w:r>
      <w:r w:rsidRPr="00305BA5">
        <w:rPr>
          <w:rFonts w:ascii="Palatino Linotype" w:hAnsi="Palatino Linotype" w:cs="Tahoma"/>
          <w:i/>
          <w:color w:val="000000" w:themeColor="text1"/>
        </w:rPr>
        <w:t xml:space="preserve"> </w:t>
      </w:r>
      <w:r w:rsidRPr="00305BA5">
        <w:rPr>
          <w:rFonts w:ascii="Palatino Linotype" w:hAnsi="Palatino Linotype" w:cs="Tahoma"/>
          <w:b/>
          <w:i/>
          <w:color w:val="000000" w:themeColor="text1"/>
        </w:rPr>
        <w:t xml:space="preserve">Naturaleza jurídica. </w:t>
      </w:r>
      <w:r w:rsidRPr="00305BA5">
        <w:rPr>
          <w:rFonts w:ascii="Palatino Linotype" w:hAnsi="Palatino Linotype" w:cs="Tahoma"/>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670255" w:rsidRPr="00305BA5" w:rsidRDefault="00670255" w:rsidP="00305BA5">
      <w:pPr>
        <w:spacing w:line="360" w:lineRule="auto"/>
        <w:jc w:val="both"/>
        <w:rPr>
          <w:rFonts w:ascii="Palatino Linotype" w:hAnsi="Palatino Linotype" w:cs="Tahoma"/>
          <w:color w:val="000000" w:themeColor="text1"/>
          <w:lang w:val="es-ES"/>
        </w:rPr>
      </w:pPr>
    </w:p>
    <w:p w:rsidR="00670255" w:rsidRPr="00305BA5" w:rsidRDefault="00670255" w:rsidP="00305BA5">
      <w:pPr>
        <w:numPr>
          <w:ilvl w:val="0"/>
          <w:numId w:val="6"/>
        </w:numPr>
        <w:spacing w:line="360" w:lineRule="auto"/>
        <w:ind w:left="0" w:firstLine="0"/>
        <w:jc w:val="both"/>
        <w:rPr>
          <w:rFonts w:ascii="Palatino Linotype" w:hAnsi="Palatino Linotype" w:cs="Tahoma"/>
          <w:color w:val="000000" w:themeColor="text1"/>
          <w:lang w:val="es-ES"/>
        </w:rPr>
      </w:pPr>
      <w:r w:rsidRPr="00305BA5">
        <w:rPr>
          <w:rFonts w:ascii="Palatino Linotype" w:hAnsi="Palatino Linotype" w:cs="Tahoma"/>
          <w:color w:val="000000" w:themeColor="text1"/>
          <w:lang w:val="es-ES"/>
        </w:rPr>
        <w:t xml:space="preserve">Ante tales situaciones, el nombre, firma y rúbrica del representante legal, de una persona jurídica colectiva que solicitó una Licencia de Funcionamiento, no es susceptible de </w:t>
      </w:r>
      <w:r w:rsidRPr="00305BA5">
        <w:rPr>
          <w:rFonts w:ascii="Palatino Linotype" w:hAnsi="Palatino Linotype" w:cs="Tahoma"/>
          <w:color w:val="000000" w:themeColor="text1"/>
          <w:lang w:val="es-ES"/>
        </w:rPr>
        <w:lastRenderedPageBreak/>
        <w:t>ser clasificado como confidencial, en términos del artículo 143, fracción I de la Ley Federal de Transparencia y Acceso a la Información Pública; inclusive ayuda a rendir cuentas, de que dicha autorización fue entregada a la persona adecuada.</w:t>
      </w:r>
    </w:p>
    <w:p w:rsidR="00670255" w:rsidRPr="00305BA5" w:rsidRDefault="00670255" w:rsidP="00305BA5">
      <w:pPr>
        <w:spacing w:line="360" w:lineRule="auto"/>
        <w:jc w:val="both"/>
        <w:rPr>
          <w:rFonts w:ascii="Palatino Linotype" w:hAnsi="Palatino Linotype" w:cs="Tahoma"/>
          <w:color w:val="000000" w:themeColor="text1"/>
          <w:lang w:val="es-ES"/>
        </w:rPr>
      </w:pPr>
    </w:p>
    <w:p w:rsidR="00670255" w:rsidRPr="00305BA5" w:rsidRDefault="00670255" w:rsidP="00305BA5">
      <w:pPr>
        <w:pStyle w:val="Prrafodelista"/>
        <w:numPr>
          <w:ilvl w:val="0"/>
          <w:numId w:val="36"/>
        </w:numPr>
        <w:shd w:val="clear" w:color="auto" w:fill="FFFFFF" w:themeFill="background1"/>
        <w:spacing w:line="360" w:lineRule="auto"/>
        <w:ind w:left="0" w:firstLine="0"/>
        <w:jc w:val="both"/>
        <w:rPr>
          <w:rFonts w:ascii="Palatino Linotype" w:hAnsi="Palatino Linotype" w:cs="Tahoma"/>
          <w:b/>
          <w:color w:val="000000" w:themeColor="text1"/>
          <w:lang w:eastAsia="es-MX"/>
        </w:rPr>
      </w:pPr>
      <w:r w:rsidRPr="00305BA5">
        <w:rPr>
          <w:rFonts w:ascii="Palatino Linotype" w:hAnsi="Palatino Linotype" w:cs="Tahoma"/>
          <w:b/>
          <w:color w:val="000000" w:themeColor="text1"/>
          <w:lang w:eastAsia="es-MX"/>
        </w:rPr>
        <w:t>Domicilio Fiscal o legal (proveedor persona física o moral)</w:t>
      </w:r>
    </w:p>
    <w:p w:rsidR="00670255" w:rsidRPr="00305BA5" w:rsidRDefault="00670255" w:rsidP="00305BA5">
      <w:pPr>
        <w:numPr>
          <w:ilvl w:val="0"/>
          <w:numId w:val="6"/>
        </w:numPr>
        <w:spacing w:line="360" w:lineRule="auto"/>
        <w:ind w:left="0" w:firstLine="0"/>
        <w:jc w:val="both"/>
        <w:rPr>
          <w:rFonts w:ascii="Palatino Linotype" w:hAnsi="Palatino Linotype" w:cs="Tahoma"/>
          <w:color w:val="000000" w:themeColor="text1"/>
          <w:lang w:val="es-ES"/>
        </w:rPr>
      </w:pPr>
      <w:r w:rsidRPr="00305BA5">
        <w:rPr>
          <w:rFonts w:ascii="Palatino Linotype" w:eastAsia="Palatino Linotype" w:hAnsi="Palatino Linotype" w:cs="Palatino Linotype"/>
          <w:color w:val="000000" w:themeColor="text1"/>
        </w:rPr>
        <w:t>De</w:t>
      </w:r>
      <w:r w:rsidRPr="00305BA5">
        <w:rPr>
          <w:rFonts w:ascii="Palatino Linotype" w:hAnsi="Palatino Linotype" w:cs="Tahoma"/>
          <w:color w:val="000000" w:themeColor="text1"/>
          <w:lang w:val="es-ES"/>
        </w:rPr>
        <w:t xml:space="preserv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rsidR="00670255" w:rsidRPr="00305BA5" w:rsidRDefault="00670255" w:rsidP="00305BA5">
      <w:pPr>
        <w:shd w:val="clear" w:color="auto" w:fill="FFFFFF" w:themeFill="background1"/>
        <w:spacing w:before="240" w:after="240" w:line="360" w:lineRule="auto"/>
        <w:jc w:val="both"/>
        <w:rPr>
          <w:rFonts w:ascii="Palatino Linotype" w:eastAsia="Calibri" w:hAnsi="Palatino Linotype" w:cs="Tahoma"/>
          <w:bCs/>
          <w:iCs/>
          <w:color w:val="000000" w:themeColor="text1"/>
          <w:lang w:val="es-ES"/>
        </w:rPr>
      </w:pPr>
      <w:r w:rsidRPr="00305BA5">
        <w:rPr>
          <w:rFonts w:ascii="Palatino Linotype" w:eastAsia="Calibri" w:hAnsi="Palatino Linotype" w:cs="Tahoma"/>
          <w:bCs/>
          <w:iCs/>
          <w:color w:val="000000" w:themeColor="text1"/>
          <w:lang w:val="es-ES"/>
        </w:rPr>
        <w:t>Además, respecto al domicilio fiscal, resulta necesario traer el artículo 22 del Código Financiero del Estado de México y Municipios, que establece:</w:t>
      </w:r>
    </w:p>
    <w:p w:rsidR="00670255" w:rsidRPr="00305BA5" w:rsidRDefault="00670255" w:rsidP="00305BA5">
      <w:pPr>
        <w:tabs>
          <w:tab w:val="left" w:pos="8080"/>
        </w:tabs>
        <w:jc w:val="both"/>
        <w:rPr>
          <w:rFonts w:ascii="Palatino Linotype" w:eastAsia="Calibri" w:hAnsi="Palatino Linotype" w:cs="Tahoma"/>
          <w:b/>
          <w:bCs/>
          <w:i/>
          <w:iCs/>
          <w:color w:val="000000" w:themeColor="text1"/>
        </w:rPr>
      </w:pPr>
      <w:r w:rsidRPr="00305BA5">
        <w:rPr>
          <w:rFonts w:ascii="Palatino Linotype" w:eastAsia="Calibri" w:hAnsi="Palatino Linotype" w:cs="Tahoma"/>
          <w:b/>
          <w:bCs/>
          <w:i/>
          <w:iCs/>
          <w:color w:val="000000" w:themeColor="text1"/>
        </w:rPr>
        <w:t xml:space="preserve">Artículo 22.- Se considera domicilio fiscal de las personas físicas y </w:t>
      </w:r>
      <w:r w:rsidRPr="00305BA5">
        <w:rPr>
          <w:rFonts w:ascii="Palatino Linotype" w:hAnsi="Palatino Linotype" w:cs="Tahoma"/>
          <w:i/>
          <w:color w:val="000000" w:themeColor="text1"/>
        </w:rPr>
        <w:t>jurídicas</w:t>
      </w:r>
      <w:r w:rsidRPr="00305BA5">
        <w:rPr>
          <w:rFonts w:ascii="Palatino Linotype" w:eastAsia="Calibri" w:hAnsi="Palatino Linotype" w:cs="Tahoma"/>
          <w:b/>
          <w:bCs/>
          <w:i/>
          <w:iCs/>
          <w:color w:val="000000" w:themeColor="text1"/>
        </w:rPr>
        <w:t xml:space="preserve"> colectivas: </w:t>
      </w:r>
    </w:p>
    <w:p w:rsidR="00670255" w:rsidRPr="00305BA5" w:rsidRDefault="00670255" w:rsidP="00305BA5">
      <w:pPr>
        <w:shd w:val="clear" w:color="auto" w:fill="FFFFFF" w:themeFill="background1"/>
        <w:jc w:val="both"/>
        <w:rPr>
          <w:rFonts w:ascii="Palatino Linotype" w:eastAsia="Calibri" w:hAnsi="Palatino Linotype" w:cs="Tahoma"/>
          <w:bCs/>
          <w:i/>
          <w:iCs/>
          <w:color w:val="000000" w:themeColor="text1"/>
        </w:rPr>
      </w:pPr>
    </w:p>
    <w:p w:rsidR="00670255" w:rsidRPr="00305BA5" w:rsidRDefault="00670255" w:rsidP="00305BA5">
      <w:pPr>
        <w:tabs>
          <w:tab w:val="left" w:pos="8080"/>
        </w:tabs>
        <w:jc w:val="both"/>
        <w:rPr>
          <w:rFonts w:ascii="Palatino Linotype" w:eastAsia="Calibri" w:hAnsi="Palatino Linotype" w:cs="Tahoma"/>
          <w:bCs/>
          <w:i/>
          <w:iCs/>
          <w:color w:val="000000" w:themeColor="text1"/>
        </w:rPr>
      </w:pPr>
      <w:r w:rsidRPr="00305BA5">
        <w:rPr>
          <w:rFonts w:ascii="Palatino Linotype" w:eastAsia="Calibri" w:hAnsi="Palatino Linotype" w:cs="Tahoma"/>
          <w:bCs/>
          <w:i/>
          <w:iCs/>
          <w:color w:val="000000" w:themeColor="text1"/>
        </w:rPr>
        <w:t xml:space="preserve">I. El lugar o establecimiento donde se realicen actividades que generen obligaciones fiscales. </w:t>
      </w:r>
    </w:p>
    <w:p w:rsidR="00670255" w:rsidRPr="00305BA5" w:rsidRDefault="00670255" w:rsidP="00305BA5">
      <w:pPr>
        <w:tabs>
          <w:tab w:val="left" w:pos="8080"/>
        </w:tabs>
        <w:jc w:val="both"/>
        <w:rPr>
          <w:rFonts w:ascii="Palatino Linotype" w:eastAsia="Calibri" w:hAnsi="Palatino Linotype" w:cs="Tahoma"/>
          <w:bCs/>
          <w:i/>
          <w:iCs/>
          <w:color w:val="000000" w:themeColor="text1"/>
        </w:rPr>
      </w:pPr>
    </w:p>
    <w:p w:rsidR="00670255" w:rsidRPr="00305BA5" w:rsidRDefault="00670255" w:rsidP="00305BA5">
      <w:pPr>
        <w:tabs>
          <w:tab w:val="left" w:pos="8080"/>
        </w:tabs>
        <w:jc w:val="both"/>
        <w:rPr>
          <w:rFonts w:ascii="Palatino Linotype" w:eastAsia="Calibri" w:hAnsi="Palatino Linotype" w:cs="Tahoma"/>
          <w:bCs/>
          <w:i/>
          <w:iCs/>
          <w:color w:val="000000" w:themeColor="text1"/>
        </w:rPr>
      </w:pPr>
      <w:r w:rsidRPr="00305BA5">
        <w:rPr>
          <w:rFonts w:ascii="Palatino Linotype" w:eastAsia="Calibri" w:hAnsi="Palatino Linotype" w:cs="Tahoma"/>
          <w:bCs/>
          <w:i/>
          <w:iCs/>
          <w:color w:val="000000" w:themeColor="text1"/>
        </w:rPr>
        <w:t xml:space="preserve">II. El lugar o establecimiento en que se realice el hecho generador de la obligación fiscal, cuando las actividades no se realicen en forma habitual. </w:t>
      </w:r>
    </w:p>
    <w:p w:rsidR="00670255" w:rsidRPr="00305BA5" w:rsidRDefault="00670255" w:rsidP="00305BA5">
      <w:pPr>
        <w:tabs>
          <w:tab w:val="left" w:pos="8080"/>
        </w:tabs>
        <w:jc w:val="both"/>
        <w:rPr>
          <w:rFonts w:ascii="Palatino Linotype" w:eastAsia="Calibri" w:hAnsi="Palatino Linotype" w:cs="Tahoma"/>
          <w:bCs/>
          <w:i/>
          <w:iCs/>
          <w:color w:val="000000" w:themeColor="text1"/>
        </w:rPr>
      </w:pPr>
    </w:p>
    <w:p w:rsidR="00670255" w:rsidRPr="00305BA5" w:rsidRDefault="00670255" w:rsidP="00305BA5">
      <w:pPr>
        <w:tabs>
          <w:tab w:val="left" w:pos="8080"/>
        </w:tabs>
        <w:jc w:val="both"/>
        <w:rPr>
          <w:rFonts w:ascii="Palatino Linotype" w:eastAsia="Calibri" w:hAnsi="Palatino Linotype" w:cs="Tahoma"/>
          <w:bCs/>
          <w:i/>
          <w:iCs/>
          <w:color w:val="000000" w:themeColor="text1"/>
        </w:rPr>
      </w:pPr>
      <w:r w:rsidRPr="00305BA5">
        <w:rPr>
          <w:rFonts w:ascii="Palatino Linotype" w:eastAsia="Calibri" w:hAnsi="Palatino Linotype" w:cs="Tahoma"/>
          <w:bCs/>
          <w:i/>
          <w:iCs/>
          <w:color w:val="000000" w:themeColor="text1"/>
        </w:rPr>
        <w:t xml:space="preserve">III. El inmueble en el que residan en el territorio del Estado de México, cuando realicen sus actividades en la vía pública, en puestos fijos y semifijos; </w:t>
      </w:r>
    </w:p>
    <w:p w:rsidR="00670255" w:rsidRPr="00305BA5" w:rsidRDefault="00670255" w:rsidP="00305BA5">
      <w:pPr>
        <w:tabs>
          <w:tab w:val="left" w:pos="8080"/>
        </w:tabs>
        <w:jc w:val="both"/>
        <w:rPr>
          <w:rFonts w:ascii="Palatino Linotype" w:eastAsia="Calibri" w:hAnsi="Palatino Linotype" w:cs="Tahoma"/>
          <w:bCs/>
          <w:i/>
          <w:iCs/>
          <w:color w:val="000000" w:themeColor="text1"/>
        </w:rPr>
      </w:pPr>
    </w:p>
    <w:p w:rsidR="00670255" w:rsidRPr="00305BA5" w:rsidRDefault="00670255" w:rsidP="00305BA5">
      <w:pPr>
        <w:tabs>
          <w:tab w:val="left" w:pos="8080"/>
        </w:tabs>
        <w:jc w:val="both"/>
        <w:rPr>
          <w:rFonts w:ascii="Palatino Linotype" w:eastAsia="Calibri" w:hAnsi="Palatino Linotype" w:cs="Tahoma"/>
          <w:bCs/>
          <w:i/>
          <w:iCs/>
          <w:color w:val="000000" w:themeColor="text1"/>
        </w:rPr>
      </w:pPr>
      <w:r w:rsidRPr="00305BA5">
        <w:rPr>
          <w:rFonts w:ascii="Palatino Linotype" w:eastAsia="Calibri" w:hAnsi="Palatino Linotype" w:cs="Tahoma"/>
          <w:bCs/>
          <w:i/>
          <w:iCs/>
          <w:color w:val="000000" w:themeColor="text1"/>
        </w:rPr>
        <w:t xml:space="preserve">IV. La residencia que identifique la autoridad fiscal, cuando exista certeza de que es el único lugar posible de localización del contribuyente. </w:t>
      </w:r>
    </w:p>
    <w:p w:rsidR="00670255" w:rsidRPr="00305BA5" w:rsidRDefault="00670255" w:rsidP="00305BA5">
      <w:pPr>
        <w:tabs>
          <w:tab w:val="left" w:pos="8080"/>
        </w:tabs>
        <w:jc w:val="both"/>
        <w:rPr>
          <w:rFonts w:ascii="Palatino Linotype" w:eastAsia="Calibri" w:hAnsi="Palatino Linotype" w:cs="Tahoma"/>
          <w:bCs/>
          <w:i/>
          <w:iCs/>
          <w:color w:val="000000" w:themeColor="text1"/>
        </w:rPr>
      </w:pPr>
    </w:p>
    <w:p w:rsidR="00670255" w:rsidRPr="00305BA5" w:rsidRDefault="00670255" w:rsidP="00305BA5">
      <w:pPr>
        <w:tabs>
          <w:tab w:val="left" w:pos="8080"/>
        </w:tabs>
        <w:jc w:val="both"/>
        <w:rPr>
          <w:rFonts w:ascii="Palatino Linotype" w:eastAsia="Calibri" w:hAnsi="Palatino Linotype" w:cs="Tahoma"/>
          <w:bCs/>
          <w:i/>
          <w:iCs/>
          <w:color w:val="000000" w:themeColor="text1"/>
        </w:rPr>
      </w:pPr>
      <w:r w:rsidRPr="00305BA5">
        <w:rPr>
          <w:rFonts w:ascii="Palatino Linotype" w:eastAsia="Calibri" w:hAnsi="Palatino Linotype" w:cs="Tahoma"/>
          <w:bCs/>
          <w:i/>
          <w:iCs/>
          <w:color w:val="000000" w:themeColor="text1"/>
        </w:rPr>
        <w:t>V. Aquel que señalen a las entidades financieras o sociedades cooperativas de ahorro y préstamo, cuando sean usuarios de los servicios que presten estas, siempre que los contribuyentes no hayan manifestado alguno de los domicilios citados en las fracciones anteriores o no hayan sido localizados en los mismos.</w:t>
      </w:r>
    </w:p>
    <w:p w:rsidR="00670255" w:rsidRPr="00305BA5" w:rsidRDefault="00670255" w:rsidP="00305BA5">
      <w:pPr>
        <w:tabs>
          <w:tab w:val="left" w:pos="8080"/>
        </w:tabs>
        <w:jc w:val="both"/>
        <w:rPr>
          <w:rFonts w:ascii="Palatino Linotype" w:eastAsia="Calibri" w:hAnsi="Palatino Linotype" w:cs="Tahoma"/>
          <w:bCs/>
          <w:i/>
          <w:iCs/>
          <w:color w:val="000000" w:themeColor="text1"/>
        </w:rPr>
      </w:pPr>
      <w:r w:rsidRPr="00305BA5">
        <w:rPr>
          <w:rFonts w:ascii="Palatino Linotype" w:eastAsia="Calibri" w:hAnsi="Palatino Linotype" w:cs="Tahoma"/>
          <w:bCs/>
          <w:i/>
          <w:iCs/>
          <w:color w:val="000000" w:themeColor="text1"/>
        </w:rPr>
        <w:t>…</w:t>
      </w:r>
    </w:p>
    <w:p w:rsidR="00670255" w:rsidRPr="00305BA5" w:rsidRDefault="00670255" w:rsidP="00305BA5">
      <w:pPr>
        <w:pStyle w:val="Prrafodelista"/>
        <w:numPr>
          <w:ilvl w:val="0"/>
          <w:numId w:val="36"/>
        </w:numPr>
        <w:spacing w:line="360" w:lineRule="auto"/>
        <w:ind w:left="0" w:firstLine="0"/>
        <w:jc w:val="both"/>
        <w:rPr>
          <w:rFonts w:ascii="Palatino Linotype" w:eastAsia="Calibri" w:hAnsi="Palatino Linotype" w:cs="Tahoma"/>
          <w:b/>
          <w:bCs/>
          <w:color w:val="000000" w:themeColor="text1"/>
        </w:rPr>
      </w:pPr>
      <w:r w:rsidRPr="00305BA5">
        <w:rPr>
          <w:rFonts w:ascii="Palatino Linotype" w:eastAsia="Calibri" w:hAnsi="Palatino Linotype" w:cs="Tahoma"/>
          <w:b/>
          <w:bCs/>
          <w:color w:val="000000" w:themeColor="text1"/>
        </w:rPr>
        <w:lastRenderedPageBreak/>
        <w:t>Número telefónico</w:t>
      </w:r>
    </w:p>
    <w:p w:rsidR="00670255" w:rsidRPr="00305BA5" w:rsidRDefault="00670255" w:rsidP="00305BA5">
      <w:pPr>
        <w:numPr>
          <w:ilvl w:val="0"/>
          <w:numId w:val="6"/>
        </w:numPr>
        <w:spacing w:line="360" w:lineRule="auto"/>
        <w:ind w:left="0" w:firstLine="0"/>
        <w:jc w:val="both"/>
        <w:rPr>
          <w:rFonts w:ascii="Palatino Linotype" w:eastAsia="Calibri" w:hAnsi="Palatino Linotype" w:cs="Tahoma"/>
          <w:bCs/>
          <w:color w:val="000000" w:themeColor="text1"/>
        </w:rPr>
      </w:pPr>
      <w:r w:rsidRPr="00305BA5">
        <w:rPr>
          <w:rFonts w:ascii="Palatino Linotype" w:eastAsia="Calibri" w:hAnsi="Palatino Linotype" w:cs="Tahoma"/>
          <w:b/>
          <w:bCs/>
          <w:color w:val="000000" w:themeColor="text1"/>
        </w:rPr>
        <w:t>Un</w:t>
      </w:r>
      <w:r w:rsidRPr="00305BA5">
        <w:rPr>
          <w:rFonts w:ascii="Palatino Linotype" w:eastAsia="Calibri" w:hAnsi="Palatino Linotype" w:cs="Tahoma"/>
          <w:bCs/>
          <w:color w:val="000000" w:themeColor="text1"/>
        </w:rPr>
        <w:t> </w:t>
      </w:r>
      <w:r w:rsidRPr="00305BA5">
        <w:rPr>
          <w:rFonts w:ascii="Palatino Linotype" w:eastAsia="Calibri" w:hAnsi="Palatino Linotype" w:cs="Tahoma"/>
          <w:b/>
          <w:bCs/>
          <w:color w:val="000000" w:themeColor="text1"/>
        </w:rPr>
        <w:t>número de teléfono</w:t>
      </w:r>
      <w:r w:rsidRPr="00305BA5">
        <w:rPr>
          <w:rFonts w:ascii="Palatino Linotype" w:eastAsia="Calibri" w:hAnsi="Palatino Linotype" w:cs="Tahoma"/>
          <w:bCs/>
          <w:color w:val="000000" w:themeColor="text1"/>
        </w:rPr>
        <w:t> es una secuencia de </w:t>
      </w:r>
      <w:r w:rsidRPr="00305BA5">
        <w:rPr>
          <w:rStyle w:val="Hipervnculo"/>
          <w:rFonts w:ascii="Palatino Linotype" w:eastAsia="Calibri" w:hAnsi="Palatino Linotype" w:cs="Tahoma"/>
          <w:bCs/>
          <w:color w:val="000000" w:themeColor="text1"/>
          <w:u w:val="none"/>
        </w:rPr>
        <w:t>dígitos</w:t>
      </w:r>
      <w:r w:rsidRPr="00305BA5">
        <w:rPr>
          <w:rFonts w:ascii="Palatino Linotype" w:eastAsia="Calibri" w:hAnsi="Palatino Linotype" w:cs="Tahoma"/>
          <w:bCs/>
          <w:color w:val="000000" w:themeColor="text1"/>
        </w:rPr>
        <w:t> utilizada para identificar una </w:t>
      </w:r>
      <w:r w:rsidRPr="00305BA5">
        <w:rPr>
          <w:rStyle w:val="Hipervnculo"/>
          <w:rFonts w:ascii="Palatino Linotype" w:eastAsia="Calibri" w:hAnsi="Palatino Linotype" w:cs="Tahoma"/>
          <w:bCs/>
          <w:color w:val="000000" w:themeColor="text1"/>
          <w:u w:val="none"/>
        </w:rPr>
        <w:t>línea telefónica</w:t>
      </w:r>
      <w:r w:rsidRPr="00305BA5">
        <w:rPr>
          <w:rFonts w:ascii="Palatino Linotype" w:eastAsia="Calibri" w:hAnsi="Palatino Linotype" w:cs="Tahoma"/>
          <w:bCs/>
          <w:color w:val="000000" w:themeColor="text1"/>
        </w:rPr>
        <w:t> dentro de una </w:t>
      </w:r>
      <w:r w:rsidRPr="00305BA5">
        <w:rPr>
          <w:rStyle w:val="Hipervnculo"/>
          <w:rFonts w:ascii="Palatino Linotype" w:eastAsia="Calibri" w:hAnsi="Palatino Linotype" w:cs="Tahoma"/>
          <w:bCs/>
          <w:color w:val="000000" w:themeColor="text1"/>
          <w:u w:val="none"/>
        </w:rPr>
        <w:t>Red Telefónica Conmutada</w:t>
      </w:r>
      <w:r w:rsidRPr="00305BA5">
        <w:rPr>
          <w:rFonts w:ascii="Palatino Linotype" w:eastAsia="Calibri" w:hAnsi="Palatino Linotype" w:cs="Tahoma"/>
          <w:bCs/>
          <w:color w:val="000000" w:themeColor="text1"/>
        </w:rPr>
        <w:t>, el número contiene la información necesaria para identificar el punto final de la llamada. Los números de teléfono están a menudo asignados a líneas que tienen conectados dispositivos distintos de un </w:t>
      </w:r>
      <w:r w:rsidRPr="00305BA5">
        <w:rPr>
          <w:rStyle w:val="Hipervnculo"/>
          <w:rFonts w:ascii="Palatino Linotype" w:eastAsia="Calibri" w:hAnsi="Palatino Linotype" w:cs="Tahoma"/>
          <w:bCs/>
          <w:color w:val="000000" w:themeColor="text1"/>
          <w:u w:val="none"/>
        </w:rPr>
        <w:t>teléfono</w:t>
      </w:r>
      <w:r w:rsidRPr="00305BA5">
        <w:rPr>
          <w:rFonts w:ascii="Palatino Linotype" w:eastAsia="Calibri" w:hAnsi="Palatino Linotype" w:cs="Tahoma"/>
          <w:bCs/>
          <w:color w:val="000000" w:themeColor="text1"/>
        </w:rPr>
        <w:t>, tales como </w:t>
      </w:r>
      <w:r w:rsidRPr="00305BA5">
        <w:rPr>
          <w:rStyle w:val="Hipervnculo"/>
          <w:rFonts w:ascii="Palatino Linotype" w:eastAsia="Calibri" w:hAnsi="Palatino Linotype" w:cs="Tahoma"/>
          <w:bCs/>
          <w:color w:val="000000" w:themeColor="text1"/>
          <w:u w:val="none"/>
        </w:rPr>
        <w:t>faxes</w:t>
      </w:r>
      <w:r w:rsidRPr="00305BA5">
        <w:rPr>
          <w:rFonts w:ascii="Palatino Linotype" w:eastAsia="Calibri" w:hAnsi="Palatino Linotype" w:cs="Tahoma"/>
          <w:bCs/>
          <w:color w:val="000000" w:themeColor="text1"/>
        </w:rPr>
        <w:t> y </w:t>
      </w:r>
      <w:r w:rsidRPr="00305BA5">
        <w:rPr>
          <w:rStyle w:val="Hipervnculo"/>
          <w:rFonts w:ascii="Palatino Linotype" w:eastAsia="Calibri" w:hAnsi="Palatino Linotype" w:cs="Tahoma"/>
          <w:bCs/>
          <w:color w:val="000000" w:themeColor="text1"/>
          <w:u w:val="none"/>
        </w:rPr>
        <w:t>módems</w:t>
      </w:r>
      <w:r w:rsidRPr="00305BA5">
        <w:rPr>
          <w:rFonts w:ascii="Palatino Linotype" w:eastAsia="Calibri" w:hAnsi="Palatino Linotype" w:cs="Tahoma"/>
          <w:bCs/>
          <w:color w:val="000000" w:themeColor="text1"/>
        </w:rPr>
        <w:t>. Cada uno de esos </w:t>
      </w:r>
      <w:r w:rsidRPr="00305BA5">
        <w:rPr>
          <w:rStyle w:val="Hipervnculo"/>
          <w:rFonts w:ascii="Palatino Linotype" w:eastAsia="Calibri" w:hAnsi="Palatino Linotype" w:cs="Tahoma"/>
          <w:bCs/>
          <w:color w:val="000000" w:themeColor="text1"/>
          <w:u w:val="none"/>
        </w:rPr>
        <w:t>puntos de terminación de red</w:t>
      </w:r>
      <w:r w:rsidRPr="00305BA5">
        <w:rPr>
          <w:rFonts w:ascii="Palatino Linotype" w:eastAsia="Calibri" w:hAnsi="Palatino Linotype" w:cs="Tahoma"/>
          <w:bCs/>
          <w:color w:val="000000" w:themeColor="text1"/>
        </w:rPr>
        <w:t> deben de tener un número único en la red para poder realizar una </w:t>
      </w:r>
      <w:r w:rsidRPr="00305BA5">
        <w:rPr>
          <w:rStyle w:val="Hipervnculo"/>
          <w:rFonts w:ascii="Palatino Linotype" w:eastAsia="Calibri" w:hAnsi="Palatino Linotype" w:cs="Tahoma"/>
          <w:bCs/>
          <w:color w:val="000000" w:themeColor="text1"/>
          <w:u w:val="none"/>
        </w:rPr>
        <w:t>llamada telefónica</w:t>
      </w:r>
      <w:r w:rsidRPr="00305BA5">
        <w:rPr>
          <w:rFonts w:ascii="Palatino Linotype" w:eastAsia="Calibri" w:hAnsi="Palatino Linotype" w:cs="Tahoma"/>
          <w:bCs/>
          <w:color w:val="000000" w:themeColor="text1"/>
        </w:rPr>
        <w:t>.</w:t>
      </w:r>
    </w:p>
    <w:p w:rsidR="00670255" w:rsidRPr="00305BA5" w:rsidRDefault="00670255" w:rsidP="00305BA5">
      <w:pPr>
        <w:spacing w:line="360" w:lineRule="auto"/>
        <w:jc w:val="both"/>
        <w:rPr>
          <w:rFonts w:ascii="Palatino Linotype" w:eastAsia="Calibri" w:hAnsi="Palatino Linotype" w:cs="Tahoma"/>
          <w:bCs/>
          <w:color w:val="000000" w:themeColor="text1"/>
        </w:rPr>
      </w:pPr>
    </w:p>
    <w:p w:rsidR="00670255" w:rsidRPr="00305BA5" w:rsidRDefault="00670255" w:rsidP="00305BA5">
      <w:pPr>
        <w:pStyle w:val="Prrafodelista"/>
        <w:numPr>
          <w:ilvl w:val="0"/>
          <w:numId w:val="36"/>
        </w:numPr>
        <w:spacing w:line="360" w:lineRule="auto"/>
        <w:ind w:left="0" w:firstLine="0"/>
        <w:jc w:val="both"/>
        <w:rPr>
          <w:rFonts w:ascii="Palatino Linotype" w:hAnsi="Palatino Linotype" w:cs="Tahoma"/>
          <w:color w:val="000000" w:themeColor="text1"/>
        </w:rPr>
      </w:pPr>
      <w:r w:rsidRPr="00305BA5">
        <w:rPr>
          <w:rFonts w:ascii="Palatino Linotype" w:hAnsi="Palatino Linotype" w:cs="Tahoma"/>
          <w:b/>
          <w:color w:val="000000" w:themeColor="text1"/>
        </w:rPr>
        <w:t>Correo electrónico</w:t>
      </w:r>
    </w:p>
    <w:p w:rsidR="00670255" w:rsidRPr="00305BA5" w:rsidRDefault="00670255" w:rsidP="00305BA5">
      <w:pPr>
        <w:numPr>
          <w:ilvl w:val="0"/>
          <w:numId w:val="6"/>
        </w:numPr>
        <w:spacing w:line="360" w:lineRule="auto"/>
        <w:ind w:left="0" w:firstLine="0"/>
        <w:jc w:val="both"/>
        <w:rPr>
          <w:rFonts w:ascii="Palatino Linotype" w:eastAsia="Calibri" w:hAnsi="Palatino Linotype" w:cs="Tahoma"/>
          <w:bCs/>
          <w:color w:val="000000" w:themeColor="text1"/>
          <w:lang w:eastAsia="en-US"/>
        </w:rPr>
      </w:pPr>
      <w:r w:rsidRPr="00305BA5">
        <w:rPr>
          <w:rFonts w:ascii="Palatino Linotype" w:eastAsia="Calibri" w:hAnsi="Palatino Linotype" w:cs="Tahoma"/>
          <w:bCs/>
          <w:color w:val="000000" w:themeColor="text1"/>
        </w:rPr>
        <w:t>El</w:t>
      </w:r>
      <w:r w:rsidRPr="00305BA5">
        <w:rPr>
          <w:rFonts w:ascii="Palatino Linotype" w:eastAsia="Calibri" w:hAnsi="Palatino Linotype" w:cs="Tahoma"/>
          <w:bCs/>
          <w:color w:val="000000" w:themeColor="text1"/>
          <w:lang w:eastAsia="en-US"/>
        </w:rPr>
        <w:t xml:space="preserve"> </w:t>
      </w:r>
      <w:r w:rsidRPr="00305BA5">
        <w:rPr>
          <w:rFonts w:ascii="Palatino Linotype" w:eastAsia="Calibri" w:hAnsi="Palatino Linotype" w:cs="Tahoma"/>
          <w:b/>
          <w:bCs/>
          <w:color w:val="000000" w:themeColor="text1"/>
          <w:lang w:eastAsia="en-US"/>
        </w:rPr>
        <w:t>correo electrónico</w:t>
      </w:r>
      <w:r w:rsidRPr="00305BA5">
        <w:rPr>
          <w:rFonts w:ascii="Palatino Linotype" w:eastAsia="Calibri" w:hAnsi="Palatino Linotype" w:cs="Tahoma"/>
          <w:bCs/>
          <w:color w:val="000000" w:themeColor="text1"/>
          <w:lang w:eastAsia="en-US"/>
        </w:rPr>
        <w:t xml:space="preserve"> es un sistema de transmisión de mensajes a través de internet.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670255" w:rsidRPr="00305BA5" w:rsidRDefault="00670255" w:rsidP="00305BA5">
      <w:pPr>
        <w:spacing w:line="360" w:lineRule="auto"/>
        <w:jc w:val="both"/>
        <w:rPr>
          <w:rFonts w:ascii="Palatino Linotype" w:hAnsi="Palatino Linotype"/>
          <w:color w:val="000000" w:themeColor="text1"/>
        </w:rPr>
      </w:pPr>
    </w:p>
    <w:p w:rsidR="00670255" w:rsidRPr="00305BA5" w:rsidRDefault="00670255" w:rsidP="00305BA5">
      <w:pPr>
        <w:numPr>
          <w:ilvl w:val="0"/>
          <w:numId w:val="6"/>
        </w:numPr>
        <w:spacing w:line="360" w:lineRule="auto"/>
        <w:ind w:left="0" w:firstLine="0"/>
        <w:jc w:val="both"/>
        <w:rPr>
          <w:rFonts w:ascii="Palatino Linotype" w:eastAsia="Calibri" w:hAnsi="Palatino Linotype" w:cs="Tahoma"/>
          <w:bCs/>
          <w:color w:val="000000" w:themeColor="text1"/>
        </w:rPr>
      </w:pPr>
      <w:r w:rsidRPr="00305BA5">
        <w:rPr>
          <w:rFonts w:ascii="Palatino Linotype" w:eastAsia="Calibri" w:hAnsi="Palatino Linotype" w:cs="Tahoma"/>
          <w:bCs/>
          <w:color w:val="000000" w:themeColor="text1"/>
        </w:rPr>
        <w:t xml:space="preserve">Al respecto debe mencionarse que </w:t>
      </w:r>
      <w:r w:rsidRPr="00305BA5">
        <w:rPr>
          <w:rFonts w:ascii="Palatino Linotype" w:eastAsia="Calibri" w:hAnsi="Palatino Linotype" w:cs="Tahoma"/>
          <w:bCs/>
          <w:iCs/>
          <w:color w:val="000000" w:themeColor="text1"/>
          <w:lang w:val="es-ES"/>
        </w:rPr>
        <w:t xml:space="preserve">conforme a lo establecido en los criterios números 16, 18 y 19 de </w:t>
      </w:r>
      <w:r w:rsidRPr="00305BA5">
        <w:rPr>
          <w:rFonts w:ascii="Palatino Linotype" w:eastAsia="Calibri" w:hAnsi="Palatino Linotype" w:cs="Tahoma"/>
          <w:bCs/>
          <w:color w:val="000000" w:themeColor="text1"/>
        </w:rPr>
        <w:t xml:space="preserve">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artículo 70, </w:t>
      </w:r>
      <w:r w:rsidRPr="00305BA5">
        <w:rPr>
          <w:rFonts w:ascii="Palatino Linotype" w:eastAsia="Calibri" w:hAnsi="Palatino Linotype" w:cs="Tahoma"/>
          <w:b/>
          <w:bCs/>
          <w:color w:val="000000" w:themeColor="text1"/>
        </w:rPr>
        <w:t xml:space="preserve">el domicilio fiscal, y datos de contacto como teléfono y correo electrónico de los proveedores y </w:t>
      </w:r>
      <w:r w:rsidRPr="00305BA5">
        <w:rPr>
          <w:rFonts w:ascii="Palatino Linotype" w:eastAsia="Calibri" w:hAnsi="Palatino Linotype" w:cs="Tahoma"/>
          <w:b/>
          <w:bCs/>
          <w:color w:val="000000" w:themeColor="text1"/>
        </w:rPr>
        <w:lastRenderedPageBreak/>
        <w:t>contratistas, es un dato que debe ser público, motivo por el cual no es procedente que se realice su clasificación como confidencial.</w:t>
      </w:r>
    </w:p>
    <w:p w:rsidR="00670255" w:rsidRPr="00305BA5" w:rsidRDefault="00670255" w:rsidP="00305BA5">
      <w:pPr>
        <w:spacing w:line="360" w:lineRule="auto"/>
        <w:jc w:val="both"/>
        <w:rPr>
          <w:rFonts w:ascii="Palatino Linotype" w:eastAsia="Palatino Linotype" w:hAnsi="Palatino Linotype" w:cs="Palatino Linotype"/>
          <w:b/>
          <w:color w:val="000000" w:themeColor="text1"/>
        </w:rPr>
      </w:pPr>
    </w:p>
    <w:p w:rsidR="00670255" w:rsidRPr="00305BA5" w:rsidRDefault="00670255"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En ese sentido, el </w:t>
      </w:r>
      <w:r w:rsidRPr="00305BA5">
        <w:rPr>
          <w:rFonts w:ascii="Palatino Linotype" w:eastAsia="Palatino Linotype" w:hAnsi="Palatino Linotype" w:cs="Palatino Linotype"/>
          <w:b/>
          <w:color w:val="000000" w:themeColor="text1"/>
        </w:rPr>
        <w:t>SUJETO OBLIGADO</w:t>
      </w:r>
      <w:r w:rsidRPr="00305BA5">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por las cuales se clasifican como confidenciales los datos expuestos con anterioridad.</w:t>
      </w:r>
    </w:p>
    <w:p w:rsidR="00670255" w:rsidRPr="00305BA5" w:rsidRDefault="00670255" w:rsidP="00305BA5">
      <w:pPr>
        <w:tabs>
          <w:tab w:val="left" w:pos="284"/>
        </w:tabs>
        <w:spacing w:line="360" w:lineRule="auto"/>
        <w:jc w:val="both"/>
        <w:rPr>
          <w:rFonts w:ascii="Palatino Linotype" w:eastAsia="Palatino Linotype" w:hAnsi="Palatino Linotype" w:cs="Palatino Linotype"/>
          <w:color w:val="000000" w:themeColor="text1"/>
        </w:rPr>
      </w:pPr>
    </w:p>
    <w:p w:rsidR="00670255" w:rsidRPr="00305BA5" w:rsidRDefault="00670255"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Derivado de lo establecido en párrafos anteriores, si el </w:t>
      </w:r>
      <w:r w:rsidRPr="00305BA5">
        <w:rPr>
          <w:rFonts w:ascii="Palatino Linotype" w:eastAsia="Palatino Linotype" w:hAnsi="Palatino Linotype" w:cs="Palatino Linotype"/>
          <w:b/>
          <w:color w:val="000000" w:themeColor="text1"/>
        </w:rPr>
        <w:t>SUJETO OBLIGADO</w:t>
      </w:r>
      <w:r w:rsidRPr="00305BA5">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4000D2" w:rsidRPr="00305BA5" w:rsidRDefault="004000D2" w:rsidP="00305BA5">
      <w:pPr>
        <w:spacing w:line="360" w:lineRule="auto"/>
        <w:jc w:val="both"/>
        <w:rPr>
          <w:rFonts w:ascii="Palatino Linotype" w:eastAsia="Palatino Linotype" w:hAnsi="Palatino Linotype" w:cs="Palatino Linotype"/>
          <w:color w:val="000000" w:themeColor="text1"/>
        </w:rPr>
      </w:pPr>
    </w:p>
    <w:p w:rsidR="005F6407" w:rsidRPr="00305BA5" w:rsidRDefault="004000D2" w:rsidP="00305BA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305BA5">
        <w:rPr>
          <w:rFonts w:ascii="Palatino Linotype" w:eastAsia="Palatino Linotype" w:hAnsi="Palatino Linotype" w:cs="Palatino Linotype"/>
          <w:b/>
          <w:color w:val="000000" w:themeColor="text1"/>
        </w:rPr>
        <w:t>SEXTO</w:t>
      </w:r>
      <w:r w:rsidR="005F6407" w:rsidRPr="00305BA5">
        <w:rPr>
          <w:rFonts w:ascii="Palatino Linotype" w:eastAsia="Palatino Linotype" w:hAnsi="Palatino Linotype" w:cs="Palatino Linotype"/>
          <w:color w:val="000000" w:themeColor="text1"/>
        </w:rPr>
        <w:t xml:space="preserve">. </w:t>
      </w:r>
      <w:r w:rsidR="005F6407" w:rsidRPr="00305BA5">
        <w:rPr>
          <w:rFonts w:ascii="Palatino Linotype" w:eastAsia="Palatino Linotype" w:hAnsi="Palatino Linotype" w:cs="Palatino Linotype"/>
          <w:b/>
          <w:color w:val="000000" w:themeColor="text1"/>
        </w:rPr>
        <w:t>Vista a la Secretaría Técnica del Pleno</w:t>
      </w:r>
    </w:p>
    <w:p w:rsidR="005F6407" w:rsidRPr="00305BA5" w:rsidRDefault="005F6407"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En el caso en estudio, ha quedado acreditado que el </w:t>
      </w:r>
      <w:r w:rsidRPr="00305BA5">
        <w:rPr>
          <w:rFonts w:ascii="Palatino Linotype" w:eastAsia="Palatino Linotype" w:hAnsi="Palatino Linotype" w:cs="Palatino Linotype"/>
          <w:b/>
          <w:color w:val="000000" w:themeColor="text1"/>
        </w:rPr>
        <w:t xml:space="preserve">Ayuntamiento de </w:t>
      </w:r>
      <w:r w:rsidR="00644A3D" w:rsidRPr="00305BA5">
        <w:rPr>
          <w:rFonts w:ascii="Palatino Linotype" w:eastAsia="Palatino Linotype" w:hAnsi="Palatino Linotype" w:cs="Palatino Linotype"/>
          <w:b/>
          <w:bCs/>
          <w:color w:val="000000" w:themeColor="text1"/>
        </w:rPr>
        <w:t>Villa de Allende</w:t>
      </w:r>
      <w:r w:rsidRPr="00305BA5">
        <w:rPr>
          <w:rFonts w:ascii="Palatino Linotype" w:eastAsia="Palatino Linotype" w:hAnsi="Palatino Linotype" w:cs="Palatino Linotype"/>
          <w:b/>
          <w:color w:val="000000" w:themeColor="text1"/>
        </w:rPr>
        <w:t>, omitió dar respuesta</w:t>
      </w:r>
      <w:r w:rsidRPr="00305BA5">
        <w:rPr>
          <w:rFonts w:ascii="Palatino Linotype" w:eastAsia="Palatino Linotype" w:hAnsi="Palatino Linotype" w:cs="Palatino Linotype"/>
          <w:color w:val="000000" w:themeColor="text1"/>
        </w:rPr>
        <w:t xml:space="preserve"> en el plazo señalado en el artículo 163 de la Ley de Transparencia y Acceso a la Información Pública del Estado de México y Municipios. </w:t>
      </w:r>
    </w:p>
    <w:p w:rsidR="005F6407" w:rsidRPr="00305BA5" w:rsidRDefault="005F6407" w:rsidP="00305BA5">
      <w:pPr>
        <w:spacing w:line="360" w:lineRule="auto"/>
        <w:rPr>
          <w:rFonts w:ascii="Palatino Linotype" w:hAnsi="Palatino Linotype"/>
          <w:color w:val="000000" w:themeColor="text1"/>
        </w:rPr>
      </w:pPr>
    </w:p>
    <w:p w:rsidR="005F6407" w:rsidRPr="00305BA5" w:rsidRDefault="005F6407"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Al respecto, el artículo 36, fracción X, del ordenamiento jurídico en cita, establece que es atribución de este Instituto hacer del conocimiento al Área competente de cada Sujeto Obligado las infracciones a esta Ley. </w:t>
      </w:r>
    </w:p>
    <w:p w:rsidR="005F6407" w:rsidRPr="00305BA5" w:rsidRDefault="005F6407" w:rsidP="00305BA5">
      <w:pPr>
        <w:spacing w:line="360" w:lineRule="auto"/>
        <w:rPr>
          <w:rFonts w:ascii="Palatino Linotype" w:hAnsi="Palatino Linotype"/>
          <w:color w:val="000000" w:themeColor="text1"/>
        </w:rPr>
      </w:pPr>
    </w:p>
    <w:p w:rsidR="005F6407" w:rsidRPr="00305BA5" w:rsidRDefault="005F6407"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En ese sentido, de conformidad con lo previsto en el artículo 222, fracción II, de dicho ordenamiento, son causas de responsabilidad administrativa los incumplimientos de las </w:t>
      </w:r>
      <w:r w:rsidRPr="00305BA5">
        <w:rPr>
          <w:rFonts w:ascii="Palatino Linotype" w:eastAsia="Palatino Linotype" w:hAnsi="Palatino Linotype" w:cs="Palatino Linotype"/>
          <w:color w:val="000000" w:themeColor="text1"/>
        </w:rPr>
        <w:lastRenderedPageBreak/>
        <w:t xml:space="preserve">obligaciones establecida en la Ley de la materia, entre otras conductas, la falta de respuesta a las solicitudes de información en los plazos señalados, a saber, dentro de los quince días siguientes a la presentación del requerimiento. </w:t>
      </w:r>
    </w:p>
    <w:p w:rsidR="005F6407" w:rsidRPr="00305BA5" w:rsidRDefault="005F6407" w:rsidP="00305BA5">
      <w:pPr>
        <w:spacing w:line="360" w:lineRule="auto"/>
        <w:rPr>
          <w:rFonts w:ascii="Palatino Linotype" w:hAnsi="Palatino Linotype"/>
          <w:color w:val="000000" w:themeColor="text1"/>
        </w:rPr>
      </w:pPr>
    </w:p>
    <w:p w:rsidR="005F6407" w:rsidRPr="00305BA5" w:rsidRDefault="005F6407"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rsidR="005F6407" w:rsidRPr="00305BA5" w:rsidRDefault="005F6407" w:rsidP="00305BA5">
      <w:pPr>
        <w:spacing w:line="360" w:lineRule="auto"/>
        <w:rPr>
          <w:rFonts w:ascii="Palatino Linotype" w:hAnsi="Palatino Linotype"/>
          <w:color w:val="000000" w:themeColor="text1"/>
        </w:rPr>
      </w:pPr>
    </w:p>
    <w:p w:rsidR="005F6407" w:rsidRPr="00305BA5" w:rsidRDefault="005F6407"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w:t>
      </w:r>
    </w:p>
    <w:p w:rsidR="005F6407" w:rsidRPr="00305BA5" w:rsidRDefault="005F6407" w:rsidP="00305BA5">
      <w:pPr>
        <w:spacing w:line="360" w:lineRule="auto"/>
        <w:rPr>
          <w:rFonts w:ascii="Palatino Linotype" w:hAnsi="Palatino Linotype"/>
          <w:color w:val="000000" w:themeColor="text1"/>
        </w:rPr>
      </w:pPr>
    </w:p>
    <w:p w:rsidR="005F6407" w:rsidRPr="00305BA5" w:rsidRDefault="005F6407"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w:t>
      </w:r>
      <w:r w:rsidRPr="00305BA5">
        <w:rPr>
          <w:rFonts w:ascii="Palatino Linotype" w:eastAsia="Palatino Linotype" w:hAnsi="Palatino Linotype" w:cs="Palatino Linotype"/>
          <w:b/>
          <w:color w:val="000000" w:themeColor="text1"/>
        </w:rPr>
        <w:t>Secretaría Técnica</w:t>
      </w:r>
      <w:r w:rsidRPr="00305BA5">
        <w:rPr>
          <w:rFonts w:ascii="Palatino Linotype" w:eastAsia="Palatino Linotype" w:hAnsi="Palatino Linotype" w:cs="Palatino Linotype"/>
          <w:color w:val="000000" w:themeColor="text1"/>
        </w:rPr>
        <w:t xml:space="preserve"> de este Instituto, para que realice lo conducente.</w:t>
      </w:r>
    </w:p>
    <w:p w:rsidR="00EA1EE1" w:rsidRPr="00305BA5" w:rsidRDefault="00EA1EE1" w:rsidP="00305BA5">
      <w:pPr>
        <w:spacing w:line="360" w:lineRule="auto"/>
        <w:jc w:val="both"/>
        <w:rPr>
          <w:rFonts w:ascii="Palatino Linotype" w:hAnsi="Palatino Linotype"/>
          <w:color w:val="000000" w:themeColor="text1"/>
        </w:rPr>
      </w:pPr>
    </w:p>
    <w:p w:rsidR="0072148B" w:rsidRPr="00305BA5" w:rsidRDefault="004000D2" w:rsidP="00305BA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t>Por todo lo expuesto, c</w:t>
      </w:r>
      <w:r w:rsidR="00A077F4" w:rsidRPr="00305BA5">
        <w:rPr>
          <w:rFonts w:ascii="Palatino Linotype" w:eastAsia="Palatino Linotype" w:hAnsi="Palatino Linotype" w:cs="Palatino Linotype"/>
          <w:color w:val="000000" w:themeColor="text1"/>
        </w:rPr>
        <w:t xml:space="preserve">on fundamento en lo prescrito en los artículos 5, </w:t>
      </w:r>
      <w:r w:rsidRPr="00305BA5">
        <w:rPr>
          <w:rFonts w:ascii="Palatino Linotype" w:eastAsia="Palatino Linotype" w:hAnsi="Palatino Linotype" w:cs="Palatino Linotype"/>
          <w:color w:val="000000" w:themeColor="text1"/>
          <w:lang w:val="es-MX"/>
        </w:rPr>
        <w:t>párrafos trigésimo séptimo, trigésimo octavo y trigésimo noveno</w:t>
      </w:r>
      <w:r w:rsidR="00644A3D" w:rsidRPr="00305BA5">
        <w:rPr>
          <w:rFonts w:ascii="Palatino Linotype" w:eastAsia="Palatino Linotype" w:hAnsi="Palatino Linotype" w:cs="Palatino Linotype"/>
          <w:color w:val="000000" w:themeColor="text1"/>
          <w:lang w:val="es-MX"/>
        </w:rPr>
        <w:t>,</w:t>
      </w:r>
      <w:r w:rsidRPr="00305BA5">
        <w:rPr>
          <w:rFonts w:ascii="Palatino Linotype" w:eastAsia="Palatino Linotype" w:hAnsi="Palatino Linotype" w:cs="Palatino Linotype"/>
          <w:color w:val="000000" w:themeColor="text1"/>
          <w:lang w:val="es-MX"/>
        </w:rPr>
        <w:t xml:space="preserve"> fracciones IV y V,</w:t>
      </w:r>
      <w:r w:rsidR="00A077F4" w:rsidRPr="00305BA5">
        <w:rPr>
          <w:rFonts w:ascii="Palatino Linotype" w:eastAsia="Palatino Linotype" w:hAnsi="Palatino Linotype" w:cs="Palatino Linotype"/>
          <w:color w:val="000000" w:themeColor="text1"/>
        </w:rPr>
        <w:t xml:space="preserve"> de la Constitución Política del Estado Libre y Soberano de México; 2, fracción II; 29, 36 fracciones I y II; 176, 178, </w:t>
      </w:r>
      <w:r w:rsidR="00A077F4" w:rsidRPr="00305BA5">
        <w:rPr>
          <w:rFonts w:ascii="Palatino Linotype" w:eastAsia="Palatino Linotype" w:hAnsi="Palatino Linotype" w:cs="Palatino Linotype"/>
          <w:color w:val="000000" w:themeColor="text1"/>
        </w:rPr>
        <w:lastRenderedPageBreak/>
        <w:t>179, 181 y 185 de la Ley de Transparencia y Acceso a la Información Pública del Estado de México y Municipios, este Pleno:</w:t>
      </w:r>
    </w:p>
    <w:p w:rsidR="0072148B" w:rsidRPr="00305BA5" w:rsidRDefault="0072148B" w:rsidP="00305BA5">
      <w:pPr>
        <w:rPr>
          <w:rFonts w:ascii="Palatino Linotype" w:eastAsia="Palatino Linotype" w:hAnsi="Palatino Linotype" w:cs="Palatino Linotype"/>
          <w:color w:val="000000" w:themeColor="text1"/>
        </w:rPr>
      </w:pPr>
    </w:p>
    <w:p w:rsidR="0072148B" w:rsidRPr="00305BA5" w:rsidRDefault="00A077F4" w:rsidP="00305BA5">
      <w:pPr>
        <w:spacing w:line="360" w:lineRule="auto"/>
        <w:jc w:val="center"/>
        <w:rPr>
          <w:rFonts w:ascii="Palatino Linotype" w:eastAsia="Palatino Linotype" w:hAnsi="Palatino Linotype" w:cs="Palatino Linotype"/>
          <w:b/>
          <w:color w:val="000000" w:themeColor="text1"/>
        </w:rPr>
      </w:pPr>
      <w:r w:rsidRPr="00305BA5">
        <w:rPr>
          <w:rFonts w:ascii="Palatino Linotype" w:eastAsia="Palatino Linotype" w:hAnsi="Palatino Linotype" w:cs="Palatino Linotype"/>
          <w:b/>
          <w:color w:val="000000" w:themeColor="text1"/>
        </w:rPr>
        <w:t>R E S U E L V E</w:t>
      </w:r>
    </w:p>
    <w:p w:rsidR="0072148B" w:rsidRPr="00305BA5" w:rsidRDefault="0072148B" w:rsidP="00305BA5">
      <w:pPr>
        <w:spacing w:line="360" w:lineRule="auto"/>
        <w:rPr>
          <w:rFonts w:ascii="Palatino Linotype" w:eastAsia="Palatino Linotype" w:hAnsi="Palatino Linotype" w:cs="Palatino Linotype"/>
          <w:b/>
          <w:color w:val="000000" w:themeColor="text1"/>
        </w:rPr>
      </w:pPr>
    </w:p>
    <w:p w:rsidR="005417D6" w:rsidRPr="00305BA5" w:rsidRDefault="005417D6" w:rsidP="00305BA5">
      <w:pPr>
        <w:spacing w:line="360" w:lineRule="auto"/>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b/>
          <w:color w:val="000000" w:themeColor="text1"/>
        </w:rPr>
        <w:t xml:space="preserve">PRIMERO. </w:t>
      </w:r>
      <w:r w:rsidRPr="00305BA5">
        <w:rPr>
          <w:rFonts w:ascii="Palatino Linotype" w:eastAsia="Palatino Linotype" w:hAnsi="Palatino Linotype" w:cs="Palatino Linotype"/>
          <w:color w:val="000000" w:themeColor="text1"/>
        </w:rPr>
        <w:t xml:space="preserve">Resultan </w:t>
      </w:r>
      <w:r w:rsidR="003030E0" w:rsidRPr="00305BA5">
        <w:rPr>
          <w:rFonts w:ascii="Palatino Linotype" w:eastAsia="Palatino Linotype" w:hAnsi="Palatino Linotype" w:cs="Palatino Linotype"/>
          <w:b/>
          <w:color w:val="000000" w:themeColor="text1"/>
        </w:rPr>
        <w:t>FUNDADAS</w:t>
      </w:r>
      <w:r w:rsidR="003030E0" w:rsidRPr="00305BA5">
        <w:rPr>
          <w:rFonts w:ascii="Palatino Linotype" w:eastAsia="Palatino Linotype" w:hAnsi="Palatino Linotype" w:cs="Palatino Linotype"/>
          <w:color w:val="000000" w:themeColor="text1"/>
        </w:rPr>
        <w:t xml:space="preserve"> </w:t>
      </w:r>
      <w:r w:rsidRPr="00305BA5">
        <w:rPr>
          <w:rFonts w:ascii="Palatino Linotype" w:eastAsia="Palatino Linotype" w:hAnsi="Palatino Linotype" w:cs="Palatino Linotype"/>
          <w:color w:val="000000" w:themeColor="text1"/>
        </w:rPr>
        <w:t>las</w:t>
      </w:r>
      <w:r w:rsidRPr="00305BA5">
        <w:rPr>
          <w:rFonts w:ascii="Palatino Linotype" w:eastAsia="Palatino Linotype" w:hAnsi="Palatino Linotype" w:cs="Palatino Linotype"/>
          <w:b/>
          <w:color w:val="000000" w:themeColor="text1"/>
        </w:rPr>
        <w:t xml:space="preserve"> </w:t>
      </w:r>
      <w:r w:rsidRPr="00305BA5">
        <w:rPr>
          <w:rFonts w:ascii="Palatino Linotype" w:eastAsia="Palatino Linotype" w:hAnsi="Palatino Linotype" w:cs="Palatino Linotype"/>
          <w:color w:val="000000" w:themeColor="text1"/>
        </w:rPr>
        <w:t xml:space="preserve">razones o motivos de inconformidad hechos valer en </w:t>
      </w:r>
      <w:r w:rsidR="00832E00" w:rsidRPr="00305BA5">
        <w:rPr>
          <w:rFonts w:ascii="Palatino Linotype" w:eastAsia="Palatino Linotype" w:hAnsi="Palatino Linotype" w:cs="Palatino Linotype"/>
          <w:color w:val="000000" w:themeColor="text1"/>
        </w:rPr>
        <w:t>el</w:t>
      </w:r>
      <w:r w:rsidRPr="00305BA5">
        <w:rPr>
          <w:rFonts w:ascii="Palatino Linotype" w:eastAsia="Palatino Linotype" w:hAnsi="Palatino Linotype" w:cs="Palatino Linotype"/>
          <w:color w:val="000000" w:themeColor="text1"/>
        </w:rPr>
        <w:t xml:space="preserve"> </w:t>
      </w:r>
      <w:r w:rsidR="00832E00" w:rsidRPr="00305BA5">
        <w:rPr>
          <w:rFonts w:ascii="Palatino Linotype" w:eastAsia="Palatino Linotype" w:hAnsi="Palatino Linotype" w:cs="Palatino Linotype"/>
          <w:color w:val="000000" w:themeColor="text1"/>
        </w:rPr>
        <w:t xml:space="preserve">Recurso </w:t>
      </w:r>
      <w:r w:rsidRPr="00305BA5">
        <w:rPr>
          <w:rFonts w:ascii="Palatino Linotype" w:eastAsia="Palatino Linotype" w:hAnsi="Palatino Linotype" w:cs="Palatino Linotype"/>
          <w:color w:val="000000" w:themeColor="text1"/>
        </w:rPr>
        <w:t xml:space="preserve">de </w:t>
      </w:r>
      <w:r w:rsidR="00832E00" w:rsidRPr="00305BA5">
        <w:rPr>
          <w:rFonts w:ascii="Palatino Linotype" w:eastAsia="Palatino Linotype" w:hAnsi="Palatino Linotype" w:cs="Palatino Linotype"/>
          <w:color w:val="000000" w:themeColor="text1"/>
        </w:rPr>
        <w:t>Revisión</w:t>
      </w:r>
      <w:r w:rsidR="00832E00" w:rsidRPr="00305BA5">
        <w:rPr>
          <w:rFonts w:ascii="Palatino Linotype" w:eastAsia="Palatino Linotype" w:hAnsi="Palatino Linotype" w:cs="Palatino Linotype"/>
          <w:b/>
          <w:color w:val="000000" w:themeColor="text1"/>
        </w:rPr>
        <w:t> </w:t>
      </w:r>
      <w:r w:rsidR="008B1729" w:rsidRPr="00305BA5">
        <w:rPr>
          <w:rFonts w:ascii="Palatino Linotype" w:eastAsia="Palatino Linotype" w:hAnsi="Palatino Linotype" w:cs="Palatino Linotype"/>
          <w:b/>
          <w:color w:val="000000" w:themeColor="text1"/>
        </w:rPr>
        <w:t>04848</w:t>
      </w:r>
      <w:r w:rsidR="00DF29DA" w:rsidRPr="00305BA5">
        <w:rPr>
          <w:rFonts w:ascii="Palatino Linotype" w:eastAsia="Palatino Linotype" w:hAnsi="Palatino Linotype" w:cs="Palatino Linotype"/>
          <w:b/>
          <w:color w:val="000000" w:themeColor="text1"/>
        </w:rPr>
        <w:t xml:space="preserve">/INFOEM/IP/RR/2025 </w:t>
      </w:r>
      <w:r w:rsidRPr="00305BA5">
        <w:rPr>
          <w:rFonts w:ascii="Palatino Linotype" w:eastAsia="Palatino Linotype" w:hAnsi="Palatino Linotype" w:cs="Palatino Linotype"/>
          <w:color w:val="000000" w:themeColor="text1"/>
        </w:rPr>
        <w:t xml:space="preserve">en términos del </w:t>
      </w:r>
      <w:r w:rsidRPr="00305BA5">
        <w:rPr>
          <w:rFonts w:ascii="Palatino Linotype" w:eastAsia="Palatino Linotype" w:hAnsi="Palatino Linotype" w:cs="Palatino Linotype"/>
          <w:b/>
          <w:color w:val="000000" w:themeColor="text1"/>
        </w:rPr>
        <w:t xml:space="preserve">Considerando </w:t>
      </w:r>
      <w:r w:rsidR="00832E00" w:rsidRPr="00305BA5">
        <w:rPr>
          <w:rFonts w:ascii="Palatino Linotype" w:eastAsia="Palatino Linotype" w:hAnsi="Palatino Linotype" w:cs="Palatino Linotype"/>
          <w:b/>
          <w:color w:val="000000" w:themeColor="text1"/>
        </w:rPr>
        <w:t>CUARTO</w:t>
      </w:r>
      <w:r w:rsidRPr="00305BA5">
        <w:rPr>
          <w:rFonts w:ascii="Palatino Linotype" w:eastAsia="Palatino Linotype" w:hAnsi="Palatino Linotype" w:cs="Palatino Linotype"/>
          <w:b/>
          <w:color w:val="000000" w:themeColor="text1"/>
        </w:rPr>
        <w:t xml:space="preserve"> </w:t>
      </w:r>
      <w:r w:rsidRPr="00305BA5">
        <w:rPr>
          <w:rFonts w:ascii="Palatino Linotype" w:eastAsia="Palatino Linotype" w:hAnsi="Palatino Linotype" w:cs="Palatino Linotype"/>
          <w:color w:val="000000" w:themeColor="text1"/>
        </w:rPr>
        <w:t>de la presente resolución.</w:t>
      </w:r>
    </w:p>
    <w:p w:rsidR="005417D6" w:rsidRPr="00305BA5" w:rsidRDefault="005417D6" w:rsidP="00305BA5">
      <w:pPr>
        <w:spacing w:line="360" w:lineRule="auto"/>
        <w:jc w:val="both"/>
        <w:rPr>
          <w:rFonts w:ascii="Palatino Linotype" w:eastAsia="Palatino Linotype" w:hAnsi="Palatino Linotype" w:cs="Palatino Linotype"/>
          <w:b/>
          <w:color w:val="000000" w:themeColor="text1"/>
        </w:rPr>
      </w:pPr>
    </w:p>
    <w:p w:rsidR="00832E00" w:rsidRPr="00305BA5" w:rsidRDefault="005417D6" w:rsidP="00305BA5">
      <w:pPr>
        <w:spacing w:line="360" w:lineRule="auto"/>
        <w:jc w:val="both"/>
        <w:rPr>
          <w:rFonts w:ascii="Palatino Linotype" w:eastAsia="Palatino Linotype" w:hAnsi="Palatino Linotype" w:cs="Palatino Linotype"/>
          <w:color w:val="000000" w:themeColor="text1"/>
        </w:rPr>
      </w:pPr>
      <w:bookmarkStart w:id="9" w:name="_heading=h.17dp8vu" w:colFirst="0" w:colLast="0"/>
      <w:bookmarkEnd w:id="9"/>
      <w:r w:rsidRPr="00305BA5">
        <w:rPr>
          <w:rFonts w:ascii="Palatino Linotype" w:eastAsia="Palatino Linotype" w:hAnsi="Palatino Linotype" w:cs="Palatino Linotype"/>
          <w:b/>
          <w:color w:val="000000" w:themeColor="text1"/>
        </w:rPr>
        <w:t>SEGUNDO.</w:t>
      </w:r>
      <w:r w:rsidRPr="00305BA5">
        <w:rPr>
          <w:rFonts w:ascii="Palatino Linotype" w:eastAsia="Palatino Linotype" w:hAnsi="Palatino Linotype" w:cs="Palatino Linotype"/>
          <w:color w:val="000000" w:themeColor="text1"/>
        </w:rPr>
        <w:t xml:space="preserve"> Se</w:t>
      </w:r>
      <w:r w:rsidRPr="00305BA5">
        <w:rPr>
          <w:rFonts w:ascii="Palatino Linotype" w:eastAsia="Palatino Linotype" w:hAnsi="Palatino Linotype" w:cs="Palatino Linotype"/>
          <w:b/>
          <w:color w:val="000000" w:themeColor="text1"/>
        </w:rPr>
        <w:t xml:space="preserve"> ORDENA </w:t>
      </w:r>
      <w:r w:rsidRPr="00305BA5">
        <w:rPr>
          <w:rFonts w:ascii="Palatino Linotype" w:eastAsia="Palatino Linotype" w:hAnsi="Palatino Linotype" w:cs="Palatino Linotype"/>
          <w:color w:val="000000" w:themeColor="text1"/>
        </w:rPr>
        <w:t xml:space="preserve">al </w:t>
      </w:r>
      <w:r w:rsidRPr="00305BA5">
        <w:rPr>
          <w:rFonts w:ascii="Palatino Linotype" w:eastAsia="Palatino Linotype" w:hAnsi="Palatino Linotype" w:cs="Palatino Linotype"/>
          <w:b/>
          <w:color w:val="000000" w:themeColor="text1"/>
        </w:rPr>
        <w:t xml:space="preserve">Sujeto Obligado </w:t>
      </w:r>
      <w:r w:rsidRPr="00305BA5">
        <w:rPr>
          <w:rFonts w:ascii="Palatino Linotype" w:eastAsia="Palatino Linotype" w:hAnsi="Palatino Linotype" w:cs="Palatino Linotype"/>
          <w:color w:val="000000" w:themeColor="text1"/>
        </w:rPr>
        <w:t xml:space="preserve">respecto de la solicitud de información </w:t>
      </w:r>
      <w:r w:rsidR="008B1729" w:rsidRPr="00305BA5">
        <w:rPr>
          <w:rFonts w:ascii="Palatino Linotype" w:eastAsia="Palatino Linotype" w:hAnsi="Palatino Linotype" w:cs="Palatino Linotype"/>
          <w:b/>
          <w:color w:val="000000" w:themeColor="text1"/>
        </w:rPr>
        <w:t>00025/VIALLEN/IP/2025</w:t>
      </w:r>
      <w:r w:rsidRPr="00305BA5">
        <w:rPr>
          <w:rFonts w:ascii="Palatino Linotype" w:eastAsia="Palatino Linotype" w:hAnsi="Palatino Linotype" w:cs="Palatino Linotype"/>
          <w:b/>
          <w:color w:val="000000" w:themeColor="text1"/>
        </w:rPr>
        <w:t xml:space="preserve">, </w:t>
      </w:r>
      <w:r w:rsidRPr="00305BA5">
        <w:rPr>
          <w:rFonts w:ascii="Palatino Linotype" w:eastAsia="Palatino Linotype" w:hAnsi="Palatino Linotype" w:cs="Palatino Linotype"/>
          <w:color w:val="000000" w:themeColor="text1"/>
        </w:rPr>
        <w:t xml:space="preserve">entregar vía Sistema de Acceso a la Información Mexiquense </w:t>
      </w:r>
      <w:r w:rsidRPr="00305BA5">
        <w:rPr>
          <w:rFonts w:ascii="Palatino Linotype" w:eastAsia="Palatino Linotype" w:hAnsi="Palatino Linotype" w:cs="Palatino Linotype"/>
          <w:b/>
          <w:color w:val="000000" w:themeColor="text1"/>
        </w:rPr>
        <w:t>(SAIMEX)</w:t>
      </w:r>
      <w:r w:rsidR="00DF29DA" w:rsidRPr="00305BA5">
        <w:rPr>
          <w:rFonts w:ascii="Palatino Linotype" w:eastAsia="Palatino Linotype" w:hAnsi="Palatino Linotype" w:cs="Palatino Linotype"/>
          <w:color w:val="000000" w:themeColor="text1"/>
        </w:rPr>
        <w:t>, de ser el caso en versión pública, la siguiente información:</w:t>
      </w:r>
    </w:p>
    <w:p w:rsidR="00DF29DA" w:rsidRPr="00305BA5" w:rsidRDefault="00DF29DA" w:rsidP="00305BA5">
      <w:pPr>
        <w:spacing w:line="360" w:lineRule="auto"/>
        <w:jc w:val="both"/>
        <w:rPr>
          <w:rFonts w:ascii="Palatino Linotype" w:eastAsia="Palatino Linotype" w:hAnsi="Palatino Linotype" w:cs="Palatino Linotype"/>
          <w:color w:val="000000" w:themeColor="text1"/>
        </w:rPr>
      </w:pPr>
    </w:p>
    <w:p w:rsidR="008B1729" w:rsidRPr="00B409CF" w:rsidRDefault="008B1729" w:rsidP="00305BA5">
      <w:pPr>
        <w:pStyle w:val="Prrafodelista"/>
        <w:numPr>
          <w:ilvl w:val="0"/>
          <w:numId w:val="37"/>
        </w:numPr>
        <w:ind w:left="0" w:firstLine="0"/>
        <w:jc w:val="both"/>
        <w:rPr>
          <w:rFonts w:ascii="Palatino Linotype" w:eastAsia="Palatino Linotype" w:hAnsi="Palatino Linotype" w:cs="Palatino Linotype"/>
          <w:b/>
          <w:i/>
          <w:color w:val="000000" w:themeColor="text1"/>
        </w:rPr>
      </w:pPr>
      <w:r w:rsidRPr="00B409CF">
        <w:rPr>
          <w:rFonts w:ascii="Palatino Linotype" w:eastAsia="Palatino Linotype" w:hAnsi="Palatino Linotype" w:cs="Palatino Linotype"/>
          <w:b/>
          <w:i/>
          <w:color w:val="000000" w:themeColor="text1"/>
        </w:rPr>
        <w:t>Contrato de cada uno de los grupos que se presentaron en septiembre 2022, 2023, y</w:t>
      </w:r>
      <w:r w:rsidR="002E2702" w:rsidRPr="00B409CF">
        <w:rPr>
          <w:rFonts w:ascii="Palatino Linotype" w:eastAsia="Palatino Linotype" w:hAnsi="Palatino Linotype" w:cs="Palatino Linotype"/>
          <w:b/>
          <w:i/>
          <w:color w:val="000000" w:themeColor="text1"/>
        </w:rPr>
        <w:t xml:space="preserve"> </w:t>
      </w:r>
      <w:r w:rsidRPr="00B409CF">
        <w:rPr>
          <w:rFonts w:ascii="Palatino Linotype" w:eastAsia="Palatino Linotype" w:hAnsi="Palatino Linotype" w:cs="Palatino Linotype"/>
          <w:b/>
          <w:i/>
          <w:color w:val="000000" w:themeColor="text1"/>
        </w:rPr>
        <w:t>2024.</w:t>
      </w:r>
    </w:p>
    <w:p w:rsidR="008B1729" w:rsidRPr="00B409CF" w:rsidRDefault="000F40B4" w:rsidP="00305BA5">
      <w:pPr>
        <w:pStyle w:val="Prrafodelista"/>
        <w:numPr>
          <w:ilvl w:val="0"/>
          <w:numId w:val="37"/>
        </w:numPr>
        <w:ind w:left="0" w:firstLine="0"/>
        <w:jc w:val="both"/>
        <w:rPr>
          <w:rFonts w:ascii="Palatino Linotype" w:eastAsia="Palatino Linotype" w:hAnsi="Palatino Linotype" w:cs="Palatino Linotype"/>
          <w:b/>
          <w:i/>
          <w:color w:val="000000" w:themeColor="text1"/>
        </w:rPr>
      </w:pPr>
      <w:r w:rsidRPr="00B409CF">
        <w:rPr>
          <w:rFonts w:ascii="Palatino Linotype" w:eastAsia="Palatino Linotype" w:hAnsi="Palatino Linotype" w:cs="Palatino Linotype"/>
          <w:b/>
          <w:i/>
          <w:color w:val="000000" w:themeColor="text1"/>
        </w:rPr>
        <w:t xml:space="preserve">Gastos </w:t>
      </w:r>
      <w:r w:rsidR="008B1729" w:rsidRPr="00B409CF">
        <w:rPr>
          <w:rFonts w:ascii="Palatino Linotype" w:eastAsia="Palatino Linotype" w:hAnsi="Palatino Linotype" w:cs="Palatino Linotype"/>
          <w:b/>
          <w:i/>
          <w:color w:val="000000" w:themeColor="text1"/>
        </w:rPr>
        <w:t>erogados en la expo feria de los años 2023 y 20</w:t>
      </w:r>
      <w:r w:rsidRPr="00B409CF">
        <w:rPr>
          <w:rFonts w:ascii="Palatino Linotype" w:eastAsia="Palatino Linotype" w:hAnsi="Palatino Linotype" w:cs="Palatino Linotype"/>
          <w:b/>
          <w:i/>
          <w:color w:val="000000" w:themeColor="text1"/>
        </w:rPr>
        <w:t>24, gastos de publicidad, y el documento que lo acredite.</w:t>
      </w:r>
    </w:p>
    <w:p w:rsidR="00DF29DA" w:rsidRPr="00305BA5" w:rsidRDefault="00DF29DA" w:rsidP="00305BA5">
      <w:pPr>
        <w:pStyle w:val="Prrafodelista"/>
        <w:spacing w:line="360" w:lineRule="auto"/>
        <w:ind w:left="0"/>
        <w:jc w:val="both"/>
        <w:rPr>
          <w:rFonts w:ascii="Palatino Linotype" w:eastAsia="Palatino Linotype" w:hAnsi="Palatino Linotype" w:cs="Palatino Linotype"/>
          <w:b/>
          <w:color w:val="000000" w:themeColor="text1"/>
        </w:rPr>
      </w:pPr>
    </w:p>
    <w:p w:rsidR="00DF29DA" w:rsidRPr="00305BA5" w:rsidRDefault="00DF29DA" w:rsidP="00305BA5">
      <w:pPr>
        <w:pStyle w:val="Prrafodelista"/>
        <w:tabs>
          <w:tab w:val="left" w:pos="8080"/>
        </w:tabs>
        <w:spacing w:line="360" w:lineRule="auto"/>
        <w:ind w:left="0"/>
        <w:jc w:val="both"/>
        <w:rPr>
          <w:rFonts w:ascii="Palatino Linotype" w:eastAsia="Calibri" w:hAnsi="Palatino Linotype" w:cs="Arial"/>
          <w:b/>
          <w:color w:val="000000" w:themeColor="text1"/>
        </w:rPr>
      </w:pPr>
      <w:r w:rsidRPr="00305BA5">
        <w:rPr>
          <w:rFonts w:ascii="Palatino Linotype" w:eastAsia="Calibri" w:hAnsi="Palatino Linotype" w:cs="Arial"/>
          <w:color w:val="000000" w:themeColor="text1"/>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305BA5">
        <w:rPr>
          <w:rFonts w:ascii="Palatino Linotype" w:eastAsia="Calibri" w:hAnsi="Palatino Linotype" w:cs="Arial"/>
          <w:b/>
          <w:color w:val="000000" w:themeColor="text1"/>
        </w:rPr>
        <w:t>RECURRENTE.</w:t>
      </w:r>
    </w:p>
    <w:p w:rsidR="00DF29DA" w:rsidRPr="00305BA5" w:rsidRDefault="00DF29DA" w:rsidP="00305BA5">
      <w:pPr>
        <w:spacing w:line="360" w:lineRule="auto"/>
        <w:jc w:val="both"/>
        <w:rPr>
          <w:rFonts w:ascii="Palatino Linotype" w:eastAsia="Palatino Linotype" w:hAnsi="Palatino Linotype" w:cs="Palatino Linotype"/>
          <w:b/>
          <w:color w:val="000000" w:themeColor="text1"/>
        </w:rPr>
      </w:pPr>
    </w:p>
    <w:p w:rsidR="005417D6" w:rsidRPr="00305BA5" w:rsidRDefault="005417D6" w:rsidP="00305BA5">
      <w:pPr>
        <w:tabs>
          <w:tab w:val="left" w:pos="8080"/>
        </w:tabs>
        <w:spacing w:line="360" w:lineRule="auto"/>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b/>
          <w:color w:val="000000" w:themeColor="text1"/>
        </w:rPr>
        <w:lastRenderedPageBreak/>
        <w:t xml:space="preserve">TERCERO. Notifíquese </w:t>
      </w:r>
      <w:r w:rsidRPr="00305BA5">
        <w:rPr>
          <w:rFonts w:ascii="Palatino Linotype" w:eastAsia="Palatino Linotype" w:hAnsi="Palatino Linotype" w:cs="Palatino Linotype"/>
          <w:color w:val="000000" w:themeColor="text1"/>
        </w:rPr>
        <w:t xml:space="preserve">vía </w:t>
      </w:r>
      <w:r w:rsidRPr="00305BA5">
        <w:rPr>
          <w:rFonts w:ascii="Palatino Linotype" w:eastAsia="Palatino Linotype" w:hAnsi="Palatino Linotype" w:cs="Palatino Linotype"/>
          <w:b/>
          <w:color w:val="000000" w:themeColor="text1"/>
        </w:rPr>
        <w:t xml:space="preserve">SAIMEX </w:t>
      </w:r>
      <w:r w:rsidRPr="00305BA5">
        <w:rPr>
          <w:rFonts w:ascii="Palatino Linotype" w:eastAsia="Palatino Linotype" w:hAnsi="Palatino Linotype" w:cs="Palatino Linotype"/>
          <w:color w:val="000000" w:themeColor="text1"/>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B409CF">
        <w:rPr>
          <w:rFonts w:ascii="Palatino Linotype" w:eastAsia="Palatino Linotype" w:hAnsi="Palatino Linotype" w:cs="Palatino Linotype"/>
          <w:b/>
          <w:color w:val="000000" w:themeColor="text1"/>
        </w:rPr>
        <w:t>dé cumplimiento a lo ordenado dentro del</w:t>
      </w:r>
      <w:r w:rsidRPr="00305BA5">
        <w:rPr>
          <w:rFonts w:ascii="Palatino Linotype" w:eastAsia="Palatino Linotype" w:hAnsi="Palatino Linotype" w:cs="Palatino Linotype"/>
          <w:color w:val="000000" w:themeColor="text1"/>
        </w:rPr>
        <w:t xml:space="preserve"> </w:t>
      </w:r>
      <w:r w:rsidRPr="00305BA5">
        <w:rPr>
          <w:rFonts w:ascii="Palatino Linotype" w:eastAsia="Palatino Linotype" w:hAnsi="Palatino Linotype" w:cs="Palatino Linotype"/>
          <w:b/>
          <w:color w:val="000000" w:themeColor="text1"/>
        </w:rPr>
        <w:t>plazo de diez días hábiles</w:t>
      </w:r>
      <w:r w:rsidRPr="00305BA5">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417D6" w:rsidRPr="00305BA5" w:rsidRDefault="005417D6" w:rsidP="00305BA5">
      <w:pPr>
        <w:tabs>
          <w:tab w:val="left" w:pos="8080"/>
        </w:tabs>
        <w:spacing w:line="360" w:lineRule="auto"/>
        <w:jc w:val="both"/>
        <w:rPr>
          <w:rFonts w:ascii="Palatino Linotype" w:eastAsia="Palatino Linotype" w:hAnsi="Palatino Linotype" w:cs="Palatino Linotype"/>
          <w:color w:val="000000" w:themeColor="text1"/>
        </w:rPr>
      </w:pPr>
    </w:p>
    <w:p w:rsidR="005417D6" w:rsidRPr="00305BA5" w:rsidRDefault="005417D6" w:rsidP="00305BA5">
      <w:pPr>
        <w:tabs>
          <w:tab w:val="left" w:pos="8080"/>
        </w:tabs>
        <w:spacing w:line="360" w:lineRule="auto"/>
        <w:jc w:val="both"/>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b/>
          <w:color w:val="000000" w:themeColor="text1"/>
        </w:rPr>
        <w:t>CUARTO. Notifíquese al RECURRENTE</w:t>
      </w:r>
      <w:r w:rsidRPr="00305BA5">
        <w:rPr>
          <w:rFonts w:ascii="Palatino Linotype" w:eastAsia="Palatino Linotype" w:hAnsi="Palatino Linotype" w:cs="Palatino Linotype"/>
          <w:color w:val="000000" w:themeColor="text1"/>
        </w:rPr>
        <w:t xml:space="preserve"> la </w:t>
      </w:r>
      <w:r w:rsidR="00B409CF">
        <w:rPr>
          <w:rFonts w:ascii="Palatino Linotype" w:eastAsia="Palatino Linotype" w:hAnsi="Palatino Linotype" w:cs="Palatino Linotype"/>
          <w:color w:val="000000" w:themeColor="text1"/>
        </w:rPr>
        <w:t>presente resolución vía SAIMEX.</w:t>
      </w:r>
    </w:p>
    <w:p w:rsidR="005417D6" w:rsidRPr="00305BA5" w:rsidRDefault="005417D6" w:rsidP="00305BA5">
      <w:pPr>
        <w:spacing w:line="360" w:lineRule="auto"/>
        <w:jc w:val="both"/>
        <w:rPr>
          <w:rFonts w:ascii="Palatino Linotype" w:eastAsia="Palatino Linotype" w:hAnsi="Palatino Linotype" w:cs="Palatino Linotype"/>
          <w:color w:val="000000" w:themeColor="text1"/>
        </w:rPr>
      </w:pPr>
    </w:p>
    <w:p w:rsidR="003930C3" w:rsidRDefault="009D23EE" w:rsidP="00305BA5">
      <w:pPr>
        <w:tabs>
          <w:tab w:val="left" w:pos="8080"/>
        </w:tabs>
        <w:spacing w:line="360" w:lineRule="auto"/>
        <w:jc w:val="both"/>
        <w:rPr>
          <w:rFonts w:ascii="Palatino Linotype" w:hAnsi="Palatino Linotype"/>
          <w:color w:val="000000" w:themeColor="text1"/>
          <w:lang w:eastAsia="es-ES_tradnl"/>
        </w:rPr>
      </w:pPr>
      <w:r w:rsidRPr="00305BA5">
        <w:rPr>
          <w:rFonts w:ascii="Palatino Linotype" w:eastAsia="Palatino Linotype" w:hAnsi="Palatino Linotype" w:cs="Palatino Linotype"/>
          <w:b/>
          <w:color w:val="000000" w:themeColor="text1"/>
        </w:rPr>
        <w:t>QUINTO</w:t>
      </w:r>
      <w:r w:rsidR="003930C3" w:rsidRPr="00305BA5">
        <w:rPr>
          <w:rFonts w:ascii="Palatino Linotype" w:eastAsia="Palatino Linotype" w:hAnsi="Palatino Linotype" w:cs="Palatino Linotype"/>
          <w:b/>
          <w:color w:val="000000" w:themeColor="text1"/>
        </w:rPr>
        <w:t xml:space="preserve">. </w:t>
      </w:r>
      <w:r w:rsidR="003930C3" w:rsidRPr="00305BA5">
        <w:rPr>
          <w:rFonts w:ascii="Palatino Linotype" w:hAnsi="Palatino Linotype"/>
          <w:b/>
          <w:color w:val="000000" w:themeColor="text1"/>
          <w:lang w:eastAsia="es-ES_tradnl"/>
        </w:rPr>
        <w:t>Se hace del conocimiento</w:t>
      </w:r>
      <w:r w:rsidR="003930C3" w:rsidRPr="00305BA5">
        <w:rPr>
          <w:rFonts w:ascii="Palatino Linotype" w:hAnsi="Palatino Linotype"/>
          <w:color w:val="000000" w:themeColor="text1"/>
          <w:lang w:eastAsia="es-ES_tradnl"/>
        </w:rPr>
        <w:t xml:space="preserve"> del </w:t>
      </w:r>
      <w:r w:rsidR="003930C3" w:rsidRPr="00305BA5">
        <w:rPr>
          <w:rFonts w:ascii="Palatino Linotype" w:hAnsi="Palatino Linotype"/>
          <w:b/>
          <w:color w:val="000000" w:themeColor="text1"/>
          <w:lang w:eastAsia="es-ES_tradnl"/>
        </w:rPr>
        <w:t>Recurrente</w:t>
      </w:r>
      <w:r w:rsidR="003930C3" w:rsidRPr="00305BA5">
        <w:rPr>
          <w:rFonts w:ascii="Palatino Linotype" w:hAnsi="Palatino Linotype"/>
          <w:color w:val="000000" w:themeColor="text1"/>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B409CF" w:rsidRDefault="00B409CF" w:rsidP="00305BA5">
      <w:pPr>
        <w:tabs>
          <w:tab w:val="left" w:pos="8080"/>
        </w:tabs>
        <w:spacing w:line="360" w:lineRule="auto"/>
        <w:jc w:val="both"/>
        <w:rPr>
          <w:rFonts w:ascii="Palatino Linotype" w:hAnsi="Palatino Linotype"/>
          <w:color w:val="000000" w:themeColor="text1"/>
          <w:lang w:eastAsia="es-ES_tradnl"/>
        </w:rPr>
      </w:pPr>
    </w:p>
    <w:p w:rsidR="00B409CF" w:rsidRPr="00444783" w:rsidRDefault="00B409CF" w:rsidP="00B409CF">
      <w:pPr>
        <w:tabs>
          <w:tab w:val="left" w:pos="8080"/>
        </w:tabs>
        <w:spacing w:line="360" w:lineRule="auto"/>
        <w:jc w:val="both"/>
        <w:rPr>
          <w:rFonts w:ascii="Palatino Linotype" w:hAnsi="Palatino Linotype"/>
          <w:lang w:val="es-ES" w:eastAsia="es-MX"/>
        </w:rPr>
      </w:pPr>
      <w:r w:rsidRPr="00444783">
        <w:rPr>
          <w:rFonts w:ascii="Palatino Linotype" w:hAnsi="Palatino Linotype"/>
          <w:b/>
          <w:lang w:eastAsia="en-US"/>
        </w:rPr>
        <w:t xml:space="preserve">SEXTO. </w:t>
      </w:r>
      <w:r w:rsidRPr="00444783">
        <w:rPr>
          <w:rFonts w:ascii="Palatino Linotype" w:hAnsi="Palatino Linotype"/>
          <w:lang w:eastAsia="en-US"/>
        </w:rPr>
        <w:t>Se hace del conocimiento del</w:t>
      </w:r>
      <w:r w:rsidRPr="00444783">
        <w:rPr>
          <w:rFonts w:ascii="Palatino Linotype" w:hAnsi="Palatino Linotype"/>
          <w:b/>
          <w:lang w:eastAsia="en-US"/>
        </w:rPr>
        <w:t xml:space="preserve"> RECURRENTE </w:t>
      </w:r>
      <w:r w:rsidRPr="00444783">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3930C3" w:rsidRPr="00305BA5" w:rsidRDefault="003930C3" w:rsidP="00305BA5">
      <w:pPr>
        <w:spacing w:line="360" w:lineRule="auto"/>
        <w:jc w:val="both"/>
        <w:rPr>
          <w:rFonts w:ascii="Palatino Linotype" w:eastAsia="Palatino Linotype" w:hAnsi="Palatino Linotype" w:cs="Palatino Linotype"/>
          <w:color w:val="000000" w:themeColor="text1"/>
        </w:rPr>
      </w:pPr>
    </w:p>
    <w:p w:rsidR="003930C3" w:rsidRPr="00305BA5" w:rsidRDefault="009D23EE" w:rsidP="00305BA5">
      <w:pPr>
        <w:shd w:val="clear" w:color="auto" w:fill="FFFFFF"/>
        <w:spacing w:line="360" w:lineRule="auto"/>
        <w:jc w:val="both"/>
        <w:rPr>
          <w:rFonts w:ascii="Palatino Linotype" w:eastAsia="Palatino Linotype" w:hAnsi="Palatino Linotype" w:cs="Palatino Linotype"/>
          <w:b/>
          <w:color w:val="000000" w:themeColor="text1"/>
        </w:rPr>
      </w:pPr>
      <w:r w:rsidRPr="00305BA5">
        <w:rPr>
          <w:rFonts w:ascii="Palatino Linotype" w:eastAsia="Palatino Linotype" w:hAnsi="Palatino Linotype" w:cs="Palatino Linotype"/>
          <w:b/>
          <w:color w:val="000000" w:themeColor="text1"/>
        </w:rPr>
        <w:lastRenderedPageBreak/>
        <w:t>S</w:t>
      </w:r>
      <w:r w:rsidR="00F72567">
        <w:rPr>
          <w:rFonts w:ascii="Palatino Linotype" w:eastAsia="Palatino Linotype" w:hAnsi="Palatino Linotype" w:cs="Palatino Linotype"/>
          <w:b/>
          <w:color w:val="000000" w:themeColor="text1"/>
        </w:rPr>
        <w:t>ÉPTIMO</w:t>
      </w:r>
      <w:r w:rsidR="003930C3" w:rsidRPr="00305BA5">
        <w:rPr>
          <w:rFonts w:ascii="Palatino Linotype" w:eastAsia="Palatino Linotype" w:hAnsi="Palatino Linotype" w:cs="Palatino Linotype"/>
          <w:b/>
          <w:color w:val="000000" w:themeColor="text1"/>
        </w:rPr>
        <w:t>.</w:t>
      </w:r>
      <w:r w:rsidR="003930C3" w:rsidRPr="00305BA5">
        <w:rPr>
          <w:rFonts w:ascii="Palatino Linotype" w:eastAsia="Palatino Linotype" w:hAnsi="Palatino Linotype" w:cs="Palatino Linotype"/>
          <w:color w:val="000000" w:themeColor="text1"/>
        </w:rPr>
        <w:t xml:space="preserve"> </w:t>
      </w:r>
      <w:r w:rsidR="003930C3" w:rsidRPr="00305BA5">
        <w:rPr>
          <w:rFonts w:ascii="Palatino Linotype" w:eastAsia="Palatino Linotype" w:hAnsi="Palatino Linotype" w:cs="Palatino Linotype"/>
          <w:b/>
          <w:color w:val="000000" w:themeColor="text1"/>
        </w:rPr>
        <w:t>GÍRESE</w:t>
      </w:r>
      <w:r w:rsidR="003930C3" w:rsidRPr="00305BA5">
        <w:rPr>
          <w:rFonts w:ascii="Palatino Linotype" w:eastAsia="Palatino Linotype" w:hAnsi="Palatino Linotype" w:cs="Palatino Linotype"/>
          <w:color w:val="000000" w:themeColor="text1"/>
        </w:rPr>
        <w:t xml:space="preserve"> oficio a la </w:t>
      </w:r>
      <w:r w:rsidR="003930C3" w:rsidRPr="00305BA5">
        <w:rPr>
          <w:rFonts w:ascii="Palatino Linotype" w:eastAsia="Palatino Linotype" w:hAnsi="Palatino Linotype" w:cs="Palatino Linotype"/>
          <w:b/>
          <w:color w:val="000000" w:themeColor="text1"/>
        </w:rPr>
        <w:t xml:space="preserve">Secretaría </w:t>
      </w:r>
      <w:r w:rsidR="003930C3" w:rsidRPr="00305BA5">
        <w:rPr>
          <w:rFonts w:ascii="Palatino Linotype" w:hAnsi="Palatino Linotype"/>
          <w:b/>
          <w:color w:val="000000" w:themeColor="text1"/>
          <w:lang w:eastAsia="es-ES_tradnl"/>
        </w:rPr>
        <w:t>Técnica del Pleno</w:t>
      </w:r>
      <w:r w:rsidR="003930C3" w:rsidRPr="00305BA5">
        <w:rPr>
          <w:rFonts w:ascii="Palatino Linotype" w:hAnsi="Palatino Linotype"/>
          <w:color w:val="000000" w:themeColor="text1"/>
          <w:lang w:eastAsia="es-ES_tradnl"/>
        </w:rPr>
        <w:t xml:space="preserve"> de este Instituto para hacer del conocimiento del Órgano Interno de Control</w:t>
      </w:r>
      <w:r w:rsidR="003930C3" w:rsidRPr="00305BA5">
        <w:rPr>
          <w:rFonts w:ascii="Palatino Linotype" w:eastAsia="Palatino Linotype" w:hAnsi="Palatino Linotype" w:cs="Palatino Linotype"/>
          <w:color w:val="000000" w:themeColor="text1"/>
        </w:rPr>
        <w:t xml:space="preserve"> competente la presente resolución, a fin de que de conformidad con el artículo 190, de la Ley de Transparencia y Acceso a la Información Pública del Estado de México y Municipios, determine lo conducente, en términos de lo señalado en </w:t>
      </w:r>
      <w:r w:rsidRPr="00305BA5">
        <w:rPr>
          <w:rFonts w:ascii="Palatino Linotype" w:eastAsia="Palatino Linotype" w:hAnsi="Palatino Linotype" w:cs="Palatino Linotype"/>
          <w:color w:val="000000" w:themeColor="text1"/>
        </w:rPr>
        <w:t>los</w:t>
      </w:r>
      <w:r w:rsidR="003930C3" w:rsidRPr="00305BA5">
        <w:rPr>
          <w:rFonts w:ascii="Palatino Linotype" w:eastAsia="Palatino Linotype" w:hAnsi="Palatino Linotype" w:cs="Palatino Linotype"/>
          <w:color w:val="000000" w:themeColor="text1"/>
        </w:rPr>
        <w:t xml:space="preserve"> </w:t>
      </w:r>
      <w:r w:rsidR="003930C3" w:rsidRPr="00305BA5">
        <w:rPr>
          <w:rFonts w:ascii="Palatino Linotype" w:eastAsia="Palatino Linotype" w:hAnsi="Palatino Linotype" w:cs="Palatino Linotype"/>
          <w:b/>
          <w:color w:val="000000" w:themeColor="text1"/>
        </w:rPr>
        <w:t>Considerando</w:t>
      </w:r>
      <w:r w:rsidRPr="00305BA5">
        <w:rPr>
          <w:rFonts w:ascii="Palatino Linotype" w:eastAsia="Palatino Linotype" w:hAnsi="Palatino Linotype" w:cs="Palatino Linotype"/>
          <w:b/>
          <w:color w:val="000000" w:themeColor="text1"/>
        </w:rPr>
        <w:t>s</w:t>
      </w:r>
      <w:r w:rsidR="003930C3" w:rsidRPr="00305BA5">
        <w:rPr>
          <w:rFonts w:ascii="Palatino Linotype" w:eastAsia="Palatino Linotype" w:hAnsi="Palatino Linotype" w:cs="Palatino Linotype"/>
          <w:b/>
          <w:color w:val="000000" w:themeColor="text1"/>
        </w:rPr>
        <w:t xml:space="preserve"> </w:t>
      </w:r>
      <w:r w:rsidRPr="00305BA5">
        <w:rPr>
          <w:rFonts w:ascii="Palatino Linotype" w:eastAsia="Palatino Linotype" w:hAnsi="Palatino Linotype" w:cs="Palatino Linotype"/>
          <w:b/>
          <w:color w:val="000000" w:themeColor="text1"/>
        </w:rPr>
        <w:t>SEGUNDO Y SEXTO</w:t>
      </w:r>
      <w:r w:rsidR="003930C3" w:rsidRPr="00305BA5">
        <w:rPr>
          <w:rFonts w:ascii="Palatino Linotype" w:eastAsia="Palatino Linotype" w:hAnsi="Palatino Linotype" w:cs="Palatino Linotype"/>
          <w:color w:val="000000" w:themeColor="text1"/>
        </w:rPr>
        <w:t xml:space="preserve"> de la presente Resolución</w:t>
      </w:r>
      <w:r w:rsidR="003930C3" w:rsidRPr="00305BA5">
        <w:rPr>
          <w:rFonts w:ascii="Palatino Linotype" w:eastAsia="Palatino Linotype" w:hAnsi="Palatino Linotype" w:cs="Palatino Linotype"/>
          <w:b/>
          <w:color w:val="000000" w:themeColor="text1"/>
        </w:rPr>
        <w:t>.</w:t>
      </w:r>
    </w:p>
    <w:p w:rsidR="00431896" w:rsidRPr="00305BA5" w:rsidRDefault="00431896" w:rsidP="00305BA5">
      <w:pPr>
        <w:spacing w:line="360" w:lineRule="auto"/>
        <w:jc w:val="both"/>
        <w:rPr>
          <w:rFonts w:ascii="Palatino Linotype" w:eastAsia="Palatino Linotype" w:hAnsi="Palatino Linotype" w:cs="Palatino Linotype"/>
          <w:color w:val="000000" w:themeColor="text1"/>
        </w:rPr>
      </w:pPr>
    </w:p>
    <w:p w:rsidR="00F72567" w:rsidRPr="00444783" w:rsidRDefault="00F72567" w:rsidP="00F72567">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CUARTA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VEINTICUATRO (24</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SEPTIEMBRE </w:t>
      </w:r>
      <w:r w:rsidRPr="00575AE2">
        <w:rPr>
          <w:rFonts w:ascii="Palatino Linotype" w:eastAsia="Palatino Linotype" w:hAnsi="Palatino Linotype" w:cs="Palatino Linotype"/>
        </w:rPr>
        <w:t>DE DOS MIL VEINTICINCO, ANTE EL SECRETARIO TÉCNICO DEL PLENO ALEXIS TAPIA RAMÍREZ.</w:t>
      </w:r>
    </w:p>
    <w:p w:rsidR="002E2702" w:rsidRPr="00305BA5" w:rsidRDefault="002E2702" w:rsidP="00305BA5">
      <w:pPr>
        <w:spacing w:before="240" w:after="240" w:line="360" w:lineRule="auto"/>
        <w:jc w:val="both"/>
        <w:rPr>
          <w:rFonts w:ascii="Palatino Linotype" w:eastAsia="Palatino Linotype" w:hAnsi="Palatino Linotype" w:cs="Palatino Linotype"/>
          <w:color w:val="000000" w:themeColor="text1"/>
        </w:rPr>
      </w:pPr>
    </w:p>
    <w:p w:rsidR="002E2702" w:rsidRPr="00305BA5" w:rsidRDefault="002E2702" w:rsidP="00305BA5">
      <w:pPr>
        <w:rPr>
          <w:rFonts w:ascii="Palatino Linotype" w:eastAsia="Palatino Linotype" w:hAnsi="Palatino Linotype" w:cs="Palatino Linotype"/>
          <w:color w:val="000000" w:themeColor="text1"/>
        </w:rPr>
      </w:pPr>
      <w:r w:rsidRPr="00305BA5">
        <w:rPr>
          <w:rFonts w:ascii="Palatino Linotype" w:eastAsia="Palatino Linotype" w:hAnsi="Palatino Linotype" w:cs="Palatino Linotype"/>
          <w:color w:val="000000" w:themeColor="text1"/>
        </w:rPr>
        <w:br w:type="page"/>
      </w:r>
    </w:p>
    <w:p w:rsidR="0072148B" w:rsidRPr="00305BA5" w:rsidRDefault="0072148B" w:rsidP="00305BA5">
      <w:pPr>
        <w:spacing w:before="240" w:after="240" w:line="360" w:lineRule="auto"/>
        <w:jc w:val="both"/>
        <w:rPr>
          <w:rFonts w:ascii="Palatino Linotype" w:eastAsia="Palatino Linotype" w:hAnsi="Palatino Linotype" w:cs="Palatino Linotype"/>
          <w:color w:val="000000" w:themeColor="text1"/>
        </w:rPr>
      </w:pPr>
    </w:p>
    <w:p w:rsidR="0072148B" w:rsidRPr="00305BA5" w:rsidRDefault="0072148B" w:rsidP="00305BA5">
      <w:pPr>
        <w:spacing w:line="360" w:lineRule="auto"/>
        <w:jc w:val="both"/>
        <w:rPr>
          <w:rFonts w:ascii="Palatino Linotype" w:eastAsia="Palatino Linotype" w:hAnsi="Palatino Linotype" w:cs="Palatino Linotype"/>
          <w:color w:val="000000" w:themeColor="text1"/>
        </w:rPr>
      </w:pPr>
    </w:p>
    <w:p w:rsidR="0072148B" w:rsidRPr="00305BA5" w:rsidRDefault="0072148B" w:rsidP="00305BA5">
      <w:pPr>
        <w:spacing w:line="360" w:lineRule="auto"/>
        <w:jc w:val="both"/>
        <w:rPr>
          <w:rFonts w:ascii="Palatino Linotype" w:eastAsia="Palatino Linotype" w:hAnsi="Palatino Linotype" w:cs="Palatino Linotype"/>
          <w:color w:val="000000" w:themeColor="text1"/>
        </w:rPr>
      </w:pPr>
    </w:p>
    <w:p w:rsidR="0072148B" w:rsidRPr="00305BA5" w:rsidRDefault="0072148B" w:rsidP="00305BA5">
      <w:pPr>
        <w:spacing w:line="360" w:lineRule="auto"/>
        <w:jc w:val="both"/>
        <w:rPr>
          <w:rFonts w:ascii="Palatino Linotype" w:eastAsia="Palatino Linotype" w:hAnsi="Palatino Linotype" w:cs="Palatino Linotype"/>
          <w:color w:val="000000" w:themeColor="text1"/>
        </w:rPr>
      </w:pPr>
    </w:p>
    <w:p w:rsidR="0072148B" w:rsidRPr="00305BA5" w:rsidRDefault="0072148B" w:rsidP="00305BA5">
      <w:pPr>
        <w:spacing w:line="360" w:lineRule="auto"/>
        <w:jc w:val="both"/>
        <w:rPr>
          <w:rFonts w:ascii="Palatino Linotype" w:eastAsia="Palatino Linotype" w:hAnsi="Palatino Linotype" w:cs="Palatino Linotype"/>
          <w:color w:val="000000" w:themeColor="text1"/>
        </w:rPr>
      </w:pPr>
    </w:p>
    <w:p w:rsidR="0072148B" w:rsidRPr="00305BA5" w:rsidRDefault="0072148B" w:rsidP="00305BA5">
      <w:pPr>
        <w:spacing w:line="360" w:lineRule="auto"/>
        <w:jc w:val="both"/>
        <w:rPr>
          <w:rFonts w:ascii="Palatino Linotype" w:eastAsia="Palatino Linotype" w:hAnsi="Palatino Linotype" w:cs="Palatino Linotype"/>
          <w:color w:val="000000" w:themeColor="text1"/>
        </w:rPr>
      </w:pPr>
    </w:p>
    <w:p w:rsidR="0072148B" w:rsidRPr="00305BA5" w:rsidRDefault="0072148B" w:rsidP="00305BA5">
      <w:pPr>
        <w:spacing w:line="360" w:lineRule="auto"/>
        <w:jc w:val="both"/>
        <w:rPr>
          <w:rFonts w:ascii="Palatino Linotype" w:eastAsia="Palatino Linotype" w:hAnsi="Palatino Linotype" w:cs="Palatino Linotype"/>
          <w:color w:val="000000" w:themeColor="text1"/>
        </w:rPr>
      </w:pPr>
    </w:p>
    <w:p w:rsidR="0072148B" w:rsidRPr="00305BA5" w:rsidRDefault="0072148B" w:rsidP="00305BA5">
      <w:pPr>
        <w:spacing w:line="360" w:lineRule="auto"/>
        <w:jc w:val="both"/>
        <w:rPr>
          <w:rFonts w:ascii="Palatino Linotype" w:eastAsia="Palatino Linotype" w:hAnsi="Palatino Linotype" w:cs="Palatino Linotype"/>
          <w:color w:val="000000" w:themeColor="text1"/>
        </w:rPr>
      </w:pPr>
    </w:p>
    <w:p w:rsidR="0072148B" w:rsidRPr="00305BA5" w:rsidRDefault="0072148B" w:rsidP="00305BA5">
      <w:pPr>
        <w:spacing w:line="360" w:lineRule="auto"/>
        <w:jc w:val="both"/>
        <w:rPr>
          <w:rFonts w:ascii="Palatino Linotype" w:eastAsia="Palatino Linotype" w:hAnsi="Palatino Linotype" w:cs="Palatino Linotype"/>
          <w:color w:val="000000" w:themeColor="text1"/>
        </w:rPr>
      </w:pPr>
    </w:p>
    <w:p w:rsidR="0072148B" w:rsidRPr="00305BA5" w:rsidRDefault="0072148B" w:rsidP="00305BA5">
      <w:pPr>
        <w:spacing w:line="360" w:lineRule="auto"/>
        <w:jc w:val="both"/>
        <w:rPr>
          <w:rFonts w:ascii="Palatino Linotype" w:eastAsia="Palatino Linotype" w:hAnsi="Palatino Linotype" w:cs="Palatino Linotype"/>
          <w:color w:val="000000" w:themeColor="text1"/>
        </w:rPr>
      </w:pPr>
    </w:p>
    <w:p w:rsidR="0072148B" w:rsidRPr="00305BA5" w:rsidRDefault="0072148B" w:rsidP="00305BA5">
      <w:pPr>
        <w:spacing w:line="360" w:lineRule="auto"/>
        <w:jc w:val="both"/>
        <w:rPr>
          <w:rFonts w:ascii="Palatino Linotype" w:eastAsia="Palatino Linotype" w:hAnsi="Palatino Linotype" w:cs="Palatino Linotype"/>
          <w:color w:val="000000" w:themeColor="text1"/>
        </w:rPr>
      </w:pPr>
    </w:p>
    <w:p w:rsidR="0072148B" w:rsidRPr="00305BA5" w:rsidRDefault="0072148B" w:rsidP="00305BA5">
      <w:pPr>
        <w:spacing w:line="360" w:lineRule="auto"/>
        <w:jc w:val="both"/>
        <w:rPr>
          <w:rFonts w:ascii="Palatino Linotype" w:eastAsia="Palatino Linotype" w:hAnsi="Palatino Linotype" w:cs="Palatino Linotype"/>
          <w:color w:val="000000" w:themeColor="text1"/>
        </w:rPr>
      </w:pPr>
    </w:p>
    <w:p w:rsidR="0072148B" w:rsidRPr="00305BA5" w:rsidRDefault="0072148B" w:rsidP="00305BA5">
      <w:pPr>
        <w:spacing w:line="360" w:lineRule="auto"/>
        <w:jc w:val="both"/>
        <w:rPr>
          <w:rFonts w:ascii="Palatino Linotype" w:eastAsia="Palatino Linotype" w:hAnsi="Palatino Linotype" w:cs="Palatino Linotype"/>
          <w:color w:val="000000" w:themeColor="text1"/>
        </w:rPr>
      </w:pPr>
    </w:p>
    <w:p w:rsidR="0072148B" w:rsidRPr="00305BA5" w:rsidRDefault="0072148B" w:rsidP="00305BA5">
      <w:pPr>
        <w:spacing w:line="360" w:lineRule="auto"/>
        <w:jc w:val="both"/>
        <w:rPr>
          <w:rFonts w:ascii="Palatino Linotype" w:eastAsia="Palatino Linotype" w:hAnsi="Palatino Linotype" w:cs="Palatino Linotype"/>
          <w:color w:val="000000" w:themeColor="text1"/>
        </w:rPr>
      </w:pPr>
    </w:p>
    <w:p w:rsidR="0072148B" w:rsidRPr="00305BA5" w:rsidRDefault="0072148B" w:rsidP="00305BA5">
      <w:pPr>
        <w:spacing w:line="360" w:lineRule="auto"/>
        <w:jc w:val="both"/>
        <w:rPr>
          <w:rFonts w:ascii="Palatino Linotype" w:eastAsia="Palatino Linotype" w:hAnsi="Palatino Linotype" w:cs="Palatino Linotype"/>
          <w:color w:val="000000" w:themeColor="text1"/>
        </w:rPr>
      </w:pPr>
    </w:p>
    <w:p w:rsidR="0072148B" w:rsidRPr="00305BA5" w:rsidRDefault="0072148B" w:rsidP="00305BA5">
      <w:pPr>
        <w:spacing w:line="360" w:lineRule="auto"/>
        <w:rPr>
          <w:rFonts w:ascii="Palatino Linotype" w:eastAsia="Palatino Linotype" w:hAnsi="Palatino Linotype" w:cs="Palatino Linotype"/>
          <w:color w:val="000000" w:themeColor="text1"/>
        </w:rPr>
      </w:pPr>
    </w:p>
    <w:p w:rsidR="0072148B" w:rsidRPr="00305BA5" w:rsidRDefault="0072148B" w:rsidP="00305BA5">
      <w:pPr>
        <w:tabs>
          <w:tab w:val="left" w:pos="3374"/>
        </w:tabs>
        <w:spacing w:line="360" w:lineRule="auto"/>
        <w:rPr>
          <w:rFonts w:ascii="Palatino Linotype" w:eastAsia="Palatino Linotype" w:hAnsi="Palatino Linotype" w:cs="Palatino Linotype"/>
          <w:color w:val="000000" w:themeColor="text1"/>
        </w:rPr>
      </w:pPr>
      <w:bookmarkStart w:id="10" w:name="_heading=h.lnxbz9" w:colFirst="0" w:colLast="0"/>
      <w:bookmarkEnd w:id="10"/>
    </w:p>
    <w:sectPr w:rsidR="0072148B" w:rsidRPr="00305BA5" w:rsidSect="00A9441B">
      <w:headerReference w:type="even" r:id="rId10"/>
      <w:headerReference w:type="default" r:id="rId11"/>
      <w:footerReference w:type="default" r:id="rId12"/>
      <w:headerReference w:type="first" r:id="rId13"/>
      <w:footerReference w:type="first" r:id="rId14"/>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B29" w:rsidRDefault="00457B29">
      <w:r>
        <w:separator/>
      </w:r>
    </w:p>
  </w:endnote>
  <w:endnote w:type="continuationSeparator" w:id="0">
    <w:p w:rsidR="00457B29" w:rsidRDefault="00457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BA5" w:rsidRDefault="00305BA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0145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01451">
      <w:rPr>
        <w:rFonts w:ascii="Palatino Linotype" w:eastAsia="Palatino Linotype" w:hAnsi="Palatino Linotype" w:cs="Palatino Linotype"/>
        <w:noProof/>
        <w:color w:val="000000"/>
        <w:sz w:val="20"/>
        <w:szCs w:val="20"/>
      </w:rPr>
      <w:t>52</w:t>
    </w:r>
    <w:r>
      <w:rPr>
        <w:rFonts w:ascii="Palatino Linotype" w:eastAsia="Palatino Linotype" w:hAnsi="Palatino Linotype" w:cs="Palatino Linotype"/>
        <w:color w:val="000000"/>
        <w:sz w:val="20"/>
        <w:szCs w:val="20"/>
      </w:rPr>
      <w:fldChar w:fldCharType="end"/>
    </w:r>
  </w:p>
  <w:p w:rsidR="00305BA5" w:rsidRDefault="00305BA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BA5" w:rsidRDefault="00305BA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0145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01451">
      <w:rPr>
        <w:rFonts w:ascii="Palatino Linotype" w:eastAsia="Palatino Linotype" w:hAnsi="Palatino Linotype" w:cs="Palatino Linotype"/>
        <w:noProof/>
        <w:color w:val="000000"/>
        <w:sz w:val="20"/>
        <w:szCs w:val="20"/>
      </w:rPr>
      <w:t>52</w:t>
    </w:r>
    <w:r>
      <w:rPr>
        <w:rFonts w:ascii="Palatino Linotype" w:eastAsia="Palatino Linotype" w:hAnsi="Palatino Linotype" w:cs="Palatino Linotype"/>
        <w:color w:val="000000"/>
        <w:sz w:val="20"/>
        <w:szCs w:val="20"/>
      </w:rPr>
      <w:fldChar w:fldCharType="end"/>
    </w:r>
  </w:p>
  <w:p w:rsidR="00305BA5" w:rsidRDefault="00305BA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B29" w:rsidRDefault="00457B29">
      <w:r>
        <w:separator/>
      </w:r>
    </w:p>
  </w:footnote>
  <w:footnote w:type="continuationSeparator" w:id="0">
    <w:p w:rsidR="00457B29" w:rsidRDefault="00457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BA5" w:rsidRDefault="00457B2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371" w:type="dxa"/>
      <w:tblInd w:w="3402" w:type="dxa"/>
      <w:tblLayout w:type="fixed"/>
      <w:tblLook w:val="0400" w:firstRow="0" w:lastRow="0" w:firstColumn="0" w:lastColumn="0" w:noHBand="0" w:noVBand="1"/>
    </w:tblPr>
    <w:tblGrid>
      <w:gridCol w:w="2694"/>
      <w:gridCol w:w="4677"/>
    </w:tblGrid>
    <w:tr w:rsidR="00305BA5" w:rsidTr="00A9441B">
      <w:trPr>
        <w:trHeight w:val="227"/>
      </w:trPr>
      <w:tc>
        <w:tcPr>
          <w:tcW w:w="2694" w:type="dxa"/>
        </w:tcPr>
        <w:p w:rsidR="00305BA5" w:rsidRPr="00305BA5" w:rsidRDefault="00305BA5" w:rsidP="00305BA5">
          <w:pPr>
            <w:jc w:val="right"/>
            <w:rPr>
              <w:rFonts w:ascii="Palatino Linotype" w:eastAsia="Palatino Linotype" w:hAnsi="Palatino Linotype" w:cs="Palatino Linotype"/>
              <w:b/>
            </w:rPr>
          </w:pPr>
          <w:r w:rsidRPr="00305BA5">
            <w:rPr>
              <w:rFonts w:ascii="Palatino Linotype" w:eastAsia="Palatino Linotype" w:hAnsi="Palatino Linotype" w:cs="Palatino Linotype"/>
              <w:b/>
            </w:rPr>
            <w:t>Recurso de Revisión:</w:t>
          </w:r>
        </w:p>
      </w:tc>
      <w:tc>
        <w:tcPr>
          <w:tcW w:w="4677" w:type="dxa"/>
        </w:tcPr>
        <w:p w:rsidR="00305BA5" w:rsidRPr="00305BA5" w:rsidRDefault="00305BA5" w:rsidP="00305BA5">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305BA5">
            <w:rPr>
              <w:rFonts w:ascii="Palatino Linotype" w:eastAsia="Palatino Linotype" w:hAnsi="Palatino Linotype" w:cs="Palatino Linotype"/>
              <w:color w:val="000000"/>
            </w:rPr>
            <w:t>04848/INFOEM/IP/RR/2025</w:t>
          </w:r>
        </w:p>
      </w:tc>
    </w:tr>
    <w:tr w:rsidR="00305BA5" w:rsidTr="00A9441B">
      <w:trPr>
        <w:trHeight w:val="342"/>
      </w:trPr>
      <w:tc>
        <w:tcPr>
          <w:tcW w:w="2694" w:type="dxa"/>
        </w:tcPr>
        <w:p w:rsidR="00305BA5" w:rsidRPr="00305BA5" w:rsidRDefault="00305BA5" w:rsidP="00305BA5">
          <w:pPr>
            <w:jc w:val="right"/>
            <w:rPr>
              <w:rFonts w:ascii="Palatino Linotype" w:eastAsia="Palatino Linotype" w:hAnsi="Palatino Linotype" w:cs="Palatino Linotype"/>
              <w:b/>
            </w:rPr>
          </w:pPr>
          <w:r w:rsidRPr="00305BA5">
            <w:rPr>
              <w:rFonts w:ascii="Palatino Linotype" w:eastAsia="Palatino Linotype" w:hAnsi="Palatino Linotype" w:cs="Palatino Linotype"/>
              <w:b/>
            </w:rPr>
            <w:t>Sujeto Obligado:</w:t>
          </w:r>
        </w:p>
      </w:tc>
      <w:tc>
        <w:tcPr>
          <w:tcW w:w="4677" w:type="dxa"/>
        </w:tcPr>
        <w:p w:rsidR="00305BA5" w:rsidRPr="00305BA5" w:rsidRDefault="00305BA5" w:rsidP="00305BA5">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highlight w:val="green"/>
            </w:rPr>
          </w:pPr>
          <w:r w:rsidRPr="00305BA5">
            <w:rPr>
              <w:rFonts w:ascii="Palatino Linotype" w:eastAsia="Palatino Linotype" w:hAnsi="Palatino Linotype" w:cs="Palatino Linotype"/>
              <w:color w:val="000000"/>
            </w:rPr>
            <w:t>Ayuntamiento de Villa de Allende</w:t>
          </w:r>
        </w:p>
      </w:tc>
    </w:tr>
    <w:tr w:rsidR="00305BA5" w:rsidTr="00A9441B">
      <w:trPr>
        <w:trHeight w:val="342"/>
      </w:trPr>
      <w:tc>
        <w:tcPr>
          <w:tcW w:w="2694" w:type="dxa"/>
        </w:tcPr>
        <w:p w:rsidR="00305BA5" w:rsidRPr="00305BA5" w:rsidRDefault="00305BA5" w:rsidP="00305BA5">
          <w:pPr>
            <w:jc w:val="right"/>
            <w:rPr>
              <w:rFonts w:ascii="Palatino Linotype" w:eastAsia="Palatino Linotype" w:hAnsi="Palatino Linotype" w:cs="Palatino Linotype"/>
              <w:b/>
            </w:rPr>
          </w:pPr>
          <w:r w:rsidRPr="00305BA5">
            <w:rPr>
              <w:rFonts w:ascii="Palatino Linotype" w:eastAsia="Palatino Linotype" w:hAnsi="Palatino Linotype" w:cs="Palatino Linotype"/>
              <w:b/>
            </w:rPr>
            <w:t>Comisionada Ponente:</w:t>
          </w:r>
        </w:p>
      </w:tc>
      <w:tc>
        <w:tcPr>
          <w:tcW w:w="4677" w:type="dxa"/>
        </w:tcPr>
        <w:p w:rsidR="00305BA5" w:rsidRPr="00305BA5" w:rsidRDefault="00305BA5" w:rsidP="00305BA5">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305BA5">
            <w:rPr>
              <w:rFonts w:ascii="Palatino Linotype" w:eastAsia="Palatino Linotype" w:hAnsi="Palatino Linotype" w:cs="Palatino Linotype"/>
              <w:color w:val="000000"/>
            </w:rPr>
            <w:t>María del Rosario Mejía Ayala</w:t>
          </w:r>
        </w:p>
      </w:tc>
    </w:tr>
  </w:tbl>
  <w:p w:rsidR="00305BA5" w:rsidRDefault="00457B29">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6pt;margin-top:-125.0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229" w:type="dxa"/>
      <w:tblInd w:w="3402" w:type="dxa"/>
      <w:tblLayout w:type="fixed"/>
      <w:tblLook w:val="0400" w:firstRow="0" w:lastRow="0" w:firstColumn="0" w:lastColumn="0" w:noHBand="0" w:noVBand="1"/>
    </w:tblPr>
    <w:tblGrid>
      <w:gridCol w:w="2693"/>
      <w:gridCol w:w="4536"/>
    </w:tblGrid>
    <w:tr w:rsidR="00305BA5" w:rsidTr="00A9441B">
      <w:trPr>
        <w:trHeight w:val="227"/>
      </w:trPr>
      <w:tc>
        <w:tcPr>
          <w:tcW w:w="2693" w:type="dxa"/>
        </w:tcPr>
        <w:p w:rsidR="00305BA5" w:rsidRPr="00305BA5" w:rsidRDefault="00A9441B" w:rsidP="00A9441B">
          <w:pPr>
            <w:tabs>
              <w:tab w:val="left" w:pos="231"/>
              <w:tab w:val="right" w:pos="2553"/>
            </w:tabs>
            <w:rPr>
              <w:rFonts w:ascii="Palatino Linotype" w:eastAsia="Palatino Linotype" w:hAnsi="Palatino Linotype" w:cs="Palatino Linotype"/>
              <w:b/>
            </w:rPr>
          </w:pPr>
          <w:r>
            <w:rPr>
              <w:rFonts w:ascii="Palatino Linotype" w:eastAsia="Palatino Linotype" w:hAnsi="Palatino Linotype" w:cs="Palatino Linotype"/>
              <w:b/>
            </w:rPr>
            <w:tab/>
          </w:r>
          <w:r>
            <w:rPr>
              <w:rFonts w:ascii="Palatino Linotype" w:eastAsia="Palatino Linotype" w:hAnsi="Palatino Linotype" w:cs="Palatino Linotype"/>
              <w:b/>
            </w:rPr>
            <w:tab/>
          </w:r>
          <w:r w:rsidR="00305BA5" w:rsidRPr="00305BA5">
            <w:rPr>
              <w:rFonts w:ascii="Palatino Linotype" w:eastAsia="Palatino Linotype" w:hAnsi="Palatino Linotype" w:cs="Palatino Linotype"/>
              <w:b/>
            </w:rPr>
            <w:t>Recurso de Revisión:</w:t>
          </w:r>
        </w:p>
      </w:tc>
      <w:tc>
        <w:tcPr>
          <w:tcW w:w="4536" w:type="dxa"/>
        </w:tcPr>
        <w:p w:rsidR="00305BA5" w:rsidRPr="00305BA5" w:rsidRDefault="00305BA5" w:rsidP="00305BA5">
          <w:pPr>
            <w:pBdr>
              <w:top w:val="nil"/>
              <w:left w:val="nil"/>
              <w:bottom w:val="nil"/>
              <w:right w:val="nil"/>
              <w:between w:val="nil"/>
            </w:pBdr>
            <w:tabs>
              <w:tab w:val="right" w:pos="8838"/>
            </w:tabs>
            <w:ind w:right="71"/>
            <w:rPr>
              <w:rFonts w:ascii="Palatino Linotype" w:eastAsia="Palatino Linotype" w:hAnsi="Palatino Linotype" w:cs="Palatino Linotype"/>
              <w:color w:val="000000"/>
              <w:highlight w:val="green"/>
            </w:rPr>
          </w:pPr>
          <w:r w:rsidRPr="00305BA5">
            <w:rPr>
              <w:rFonts w:ascii="Palatino Linotype" w:eastAsia="Palatino Linotype" w:hAnsi="Palatino Linotype" w:cs="Palatino Linotype"/>
              <w:color w:val="000000"/>
            </w:rPr>
            <w:t>04848/INFOEM/IP/RR/2025</w:t>
          </w:r>
        </w:p>
      </w:tc>
    </w:tr>
    <w:tr w:rsidR="00305BA5" w:rsidTr="00A9441B">
      <w:trPr>
        <w:trHeight w:val="242"/>
      </w:trPr>
      <w:tc>
        <w:tcPr>
          <w:tcW w:w="2693" w:type="dxa"/>
        </w:tcPr>
        <w:p w:rsidR="00305BA5" w:rsidRPr="00305BA5" w:rsidRDefault="00305BA5" w:rsidP="00305BA5">
          <w:pPr>
            <w:jc w:val="right"/>
            <w:rPr>
              <w:rFonts w:ascii="Palatino Linotype" w:eastAsia="Palatino Linotype" w:hAnsi="Palatino Linotype" w:cs="Palatino Linotype"/>
              <w:b/>
            </w:rPr>
          </w:pPr>
          <w:r w:rsidRPr="00305BA5">
            <w:rPr>
              <w:rFonts w:ascii="Palatino Linotype" w:eastAsia="Palatino Linotype" w:hAnsi="Palatino Linotype" w:cs="Palatino Linotype"/>
              <w:b/>
            </w:rPr>
            <w:t>Recurrente:</w:t>
          </w:r>
        </w:p>
      </w:tc>
      <w:tc>
        <w:tcPr>
          <w:tcW w:w="4536" w:type="dxa"/>
        </w:tcPr>
        <w:p w:rsidR="00305BA5" w:rsidRPr="00305BA5" w:rsidRDefault="00305BA5" w:rsidP="00305BA5">
          <w:pPr>
            <w:pBdr>
              <w:top w:val="nil"/>
              <w:left w:val="nil"/>
              <w:bottom w:val="nil"/>
              <w:right w:val="nil"/>
              <w:between w:val="nil"/>
            </w:pBdr>
            <w:tabs>
              <w:tab w:val="right" w:pos="8838"/>
              <w:tab w:val="left" w:pos="521"/>
            </w:tabs>
            <w:ind w:right="71"/>
            <w:rPr>
              <w:rFonts w:ascii="Palatino Linotype" w:eastAsia="Palatino Linotype" w:hAnsi="Palatino Linotype" w:cs="Palatino Linotype"/>
              <w:color w:val="000000"/>
              <w:highlight w:val="green"/>
            </w:rPr>
          </w:pPr>
        </w:p>
      </w:tc>
    </w:tr>
    <w:tr w:rsidR="00305BA5" w:rsidTr="00A9441B">
      <w:trPr>
        <w:trHeight w:val="342"/>
      </w:trPr>
      <w:tc>
        <w:tcPr>
          <w:tcW w:w="2693" w:type="dxa"/>
        </w:tcPr>
        <w:p w:rsidR="00305BA5" w:rsidRPr="00305BA5" w:rsidRDefault="00305BA5" w:rsidP="00305BA5">
          <w:pPr>
            <w:jc w:val="right"/>
            <w:rPr>
              <w:rFonts w:ascii="Palatino Linotype" w:eastAsia="Palatino Linotype" w:hAnsi="Palatino Linotype" w:cs="Palatino Linotype"/>
              <w:b/>
            </w:rPr>
          </w:pPr>
          <w:r w:rsidRPr="00305BA5">
            <w:rPr>
              <w:rFonts w:ascii="Palatino Linotype" w:eastAsia="Palatino Linotype" w:hAnsi="Palatino Linotype" w:cs="Palatino Linotype"/>
              <w:b/>
            </w:rPr>
            <w:t>Sujeto Obligado:</w:t>
          </w:r>
        </w:p>
      </w:tc>
      <w:tc>
        <w:tcPr>
          <w:tcW w:w="4536" w:type="dxa"/>
        </w:tcPr>
        <w:p w:rsidR="00305BA5" w:rsidRPr="00305BA5" w:rsidRDefault="00305BA5" w:rsidP="00305BA5">
          <w:pPr>
            <w:pBdr>
              <w:top w:val="nil"/>
              <w:left w:val="nil"/>
              <w:bottom w:val="nil"/>
              <w:right w:val="nil"/>
              <w:between w:val="nil"/>
            </w:pBdr>
            <w:tabs>
              <w:tab w:val="right" w:pos="8838"/>
            </w:tabs>
            <w:ind w:right="71"/>
            <w:jc w:val="both"/>
            <w:rPr>
              <w:rFonts w:ascii="Palatino Linotype" w:eastAsia="Palatino Linotype" w:hAnsi="Palatino Linotype" w:cs="Palatino Linotype"/>
              <w:color w:val="000000"/>
              <w:highlight w:val="green"/>
            </w:rPr>
          </w:pPr>
          <w:r w:rsidRPr="00305BA5">
            <w:rPr>
              <w:rFonts w:ascii="Palatino Linotype" w:eastAsia="Palatino Linotype" w:hAnsi="Palatino Linotype" w:cs="Palatino Linotype"/>
              <w:color w:val="000000"/>
            </w:rPr>
            <w:t>Ayuntamiento de Villa de Allende</w:t>
          </w:r>
        </w:p>
      </w:tc>
    </w:tr>
    <w:tr w:rsidR="00305BA5" w:rsidTr="00A9441B">
      <w:trPr>
        <w:trHeight w:val="342"/>
      </w:trPr>
      <w:tc>
        <w:tcPr>
          <w:tcW w:w="2693" w:type="dxa"/>
        </w:tcPr>
        <w:p w:rsidR="00305BA5" w:rsidRPr="00305BA5" w:rsidRDefault="00305BA5" w:rsidP="00305BA5">
          <w:pPr>
            <w:jc w:val="right"/>
            <w:rPr>
              <w:rFonts w:ascii="Palatino Linotype" w:eastAsia="Palatino Linotype" w:hAnsi="Palatino Linotype" w:cs="Palatino Linotype"/>
              <w:b/>
            </w:rPr>
          </w:pPr>
          <w:r w:rsidRPr="00305BA5">
            <w:rPr>
              <w:rFonts w:ascii="Palatino Linotype" w:eastAsia="Palatino Linotype" w:hAnsi="Palatino Linotype" w:cs="Palatino Linotype"/>
              <w:b/>
            </w:rPr>
            <w:t>Comisionada Ponente:</w:t>
          </w:r>
        </w:p>
      </w:tc>
      <w:tc>
        <w:tcPr>
          <w:tcW w:w="4536" w:type="dxa"/>
        </w:tcPr>
        <w:p w:rsidR="00305BA5" w:rsidRPr="00305BA5" w:rsidRDefault="00305BA5" w:rsidP="00305BA5">
          <w:pPr>
            <w:pBdr>
              <w:top w:val="nil"/>
              <w:left w:val="nil"/>
              <w:bottom w:val="nil"/>
              <w:right w:val="nil"/>
              <w:between w:val="nil"/>
            </w:pBdr>
            <w:tabs>
              <w:tab w:val="right" w:pos="8838"/>
            </w:tabs>
            <w:ind w:right="71"/>
            <w:rPr>
              <w:rFonts w:ascii="Palatino Linotype" w:eastAsia="Palatino Linotype" w:hAnsi="Palatino Linotype" w:cs="Palatino Linotype"/>
              <w:color w:val="000000"/>
            </w:rPr>
          </w:pPr>
          <w:r w:rsidRPr="00305BA5">
            <w:rPr>
              <w:rFonts w:ascii="Palatino Linotype" w:eastAsia="Palatino Linotype" w:hAnsi="Palatino Linotype" w:cs="Palatino Linotype"/>
              <w:color w:val="000000"/>
            </w:rPr>
            <w:t>María del Rosario Mejía Ayala</w:t>
          </w:r>
        </w:p>
      </w:tc>
    </w:tr>
  </w:tbl>
  <w:p w:rsidR="00305BA5" w:rsidRDefault="00457B29">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18.6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5DC024F"/>
    <w:multiLevelType w:val="hybridMultilevel"/>
    <w:tmpl w:val="D734A8D2"/>
    <w:lvl w:ilvl="0" w:tplc="080A0001">
      <w:start w:val="1"/>
      <w:numFmt w:val="bullet"/>
      <w:lvlText w:val=""/>
      <w:lvlJc w:val="left"/>
      <w:pPr>
        <w:ind w:left="1778" w:hanging="360"/>
      </w:pPr>
      <w:rPr>
        <w:rFonts w:ascii="Symbol" w:hAnsi="Symbol" w:hint="default"/>
        <w:color w:val="000000"/>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CC3796"/>
    <w:multiLevelType w:val="hybridMultilevel"/>
    <w:tmpl w:val="7E784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616C2F"/>
    <w:multiLevelType w:val="hybridMultilevel"/>
    <w:tmpl w:val="611842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46460B"/>
    <w:multiLevelType w:val="hybridMultilevel"/>
    <w:tmpl w:val="A5D09B6E"/>
    <w:lvl w:ilvl="0" w:tplc="E36EB920">
      <w:start w:val="1"/>
      <w:numFmt w:val="decimal"/>
      <w:lvlText w:val="%1."/>
      <w:lvlJc w:val="left"/>
      <w:pPr>
        <w:ind w:left="1070" w:hanging="360"/>
      </w:pPr>
      <w:rPr>
        <w:rFonts w:ascii="Palatino Linotype" w:hAnsi="Palatino Linotype" w:hint="default"/>
        <w:b/>
        <w:i w:val="0"/>
        <w:color w:val="auto"/>
        <w:sz w:val="24"/>
      </w:rPr>
    </w:lvl>
    <w:lvl w:ilvl="1" w:tplc="080A0001">
      <w:start w:val="1"/>
      <w:numFmt w:val="bullet"/>
      <w:lvlText w:val=""/>
      <w:lvlJc w:val="left"/>
      <w:pPr>
        <w:ind w:left="36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BB4755"/>
    <w:multiLevelType w:val="hybridMultilevel"/>
    <w:tmpl w:val="DAE04D72"/>
    <w:lvl w:ilvl="0" w:tplc="6CC644CC">
      <w:numFmt w:val="bullet"/>
      <w:lvlText w:val="·"/>
      <w:lvlJc w:val="left"/>
      <w:pPr>
        <w:ind w:left="927" w:hanging="360"/>
      </w:pPr>
      <w:rPr>
        <w:rFonts w:ascii="Palatino Linotype" w:eastAsiaTheme="minorEastAsia" w:hAnsi="Palatino Linotype" w:cs="Arial" w:hint="default"/>
        <w:color w:val="00000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920868"/>
    <w:multiLevelType w:val="hybridMultilevel"/>
    <w:tmpl w:val="48B83B1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298871E1"/>
    <w:multiLevelType w:val="hybridMultilevel"/>
    <w:tmpl w:val="17AA5B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2A941BEA"/>
    <w:multiLevelType w:val="multilevel"/>
    <w:tmpl w:val="0A64F8E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E94F0D"/>
    <w:multiLevelType w:val="hybridMultilevel"/>
    <w:tmpl w:val="E1AE51BA"/>
    <w:lvl w:ilvl="0" w:tplc="080A0013">
      <w:start w:val="1"/>
      <w:numFmt w:val="upperRoman"/>
      <w:lvlText w:val="%1."/>
      <w:lvlJc w:val="right"/>
      <w:pPr>
        <w:ind w:left="1571"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15:restartNumberingAfterBreak="0">
    <w:nsid w:val="34A85FEA"/>
    <w:multiLevelType w:val="hybridMultilevel"/>
    <w:tmpl w:val="CE24B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331259"/>
    <w:multiLevelType w:val="hybridMultilevel"/>
    <w:tmpl w:val="48B83B1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928675F"/>
    <w:multiLevelType w:val="multilevel"/>
    <w:tmpl w:val="FFAE64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CC3095"/>
    <w:multiLevelType w:val="multilevel"/>
    <w:tmpl w:val="03B2368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A66B34"/>
    <w:multiLevelType w:val="multilevel"/>
    <w:tmpl w:val="104EE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A22DD3"/>
    <w:multiLevelType w:val="multilevel"/>
    <w:tmpl w:val="6C9C26F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54789F"/>
    <w:multiLevelType w:val="multilevel"/>
    <w:tmpl w:val="986AAC4E"/>
    <w:lvl w:ilvl="0">
      <w:start w:val="1"/>
      <w:numFmt w:val="decimal"/>
      <w:lvlText w:val="%1."/>
      <w:lvlJc w:val="left"/>
      <w:pPr>
        <w:ind w:left="1637"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4" w15:restartNumberingAfterBreak="0">
    <w:nsid w:val="4DE33D0A"/>
    <w:multiLevelType w:val="multilevel"/>
    <w:tmpl w:val="F7A6506E"/>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25" w15:restartNumberingAfterBreak="0">
    <w:nsid w:val="4E1963E3"/>
    <w:multiLevelType w:val="multilevel"/>
    <w:tmpl w:val="A15E05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52246ACA"/>
    <w:multiLevelType w:val="multilevel"/>
    <w:tmpl w:val="372CF89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8"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330F65"/>
    <w:multiLevelType w:val="hybridMultilevel"/>
    <w:tmpl w:val="A1C0E3D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E064666"/>
    <w:multiLevelType w:val="hybridMultilevel"/>
    <w:tmpl w:val="7846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C9005E"/>
    <w:multiLevelType w:val="multilevel"/>
    <w:tmpl w:val="AED2424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3"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4" w15:restartNumberingAfterBreak="0">
    <w:nsid w:val="743C6992"/>
    <w:multiLevelType w:val="multilevel"/>
    <w:tmpl w:val="972855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5"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6" w15:restartNumberingAfterBreak="0">
    <w:nsid w:val="7AA0215B"/>
    <w:multiLevelType w:val="multilevel"/>
    <w:tmpl w:val="03B2368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35"/>
  </w:num>
  <w:num w:numId="3">
    <w:abstractNumId w:val="24"/>
  </w:num>
  <w:num w:numId="4">
    <w:abstractNumId w:val="34"/>
  </w:num>
  <w:num w:numId="5">
    <w:abstractNumId w:val="32"/>
  </w:num>
  <w:num w:numId="6">
    <w:abstractNumId w:val="37"/>
  </w:num>
  <w:num w:numId="7">
    <w:abstractNumId w:val="16"/>
  </w:num>
  <w:num w:numId="8">
    <w:abstractNumId w:val="19"/>
  </w:num>
  <w:num w:numId="9">
    <w:abstractNumId w:val="27"/>
  </w:num>
  <w:num w:numId="10">
    <w:abstractNumId w:val="30"/>
  </w:num>
  <w:num w:numId="11">
    <w:abstractNumId w:val="5"/>
  </w:num>
  <w:num w:numId="12">
    <w:abstractNumId w:val="21"/>
  </w:num>
  <w:num w:numId="13">
    <w:abstractNumId w:val="8"/>
  </w:num>
  <w:num w:numId="14">
    <w:abstractNumId w:val="20"/>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7"/>
  </w:num>
  <w:num w:numId="18">
    <w:abstractNumId w:val="36"/>
  </w:num>
  <w:num w:numId="19">
    <w:abstractNumId w:val="15"/>
  </w:num>
  <w:num w:numId="20">
    <w:abstractNumId w:val="11"/>
  </w:num>
  <w:num w:numId="21">
    <w:abstractNumId w:val="26"/>
  </w:num>
  <w:num w:numId="22">
    <w:abstractNumId w:val="29"/>
  </w:num>
  <w:num w:numId="23">
    <w:abstractNumId w:val="18"/>
  </w:num>
  <w:num w:numId="24">
    <w:abstractNumId w:val="10"/>
  </w:num>
  <w:num w:numId="25">
    <w:abstractNumId w:val="7"/>
  </w:num>
  <w:num w:numId="26">
    <w:abstractNumId w:val="22"/>
  </w:num>
  <w:num w:numId="27">
    <w:abstractNumId w:val="1"/>
  </w:num>
  <w:num w:numId="28">
    <w:abstractNumId w:val="25"/>
  </w:num>
  <w:num w:numId="29">
    <w:abstractNumId w:val="6"/>
  </w:num>
  <w:num w:numId="30">
    <w:abstractNumId w:val="28"/>
  </w:num>
  <w:num w:numId="31">
    <w:abstractNumId w:val="3"/>
  </w:num>
  <w:num w:numId="32">
    <w:abstractNumId w:val="14"/>
  </w:num>
  <w:num w:numId="33">
    <w:abstractNumId w:val="4"/>
  </w:num>
  <w:num w:numId="34">
    <w:abstractNumId w:val="2"/>
  </w:num>
  <w:num w:numId="35">
    <w:abstractNumId w:val="0"/>
  </w:num>
  <w:num w:numId="36">
    <w:abstractNumId w:val="31"/>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7763"/>
    <w:rsid w:val="000103CF"/>
    <w:rsid w:val="00031D0E"/>
    <w:rsid w:val="00035D25"/>
    <w:rsid w:val="00044620"/>
    <w:rsid w:val="00047CD1"/>
    <w:rsid w:val="0005134E"/>
    <w:rsid w:val="000515F3"/>
    <w:rsid w:val="000579CE"/>
    <w:rsid w:val="00072E6D"/>
    <w:rsid w:val="00077434"/>
    <w:rsid w:val="0008059E"/>
    <w:rsid w:val="000831E7"/>
    <w:rsid w:val="000A0538"/>
    <w:rsid w:val="000B47EF"/>
    <w:rsid w:val="000B74E0"/>
    <w:rsid w:val="000C7E4E"/>
    <w:rsid w:val="000E24A9"/>
    <w:rsid w:val="000E2518"/>
    <w:rsid w:val="000F40B4"/>
    <w:rsid w:val="000F4C96"/>
    <w:rsid w:val="000F6F52"/>
    <w:rsid w:val="00103707"/>
    <w:rsid w:val="001061C4"/>
    <w:rsid w:val="00120A69"/>
    <w:rsid w:val="00143D20"/>
    <w:rsid w:val="00145123"/>
    <w:rsid w:val="00154B8B"/>
    <w:rsid w:val="00157E50"/>
    <w:rsid w:val="001636AD"/>
    <w:rsid w:val="00173C85"/>
    <w:rsid w:val="00180B8D"/>
    <w:rsid w:val="00182309"/>
    <w:rsid w:val="001917E5"/>
    <w:rsid w:val="00193030"/>
    <w:rsid w:val="001A547B"/>
    <w:rsid w:val="001C50E4"/>
    <w:rsid w:val="001C765C"/>
    <w:rsid w:val="001E1131"/>
    <w:rsid w:val="00206AA8"/>
    <w:rsid w:val="0021698D"/>
    <w:rsid w:val="00234E39"/>
    <w:rsid w:val="00246354"/>
    <w:rsid w:val="00247643"/>
    <w:rsid w:val="00260636"/>
    <w:rsid w:val="002925A5"/>
    <w:rsid w:val="0029293C"/>
    <w:rsid w:val="002B09F1"/>
    <w:rsid w:val="002B4892"/>
    <w:rsid w:val="002C2FF1"/>
    <w:rsid w:val="002D7E17"/>
    <w:rsid w:val="002E2702"/>
    <w:rsid w:val="002E454E"/>
    <w:rsid w:val="002F2579"/>
    <w:rsid w:val="002F3DF1"/>
    <w:rsid w:val="002F53FA"/>
    <w:rsid w:val="002F58AF"/>
    <w:rsid w:val="003030E0"/>
    <w:rsid w:val="003050A2"/>
    <w:rsid w:val="00305BA5"/>
    <w:rsid w:val="00313F39"/>
    <w:rsid w:val="00325B01"/>
    <w:rsid w:val="0035592A"/>
    <w:rsid w:val="003568B4"/>
    <w:rsid w:val="00367C4B"/>
    <w:rsid w:val="00386CEB"/>
    <w:rsid w:val="00390344"/>
    <w:rsid w:val="003930C3"/>
    <w:rsid w:val="003B3576"/>
    <w:rsid w:val="003C1BE5"/>
    <w:rsid w:val="003D1704"/>
    <w:rsid w:val="003F3A15"/>
    <w:rsid w:val="004000D2"/>
    <w:rsid w:val="00401519"/>
    <w:rsid w:val="004111A7"/>
    <w:rsid w:val="0041215C"/>
    <w:rsid w:val="004145D2"/>
    <w:rsid w:val="00417A09"/>
    <w:rsid w:val="00426A19"/>
    <w:rsid w:val="00431896"/>
    <w:rsid w:val="00434E54"/>
    <w:rsid w:val="004538DE"/>
    <w:rsid w:val="00456A7C"/>
    <w:rsid w:val="00457B29"/>
    <w:rsid w:val="00457D8A"/>
    <w:rsid w:val="00480448"/>
    <w:rsid w:val="00481E02"/>
    <w:rsid w:val="00486875"/>
    <w:rsid w:val="004907F2"/>
    <w:rsid w:val="004A3C4F"/>
    <w:rsid w:val="004B16C7"/>
    <w:rsid w:val="004D262B"/>
    <w:rsid w:val="004D37A5"/>
    <w:rsid w:val="004E49C5"/>
    <w:rsid w:val="004E7B4F"/>
    <w:rsid w:val="00517573"/>
    <w:rsid w:val="00535921"/>
    <w:rsid w:val="005417D6"/>
    <w:rsid w:val="00557876"/>
    <w:rsid w:val="005612FD"/>
    <w:rsid w:val="00565E2F"/>
    <w:rsid w:val="00570DE4"/>
    <w:rsid w:val="005748DE"/>
    <w:rsid w:val="005752E2"/>
    <w:rsid w:val="00576C02"/>
    <w:rsid w:val="005812D5"/>
    <w:rsid w:val="005845B2"/>
    <w:rsid w:val="00587E70"/>
    <w:rsid w:val="0059542F"/>
    <w:rsid w:val="005A1D2C"/>
    <w:rsid w:val="005A3450"/>
    <w:rsid w:val="005A5ECC"/>
    <w:rsid w:val="005B551C"/>
    <w:rsid w:val="005B613B"/>
    <w:rsid w:val="005B6EB9"/>
    <w:rsid w:val="005C7812"/>
    <w:rsid w:val="005F2426"/>
    <w:rsid w:val="005F6407"/>
    <w:rsid w:val="00604D38"/>
    <w:rsid w:val="006105CE"/>
    <w:rsid w:val="00620DD1"/>
    <w:rsid w:val="00624FDF"/>
    <w:rsid w:val="00644A3D"/>
    <w:rsid w:val="00652B47"/>
    <w:rsid w:val="006673E8"/>
    <w:rsid w:val="00670255"/>
    <w:rsid w:val="0067389D"/>
    <w:rsid w:val="00674202"/>
    <w:rsid w:val="00677E2A"/>
    <w:rsid w:val="006B043B"/>
    <w:rsid w:val="006B5B63"/>
    <w:rsid w:val="006C175B"/>
    <w:rsid w:val="006C39F8"/>
    <w:rsid w:val="006C580F"/>
    <w:rsid w:val="006C7CBE"/>
    <w:rsid w:val="006D2648"/>
    <w:rsid w:val="006D3B66"/>
    <w:rsid w:val="006E270F"/>
    <w:rsid w:val="006E3D9B"/>
    <w:rsid w:val="006F26AA"/>
    <w:rsid w:val="006F5C09"/>
    <w:rsid w:val="00706758"/>
    <w:rsid w:val="00707D1A"/>
    <w:rsid w:val="0071255D"/>
    <w:rsid w:val="0072148B"/>
    <w:rsid w:val="00723384"/>
    <w:rsid w:val="00732E34"/>
    <w:rsid w:val="00746890"/>
    <w:rsid w:val="00764880"/>
    <w:rsid w:val="00764A93"/>
    <w:rsid w:val="00770484"/>
    <w:rsid w:val="00784475"/>
    <w:rsid w:val="00787549"/>
    <w:rsid w:val="007A4327"/>
    <w:rsid w:val="007B4A40"/>
    <w:rsid w:val="007C099E"/>
    <w:rsid w:val="007E0E86"/>
    <w:rsid w:val="007E77BD"/>
    <w:rsid w:val="008016DD"/>
    <w:rsid w:val="008054EC"/>
    <w:rsid w:val="0080628A"/>
    <w:rsid w:val="00806768"/>
    <w:rsid w:val="00816872"/>
    <w:rsid w:val="00824237"/>
    <w:rsid w:val="008310F8"/>
    <w:rsid w:val="00832E00"/>
    <w:rsid w:val="00840320"/>
    <w:rsid w:val="00842B9F"/>
    <w:rsid w:val="00842F49"/>
    <w:rsid w:val="008621A1"/>
    <w:rsid w:val="0086299A"/>
    <w:rsid w:val="008629B9"/>
    <w:rsid w:val="008721B7"/>
    <w:rsid w:val="0088753A"/>
    <w:rsid w:val="00890C6B"/>
    <w:rsid w:val="00892CE6"/>
    <w:rsid w:val="008A2D0D"/>
    <w:rsid w:val="008B1729"/>
    <w:rsid w:val="008B51D4"/>
    <w:rsid w:val="008C52A6"/>
    <w:rsid w:val="008D0DE3"/>
    <w:rsid w:val="008D7FBB"/>
    <w:rsid w:val="008F5223"/>
    <w:rsid w:val="009034C4"/>
    <w:rsid w:val="009073A0"/>
    <w:rsid w:val="0091746F"/>
    <w:rsid w:val="00926512"/>
    <w:rsid w:val="0092688D"/>
    <w:rsid w:val="00932B26"/>
    <w:rsid w:val="00933EEA"/>
    <w:rsid w:val="0093720C"/>
    <w:rsid w:val="0094529D"/>
    <w:rsid w:val="00947FC5"/>
    <w:rsid w:val="00956F13"/>
    <w:rsid w:val="009732E9"/>
    <w:rsid w:val="009745BA"/>
    <w:rsid w:val="00983F75"/>
    <w:rsid w:val="00991899"/>
    <w:rsid w:val="009A3600"/>
    <w:rsid w:val="009B1D03"/>
    <w:rsid w:val="009B6C44"/>
    <w:rsid w:val="009C0673"/>
    <w:rsid w:val="009D23EE"/>
    <w:rsid w:val="009E1194"/>
    <w:rsid w:val="009F34AC"/>
    <w:rsid w:val="009F74E4"/>
    <w:rsid w:val="00A0473C"/>
    <w:rsid w:val="00A05C0A"/>
    <w:rsid w:val="00A077F4"/>
    <w:rsid w:val="00A07EBE"/>
    <w:rsid w:val="00A125CB"/>
    <w:rsid w:val="00A13F5C"/>
    <w:rsid w:val="00A16F82"/>
    <w:rsid w:val="00A312B9"/>
    <w:rsid w:val="00A34589"/>
    <w:rsid w:val="00A4527F"/>
    <w:rsid w:val="00A45744"/>
    <w:rsid w:val="00A608C9"/>
    <w:rsid w:val="00A80919"/>
    <w:rsid w:val="00A8169A"/>
    <w:rsid w:val="00A818C8"/>
    <w:rsid w:val="00A93E2E"/>
    <w:rsid w:val="00A93ED3"/>
    <w:rsid w:val="00A9441B"/>
    <w:rsid w:val="00AA45F5"/>
    <w:rsid w:val="00AB6DEC"/>
    <w:rsid w:val="00AB73F5"/>
    <w:rsid w:val="00AC2F95"/>
    <w:rsid w:val="00AD0448"/>
    <w:rsid w:val="00AE4DA1"/>
    <w:rsid w:val="00AF203F"/>
    <w:rsid w:val="00AF78B0"/>
    <w:rsid w:val="00B06265"/>
    <w:rsid w:val="00B12400"/>
    <w:rsid w:val="00B16349"/>
    <w:rsid w:val="00B210D2"/>
    <w:rsid w:val="00B23662"/>
    <w:rsid w:val="00B409CF"/>
    <w:rsid w:val="00B535D6"/>
    <w:rsid w:val="00B63039"/>
    <w:rsid w:val="00B6480C"/>
    <w:rsid w:val="00B766ED"/>
    <w:rsid w:val="00B83BD7"/>
    <w:rsid w:val="00B8678D"/>
    <w:rsid w:val="00B9210D"/>
    <w:rsid w:val="00B93BA1"/>
    <w:rsid w:val="00BB17C6"/>
    <w:rsid w:val="00BB7AA3"/>
    <w:rsid w:val="00BC4C3C"/>
    <w:rsid w:val="00BD5B95"/>
    <w:rsid w:val="00BD62F1"/>
    <w:rsid w:val="00BE39BC"/>
    <w:rsid w:val="00BE7FA3"/>
    <w:rsid w:val="00BF0020"/>
    <w:rsid w:val="00BF14D1"/>
    <w:rsid w:val="00C12017"/>
    <w:rsid w:val="00C2625F"/>
    <w:rsid w:val="00C2791B"/>
    <w:rsid w:val="00C40970"/>
    <w:rsid w:val="00C40AD9"/>
    <w:rsid w:val="00C440CF"/>
    <w:rsid w:val="00C556C3"/>
    <w:rsid w:val="00C72A3B"/>
    <w:rsid w:val="00C739CD"/>
    <w:rsid w:val="00C76D04"/>
    <w:rsid w:val="00C8530E"/>
    <w:rsid w:val="00C85883"/>
    <w:rsid w:val="00C86928"/>
    <w:rsid w:val="00C96120"/>
    <w:rsid w:val="00CB3B23"/>
    <w:rsid w:val="00CC4C0B"/>
    <w:rsid w:val="00CD53AB"/>
    <w:rsid w:val="00CE5003"/>
    <w:rsid w:val="00CE5FC3"/>
    <w:rsid w:val="00CE784F"/>
    <w:rsid w:val="00CF35BB"/>
    <w:rsid w:val="00D26732"/>
    <w:rsid w:val="00D56680"/>
    <w:rsid w:val="00D70113"/>
    <w:rsid w:val="00D80BFC"/>
    <w:rsid w:val="00D83071"/>
    <w:rsid w:val="00D84B6E"/>
    <w:rsid w:val="00D93F3D"/>
    <w:rsid w:val="00DA4D76"/>
    <w:rsid w:val="00DB7F9F"/>
    <w:rsid w:val="00DC117F"/>
    <w:rsid w:val="00DC40CA"/>
    <w:rsid w:val="00DC61CA"/>
    <w:rsid w:val="00DC6C92"/>
    <w:rsid w:val="00DC6D48"/>
    <w:rsid w:val="00DC7B42"/>
    <w:rsid w:val="00DD1D1D"/>
    <w:rsid w:val="00DD6697"/>
    <w:rsid w:val="00DE18BE"/>
    <w:rsid w:val="00DE73C1"/>
    <w:rsid w:val="00DF29DA"/>
    <w:rsid w:val="00DF2A19"/>
    <w:rsid w:val="00E03BC3"/>
    <w:rsid w:val="00E044A8"/>
    <w:rsid w:val="00E132E5"/>
    <w:rsid w:val="00E13D7D"/>
    <w:rsid w:val="00E211F4"/>
    <w:rsid w:val="00E239BF"/>
    <w:rsid w:val="00E37638"/>
    <w:rsid w:val="00E5148F"/>
    <w:rsid w:val="00E60D47"/>
    <w:rsid w:val="00E62804"/>
    <w:rsid w:val="00E65E20"/>
    <w:rsid w:val="00E7284C"/>
    <w:rsid w:val="00E9208C"/>
    <w:rsid w:val="00EA1EE1"/>
    <w:rsid w:val="00EA79F5"/>
    <w:rsid w:val="00EC3094"/>
    <w:rsid w:val="00EC5472"/>
    <w:rsid w:val="00EE2B48"/>
    <w:rsid w:val="00EE51B5"/>
    <w:rsid w:val="00EE75AA"/>
    <w:rsid w:val="00EF0FAD"/>
    <w:rsid w:val="00EF1277"/>
    <w:rsid w:val="00EF5A3C"/>
    <w:rsid w:val="00F01451"/>
    <w:rsid w:val="00F12C99"/>
    <w:rsid w:val="00F12F49"/>
    <w:rsid w:val="00F17FEE"/>
    <w:rsid w:val="00F20AD1"/>
    <w:rsid w:val="00F47B7A"/>
    <w:rsid w:val="00F72567"/>
    <w:rsid w:val="00F77471"/>
    <w:rsid w:val="00F817B8"/>
    <w:rsid w:val="00F84854"/>
    <w:rsid w:val="00F84855"/>
    <w:rsid w:val="00F860D3"/>
    <w:rsid w:val="00F9606C"/>
    <w:rsid w:val="00FA4F72"/>
    <w:rsid w:val="00FB65CD"/>
    <w:rsid w:val="00FC5C2B"/>
    <w:rsid w:val="00FE2F01"/>
    <w:rsid w:val="00FE65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10"/>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670255"/>
    <w:pPr>
      <w:spacing w:before="100" w:beforeAutospacing="1" w:after="100" w:afterAutospacing="1"/>
    </w:pPr>
    <w:rPr>
      <w:rFonts w:ascii="Times New Roman" w:eastAsia="Times New Roman" w:hAnsi="Times New Roman" w:cs="Times New Roman"/>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7059">
      <w:bodyDiv w:val="1"/>
      <w:marLeft w:val="0"/>
      <w:marRight w:val="0"/>
      <w:marTop w:val="0"/>
      <w:marBottom w:val="0"/>
      <w:divBdr>
        <w:top w:val="none" w:sz="0" w:space="0" w:color="auto"/>
        <w:left w:val="none" w:sz="0" w:space="0" w:color="auto"/>
        <w:bottom w:val="none" w:sz="0" w:space="0" w:color="auto"/>
        <w:right w:val="none" w:sz="0" w:space="0" w:color="auto"/>
      </w:divBdr>
    </w:div>
    <w:div w:id="127476306">
      <w:bodyDiv w:val="1"/>
      <w:marLeft w:val="0"/>
      <w:marRight w:val="0"/>
      <w:marTop w:val="0"/>
      <w:marBottom w:val="0"/>
      <w:divBdr>
        <w:top w:val="none" w:sz="0" w:space="0" w:color="auto"/>
        <w:left w:val="none" w:sz="0" w:space="0" w:color="auto"/>
        <w:bottom w:val="none" w:sz="0" w:space="0" w:color="auto"/>
        <w:right w:val="none" w:sz="0" w:space="0" w:color="auto"/>
      </w:divBdr>
    </w:div>
    <w:div w:id="179903546">
      <w:bodyDiv w:val="1"/>
      <w:marLeft w:val="0"/>
      <w:marRight w:val="0"/>
      <w:marTop w:val="0"/>
      <w:marBottom w:val="0"/>
      <w:divBdr>
        <w:top w:val="none" w:sz="0" w:space="0" w:color="auto"/>
        <w:left w:val="none" w:sz="0" w:space="0" w:color="auto"/>
        <w:bottom w:val="none" w:sz="0" w:space="0" w:color="auto"/>
        <w:right w:val="none" w:sz="0" w:space="0" w:color="auto"/>
      </w:divBdr>
    </w:div>
    <w:div w:id="326324921">
      <w:bodyDiv w:val="1"/>
      <w:marLeft w:val="0"/>
      <w:marRight w:val="0"/>
      <w:marTop w:val="0"/>
      <w:marBottom w:val="0"/>
      <w:divBdr>
        <w:top w:val="none" w:sz="0" w:space="0" w:color="auto"/>
        <w:left w:val="none" w:sz="0" w:space="0" w:color="auto"/>
        <w:bottom w:val="none" w:sz="0" w:space="0" w:color="auto"/>
        <w:right w:val="none" w:sz="0" w:space="0" w:color="auto"/>
      </w:divBdr>
    </w:div>
    <w:div w:id="358555228">
      <w:bodyDiv w:val="1"/>
      <w:marLeft w:val="0"/>
      <w:marRight w:val="0"/>
      <w:marTop w:val="0"/>
      <w:marBottom w:val="0"/>
      <w:divBdr>
        <w:top w:val="none" w:sz="0" w:space="0" w:color="auto"/>
        <w:left w:val="none" w:sz="0" w:space="0" w:color="auto"/>
        <w:bottom w:val="none" w:sz="0" w:space="0" w:color="auto"/>
        <w:right w:val="none" w:sz="0" w:space="0" w:color="auto"/>
      </w:divBdr>
    </w:div>
    <w:div w:id="488251570">
      <w:bodyDiv w:val="1"/>
      <w:marLeft w:val="0"/>
      <w:marRight w:val="0"/>
      <w:marTop w:val="0"/>
      <w:marBottom w:val="0"/>
      <w:divBdr>
        <w:top w:val="none" w:sz="0" w:space="0" w:color="auto"/>
        <w:left w:val="none" w:sz="0" w:space="0" w:color="auto"/>
        <w:bottom w:val="none" w:sz="0" w:space="0" w:color="auto"/>
        <w:right w:val="none" w:sz="0" w:space="0" w:color="auto"/>
      </w:divBdr>
    </w:div>
    <w:div w:id="644243988">
      <w:bodyDiv w:val="1"/>
      <w:marLeft w:val="0"/>
      <w:marRight w:val="0"/>
      <w:marTop w:val="0"/>
      <w:marBottom w:val="0"/>
      <w:divBdr>
        <w:top w:val="none" w:sz="0" w:space="0" w:color="auto"/>
        <w:left w:val="none" w:sz="0" w:space="0" w:color="auto"/>
        <w:bottom w:val="none" w:sz="0" w:space="0" w:color="auto"/>
        <w:right w:val="none" w:sz="0" w:space="0" w:color="auto"/>
      </w:divBdr>
    </w:div>
    <w:div w:id="667250852">
      <w:bodyDiv w:val="1"/>
      <w:marLeft w:val="0"/>
      <w:marRight w:val="0"/>
      <w:marTop w:val="0"/>
      <w:marBottom w:val="0"/>
      <w:divBdr>
        <w:top w:val="none" w:sz="0" w:space="0" w:color="auto"/>
        <w:left w:val="none" w:sz="0" w:space="0" w:color="auto"/>
        <w:bottom w:val="none" w:sz="0" w:space="0" w:color="auto"/>
        <w:right w:val="none" w:sz="0" w:space="0" w:color="auto"/>
      </w:divBdr>
    </w:div>
    <w:div w:id="690572515">
      <w:bodyDiv w:val="1"/>
      <w:marLeft w:val="0"/>
      <w:marRight w:val="0"/>
      <w:marTop w:val="0"/>
      <w:marBottom w:val="0"/>
      <w:divBdr>
        <w:top w:val="none" w:sz="0" w:space="0" w:color="auto"/>
        <w:left w:val="none" w:sz="0" w:space="0" w:color="auto"/>
        <w:bottom w:val="none" w:sz="0" w:space="0" w:color="auto"/>
        <w:right w:val="none" w:sz="0" w:space="0" w:color="auto"/>
      </w:divBdr>
    </w:div>
    <w:div w:id="820150102">
      <w:bodyDiv w:val="1"/>
      <w:marLeft w:val="0"/>
      <w:marRight w:val="0"/>
      <w:marTop w:val="0"/>
      <w:marBottom w:val="0"/>
      <w:divBdr>
        <w:top w:val="none" w:sz="0" w:space="0" w:color="auto"/>
        <w:left w:val="none" w:sz="0" w:space="0" w:color="auto"/>
        <w:bottom w:val="none" w:sz="0" w:space="0" w:color="auto"/>
        <w:right w:val="none" w:sz="0" w:space="0" w:color="auto"/>
      </w:divBdr>
      <w:divsChild>
        <w:div w:id="1869562645">
          <w:marLeft w:val="0"/>
          <w:marRight w:val="0"/>
          <w:marTop w:val="0"/>
          <w:marBottom w:val="0"/>
          <w:divBdr>
            <w:top w:val="none" w:sz="0" w:space="0" w:color="auto"/>
            <w:left w:val="none" w:sz="0" w:space="0" w:color="auto"/>
            <w:bottom w:val="none" w:sz="0" w:space="0" w:color="auto"/>
            <w:right w:val="none" w:sz="0" w:space="0" w:color="auto"/>
          </w:divBdr>
        </w:div>
      </w:divsChild>
    </w:div>
    <w:div w:id="941451778">
      <w:bodyDiv w:val="1"/>
      <w:marLeft w:val="0"/>
      <w:marRight w:val="0"/>
      <w:marTop w:val="0"/>
      <w:marBottom w:val="0"/>
      <w:divBdr>
        <w:top w:val="none" w:sz="0" w:space="0" w:color="auto"/>
        <w:left w:val="none" w:sz="0" w:space="0" w:color="auto"/>
        <w:bottom w:val="none" w:sz="0" w:space="0" w:color="auto"/>
        <w:right w:val="none" w:sz="0" w:space="0" w:color="auto"/>
      </w:divBdr>
    </w:div>
    <w:div w:id="983781816">
      <w:bodyDiv w:val="1"/>
      <w:marLeft w:val="0"/>
      <w:marRight w:val="0"/>
      <w:marTop w:val="0"/>
      <w:marBottom w:val="0"/>
      <w:divBdr>
        <w:top w:val="none" w:sz="0" w:space="0" w:color="auto"/>
        <w:left w:val="none" w:sz="0" w:space="0" w:color="auto"/>
        <w:bottom w:val="none" w:sz="0" w:space="0" w:color="auto"/>
        <w:right w:val="none" w:sz="0" w:space="0" w:color="auto"/>
      </w:divBdr>
    </w:div>
    <w:div w:id="1195271027">
      <w:bodyDiv w:val="1"/>
      <w:marLeft w:val="0"/>
      <w:marRight w:val="0"/>
      <w:marTop w:val="0"/>
      <w:marBottom w:val="0"/>
      <w:divBdr>
        <w:top w:val="none" w:sz="0" w:space="0" w:color="auto"/>
        <w:left w:val="none" w:sz="0" w:space="0" w:color="auto"/>
        <w:bottom w:val="none" w:sz="0" w:space="0" w:color="auto"/>
        <w:right w:val="none" w:sz="0" w:space="0" w:color="auto"/>
      </w:divBdr>
    </w:div>
    <w:div w:id="1433939454">
      <w:bodyDiv w:val="1"/>
      <w:marLeft w:val="0"/>
      <w:marRight w:val="0"/>
      <w:marTop w:val="0"/>
      <w:marBottom w:val="0"/>
      <w:divBdr>
        <w:top w:val="none" w:sz="0" w:space="0" w:color="auto"/>
        <w:left w:val="none" w:sz="0" w:space="0" w:color="auto"/>
        <w:bottom w:val="none" w:sz="0" w:space="0" w:color="auto"/>
        <w:right w:val="none" w:sz="0" w:space="0" w:color="auto"/>
      </w:divBdr>
    </w:div>
    <w:div w:id="1462965928">
      <w:bodyDiv w:val="1"/>
      <w:marLeft w:val="0"/>
      <w:marRight w:val="0"/>
      <w:marTop w:val="0"/>
      <w:marBottom w:val="0"/>
      <w:divBdr>
        <w:top w:val="none" w:sz="0" w:space="0" w:color="auto"/>
        <w:left w:val="none" w:sz="0" w:space="0" w:color="auto"/>
        <w:bottom w:val="none" w:sz="0" w:space="0" w:color="auto"/>
        <w:right w:val="none" w:sz="0" w:space="0" w:color="auto"/>
      </w:divBdr>
    </w:div>
    <w:div w:id="1533225184">
      <w:bodyDiv w:val="1"/>
      <w:marLeft w:val="0"/>
      <w:marRight w:val="0"/>
      <w:marTop w:val="0"/>
      <w:marBottom w:val="0"/>
      <w:divBdr>
        <w:top w:val="none" w:sz="0" w:space="0" w:color="auto"/>
        <w:left w:val="none" w:sz="0" w:space="0" w:color="auto"/>
        <w:bottom w:val="none" w:sz="0" w:space="0" w:color="auto"/>
        <w:right w:val="none" w:sz="0" w:space="0" w:color="auto"/>
      </w:divBdr>
    </w:div>
    <w:div w:id="1541817858">
      <w:bodyDiv w:val="1"/>
      <w:marLeft w:val="0"/>
      <w:marRight w:val="0"/>
      <w:marTop w:val="0"/>
      <w:marBottom w:val="0"/>
      <w:divBdr>
        <w:top w:val="none" w:sz="0" w:space="0" w:color="auto"/>
        <w:left w:val="none" w:sz="0" w:space="0" w:color="auto"/>
        <w:bottom w:val="none" w:sz="0" w:space="0" w:color="auto"/>
        <w:right w:val="none" w:sz="0" w:space="0" w:color="auto"/>
      </w:divBdr>
    </w:div>
    <w:div w:id="1830442876">
      <w:bodyDiv w:val="1"/>
      <w:marLeft w:val="0"/>
      <w:marRight w:val="0"/>
      <w:marTop w:val="0"/>
      <w:marBottom w:val="0"/>
      <w:divBdr>
        <w:top w:val="none" w:sz="0" w:space="0" w:color="auto"/>
        <w:left w:val="none" w:sz="0" w:space="0" w:color="auto"/>
        <w:bottom w:val="none" w:sz="0" w:space="0" w:color="auto"/>
        <w:right w:val="none" w:sz="0" w:space="0" w:color="auto"/>
      </w:divBdr>
      <w:divsChild>
        <w:div w:id="441267635">
          <w:marLeft w:val="0"/>
          <w:marRight w:val="0"/>
          <w:marTop w:val="0"/>
          <w:marBottom w:val="0"/>
          <w:divBdr>
            <w:top w:val="none" w:sz="0" w:space="0" w:color="auto"/>
            <w:left w:val="none" w:sz="0" w:space="0" w:color="auto"/>
            <w:bottom w:val="none" w:sz="0" w:space="0" w:color="auto"/>
            <w:right w:val="none" w:sz="0" w:space="0" w:color="auto"/>
          </w:divBdr>
        </w:div>
      </w:divsChild>
    </w:div>
    <w:div w:id="1869250126">
      <w:bodyDiv w:val="1"/>
      <w:marLeft w:val="0"/>
      <w:marRight w:val="0"/>
      <w:marTop w:val="0"/>
      <w:marBottom w:val="0"/>
      <w:divBdr>
        <w:top w:val="none" w:sz="0" w:space="0" w:color="auto"/>
        <w:left w:val="none" w:sz="0" w:space="0" w:color="auto"/>
        <w:bottom w:val="none" w:sz="0" w:space="0" w:color="auto"/>
        <w:right w:val="none" w:sz="0" w:space="0" w:color="auto"/>
      </w:divBdr>
    </w:div>
    <w:div w:id="196735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52</Pages>
  <Words>13559</Words>
  <Characters>74578</Characters>
  <Application>Microsoft Office Word</Application>
  <DocSecurity>0</DocSecurity>
  <Lines>621</Lines>
  <Paragraphs>175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48</cp:revision>
  <cp:lastPrinted>2025-09-25T17:09:00Z</cp:lastPrinted>
  <dcterms:created xsi:type="dcterms:W3CDTF">2025-09-17T19:36:00Z</dcterms:created>
  <dcterms:modified xsi:type="dcterms:W3CDTF">2025-10-01T19:38:00Z</dcterms:modified>
</cp:coreProperties>
</file>