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5077DD" w:rsidRPr="00F45CE6">
        <w:rPr>
          <w:rFonts w:eastAsia="Palatino Linotype" w:cs="Palatino Linotype"/>
          <w:b/>
          <w:bCs/>
          <w:color w:val="000000"/>
          <w:szCs w:val="24"/>
        </w:rPr>
        <w:t>quince de octubre</w:t>
      </w:r>
      <w:r w:rsidRPr="00F45CE6">
        <w:rPr>
          <w:rFonts w:eastAsia="Palatino Linotype" w:cs="Palatino Linotype"/>
          <w:b/>
          <w:bCs/>
          <w:color w:val="000000"/>
          <w:szCs w:val="24"/>
        </w:rPr>
        <w:t xml:space="preserve"> de dos mil veinticinco</w:t>
      </w:r>
      <w:r w:rsidRPr="00F45CE6">
        <w:rPr>
          <w:rFonts w:eastAsia="Palatino Linotype" w:cs="Palatino Linotype"/>
          <w:color w:val="000000"/>
          <w:szCs w:val="24"/>
        </w:rPr>
        <w:t>.</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b/>
          <w:color w:val="000000"/>
          <w:szCs w:val="24"/>
        </w:rPr>
        <w:t>VISTO</w:t>
      </w:r>
      <w:r w:rsidRPr="00F45CE6">
        <w:rPr>
          <w:rFonts w:eastAsia="Palatino Linotype" w:cs="Palatino Linotype"/>
          <w:color w:val="000000"/>
          <w:szCs w:val="24"/>
        </w:rPr>
        <w:t xml:space="preserve"> el expediente electrónico formado con motivo del recurso de revisión número </w:t>
      </w:r>
      <w:r w:rsidR="005077DD" w:rsidRPr="00F45CE6">
        <w:rPr>
          <w:rFonts w:eastAsia="Palatino Linotype" w:cs="Palatino Linotype"/>
          <w:b/>
          <w:color w:val="000000"/>
          <w:szCs w:val="24"/>
        </w:rPr>
        <w:t>10035</w:t>
      </w:r>
      <w:r w:rsidRPr="00F45CE6">
        <w:rPr>
          <w:rFonts w:eastAsia="Palatino Linotype" w:cs="Palatino Linotype"/>
          <w:b/>
          <w:color w:val="000000"/>
          <w:szCs w:val="24"/>
        </w:rPr>
        <w:t>/INFOEM/IP/RR/2025</w:t>
      </w:r>
      <w:r w:rsidRPr="00F45CE6">
        <w:rPr>
          <w:rFonts w:eastAsia="Palatino Linotype" w:cs="Palatino Linotype"/>
          <w:color w:val="000000"/>
          <w:szCs w:val="24"/>
        </w:rPr>
        <w:t>, interpuesto por</w:t>
      </w:r>
      <w:r w:rsidRPr="00F45CE6">
        <w:rPr>
          <w:rFonts w:cs="Arial"/>
          <w:szCs w:val="24"/>
        </w:rPr>
        <w:t xml:space="preserve"> </w:t>
      </w:r>
      <w:r w:rsidR="00F15F23">
        <w:rPr>
          <w:rFonts w:cs="Arial"/>
          <w:b/>
          <w:szCs w:val="24"/>
        </w:rPr>
        <w:t>XXXXXXXXXXX</w:t>
      </w:r>
      <w:r w:rsidRPr="00F45CE6">
        <w:rPr>
          <w:rFonts w:cs="Arial"/>
          <w:b/>
          <w:bCs/>
          <w:szCs w:val="24"/>
        </w:rPr>
        <w:t xml:space="preserve"> </w:t>
      </w:r>
      <w:r w:rsidRPr="00F45CE6">
        <w:rPr>
          <w:rFonts w:eastAsia="Palatino Linotype" w:cs="Palatino Linotype"/>
          <w:color w:val="000000"/>
          <w:szCs w:val="24"/>
        </w:rPr>
        <w:t xml:space="preserve">en lo sucesivo el </w:t>
      </w:r>
      <w:r w:rsidRPr="00F45CE6">
        <w:rPr>
          <w:rFonts w:eastAsia="Palatino Linotype" w:cs="Palatino Linotype"/>
          <w:b/>
          <w:color w:val="000000"/>
          <w:szCs w:val="24"/>
        </w:rPr>
        <w:t>Recurrente</w:t>
      </w:r>
      <w:r w:rsidRPr="00F45CE6">
        <w:rPr>
          <w:rFonts w:eastAsia="Palatino Linotype" w:cs="Palatino Linotype"/>
          <w:color w:val="000000"/>
          <w:szCs w:val="24"/>
        </w:rPr>
        <w:t>, en contra de la</w:t>
      </w:r>
      <w:bookmarkStart w:id="0" w:name="_GoBack"/>
      <w:bookmarkEnd w:id="0"/>
      <w:r w:rsidRPr="00F45CE6">
        <w:rPr>
          <w:rFonts w:eastAsia="Palatino Linotype" w:cs="Palatino Linotype"/>
          <w:color w:val="000000"/>
          <w:szCs w:val="24"/>
        </w:rPr>
        <w:t xml:space="preserve"> respuesta del</w:t>
      </w:r>
      <w:r w:rsidRPr="00F45CE6">
        <w:rPr>
          <w:rFonts w:eastAsia="Palatino Linotype" w:cs="Palatino Linotype"/>
          <w:b/>
          <w:color w:val="000000"/>
          <w:szCs w:val="24"/>
        </w:rPr>
        <w:t xml:space="preserve"> </w:t>
      </w:r>
      <w:r w:rsidR="005077DD" w:rsidRPr="00F45CE6">
        <w:rPr>
          <w:b/>
          <w:bCs/>
          <w:color w:val="000000"/>
          <w:szCs w:val="24"/>
        </w:rPr>
        <w:t>Ayuntamiento de Mexicaltzingo</w:t>
      </w:r>
      <w:r w:rsidR="005077DD" w:rsidRPr="00F45CE6">
        <w:rPr>
          <w:rFonts w:ascii="Verdana" w:hAnsi="Verdana"/>
          <w:b/>
          <w:bCs/>
          <w:color w:val="000000"/>
          <w:sz w:val="14"/>
          <w:szCs w:val="14"/>
        </w:rPr>
        <w:t xml:space="preserve"> </w:t>
      </w:r>
      <w:r w:rsidRPr="00F45CE6">
        <w:rPr>
          <w:rFonts w:eastAsia="Palatino Linotype" w:cs="Palatino Linotype"/>
          <w:color w:val="000000"/>
          <w:szCs w:val="24"/>
        </w:rPr>
        <w:t>en lo subsecuente</w:t>
      </w:r>
      <w:r w:rsidRPr="00F45CE6">
        <w:rPr>
          <w:rFonts w:eastAsia="Palatino Linotype" w:cs="Palatino Linotype"/>
          <w:b/>
          <w:color w:val="000000"/>
          <w:szCs w:val="24"/>
        </w:rPr>
        <w:t xml:space="preserve"> </w:t>
      </w:r>
      <w:r w:rsidRPr="00F45CE6">
        <w:rPr>
          <w:rFonts w:eastAsia="Palatino Linotype" w:cs="Palatino Linotype"/>
          <w:color w:val="000000"/>
          <w:szCs w:val="24"/>
        </w:rPr>
        <w:t>el</w:t>
      </w:r>
      <w:r w:rsidRPr="00F45CE6">
        <w:rPr>
          <w:rFonts w:eastAsia="Palatino Linotype" w:cs="Palatino Linotype"/>
          <w:b/>
          <w:color w:val="000000"/>
          <w:szCs w:val="24"/>
        </w:rPr>
        <w:t xml:space="preserve"> Sujeto Obligado, </w:t>
      </w:r>
      <w:r w:rsidRPr="00F45CE6">
        <w:rPr>
          <w:rFonts w:eastAsia="Palatino Linotype" w:cs="Palatino Linotype"/>
          <w:color w:val="000000"/>
          <w:szCs w:val="24"/>
        </w:rPr>
        <w:t>se procede a dictar la presente resolución.</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1"/>
        <w:jc w:val="center"/>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A N T E C E D E N T E S</w:t>
      </w:r>
    </w:p>
    <w:p w:rsidR="00864BA3" w:rsidRPr="00F45CE6" w:rsidRDefault="00864BA3" w:rsidP="00864BA3">
      <w:pPr>
        <w:pBdr>
          <w:top w:val="nil"/>
          <w:left w:val="nil"/>
          <w:bottom w:val="nil"/>
          <w:right w:val="nil"/>
          <w:between w:val="nil"/>
        </w:pBdr>
        <w:contextualSpacing/>
        <w:rPr>
          <w:rFonts w:eastAsia="Palatino Linotype" w:cs="Palatino Linotype"/>
          <w:b/>
          <w:bCs/>
          <w:szCs w:val="24"/>
        </w:rPr>
      </w:pPr>
    </w:p>
    <w:p w:rsidR="00864BA3" w:rsidRPr="00F45CE6" w:rsidRDefault="00864BA3" w:rsidP="00864BA3">
      <w:pPr>
        <w:pStyle w:val="Ttulo2"/>
        <w:rPr>
          <w:rFonts w:eastAsia="Palatino Linotype"/>
          <w:b/>
          <w:bCs/>
        </w:rPr>
      </w:pPr>
      <w:r w:rsidRPr="00F45CE6">
        <w:rPr>
          <w:rFonts w:ascii="Palatino Linotype" w:eastAsia="Palatino Linotype" w:hAnsi="Palatino Linotype"/>
          <w:b/>
          <w:bCs/>
          <w:color w:val="auto"/>
          <w:sz w:val="24"/>
          <w:szCs w:val="24"/>
        </w:rPr>
        <w:t>PRIMERO. De la Solicitud de Información</w:t>
      </w:r>
      <w:r w:rsidRPr="00F45CE6">
        <w:rPr>
          <w:rFonts w:eastAsia="Palatino Linotype"/>
          <w:b/>
          <w:bCs/>
        </w:rPr>
        <w:t>.</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 xml:space="preserve">Con fecha </w:t>
      </w:r>
      <w:r w:rsidR="005077DD" w:rsidRPr="00F45CE6">
        <w:rPr>
          <w:rFonts w:eastAsia="Palatino Linotype" w:cs="Palatino Linotype"/>
          <w:color w:val="000000"/>
          <w:szCs w:val="24"/>
        </w:rPr>
        <w:t>quince de julio</w:t>
      </w:r>
      <w:r w:rsidRPr="00F45CE6">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F45CE6">
        <w:rPr>
          <w:rFonts w:eastAsia="Palatino Linotype" w:cs="Palatino Linotype"/>
          <w:szCs w:val="24"/>
        </w:rPr>
        <w:t>expediente</w:t>
      </w:r>
      <w:r w:rsidRPr="00F45CE6">
        <w:rPr>
          <w:b/>
          <w:bCs/>
        </w:rPr>
        <w:t> </w:t>
      </w:r>
      <w:r w:rsidR="005077DD" w:rsidRPr="00F45CE6">
        <w:rPr>
          <w:b/>
          <w:bCs/>
        </w:rPr>
        <w:t>00333/MEXICAL/IP/2025</w:t>
      </w:r>
      <w:r w:rsidRPr="00F45CE6">
        <w:rPr>
          <w:rFonts w:eastAsia="Palatino Linotype" w:cs="Palatino Linotype"/>
          <w:szCs w:val="24"/>
        </w:rPr>
        <w:t>,</w:t>
      </w:r>
      <w:r w:rsidRPr="00F45CE6">
        <w:rPr>
          <w:rFonts w:eastAsia="Palatino Linotype" w:cs="Palatino Linotype"/>
          <w:b/>
          <w:szCs w:val="24"/>
        </w:rPr>
        <w:t xml:space="preserve"> </w:t>
      </w:r>
      <w:r w:rsidRPr="00F45CE6">
        <w:rPr>
          <w:rFonts w:eastAsia="Palatino Linotype" w:cs="Palatino Linotype"/>
          <w:color w:val="000000"/>
          <w:szCs w:val="24"/>
        </w:rPr>
        <w:t>mediante la cual solicitó información en el tenor siguiente:</w:t>
      </w:r>
    </w:p>
    <w:p w:rsidR="00864BA3" w:rsidRPr="00F45CE6" w:rsidRDefault="00864BA3" w:rsidP="005077DD">
      <w:pPr>
        <w:spacing w:line="240" w:lineRule="auto"/>
        <w:ind w:firstLine="708"/>
        <w:rPr>
          <w:rFonts w:ascii="Times New Roman" w:eastAsia="Times New Roman" w:hAnsi="Times New Roman" w:cs="Times New Roman"/>
          <w:szCs w:val="24"/>
          <w:lang w:val="es-MX"/>
        </w:rPr>
      </w:pPr>
      <w:r w:rsidRPr="00F45CE6">
        <w:rPr>
          <w:szCs w:val="24"/>
        </w:rPr>
        <w:t>“</w:t>
      </w:r>
      <w:r w:rsidR="005077DD" w:rsidRPr="00F45CE6">
        <w:rPr>
          <w:rFonts w:eastAsia="Times New Roman" w:cs="Times New Roman"/>
          <w:i/>
          <w:szCs w:val="24"/>
          <w:lang w:val="es-MX"/>
        </w:rPr>
        <w:t>Organigrama de las áreas y direcciones del Ayuntamiento julio 2025</w:t>
      </w:r>
      <w:r w:rsidRPr="00F45CE6">
        <w:t>”  (Sic)</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Bdr>
          <w:top w:val="nil"/>
          <w:left w:val="nil"/>
          <w:bottom w:val="nil"/>
          <w:right w:val="nil"/>
          <w:between w:val="nil"/>
        </w:pBdr>
        <w:contextualSpacing/>
        <w:rPr>
          <w:rFonts w:eastAsia="Palatino Linotype" w:cs="Palatino Linotype"/>
          <w:b/>
          <w:color w:val="000000"/>
          <w:szCs w:val="24"/>
        </w:rPr>
      </w:pPr>
      <w:r w:rsidRPr="00F45CE6">
        <w:rPr>
          <w:rFonts w:eastAsia="Palatino Linotype" w:cs="Palatino Linotype"/>
          <w:color w:val="000000"/>
          <w:szCs w:val="24"/>
        </w:rPr>
        <w:t xml:space="preserve">Modalidad de entrega: </w:t>
      </w:r>
      <w:r w:rsidRPr="00F45CE6">
        <w:rPr>
          <w:rFonts w:eastAsia="Palatino Linotype" w:cs="Palatino Linotype"/>
          <w:b/>
          <w:color w:val="000000"/>
          <w:szCs w:val="24"/>
        </w:rPr>
        <w:t>A través del SAIMEX</w:t>
      </w:r>
      <w:r w:rsidRPr="00F45CE6">
        <w:rPr>
          <w:rFonts w:eastAsia="Palatino Linotype" w:cs="Palatino Linotype"/>
          <w:color w:val="000000"/>
          <w:szCs w:val="24"/>
        </w:rPr>
        <w:t>.</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lastRenderedPageBreak/>
        <w:t>SEGUNDO. De la Respuesta del Sujeto Obligado.</w:t>
      </w:r>
    </w:p>
    <w:p w:rsidR="00864BA3" w:rsidRPr="00F45CE6" w:rsidRDefault="00864BA3" w:rsidP="00864BA3">
      <w:pPr>
        <w:pBdr>
          <w:top w:val="nil"/>
          <w:left w:val="nil"/>
          <w:bottom w:val="nil"/>
          <w:right w:val="nil"/>
          <w:between w:val="nil"/>
        </w:pBdr>
        <w:contextualSpacing/>
        <w:rPr>
          <w:rFonts w:cs="Arial"/>
          <w:b/>
          <w:bCs/>
          <w:i/>
          <w:szCs w:val="24"/>
        </w:rPr>
      </w:pPr>
      <w:r w:rsidRPr="00F45CE6">
        <w:rPr>
          <w:rFonts w:eastAsia="Palatino Linotype" w:cs="Palatino Linotype"/>
          <w:color w:val="000000"/>
          <w:szCs w:val="24"/>
        </w:rPr>
        <w:t xml:space="preserve">De las constancias que obran en el expediente electrónico, se observa que el día </w:t>
      </w:r>
      <w:r w:rsidR="005077DD" w:rsidRPr="00F45CE6">
        <w:rPr>
          <w:rFonts w:eastAsia="Palatino Linotype" w:cs="Palatino Linotype"/>
          <w:color w:val="000000"/>
          <w:szCs w:val="24"/>
        </w:rPr>
        <w:t xml:space="preserve">diecinueve de agosto </w:t>
      </w:r>
      <w:r w:rsidRPr="00F45CE6">
        <w:rPr>
          <w:rFonts w:eastAsia="Palatino Linotype" w:cs="Palatino Linotype"/>
          <w:color w:val="000000"/>
          <w:szCs w:val="24"/>
        </w:rPr>
        <w:t>de dos mil veinticinco, el Sujeto Obligado dio respuesta a la solicitud de información anexando el documento electrónico denominado “</w:t>
      </w:r>
      <w:r w:rsidR="005077DD" w:rsidRPr="00F45CE6">
        <w:rPr>
          <w:rFonts w:cs="Arial"/>
          <w:b/>
          <w:bCs/>
          <w:szCs w:val="24"/>
        </w:rPr>
        <w:t>Respuesta de transparencia 00333 (1).</w:t>
      </w:r>
      <w:proofErr w:type="spellStart"/>
      <w:r w:rsidR="005077DD" w:rsidRPr="00F45CE6">
        <w:rPr>
          <w:rFonts w:cs="Arial"/>
          <w:b/>
          <w:bCs/>
          <w:szCs w:val="24"/>
        </w:rPr>
        <w:t>pdf</w:t>
      </w:r>
      <w:proofErr w:type="spellEnd"/>
      <w:r w:rsidRPr="00F45CE6">
        <w:rPr>
          <w:rFonts w:cs="Arial"/>
          <w:b/>
          <w:bCs/>
          <w:szCs w:val="24"/>
        </w:rPr>
        <w:t xml:space="preserve">” </w:t>
      </w:r>
      <w:r w:rsidRPr="00F45CE6">
        <w:rPr>
          <w:rFonts w:cs="Arial"/>
          <w:szCs w:val="24"/>
        </w:rPr>
        <w:t xml:space="preserve">el cual será analizado en el considerando respectivo. </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color w:val="auto"/>
          <w:sz w:val="28"/>
          <w:szCs w:val="28"/>
        </w:rPr>
      </w:pPr>
      <w:r w:rsidRPr="00F45CE6">
        <w:rPr>
          <w:rFonts w:ascii="Palatino Linotype" w:eastAsia="Palatino Linotype" w:hAnsi="Palatino Linotype"/>
          <w:b/>
          <w:bCs/>
          <w:color w:val="auto"/>
          <w:sz w:val="28"/>
          <w:szCs w:val="28"/>
        </w:rPr>
        <w:t>TERCERO. Del recurso de revisión</w:t>
      </w:r>
      <w:r w:rsidRPr="00F45CE6">
        <w:rPr>
          <w:rFonts w:ascii="Palatino Linotype" w:eastAsia="Palatino Linotype" w:hAnsi="Palatino Linotype"/>
          <w:color w:val="auto"/>
          <w:sz w:val="28"/>
          <w:szCs w:val="28"/>
        </w:rPr>
        <w:t>.</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 xml:space="preserve">Inconforme con la respuesta emitida por el Sujeto Obligado, el Recurrente interpuso el presente recurso de revisión el día </w:t>
      </w:r>
      <w:r w:rsidR="005077DD" w:rsidRPr="00F45CE6">
        <w:rPr>
          <w:rFonts w:eastAsia="Palatino Linotype" w:cs="Palatino Linotype"/>
          <w:b/>
          <w:color w:val="000000"/>
          <w:szCs w:val="24"/>
        </w:rPr>
        <w:t>veintiséis de agosto</w:t>
      </w:r>
      <w:r w:rsidRPr="00F45CE6">
        <w:rPr>
          <w:rFonts w:eastAsia="Palatino Linotype" w:cs="Palatino Linotype"/>
          <w:b/>
          <w:color w:val="000000"/>
          <w:szCs w:val="24"/>
        </w:rPr>
        <w:t xml:space="preserve"> de dos mil veinticinco</w:t>
      </w:r>
      <w:r w:rsidRPr="00F45CE6">
        <w:rPr>
          <w:rFonts w:eastAsia="Palatino Linotype" w:cs="Palatino Linotype"/>
          <w:color w:val="000000"/>
          <w:szCs w:val="24"/>
        </w:rPr>
        <w:t xml:space="preserve">, el cual se registró con el expediente número </w:t>
      </w:r>
      <w:r w:rsidR="005077DD" w:rsidRPr="00F45CE6">
        <w:rPr>
          <w:rFonts w:eastAsia="Palatino Linotype" w:cs="Palatino Linotype"/>
          <w:b/>
          <w:color w:val="000000"/>
          <w:szCs w:val="24"/>
        </w:rPr>
        <w:t>10035</w:t>
      </w:r>
      <w:r w:rsidRPr="00F45CE6">
        <w:rPr>
          <w:rFonts w:eastAsia="Palatino Linotype" w:cs="Palatino Linotype"/>
          <w:b/>
          <w:color w:val="000000"/>
          <w:szCs w:val="24"/>
        </w:rPr>
        <w:t>/INFOEM/IP/RR/2025</w:t>
      </w:r>
      <w:r w:rsidRPr="00F45CE6">
        <w:rPr>
          <w:rFonts w:eastAsia="Palatino Linotype" w:cs="Palatino Linotype"/>
          <w:color w:val="000000"/>
          <w:szCs w:val="24"/>
        </w:rPr>
        <w:t>, manifestando lo siguiente:</w:t>
      </w:r>
    </w:p>
    <w:p w:rsidR="00864BA3" w:rsidRPr="00F45CE6" w:rsidRDefault="00864BA3" w:rsidP="00864BA3">
      <w:pPr>
        <w:contextualSpacing/>
        <w:rPr>
          <w:rFonts w:eastAsia="Palatino Linotype" w:cs="Palatino Linotype"/>
          <w:b/>
        </w:rPr>
      </w:pPr>
      <w:r w:rsidRPr="00F45CE6">
        <w:rPr>
          <w:rFonts w:eastAsia="Palatino Linotype" w:cs="Palatino Linotype"/>
          <w:b/>
        </w:rPr>
        <w:t xml:space="preserve">Acto Impugnado </w:t>
      </w:r>
    </w:p>
    <w:p w:rsidR="00864BA3" w:rsidRPr="00F45CE6" w:rsidRDefault="00864BA3" w:rsidP="00864BA3">
      <w:pPr>
        <w:spacing w:line="240" w:lineRule="auto"/>
        <w:rPr>
          <w:rFonts w:ascii="Times New Roman" w:eastAsia="Times New Roman" w:hAnsi="Times New Roman" w:cs="Times New Roman"/>
          <w:szCs w:val="24"/>
          <w:lang w:val="es-MX"/>
        </w:rPr>
      </w:pPr>
      <w:r w:rsidRPr="00F45CE6">
        <w:t>“</w:t>
      </w:r>
      <w:r w:rsidR="005077DD" w:rsidRPr="00F45CE6">
        <w:rPr>
          <w:i/>
          <w:color w:val="000000"/>
          <w:szCs w:val="24"/>
        </w:rPr>
        <w:t>Negativa</w:t>
      </w:r>
      <w:r w:rsidRPr="00F45CE6">
        <w:t>” (Sic)</w:t>
      </w:r>
    </w:p>
    <w:p w:rsidR="00864BA3" w:rsidRPr="00F45CE6" w:rsidRDefault="00864BA3" w:rsidP="00864BA3">
      <w:pPr>
        <w:contextualSpacing/>
        <w:rPr>
          <w:rFonts w:eastAsia="Palatino Linotype" w:cs="Palatino Linotype"/>
          <w:b/>
        </w:rPr>
      </w:pPr>
    </w:p>
    <w:p w:rsidR="00864BA3" w:rsidRPr="00F45CE6" w:rsidRDefault="00864BA3" w:rsidP="00864BA3">
      <w:pPr>
        <w:contextualSpacing/>
        <w:rPr>
          <w:rFonts w:eastAsia="Palatino Linotype" w:cs="Palatino Linotype"/>
        </w:rPr>
      </w:pPr>
      <w:r w:rsidRPr="00F45CE6">
        <w:rPr>
          <w:rFonts w:eastAsia="Palatino Linotype" w:cs="Palatino Linotype"/>
          <w:b/>
        </w:rPr>
        <w:t xml:space="preserve"> Razones o Motivos de Inconformidad</w:t>
      </w:r>
      <w:r w:rsidRPr="00F45CE6">
        <w:rPr>
          <w:rFonts w:eastAsia="Palatino Linotype" w:cs="Palatino Linotype"/>
        </w:rPr>
        <w:t>:</w:t>
      </w:r>
    </w:p>
    <w:p w:rsidR="00864BA3" w:rsidRPr="00F45CE6" w:rsidRDefault="00864BA3" w:rsidP="00864BA3">
      <w:pPr>
        <w:pStyle w:val="Fundamentos"/>
        <w:rPr>
          <w:b/>
          <w:szCs w:val="22"/>
        </w:rPr>
      </w:pPr>
      <w:r w:rsidRPr="00F45CE6">
        <w:rPr>
          <w:color w:val="auto"/>
          <w:sz w:val="24"/>
        </w:rPr>
        <w:t>“</w:t>
      </w:r>
      <w:r w:rsidR="005077DD" w:rsidRPr="00F45CE6">
        <w:rPr>
          <w:sz w:val="24"/>
        </w:rPr>
        <w:t>No corresponde a lo solicitado</w:t>
      </w:r>
      <w:r w:rsidRPr="00F45CE6">
        <w:rPr>
          <w:color w:val="auto"/>
          <w:sz w:val="24"/>
        </w:rPr>
        <w:t>” (</w:t>
      </w:r>
      <w:r w:rsidRPr="00F45CE6">
        <w:rPr>
          <w:szCs w:val="22"/>
        </w:rPr>
        <w:t>Sic)</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CUARTO. Del turno y admisión del recurso de revisión.</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 xml:space="preserve">Medio de impugnación que le fue turnado al </w:t>
      </w:r>
      <w:r w:rsidRPr="00F45CE6">
        <w:rPr>
          <w:rFonts w:eastAsia="Palatino Linotype" w:cs="Palatino Linotype"/>
          <w:b/>
          <w:color w:val="000000"/>
          <w:szCs w:val="24"/>
        </w:rPr>
        <w:t>Comisionado Presidente José Martínez Vilchis</w:t>
      </w:r>
      <w:r w:rsidRPr="00F45CE6">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F45CE6">
        <w:rPr>
          <w:rFonts w:eastAsia="Palatino Linotype" w:cs="Palatino Linotype"/>
          <w:b/>
          <w:bCs/>
          <w:color w:val="000000"/>
          <w:szCs w:val="24"/>
        </w:rPr>
        <w:t xml:space="preserve"> </w:t>
      </w:r>
      <w:r w:rsidR="005077DD" w:rsidRPr="00F45CE6">
        <w:rPr>
          <w:rFonts w:eastAsia="Palatino Linotype" w:cs="Palatino Linotype"/>
          <w:b/>
          <w:bCs/>
          <w:color w:val="000000"/>
          <w:szCs w:val="24"/>
        </w:rPr>
        <w:t>veintiocho de agosto</w:t>
      </w:r>
      <w:r w:rsidRPr="00F45CE6">
        <w:rPr>
          <w:rFonts w:eastAsia="Palatino Linotype" w:cs="Palatino Linotype"/>
          <w:b/>
          <w:bCs/>
          <w:color w:val="000000"/>
          <w:szCs w:val="24"/>
        </w:rPr>
        <w:t xml:space="preserve"> de dos </w:t>
      </w:r>
      <w:r w:rsidRPr="00F45CE6">
        <w:rPr>
          <w:rFonts w:eastAsia="Palatino Linotype" w:cs="Palatino Linotype"/>
          <w:b/>
          <w:bCs/>
          <w:color w:val="000000"/>
          <w:szCs w:val="24"/>
        </w:rPr>
        <w:lastRenderedPageBreak/>
        <w:t>mil veinticinco</w:t>
      </w:r>
      <w:r w:rsidRPr="00F45CE6">
        <w:rPr>
          <w:rFonts w:eastAsia="Palatino Linotype" w:cs="Palatino Linotype"/>
          <w:color w:val="000000"/>
          <w:szCs w:val="24"/>
        </w:rPr>
        <w:t xml:space="preserve">, </w:t>
      </w:r>
      <w:r w:rsidRPr="00F45CE6">
        <w:rPr>
          <w:rFonts w:eastAsia="Palatino Linotype" w:cs="Palatino Linotype"/>
          <w:szCs w:val="24"/>
        </w:rPr>
        <w:t>otorgándose</w:t>
      </w:r>
      <w:r w:rsidRPr="00F45CE6">
        <w:rPr>
          <w:rFonts w:eastAsia="Palatino Linotype" w:cs="Palatino Linotype"/>
          <w:color w:val="000000"/>
          <w:szCs w:val="24"/>
        </w:rPr>
        <w:t xml:space="preserve"> en él un plazo de siete días para que las partes manifestaran lo que a su derecho corresponda en términos del numeral ya citado.</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QUINTO. De la etapa de instrucción.</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 xml:space="preserve">Una vez abierta la etapa de instrucción, el Sujeto Obligado rindió su informe justificado en fecha </w:t>
      </w:r>
      <w:r w:rsidR="005077DD" w:rsidRPr="00F45CE6">
        <w:rPr>
          <w:rFonts w:eastAsia="Palatino Linotype" w:cs="Palatino Linotype"/>
          <w:color w:val="000000"/>
          <w:szCs w:val="24"/>
        </w:rPr>
        <w:t>ocho de septiembre</w:t>
      </w:r>
      <w:r w:rsidRPr="00F45CE6">
        <w:rPr>
          <w:rFonts w:eastAsia="Palatino Linotype" w:cs="Palatino Linotype"/>
          <w:color w:val="000000"/>
          <w:szCs w:val="24"/>
        </w:rPr>
        <w:t xml:space="preserve"> de dos mil veinticinco el cual fue puesto a la vista del Recurrente en fecha </w:t>
      </w:r>
      <w:r w:rsidR="005077DD" w:rsidRPr="00F45CE6">
        <w:rPr>
          <w:rFonts w:eastAsia="Palatino Linotype" w:cs="Palatino Linotype"/>
          <w:color w:val="000000"/>
          <w:szCs w:val="24"/>
        </w:rPr>
        <w:t>nueve de septiembre</w:t>
      </w:r>
      <w:r w:rsidRPr="00F45CE6">
        <w:rPr>
          <w:rFonts w:eastAsia="Palatino Linotype" w:cs="Palatino Linotype"/>
          <w:color w:val="000000"/>
          <w:szCs w:val="24"/>
        </w:rPr>
        <w:t xml:space="preserve"> de dos mil veinticinco. Por su parte, el Recurrente no realizó manifestaciones, vertió alegatos ni presentó pruebas que a su derecho convinieran. </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SEXTO. Del cierre de instrucción.</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Así, una vez transcurrido el término legal, se decretó el cierre de instrucción en fecha</w:t>
      </w:r>
      <w:r w:rsidRPr="00F45CE6">
        <w:rPr>
          <w:rFonts w:eastAsia="Palatino Linotype" w:cs="Palatino Linotype"/>
          <w:b/>
          <w:color w:val="000000"/>
          <w:szCs w:val="24"/>
        </w:rPr>
        <w:t xml:space="preserve"> </w:t>
      </w:r>
      <w:r w:rsidR="00520169" w:rsidRPr="00F45CE6">
        <w:rPr>
          <w:rFonts w:eastAsia="Palatino Linotype" w:cs="Palatino Linotype"/>
          <w:b/>
          <w:color w:val="000000"/>
          <w:szCs w:val="24"/>
        </w:rPr>
        <w:t>dieciocho de septiembre</w:t>
      </w:r>
      <w:r w:rsidRPr="00F45CE6">
        <w:rPr>
          <w:rFonts w:eastAsia="Palatino Linotype" w:cs="Palatino Linotype"/>
          <w:b/>
          <w:color w:val="000000"/>
          <w:szCs w:val="24"/>
        </w:rPr>
        <w:t xml:space="preserve"> de dos mil veinticuatro</w:t>
      </w:r>
      <w:r w:rsidRPr="00F45CE6">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520169" w:rsidRPr="00F45CE6" w:rsidRDefault="00520169" w:rsidP="00864BA3">
      <w:pPr>
        <w:pBdr>
          <w:top w:val="nil"/>
          <w:left w:val="nil"/>
          <w:bottom w:val="nil"/>
          <w:right w:val="nil"/>
          <w:between w:val="nil"/>
        </w:pBdr>
        <w:contextualSpacing/>
        <w:rPr>
          <w:rFonts w:eastAsia="Palatino Linotype" w:cs="Palatino Linotype"/>
          <w:color w:val="000000"/>
          <w:szCs w:val="24"/>
        </w:rPr>
      </w:pPr>
    </w:p>
    <w:p w:rsidR="00520169" w:rsidRPr="00F45CE6" w:rsidRDefault="00520169" w:rsidP="00520169">
      <w:pPr>
        <w:pBdr>
          <w:top w:val="nil"/>
          <w:left w:val="nil"/>
          <w:bottom w:val="nil"/>
          <w:right w:val="nil"/>
          <w:between w:val="nil"/>
        </w:pBdr>
        <w:contextualSpacing/>
        <w:rPr>
          <w:rFonts w:eastAsiaTheme="minorHAnsi" w:cstheme="minorBidi"/>
          <w:szCs w:val="24"/>
          <w:lang w:eastAsia="en-US"/>
        </w:rPr>
      </w:pPr>
    </w:p>
    <w:p w:rsidR="00520169" w:rsidRPr="00F45CE6" w:rsidRDefault="00520169" w:rsidP="00520169">
      <w:pPr>
        <w:keepNext/>
        <w:keepLines/>
        <w:outlineLvl w:val="1"/>
        <w:rPr>
          <w:rFonts w:cs="Palatino Linotype"/>
          <w:color w:val="000000"/>
        </w:rPr>
      </w:pPr>
      <w:r w:rsidRPr="00F45CE6">
        <w:rPr>
          <w:b/>
          <w:color w:val="000000" w:themeColor="text1"/>
          <w:sz w:val="28"/>
          <w:szCs w:val="28"/>
        </w:rPr>
        <w:t xml:space="preserve">SÉPTIMO. </w:t>
      </w:r>
      <w:r w:rsidRPr="00F45CE6">
        <w:rPr>
          <w:rFonts w:cs="Arial"/>
          <w:b/>
          <w:sz w:val="28"/>
        </w:rPr>
        <w:t>De la ampliación del término para resolver.</w:t>
      </w:r>
    </w:p>
    <w:p w:rsidR="00520169" w:rsidRPr="00F45CE6" w:rsidRDefault="00520169" w:rsidP="00520169">
      <w:pPr>
        <w:contextualSpacing/>
      </w:pPr>
      <w:r w:rsidRPr="00F45CE6">
        <w:t>De las constancias que integran el expediente electrónico, se advierte que han transcurrido los términos de Ley, para la emisión de la resolución en el presente recurso de revisión, por lo que en fecha</w:t>
      </w:r>
      <w:r w:rsidRPr="00F45CE6">
        <w:rPr>
          <w:b/>
        </w:rPr>
        <w:t xml:space="preserve"> nueve de octubre de dos mil veinticinco</w:t>
      </w:r>
      <w:r w:rsidRPr="00F45CE6">
        <w:t xml:space="preserve">, se notificó a las partes el acuerdo por el que se ordena ampliar el plazo para la emisión de la resolución, </w:t>
      </w:r>
      <w:r w:rsidRPr="00F45CE6">
        <w:lastRenderedPageBreak/>
        <w:t>en términos del artículo 181 párrafo tercero de la Ley de Transparencia y Acceso a la Información Pública del Estado de México y Municipios, ordenándose turnar los expedientes a la resolución que en derecho proceda.</w:t>
      </w:r>
    </w:p>
    <w:p w:rsidR="00864BA3" w:rsidRPr="00F45CE6" w:rsidRDefault="00864BA3" w:rsidP="00864BA3">
      <w:pPr>
        <w:contextualSpacing/>
      </w:pPr>
    </w:p>
    <w:p w:rsidR="00864BA3" w:rsidRPr="00F45CE6" w:rsidRDefault="00864BA3" w:rsidP="00864BA3">
      <w:pPr>
        <w:pStyle w:val="Ttulo1"/>
        <w:jc w:val="center"/>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C O N S I D E R A N D O</w:t>
      </w:r>
    </w:p>
    <w:p w:rsidR="00864BA3" w:rsidRPr="00F45CE6" w:rsidRDefault="00864BA3" w:rsidP="00864BA3"/>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PRIMERO. De la competencia.</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 xml:space="preserve">SEGUNDO. Sobre los alcances del recurso de revisión. </w:t>
      </w:r>
    </w:p>
    <w:p w:rsidR="00864BA3" w:rsidRPr="00F45CE6" w:rsidRDefault="00864BA3" w:rsidP="00864BA3">
      <w:r w:rsidRPr="00F45CE6">
        <w:t xml:space="preserve">Derivado de la impugnación realizada, es menester señalar que el recurso de revisión inmerso en la Ley de Transparencia vigente en la entidad, tiene el fin y alcance que </w:t>
      </w:r>
      <w:r w:rsidRPr="00F45CE6">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64BA3" w:rsidRPr="00F45CE6" w:rsidRDefault="00864BA3" w:rsidP="00864BA3"/>
    <w:p w:rsidR="00864BA3" w:rsidRPr="00F45CE6" w:rsidRDefault="00864BA3" w:rsidP="00864BA3">
      <w:pPr>
        <w:autoSpaceDE w:val="0"/>
        <w:autoSpaceDN w:val="0"/>
        <w:adjustRightInd w:val="0"/>
        <w:spacing w:before="240" w:line="240" w:lineRule="auto"/>
        <w:rPr>
          <w:rFonts w:eastAsia="Times New Roman" w:cs="Arial"/>
          <w:b/>
          <w:szCs w:val="24"/>
          <w:lang w:val="es-ES" w:eastAsia="es-ES"/>
        </w:rPr>
      </w:pPr>
      <w:r w:rsidRPr="00F45CE6">
        <w:rPr>
          <w:rFonts w:cs="Arial"/>
          <w:b/>
          <w:sz w:val="28"/>
        </w:rPr>
        <w:t xml:space="preserve">TERCERO. </w:t>
      </w:r>
      <w:r w:rsidRPr="00F45CE6">
        <w:rPr>
          <w:rFonts w:eastAsia="Times New Roman" w:cs="Arial"/>
          <w:b/>
          <w:sz w:val="28"/>
          <w:szCs w:val="28"/>
          <w:lang w:val="es-ES" w:eastAsia="es-ES"/>
        </w:rPr>
        <w:t>Cuestiones de previo y especial pronunciamiento</w:t>
      </w:r>
    </w:p>
    <w:p w:rsidR="00864BA3" w:rsidRPr="00F45CE6" w:rsidRDefault="00864BA3" w:rsidP="00864BA3">
      <w:pPr>
        <w:autoSpaceDE w:val="0"/>
        <w:autoSpaceDN w:val="0"/>
        <w:adjustRightInd w:val="0"/>
        <w:spacing w:before="240"/>
        <w:rPr>
          <w:rFonts w:eastAsia="Times New Roman" w:cs="Times New Roman"/>
          <w:szCs w:val="24"/>
        </w:rPr>
      </w:pPr>
      <w:r w:rsidRPr="00F45CE6">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864BA3" w:rsidRPr="00F45CE6" w:rsidRDefault="00864BA3" w:rsidP="00864BA3">
      <w:pPr>
        <w:autoSpaceDE w:val="0"/>
        <w:autoSpaceDN w:val="0"/>
        <w:adjustRightInd w:val="0"/>
        <w:spacing w:before="240"/>
        <w:ind w:left="360" w:firstLine="348"/>
        <w:rPr>
          <w:rFonts w:eastAsia="Times New Roman" w:cs="Times New Roman"/>
          <w:i/>
          <w:sz w:val="22"/>
        </w:rPr>
      </w:pPr>
      <w:r w:rsidRPr="00F45CE6">
        <w:rPr>
          <w:rFonts w:eastAsia="Times New Roman" w:cs="Times New Roman"/>
          <w:i/>
          <w:sz w:val="22"/>
        </w:rPr>
        <w:t>“Artículo 180. El recurso de revisión contendrá:</w:t>
      </w:r>
    </w:p>
    <w:p w:rsidR="00864BA3" w:rsidRPr="00F45CE6" w:rsidRDefault="00864BA3" w:rsidP="00864BA3">
      <w:pPr>
        <w:numPr>
          <w:ilvl w:val="0"/>
          <w:numId w:val="1"/>
        </w:numPr>
        <w:autoSpaceDE w:val="0"/>
        <w:autoSpaceDN w:val="0"/>
        <w:adjustRightInd w:val="0"/>
        <w:spacing w:before="240"/>
        <w:rPr>
          <w:rFonts w:eastAsia="Times New Roman" w:cs="Times New Roman"/>
          <w:i/>
          <w:sz w:val="22"/>
          <w:lang w:val="es-ES" w:eastAsia="es-ES"/>
        </w:rPr>
      </w:pPr>
      <w:r w:rsidRPr="00F45CE6">
        <w:rPr>
          <w:rFonts w:eastAsia="Times New Roman" w:cs="Times New Roman"/>
          <w:i/>
          <w:sz w:val="22"/>
          <w:lang w:val="es-ES" w:eastAsia="es-ES"/>
        </w:rPr>
        <w:t>EL sujeto obligado ante la cual se presentó la solicitud;</w:t>
      </w:r>
    </w:p>
    <w:p w:rsidR="00864BA3" w:rsidRPr="00F45CE6" w:rsidRDefault="00864BA3" w:rsidP="00864BA3">
      <w:pPr>
        <w:numPr>
          <w:ilvl w:val="0"/>
          <w:numId w:val="1"/>
        </w:numPr>
        <w:autoSpaceDE w:val="0"/>
        <w:autoSpaceDN w:val="0"/>
        <w:adjustRightInd w:val="0"/>
        <w:spacing w:before="240"/>
        <w:rPr>
          <w:rFonts w:eastAsia="Times New Roman" w:cs="Times New Roman"/>
          <w:i/>
          <w:sz w:val="22"/>
          <w:lang w:val="es-ES" w:eastAsia="es-ES"/>
        </w:rPr>
      </w:pPr>
      <w:r w:rsidRPr="00F45CE6">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864BA3" w:rsidRPr="00F45CE6" w:rsidRDefault="00864BA3" w:rsidP="00864BA3">
      <w:pPr>
        <w:numPr>
          <w:ilvl w:val="0"/>
          <w:numId w:val="1"/>
        </w:numPr>
        <w:autoSpaceDE w:val="0"/>
        <w:autoSpaceDN w:val="0"/>
        <w:adjustRightInd w:val="0"/>
        <w:spacing w:before="240"/>
        <w:rPr>
          <w:rFonts w:eastAsia="Times New Roman" w:cs="Times New Roman"/>
          <w:i/>
          <w:sz w:val="22"/>
          <w:lang w:val="es-ES" w:eastAsia="es-ES"/>
        </w:rPr>
      </w:pPr>
      <w:r w:rsidRPr="00F45CE6">
        <w:rPr>
          <w:rFonts w:eastAsia="Times New Roman" w:cs="Times New Roman"/>
          <w:i/>
          <w:sz w:val="22"/>
          <w:lang w:val="es-ES" w:eastAsia="es-ES"/>
        </w:rPr>
        <w:t>El número de folio de respuesta de la solicitud de acceso;</w:t>
      </w:r>
    </w:p>
    <w:p w:rsidR="00864BA3" w:rsidRPr="00F45CE6" w:rsidRDefault="00864BA3" w:rsidP="00864BA3">
      <w:pPr>
        <w:autoSpaceDE w:val="0"/>
        <w:autoSpaceDN w:val="0"/>
        <w:adjustRightInd w:val="0"/>
        <w:spacing w:before="240"/>
        <w:ind w:left="1080"/>
        <w:rPr>
          <w:rFonts w:eastAsia="Times New Roman" w:cs="Times New Roman"/>
          <w:i/>
          <w:sz w:val="22"/>
        </w:rPr>
      </w:pPr>
      <w:r w:rsidRPr="00F45CE6">
        <w:rPr>
          <w:rFonts w:eastAsia="Times New Roman" w:cs="Times New Roman"/>
          <w:i/>
          <w:sz w:val="22"/>
        </w:rPr>
        <w:t>IV. La fecha en que fue notificada la respuesta al solicitante o tuvo conocimiento del acto reclamado, o de presentación de la solicitud, en caso de falta de respuesta;</w:t>
      </w:r>
    </w:p>
    <w:p w:rsidR="00864BA3" w:rsidRPr="00F45CE6" w:rsidRDefault="00864BA3" w:rsidP="00864BA3">
      <w:pPr>
        <w:autoSpaceDE w:val="0"/>
        <w:autoSpaceDN w:val="0"/>
        <w:adjustRightInd w:val="0"/>
        <w:spacing w:before="240"/>
        <w:ind w:left="732" w:firstLine="348"/>
        <w:rPr>
          <w:rFonts w:eastAsia="Times New Roman" w:cs="Times New Roman"/>
          <w:i/>
          <w:sz w:val="22"/>
        </w:rPr>
      </w:pPr>
      <w:r w:rsidRPr="00F45CE6">
        <w:rPr>
          <w:rFonts w:eastAsia="Times New Roman" w:cs="Times New Roman"/>
          <w:i/>
          <w:sz w:val="22"/>
        </w:rPr>
        <w:t>V. El acto que se recurre;</w:t>
      </w:r>
    </w:p>
    <w:p w:rsidR="00864BA3" w:rsidRPr="00F45CE6" w:rsidRDefault="00864BA3" w:rsidP="00864BA3">
      <w:pPr>
        <w:autoSpaceDE w:val="0"/>
        <w:autoSpaceDN w:val="0"/>
        <w:adjustRightInd w:val="0"/>
        <w:spacing w:before="240"/>
        <w:ind w:left="732" w:firstLine="348"/>
        <w:rPr>
          <w:rFonts w:eastAsia="Times New Roman" w:cs="Times New Roman"/>
          <w:i/>
          <w:sz w:val="22"/>
        </w:rPr>
      </w:pPr>
      <w:r w:rsidRPr="00F45CE6">
        <w:rPr>
          <w:rFonts w:eastAsia="Times New Roman" w:cs="Times New Roman"/>
          <w:i/>
          <w:sz w:val="22"/>
        </w:rPr>
        <w:t>VI. Las razones o motivos de inconformidad;</w:t>
      </w:r>
    </w:p>
    <w:p w:rsidR="00864BA3" w:rsidRPr="00F45CE6" w:rsidRDefault="00864BA3" w:rsidP="00864BA3">
      <w:pPr>
        <w:autoSpaceDE w:val="0"/>
        <w:autoSpaceDN w:val="0"/>
        <w:adjustRightInd w:val="0"/>
        <w:spacing w:before="240"/>
        <w:ind w:left="1080"/>
        <w:rPr>
          <w:rFonts w:eastAsia="Times New Roman" w:cs="Times New Roman"/>
          <w:i/>
          <w:sz w:val="22"/>
        </w:rPr>
      </w:pPr>
      <w:r w:rsidRPr="00F45CE6">
        <w:rPr>
          <w:rFonts w:eastAsia="Times New Roman" w:cs="Times New Roman"/>
          <w:i/>
          <w:sz w:val="22"/>
        </w:rPr>
        <w:lastRenderedPageBreak/>
        <w:t>VII. La copia de la respuesta que se impugna y, en su caso, de la notificación correspondiente, en el caso de respuesta de la solicitud; y</w:t>
      </w:r>
    </w:p>
    <w:p w:rsidR="00864BA3" w:rsidRPr="00F45CE6" w:rsidRDefault="00864BA3" w:rsidP="00864BA3">
      <w:pPr>
        <w:autoSpaceDE w:val="0"/>
        <w:autoSpaceDN w:val="0"/>
        <w:adjustRightInd w:val="0"/>
        <w:spacing w:before="240"/>
        <w:ind w:left="732" w:firstLine="348"/>
        <w:rPr>
          <w:rFonts w:eastAsia="Times New Roman" w:cs="Times New Roman"/>
          <w:i/>
          <w:sz w:val="22"/>
        </w:rPr>
      </w:pPr>
      <w:r w:rsidRPr="00F45CE6">
        <w:rPr>
          <w:rFonts w:eastAsia="Times New Roman" w:cs="Times New Roman"/>
          <w:i/>
          <w:sz w:val="22"/>
        </w:rPr>
        <w:t>VIII. Firma del recurrente, en su caso, cuando se presente por escrito, requisito sin el cual se dará trámite al recurso.</w:t>
      </w:r>
    </w:p>
    <w:p w:rsidR="00864BA3" w:rsidRPr="00F45CE6" w:rsidRDefault="00864BA3" w:rsidP="00864BA3">
      <w:pPr>
        <w:autoSpaceDE w:val="0"/>
        <w:autoSpaceDN w:val="0"/>
        <w:adjustRightInd w:val="0"/>
        <w:spacing w:before="240"/>
        <w:ind w:left="1080"/>
        <w:rPr>
          <w:rFonts w:eastAsia="Times New Roman" w:cs="Times New Roman"/>
          <w:i/>
          <w:sz w:val="22"/>
        </w:rPr>
      </w:pPr>
      <w:r w:rsidRPr="00F45CE6">
        <w:rPr>
          <w:rFonts w:eastAsia="Times New Roman" w:cs="Times New Roman"/>
          <w:i/>
          <w:sz w:val="22"/>
        </w:rPr>
        <w:t>Adicionalmente, se podrán anexar las pruebas y demás elementos que considere procedentes someter a juicio del Instituto.</w:t>
      </w:r>
    </w:p>
    <w:p w:rsidR="00864BA3" w:rsidRPr="00F45CE6" w:rsidRDefault="00864BA3" w:rsidP="00864BA3">
      <w:pPr>
        <w:autoSpaceDE w:val="0"/>
        <w:autoSpaceDN w:val="0"/>
        <w:adjustRightInd w:val="0"/>
        <w:spacing w:before="240"/>
        <w:ind w:left="732" w:firstLine="348"/>
        <w:rPr>
          <w:rFonts w:eastAsia="Times New Roman" w:cs="Times New Roman"/>
          <w:i/>
          <w:sz w:val="22"/>
        </w:rPr>
      </w:pPr>
      <w:r w:rsidRPr="00F45CE6">
        <w:rPr>
          <w:rFonts w:eastAsia="Times New Roman" w:cs="Times New Roman"/>
          <w:i/>
          <w:sz w:val="22"/>
        </w:rPr>
        <w:t>En ningún caso será necesario que el particular ratifique el recurso de revisión interpuesto.</w:t>
      </w:r>
    </w:p>
    <w:p w:rsidR="00864BA3" w:rsidRPr="00F45CE6" w:rsidRDefault="00864BA3" w:rsidP="00864BA3">
      <w:pPr>
        <w:autoSpaceDE w:val="0"/>
        <w:autoSpaceDN w:val="0"/>
        <w:adjustRightInd w:val="0"/>
        <w:spacing w:before="240"/>
        <w:ind w:left="1080"/>
        <w:rPr>
          <w:rFonts w:eastAsia="Times New Roman" w:cs="Times New Roman"/>
          <w:b/>
          <w:i/>
          <w:sz w:val="22"/>
          <w:u w:val="single"/>
        </w:rPr>
      </w:pPr>
      <w:r w:rsidRPr="00F45CE6">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864BA3" w:rsidRPr="00F45CE6" w:rsidRDefault="00864BA3" w:rsidP="00864BA3">
      <w:pPr>
        <w:autoSpaceDE w:val="0"/>
        <w:autoSpaceDN w:val="0"/>
        <w:adjustRightInd w:val="0"/>
        <w:spacing w:before="240"/>
        <w:ind w:left="1080"/>
        <w:rPr>
          <w:rFonts w:eastAsia="Times New Roman" w:cs="Times New Roman"/>
          <w:b/>
          <w:i/>
          <w:sz w:val="22"/>
          <w:u w:val="single"/>
        </w:rPr>
      </w:pPr>
    </w:p>
    <w:p w:rsidR="00864BA3" w:rsidRPr="00F45CE6" w:rsidRDefault="00864BA3" w:rsidP="00864BA3">
      <w:pPr>
        <w:rPr>
          <w:rFonts w:eastAsia="Times New Roman" w:cs="Arial"/>
          <w:szCs w:val="24"/>
          <w:lang w:val="es-ES" w:eastAsia="es-ES"/>
        </w:rPr>
      </w:pPr>
      <w:r w:rsidRPr="00F45CE6">
        <w:rPr>
          <w:rFonts w:eastAsia="Times New Roman" w:cs="Segoe UI"/>
          <w:szCs w:val="24"/>
          <w:lang w:val="es-ES" w:eastAsia="es-ES"/>
        </w:rPr>
        <w:t xml:space="preserve">Cabe señalar que </w:t>
      </w:r>
      <w:r w:rsidRPr="00F45CE6">
        <w:rPr>
          <w:rFonts w:eastAsia="Times New Roman" w:cs="Segoe UI"/>
          <w:b/>
          <w:szCs w:val="24"/>
          <w:lang w:val="es-ES" w:eastAsia="es-ES"/>
        </w:rPr>
        <w:t>El Recurrente</w:t>
      </w:r>
      <w:r w:rsidRPr="00F45CE6">
        <w:rPr>
          <w:rFonts w:eastAsia="Times New Roman" w:cs="Segoe UI"/>
          <w:szCs w:val="24"/>
          <w:lang w:val="es-ES" w:eastAsia="es-ES"/>
        </w:rPr>
        <w:t xml:space="preserve"> ejerció </w:t>
      </w:r>
      <w:r w:rsidR="00520169" w:rsidRPr="00F45CE6">
        <w:rPr>
          <w:rFonts w:eastAsia="Times New Roman" w:cs="Segoe UI"/>
          <w:szCs w:val="24"/>
          <w:lang w:val="es-ES" w:eastAsia="es-ES"/>
        </w:rPr>
        <w:t xml:space="preserve">mediante su nombre su </w:t>
      </w:r>
      <w:r w:rsidRPr="00F45CE6">
        <w:rPr>
          <w:rFonts w:eastAsia="Times New Roman" w:cs="Segoe UI"/>
          <w:szCs w:val="24"/>
          <w:lang w:val="es-ES" w:eastAsia="es-ES"/>
        </w:rPr>
        <w:t xml:space="preserve">derecho </w:t>
      </w:r>
      <w:r w:rsidR="00520169" w:rsidRPr="00F45CE6">
        <w:rPr>
          <w:rFonts w:eastAsia="Times New Roman" w:cs="Segoe UI"/>
          <w:szCs w:val="24"/>
          <w:lang w:val="es-ES" w:eastAsia="es-ES"/>
        </w:rPr>
        <w:t>al</w:t>
      </w:r>
      <w:r w:rsidRPr="00F45CE6">
        <w:rPr>
          <w:rFonts w:eastAsia="Times New Roman" w:cs="Segoe UI"/>
          <w:szCs w:val="24"/>
          <w:lang w:val="es-ES" w:eastAsia="es-ES"/>
        </w:rPr>
        <w:t xml:space="preserve"> acceso a la información</w:t>
      </w:r>
      <w:r w:rsidRPr="00F45CE6">
        <w:rPr>
          <w:rFonts w:eastAsia="Times New Roman" w:cs="Times New Roman"/>
          <w:szCs w:val="24"/>
          <w:lang w:val="es-ES" w:eastAsia="es-ES"/>
        </w:rPr>
        <w:t>, sin embargo</w:t>
      </w:r>
      <w:r w:rsidR="00520169" w:rsidRPr="00F45CE6">
        <w:rPr>
          <w:rFonts w:eastAsia="Times New Roman" w:cs="Times New Roman"/>
          <w:szCs w:val="24"/>
          <w:lang w:val="es-ES" w:eastAsia="es-ES"/>
        </w:rPr>
        <w:t xml:space="preserve"> de no haberlo hecho no sería</w:t>
      </w:r>
      <w:r w:rsidRPr="00F45CE6">
        <w:rPr>
          <w:rFonts w:eastAsia="Times New Roman" w:cs="Times New Roman"/>
          <w:szCs w:val="24"/>
          <w:lang w:val="es-ES" w:eastAsia="es-ES"/>
        </w:rPr>
        <w:t xml:space="preserve"> motivo para desechar las </w:t>
      </w:r>
      <w:r w:rsidRPr="00F45CE6">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864BA3" w:rsidRPr="00F45CE6" w:rsidRDefault="00864BA3" w:rsidP="00864BA3">
      <w:pPr>
        <w:spacing w:before="240"/>
        <w:ind w:left="851" w:right="851"/>
        <w:rPr>
          <w:rFonts w:eastAsia="Times New Roman" w:cs="Arial"/>
          <w:b/>
          <w:i/>
          <w:sz w:val="22"/>
          <w:lang w:val="es-ES" w:eastAsia="es-ES"/>
        </w:rPr>
      </w:pPr>
      <w:r w:rsidRPr="00F45CE6">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45CE6">
        <w:rPr>
          <w:rFonts w:eastAsia="Times New Roman" w:cs="Arial"/>
          <w:b/>
          <w:i/>
          <w:sz w:val="22"/>
          <w:lang w:val="es-ES" w:eastAsia="es-ES"/>
        </w:rPr>
        <w:t>[Sic]</w:t>
      </w:r>
    </w:p>
    <w:p w:rsidR="00864BA3" w:rsidRPr="00F45CE6" w:rsidRDefault="00864BA3" w:rsidP="00864BA3">
      <w:pPr>
        <w:spacing w:before="240"/>
        <w:ind w:left="851" w:right="851"/>
        <w:rPr>
          <w:rFonts w:eastAsia="Times New Roman" w:cs="Arial"/>
          <w:b/>
          <w:i/>
          <w:sz w:val="22"/>
          <w:lang w:val="es-ES" w:eastAsia="es-ES"/>
        </w:rPr>
      </w:pPr>
    </w:p>
    <w:p w:rsidR="00864BA3" w:rsidRPr="00F45CE6" w:rsidRDefault="00864BA3" w:rsidP="00864BA3">
      <w:pPr>
        <w:rPr>
          <w:rFonts w:eastAsia="Times New Roman" w:cs="Times New Roman"/>
          <w:szCs w:val="24"/>
          <w:lang w:val="es-ES" w:eastAsia="es-ES"/>
        </w:rPr>
      </w:pPr>
      <w:r w:rsidRPr="00F45CE6">
        <w:rPr>
          <w:rFonts w:eastAsia="Times New Roman" w:cs="Times New Roman"/>
          <w:szCs w:val="24"/>
          <w:lang w:val="es-ES" w:eastAsia="es-ES"/>
        </w:rPr>
        <w:t xml:space="preserve">Robusteciendo lo anterior se encuentra lo dispuesto en el artículo 5 párrafos </w:t>
      </w:r>
      <w:r w:rsidRPr="00F45CE6">
        <w:rPr>
          <w:rFonts w:eastAsia="Times New Roman" w:cs="Arial"/>
          <w:szCs w:val="24"/>
          <w:lang w:val="es-ES" w:eastAsia="es-ES"/>
        </w:rPr>
        <w:t>vigésimo, vigésimo primero</w:t>
      </w:r>
      <w:r w:rsidRPr="00F45CE6">
        <w:rPr>
          <w:rFonts w:eastAsia="Times New Roman" w:cs="Arial"/>
          <w:szCs w:val="24"/>
          <w:lang w:eastAsia="es-ES"/>
        </w:rPr>
        <w:t xml:space="preserve"> y vigésimo segundo</w:t>
      </w:r>
      <w:r w:rsidRPr="00F45CE6">
        <w:rPr>
          <w:rFonts w:eastAsia="Times New Roman" w:cs="Times New Roman"/>
          <w:szCs w:val="24"/>
          <w:lang w:val="es-ES" w:eastAsia="es-ES"/>
        </w:rPr>
        <w:t>, de la Constitución Política del Estado Libre y Soberano de México, se establece lo siguiente:</w:t>
      </w:r>
    </w:p>
    <w:p w:rsidR="00864BA3" w:rsidRPr="00F45CE6" w:rsidRDefault="00864BA3" w:rsidP="00864BA3">
      <w:pPr>
        <w:spacing w:before="240"/>
        <w:ind w:left="851" w:right="851"/>
        <w:rPr>
          <w:rFonts w:eastAsia="Times New Roman" w:cs="Times New Roman"/>
          <w:b/>
          <w:i/>
          <w:sz w:val="22"/>
          <w:u w:val="single"/>
          <w:lang w:val="es-ES" w:eastAsia="es-ES"/>
        </w:rPr>
      </w:pPr>
      <w:r w:rsidRPr="00F45CE6">
        <w:rPr>
          <w:rFonts w:eastAsia="Times New Roman" w:cs="Times New Roman"/>
          <w:b/>
          <w:i/>
          <w:sz w:val="22"/>
          <w:u w:val="single"/>
          <w:lang w:val="es-ES" w:eastAsia="es-ES"/>
        </w:rPr>
        <w:lastRenderedPageBreak/>
        <w:t>Constitución Política del Estado Libre y Soberano de México</w:t>
      </w:r>
    </w:p>
    <w:p w:rsidR="00864BA3" w:rsidRPr="00F45CE6" w:rsidRDefault="00864BA3" w:rsidP="00864BA3">
      <w:pPr>
        <w:spacing w:before="240"/>
        <w:ind w:left="851" w:right="851"/>
        <w:rPr>
          <w:rFonts w:eastAsia="Times New Roman" w:cs="Times New Roman"/>
          <w:i/>
          <w:sz w:val="22"/>
          <w:lang w:val="es-ES" w:eastAsia="es-ES"/>
        </w:rPr>
      </w:pPr>
      <w:r w:rsidRPr="00F45CE6">
        <w:rPr>
          <w:rFonts w:eastAsia="Times New Roman" w:cs="Times New Roman"/>
          <w:i/>
          <w:sz w:val="22"/>
          <w:lang w:val="es-ES" w:eastAsia="es-ES"/>
        </w:rPr>
        <w:t>“</w:t>
      </w:r>
      <w:r w:rsidRPr="00F45CE6">
        <w:rPr>
          <w:rFonts w:eastAsia="Times New Roman" w:cs="Times New Roman"/>
          <w:b/>
          <w:i/>
          <w:sz w:val="22"/>
          <w:lang w:val="es-ES" w:eastAsia="es-ES"/>
        </w:rPr>
        <w:t>Artículo 5</w:t>
      </w:r>
      <w:r w:rsidRPr="00F45CE6">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64BA3" w:rsidRPr="00F45CE6" w:rsidRDefault="00864BA3" w:rsidP="00864BA3">
      <w:pPr>
        <w:spacing w:before="240"/>
        <w:ind w:left="851" w:right="851"/>
        <w:rPr>
          <w:rFonts w:eastAsia="Times New Roman" w:cs="Times New Roman"/>
          <w:i/>
          <w:sz w:val="22"/>
          <w:lang w:val="es-ES" w:eastAsia="es-ES"/>
        </w:rPr>
      </w:pPr>
      <w:r w:rsidRPr="00F45CE6">
        <w:rPr>
          <w:rFonts w:eastAsia="Times New Roman" w:cs="Times New Roman"/>
          <w:i/>
          <w:sz w:val="22"/>
          <w:lang w:val="es-ES" w:eastAsia="es-ES"/>
        </w:rPr>
        <w:t>(…)</w:t>
      </w:r>
    </w:p>
    <w:p w:rsidR="00864BA3" w:rsidRPr="00F45CE6" w:rsidRDefault="00864BA3" w:rsidP="00864BA3">
      <w:pPr>
        <w:spacing w:before="240"/>
        <w:ind w:left="851" w:right="851"/>
        <w:rPr>
          <w:rFonts w:eastAsia="Times New Roman" w:cs="Times New Roman"/>
          <w:b/>
          <w:i/>
          <w:sz w:val="22"/>
          <w:lang w:val="es-ES" w:eastAsia="es-ES"/>
        </w:rPr>
      </w:pPr>
      <w:proofErr w:type="gramStart"/>
      <w:r w:rsidRPr="00F45CE6">
        <w:rPr>
          <w:rFonts w:eastAsia="Times New Roman" w:cs="Times New Roman"/>
          <w:i/>
          <w:sz w:val="22"/>
          <w:lang w:val="es-ES" w:eastAsia="es-ES"/>
        </w:rPr>
        <w:t>transparencia</w:t>
      </w:r>
      <w:proofErr w:type="gramEnd"/>
      <w:r w:rsidRPr="00F45CE6">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F45CE6">
        <w:rPr>
          <w:rFonts w:eastAsia="Times New Roman" w:cs="Times New Roman"/>
          <w:b/>
          <w:i/>
          <w:sz w:val="22"/>
          <w:lang w:val="es-ES" w:eastAsia="es-ES"/>
        </w:rPr>
        <w:t>[Sic]</w:t>
      </w:r>
    </w:p>
    <w:p w:rsidR="00447304" w:rsidRPr="00F45CE6" w:rsidRDefault="00447304" w:rsidP="00864BA3">
      <w:pPr>
        <w:autoSpaceDE w:val="0"/>
        <w:autoSpaceDN w:val="0"/>
        <w:adjustRightInd w:val="0"/>
        <w:spacing w:before="240"/>
        <w:rPr>
          <w:rFonts w:eastAsia="Times New Roman" w:cs="Times New Roman"/>
          <w:szCs w:val="24"/>
          <w:lang w:val="es-ES" w:eastAsia="es-ES"/>
        </w:rPr>
      </w:pPr>
    </w:p>
    <w:p w:rsidR="00864BA3" w:rsidRPr="00F45CE6" w:rsidRDefault="00864BA3" w:rsidP="00864BA3">
      <w:pPr>
        <w:autoSpaceDE w:val="0"/>
        <w:autoSpaceDN w:val="0"/>
        <w:adjustRightInd w:val="0"/>
        <w:spacing w:before="240"/>
        <w:rPr>
          <w:rFonts w:eastAsia="Times New Roman" w:cs="Arial"/>
          <w:szCs w:val="24"/>
          <w:lang w:val="es-ES"/>
        </w:rPr>
      </w:pPr>
      <w:r w:rsidRPr="00F45CE6">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45CE6">
        <w:rPr>
          <w:rFonts w:eastAsia="Times New Roman" w:cs="Times New Roman"/>
          <w:b/>
          <w:szCs w:val="24"/>
          <w:u w:val="single"/>
          <w:lang w:val="es-ES" w:eastAsia="es-ES"/>
        </w:rPr>
        <w:t>incluso, la solicitud de acceso a la información pueda ser anónima</w:t>
      </w:r>
      <w:r w:rsidRPr="00F45CE6">
        <w:rPr>
          <w:rFonts w:eastAsia="Times New Roman" w:cs="Times New Roman"/>
          <w:szCs w:val="24"/>
          <w:lang w:val="es-ES" w:eastAsia="es-ES"/>
        </w:rPr>
        <w:t xml:space="preserve"> o no contener un nombre que identifique al solicitante o que permita tener certeza sobre su identidad. </w:t>
      </w:r>
      <w:r w:rsidRPr="00F45CE6">
        <w:rPr>
          <w:rFonts w:eastAsia="Times New Roman" w:cs="Arial"/>
          <w:szCs w:val="24"/>
          <w:lang w:val="es-ES"/>
        </w:rPr>
        <w:t xml:space="preserve">En conclusión, se cubrieron los requisitos de procedencia y </w:t>
      </w:r>
      <w:proofErr w:type="spellStart"/>
      <w:r w:rsidRPr="00F45CE6">
        <w:rPr>
          <w:rFonts w:eastAsia="Times New Roman" w:cs="Arial"/>
          <w:szCs w:val="24"/>
          <w:lang w:val="es-ES"/>
        </w:rPr>
        <w:t>procedibilidad</w:t>
      </w:r>
      <w:proofErr w:type="spellEnd"/>
      <w:r w:rsidRPr="00F45CE6">
        <w:rPr>
          <w:rFonts w:eastAsia="Times New Roman" w:cs="Arial"/>
          <w:szCs w:val="24"/>
          <w:lang w:val="es-ES"/>
        </w:rPr>
        <w:t xml:space="preserve"> y conforme a las constancias que obran en el expediente.</w:t>
      </w:r>
    </w:p>
    <w:p w:rsidR="00864BA3" w:rsidRPr="00F45CE6" w:rsidRDefault="00864BA3" w:rsidP="00864BA3">
      <w:pPr>
        <w:autoSpaceDE w:val="0"/>
        <w:autoSpaceDN w:val="0"/>
        <w:adjustRightInd w:val="0"/>
        <w:spacing w:before="240"/>
        <w:rPr>
          <w:rFonts w:ascii="Times New Roman" w:eastAsia="Times New Roman" w:hAnsi="Times New Roman" w:cs="Arial"/>
          <w:b/>
          <w:sz w:val="28"/>
          <w:szCs w:val="24"/>
          <w:lang w:val="es-ES" w:eastAsia="es-ES"/>
        </w:rPr>
      </w:pPr>
    </w:p>
    <w:p w:rsidR="00864BA3" w:rsidRPr="00F45CE6" w:rsidRDefault="00864BA3" w:rsidP="00864BA3">
      <w:pPr>
        <w:pStyle w:val="Prrafodelista"/>
        <w:autoSpaceDE w:val="0"/>
        <w:autoSpaceDN w:val="0"/>
        <w:adjustRightInd w:val="0"/>
        <w:spacing w:before="240" w:after="160"/>
        <w:ind w:left="0"/>
        <w:rPr>
          <w:rFonts w:cs="Arial"/>
          <w:b/>
          <w:sz w:val="28"/>
        </w:rPr>
      </w:pPr>
      <w:r w:rsidRPr="00F45CE6">
        <w:rPr>
          <w:rFonts w:cs="Arial"/>
          <w:b/>
          <w:sz w:val="28"/>
        </w:rPr>
        <w:lastRenderedPageBreak/>
        <w:t>CUARTO. De las causas de improcedencia.</w:t>
      </w:r>
    </w:p>
    <w:p w:rsidR="00864BA3" w:rsidRPr="00F45CE6" w:rsidRDefault="00864BA3" w:rsidP="00864BA3">
      <w:pPr>
        <w:pStyle w:val="Prrafodelista"/>
        <w:autoSpaceDE w:val="0"/>
        <w:autoSpaceDN w:val="0"/>
        <w:adjustRightInd w:val="0"/>
        <w:ind w:left="0"/>
        <w:rPr>
          <w:rFonts w:cs="Arial"/>
        </w:rPr>
      </w:pPr>
      <w:r w:rsidRPr="00F45CE6">
        <w:rPr>
          <w:rFonts w:cs="Arial"/>
        </w:rPr>
        <w:t xml:space="preserve">En el procedimiento de acceso a la información y de los medios de impugnación de la materia, se advierten diversos supuestos de </w:t>
      </w:r>
      <w:proofErr w:type="spellStart"/>
      <w:r w:rsidRPr="00F45CE6">
        <w:rPr>
          <w:rFonts w:cs="Arial"/>
        </w:rPr>
        <w:t>procedibilidad</w:t>
      </w:r>
      <w:proofErr w:type="spellEnd"/>
      <w:r w:rsidRPr="00F45CE6">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64BA3" w:rsidRPr="00F45CE6" w:rsidRDefault="00864BA3" w:rsidP="00864BA3">
      <w:pPr>
        <w:pStyle w:val="Prrafodelista"/>
        <w:autoSpaceDE w:val="0"/>
        <w:autoSpaceDN w:val="0"/>
        <w:adjustRightInd w:val="0"/>
        <w:ind w:left="0"/>
        <w:rPr>
          <w:rFonts w:cs="Arial"/>
        </w:rPr>
      </w:pPr>
    </w:p>
    <w:p w:rsidR="00864BA3" w:rsidRPr="00F45CE6" w:rsidRDefault="00864BA3" w:rsidP="00864BA3">
      <w:pPr>
        <w:pStyle w:val="Prrafodelista"/>
        <w:autoSpaceDE w:val="0"/>
        <w:autoSpaceDN w:val="0"/>
        <w:adjustRightInd w:val="0"/>
        <w:ind w:left="0"/>
        <w:rPr>
          <w:rFonts w:cs="Arial"/>
        </w:rPr>
      </w:pPr>
      <w:r w:rsidRPr="00F45CE6">
        <w:rPr>
          <w:rFonts w:cs="Arial"/>
        </w:rPr>
        <w:t xml:space="preserve">De lo anterior, el estudio de las causas de improcedencia que se hagan valer por las partes o que se advierta de oficio por este </w:t>
      </w:r>
      <w:proofErr w:type="spellStart"/>
      <w:r w:rsidRPr="00F45CE6">
        <w:rPr>
          <w:rFonts w:cs="Arial"/>
        </w:rPr>
        <w:t>Resolutor</w:t>
      </w:r>
      <w:proofErr w:type="spellEnd"/>
      <w:r w:rsidRPr="00F45CE6">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45CE6">
        <w:rPr>
          <w:rStyle w:val="Refdenotaalpie"/>
          <w:rFonts w:cs="Arial"/>
        </w:rPr>
        <w:footnoteReference w:id="1"/>
      </w:r>
      <w:r w:rsidRPr="00F45CE6">
        <w:rPr>
          <w:rFonts w:cs="Arial"/>
        </w:rPr>
        <w:t>.</w:t>
      </w:r>
    </w:p>
    <w:p w:rsidR="00864BA3" w:rsidRPr="00F45CE6" w:rsidRDefault="00864BA3" w:rsidP="00864BA3">
      <w:pPr>
        <w:pStyle w:val="Prrafodelista"/>
        <w:autoSpaceDE w:val="0"/>
        <w:autoSpaceDN w:val="0"/>
        <w:adjustRightInd w:val="0"/>
        <w:ind w:left="0"/>
        <w:rPr>
          <w:rFonts w:cs="Arial"/>
        </w:rPr>
      </w:pPr>
      <w:r w:rsidRPr="00F45CE6">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864BA3" w:rsidRPr="00F45CE6" w:rsidRDefault="00864BA3" w:rsidP="00864BA3">
      <w:pPr>
        <w:pStyle w:val="Prrafodelista"/>
        <w:autoSpaceDE w:val="0"/>
        <w:autoSpaceDN w:val="0"/>
        <w:adjustRightInd w:val="0"/>
        <w:ind w:left="0"/>
        <w:rPr>
          <w:rFonts w:cs="Arial"/>
        </w:rPr>
      </w:pPr>
    </w:p>
    <w:p w:rsidR="00864BA3" w:rsidRPr="00F45CE6" w:rsidRDefault="00864BA3" w:rsidP="00864BA3">
      <w:pPr>
        <w:pStyle w:val="Ttulo2"/>
        <w:rPr>
          <w:rFonts w:ascii="Palatino Linotype" w:eastAsia="Palatino Linotype" w:hAnsi="Palatino Linotype"/>
          <w:b/>
          <w:bCs/>
          <w:color w:val="auto"/>
          <w:sz w:val="28"/>
          <w:szCs w:val="28"/>
        </w:rPr>
      </w:pPr>
      <w:r w:rsidRPr="00F45CE6">
        <w:rPr>
          <w:rFonts w:ascii="Palatino Linotype" w:eastAsia="Palatino Linotype" w:hAnsi="Palatino Linotype"/>
          <w:b/>
          <w:bCs/>
          <w:color w:val="auto"/>
          <w:sz w:val="28"/>
          <w:szCs w:val="28"/>
        </w:rPr>
        <w:t>QUINTO. Estudio y resolución del asunto.</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p>
    <w:p w:rsidR="00864BA3" w:rsidRPr="00F45CE6" w:rsidRDefault="00864BA3" w:rsidP="00864BA3">
      <w:pPr>
        <w:pBdr>
          <w:top w:val="nil"/>
          <w:left w:val="nil"/>
          <w:bottom w:val="nil"/>
          <w:right w:val="nil"/>
          <w:between w:val="nil"/>
        </w:pBdr>
        <w:contextualSpacing/>
        <w:rPr>
          <w:rFonts w:eastAsia="Palatino Linotype" w:cs="Palatino Linotype"/>
          <w:color w:val="000000"/>
          <w:szCs w:val="24"/>
        </w:rPr>
      </w:pPr>
      <w:r w:rsidRPr="00F45CE6">
        <w:rPr>
          <w:rFonts w:eastAsia="Palatino Linotype" w:cs="Palatino Linotype"/>
          <w:color w:val="000000"/>
          <w:szCs w:val="24"/>
        </w:rPr>
        <w:t>Por tanto, es conveniente recordar que el hoy Recurrente requirió del Sujeto Obligado, de la actual administración, lo siguiente:</w:t>
      </w:r>
    </w:p>
    <w:p w:rsidR="00864BA3" w:rsidRPr="00F45CE6" w:rsidRDefault="00520169" w:rsidP="00520169">
      <w:pPr>
        <w:pStyle w:val="Prrafodelista"/>
        <w:numPr>
          <w:ilvl w:val="0"/>
          <w:numId w:val="4"/>
        </w:numPr>
        <w:pBdr>
          <w:top w:val="nil"/>
          <w:left w:val="nil"/>
          <w:bottom w:val="nil"/>
          <w:right w:val="nil"/>
          <w:between w:val="nil"/>
        </w:pBdr>
        <w:rPr>
          <w:rFonts w:eastAsia="Palatino Linotype" w:cs="Palatino Linotype"/>
          <w:color w:val="000000"/>
          <w:szCs w:val="24"/>
        </w:rPr>
      </w:pPr>
      <w:r w:rsidRPr="00F45CE6">
        <w:rPr>
          <w:rFonts w:eastAsia="Palatino Linotype" w:cs="Palatino Linotype"/>
          <w:color w:val="000000"/>
          <w:szCs w:val="24"/>
        </w:rPr>
        <w:lastRenderedPageBreak/>
        <w:t>Organigrama de las áreas y direcciones del Ayuntamiento a julio de 2025.</w:t>
      </w:r>
    </w:p>
    <w:p w:rsidR="00520169" w:rsidRPr="00F45CE6" w:rsidRDefault="00520169" w:rsidP="00520169">
      <w:pPr>
        <w:pStyle w:val="Prrafodelista"/>
        <w:pBdr>
          <w:top w:val="nil"/>
          <w:left w:val="nil"/>
          <w:bottom w:val="nil"/>
          <w:right w:val="nil"/>
          <w:between w:val="nil"/>
        </w:pBdr>
        <w:ind w:left="1440"/>
        <w:rPr>
          <w:rFonts w:eastAsia="Palatino Linotype" w:cs="Palatino Linotype"/>
          <w:color w:val="000000"/>
          <w:szCs w:val="24"/>
        </w:rPr>
      </w:pPr>
    </w:p>
    <w:p w:rsidR="00864BA3" w:rsidRPr="00F45CE6" w:rsidRDefault="00864BA3" w:rsidP="00864BA3">
      <w:pPr>
        <w:pBdr>
          <w:top w:val="nil"/>
          <w:left w:val="nil"/>
          <w:bottom w:val="nil"/>
          <w:right w:val="nil"/>
          <w:between w:val="nil"/>
        </w:pBdr>
        <w:contextualSpacing/>
      </w:pPr>
      <w:r w:rsidRPr="00F45CE6">
        <w:rPr>
          <w:rFonts w:eastAsia="Palatino Linotype" w:cs="Palatino Linotype"/>
          <w:color w:val="000000"/>
          <w:szCs w:val="24"/>
        </w:rPr>
        <w:t>Por lo que atento a la solicitud de información el Sujeto Obligado</w:t>
      </w:r>
      <w:r w:rsidRPr="00F45CE6">
        <w:t xml:space="preserve"> emitió su respuesta por medio de</w:t>
      </w:r>
      <w:r w:rsidR="00520169" w:rsidRPr="00F45CE6">
        <w:t>l archivo electrónico denominado</w:t>
      </w:r>
      <w:r w:rsidRPr="00F45CE6">
        <w:t xml:space="preserve">; </w:t>
      </w:r>
    </w:p>
    <w:p w:rsidR="00520169" w:rsidRPr="00F45CE6" w:rsidRDefault="00520169" w:rsidP="00864BA3">
      <w:pPr>
        <w:pStyle w:val="Prrafodelista"/>
        <w:numPr>
          <w:ilvl w:val="0"/>
          <w:numId w:val="5"/>
        </w:numPr>
        <w:rPr>
          <w:i/>
          <w:szCs w:val="24"/>
        </w:rPr>
      </w:pPr>
      <w:r w:rsidRPr="00F45CE6">
        <w:rPr>
          <w:rFonts w:cs="Arial"/>
          <w:b/>
          <w:bCs/>
          <w:i/>
          <w:szCs w:val="24"/>
        </w:rPr>
        <w:t>Respuesta de transparencia 00333 (1).</w:t>
      </w:r>
      <w:proofErr w:type="spellStart"/>
      <w:r w:rsidRPr="00F45CE6">
        <w:rPr>
          <w:rFonts w:cs="Arial"/>
          <w:b/>
          <w:bCs/>
          <w:i/>
          <w:szCs w:val="24"/>
        </w:rPr>
        <w:t>pdf</w:t>
      </w:r>
      <w:proofErr w:type="spellEnd"/>
      <w:r w:rsidRPr="00F45CE6">
        <w:rPr>
          <w:rFonts w:cs="Arial"/>
          <w:b/>
          <w:bCs/>
          <w:i/>
          <w:szCs w:val="24"/>
        </w:rPr>
        <w:t xml:space="preserve">: </w:t>
      </w:r>
      <w:r w:rsidRPr="00F45CE6">
        <w:rPr>
          <w:rFonts w:cs="Arial"/>
          <w:bCs/>
          <w:szCs w:val="24"/>
        </w:rPr>
        <w:t xml:space="preserve">Soporte documental que consta de una foja en formato PDF de fecha quince de agosto de dos mil veinticinco por medio del cual </w:t>
      </w:r>
      <w:r w:rsidR="00B553F3" w:rsidRPr="00F45CE6">
        <w:rPr>
          <w:rFonts w:cs="Arial"/>
          <w:bCs/>
          <w:szCs w:val="24"/>
        </w:rPr>
        <w:t xml:space="preserve">la Secretaria envía una liga electrónica en formato abierto en los términos siguientes; </w:t>
      </w:r>
      <w:hyperlink r:id="rId7" w:history="1">
        <w:r w:rsidR="00B553F3" w:rsidRPr="00F45CE6">
          <w:rPr>
            <w:rStyle w:val="Hipervnculo"/>
          </w:rPr>
          <w:t>https://drive.google.com/file/d/1NbxRS9D1yic0So7ere3Urp0J0FRaaLJh/view</w:t>
        </w:r>
      </w:hyperlink>
    </w:p>
    <w:p w:rsidR="00520169" w:rsidRPr="00F45CE6" w:rsidRDefault="00520169" w:rsidP="00864BA3"/>
    <w:p w:rsidR="00864BA3" w:rsidRPr="00F45CE6" w:rsidRDefault="00864BA3" w:rsidP="00864BA3">
      <w:pPr>
        <w:pBdr>
          <w:top w:val="nil"/>
          <w:left w:val="nil"/>
          <w:bottom w:val="nil"/>
          <w:right w:val="nil"/>
          <w:between w:val="nil"/>
        </w:pBdr>
        <w:contextualSpacing/>
        <w:rPr>
          <w:rFonts w:eastAsia="Palatino Linotype" w:cs="Palatino Linotype"/>
          <w:i/>
          <w:iCs/>
          <w:color w:val="000000"/>
          <w:szCs w:val="24"/>
        </w:rPr>
      </w:pPr>
      <w:r w:rsidRPr="00F45CE6">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Pr="00F45CE6">
        <w:rPr>
          <w:i/>
          <w:color w:val="000000"/>
          <w:szCs w:val="24"/>
        </w:rPr>
        <w:t>“</w:t>
      </w:r>
      <w:r w:rsidR="00B553F3" w:rsidRPr="00F45CE6">
        <w:rPr>
          <w:i/>
          <w:color w:val="000000"/>
          <w:szCs w:val="24"/>
        </w:rPr>
        <w:t>negativa</w:t>
      </w:r>
      <w:r w:rsidRPr="00F45CE6">
        <w:rPr>
          <w:i/>
          <w:color w:val="000000"/>
          <w:szCs w:val="24"/>
        </w:rPr>
        <w:t>”</w:t>
      </w:r>
      <w:r w:rsidRPr="00F45CE6">
        <w:rPr>
          <w:rFonts w:eastAsia="Palatino Linotype" w:cs="Palatino Linotype"/>
          <w:color w:val="000000"/>
          <w:szCs w:val="24"/>
        </w:rPr>
        <w:t xml:space="preserve"> </w:t>
      </w:r>
      <w:r w:rsidRPr="00F45CE6">
        <w:rPr>
          <w:color w:val="000000"/>
          <w:szCs w:val="24"/>
        </w:rPr>
        <w:t xml:space="preserve">y como razones o motivos de inconformidad </w:t>
      </w:r>
      <w:r w:rsidRPr="00F45CE6">
        <w:rPr>
          <w:rFonts w:eastAsia="Palatino Linotype" w:cs="Palatino Linotype"/>
          <w:i/>
          <w:iCs/>
          <w:color w:val="000000"/>
          <w:szCs w:val="24"/>
        </w:rPr>
        <w:t>“</w:t>
      </w:r>
      <w:r w:rsidR="00B553F3" w:rsidRPr="00F45CE6">
        <w:rPr>
          <w:i/>
          <w:color w:val="000000"/>
          <w:sz w:val="22"/>
        </w:rPr>
        <w:t>No corresponde a lo solicitado</w:t>
      </w:r>
      <w:r w:rsidRPr="00F45CE6">
        <w:rPr>
          <w:i/>
          <w:iCs/>
          <w:color w:val="000000"/>
          <w:szCs w:val="24"/>
        </w:rPr>
        <w:t xml:space="preserve">” </w:t>
      </w:r>
      <w:r w:rsidRPr="00F45CE6">
        <w:rPr>
          <w:rFonts w:eastAsia="Palatino Linotype" w:cs="Palatino Linotype"/>
          <w:color w:val="000000"/>
          <w:szCs w:val="24"/>
        </w:rPr>
        <w:t xml:space="preserve">en este sentido el Recurrente considero que el Sujeto Obligado no le dio cuenta </w:t>
      </w:r>
      <w:r w:rsidR="00B553F3" w:rsidRPr="00F45CE6">
        <w:rPr>
          <w:rFonts w:eastAsia="Palatino Linotype" w:cs="Palatino Linotype"/>
          <w:color w:val="000000"/>
          <w:szCs w:val="24"/>
        </w:rPr>
        <w:t>del Organigrama de las áreas y direcciones del Sujeto Obligado vigente a julio de 2025</w:t>
      </w:r>
      <w:r w:rsidRPr="00F45CE6">
        <w:rPr>
          <w:rFonts w:eastAsia="Palatino Linotype" w:cs="Palatino Linotype"/>
          <w:color w:val="000000"/>
          <w:szCs w:val="24"/>
        </w:rPr>
        <w:t xml:space="preserve">. </w:t>
      </w:r>
    </w:p>
    <w:p w:rsidR="00864BA3" w:rsidRPr="00F45CE6" w:rsidRDefault="00864BA3" w:rsidP="00864BA3">
      <w:pPr>
        <w:pBdr>
          <w:top w:val="nil"/>
          <w:left w:val="nil"/>
          <w:bottom w:val="nil"/>
          <w:right w:val="nil"/>
          <w:between w:val="nil"/>
        </w:pBdr>
        <w:contextualSpacing/>
      </w:pPr>
    </w:p>
    <w:p w:rsidR="00864BA3" w:rsidRPr="00F45CE6" w:rsidRDefault="00864BA3" w:rsidP="00864BA3">
      <w:pPr>
        <w:pBdr>
          <w:top w:val="nil"/>
          <w:left w:val="nil"/>
          <w:bottom w:val="nil"/>
          <w:right w:val="nil"/>
          <w:between w:val="nil"/>
        </w:pBdr>
        <w:contextualSpacing/>
      </w:pPr>
      <w:r w:rsidRPr="00F45CE6">
        <w:t>Por lo que en etapa de manifestaciones el Sujeto Obligado rindió su informe justificado mediante el archivo electrónico;</w:t>
      </w:r>
    </w:p>
    <w:p w:rsidR="00B553F3" w:rsidRPr="00F45CE6" w:rsidRDefault="00B553F3" w:rsidP="00B553F3">
      <w:pPr>
        <w:pStyle w:val="Prrafodelista"/>
        <w:numPr>
          <w:ilvl w:val="0"/>
          <w:numId w:val="2"/>
        </w:numPr>
        <w:pBdr>
          <w:top w:val="nil"/>
          <w:left w:val="nil"/>
          <w:bottom w:val="nil"/>
          <w:right w:val="nil"/>
          <w:between w:val="nil"/>
        </w:pBdr>
        <w:rPr>
          <w:rFonts w:eastAsia="Palatino Linotype" w:cs="Palatino Linotype"/>
          <w:color w:val="000000"/>
          <w:szCs w:val="24"/>
        </w:rPr>
      </w:pPr>
      <w:r w:rsidRPr="00F45CE6">
        <w:rPr>
          <w:rFonts w:cs="Arial"/>
          <w:b/>
          <w:bCs/>
          <w:szCs w:val="24"/>
        </w:rPr>
        <w:t xml:space="preserve">MANIFESTACIONES R.R. 10035 SOL. 333.pdf: </w:t>
      </w:r>
      <w:r w:rsidRPr="00F45CE6">
        <w:rPr>
          <w:rFonts w:cs="Arial"/>
          <w:bCs/>
          <w:szCs w:val="24"/>
        </w:rPr>
        <w:t>Soporte documental que consta de tres fojas en formato PDF de fecha cuatro de septiembre de dos mil veinticinco por medio del cual la Secretaria Técnica y de Planeación del Ayuntamiento anexa el organigrama del Sujeto Obligado en el que manifiesta se encuentran las áreas que comprenden la administración del Ayuntamiento.</w:t>
      </w:r>
    </w:p>
    <w:p w:rsidR="00864BA3" w:rsidRPr="00F45CE6" w:rsidRDefault="00864BA3" w:rsidP="00864BA3">
      <w:pPr>
        <w:rPr>
          <w:rFonts w:eastAsia="Times New Roman" w:cs="Times New Roman"/>
          <w:szCs w:val="24"/>
          <w:lang w:eastAsia="es-ES"/>
        </w:rPr>
      </w:pPr>
      <w:r w:rsidRPr="00F45CE6">
        <w:rPr>
          <w:rFonts w:cs="Arial"/>
          <w:szCs w:val="24"/>
        </w:rPr>
        <w:lastRenderedPageBreak/>
        <w:t xml:space="preserve">En este tenor, es necesario subrayar que </w:t>
      </w:r>
      <w:r w:rsidRPr="00F45CE6">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b/>
          <w:i/>
          <w:lang w:eastAsia="es-ES"/>
        </w:rPr>
        <w:t>“</w:t>
      </w:r>
      <w:r w:rsidRPr="00F45CE6">
        <w:rPr>
          <w:rFonts w:eastAsia="Times New Roman" w:cs="Times New Roman"/>
          <w:b/>
          <w:i/>
          <w:sz w:val="22"/>
          <w:lang w:eastAsia="es-ES"/>
        </w:rPr>
        <w:t>Artículo 4.</w:t>
      </w:r>
      <w:r w:rsidRPr="00F45CE6">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b/>
          <w:i/>
          <w:sz w:val="22"/>
          <w:lang w:eastAsia="es-ES"/>
        </w:rPr>
        <w:t>Artículo 12.</w:t>
      </w:r>
      <w:r w:rsidRPr="00F45CE6">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w:t>
      </w:r>
      <w:r w:rsidRPr="00F45CE6">
        <w:rPr>
          <w:rFonts w:eastAsia="Times New Roman" w:cs="Times New Roman"/>
          <w:i/>
          <w:sz w:val="22"/>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w:t>
      </w:r>
    </w:p>
    <w:p w:rsidR="00864BA3" w:rsidRPr="00F45CE6" w:rsidRDefault="00864BA3" w:rsidP="00864BA3">
      <w:pPr>
        <w:spacing w:before="240"/>
        <w:ind w:left="851" w:right="851"/>
        <w:rPr>
          <w:rFonts w:eastAsia="Times New Roman" w:cs="Times New Roman"/>
          <w:b/>
          <w:i/>
          <w:sz w:val="22"/>
          <w:lang w:eastAsia="es-ES"/>
        </w:rPr>
      </w:pPr>
      <w:r w:rsidRPr="00F45CE6">
        <w:rPr>
          <w:rFonts w:eastAsia="Times New Roman" w:cs="Times New Roman"/>
          <w:b/>
          <w:i/>
          <w:sz w:val="22"/>
          <w:lang w:eastAsia="es-ES"/>
        </w:rPr>
        <w:t xml:space="preserve">Artículo 24. </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Los sujetos obligados solo proporcionarán la información pública que generen, administren o posean en el ejercicio de sus atribuciones.”</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i/>
          <w:sz w:val="22"/>
          <w:lang w:eastAsia="es-ES"/>
        </w:rPr>
        <w:t>(…)</w:t>
      </w:r>
    </w:p>
    <w:p w:rsidR="00864BA3" w:rsidRPr="00F45CE6" w:rsidRDefault="00864BA3" w:rsidP="00864BA3">
      <w:pPr>
        <w:spacing w:before="240"/>
        <w:ind w:left="851" w:right="851"/>
        <w:rPr>
          <w:rFonts w:eastAsia="Times New Roman" w:cs="Times New Roman"/>
          <w:i/>
          <w:sz w:val="22"/>
          <w:lang w:eastAsia="es-ES"/>
        </w:rPr>
      </w:pPr>
      <w:r w:rsidRPr="00F45CE6">
        <w:rPr>
          <w:rFonts w:eastAsia="Times New Roman" w:cs="Times New Roman"/>
          <w:b/>
          <w:i/>
          <w:sz w:val="22"/>
          <w:lang w:eastAsia="es-ES"/>
        </w:rPr>
        <w:t>Artículo 160.</w:t>
      </w:r>
      <w:r w:rsidRPr="00F45CE6">
        <w:rPr>
          <w:rFonts w:eastAsia="Times New Roman" w:cs="Times New Roman"/>
          <w:i/>
          <w:sz w:val="22"/>
          <w:lang w:eastAsia="es-ES"/>
        </w:rPr>
        <w:t xml:space="preserve"> Los sujetos obligados deberán otorgar acceso a los documentos que se </w:t>
      </w:r>
      <w:r w:rsidRPr="00F45CE6">
        <w:rPr>
          <w:rFonts w:eastAsia="Times New Roman" w:cs="Times New Roman"/>
          <w:b/>
          <w:i/>
          <w:sz w:val="22"/>
          <w:lang w:eastAsia="es-ES"/>
        </w:rPr>
        <w:t xml:space="preserve"> </w:t>
      </w:r>
      <w:r w:rsidRPr="00F45CE6">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64BA3" w:rsidRPr="00F45CE6" w:rsidRDefault="00864BA3" w:rsidP="00864BA3">
      <w:pPr>
        <w:spacing w:before="240"/>
        <w:ind w:left="851" w:right="851"/>
        <w:rPr>
          <w:rFonts w:eastAsia="Times New Roman" w:cs="Times New Roman"/>
          <w:b/>
          <w:i/>
          <w:sz w:val="22"/>
          <w:lang w:eastAsia="es-ES"/>
        </w:rPr>
      </w:pPr>
      <w:r w:rsidRPr="00F45CE6">
        <w:rPr>
          <w:rFonts w:eastAsia="Times New Roman" w:cs="Times New Roman"/>
          <w:i/>
          <w:sz w:val="22"/>
          <w:lang w:eastAsia="es-ES"/>
        </w:rPr>
        <w:t>En caso que la información solicitada consista en bases de datos se deberá privilegiar la entrega de la misma en formatos abiertos.”</w:t>
      </w:r>
      <w:r w:rsidRPr="00F45CE6">
        <w:rPr>
          <w:rFonts w:eastAsia="Times New Roman" w:cs="Times New Roman"/>
          <w:b/>
          <w:i/>
          <w:sz w:val="22"/>
          <w:lang w:eastAsia="es-ES"/>
        </w:rPr>
        <w:t>[Sic]</w:t>
      </w:r>
    </w:p>
    <w:p w:rsidR="00864BA3" w:rsidRPr="00F45CE6" w:rsidRDefault="00864BA3" w:rsidP="00864BA3">
      <w:pPr>
        <w:rPr>
          <w:rFonts w:eastAsia="Times New Roman" w:cs="Times New Roman"/>
          <w:szCs w:val="24"/>
          <w:lang w:eastAsia="es-ES"/>
        </w:rPr>
      </w:pPr>
    </w:p>
    <w:p w:rsidR="00864BA3" w:rsidRPr="00F45CE6" w:rsidRDefault="00864BA3" w:rsidP="00864BA3">
      <w:pPr>
        <w:rPr>
          <w:rFonts w:eastAsia="Times New Roman" w:cs="Times New Roman"/>
          <w:szCs w:val="24"/>
          <w:lang w:eastAsia="es-ES"/>
        </w:rPr>
      </w:pPr>
      <w:r w:rsidRPr="00F45CE6">
        <w:rPr>
          <w:rFonts w:eastAsia="Times New Roman" w:cs="Times New Roman"/>
          <w:szCs w:val="24"/>
          <w:lang w:eastAsia="es-ES"/>
        </w:rPr>
        <w:t xml:space="preserve">Así que la obligación de los </w:t>
      </w:r>
      <w:r w:rsidRPr="00F45CE6">
        <w:rPr>
          <w:rFonts w:eastAsia="Times New Roman" w:cs="Times New Roman"/>
          <w:b/>
          <w:szCs w:val="24"/>
          <w:lang w:eastAsia="es-ES"/>
        </w:rPr>
        <w:t>Sujetos Obligados</w:t>
      </w:r>
      <w:r w:rsidRPr="00F45CE6">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45CE6">
        <w:rPr>
          <w:rFonts w:eastAsia="Times New Roman" w:cs="Times New Roman"/>
          <w:bCs/>
          <w:szCs w:val="24"/>
          <w:lang w:eastAsia="es-ES"/>
        </w:rPr>
        <w:t>de la Ley local en la materia, que se reproduce de la siguiente forma</w:t>
      </w:r>
      <w:r w:rsidRPr="00F45CE6">
        <w:rPr>
          <w:rFonts w:eastAsia="Times New Roman" w:cs="Times New Roman"/>
          <w:szCs w:val="24"/>
          <w:lang w:eastAsia="es-ES"/>
        </w:rPr>
        <w:t>:</w:t>
      </w:r>
    </w:p>
    <w:p w:rsidR="00864BA3" w:rsidRPr="00F45CE6" w:rsidRDefault="00864BA3" w:rsidP="00864BA3">
      <w:pPr>
        <w:spacing w:before="240"/>
        <w:ind w:left="851" w:right="851"/>
        <w:rPr>
          <w:rFonts w:eastAsia="Times New Roman" w:cs="Arial"/>
          <w:b/>
          <w:i/>
          <w:sz w:val="22"/>
          <w:lang w:eastAsia="es-ES"/>
        </w:rPr>
      </w:pPr>
      <w:r w:rsidRPr="00F45CE6">
        <w:rPr>
          <w:rFonts w:eastAsia="Times New Roman" w:cs="Arial"/>
          <w:i/>
          <w:sz w:val="22"/>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45CE6">
        <w:rPr>
          <w:rFonts w:eastAsia="Times New Roman" w:cs="Arial"/>
          <w:b/>
          <w:i/>
          <w:sz w:val="22"/>
          <w:lang w:eastAsia="es-ES"/>
        </w:rPr>
        <w:t>[Sic]</w:t>
      </w:r>
    </w:p>
    <w:p w:rsidR="00864BA3" w:rsidRPr="00F45CE6" w:rsidRDefault="00864BA3" w:rsidP="00864BA3">
      <w:pPr>
        <w:pBdr>
          <w:top w:val="nil"/>
          <w:left w:val="nil"/>
          <w:bottom w:val="nil"/>
          <w:right w:val="nil"/>
          <w:between w:val="nil"/>
        </w:pBdr>
        <w:contextualSpacing/>
      </w:pPr>
    </w:p>
    <w:p w:rsidR="00B553F3" w:rsidRPr="00F45CE6" w:rsidRDefault="00B553F3" w:rsidP="00B553F3">
      <w:pPr>
        <w:rPr>
          <w:szCs w:val="24"/>
        </w:rPr>
      </w:pPr>
      <w:r w:rsidRPr="00F45CE6">
        <w:rPr>
          <w:szCs w:val="24"/>
        </w:rPr>
        <w:t xml:space="preserve">Bajo ese contexto, es preciso señalar que respecto lo requerido </w:t>
      </w:r>
      <w:r w:rsidRPr="00F45CE6">
        <w:rPr>
          <w:color w:val="000000"/>
          <w:szCs w:val="24"/>
        </w:rPr>
        <w:t xml:space="preserve">es necesario señalar que nos referiremos a la estructura orgánica, el derecho positivo vigente en materia de acceso a la información pública establece tal conceptualización como estructura orgánica, como se puede apreciar a continuación: </w:t>
      </w:r>
      <w:r w:rsidRPr="00F45CE6">
        <w:rPr>
          <w:rFonts w:cs="Arial"/>
          <w:szCs w:val="24"/>
        </w:rPr>
        <w:t xml:space="preserve">Ley de </w:t>
      </w:r>
      <w:r w:rsidRPr="00F45CE6">
        <w:rPr>
          <w:rFonts w:cs="Arial"/>
          <w:color w:val="000000"/>
          <w:szCs w:val="24"/>
        </w:rPr>
        <w:t>Transparencia y Acceso a la Información Pública del Estado de México y Municipios:</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w:t>
      </w:r>
      <w:r w:rsidRPr="00F45CE6">
        <w:rPr>
          <w:b/>
          <w:i/>
          <w:color w:val="000000"/>
          <w:sz w:val="22"/>
        </w:rPr>
        <w:t>Artículo 92</w:t>
      </w:r>
      <w:r w:rsidRPr="00F45CE6">
        <w:rPr>
          <w:i/>
          <w:color w:val="000000"/>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w:t>
      </w:r>
    </w:p>
    <w:p w:rsidR="00502AB3" w:rsidRPr="00F45CE6" w:rsidRDefault="00502AB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B553F3" w:rsidRPr="00F45CE6" w:rsidRDefault="00B553F3" w:rsidP="00B553F3">
      <w:pPr>
        <w:rPr>
          <w:rFonts w:cs="Arial"/>
          <w:szCs w:val="24"/>
        </w:rPr>
      </w:pPr>
    </w:p>
    <w:p w:rsidR="00B553F3" w:rsidRPr="00F45CE6" w:rsidRDefault="00B553F3" w:rsidP="00B553F3">
      <w:pPr>
        <w:rPr>
          <w:rFonts w:cs="Arial"/>
          <w:szCs w:val="24"/>
        </w:rPr>
      </w:pPr>
      <w:r w:rsidRPr="00F45CE6">
        <w:rPr>
          <w:rFonts w:cs="Arial"/>
          <w:szCs w:val="24"/>
        </w:rPr>
        <w:t>Como podemos apreciar la publicación de la estructura orgánica es una obligación que el Sujeto Obligado debe observar en todo momento, y procurar que en la página se encuentre disponible para el público en general.</w:t>
      </w:r>
    </w:p>
    <w:p w:rsidR="00B553F3" w:rsidRPr="00F45CE6" w:rsidRDefault="00B553F3" w:rsidP="00B553F3">
      <w:pPr>
        <w:rPr>
          <w:rFonts w:cs="Arial"/>
          <w:szCs w:val="24"/>
        </w:rPr>
      </w:pPr>
    </w:p>
    <w:p w:rsidR="00B553F3" w:rsidRPr="00F45CE6" w:rsidRDefault="00B553F3" w:rsidP="00B553F3">
      <w:pPr>
        <w:rPr>
          <w:rFonts w:cs="Arial"/>
          <w:szCs w:val="24"/>
        </w:rPr>
      </w:pPr>
      <w:r w:rsidRPr="00F45CE6">
        <w:rPr>
          <w:rFonts w:cs="Arial"/>
          <w:szCs w:val="24"/>
        </w:rPr>
        <w:t xml:space="preserve">Por otro lado los Lineamientos Técnicos Generales para la publicación, homologación y estandarización de la información de las obligaciones establecidas en el Título Quinto y en la Fracción IV del artículo 31 de la Ley General de Transparencia y Acceso a la </w:t>
      </w:r>
      <w:r w:rsidRPr="00F45CE6">
        <w:rPr>
          <w:rFonts w:cs="Arial"/>
          <w:szCs w:val="24"/>
        </w:rPr>
        <w:lastRenderedPageBreak/>
        <w:t>Información Pública, que deben de difundir los sujetos obligados en los portales de internet y en la Plataforma Nacional de Transparencia, respecto de la fracción II, (es</w:t>
      </w:r>
      <w:r w:rsidR="00502AB3" w:rsidRPr="00F45CE6">
        <w:rPr>
          <w:rFonts w:cs="Arial"/>
          <w:szCs w:val="24"/>
        </w:rPr>
        <w:t xml:space="preserve">tructura orgánica), establece: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 xml:space="preserve">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Los sujetos obligados que no tengan estructura orgánica autorizada deberán incluir una leyenda fundamentada, motivada y actualizada al periodo que corresponda, que explique la situación del sujeto obligado.</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w:t>
      </w:r>
    </w:p>
    <w:p w:rsidR="00502AB3" w:rsidRPr="00F45CE6" w:rsidRDefault="00502AB3" w:rsidP="00B553F3">
      <w:pPr>
        <w:shd w:val="clear" w:color="auto" w:fill="FFFFFF" w:themeFill="background1"/>
        <w:autoSpaceDE w:val="0"/>
        <w:autoSpaceDN w:val="0"/>
        <w:adjustRightInd w:val="0"/>
        <w:spacing w:line="240" w:lineRule="auto"/>
        <w:ind w:left="567" w:right="567"/>
        <w:rPr>
          <w:i/>
          <w:color w:val="000000"/>
          <w:sz w:val="22"/>
        </w:rPr>
      </w:pPr>
    </w:p>
    <w:p w:rsidR="00B553F3" w:rsidRPr="00F45CE6" w:rsidRDefault="00B553F3" w:rsidP="00B553F3">
      <w:pPr>
        <w:shd w:val="clear" w:color="auto" w:fill="FFFFFF" w:themeFill="background1"/>
        <w:autoSpaceDE w:val="0"/>
        <w:autoSpaceDN w:val="0"/>
        <w:adjustRightInd w:val="0"/>
        <w:spacing w:line="240" w:lineRule="auto"/>
        <w:ind w:left="567" w:right="567"/>
        <w:rPr>
          <w:b/>
          <w:i/>
          <w:color w:val="000000"/>
          <w:sz w:val="22"/>
          <w:u w:val="single"/>
        </w:rPr>
      </w:pPr>
      <w:r w:rsidRPr="00F45CE6">
        <w:rPr>
          <w:b/>
          <w:i/>
          <w:color w:val="000000"/>
          <w:sz w:val="22"/>
          <w:u w:val="single"/>
        </w:rPr>
        <w:t xml:space="preserve">Periodo de actualización: trimestral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 xml:space="preserve">En su caso, 15 días hábiles después de la aprobación de alguna modificación a la estructura orgánica.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 xml:space="preserve">Conservar en el sitio de Internet: información vigente </w:t>
      </w:r>
    </w:p>
    <w:p w:rsidR="00B553F3" w:rsidRPr="00F45CE6" w:rsidRDefault="00B553F3" w:rsidP="00B553F3">
      <w:pPr>
        <w:shd w:val="clear" w:color="auto" w:fill="FFFFFF" w:themeFill="background1"/>
        <w:autoSpaceDE w:val="0"/>
        <w:autoSpaceDN w:val="0"/>
        <w:adjustRightInd w:val="0"/>
        <w:spacing w:line="240" w:lineRule="auto"/>
        <w:ind w:left="567" w:right="567"/>
        <w:rPr>
          <w:i/>
          <w:color w:val="000000"/>
          <w:sz w:val="22"/>
        </w:rPr>
      </w:pPr>
      <w:r w:rsidRPr="00F45CE6">
        <w:rPr>
          <w:i/>
          <w:color w:val="000000"/>
          <w:sz w:val="22"/>
        </w:rPr>
        <w:t>Aplica a: todos los sujetos obligados</w:t>
      </w:r>
    </w:p>
    <w:p w:rsidR="00B553F3" w:rsidRPr="00F45CE6" w:rsidRDefault="00B553F3" w:rsidP="00B553F3">
      <w:pPr>
        <w:pStyle w:val="Prrafodelista"/>
        <w:ind w:left="0"/>
        <w:rPr>
          <w:rFonts w:cs="Arial"/>
        </w:rPr>
      </w:pPr>
    </w:p>
    <w:p w:rsidR="00B553F3" w:rsidRPr="00F45CE6" w:rsidRDefault="00B553F3" w:rsidP="00B553F3">
      <w:pPr>
        <w:pStyle w:val="Prrafodelista"/>
        <w:ind w:left="0"/>
        <w:rPr>
          <w:rFonts w:cs="Arial"/>
        </w:rPr>
      </w:pPr>
      <w:r w:rsidRPr="00F45CE6">
        <w:rPr>
          <w:rFonts w:cs="Arial"/>
        </w:rPr>
        <w:lastRenderedPageBreak/>
        <w:t xml:space="preserve">Como podemos apreciar la generación del organigrama es una obligación para el Sujeto Obligado, sin embargo, los Lineamientos Técnicos Generales para la Publicación, Homologación y Estandarización de la Información de las Obligaciones establecidas en el Título Quinto y en la Fracción IV del artículo 31 de la Ley General de Transparencia y Acceso a la Información Pública, señala que deben de difundir los Sujetos Obligados en los portales de internet y en la Plataforma Nacional de Transparencia, establece que debe </w:t>
      </w:r>
      <w:r w:rsidRPr="00F45CE6">
        <w:rPr>
          <w:rFonts w:cs="Arial"/>
          <w:b/>
          <w:u w:val="single"/>
        </w:rPr>
        <w:t>ser trimestral</w:t>
      </w:r>
      <w:r w:rsidRPr="00F45CE6">
        <w:rPr>
          <w:rFonts w:cs="Arial"/>
        </w:rPr>
        <w:t xml:space="preserve"> su actualización, es decir, existe periodo en los que es compelido a cumplir con la fracción II del artículo 92 de la Ley en cita.</w:t>
      </w:r>
    </w:p>
    <w:p w:rsidR="00B553F3" w:rsidRPr="00F45CE6" w:rsidRDefault="00B553F3" w:rsidP="00B553F3">
      <w:pPr>
        <w:rPr>
          <w:szCs w:val="24"/>
        </w:rPr>
      </w:pPr>
    </w:p>
    <w:p w:rsidR="00B553F3" w:rsidRPr="00F45CE6" w:rsidRDefault="00B553F3" w:rsidP="00B553F3">
      <w:pPr>
        <w:rPr>
          <w:rFonts w:cs="Arial"/>
        </w:rPr>
      </w:pPr>
      <w:r w:rsidRPr="00F45CE6">
        <w:rPr>
          <w:rFonts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553F3" w:rsidRPr="00F45CE6" w:rsidRDefault="00B553F3" w:rsidP="00B553F3">
      <w:pPr>
        <w:rPr>
          <w:szCs w:val="24"/>
        </w:rPr>
      </w:pPr>
    </w:p>
    <w:p w:rsidR="00B553F3" w:rsidRPr="00F45CE6" w:rsidRDefault="00B553F3" w:rsidP="00502AB3">
      <w:pPr>
        <w:ind w:right="39"/>
        <w:rPr>
          <w:color w:val="222222"/>
          <w:szCs w:val="24"/>
        </w:rPr>
      </w:pPr>
      <w:r w:rsidRPr="00F45CE6">
        <w:rPr>
          <w:rFonts w:eastAsia="Palatino Linotype" w:cs="Palatino Linotype"/>
          <w:color w:val="000000"/>
          <w:szCs w:val="24"/>
        </w:rPr>
        <w:t xml:space="preserve">De lo anterior, el Servidor Público Habilitado </w:t>
      </w:r>
      <w:r w:rsidRPr="00F45CE6">
        <w:rPr>
          <w:szCs w:val="24"/>
        </w:rPr>
        <w:t xml:space="preserve">hizo entrega de </w:t>
      </w:r>
      <w:r w:rsidR="00502AB3" w:rsidRPr="00F45CE6">
        <w:rPr>
          <w:szCs w:val="24"/>
        </w:rPr>
        <w:t>una liga electrónica</w:t>
      </w:r>
      <w:r w:rsidRPr="00F45CE6">
        <w:rPr>
          <w:szCs w:val="24"/>
        </w:rPr>
        <w:t xml:space="preserve"> en respuesta en formato abierto, la </w:t>
      </w:r>
      <w:r w:rsidRPr="00F45CE6">
        <w:rPr>
          <w:color w:val="222222"/>
          <w:szCs w:val="24"/>
        </w:rPr>
        <w:t>cual pretendía satisfacer el derecho al acceso a la información del Recurrent</w:t>
      </w:r>
      <w:r w:rsidR="00502AB3" w:rsidRPr="00F45CE6">
        <w:rPr>
          <w:color w:val="222222"/>
          <w:szCs w:val="24"/>
        </w:rPr>
        <w:t xml:space="preserve">e. </w:t>
      </w:r>
      <w:r w:rsidRPr="00F45CE6">
        <w:rPr>
          <w:color w:val="222222"/>
          <w:szCs w:val="24"/>
        </w:rPr>
        <w:t xml:space="preserve">Entonces es prudente recordar lo </w:t>
      </w:r>
      <w:r w:rsidRPr="00F45CE6">
        <w:rPr>
          <w:szCs w:val="24"/>
        </w:rPr>
        <w:t>estipulado en los artículos 11 y 161 de la Ley de Transparencia y Acceso a la Información Pública del Estado de México y Municipios</w:t>
      </w:r>
      <w:r w:rsidRPr="00F45CE6">
        <w:rPr>
          <w:color w:val="000000"/>
          <w:szCs w:val="24"/>
        </w:rPr>
        <w:t xml:space="preserve">; </w:t>
      </w:r>
    </w:p>
    <w:p w:rsidR="00B553F3" w:rsidRPr="00F45CE6" w:rsidRDefault="00B553F3" w:rsidP="00B553F3">
      <w:pPr>
        <w:ind w:left="708"/>
        <w:rPr>
          <w:i/>
          <w:sz w:val="22"/>
        </w:rPr>
      </w:pPr>
      <w:r w:rsidRPr="00F45CE6">
        <w:rPr>
          <w:i/>
          <w:sz w:val="22"/>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w:t>
      </w:r>
      <w:r w:rsidRPr="00F45CE6">
        <w:rPr>
          <w:i/>
          <w:sz w:val="22"/>
        </w:rPr>
        <w:lastRenderedPageBreak/>
        <w:t xml:space="preserve">y estrictamente necesaria en una sociedad democrática, por lo que atenderá las necesidades del derecho de acceso a la información de toda persona. </w:t>
      </w:r>
    </w:p>
    <w:p w:rsidR="00B553F3" w:rsidRPr="00F45CE6" w:rsidRDefault="00B553F3" w:rsidP="00B553F3">
      <w:pPr>
        <w:ind w:left="708"/>
        <w:rPr>
          <w:i/>
          <w:sz w:val="22"/>
        </w:rPr>
      </w:pPr>
      <w:r w:rsidRPr="00F45CE6">
        <w:rPr>
          <w:i/>
          <w:sz w:val="22"/>
        </w:rPr>
        <w:t xml:space="preserve">(…) </w:t>
      </w:r>
    </w:p>
    <w:p w:rsidR="00B553F3" w:rsidRPr="00F45CE6" w:rsidRDefault="00B553F3" w:rsidP="00B553F3">
      <w:pPr>
        <w:ind w:left="708"/>
        <w:rPr>
          <w:i/>
          <w:sz w:val="22"/>
        </w:rPr>
      </w:pPr>
    </w:p>
    <w:p w:rsidR="00B553F3" w:rsidRPr="00F45CE6" w:rsidRDefault="00B553F3" w:rsidP="00B553F3">
      <w:pPr>
        <w:ind w:left="708"/>
        <w:rPr>
          <w:i/>
          <w:sz w:val="22"/>
          <w:u w:val="single"/>
        </w:rPr>
      </w:pPr>
      <w:r w:rsidRPr="00F45CE6">
        <w:rPr>
          <w:i/>
          <w:sz w:val="22"/>
        </w:rPr>
        <w:t xml:space="preserve">Artículo 161. </w:t>
      </w:r>
      <w:r w:rsidRPr="00F45CE6">
        <w:rPr>
          <w:b/>
          <w:i/>
          <w:sz w:val="22"/>
        </w:rPr>
        <w:t xml:space="preserve">Cuando la información requerida por el solicitante ya esté disponible al público </w:t>
      </w:r>
      <w:r w:rsidRPr="00F45CE6">
        <w:rPr>
          <w:i/>
          <w:sz w:val="22"/>
        </w:rPr>
        <w:t xml:space="preserve">en medios impresos, tales como libros, compendios, trípticos, registros públicos, en formatos electrónicos disponibles en Internet o en cualquier otro medio, </w:t>
      </w:r>
      <w:r w:rsidRPr="00F45CE6">
        <w:rPr>
          <w:i/>
          <w:sz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B553F3" w:rsidRPr="00F45CE6" w:rsidRDefault="00B553F3" w:rsidP="00B553F3">
      <w:pPr>
        <w:rPr>
          <w:sz w:val="22"/>
        </w:rPr>
      </w:pPr>
    </w:p>
    <w:p w:rsidR="00B553F3" w:rsidRPr="00F45CE6" w:rsidRDefault="00B553F3" w:rsidP="00B553F3">
      <w:pPr>
        <w:rPr>
          <w:szCs w:val="24"/>
        </w:rPr>
      </w:pPr>
      <w:r w:rsidRPr="00F45CE6">
        <w:rPr>
          <w:szCs w:val="24"/>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B553F3" w:rsidRPr="00F45CE6" w:rsidRDefault="00B553F3" w:rsidP="00B553F3">
      <w:pPr>
        <w:ind w:left="567" w:firstLine="142"/>
      </w:pPr>
      <w:r w:rsidRPr="00F45CE6">
        <w:t xml:space="preserve"> a) La fuente </w:t>
      </w:r>
    </w:p>
    <w:p w:rsidR="00B553F3" w:rsidRPr="00F45CE6" w:rsidRDefault="00B553F3" w:rsidP="00B553F3">
      <w:pPr>
        <w:ind w:left="567" w:firstLine="142"/>
      </w:pPr>
      <w:r w:rsidRPr="00F45CE6">
        <w:t xml:space="preserve">b) El lugar y </w:t>
      </w:r>
    </w:p>
    <w:p w:rsidR="00B553F3" w:rsidRPr="00F45CE6" w:rsidRDefault="00B553F3" w:rsidP="00B553F3">
      <w:pPr>
        <w:ind w:left="567" w:firstLine="142"/>
      </w:pPr>
      <w:r w:rsidRPr="00F45CE6">
        <w:t xml:space="preserve">c) La forma </w:t>
      </w:r>
    </w:p>
    <w:p w:rsidR="00B553F3" w:rsidRPr="00F45CE6" w:rsidRDefault="00B553F3" w:rsidP="00B553F3">
      <w:pPr>
        <w:ind w:left="567" w:firstLine="142"/>
      </w:pPr>
      <w:r w:rsidRPr="00F45CE6">
        <w:t>Asimismo, se establece que la fuente de la información deberá ser:</w:t>
      </w:r>
    </w:p>
    <w:p w:rsidR="00B553F3" w:rsidRPr="00F45CE6" w:rsidRDefault="00B553F3" w:rsidP="00B553F3">
      <w:pPr>
        <w:ind w:left="567" w:firstLine="142"/>
        <w:rPr>
          <w:b/>
          <w:bCs/>
        </w:rPr>
      </w:pPr>
      <w:r w:rsidRPr="00F45CE6">
        <w:rPr>
          <w:b/>
          <w:bCs/>
        </w:rPr>
        <w:t xml:space="preserve"> a) Precisa </w:t>
      </w:r>
    </w:p>
    <w:p w:rsidR="00B553F3" w:rsidRPr="00F45CE6" w:rsidRDefault="00B553F3" w:rsidP="00B553F3">
      <w:pPr>
        <w:ind w:left="567" w:firstLine="142"/>
      </w:pPr>
      <w:r w:rsidRPr="00F45CE6">
        <w:t xml:space="preserve">b) Concreta </w:t>
      </w:r>
    </w:p>
    <w:p w:rsidR="00B553F3" w:rsidRPr="00F45CE6" w:rsidRDefault="00B553F3" w:rsidP="00B553F3">
      <w:pPr>
        <w:ind w:left="567" w:firstLine="142"/>
        <w:rPr>
          <w:b/>
        </w:rPr>
      </w:pPr>
      <w:r w:rsidRPr="00F45CE6">
        <w:rPr>
          <w:b/>
        </w:rPr>
        <w:lastRenderedPageBreak/>
        <w:t>c) Y no debe implicar que el solicitante realice una búsqueda en toda la información que se encuentre disponible.</w:t>
      </w:r>
    </w:p>
    <w:p w:rsidR="00B553F3" w:rsidRPr="00F45CE6" w:rsidRDefault="00B553F3" w:rsidP="00B553F3">
      <w:pPr>
        <w:rPr>
          <w:color w:val="222222"/>
          <w:szCs w:val="24"/>
        </w:rPr>
      </w:pPr>
    </w:p>
    <w:p w:rsidR="00B553F3" w:rsidRPr="00F45CE6" w:rsidRDefault="00B553F3" w:rsidP="00B553F3">
      <w:pPr>
        <w:rPr>
          <w:rFonts w:cs="Arial"/>
          <w:szCs w:val="24"/>
        </w:rPr>
      </w:pPr>
      <w:r w:rsidRPr="00F45CE6">
        <w:rPr>
          <w:color w:val="222222"/>
          <w:szCs w:val="24"/>
        </w:rPr>
        <w:t>Conforme lo anterior, se considera conveniente señalar que e</w:t>
      </w:r>
      <w:r w:rsidRPr="00F45CE6">
        <w:rPr>
          <w:szCs w:val="24"/>
        </w:rPr>
        <w:t xml:space="preserve">l artículo 161 de la </w:t>
      </w:r>
      <w:r w:rsidRPr="00F45CE6">
        <w:rPr>
          <w:color w:val="222222"/>
          <w:szCs w:val="24"/>
        </w:rPr>
        <w:t>de Transparencia y Acceso a la Información Pública del Estado de México y Municipios ya antes referido</w:t>
      </w:r>
      <w:r w:rsidRPr="00F45CE6">
        <w:rPr>
          <w:szCs w:val="24"/>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F45CE6">
        <w:rPr>
          <w:rFonts w:eastAsiaTheme="minorEastAsia" w:cs="Arial"/>
          <w:i/>
          <w:szCs w:val="24"/>
        </w:rPr>
        <w:t xml:space="preserve"> </w:t>
      </w:r>
      <w:r w:rsidRPr="00F45CE6">
        <w:rPr>
          <w:rFonts w:cs="Arial"/>
          <w:szCs w:val="24"/>
        </w:rPr>
        <w:t xml:space="preserve">Aunado a lo anterior, se destaca que </w:t>
      </w:r>
      <w:r w:rsidRPr="00F45CE6">
        <w:rPr>
          <w:rFonts w:cs="Arial"/>
          <w:b/>
          <w:szCs w:val="24"/>
        </w:rPr>
        <w:t>la liga electrónica proporcionada en respuesta se encuentra en formato abierto</w:t>
      </w:r>
      <w:r w:rsidRPr="00F45CE6">
        <w:rPr>
          <w:rFonts w:cs="Arial"/>
          <w:szCs w:val="24"/>
        </w:rPr>
        <w:t>; es decir, no implica que el particular transcriba el mismo.</w:t>
      </w:r>
    </w:p>
    <w:p w:rsidR="00B553F3" w:rsidRPr="00F45CE6" w:rsidRDefault="00B553F3" w:rsidP="00B553F3">
      <w:pPr>
        <w:rPr>
          <w:rFonts w:cs="Arial"/>
          <w:szCs w:val="24"/>
        </w:rPr>
      </w:pPr>
    </w:p>
    <w:p w:rsidR="00B553F3" w:rsidRPr="00F45CE6" w:rsidRDefault="00B553F3" w:rsidP="00B553F3">
      <w:pPr>
        <w:rPr>
          <w:szCs w:val="24"/>
        </w:rPr>
      </w:pPr>
      <w:r w:rsidRPr="00F45CE6">
        <w:rPr>
          <w:rFonts w:eastAsiaTheme="minorEastAsia" w:cs="Arial"/>
          <w:szCs w:val="24"/>
        </w:rPr>
        <w:t>De lo descrito con anterioridad</w:t>
      </w:r>
      <w:r w:rsidRPr="00F45CE6">
        <w:rPr>
          <w:szCs w:val="24"/>
        </w:rPr>
        <w:t xml:space="preserve"> es necesario precisar que entonces para tener acceso a la liga proporcionada ya no sería necesario capturar la dirección electrónica carácter por carácter, ya que el documento digitalizado a través del cual se proporcionó la liga </w:t>
      </w:r>
      <w:r w:rsidRPr="00F45CE6">
        <w:rPr>
          <w:b/>
          <w:szCs w:val="24"/>
        </w:rPr>
        <w:t>si permite editar, modificar o procesar su contenido</w:t>
      </w:r>
      <w:r w:rsidRPr="00F45CE6">
        <w:rPr>
          <w:szCs w:val="24"/>
        </w:rPr>
        <w:t>.</w:t>
      </w:r>
    </w:p>
    <w:p w:rsidR="00B553F3" w:rsidRPr="00F45CE6" w:rsidRDefault="00B553F3" w:rsidP="00B553F3">
      <w:pPr>
        <w:rPr>
          <w:szCs w:val="24"/>
        </w:rPr>
      </w:pPr>
    </w:p>
    <w:p w:rsidR="00B553F3" w:rsidRPr="00F45CE6" w:rsidRDefault="00B553F3" w:rsidP="00B553F3">
      <w:pPr>
        <w:rPr>
          <w:rFonts w:cs="Tahoma"/>
          <w:b/>
          <w:bCs/>
          <w:i/>
          <w:szCs w:val="24"/>
        </w:rPr>
      </w:pPr>
      <w:r w:rsidRPr="00F45CE6">
        <w:rPr>
          <w:szCs w:val="24"/>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F45CE6">
        <w:rPr>
          <w:rFonts w:cs="Tahoma"/>
          <w:bCs/>
          <w:szCs w:val="24"/>
        </w:rPr>
        <w:t>Derivado de lo anterior, se considera necesario precisar que datos abiertos, conforme a la Carta Internacional de Datos Abiertos</w:t>
      </w:r>
      <w:r w:rsidRPr="00F45CE6">
        <w:rPr>
          <w:rStyle w:val="Refdenotaalpie"/>
          <w:rFonts w:cs="Tahoma"/>
          <w:bCs/>
          <w:szCs w:val="24"/>
        </w:rPr>
        <w:footnoteReference w:id="2"/>
      </w:r>
      <w:r w:rsidRPr="00F45CE6">
        <w:rPr>
          <w:rFonts w:cs="Tahoma"/>
          <w:bCs/>
          <w:szCs w:val="24"/>
        </w:rPr>
        <w:t xml:space="preserve"> </w:t>
      </w:r>
      <w:r w:rsidRPr="00F45CE6">
        <w:rPr>
          <w:rFonts w:cs="Tahoma"/>
          <w:bCs/>
          <w:i/>
          <w:szCs w:val="24"/>
        </w:rPr>
        <w:t xml:space="preserve">son datos digitales que son </w:t>
      </w:r>
      <w:r w:rsidRPr="00F45CE6">
        <w:rPr>
          <w:rFonts w:cs="Tahoma"/>
          <w:bCs/>
          <w:i/>
          <w:szCs w:val="24"/>
        </w:rPr>
        <w:lastRenderedPageBreak/>
        <w:t xml:space="preserve">puestos a disposición con las características técnicas y jurídicas necesarias para que </w:t>
      </w:r>
      <w:r w:rsidRPr="00F45CE6">
        <w:rPr>
          <w:rFonts w:cs="Tahoma"/>
          <w:b/>
          <w:bCs/>
          <w:i/>
          <w:szCs w:val="24"/>
        </w:rPr>
        <w:t xml:space="preserve">puedan ser </w:t>
      </w:r>
      <w:r w:rsidRPr="00F45CE6">
        <w:rPr>
          <w:rFonts w:cs="Tahoma"/>
          <w:b/>
          <w:bCs/>
          <w:i/>
          <w:szCs w:val="24"/>
          <w:u w:val="single"/>
        </w:rPr>
        <w:t>usados, reutilizados y redistribuidos</w:t>
      </w:r>
      <w:r w:rsidRPr="00F45CE6">
        <w:rPr>
          <w:rFonts w:cs="Tahoma"/>
          <w:b/>
          <w:bCs/>
          <w:i/>
          <w:szCs w:val="24"/>
        </w:rPr>
        <w:t xml:space="preserve"> libremente por cualquier persona, en cualquier momento y en cualquier lugar.</w:t>
      </w:r>
    </w:p>
    <w:p w:rsidR="00B553F3" w:rsidRPr="00F45CE6" w:rsidRDefault="00B553F3" w:rsidP="00B553F3">
      <w:pPr>
        <w:rPr>
          <w:szCs w:val="24"/>
        </w:rPr>
      </w:pPr>
    </w:p>
    <w:p w:rsidR="00B553F3" w:rsidRPr="00F45CE6" w:rsidRDefault="00B553F3" w:rsidP="00B553F3">
      <w:pPr>
        <w:rPr>
          <w:szCs w:val="24"/>
        </w:rPr>
      </w:pPr>
      <w:r w:rsidRPr="00F45CE6">
        <w:rPr>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rsidR="00B553F3" w:rsidRPr="00F45CE6" w:rsidRDefault="00B553F3" w:rsidP="00B553F3">
      <w:pPr>
        <w:ind w:left="720"/>
        <w:rPr>
          <w:i/>
          <w:sz w:val="22"/>
        </w:rPr>
      </w:pPr>
      <w:r w:rsidRPr="00F45CE6">
        <w:t xml:space="preserve">·         </w:t>
      </w:r>
      <w:r w:rsidRPr="00F45CE6">
        <w:rPr>
          <w:b/>
          <w:bCs/>
          <w:i/>
          <w:sz w:val="22"/>
        </w:rPr>
        <w:t xml:space="preserve">Dato abierto: </w:t>
      </w:r>
      <w:r w:rsidRPr="00F45CE6">
        <w:rPr>
          <w:i/>
          <w:sz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rsidR="00502AB3" w:rsidRPr="00F45CE6" w:rsidRDefault="00502AB3" w:rsidP="00502AB3">
      <w:pPr>
        <w:rPr>
          <w:i/>
          <w:sz w:val="22"/>
        </w:rPr>
      </w:pPr>
    </w:p>
    <w:p w:rsidR="00B553F3" w:rsidRPr="00F45CE6" w:rsidRDefault="00B553F3" w:rsidP="00B553F3">
      <w:pPr>
        <w:ind w:left="720"/>
        <w:rPr>
          <w:i/>
          <w:sz w:val="22"/>
        </w:rPr>
      </w:pPr>
      <w:r w:rsidRPr="00F45CE6">
        <w:rPr>
          <w:i/>
          <w:sz w:val="22"/>
        </w:rPr>
        <w:t xml:space="preserve">·         </w:t>
      </w:r>
      <w:r w:rsidRPr="00F45CE6">
        <w:rPr>
          <w:b/>
          <w:bCs/>
          <w:i/>
          <w:sz w:val="22"/>
        </w:rPr>
        <w:t xml:space="preserve">Formato accesible: </w:t>
      </w:r>
      <w:r w:rsidRPr="00F45CE6">
        <w:rPr>
          <w:i/>
          <w:sz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rsidR="00B553F3" w:rsidRPr="00F45CE6" w:rsidRDefault="00B553F3" w:rsidP="00B553F3">
      <w:pPr>
        <w:ind w:left="720"/>
        <w:rPr>
          <w:i/>
        </w:rPr>
      </w:pPr>
    </w:p>
    <w:p w:rsidR="00B553F3" w:rsidRPr="00F45CE6" w:rsidRDefault="00B553F3" w:rsidP="00B553F3">
      <w:pPr>
        <w:rPr>
          <w:rFonts w:cs="Tahoma"/>
          <w:bCs/>
          <w:szCs w:val="24"/>
        </w:rPr>
      </w:pPr>
      <w:r w:rsidRPr="00F45CE6">
        <w:rPr>
          <w:rFonts w:cs="Tahoma"/>
          <w:bCs/>
          <w:szCs w:val="24"/>
        </w:rPr>
        <w:t xml:space="preserve">En este sentido, los datos abiertos cumplen con la finalidad de poder ser utilizados, </w:t>
      </w:r>
      <w:r w:rsidRPr="00F45CE6">
        <w:rPr>
          <w:rFonts w:cs="Tahoma"/>
          <w:b/>
          <w:bCs/>
          <w:szCs w:val="24"/>
          <w:u w:val="single"/>
        </w:rPr>
        <w:t xml:space="preserve">reutilizados </w:t>
      </w:r>
      <w:r w:rsidRPr="00F45CE6">
        <w:rPr>
          <w:rFonts w:cs="Tahoma"/>
          <w:bCs/>
          <w:szCs w:val="24"/>
        </w:rPr>
        <w:t xml:space="preserve">y redistribuidos; y que el formato de datos abiertos, </w:t>
      </w:r>
      <w:r w:rsidRPr="00F45CE6">
        <w:rPr>
          <w:rFonts w:cs="Tahoma"/>
          <w:b/>
          <w:bCs/>
          <w:szCs w:val="24"/>
        </w:rPr>
        <w:t>debe permitir la aplicación y reproducción</w:t>
      </w:r>
      <w:r w:rsidRPr="00F45CE6">
        <w:rPr>
          <w:rFonts w:cs="Tahoma"/>
          <w:bCs/>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F45CE6">
        <w:rPr>
          <w:rFonts w:cs="Tahoma"/>
          <w:bCs/>
          <w:szCs w:val="24"/>
        </w:rPr>
        <w:t>pdf</w:t>
      </w:r>
      <w:proofErr w:type="spellEnd"/>
      <w:r w:rsidRPr="00F45CE6">
        <w:rPr>
          <w:rFonts w:cs="Tahoma"/>
          <w:bCs/>
          <w:szCs w:val="24"/>
        </w:rPr>
        <w:t xml:space="preserve">, </w:t>
      </w:r>
      <w:r w:rsidRPr="00F45CE6">
        <w:rPr>
          <w:rFonts w:cs="Tahoma"/>
          <w:b/>
          <w:szCs w:val="24"/>
        </w:rPr>
        <w:t>permite seleccionar texto, copiarlo y pegarlo</w:t>
      </w:r>
      <w:r w:rsidRPr="00F45CE6">
        <w:rPr>
          <w:rFonts w:cs="Tahoma"/>
          <w:bCs/>
          <w:szCs w:val="24"/>
        </w:rPr>
        <w:t>.</w:t>
      </w:r>
    </w:p>
    <w:p w:rsidR="00B553F3" w:rsidRPr="00F45CE6" w:rsidRDefault="00B553F3" w:rsidP="00864BA3">
      <w:pPr>
        <w:tabs>
          <w:tab w:val="left" w:pos="7938"/>
        </w:tabs>
      </w:pPr>
    </w:p>
    <w:p w:rsidR="00126389" w:rsidRPr="00F45CE6" w:rsidRDefault="00126389" w:rsidP="00864BA3">
      <w:pPr>
        <w:tabs>
          <w:tab w:val="left" w:pos="7938"/>
        </w:tabs>
      </w:pPr>
      <w:r w:rsidRPr="00F45CE6">
        <w:lastRenderedPageBreak/>
        <w:t xml:space="preserve">De lo descrito con anterioridad la liga entregada en respuesta primigenia da cuenta del Organigrama vigente del Sujeto Obligado en el que se advierte además la composición orgánica de las direcciones y áreas que integran al Sujeto Obligado, sirva de sustento la siguiente imagen ilustrativa; </w:t>
      </w:r>
    </w:p>
    <w:p w:rsidR="00126389" w:rsidRPr="00F45CE6" w:rsidRDefault="00126389" w:rsidP="00864BA3">
      <w:pPr>
        <w:tabs>
          <w:tab w:val="left" w:pos="7938"/>
        </w:tabs>
      </w:pPr>
      <w:r w:rsidRPr="00F45CE6">
        <w:rPr>
          <w:noProof/>
          <w:lang w:val="es-MX"/>
        </w:rPr>
        <w:drawing>
          <wp:inline distT="0" distB="0" distL="0" distR="0" wp14:anchorId="0B289CEE" wp14:editId="6BB0982E">
            <wp:extent cx="5939790" cy="3347499"/>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0771" cy="3353688"/>
                    </a:xfrm>
                    <a:prstGeom prst="rect">
                      <a:avLst/>
                    </a:prstGeom>
                  </pic:spPr>
                </pic:pic>
              </a:graphicData>
            </a:graphic>
          </wp:inline>
        </w:drawing>
      </w:r>
    </w:p>
    <w:p w:rsidR="00126389" w:rsidRPr="00F45CE6" w:rsidRDefault="00126389" w:rsidP="00864BA3">
      <w:pPr>
        <w:tabs>
          <w:tab w:val="left" w:pos="7938"/>
        </w:tabs>
        <w:rPr>
          <w:rFonts w:cs="Arial"/>
          <w:lang w:val="es-419"/>
        </w:rPr>
      </w:pPr>
    </w:p>
    <w:p w:rsidR="00864BA3" w:rsidRPr="00F45CE6" w:rsidRDefault="00864BA3" w:rsidP="00864BA3">
      <w:pPr>
        <w:tabs>
          <w:tab w:val="left" w:pos="7938"/>
        </w:tabs>
        <w:rPr>
          <w:rFonts w:cs="Arial"/>
          <w:lang w:val="es-419"/>
        </w:rPr>
      </w:pPr>
      <w:r w:rsidRPr="00F45CE6">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864BA3" w:rsidRPr="00F45CE6" w:rsidRDefault="00864BA3" w:rsidP="00864BA3">
      <w:pPr>
        <w:pStyle w:val="Sinespaciado"/>
        <w:spacing w:line="360" w:lineRule="auto"/>
        <w:ind w:left="1211" w:right="567"/>
        <w:jc w:val="both"/>
        <w:rPr>
          <w:rFonts w:ascii="Palatino Linotype" w:hAnsi="Palatino Linotype"/>
          <w:i/>
          <w:sz w:val="22"/>
          <w:szCs w:val="22"/>
        </w:rPr>
      </w:pPr>
      <w:r w:rsidRPr="00F45CE6">
        <w:rPr>
          <w:rFonts w:ascii="Palatino Linotype" w:hAnsi="Palatino Linotype"/>
        </w:rPr>
        <w:t>“</w:t>
      </w:r>
      <w:r w:rsidRPr="00F45CE6">
        <w:rPr>
          <w:rFonts w:ascii="Palatino Linotype" w:hAnsi="Palatino Linotype"/>
          <w:b/>
          <w:i/>
          <w:sz w:val="22"/>
          <w:szCs w:val="22"/>
        </w:rPr>
        <w:t>Artículo 12.</w:t>
      </w:r>
      <w:r w:rsidRPr="00F45CE6">
        <w:rPr>
          <w:rFonts w:ascii="Palatino Linotype" w:hAnsi="Palatino Linotype"/>
          <w:i/>
          <w:sz w:val="22"/>
          <w:szCs w:val="22"/>
        </w:rPr>
        <w:t xml:space="preserve"> Quienes generen, recopilen, administren, manejen, procesen, archiven o conserven información pública serán</w:t>
      </w:r>
    </w:p>
    <w:p w:rsidR="00864BA3" w:rsidRPr="00F45CE6" w:rsidRDefault="00864BA3" w:rsidP="00864BA3">
      <w:pPr>
        <w:pStyle w:val="Prrafodelista"/>
        <w:tabs>
          <w:tab w:val="left" w:pos="1842"/>
        </w:tabs>
        <w:ind w:left="1211" w:right="49"/>
        <w:rPr>
          <w:sz w:val="22"/>
        </w:rPr>
      </w:pPr>
      <w:r w:rsidRPr="00F45CE6">
        <w:rPr>
          <w:b/>
          <w:i/>
          <w:sz w:val="22"/>
          <w:u w:val="single"/>
        </w:rPr>
        <w:t>Los sujetos obligados sólo proporcionarán la información pública que se les requiera y que obre en sus archivos</w:t>
      </w:r>
      <w:r w:rsidRPr="00F45CE6">
        <w:rPr>
          <w:i/>
          <w:sz w:val="22"/>
        </w:rPr>
        <w:t xml:space="preserve"> y en el estado en que ésta se encuentre. La obligación </w:t>
      </w:r>
      <w:r w:rsidRPr="00F45CE6">
        <w:rPr>
          <w:i/>
          <w:sz w:val="22"/>
        </w:rPr>
        <w:lastRenderedPageBreak/>
        <w:t>de proporcionar información no comprende el procesamiento de la misma, ni el presentarla conforme al interés del solicitante; no estarán obligados a generarla, resumirla, efectuar cálculos o practicar investigaciones.”</w:t>
      </w:r>
    </w:p>
    <w:p w:rsidR="00864BA3" w:rsidRPr="00F45CE6" w:rsidRDefault="00864BA3" w:rsidP="00864BA3">
      <w:pPr>
        <w:rPr>
          <w:color w:val="000000"/>
          <w:u w:val="single"/>
        </w:rPr>
      </w:pPr>
    </w:p>
    <w:p w:rsidR="00864BA3" w:rsidRPr="00F45CE6" w:rsidRDefault="00864BA3" w:rsidP="00864BA3">
      <w:pPr>
        <w:rPr>
          <w:rFonts w:eastAsia="Arial" w:cs="Arial"/>
          <w:u w:val="single"/>
        </w:rPr>
      </w:pPr>
      <w:r w:rsidRPr="00F45CE6">
        <w:rPr>
          <w:rFonts w:eastAsia="Arial" w:cs="Arial"/>
        </w:rPr>
        <w:t>L</w:t>
      </w:r>
      <w:r w:rsidRPr="00F45CE6">
        <w:rPr>
          <w:rFonts w:cs="Arial"/>
          <w:bCs/>
        </w:rPr>
        <w:t xml:space="preserve">o que lleva a concluir a este Instituto que </w:t>
      </w:r>
      <w:r w:rsidRPr="00F45CE6">
        <w:rPr>
          <w:rFonts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F45CE6">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F45CE6">
        <w:rPr>
          <w:rFonts w:cs="Arial"/>
          <w:b/>
        </w:rPr>
        <w:t xml:space="preserve">CONFIRMAR </w:t>
      </w:r>
      <w:r w:rsidRPr="00F45CE6">
        <w:rPr>
          <w:rFonts w:cs="Arial"/>
        </w:rPr>
        <w:t xml:space="preserve">la respuesta proporcionada a la solicitud de información </w:t>
      </w:r>
      <w:r w:rsidR="00126389" w:rsidRPr="00F45CE6">
        <w:rPr>
          <w:b/>
          <w:bCs/>
        </w:rPr>
        <w:t>00333/MEXICAL/IP/2025</w:t>
      </w:r>
      <w:r w:rsidR="00126389" w:rsidRPr="00F45CE6">
        <w:rPr>
          <w:rFonts w:ascii="Verdana" w:hAnsi="Verdana"/>
          <w:b/>
          <w:bCs/>
        </w:rPr>
        <w:t xml:space="preserve"> </w:t>
      </w:r>
      <w:r w:rsidRPr="00F45CE6">
        <w:rPr>
          <w:rFonts w:cs="Arial"/>
        </w:rPr>
        <w:t xml:space="preserve">que dio origen al recurso de revisión </w:t>
      </w:r>
      <w:r w:rsidR="00126389" w:rsidRPr="00F45CE6">
        <w:rPr>
          <w:b/>
          <w:bCs/>
        </w:rPr>
        <w:t>10035</w:t>
      </w:r>
      <w:r w:rsidRPr="00F45CE6">
        <w:rPr>
          <w:b/>
          <w:bCs/>
        </w:rPr>
        <w:t>/INFOEM/IP/RR/2025.</w:t>
      </w:r>
    </w:p>
    <w:p w:rsidR="00701D02" w:rsidRPr="00F45CE6" w:rsidRDefault="00701D02" w:rsidP="00864BA3">
      <w:pPr>
        <w:rPr>
          <w:rFonts w:eastAsia="Arial" w:cs="Arial"/>
          <w:u w:val="single"/>
        </w:rPr>
      </w:pPr>
    </w:p>
    <w:p w:rsidR="00864BA3" w:rsidRPr="00F45CE6" w:rsidRDefault="00864BA3" w:rsidP="00864BA3">
      <w:pPr>
        <w:autoSpaceDE w:val="0"/>
        <w:autoSpaceDN w:val="0"/>
        <w:adjustRightInd w:val="0"/>
      </w:pPr>
      <w:r w:rsidRPr="00F45CE6">
        <w:t>Por lo antes expuesto y fundado es de resolverse y</w:t>
      </w:r>
    </w:p>
    <w:p w:rsidR="00126389" w:rsidRPr="00F45CE6" w:rsidRDefault="00126389" w:rsidP="00864BA3">
      <w:pPr>
        <w:autoSpaceDE w:val="0"/>
        <w:autoSpaceDN w:val="0"/>
        <w:adjustRightInd w:val="0"/>
        <w:rPr>
          <w:rFonts w:eastAsia="Palatino Linotype" w:cs="Palatino Linotype"/>
        </w:rPr>
      </w:pPr>
    </w:p>
    <w:p w:rsidR="00864BA3" w:rsidRPr="00F45CE6" w:rsidRDefault="00864BA3" w:rsidP="00864BA3">
      <w:pPr>
        <w:autoSpaceDE w:val="0"/>
        <w:autoSpaceDN w:val="0"/>
        <w:adjustRightInd w:val="0"/>
        <w:jc w:val="center"/>
        <w:rPr>
          <w:b/>
          <w:sz w:val="28"/>
          <w:szCs w:val="28"/>
        </w:rPr>
      </w:pPr>
      <w:r w:rsidRPr="00F45CE6">
        <w:rPr>
          <w:b/>
          <w:sz w:val="28"/>
          <w:szCs w:val="28"/>
        </w:rPr>
        <w:t>S E    R E S U E L V E</w:t>
      </w:r>
    </w:p>
    <w:p w:rsidR="00864BA3" w:rsidRPr="00F45CE6" w:rsidRDefault="00864BA3" w:rsidP="00864BA3">
      <w:pPr>
        <w:autoSpaceDE w:val="0"/>
        <w:autoSpaceDN w:val="0"/>
        <w:adjustRightInd w:val="0"/>
        <w:rPr>
          <w:b/>
          <w:sz w:val="28"/>
          <w:szCs w:val="28"/>
        </w:rPr>
      </w:pPr>
    </w:p>
    <w:p w:rsidR="00864BA3" w:rsidRPr="00F45CE6" w:rsidRDefault="00864BA3" w:rsidP="00864BA3">
      <w:pPr>
        <w:autoSpaceDE w:val="0"/>
        <w:autoSpaceDN w:val="0"/>
        <w:adjustRightInd w:val="0"/>
        <w:rPr>
          <w:rFonts w:eastAsia="Palatino Linotype" w:cs="Palatino Linotype"/>
        </w:rPr>
      </w:pPr>
      <w:r w:rsidRPr="00F45CE6">
        <w:rPr>
          <w:b/>
        </w:rPr>
        <w:t>PRIMERO</w:t>
      </w:r>
      <w:r w:rsidRPr="00F45CE6">
        <w:t xml:space="preserve">. Se </w:t>
      </w:r>
      <w:r w:rsidRPr="00F45CE6">
        <w:rPr>
          <w:b/>
        </w:rPr>
        <w:t>CONFIRMA</w:t>
      </w:r>
      <w:r w:rsidR="00126389" w:rsidRPr="00F45CE6">
        <w:t xml:space="preserve"> </w:t>
      </w:r>
      <w:r w:rsidRPr="00F45CE6">
        <w:t xml:space="preserve">la </w:t>
      </w:r>
      <w:r w:rsidRPr="00F45CE6">
        <w:rPr>
          <w:rFonts w:eastAsia="Palatino Linotype" w:cs="Palatino Linotype"/>
        </w:rPr>
        <w:t xml:space="preserve">respuesta entregada por el </w:t>
      </w:r>
      <w:r w:rsidRPr="00F45CE6">
        <w:rPr>
          <w:rFonts w:eastAsia="Palatino Linotype" w:cs="Palatino Linotype"/>
          <w:b/>
        </w:rPr>
        <w:t xml:space="preserve">Sujeto Obligado </w:t>
      </w:r>
      <w:r w:rsidRPr="00F45CE6">
        <w:rPr>
          <w:rFonts w:eastAsia="Palatino Linotype" w:cs="Palatino Linotype"/>
        </w:rPr>
        <w:t>a la solicitud de información</w:t>
      </w:r>
      <w:r w:rsidRPr="00F45CE6">
        <w:rPr>
          <w:b/>
          <w:bCs/>
        </w:rPr>
        <w:t> </w:t>
      </w:r>
      <w:r w:rsidR="00126389" w:rsidRPr="00F45CE6">
        <w:rPr>
          <w:b/>
          <w:bCs/>
        </w:rPr>
        <w:t>00333/MEXICAL/IP/2025</w:t>
      </w:r>
      <w:r w:rsidRPr="00F45CE6">
        <w:rPr>
          <w:rFonts w:eastAsia="Palatino Linotype" w:cs="Palatino Linotype"/>
        </w:rPr>
        <w:t xml:space="preserve">, en términos del considerando </w:t>
      </w:r>
      <w:r w:rsidRPr="00F45CE6">
        <w:rPr>
          <w:rFonts w:eastAsia="Palatino Linotype" w:cs="Palatino Linotype"/>
          <w:b/>
        </w:rPr>
        <w:t xml:space="preserve">QUINTO </w:t>
      </w:r>
      <w:r w:rsidRPr="00F45CE6">
        <w:rPr>
          <w:rFonts w:eastAsia="Palatino Linotype" w:cs="Palatino Linotype"/>
        </w:rPr>
        <w:t>de la presente resolución.</w:t>
      </w:r>
    </w:p>
    <w:p w:rsidR="00864BA3" w:rsidRPr="00F45CE6" w:rsidRDefault="00864BA3" w:rsidP="00864BA3">
      <w:pPr>
        <w:autoSpaceDE w:val="0"/>
        <w:autoSpaceDN w:val="0"/>
        <w:adjustRightInd w:val="0"/>
        <w:rPr>
          <w:rFonts w:eastAsia="Palatino Linotype" w:cs="Palatino Linotype"/>
        </w:rPr>
      </w:pPr>
    </w:p>
    <w:p w:rsidR="00864BA3" w:rsidRPr="00F45CE6" w:rsidRDefault="00864BA3" w:rsidP="00864BA3">
      <w:pPr>
        <w:autoSpaceDE w:val="0"/>
        <w:autoSpaceDN w:val="0"/>
        <w:adjustRightInd w:val="0"/>
      </w:pPr>
      <w:r w:rsidRPr="00F45CE6">
        <w:rPr>
          <w:b/>
        </w:rPr>
        <w:t>SEGUNDO</w:t>
      </w:r>
      <w:r w:rsidRPr="00F45CE6">
        <w:t>. Notifíquese la presente resolución al Titular de la Unidad de Transparencia del Sujeto Obligado mediante el Sistema de Acceso a la Información Mexiquense (</w:t>
      </w:r>
      <w:r w:rsidRPr="00F45CE6">
        <w:rPr>
          <w:b/>
        </w:rPr>
        <w:t>SAIMEX</w:t>
      </w:r>
      <w:r w:rsidRPr="00F45CE6">
        <w:t xml:space="preserve">). </w:t>
      </w:r>
    </w:p>
    <w:p w:rsidR="00864BA3" w:rsidRPr="00F45CE6" w:rsidRDefault="00864BA3" w:rsidP="00864BA3">
      <w:pPr>
        <w:autoSpaceDE w:val="0"/>
        <w:autoSpaceDN w:val="0"/>
        <w:adjustRightInd w:val="0"/>
      </w:pPr>
      <w:r w:rsidRPr="00F45CE6">
        <w:rPr>
          <w:b/>
        </w:rPr>
        <w:lastRenderedPageBreak/>
        <w:t>TERCERO</w:t>
      </w:r>
      <w:r w:rsidRPr="00F45CE6">
        <w:t>. Notifíquese la presente resolución a la parte Recurrente a través del Sistema de Acceso a la Información Mexiquense (</w:t>
      </w:r>
      <w:r w:rsidRPr="00F45CE6">
        <w:rPr>
          <w:b/>
        </w:rPr>
        <w:t>SAIMEX</w:t>
      </w:r>
      <w:r w:rsidRPr="00F45CE6">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864BA3" w:rsidRPr="00F45CE6" w:rsidRDefault="00864BA3" w:rsidP="00864BA3">
      <w:pPr>
        <w:rPr>
          <w:rFonts w:cs="Arial"/>
          <w:color w:val="000000"/>
          <w:szCs w:val="24"/>
        </w:rPr>
      </w:pPr>
    </w:p>
    <w:p w:rsidR="00864BA3" w:rsidRPr="00F45CE6" w:rsidRDefault="00864BA3" w:rsidP="00864BA3">
      <w:pPr>
        <w:rPr>
          <w:rFonts w:cs="Arial"/>
          <w:szCs w:val="24"/>
          <w:lang w:val="es-MX"/>
        </w:rPr>
      </w:pPr>
      <w:r w:rsidRPr="00F45CE6">
        <w:rPr>
          <w:rFonts w:cs="Arial"/>
          <w:szCs w:val="24"/>
        </w:rPr>
        <w:t xml:space="preserve">ASÍ LO RESUELVE, POR </w:t>
      </w:r>
      <w:r w:rsidRPr="00F45CE6">
        <w:rPr>
          <w:rFonts w:cs="Arial"/>
          <w:b/>
          <w:bCs/>
          <w:szCs w:val="24"/>
        </w:rPr>
        <w:t>UNANIMIDAD DE VOTOS</w:t>
      </w:r>
      <w:r w:rsidRPr="00F45CE6">
        <w:rPr>
          <w:rFonts w:cs="Arial"/>
          <w:szCs w:val="24"/>
        </w:rPr>
        <w:t xml:space="preserve"> EL PLENO DEL</w:t>
      </w:r>
      <w:r w:rsidRPr="00F45CE6">
        <w:rPr>
          <w:rFonts w:eastAsia="Arial Unicode MS" w:cs="Arial"/>
          <w:szCs w:val="24"/>
        </w:rPr>
        <w:t xml:space="preserve"> INSTITUTO DE TRANSPARENCIA, ACCESO A LA INFORMACIÓN PÚBLICA Y PROTECCIÓN DE DATOS PERSONALES DEL ESTADO DE MÉXICO Y MUNICIPIOS</w:t>
      </w:r>
      <w:r w:rsidRPr="00F45CE6">
        <w:rPr>
          <w:rFonts w:cs="Arial"/>
          <w:szCs w:val="24"/>
        </w:rPr>
        <w:t>, CONFORMADO POR LOS COMISIONADOS JOSÉ MARTÍNEZ VILCHIS, MARÍA DEL ROSARIO MEJÍA AYALA, SHARON CRISTINA MORALES MARTÍNEZ, LUIS GUSTAVO PARRA NORIEGA Y GUADALUPE RAMÍREZ PEÑA</w:t>
      </w:r>
      <w:r w:rsidRPr="00F45CE6">
        <w:rPr>
          <w:rFonts w:cs="Arial"/>
          <w:szCs w:val="24"/>
          <w:u w:val="single"/>
        </w:rPr>
        <w:t>,</w:t>
      </w:r>
      <w:r w:rsidRPr="00F45CE6">
        <w:rPr>
          <w:rFonts w:cs="Arial"/>
          <w:szCs w:val="24"/>
        </w:rPr>
        <w:t xml:space="preserve"> EN LA </w:t>
      </w:r>
      <w:r w:rsidRPr="00F45CE6">
        <w:rPr>
          <w:rFonts w:cs="Arial"/>
          <w:b/>
          <w:bCs/>
          <w:szCs w:val="24"/>
          <w:lang w:val="es-419"/>
        </w:rPr>
        <w:t>TRIGÉSIMA S</w:t>
      </w:r>
      <w:r w:rsidR="00753E04" w:rsidRPr="00F45CE6">
        <w:rPr>
          <w:rFonts w:cs="Arial"/>
          <w:b/>
          <w:bCs/>
          <w:szCs w:val="24"/>
          <w:lang w:val="es-419"/>
        </w:rPr>
        <w:t xml:space="preserve">ÉPTIMA </w:t>
      </w:r>
      <w:r w:rsidR="00753E04" w:rsidRPr="00F45CE6">
        <w:rPr>
          <w:rFonts w:cs="Arial"/>
          <w:b/>
          <w:bCs/>
          <w:szCs w:val="24"/>
        </w:rPr>
        <w:t xml:space="preserve">SESIÓN ORDINARIA CELEBRADA EL QUINCE DE OCTUBRE </w:t>
      </w:r>
      <w:r w:rsidRPr="00F45CE6">
        <w:rPr>
          <w:rFonts w:cs="Arial"/>
          <w:b/>
          <w:bCs/>
          <w:szCs w:val="24"/>
        </w:rPr>
        <w:t xml:space="preserve">DE DOS MIL </w:t>
      </w:r>
      <w:r w:rsidRPr="00F45CE6">
        <w:rPr>
          <w:rFonts w:cs="Arial"/>
          <w:b/>
          <w:bCs/>
          <w:szCs w:val="24"/>
          <w:lang w:val="es-419"/>
        </w:rPr>
        <w:t>VEINTICINCO</w:t>
      </w:r>
      <w:r w:rsidRPr="00F45CE6">
        <w:rPr>
          <w:rFonts w:cs="Arial"/>
          <w:szCs w:val="24"/>
        </w:rPr>
        <w:t>, ANTE EL SECRETARIO TÉCNICO DEL PLENO, ALEXIS TAPIA RAMÍREZ. ----------------------------------------------------------------------------------------------------------------------------------------------------------------------------------------------------------------</w:t>
      </w:r>
      <w:r w:rsidR="0092392F" w:rsidRPr="00F45CE6">
        <w:rPr>
          <w:rFonts w:cs="Arial"/>
          <w:szCs w:val="24"/>
        </w:rPr>
        <w:t>----------------------------------------------------------------------------------------------------------------------------------------------------------------------------------------------------------------------------------------------------------------------------------------------------------------------------------------------------------------------------------------------------------------------------------------------------------------------------------------------------------------------------------------------------------------------------------------------------------------------------------------------------------------------------------------------------------------------------------------</w:t>
      </w:r>
    </w:p>
    <w:p w:rsidR="00864BA3" w:rsidRDefault="00864BA3" w:rsidP="00864BA3">
      <w:pPr>
        <w:rPr>
          <w:rFonts w:cs="Arial"/>
          <w:sz w:val="20"/>
        </w:rPr>
      </w:pPr>
      <w:r w:rsidRPr="00F45CE6">
        <w:rPr>
          <w:rFonts w:cs="Arial"/>
          <w:sz w:val="20"/>
        </w:rPr>
        <w:t>JMV/CCR/NJMB</w:t>
      </w:r>
    </w:p>
    <w:p w:rsidR="00864BA3" w:rsidRDefault="00864BA3" w:rsidP="00864BA3">
      <w:pPr>
        <w:rPr>
          <w:rFonts w:cs="Arial"/>
          <w:sz w:val="20"/>
        </w:rPr>
      </w:pPr>
    </w:p>
    <w:p w:rsidR="00864BA3" w:rsidRDefault="00864BA3" w:rsidP="00864BA3">
      <w:pPr>
        <w:rPr>
          <w:rFonts w:cs="Arial"/>
          <w:sz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Pr>
        <w:pBdr>
          <w:top w:val="nil"/>
          <w:left w:val="nil"/>
          <w:bottom w:val="nil"/>
          <w:right w:val="nil"/>
          <w:between w:val="nil"/>
        </w:pBdr>
        <w:contextualSpacing/>
        <w:rPr>
          <w:rFonts w:eastAsia="Palatino Linotype" w:cs="Palatino Linotype"/>
          <w:color w:val="000000"/>
          <w:sz w:val="20"/>
          <w:szCs w:val="20"/>
        </w:rPr>
      </w:pPr>
    </w:p>
    <w:p w:rsidR="00864BA3" w:rsidRPr="004B7011" w:rsidRDefault="00864BA3" w:rsidP="00864BA3"/>
    <w:p w:rsidR="00864BA3" w:rsidRDefault="00864BA3" w:rsidP="00864BA3"/>
    <w:p w:rsidR="00864BA3" w:rsidRDefault="00864BA3" w:rsidP="00864BA3"/>
    <w:p w:rsidR="00864BA3" w:rsidRDefault="00864BA3" w:rsidP="00864BA3"/>
    <w:p w:rsidR="00864BA3" w:rsidRDefault="00864BA3" w:rsidP="00864BA3"/>
    <w:p w:rsidR="00864BA3" w:rsidRDefault="00864BA3" w:rsidP="00864BA3"/>
    <w:p w:rsidR="00864BA3" w:rsidRPr="005350DB" w:rsidRDefault="00864BA3" w:rsidP="00864BA3"/>
    <w:p w:rsidR="00864BA3" w:rsidRDefault="00864BA3" w:rsidP="00864BA3"/>
    <w:p w:rsidR="00864BA3" w:rsidRPr="001C5572" w:rsidRDefault="00864BA3" w:rsidP="00864BA3"/>
    <w:p w:rsidR="00864BA3" w:rsidRDefault="00864BA3" w:rsidP="00864BA3"/>
    <w:p w:rsidR="00864BA3" w:rsidRDefault="00864BA3" w:rsidP="00864BA3"/>
    <w:p w:rsidR="00864BA3" w:rsidRDefault="00864BA3" w:rsidP="00864BA3"/>
    <w:p w:rsidR="00614DF4" w:rsidRDefault="00614DF4"/>
    <w:sectPr w:rsidR="00614DF4" w:rsidSect="00B553F3">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65" w:rsidRDefault="00147E65" w:rsidP="00864BA3">
      <w:pPr>
        <w:spacing w:line="240" w:lineRule="auto"/>
      </w:pPr>
      <w:r>
        <w:separator/>
      </w:r>
    </w:p>
  </w:endnote>
  <w:endnote w:type="continuationSeparator" w:id="0">
    <w:p w:rsidR="00147E65" w:rsidRDefault="00147E65" w:rsidP="00864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F3" w:rsidRPr="00871A91" w:rsidRDefault="00B553F3" w:rsidP="00B553F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5F2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5F23">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F3" w:rsidRPr="00871A91" w:rsidRDefault="00B553F3" w:rsidP="00B553F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5F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5F23">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65" w:rsidRDefault="00147E65" w:rsidP="00864BA3">
      <w:pPr>
        <w:spacing w:line="240" w:lineRule="auto"/>
      </w:pPr>
      <w:r>
        <w:separator/>
      </w:r>
    </w:p>
  </w:footnote>
  <w:footnote w:type="continuationSeparator" w:id="0">
    <w:p w:rsidR="00147E65" w:rsidRDefault="00147E65" w:rsidP="00864BA3">
      <w:pPr>
        <w:spacing w:line="240" w:lineRule="auto"/>
      </w:pPr>
      <w:r>
        <w:continuationSeparator/>
      </w:r>
    </w:p>
  </w:footnote>
  <w:footnote w:id="1">
    <w:p w:rsidR="00B553F3" w:rsidRPr="00481AAF" w:rsidRDefault="00B553F3" w:rsidP="00864BA3">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B553F3" w:rsidRPr="00946E1F" w:rsidRDefault="00B553F3" w:rsidP="00864BA3">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553F3" w:rsidRPr="00BA61D0" w:rsidRDefault="00B553F3" w:rsidP="00B553F3">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F3" w:rsidRDefault="00147E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F3" w:rsidRDefault="00B553F3">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B553F3" w:rsidRPr="00B17577" w:rsidTr="00B553F3">
      <w:trPr>
        <w:trHeight w:val="227"/>
      </w:trPr>
      <w:tc>
        <w:tcPr>
          <w:tcW w:w="5103" w:type="dxa"/>
          <w:hideMark/>
        </w:tcPr>
        <w:p w:rsidR="00B553F3" w:rsidRPr="00096248" w:rsidRDefault="00B553F3" w:rsidP="00B553F3">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B553F3" w:rsidRPr="00096248" w:rsidRDefault="00B553F3" w:rsidP="00B553F3">
          <w:pPr>
            <w:spacing w:after="120" w:line="240" w:lineRule="auto"/>
            <w:ind w:right="71"/>
            <w:jc w:val="right"/>
            <w:rPr>
              <w:rFonts w:cs="Arial"/>
              <w:b/>
              <w:szCs w:val="24"/>
            </w:rPr>
          </w:pPr>
          <w:r>
            <w:rPr>
              <w:rFonts w:cs="Arial"/>
              <w:b/>
              <w:bCs/>
              <w:szCs w:val="24"/>
            </w:rPr>
            <w:t>10035</w:t>
          </w:r>
          <w:r w:rsidRPr="00096248">
            <w:rPr>
              <w:rFonts w:cs="Arial"/>
              <w:b/>
              <w:bCs/>
              <w:szCs w:val="24"/>
            </w:rPr>
            <w:t>/INFOEM/IP/RR/202</w:t>
          </w:r>
          <w:r>
            <w:rPr>
              <w:rFonts w:cs="Arial"/>
              <w:b/>
              <w:bCs/>
              <w:szCs w:val="24"/>
            </w:rPr>
            <w:t>5</w:t>
          </w:r>
        </w:p>
      </w:tc>
    </w:tr>
    <w:tr w:rsidR="00B553F3" w:rsidTr="00B553F3">
      <w:trPr>
        <w:trHeight w:val="242"/>
      </w:trPr>
      <w:tc>
        <w:tcPr>
          <w:tcW w:w="5103" w:type="dxa"/>
          <w:hideMark/>
        </w:tcPr>
        <w:p w:rsidR="00B553F3" w:rsidRPr="00096248" w:rsidRDefault="00B553F3" w:rsidP="00B553F3">
          <w:pPr>
            <w:spacing w:after="120" w:line="240" w:lineRule="auto"/>
            <w:ind w:right="69"/>
            <w:jc w:val="right"/>
            <w:rPr>
              <w:rFonts w:cs="Arial"/>
              <w:b/>
              <w:szCs w:val="24"/>
            </w:rPr>
          </w:pPr>
          <w:r w:rsidRPr="00096248">
            <w:rPr>
              <w:rFonts w:cs="Arial"/>
              <w:b/>
              <w:szCs w:val="24"/>
            </w:rPr>
            <w:t>Sujeto Obligado:</w:t>
          </w:r>
        </w:p>
      </w:tc>
      <w:tc>
        <w:tcPr>
          <w:tcW w:w="4395" w:type="dxa"/>
          <w:hideMark/>
        </w:tcPr>
        <w:p w:rsidR="00B553F3" w:rsidRPr="005077DD" w:rsidRDefault="00B553F3" w:rsidP="00B553F3">
          <w:pPr>
            <w:spacing w:after="120" w:line="240" w:lineRule="auto"/>
            <w:ind w:left="-81" w:right="71"/>
            <w:jc w:val="right"/>
            <w:rPr>
              <w:rFonts w:cs="Arial"/>
              <w:szCs w:val="24"/>
            </w:rPr>
          </w:pPr>
          <w:r w:rsidRPr="005077DD">
            <w:rPr>
              <w:b/>
              <w:bCs/>
              <w:color w:val="000000"/>
              <w:szCs w:val="24"/>
            </w:rPr>
            <w:t>Ayuntamiento de Mexicaltzingo</w:t>
          </w:r>
        </w:p>
      </w:tc>
    </w:tr>
    <w:tr w:rsidR="00B553F3" w:rsidRPr="00F63239" w:rsidTr="00B553F3">
      <w:trPr>
        <w:trHeight w:val="342"/>
      </w:trPr>
      <w:tc>
        <w:tcPr>
          <w:tcW w:w="5103" w:type="dxa"/>
          <w:hideMark/>
        </w:tcPr>
        <w:p w:rsidR="00B553F3" w:rsidRPr="00096248" w:rsidRDefault="00B553F3" w:rsidP="00B553F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B553F3" w:rsidRDefault="00B553F3" w:rsidP="00B553F3">
          <w:pPr>
            <w:spacing w:after="120" w:line="240" w:lineRule="auto"/>
            <w:ind w:left="-486" w:right="71" w:firstLine="567"/>
            <w:jc w:val="right"/>
            <w:rPr>
              <w:rFonts w:cs="Arial"/>
              <w:szCs w:val="24"/>
            </w:rPr>
          </w:pPr>
          <w:r w:rsidRPr="00096248">
            <w:rPr>
              <w:rFonts w:cs="Arial"/>
              <w:szCs w:val="24"/>
            </w:rPr>
            <w:t>José Martínez Vilchis</w:t>
          </w:r>
        </w:p>
        <w:p w:rsidR="00B553F3" w:rsidRPr="00711916" w:rsidRDefault="00B553F3" w:rsidP="00B553F3">
          <w:pPr>
            <w:spacing w:after="120" w:line="240" w:lineRule="auto"/>
            <w:ind w:left="-486" w:right="71" w:firstLine="567"/>
            <w:jc w:val="right"/>
            <w:rPr>
              <w:rFonts w:cs="Arial"/>
              <w:sz w:val="2"/>
              <w:szCs w:val="2"/>
            </w:rPr>
          </w:pPr>
        </w:p>
      </w:tc>
    </w:tr>
  </w:tbl>
  <w:p w:rsidR="00B553F3" w:rsidRPr="00871A91" w:rsidRDefault="00147E65">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F3" w:rsidRDefault="00B553F3">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B553F3" w:rsidTr="00B553F3">
      <w:trPr>
        <w:trHeight w:val="227"/>
      </w:trPr>
      <w:tc>
        <w:tcPr>
          <w:tcW w:w="5103" w:type="dxa"/>
          <w:hideMark/>
        </w:tcPr>
        <w:p w:rsidR="00B553F3" w:rsidRPr="00663A37" w:rsidRDefault="00B553F3" w:rsidP="00B553F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B553F3" w:rsidRPr="00C81ECD" w:rsidRDefault="00B553F3" w:rsidP="00B553F3">
          <w:pPr>
            <w:spacing w:after="120" w:line="240" w:lineRule="auto"/>
            <w:ind w:left="-486" w:right="68" w:firstLine="558"/>
            <w:jc w:val="right"/>
            <w:rPr>
              <w:rFonts w:cs="Arial"/>
              <w:b/>
              <w:szCs w:val="24"/>
            </w:rPr>
          </w:pPr>
          <w:r>
            <w:rPr>
              <w:rFonts w:cs="Arial"/>
              <w:b/>
              <w:bCs/>
              <w:szCs w:val="24"/>
            </w:rPr>
            <w:t>10035/INFOEM/IP/RR/2025</w:t>
          </w:r>
        </w:p>
      </w:tc>
    </w:tr>
    <w:tr w:rsidR="00B553F3" w:rsidRPr="001F57CD" w:rsidTr="00B553F3">
      <w:trPr>
        <w:trHeight w:val="196"/>
      </w:trPr>
      <w:tc>
        <w:tcPr>
          <w:tcW w:w="5103" w:type="dxa"/>
          <w:hideMark/>
        </w:tcPr>
        <w:p w:rsidR="00B553F3" w:rsidRPr="00663A37" w:rsidRDefault="00B553F3" w:rsidP="00B553F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B553F3" w:rsidRPr="00663A37" w:rsidRDefault="00F15F23" w:rsidP="00B553F3">
          <w:pPr>
            <w:spacing w:after="120" w:line="240" w:lineRule="auto"/>
            <w:ind w:right="68"/>
            <w:jc w:val="right"/>
            <w:rPr>
              <w:rFonts w:cs="Arial"/>
              <w:szCs w:val="24"/>
            </w:rPr>
          </w:pPr>
          <w:r>
            <w:rPr>
              <w:rFonts w:cs="Arial"/>
              <w:szCs w:val="24"/>
            </w:rPr>
            <w:t>XXXXXXXXXXXXXXX</w:t>
          </w:r>
        </w:p>
      </w:tc>
    </w:tr>
    <w:tr w:rsidR="00B553F3" w:rsidTr="00B553F3">
      <w:trPr>
        <w:trHeight w:val="242"/>
      </w:trPr>
      <w:tc>
        <w:tcPr>
          <w:tcW w:w="5103" w:type="dxa"/>
          <w:hideMark/>
        </w:tcPr>
        <w:p w:rsidR="00B553F3" w:rsidRPr="00663A37" w:rsidRDefault="00B553F3" w:rsidP="00B553F3">
          <w:pPr>
            <w:spacing w:after="120" w:line="240" w:lineRule="auto"/>
            <w:ind w:right="68"/>
            <w:jc w:val="right"/>
            <w:rPr>
              <w:rFonts w:cs="Arial"/>
              <w:b/>
              <w:szCs w:val="24"/>
            </w:rPr>
          </w:pPr>
          <w:r w:rsidRPr="00663A37">
            <w:rPr>
              <w:rFonts w:cs="Arial"/>
              <w:b/>
              <w:szCs w:val="24"/>
            </w:rPr>
            <w:t>Sujeto Obligado:</w:t>
          </w:r>
        </w:p>
      </w:tc>
      <w:tc>
        <w:tcPr>
          <w:tcW w:w="4253" w:type="dxa"/>
          <w:hideMark/>
        </w:tcPr>
        <w:p w:rsidR="00B553F3" w:rsidRPr="005077DD" w:rsidRDefault="00B553F3" w:rsidP="00B553F3">
          <w:pPr>
            <w:spacing w:after="120" w:line="240" w:lineRule="auto"/>
            <w:ind w:left="-70" w:right="68"/>
            <w:jc w:val="right"/>
            <w:rPr>
              <w:rFonts w:cs="Arial"/>
              <w:b/>
              <w:bCs/>
              <w:szCs w:val="24"/>
            </w:rPr>
          </w:pPr>
          <w:r>
            <w:rPr>
              <w:bCs/>
              <w:color w:val="000000"/>
              <w:szCs w:val="24"/>
            </w:rPr>
            <w:t xml:space="preserve">         </w:t>
          </w:r>
          <w:r w:rsidRPr="005077DD">
            <w:rPr>
              <w:b/>
              <w:bCs/>
              <w:color w:val="000000"/>
              <w:szCs w:val="24"/>
            </w:rPr>
            <w:t>Ayuntamiento de Mexicaltzingo</w:t>
          </w:r>
        </w:p>
      </w:tc>
    </w:tr>
    <w:tr w:rsidR="00B553F3" w:rsidTr="00B553F3">
      <w:trPr>
        <w:trHeight w:val="342"/>
      </w:trPr>
      <w:tc>
        <w:tcPr>
          <w:tcW w:w="5103" w:type="dxa"/>
          <w:hideMark/>
        </w:tcPr>
        <w:p w:rsidR="00B553F3" w:rsidRPr="00663A37" w:rsidRDefault="00B553F3" w:rsidP="00B553F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B553F3" w:rsidRPr="00663A37" w:rsidRDefault="00B553F3" w:rsidP="00B553F3">
          <w:pPr>
            <w:spacing w:after="120" w:line="240" w:lineRule="auto"/>
            <w:ind w:left="-486" w:right="68" w:firstLine="567"/>
            <w:jc w:val="right"/>
            <w:rPr>
              <w:rFonts w:cs="Arial"/>
              <w:szCs w:val="24"/>
            </w:rPr>
          </w:pPr>
          <w:r w:rsidRPr="00663A37">
            <w:rPr>
              <w:rFonts w:cs="Arial"/>
              <w:szCs w:val="24"/>
            </w:rPr>
            <w:t>José Martínez Vilchis</w:t>
          </w:r>
        </w:p>
      </w:tc>
    </w:tr>
  </w:tbl>
  <w:p w:rsidR="00B553F3" w:rsidRPr="00871A91" w:rsidRDefault="00B553F3">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72A0F657" wp14:editId="24174A37">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 w15:restartNumberingAfterBreak="0">
    <w:nsid w:val="42BF547B"/>
    <w:multiLevelType w:val="hybridMultilevel"/>
    <w:tmpl w:val="8BA6DE42"/>
    <w:lvl w:ilvl="0" w:tplc="3910848C">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744081"/>
    <w:multiLevelType w:val="hybridMultilevel"/>
    <w:tmpl w:val="46B27520"/>
    <w:lvl w:ilvl="0" w:tplc="84CE7CF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9647572"/>
    <w:multiLevelType w:val="hybridMultilevel"/>
    <w:tmpl w:val="F5D803CC"/>
    <w:lvl w:ilvl="0" w:tplc="4EAA61D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74746745"/>
    <w:multiLevelType w:val="hybridMultilevel"/>
    <w:tmpl w:val="44A24DFA"/>
    <w:lvl w:ilvl="0" w:tplc="ACEA2EE4">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A3"/>
    <w:rsid w:val="001255A4"/>
    <w:rsid w:val="00126389"/>
    <w:rsid w:val="00147E65"/>
    <w:rsid w:val="00236AC1"/>
    <w:rsid w:val="00422D14"/>
    <w:rsid w:val="00447304"/>
    <w:rsid w:val="00502AB3"/>
    <w:rsid w:val="005077DD"/>
    <w:rsid w:val="00520169"/>
    <w:rsid w:val="00614DF4"/>
    <w:rsid w:val="006A7E98"/>
    <w:rsid w:val="00701D02"/>
    <w:rsid w:val="00753E04"/>
    <w:rsid w:val="00864BA3"/>
    <w:rsid w:val="00874341"/>
    <w:rsid w:val="0092392F"/>
    <w:rsid w:val="00B553F3"/>
    <w:rsid w:val="00D810FC"/>
    <w:rsid w:val="00E7735C"/>
    <w:rsid w:val="00F15F23"/>
    <w:rsid w:val="00F45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08EB1EA-347C-45F2-960C-9278837C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BA3"/>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864B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864B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64BA3"/>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864BA3"/>
    <w:rPr>
      <w:rFonts w:asciiTheme="majorHAnsi" w:eastAsiaTheme="majorEastAsia" w:hAnsiTheme="majorHAnsi" w:cstheme="majorBidi"/>
      <w:color w:val="2E74B5" w:themeColor="accent1" w:themeShade="BF"/>
      <w:sz w:val="32"/>
      <w:szCs w:val="32"/>
      <w:lang w:val="es-ES_tradnl" w:eastAsia="es-MX"/>
    </w:rPr>
  </w:style>
  <w:style w:type="paragraph" w:styleId="Puesto">
    <w:name w:val="Title"/>
    <w:aliases w:val="Cita textual"/>
    <w:basedOn w:val="Normal"/>
    <w:next w:val="Normal"/>
    <w:link w:val="PuestoCar"/>
    <w:uiPriority w:val="10"/>
    <w:qFormat/>
    <w:rsid w:val="00864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Cita textual Car"/>
    <w:basedOn w:val="Fuentedeprrafopredeter"/>
    <w:link w:val="Puesto"/>
    <w:uiPriority w:val="10"/>
    <w:rsid w:val="00864BA3"/>
    <w:rPr>
      <w:rFonts w:asciiTheme="majorHAnsi" w:eastAsiaTheme="majorEastAsia" w:hAnsiTheme="majorHAnsi" w:cstheme="majorBidi"/>
      <w:spacing w:val="-10"/>
      <w:kern w:val="28"/>
      <w:sz w:val="56"/>
      <w:szCs w:val="56"/>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4BA3"/>
    <w:pPr>
      <w:ind w:left="720"/>
      <w:contextualSpacing/>
    </w:pPr>
  </w:style>
  <w:style w:type="paragraph" w:styleId="Encabezado">
    <w:name w:val="header"/>
    <w:basedOn w:val="Normal"/>
    <w:link w:val="EncabezadoCar"/>
    <w:uiPriority w:val="99"/>
    <w:unhideWhenUsed/>
    <w:rsid w:val="00864BA3"/>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864B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4BA3"/>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864BA3"/>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4BA3"/>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864BA3"/>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64BA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64BA3"/>
    <w:rPr>
      <w:color w:val="0563C1" w:themeColor="hyperlink"/>
      <w:u w:val="single"/>
    </w:rPr>
  </w:style>
  <w:style w:type="paragraph" w:customStyle="1" w:styleId="Fundamentos">
    <w:name w:val="Fundamentos"/>
    <w:basedOn w:val="Normal"/>
    <w:qFormat/>
    <w:rsid w:val="00864BA3"/>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864BA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64BA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53F3"/>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553F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rive.google.com/file/d/1NbxRS9D1yic0So7ere3Urp0J0FRaaLJh/vie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4741</Words>
  <Characters>26080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cp:lastPrinted>2025-10-16T19:17:00Z</cp:lastPrinted>
  <dcterms:created xsi:type="dcterms:W3CDTF">2025-10-06T16:39:00Z</dcterms:created>
  <dcterms:modified xsi:type="dcterms:W3CDTF">2025-11-26T17:11:00Z</dcterms:modified>
</cp:coreProperties>
</file>