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F7453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doce de noviembre de dos mil veinticinco. </w:t>
      </w:r>
    </w:p>
    <w:p w:rsidR="00DD1B6E" w:rsidRPr="00F7453F" w:rsidRDefault="00CC0DF6">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F7453F">
        <w:rPr>
          <w:rFonts w:ascii="Palatino Linotype" w:eastAsia="Palatino Linotype" w:hAnsi="Palatino Linotype" w:cs="Palatino Linotype"/>
          <w:b/>
          <w:sz w:val="22"/>
          <w:szCs w:val="22"/>
        </w:rPr>
        <w:t>VISTO</w:t>
      </w:r>
      <w:r w:rsidRPr="00F7453F">
        <w:rPr>
          <w:rFonts w:ascii="Palatino Linotype" w:eastAsia="Palatino Linotype" w:hAnsi="Palatino Linotype" w:cs="Palatino Linotype"/>
          <w:sz w:val="22"/>
          <w:szCs w:val="22"/>
        </w:rPr>
        <w:t xml:space="preserve"> el expediente formado con motivo del recurso de revisión </w:t>
      </w:r>
      <w:r w:rsidRPr="00F7453F">
        <w:rPr>
          <w:rFonts w:ascii="Palatino Linotype" w:eastAsia="Palatino Linotype" w:hAnsi="Palatino Linotype" w:cs="Palatino Linotype"/>
          <w:b/>
          <w:sz w:val="22"/>
          <w:szCs w:val="22"/>
        </w:rPr>
        <w:t>10104/INFOEM/IP/RR/2025</w:t>
      </w:r>
      <w:r w:rsidRPr="00F7453F">
        <w:rPr>
          <w:rFonts w:ascii="Palatino Linotype" w:eastAsia="Palatino Linotype" w:hAnsi="Palatino Linotype" w:cs="Palatino Linotype"/>
          <w:sz w:val="22"/>
          <w:szCs w:val="22"/>
        </w:rPr>
        <w:t>, interpuesto por</w:t>
      </w:r>
      <w:r w:rsidRPr="00F7453F">
        <w:rPr>
          <w:rFonts w:ascii="Palatino Linotype" w:eastAsia="Palatino Linotype" w:hAnsi="Palatino Linotype" w:cs="Palatino Linotype"/>
          <w:b/>
          <w:sz w:val="22"/>
          <w:szCs w:val="22"/>
        </w:rPr>
        <w:t xml:space="preserve"> </w:t>
      </w:r>
      <w:r w:rsidR="00C750CF">
        <w:rPr>
          <w:rFonts w:ascii="Palatino Linotype" w:eastAsia="Palatino Linotype" w:hAnsi="Palatino Linotype" w:cs="Palatino Linotype"/>
          <w:b/>
          <w:sz w:val="22"/>
          <w:szCs w:val="22"/>
        </w:rPr>
        <w:t>XXXXX XXXXXXX</w:t>
      </w:r>
      <w:r w:rsidRPr="00F7453F">
        <w:rPr>
          <w:rFonts w:ascii="Palatino Linotype" w:eastAsia="Palatino Linotype" w:hAnsi="Palatino Linotype" w:cs="Palatino Linotype"/>
          <w:b/>
          <w:sz w:val="22"/>
          <w:szCs w:val="22"/>
        </w:rPr>
        <w:t>,</w:t>
      </w:r>
      <w:r w:rsidRPr="00F7453F">
        <w:rPr>
          <w:rFonts w:ascii="Palatino Linotype" w:eastAsia="Palatino Linotype" w:hAnsi="Palatino Linotype" w:cs="Palatino Linotype"/>
          <w:sz w:val="22"/>
          <w:szCs w:val="22"/>
        </w:rPr>
        <w:t xml:space="preserve"> en lo sucesivo</w:t>
      </w:r>
      <w:r w:rsidRPr="00F7453F">
        <w:rPr>
          <w:rFonts w:ascii="Palatino Linotype" w:eastAsia="Palatino Linotype" w:hAnsi="Palatino Linotype" w:cs="Palatino Linotype"/>
          <w:b/>
          <w:sz w:val="22"/>
          <w:szCs w:val="22"/>
        </w:rPr>
        <w:t xml:space="preserve"> </w:t>
      </w:r>
      <w:r w:rsidRPr="00F7453F">
        <w:rPr>
          <w:rFonts w:ascii="Palatino Linotype" w:eastAsia="Palatino Linotype" w:hAnsi="Palatino Linotype" w:cs="Palatino Linotype"/>
          <w:sz w:val="22"/>
          <w:szCs w:val="22"/>
        </w:rPr>
        <w:t xml:space="preserve">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en contra de la respuesta a la solicitud de información con número de folio</w:t>
      </w:r>
      <w:r w:rsidRPr="00F7453F">
        <w:rPr>
          <w:rFonts w:ascii="Palatino Linotype" w:eastAsia="Palatino Linotype" w:hAnsi="Palatino Linotype" w:cs="Palatino Linotype"/>
          <w:b/>
          <w:sz w:val="22"/>
          <w:szCs w:val="22"/>
        </w:rPr>
        <w:t xml:space="preserve"> 00388/CALIMAYA/IP/2025, </w:t>
      </w:r>
      <w:r w:rsidRPr="00F7453F">
        <w:rPr>
          <w:rFonts w:ascii="Palatino Linotype" w:eastAsia="Palatino Linotype" w:hAnsi="Palatino Linotype" w:cs="Palatino Linotype"/>
          <w:sz w:val="22"/>
          <w:szCs w:val="22"/>
        </w:rPr>
        <w:t xml:space="preserve">por parte del </w:t>
      </w:r>
      <w:r w:rsidRPr="00F7453F">
        <w:rPr>
          <w:rFonts w:ascii="Palatino Linotype" w:eastAsia="Palatino Linotype" w:hAnsi="Palatino Linotype" w:cs="Palatino Linotype"/>
          <w:b/>
          <w:sz w:val="22"/>
          <w:szCs w:val="22"/>
        </w:rPr>
        <w:t xml:space="preserve">Ayuntamiento de Calimaya, </w:t>
      </w:r>
      <w:r w:rsidRPr="00F7453F">
        <w:rPr>
          <w:rFonts w:ascii="Palatino Linotype" w:eastAsia="Palatino Linotype" w:hAnsi="Palatino Linotype" w:cs="Palatino Linotype"/>
          <w:sz w:val="22"/>
          <w:szCs w:val="22"/>
        </w:rPr>
        <w:t xml:space="preserve">en lo sucesivo 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 xml:space="preserve">se procede a dictar la presente resolución con base en los siguientes: </w:t>
      </w:r>
    </w:p>
    <w:p w:rsidR="00DD1B6E" w:rsidRPr="00F7453F" w:rsidRDefault="00CC0DF6">
      <w:pPr>
        <w:spacing w:before="240" w:after="240" w:line="360" w:lineRule="auto"/>
        <w:jc w:val="center"/>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I. A N T E C E D E N T E 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F7453F">
        <w:rPr>
          <w:rFonts w:ascii="Palatino Linotype" w:eastAsia="Palatino Linotype" w:hAnsi="Palatino Linotype" w:cs="Palatino Linotype"/>
          <w:b/>
          <w:sz w:val="22"/>
          <w:szCs w:val="22"/>
        </w:rPr>
        <w:t>1. Solicitud de acceso a la información.</w:t>
      </w:r>
      <w:r w:rsidRPr="00F7453F">
        <w:rPr>
          <w:rFonts w:ascii="Palatino Linotype" w:eastAsia="Palatino Linotype" w:hAnsi="Palatino Linotype" w:cs="Palatino Linotype"/>
          <w:sz w:val="22"/>
          <w:szCs w:val="22"/>
        </w:rPr>
        <w:t xml:space="preserve"> El </w:t>
      </w:r>
      <w:r w:rsidRPr="00F7453F">
        <w:rPr>
          <w:rFonts w:ascii="Palatino Linotype" w:eastAsia="Palatino Linotype" w:hAnsi="Palatino Linotype" w:cs="Palatino Linotype"/>
          <w:b/>
          <w:sz w:val="22"/>
          <w:szCs w:val="22"/>
        </w:rPr>
        <w:t>treinta de julio de dos mil veinticinco,</w:t>
      </w:r>
      <w:r w:rsidRPr="00F7453F">
        <w:rPr>
          <w:rFonts w:ascii="Palatino Linotype" w:eastAsia="Palatino Linotype" w:hAnsi="Palatino Linotype" w:cs="Palatino Linotype"/>
          <w:sz w:val="22"/>
          <w:szCs w:val="22"/>
        </w:rPr>
        <w:t xml:space="preserve"> la parte </w:t>
      </w:r>
      <w:r w:rsidRPr="00F7453F">
        <w:rPr>
          <w:rFonts w:ascii="Palatino Linotype" w:eastAsia="Palatino Linotype" w:hAnsi="Palatino Linotype" w:cs="Palatino Linotype"/>
          <w:b/>
          <w:sz w:val="22"/>
          <w:szCs w:val="22"/>
        </w:rPr>
        <w:t xml:space="preserve">Recurrente </w:t>
      </w:r>
      <w:r w:rsidRPr="00F7453F">
        <w:rPr>
          <w:rFonts w:ascii="Palatino Linotype" w:eastAsia="Palatino Linotype" w:hAnsi="Palatino Linotype" w:cs="Palatino Linotype"/>
          <w:sz w:val="22"/>
          <w:szCs w:val="22"/>
        </w:rPr>
        <w:t xml:space="preserve">presentó la solicitud de acceso a la información pública ante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a través del Sistema de Acceso a la Información Mexiquense, en lo subsecuente el </w:t>
      </w:r>
      <w:r w:rsidRPr="00F7453F">
        <w:rPr>
          <w:rFonts w:ascii="Palatino Linotype" w:eastAsia="Palatino Linotype" w:hAnsi="Palatino Linotype" w:cs="Palatino Linotype"/>
          <w:b/>
          <w:sz w:val="22"/>
          <w:szCs w:val="22"/>
        </w:rPr>
        <w:t>SAIMEX,</w:t>
      </w:r>
      <w:r w:rsidRPr="00F7453F">
        <w:rPr>
          <w:rFonts w:ascii="Palatino Linotype" w:eastAsia="Palatino Linotype" w:hAnsi="Palatino Linotype" w:cs="Palatino Linotype"/>
          <w:sz w:val="22"/>
          <w:szCs w:val="22"/>
        </w:rPr>
        <w:t xml:space="preserve"> sin embargo, al corresponder con un día inhábil, se tuvo por presentada el </w:t>
      </w:r>
      <w:r w:rsidRPr="00F7453F">
        <w:rPr>
          <w:rFonts w:ascii="Palatino Linotype" w:eastAsia="Palatino Linotype" w:hAnsi="Palatino Linotype" w:cs="Palatino Linotype"/>
          <w:b/>
          <w:sz w:val="22"/>
          <w:szCs w:val="22"/>
        </w:rPr>
        <w:t xml:space="preserve">cuatro de agosto de dos mil veinticinco, </w:t>
      </w:r>
      <w:r w:rsidRPr="00F7453F">
        <w:rPr>
          <w:rFonts w:ascii="Palatino Linotype" w:eastAsia="Palatino Linotype" w:hAnsi="Palatino Linotype" w:cs="Palatino Linotype"/>
          <w:sz w:val="22"/>
          <w:szCs w:val="22"/>
        </w:rPr>
        <w:t>mediante la cual requirió lo siguiente:</w:t>
      </w:r>
    </w:p>
    <w:p w:rsidR="00DD1B6E" w:rsidRPr="00F7453F" w:rsidRDefault="00CC0DF6">
      <w:pPr>
        <w:spacing w:before="120" w:after="120"/>
        <w:ind w:left="851" w:right="902"/>
        <w:jc w:val="both"/>
        <w:rPr>
          <w:rFonts w:ascii="Palatino Linotype" w:eastAsia="Palatino Linotype" w:hAnsi="Palatino Linotype" w:cs="Palatino Linotype"/>
          <w:b/>
          <w:i/>
          <w:sz w:val="22"/>
          <w:szCs w:val="22"/>
        </w:rPr>
      </w:pPr>
      <w:bookmarkStart w:id="3" w:name="_heading=h.7r3pfn8lp286" w:colFirst="0" w:colLast="0"/>
      <w:bookmarkEnd w:id="3"/>
      <w:r w:rsidRPr="00F7453F">
        <w:rPr>
          <w:rFonts w:ascii="Palatino Linotype" w:eastAsia="Palatino Linotype" w:hAnsi="Palatino Linotype" w:cs="Palatino Linotype"/>
          <w:i/>
          <w:sz w:val="22"/>
          <w:szCs w:val="22"/>
        </w:rPr>
        <w:t xml:space="preserve"> “CURRICULUM VITAE, GRADO MAXIMO DE ESTUDIOS Y EL DOCUMENTO QUE AVALE SUS ESTUDIOS, RECIBO DE NOMINA DE LA PRIMERA QUINCENA DE JULIO DE 2025 DE </w:t>
      </w:r>
      <w:r w:rsidRPr="00F7453F">
        <w:rPr>
          <w:rFonts w:ascii="Palatino Linotype" w:eastAsia="Palatino Linotype" w:hAnsi="Palatino Linotype" w:cs="Palatino Linotype"/>
          <w:b/>
          <w:i/>
          <w:sz w:val="22"/>
          <w:szCs w:val="22"/>
        </w:rPr>
        <w:t>ANUAR MERCADO</w:t>
      </w:r>
      <w:r w:rsidRPr="00F7453F">
        <w:rPr>
          <w:rFonts w:ascii="Palatino Linotype" w:eastAsia="Palatino Linotype" w:hAnsi="Palatino Linotype" w:cs="Palatino Linotype"/>
          <w:i/>
          <w:sz w:val="22"/>
          <w:szCs w:val="22"/>
        </w:rPr>
        <w:t>, CERTIFICACION QUE POR LEY ESTABLECE PARA OCUPAR EL CARGO DE SECRETARIA DEL AYUNTAMIENTO DE JAZMIN, ASI COMO EL DOCUMENTO QUE AVALE SUS ESTUDIOS Y EL RECIBO DE NOMINA DE LA SEGUNDA QUINCENA DE JUNIO DE 2025</w:t>
      </w:r>
      <w:r w:rsidRPr="00F7453F">
        <w:rPr>
          <w:rFonts w:ascii="Palatino Linotype" w:eastAsia="Palatino Linotype" w:hAnsi="Palatino Linotype" w:cs="Palatino Linotype"/>
          <w:b/>
          <w:i/>
          <w:sz w:val="22"/>
          <w:szCs w:val="22"/>
        </w:rPr>
        <w:t>”</w:t>
      </w:r>
      <w:r w:rsidRPr="00F7453F">
        <w:rPr>
          <w:rFonts w:ascii="Palatino Linotype" w:eastAsia="Palatino Linotype" w:hAnsi="Palatino Linotype" w:cs="Palatino Linotype"/>
          <w:i/>
          <w:sz w:val="22"/>
          <w:szCs w:val="22"/>
        </w:rPr>
        <w:t xml:space="preserve"> (sic) </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bookmarkStart w:id="4" w:name="_heading=h.cl51lnboam3e" w:colFirst="0" w:colLast="0"/>
      <w:bookmarkEnd w:id="4"/>
      <w:r w:rsidRPr="00F7453F">
        <w:rPr>
          <w:rFonts w:ascii="Palatino Linotype" w:eastAsia="Palatino Linotype" w:hAnsi="Palatino Linotype" w:cs="Palatino Linotype"/>
          <w:b/>
          <w:sz w:val="22"/>
          <w:szCs w:val="22"/>
        </w:rPr>
        <w:t>Modalidad de Entrega: a través del SAIMEX.</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5" w:name="_heading=h.3dy6vkm" w:colFirst="0" w:colLast="0"/>
      <w:bookmarkEnd w:id="5"/>
      <w:r w:rsidRPr="00F7453F">
        <w:rPr>
          <w:rFonts w:ascii="Palatino Linotype" w:eastAsia="Palatino Linotype" w:hAnsi="Palatino Linotype" w:cs="Palatino Linotype"/>
          <w:b/>
          <w:sz w:val="22"/>
          <w:szCs w:val="22"/>
        </w:rPr>
        <w:t xml:space="preserve">2. Respuesta. </w:t>
      </w:r>
      <w:r w:rsidRPr="00F7453F">
        <w:rPr>
          <w:rFonts w:ascii="Palatino Linotype" w:eastAsia="Palatino Linotype" w:hAnsi="Palatino Linotype" w:cs="Palatino Linotype"/>
          <w:sz w:val="22"/>
          <w:szCs w:val="22"/>
        </w:rPr>
        <w:t xml:space="preserve">El </w:t>
      </w:r>
      <w:r w:rsidRPr="00F7453F">
        <w:rPr>
          <w:rFonts w:ascii="Palatino Linotype" w:eastAsia="Palatino Linotype" w:hAnsi="Palatino Linotype" w:cs="Palatino Linotype"/>
          <w:b/>
          <w:sz w:val="22"/>
          <w:szCs w:val="22"/>
        </w:rPr>
        <w:t>veinte de agosto de dos mil veinticinco,</w:t>
      </w:r>
      <w:r w:rsidRPr="00F7453F">
        <w:rPr>
          <w:rFonts w:ascii="Palatino Linotype" w:eastAsia="Palatino Linotype" w:hAnsi="Palatino Linotype" w:cs="Palatino Linotype"/>
          <w:sz w:val="22"/>
          <w:szCs w:val="22"/>
        </w:rPr>
        <w:t xml:space="preserve"> 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rsidR="00DD1B6E" w:rsidRPr="00F7453F" w:rsidRDefault="00CC0DF6">
      <w:pPr>
        <w:spacing w:before="240" w:after="24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lastRenderedPageBreak/>
        <w:t xml:space="preserve">“…ESTIMADO </w:t>
      </w:r>
      <w:r w:rsidR="00C750CF">
        <w:rPr>
          <w:rFonts w:ascii="Palatino Linotype" w:eastAsia="Palatino Linotype" w:hAnsi="Palatino Linotype" w:cs="Palatino Linotype"/>
          <w:i/>
          <w:sz w:val="22"/>
          <w:szCs w:val="22"/>
        </w:rPr>
        <w:t>XXXXXXXXXXX</w:t>
      </w:r>
      <w:r w:rsidRPr="00F7453F">
        <w:rPr>
          <w:rFonts w:ascii="Palatino Linotype" w:eastAsia="Palatino Linotype" w:hAnsi="Palatino Linotype" w:cs="Palatino Linotype"/>
          <w:i/>
          <w:sz w:val="22"/>
          <w:szCs w:val="22"/>
        </w:rPr>
        <w:t>: EN ATENCIÓN A SU SOLICITUD DE INFORMACIÓN CON NÚMERO DE FOLIO 00388/CALIMAYA/IP/2025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PMC/TM/0633/2025 (TESORERÍA MUNICIPAL) SE DIO RESPUESTA A LA SOLICITUD CON NÚMERO DE FOLIO 00388/CALIMAYA/IP/2025, SE ADJUNTA EL OFICIO DE RESPUESTA PARA MAYOR REFERENCIA.” ADICIONALMENTE SE ANEXA EL ACTA DE LA SÉPTIMA SESIÓN EXTRAORDINARIA DE CLASIFICACIÓN DE LA INFORMACIÓN COMO CONFIDENCIAL CON FUNDAMENTO EN EL ARTÍCULO 132 FRACCIONES I Y III DE LA LEY DE TRANSPARENCIA Y ACCESO A LA INFORMACIÓN PÚBLICA DEL ESTADO DE MÉXICO Y MUNICIPIOS DONDE SE ENCUENTRA EL ACUERDO CALIMAYA/CT/07EXT/0035/2025 POR EL CUAL EL COMITÉ DE TRANSPARENCIA APRUEBA LA CLASIFICACIÓN DE LA INFORMACIÓN COMO CONFIDENCIAL, QUE ABRA DE DAR RESPUESTA A SU SOLICITUD DE INFORMACIÓN PÚBLICA....” (sic)</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adjuntó lo siguiente:</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Oficio número PMC/TM/0633/2025, mediante el cual el Tesorero Municipal refirió adjuntar los recibos de nómina del mes de julio del año 2025 en versión pública de la Secretaria del Ayuntamiento, así como su curriculum vitae, el certificado de competencia laboral y su certificado de estudios, en versión pública; y, por lo que se refiere a la segunda persona referida en la solicitud, refirió que después de una revisión exhaustiva no se encontró en la plantilla del ayuntamiento por lo tanto le es imposible entregar información referente a dicha persona.</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Ficha curricular de la Secretaria del Ayuntamiento.</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lastRenderedPageBreak/>
        <w:t>- Título profesional de la Secretaria del Ayuntamiento.</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Certificado de competencia laboral de la Secretaria del Ayuntamiento.</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Recibos de nómina de la primera y segunda quincena de julio de dos mil veinticinco, de la Secretaria del Ayuntamiento.</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Acta de la Séptima Sesión Extraordinaria del Comité de Transparencia, en la cual, como punto 6 del orden del día se aprobó la clasificación de la información como confidencial a propuesta por el Tesorero Municipal para dar cumplimiento a la solicitud de información número 00388/CALIMAYA/IP/2025.</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3. Interposición del recurso de revisión. </w:t>
      </w:r>
      <w:r w:rsidRPr="00F7453F">
        <w:rPr>
          <w:rFonts w:ascii="Palatino Linotype" w:eastAsia="Palatino Linotype" w:hAnsi="Palatino Linotype" w:cs="Palatino Linotype"/>
          <w:sz w:val="22"/>
          <w:szCs w:val="22"/>
        </w:rPr>
        <w:t xml:space="preserve">Inconforme con los términos de la respuesta emitida por parte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el </w:t>
      </w:r>
      <w:r w:rsidRPr="00F7453F">
        <w:rPr>
          <w:rFonts w:ascii="Palatino Linotype" w:eastAsia="Palatino Linotype" w:hAnsi="Palatino Linotype" w:cs="Palatino Linotype"/>
          <w:b/>
          <w:sz w:val="22"/>
          <w:szCs w:val="22"/>
        </w:rPr>
        <w:t>veintisiete de agosto de dos mil veinticinco,</w:t>
      </w:r>
      <w:r w:rsidRPr="00F7453F">
        <w:rPr>
          <w:rFonts w:ascii="Palatino Linotype" w:eastAsia="Palatino Linotype" w:hAnsi="Palatino Linotype" w:cs="Palatino Linotype"/>
          <w:sz w:val="22"/>
          <w:szCs w:val="22"/>
        </w:rPr>
        <w:t xml:space="preserve">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interpuso el recurso de revisión a través de </w:t>
      </w:r>
      <w:r w:rsidRPr="00F7453F">
        <w:rPr>
          <w:rFonts w:ascii="Palatino Linotype" w:eastAsia="Palatino Linotype" w:hAnsi="Palatino Linotype" w:cs="Palatino Linotype"/>
          <w:b/>
          <w:sz w:val="22"/>
          <w:szCs w:val="22"/>
        </w:rPr>
        <w:t xml:space="preserve">SAIMEX, </w:t>
      </w:r>
      <w:r w:rsidRPr="00F7453F">
        <w:rPr>
          <w:rFonts w:ascii="Palatino Linotype" w:eastAsia="Palatino Linotype" w:hAnsi="Palatino Linotype" w:cs="Palatino Linotype"/>
          <w:sz w:val="22"/>
          <w:szCs w:val="22"/>
        </w:rPr>
        <w:t>en donde se manifestó de la siguiente manera:</w:t>
      </w:r>
    </w:p>
    <w:p w:rsidR="00DD1B6E" w:rsidRPr="00F7453F" w:rsidRDefault="00CC0DF6">
      <w:pPr>
        <w:spacing w:before="240" w:after="240" w:line="360" w:lineRule="auto"/>
        <w:ind w:right="49"/>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 xml:space="preserve">Acto impugnado: </w:t>
      </w:r>
    </w:p>
    <w:p w:rsidR="00DD1B6E" w:rsidRPr="00F7453F" w:rsidRDefault="00CC0DF6">
      <w:pPr>
        <w:ind w:left="851" w:right="900"/>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“INFORMACION FALTANTE DE </w:t>
      </w:r>
      <w:r w:rsidRPr="00F7453F">
        <w:rPr>
          <w:rFonts w:ascii="Palatino Linotype" w:eastAsia="Palatino Linotype" w:hAnsi="Palatino Linotype" w:cs="Palatino Linotype"/>
          <w:b/>
          <w:i/>
          <w:sz w:val="22"/>
          <w:szCs w:val="22"/>
        </w:rPr>
        <w:t>ANUAR MERCADO</w:t>
      </w:r>
      <w:r w:rsidRPr="00F7453F">
        <w:rPr>
          <w:rFonts w:ascii="Palatino Linotype" w:eastAsia="Palatino Linotype" w:hAnsi="Palatino Linotype" w:cs="Palatino Linotype"/>
          <w:i/>
          <w:sz w:val="22"/>
          <w:szCs w:val="22"/>
        </w:rPr>
        <w:t>, Y EL RECIO DE NOMINA JAZMIN NO CORRESPONDE AL MES SOLICITADO” (sic)</w:t>
      </w:r>
    </w:p>
    <w:p w:rsidR="00DD1B6E" w:rsidRPr="00F7453F" w:rsidRDefault="00CC0DF6">
      <w:pPr>
        <w:spacing w:line="360" w:lineRule="auto"/>
        <w:jc w:val="both"/>
        <w:rPr>
          <w:rFonts w:ascii="Palatino Linotype" w:eastAsia="Palatino Linotype" w:hAnsi="Palatino Linotype" w:cs="Palatino Linotype"/>
          <w:sz w:val="22"/>
          <w:szCs w:val="22"/>
        </w:rPr>
      </w:pPr>
      <w:bookmarkStart w:id="6" w:name="_heading=h.30j0zll" w:colFirst="0" w:colLast="0"/>
      <w:bookmarkEnd w:id="6"/>
      <w:r w:rsidRPr="00F7453F">
        <w:rPr>
          <w:rFonts w:ascii="Palatino Linotype" w:eastAsia="Palatino Linotype" w:hAnsi="Palatino Linotype" w:cs="Palatino Linotype"/>
          <w:b/>
          <w:sz w:val="22"/>
          <w:szCs w:val="22"/>
        </w:rPr>
        <w:t>Y, Razones o motivos de inconformidad</w:t>
      </w:r>
      <w:r w:rsidRPr="00F7453F">
        <w:rPr>
          <w:rFonts w:ascii="Palatino Linotype" w:eastAsia="Palatino Linotype" w:hAnsi="Palatino Linotype" w:cs="Palatino Linotype"/>
          <w:sz w:val="22"/>
          <w:szCs w:val="22"/>
        </w:rPr>
        <w:t>:</w:t>
      </w:r>
    </w:p>
    <w:p w:rsidR="00DD1B6E" w:rsidRPr="00F7453F" w:rsidRDefault="00CC0DF6">
      <w:pPr>
        <w:tabs>
          <w:tab w:val="left" w:pos="2745"/>
        </w:tabs>
        <w:spacing w:before="240" w:after="24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“FALTA INFORMACION DE </w:t>
      </w:r>
      <w:r w:rsidRPr="00F7453F">
        <w:rPr>
          <w:rFonts w:ascii="Palatino Linotype" w:eastAsia="Palatino Linotype" w:hAnsi="Palatino Linotype" w:cs="Palatino Linotype"/>
          <w:b/>
          <w:i/>
          <w:sz w:val="22"/>
          <w:szCs w:val="22"/>
        </w:rPr>
        <w:t>ANUAR MERCADO</w:t>
      </w:r>
      <w:r w:rsidRPr="00F7453F">
        <w:rPr>
          <w:rFonts w:ascii="Palatino Linotype" w:eastAsia="Palatino Linotype" w:hAnsi="Palatino Linotype" w:cs="Palatino Linotype"/>
          <w:i/>
          <w:sz w:val="22"/>
          <w:szCs w:val="22"/>
        </w:rPr>
        <w:t xml:space="preserve"> Y RECIBO DE NOMINA DE JAZMIN INCORRECTO EL MES, SE SOLICITA ATENTAMENTE ENTREGUEN LA INFORMACION QUE SE SOLICITA, Y NO VIOLENTEN LOS DERECHOS A TRANSPARENCIA DE LA INFORMACION” (sic)</w:t>
      </w:r>
    </w:p>
    <w:p w:rsidR="00DD1B6E" w:rsidRPr="00F7453F" w:rsidRDefault="00CC0DF6">
      <w:pPr>
        <w:spacing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4. Turno. </w:t>
      </w:r>
      <w:r w:rsidRPr="00F7453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7453F">
        <w:rPr>
          <w:rFonts w:ascii="Palatino Linotype" w:eastAsia="Palatino Linotype" w:hAnsi="Palatino Linotype" w:cs="Palatino Linotype"/>
          <w:b/>
          <w:sz w:val="22"/>
          <w:szCs w:val="22"/>
        </w:rPr>
        <w:t xml:space="preserve">Guadalupe Ramírez Peña, </w:t>
      </w:r>
      <w:r w:rsidRPr="00F7453F">
        <w:rPr>
          <w:rFonts w:ascii="Palatino Linotype" w:eastAsia="Palatino Linotype" w:hAnsi="Palatino Linotype" w:cs="Palatino Linotype"/>
          <w:sz w:val="22"/>
          <w:szCs w:val="22"/>
        </w:rPr>
        <w:t>a efecto de que analizara sobre su admisión o su desechamiento.</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5. Admisión del Recurso de revisión.</w:t>
      </w:r>
      <w:r w:rsidRPr="00F7453F">
        <w:rPr>
          <w:rFonts w:ascii="Palatino Linotype" w:eastAsia="Palatino Linotype" w:hAnsi="Palatino Linotype" w:cs="Palatino Linotype"/>
          <w:sz w:val="22"/>
          <w:szCs w:val="22"/>
        </w:rPr>
        <w:t xml:space="preserve"> El</w:t>
      </w:r>
      <w:r w:rsidRPr="00F7453F">
        <w:rPr>
          <w:rFonts w:ascii="Palatino Linotype" w:eastAsia="Palatino Linotype" w:hAnsi="Palatino Linotype" w:cs="Palatino Linotype"/>
          <w:b/>
          <w:sz w:val="22"/>
          <w:szCs w:val="22"/>
        </w:rPr>
        <w:t xml:space="preserve"> uno de septiembre de dos mil veinticinco, </w:t>
      </w:r>
      <w:r w:rsidRPr="00F7453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presentara su informe justificado.</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7" w:name="_heading=h.2s8eyo1" w:colFirst="0" w:colLast="0"/>
      <w:bookmarkEnd w:id="7"/>
      <w:r w:rsidRPr="00F7453F">
        <w:rPr>
          <w:rFonts w:ascii="Palatino Linotype" w:eastAsia="Palatino Linotype" w:hAnsi="Palatino Linotype" w:cs="Palatino Linotype"/>
          <w:b/>
          <w:sz w:val="22"/>
          <w:szCs w:val="22"/>
        </w:rPr>
        <w:t>6. Manifestaciones</w:t>
      </w:r>
      <w:r w:rsidRPr="00F7453F">
        <w:rPr>
          <w:rFonts w:ascii="Palatino Linotype" w:eastAsia="Palatino Linotype" w:hAnsi="Palatino Linotype" w:cs="Palatino Linotype"/>
          <w:sz w:val="22"/>
          <w:szCs w:val="22"/>
        </w:rPr>
        <w:t xml:space="preserve">. De las constancias que obran en el expediente electrónico del SAIMEX se desprende que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no rindió su Informe Justificado, del mismo modo la parte</w:t>
      </w:r>
      <w:r w:rsidRPr="00F7453F">
        <w:rPr>
          <w:rFonts w:ascii="Palatino Linotype" w:eastAsia="Palatino Linotype" w:hAnsi="Palatino Linotype" w:cs="Palatino Linotype"/>
          <w:b/>
          <w:sz w:val="22"/>
          <w:szCs w:val="22"/>
        </w:rPr>
        <w:t xml:space="preserve"> Recurrente</w:t>
      </w:r>
      <w:r w:rsidRPr="00F7453F">
        <w:rPr>
          <w:rFonts w:ascii="Palatino Linotype" w:eastAsia="Palatino Linotype" w:hAnsi="Palatino Linotype" w:cs="Palatino Linotype"/>
          <w:sz w:val="22"/>
          <w:szCs w:val="22"/>
        </w:rPr>
        <w:t xml:space="preserve"> omitió realizar manifestaciones, como se observa a continuación: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noProof/>
          <w:sz w:val="22"/>
          <w:szCs w:val="22"/>
        </w:rPr>
        <w:drawing>
          <wp:inline distT="0" distB="0" distL="0" distR="0">
            <wp:extent cx="5612130" cy="1669415"/>
            <wp:effectExtent l="0" t="0" r="0" b="0"/>
            <wp:docPr id="10216925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69415"/>
                    </a:xfrm>
                    <a:prstGeom prst="rect">
                      <a:avLst/>
                    </a:prstGeom>
                    <a:ln/>
                  </pic:spPr>
                </pic:pic>
              </a:graphicData>
            </a:graphic>
          </wp:inline>
        </w:drawing>
      </w:r>
    </w:p>
    <w:p w:rsidR="00DD1B6E" w:rsidRPr="00F7453F" w:rsidRDefault="00CC0DF6">
      <w:pPr>
        <w:widowControl w:val="0"/>
        <w:spacing w:before="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7. Ampliación del término para resolver</w:t>
      </w:r>
      <w:r w:rsidRPr="00F7453F">
        <w:rPr>
          <w:rFonts w:ascii="Palatino Linotype" w:eastAsia="Palatino Linotype" w:hAnsi="Palatino Linotype" w:cs="Palatino Linotype"/>
          <w:sz w:val="22"/>
          <w:szCs w:val="22"/>
        </w:rPr>
        <w:t xml:space="preserve">. El </w:t>
      </w:r>
      <w:r w:rsidRPr="00F7453F">
        <w:rPr>
          <w:rFonts w:ascii="Palatino Linotype" w:eastAsia="Palatino Linotype" w:hAnsi="Palatino Linotype" w:cs="Palatino Linotype"/>
          <w:b/>
          <w:sz w:val="22"/>
          <w:szCs w:val="22"/>
        </w:rPr>
        <w:t>veintisiete de octubre de dos mil veinticinco</w:t>
      </w:r>
      <w:r w:rsidRPr="00F7453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D1B6E" w:rsidRPr="00F7453F" w:rsidRDefault="00CC0DF6">
      <w:pPr>
        <w:spacing w:before="240" w:after="240" w:line="360" w:lineRule="auto"/>
        <w:jc w:val="both"/>
        <w:rPr>
          <w:rFonts w:ascii="Palatino Linotype" w:eastAsia="Palatino Linotype" w:hAnsi="Palatino Linotype" w:cs="Palatino Linotype"/>
          <w:strike/>
          <w:sz w:val="22"/>
          <w:szCs w:val="22"/>
        </w:rPr>
      </w:pPr>
      <w:r w:rsidRPr="00F7453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DD1B6E" w:rsidRPr="00F7453F" w:rsidRDefault="00CC0DF6">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rsidR="00DD1B6E" w:rsidRPr="00F7453F" w:rsidRDefault="00CC0DF6">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Actividad Procesal del interesado. Acciones u omisiones del interesado.</w:t>
      </w:r>
    </w:p>
    <w:p w:rsidR="00DD1B6E" w:rsidRPr="00F7453F" w:rsidRDefault="00CC0DF6">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rsidR="00DD1B6E" w:rsidRPr="00F7453F" w:rsidRDefault="00CC0DF6">
      <w:pPr>
        <w:tabs>
          <w:tab w:val="left" w:pos="567"/>
        </w:tabs>
        <w:spacing w:before="240" w:after="240" w:line="360" w:lineRule="auto"/>
        <w:ind w:left="284"/>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7453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7453F">
        <w:rPr>
          <w:rFonts w:ascii="Palatino Linotype" w:eastAsia="Palatino Linotype" w:hAnsi="Palatino Linotype" w:cs="Palatino Linotype"/>
          <w:sz w:val="22"/>
          <w:szCs w:val="22"/>
        </w:rPr>
        <w:t>, visible en la Gaceta del Seminario Judicial de la Federación con el registro digital 205635.</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DD1B6E" w:rsidRPr="00F7453F" w:rsidRDefault="00CC0DF6">
      <w:pPr>
        <w:spacing w:before="120" w:after="120"/>
        <w:ind w:left="851" w:right="902"/>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 </w:t>
      </w: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PLAZO RAZONABLE PARA RESOLVER. DIMENSIÓN Y EFECTOS DE ESTE CONCEPTO CUANDO SE ADUCE EXCESIVA CARGA DE TRABAJO</w:t>
      </w: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sz w:val="22"/>
          <w:szCs w:val="22"/>
        </w:rPr>
        <w:t xml:space="preserve"> consultable en el Seminario Judicial de la Federación y su gaceta, con el registro digital 2002351.</w:t>
      </w:r>
    </w:p>
    <w:p w:rsidR="00DD1B6E" w:rsidRPr="00F7453F" w:rsidRDefault="00CC0DF6">
      <w:pPr>
        <w:spacing w:before="120" w:after="120"/>
        <w:ind w:left="851" w:right="902"/>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sz w:val="22"/>
          <w:szCs w:val="22"/>
        </w:rPr>
        <w:t>, visible en el Seminario Judicial de la Federación y su gaceta, con el registro digital 2002350.</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DD1B6E" w:rsidRPr="00F7453F" w:rsidRDefault="00CC0DF6">
      <w:pPr>
        <w:widowControl w:val="0"/>
        <w:spacing w:before="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7. Cierre de instrucción. </w:t>
      </w:r>
      <w:r w:rsidRPr="00F7453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F7453F">
        <w:rPr>
          <w:rFonts w:ascii="Palatino Linotype" w:eastAsia="Palatino Linotype" w:hAnsi="Palatino Linotype" w:cs="Palatino Linotype"/>
          <w:b/>
          <w:sz w:val="22"/>
          <w:szCs w:val="22"/>
        </w:rPr>
        <w:t>veintisiete de octubre de dos mil veinticinco</w:t>
      </w:r>
      <w:r w:rsidRPr="00F7453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DD1B6E" w:rsidRPr="00F7453F" w:rsidRDefault="00CC0DF6">
      <w:pPr>
        <w:widowControl w:val="0"/>
        <w:spacing w:before="240" w:after="240" w:line="360" w:lineRule="auto"/>
        <w:jc w:val="center"/>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II. C O N S I D E R A N D O 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Primero. Competencia.</w:t>
      </w:r>
      <w:r w:rsidRPr="00F7453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8" w:name="_heading=h.tyjcwt" w:colFirst="0" w:colLast="0"/>
      <w:bookmarkEnd w:id="8"/>
      <w:r w:rsidRPr="00F7453F">
        <w:rPr>
          <w:rFonts w:ascii="Palatino Linotype" w:eastAsia="Palatino Linotype" w:hAnsi="Palatino Linotype" w:cs="Palatino Linotype"/>
          <w:b/>
          <w:sz w:val="22"/>
          <w:szCs w:val="22"/>
        </w:rPr>
        <w:t>Segundo. Oportunidad y Procedibilidad del Recurso de Revisión</w:t>
      </w:r>
      <w:r w:rsidRPr="00F7453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 xml:space="preserve">remitió la respuesta a la solicitud de información el día </w:t>
      </w:r>
      <w:r w:rsidRPr="00F7453F">
        <w:rPr>
          <w:rFonts w:ascii="Palatino Linotype" w:eastAsia="Palatino Linotype" w:hAnsi="Palatino Linotype" w:cs="Palatino Linotype"/>
          <w:b/>
          <w:sz w:val="22"/>
          <w:szCs w:val="22"/>
        </w:rPr>
        <w:t xml:space="preserve">veinte de agosto de dos mil veinticinco, </w:t>
      </w:r>
      <w:r w:rsidRPr="00F7453F">
        <w:rPr>
          <w:rFonts w:ascii="Palatino Linotype" w:eastAsia="Palatino Linotype" w:hAnsi="Palatino Linotype" w:cs="Palatino Linotype"/>
          <w:sz w:val="22"/>
          <w:szCs w:val="22"/>
        </w:rPr>
        <w:t xml:space="preserve">mientras que el recurso de revisión interpuesto por la parte </w:t>
      </w:r>
      <w:r w:rsidRPr="00F7453F">
        <w:rPr>
          <w:rFonts w:ascii="Palatino Linotype" w:eastAsia="Palatino Linotype" w:hAnsi="Palatino Linotype" w:cs="Palatino Linotype"/>
          <w:b/>
          <w:sz w:val="22"/>
          <w:szCs w:val="22"/>
        </w:rPr>
        <w:t xml:space="preserve">Recurrente, </w:t>
      </w:r>
      <w:r w:rsidRPr="00F7453F">
        <w:rPr>
          <w:rFonts w:ascii="Palatino Linotype" w:eastAsia="Palatino Linotype" w:hAnsi="Palatino Linotype" w:cs="Palatino Linotype"/>
          <w:sz w:val="22"/>
          <w:szCs w:val="22"/>
        </w:rPr>
        <w:t>se tuvo por presentado el día</w:t>
      </w:r>
      <w:r w:rsidRPr="00F7453F">
        <w:rPr>
          <w:rFonts w:ascii="Palatino Linotype" w:eastAsia="Palatino Linotype" w:hAnsi="Palatino Linotype" w:cs="Palatino Linotype"/>
          <w:b/>
          <w:sz w:val="22"/>
          <w:szCs w:val="22"/>
        </w:rPr>
        <w:t xml:space="preserve"> veintisiete de agosto de dos mil veinticinco, </w:t>
      </w:r>
      <w:r w:rsidRPr="00F7453F">
        <w:rPr>
          <w:rFonts w:ascii="Palatino Linotype" w:eastAsia="Palatino Linotype" w:hAnsi="Palatino Linotype" w:cs="Palatino Linotype"/>
          <w:sz w:val="22"/>
          <w:szCs w:val="22"/>
        </w:rPr>
        <w:t>esto es, el quinto día hábil posterior a aquel en el que tuvo conocimiento de la respuesta impugnada. En este sentido, se concluye que el presente recurso de revisión se encuentra dentro de los márgenes temporales previstos en las disposiciones legales referidas.</w:t>
      </w:r>
    </w:p>
    <w:p w:rsidR="00DD1B6E" w:rsidRPr="00F7453F" w:rsidRDefault="00CC0DF6">
      <w:pPr>
        <w:spacing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Además, por cuanto hace a la procedibilidad del recurso de revisión, es de suma importancia señalar que la parte</w:t>
      </w:r>
      <w:r w:rsidRPr="00F7453F">
        <w:rPr>
          <w:rFonts w:ascii="Palatino Linotype" w:eastAsia="Palatino Linotype" w:hAnsi="Palatino Linotype" w:cs="Palatino Linotype"/>
          <w:b/>
          <w:sz w:val="22"/>
          <w:szCs w:val="22"/>
        </w:rPr>
        <w:t xml:space="preserve"> Recurrente</w:t>
      </w:r>
      <w:r w:rsidRPr="00F7453F">
        <w:rPr>
          <w:rFonts w:ascii="Palatino Linotype" w:eastAsia="Palatino Linotype" w:hAnsi="Palatino Linotype" w:cs="Palatino Linotype"/>
          <w:sz w:val="22"/>
          <w:szCs w:val="22"/>
        </w:rPr>
        <w:t xml:space="preserve">, no señaló un </w:t>
      </w:r>
      <w:r w:rsidRPr="00F7453F">
        <w:rPr>
          <w:rFonts w:ascii="Palatino Linotype" w:eastAsia="Palatino Linotype" w:hAnsi="Palatino Linotype" w:cs="Palatino Linotype"/>
          <w:b/>
          <w:sz w:val="22"/>
          <w:szCs w:val="22"/>
        </w:rPr>
        <w:t>nombre completo</w:t>
      </w:r>
      <w:r w:rsidRPr="00F7453F">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Las solicitudes anónimas</w:t>
      </w:r>
      <w:r w:rsidRPr="00F7453F">
        <w:rPr>
          <w:rFonts w:ascii="Palatino Linotype" w:eastAsia="Palatino Linotype" w:hAnsi="Palatino Linotype" w:cs="Palatino Linotype"/>
          <w:i/>
          <w:sz w:val="22"/>
          <w:szCs w:val="22"/>
        </w:rPr>
        <w:t xml:space="preserve">, con nombre incompleto o </w:t>
      </w:r>
      <w:r w:rsidRPr="00F7453F">
        <w:rPr>
          <w:rFonts w:ascii="Palatino Linotype" w:eastAsia="Palatino Linotype" w:hAnsi="Palatino Linotype" w:cs="Palatino Linotype"/>
          <w:b/>
          <w:i/>
          <w:sz w:val="22"/>
          <w:szCs w:val="22"/>
        </w:rPr>
        <w:t>seudónimo</w:t>
      </w:r>
      <w:r w:rsidRPr="00F7453F">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F7453F">
        <w:rPr>
          <w:rFonts w:ascii="Palatino Linotype" w:eastAsia="Palatino Linotype" w:hAnsi="Palatino Linotype" w:cs="Palatino Linotype"/>
          <w:b/>
          <w:sz w:val="22"/>
          <w:szCs w:val="22"/>
        </w:rPr>
        <w:t xml:space="preserve"> SAIMEX.</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rsidR="00DD1B6E" w:rsidRPr="00F7453F" w:rsidRDefault="00CC0DF6">
      <w:pPr>
        <w:tabs>
          <w:tab w:val="left" w:pos="7938"/>
        </w:tabs>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Artículo 179.</w:t>
      </w:r>
      <w:r w:rsidRPr="00F7453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D1B6E" w:rsidRPr="00F7453F" w:rsidRDefault="00CC0DF6">
      <w:pPr>
        <w:tabs>
          <w:tab w:val="left" w:pos="7938"/>
        </w:tabs>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7938"/>
        </w:tabs>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w:t>
      </w:r>
      <w:r w:rsidRPr="00F7453F">
        <w:rPr>
          <w:rFonts w:ascii="Palatino Linotype" w:eastAsia="Palatino Linotype" w:hAnsi="Palatino Linotype" w:cs="Palatino Linotype"/>
          <w:i/>
          <w:sz w:val="22"/>
          <w:szCs w:val="22"/>
        </w:rPr>
        <w:t xml:space="preserve"> La entrega de información incompleta;”</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 xml:space="preserve">Tercero. Materia de la revisión. </w:t>
      </w:r>
      <w:r w:rsidRPr="00F7453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7453F">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F7453F">
        <w:rPr>
          <w:rFonts w:ascii="Palatino Linotype" w:eastAsia="Palatino Linotype" w:hAnsi="Palatino Linotype" w:cs="Palatino Linotype"/>
          <w:sz w:val="22"/>
          <w:szCs w:val="22"/>
        </w:rPr>
        <w:t xml:space="preserve">de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o en su defecto, en caso de ser procedente, ordenar la entrega de información.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F7453F">
        <w:rPr>
          <w:rFonts w:ascii="Palatino Linotype" w:eastAsia="Palatino Linotype" w:hAnsi="Palatino Linotype" w:cs="Palatino Linotype"/>
          <w:b/>
          <w:sz w:val="22"/>
          <w:szCs w:val="22"/>
        </w:rPr>
        <w:t xml:space="preserve">Cuarto. Estudio del asunto. </w:t>
      </w:r>
      <w:r w:rsidRPr="00F7453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Artículo 4</w:t>
      </w:r>
      <w:r w:rsidRPr="00F7453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7453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7453F">
        <w:rPr>
          <w:rFonts w:ascii="Palatino Linotype" w:eastAsia="Palatino Linotype" w:hAnsi="Palatino Linotype" w:cs="Palatino Linotype"/>
          <w:i/>
          <w:sz w:val="22"/>
          <w:szCs w:val="22"/>
        </w:rPr>
        <w:t>.”</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12.-</w:t>
      </w:r>
      <w:r w:rsidRPr="00F7453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7453F">
        <w:rPr>
          <w:rFonts w:ascii="Palatino Linotype" w:eastAsia="Palatino Linotype" w:hAnsi="Palatino Linotype" w:cs="Palatino Linotype"/>
          <w:i/>
          <w:sz w:val="22"/>
          <w:szCs w:val="22"/>
        </w:rPr>
        <w:t xml:space="preserve">. </w:t>
      </w:r>
      <w:r w:rsidRPr="00F7453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DD1B6E" w:rsidRPr="00F7453F" w:rsidRDefault="00CC0DF6">
      <w:pPr>
        <w:spacing w:before="240" w:after="240" w:line="360" w:lineRule="auto"/>
        <w:ind w:right="-93"/>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DD1B6E" w:rsidRPr="00F7453F" w:rsidRDefault="00CC0DF6">
      <w:pPr>
        <w:spacing w:before="240" w:after="240" w:line="360" w:lineRule="auto"/>
        <w:jc w:val="both"/>
        <w:rPr>
          <w:rFonts w:ascii="Palatino Linotype" w:eastAsia="Palatino Linotype" w:hAnsi="Palatino Linotype" w:cs="Palatino Linotype"/>
          <w:b/>
          <w:sz w:val="22"/>
          <w:szCs w:val="22"/>
        </w:rPr>
      </w:pPr>
      <w:r w:rsidRPr="00F7453F">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F7453F">
        <w:rPr>
          <w:rFonts w:ascii="Palatino Linotype" w:eastAsia="Palatino Linotype" w:hAnsi="Palatino Linotype" w:cs="Palatino Linotype"/>
          <w:b/>
          <w:sz w:val="22"/>
          <w:szCs w:val="22"/>
        </w:rPr>
        <w:t xml:space="preserve"> </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 “</w:t>
      </w:r>
      <w:r w:rsidRPr="00F7453F">
        <w:rPr>
          <w:rFonts w:ascii="Palatino Linotype" w:eastAsia="Palatino Linotype" w:hAnsi="Palatino Linotype" w:cs="Palatino Linotype"/>
          <w:b/>
          <w:i/>
          <w:sz w:val="22"/>
          <w:szCs w:val="22"/>
        </w:rPr>
        <w:t>No existe obligación de elaborar documentos ad hoc para atender las solicitudes de acceso a la información.</w:t>
      </w:r>
      <w:r w:rsidRPr="00F7453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D1B6E" w:rsidRPr="00F7453F" w:rsidRDefault="00CC0DF6">
      <w:pPr>
        <w:spacing w:before="120" w:after="12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D1B6E" w:rsidRPr="00F7453F" w:rsidRDefault="00CC0DF6">
      <w:pPr>
        <w:spacing w:before="120" w:after="12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D1B6E" w:rsidRPr="00F7453F" w:rsidRDefault="00CC0DF6">
      <w:pPr>
        <w:tabs>
          <w:tab w:val="left" w:pos="993"/>
        </w:tabs>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 xml:space="preserve">Artículo 3. </w:t>
      </w:r>
      <w:r w:rsidRPr="00F7453F">
        <w:rPr>
          <w:rFonts w:ascii="Palatino Linotype" w:eastAsia="Palatino Linotype" w:hAnsi="Palatino Linotype" w:cs="Palatino Linotype"/>
          <w:i/>
          <w:sz w:val="22"/>
          <w:szCs w:val="22"/>
        </w:rPr>
        <w:t>Para los efectos de la presente Ley se entenderá por:</w:t>
      </w:r>
    </w:p>
    <w:p w:rsidR="00DD1B6E" w:rsidRPr="00F7453F" w:rsidRDefault="00CC0DF6">
      <w:pPr>
        <w:tabs>
          <w:tab w:val="left" w:pos="993"/>
        </w:tabs>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993"/>
        </w:tabs>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XI. Documento:</w:t>
      </w:r>
      <w:r w:rsidRPr="00F7453F">
        <w:rPr>
          <w:rFonts w:ascii="Palatino Linotype" w:eastAsia="Palatino Linotype" w:hAnsi="Palatino Linotype" w:cs="Palatino Linotype"/>
          <w:i/>
          <w:sz w:val="22"/>
          <w:szCs w:val="22"/>
        </w:rPr>
        <w:t xml:space="preserve"> Los expedientes, reportes, estudios, actas</w:t>
      </w:r>
      <w:r w:rsidRPr="00F7453F">
        <w:rPr>
          <w:rFonts w:ascii="Palatino Linotype" w:eastAsia="Palatino Linotype" w:hAnsi="Palatino Linotype" w:cs="Palatino Linotype"/>
          <w:b/>
          <w:i/>
          <w:sz w:val="22"/>
          <w:szCs w:val="22"/>
        </w:rPr>
        <w:t>,</w:t>
      </w:r>
      <w:r w:rsidRPr="00F7453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sz w:val="22"/>
          <w:szCs w:val="22"/>
        </w:rPr>
        <w:t>“</w:t>
      </w:r>
      <w:r w:rsidRPr="00F7453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7453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DD1B6E" w:rsidRPr="00F7453F" w:rsidRDefault="00CC0DF6">
      <w:pP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DD1B6E" w:rsidRPr="00F7453F" w:rsidRDefault="00CC0DF6">
      <w:pP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requirió al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le proporcione, información consistente en lo siguiente:</w:t>
      </w:r>
    </w:p>
    <w:p w:rsidR="00DD1B6E" w:rsidRPr="00F7453F" w:rsidRDefault="00CC0DF6">
      <w:pPr>
        <w:spacing w:before="240" w:after="240" w:line="360" w:lineRule="auto"/>
        <w:ind w:left="284"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la persona referida en la solicitud:</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1. Curricumum vitae.</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2. Grado máximo de estudios con el documento que avale sus estudios.</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3. Recibo de nómina de la primera quincena de julio de 2025.</w:t>
      </w:r>
    </w:p>
    <w:p w:rsidR="00DD1B6E" w:rsidRPr="00F7453F" w:rsidRDefault="00CC0DF6">
      <w:pPr>
        <w:spacing w:before="240" w:after="240" w:line="360" w:lineRule="auto"/>
        <w:ind w:left="284"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la Secretaria del Ayuntamiento:</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4. Certificación para ocupar el cargo.</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5. Documento que avale sus estudios.</w:t>
      </w:r>
    </w:p>
    <w:p w:rsidR="00DD1B6E" w:rsidRPr="00F7453F" w:rsidRDefault="00CC0DF6">
      <w:pPr>
        <w:spacing w:before="240" w:after="240" w:line="360" w:lineRule="auto"/>
        <w:ind w:left="567"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6. Recibo de nomina </w:t>
      </w:r>
      <w:r w:rsidRPr="00F7453F">
        <w:rPr>
          <w:rFonts w:ascii="Palatino Linotype" w:eastAsia="Palatino Linotype" w:hAnsi="Palatino Linotype" w:cs="Palatino Linotype"/>
          <w:b/>
          <w:sz w:val="22"/>
          <w:szCs w:val="22"/>
          <w:u w:val="single"/>
        </w:rPr>
        <w:t>de la segunda quincena de junio de 2025</w:t>
      </w:r>
      <w:r w:rsidRPr="00F7453F">
        <w:rPr>
          <w:rFonts w:ascii="Palatino Linotype" w:eastAsia="Palatino Linotype" w:hAnsi="Palatino Linotype" w:cs="Palatino Linotype"/>
          <w:sz w:val="22"/>
          <w:szCs w:val="22"/>
        </w:rPr>
        <w:t>.</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DD1B6E" w:rsidRPr="00F7453F" w:rsidRDefault="00CC0DF6">
      <w:pP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Tesorera Municipal,  cuyo servidor público habilitado no negó la competencia para conocer de la información que es del interés de la persona solicitante, sino por el contrario indicó que se encontraba imposibilitado para entregar información de la persona referida en la solicitud, ello después de una revisión exhaustiva en la que no se encontró en la plantilla del ayuntamiento, y, por lo que se refiere a la servidora pública habilitada que se ostenta como Secretaria del Ayuntamiento, proporcionó su ficha curricular, título profesional, certificado de competencia laboral y los recibos de nómina de la primera y segunda quincena de julio de 2025.</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Sin embargo, al no estar conforme con los términos de la respuesta proporcionada en primera instancia, la parte </w:t>
      </w:r>
      <w:r w:rsidRPr="00F7453F">
        <w:rPr>
          <w:rFonts w:ascii="Palatino Linotype" w:eastAsia="Palatino Linotype" w:hAnsi="Palatino Linotype" w:cs="Palatino Linotype"/>
          <w:b/>
          <w:sz w:val="22"/>
          <w:szCs w:val="22"/>
        </w:rPr>
        <w:t xml:space="preserve">Recurrente </w:t>
      </w:r>
      <w:r w:rsidRPr="00F7453F">
        <w:rPr>
          <w:rFonts w:ascii="Palatino Linotype" w:eastAsia="Palatino Linotype" w:hAnsi="Palatino Linotype" w:cs="Palatino Linotype"/>
          <w:sz w:val="22"/>
          <w:szCs w:val="22"/>
        </w:rPr>
        <w:t>interpuso el recurso de revisión que nos ocupa, en el que manifestó que no se hizo entrega de la información de la persona referida en la solicitud, y por lo que se refiere a la secretaria del ayuntamiento, que los recibos de nómina no corresponden con el mes solicitado.</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Es de señalar que de la lectura del motivo de inconformidad de la parte </w:t>
      </w:r>
      <w:r w:rsidRPr="00F7453F">
        <w:rPr>
          <w:rFonts w:ascii="Palatino Linotype" w:eastAsia="Palatino Linotype" w:hAnsi="Palatino Linotype" w:cs="Palatino Linotype"/>
          <w:b/>
          <w:sz w:val="22"/>
          <w:szCs w:val="22"/>
        </w:rPr>
        <w:t xml:space="preserve">Recurrente, </w:t>
      </w:r>
      <w:r w:rsidRPr="00F7453F">
        <w:rPr>
          <w:rFonts w:ascii="Palatino Linotype" w:eastAsia="Palatino Linotype" w:hAnsi="Palatino Linotype" w:cs="Palatino Linotype"/>
          <w:sz w:val="22"/>
          <w:szCs w:val="22"/>
        </w:rPr>
        <w:t xml:space="preserve">se advierte que este no versa sobre la totalidad de la información proporcionada por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ya que no manifestó agravios respecto de la certificación laboral y el comprobante de estudios de la Secretaria del Ayuntamiento, 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rsidR="00DD1B6E" w:rsidRPr="00F7453F" w:rsidRDefault="00CC0DF6">
      <w:pPr>
        <w:spacing w:before="240" w:after="36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Lo anterior es así, debido a que cuando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impugna la respuesta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rsidR="00DD1B6E" w:rsidRPr="00F7453F" w:rsidRDefault="00CC0DF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 xml:space="preserve">Actos consentidos tácitamente. Improcedencia de su análisis. </w:t>
      </w:r>
      <w:r w:rsidRPr="00F7453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rsidR="00DD1B6E" w:rsidRPr="00F7453F" w:rsidRDefault="00CC0DF6">
      <w:pPr>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mallCaps/>
          <w:sz w:val="22"/>
          <w:szCs w:val="22"/>
        </w:rPr>
        <w:t xml:space="preserve">“ACTOS CONSENTIDOS. SON LOS QUE NO SE IMPUGNAN MEDIANTE EL RECURSO IDÓNEO. </w:t>
      </w:r>
      <w:r w:rsidRPr="00F7453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por consiguiente, no es procedente el análisis de fondo en la resolución.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Ahora bien, por lo que se refiere al recibo de nómina de la Secretaria del Ayuntamiento, es de recordar que la persona solicitante </w:t>
      </w:r>
      <w:r w:rsidRPr="00F7453F">
        <w:rPr>
          <w:rFonts w:ascii="Palatino Linotype" w:eastAsia="Palatino Linotype" w:hAnsi="Palatino Linotype" w:cs="Palatino Linotype"/>
          <w:b/>
          <w:sz w:val="22"/>
          <w:szCs w:val="22"/>
          <w:u w:val="single"/>
        </w:rPr>
        <w:t xml:space="preserve">requirió la entrega del correspondiente a la segunda quincena de junio de 2025, </w:t>
      </w:r>
      <w:r w:rsidRPr="00F7453F">
        <w:rPr>
          <w:rFonts w:ascii="Palatino Linotype" w:eastAsia="Palatino Linotype" w:hAnsi="Palatino Linotype" w:cs="Palatino Linotype"/>
          <w:sz w:val="22"/>
          <w:szCs w:val="22"/>
        </w:rPr>
        <w:t xml:space="preserve">mientras que el servidor público habilitado, </w:t>
      </w:r>
      <w:r w:rsidRPr="00F7453F">
        <w:rPr>
          <w:rFonts w:ascii="Palatino Linotype" w:eastAsia="Palatino Linotype" w:hAnsi="Palatino Linotype" w:cs="Palatino Linotype"/>
          <w:b/>
          <w:sz w:val="22"/>
          <w:szCs w:val="22"/>
          <w:u w:val="single"/>
        </w:rPr>
        <w:t>hizo entrega de los recibos de nómina de la primera y segunda quincena de julio de 2025</w:t>
      </w:r>
      <w:r w:rsidRPr="00F7453F">
        <w:rPr>
          <w:rFonts w:ascii="Palatino Linotype" w:eastAsia="Palatino Linotype" w:hAnsi="Palatino Linotype" w:cs="Palatino Linotype"/>
          <w:sz w:val="22"/>
          <w:szCs w:val="22"/>
        </w:rPr>
        <w:t xml:space="preserve">, por lo tanto es evidente que la información proporcionada no corresponde con lo solicitado, siendo necesario en consecuencia que se haga entrega del recibo de nómina del periodo correcto, para tener por satisfecho el punto en análisis, en términos del considerando siguiente, para lo cual deberá observarse el apartado siguiente para la elaboración de la versión pública correspondiente. Es importante mencionar que el RFC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no es información susceptible de ser clasificada como confidencial, lo anterior al advertirse que en los recibos de nómina proporcionados dicha información fue eliminada.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Por otro lado, en lo que respecta a la persona referida en la solicitud, el servidor público habilitado refirió que se encontraba imposibilitada para proporcionar información, ya que de la revisión exhaustiva no se encontró su registro en la plantilla de personal.</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Entonces, si se considera el hecho negativo, resulta obvio que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no puede tener en sus archivos información que satisfaga el requerimiento de información, ya que no puede probarse por ser lógica y materialmente imposible.</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Sirve de sustento la siguiente Tesis</w:t>
      </w:r>
      <w:r w:rsidRPr="00F7453F">
        <w:rPr>
          <w:rFonts w:ascii="Palatino Linotype" w:eastAsia="Palatino Linotype" w:hAnsi="Palatino Linotype" w:cs="Palatino Linotype"/>
          <w:sz w:val="22"/>
          <w:szCs w:val="22"/>
          <w:vertAlign w:val="superscript"/>
        </w:rPr>
        <w:footnoteReference w:id="1"/>
      </w:r>
      <w:r w:rsidRPr="00F7453F">
        <w:rPr>
          <w:rFonts w:ascii="Palatino Linotype" w:eastAsia="Palatino Linotype" w:hAnsi="Palatino Linotype" w:cs="Palatino Linotype"/>
          <w:sz w:val="22"/>
          <w:szCs w:val="22"/>
        </w:rPr>
        <w:t xml:space="preserve"> emitida por la Segunda Sala de la Suprema Corte de la Nación, que es del tenor literal siguiente:</w:t>
      </w:r>
    </w:p>
    <w:p w:rsidR="00DD1B6E" w:rsidRPr="00F7453F" w:rsidRDefault="00CC0DF6">
      <w:pPr>
        <w:pBdr>
          <w:top w:val="nil"/>
          <w:left w:val="nil"/>
          <w:bottom w:val="nil"/>
          <w:right w:val="nil"/>
          <w:between w:val="nil"/>
        </w:pBdr>
        <w:spacing w:before="120" w:after="120"/>
        <w:ind w:left="851" w:right="900"/>
        <w:jc w:val="both"/>
        <w:rPr>
          <w:sz w:val="22"/>
          <w:szCs w:val="22"/>
        </w:rPr>
      </w:pPr>
      <w:r w:rsidRPr="00F7453F">
        <w:rPr>
          <w:rFonts w:ascii="Palatino Linotype" w:eastAsia="Palatino Linotype" w:hAnsi="Palatino Linotype" w:cs="Palatino Linotype"/>
          <w:b/>
          <w:i/>
          <w:sz w:val="22"/>
          <w:szCs w:val="22"/>
        </w:rPr>
        <w:t xml:space="preserve">“HECHOS NEGATIVOS, NO SON SUSCEPTIBLES DE DEMOSTRACIÓN. </w:t>
      </w:r>
      <w:r w:rsidRPr="00F7453F">
        <w:rPr>
          <w:rFonts w:ascii="Palatino Linotype" w:eastAsia="Palatino Linotype" w:hAnsi="Palatino Linotype" w:cs="Palatino Linotype"/>
          <w:i/>
          <w:sz w:val="22"/>
          <w:szCs w:val="22"/>
        </w:rPr>
        <w:t>Tratándose de un hecho negativo, el Juez no tiene por que invocar prueba alguna de la que se desprenda, ya que es bien sabido que esta clase de hechos no son susceptibles de demostración.”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tal sentido, es de señalar que este Organismo Garante procedió a la consulta de la información publicada por el Sujeto Obligado en el portal de Información Pública de Oficio Mexiquense en el ejercicio 2025, en cumplimiento a las obligaciones de transparencia previstas en las fracciones VII, VIII y  XXI, del artículo 92 de la Ley de Transparencia y Acceso a la Información Pública del Estado de México y Municipios, a saber:</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92.</w:t>
      </w:r>
      <w:r w:rsidRPr="00F7453F">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VII.</w:t>
      </w:r>
      <w:r w:rsidRPr="00F7453F">
        <w:rPr>
          <w:rFonts w:ascii="Palatino Linotype" w:eastAsia="Palatino Linotype" w:hAnsi="Palatino Linotype" w:cs="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VIII.</w:t>
      </w:r>
      <w:r w:rsidRPr="00F7453F">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spacing w:before="280" w:after="28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XXI.</w:t>
      </w:r>
      <w:r w:rsidRPr="00F7453F">
        <w:rPr>
          <w:rFonts w:ascii="Palatino Linotype" w:eastAsia="Palatino Linotype" w:hAnsi="Palatino Linotype" w:cs="Palatino Linotype"/>
          <w:i/>
          <w:sz w:val="22"/>
          <w:szCs w:val="22"/>
        </w:rPr>
        <w:t xml:space="preserve"> La información curricular, desde el nivel de jefe de departamento o equivalente, hasta el titular del sujeto obligado, así como, en su caso, las sanciones administrativas de que haya sido objeto;”</w:t>
      </w:r>
    </w:p>
    <w:p w:rsidR="00DD1B6E" w:rsidRPr="00F7453F" w:rsidRDefault="00CC0DF6">
      <w:pPr>
        <w:spacing w:before="280" w:after="28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Así como de la información publicada en la página oficial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en el apartado de Directorio, el cual contiene la relación de los integrantes del Cabildo, así como de los servidores públicos adscritos a la presidencia, los Directores y Coordinadores, como se observa a continuación:</w:t>
      </w:r>
    </w:p>
    <w:p w:rsidR="00DD1B6E" w:rsidRPr="00F7453F" w:rsidRDefault="00CC0DF6">
      <w:pPr>
        <w:spacing w:before="280" w:after="280" w:line="360" w:lineRule="auto"/>
        <w:jc w:val="center"/>
        <w:rPr>
          <w:rFonts w:ascii="Palatino Linotype" w:eastAsia="Palatino Linotype" w:hAnsi="Palatino Linotype" w:cs="Palatino Linotype"/>
          <w:sz w:val="22"/>
          <w:szCs w:val="22"/>
        </w:rPr>
      </w:pPr>
      <w:r w:rsidRPr="00F7453F">
        <w:rPr>
          <w:rFonts w:ascii="Palatino Linotype" w:eastAsia="Palatino Linotype" w:hAnsi="Palatino Linotype" w:cs="Palatino Linotype"/>
          <w:noProof/>
          <w:sz w:val="22"/>
          <w:szCs w:val="22"/>
        </w:rPr>
        <w:drawing>
          <wp:inline distT="0" distB="0" distL="0" distR="0">
            <wp:extent cx="5076825" cy="2124075"/>
            <wp:effectExtent l="0" t="0" r="0" b="0"/>
            <wp:docPr id="10216925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76825" cy="2124075"/>
                    </a:xfrm>
                    <a:prstGeom prst="rect">
                      <a:avLst/>
                    </a:prstGeom>
                    <a:ln/>
                  </pic:spPr>
                </pic:pic>
              </a:graphicData>
            </a:graphic>
          </wp:inline>
        </w:drawing>
      </w:r>
    </w:p>
    <w:p w:rsidR="00DD1B6E" w:rsidRPr="00F7453F" w:rsidRDefault="00CC0DF6">
      <w:pPr>
        <w:spacing w:before="280" w:after="280" w:line="360" w:lineRule="auto"/>
        <w:jc w:val="center"/>
        <w:rPr>
          <w:rFonts w:ascii="Palatino Linotype" w:eastAsia="Palatino Linotype" w:hAnsi="Palatino Linotype" w:cs="Palatino Linotype"/>
          <w:sz w:val="22"/>
          <w:szCs w:val="22"/>
        </w:rPr>
      </w:pPr>
      <w:r w:rsidRPr="00F7453F">
        <w:rPr>
          <w:rFonts w:ascii="Palatino Linotype" w:eastAsia="Palatino Linotype" w:hAnsi="Palatino Linotype" w:cs="Palatino Linotype"/>
          <w:noProof/>
          <w:sz w:val="22"/>
          <w:szCs w:val="22"/>
        </w:rPr>
        <w:drawing>
          <wp:inline distT="0" distB="0" distL="0" distR="0">
            <wp:extent cx="5086350" cy="3009900"/>
            <wp:effectExtent l="0" t="0" r="0" b="0"/>
            <wp:docPr id="10216925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86350" cy="3009900"/>
                    </a:xfrm>
                    <a:prstGeom prst="rect">
                      <a:avLst/>
                    </a:prstGeom>
                    <a:ln/>
                  </pic:spPr>
                </pic:pic>
              </a:graphicData>
            </a:graphic>
          </wp:inline>
        </w:drawing>
      </w:r>
    </w:p>
    <w:p w:rsidR="00DD1B6E" w:rsidRPr="00F7453F" w:rsidRDefault="00CC0DF6">
      <w:pPr>
        <w:spacing w:before="280" w:after="28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No obstante, derivado de dicha consulta no se localizaron indicios de la adscripción de la persona referida en la solicitud, razón por la cual se estima que basta con la aseveración por parte del servidor público habilitado de la Tesorería Municipal, como el área competente para conocer de la información requerida respeto de la inexistencia de la misma; siendo que de conformidad con lo establecido en el artículo 12, segundo párrafo de la Ley de Transparencia y Acceso a la Información Pública del Estado de México y Municipios, los Sujetos Obligados sólo proporcionaran la información pública que se les requiera y que obre en sus archivos y en el estado en que ésta se encuentre, en sentido contrario, no están obligados a proporcionar lo que no tengan en sus archivos.</w:t>
      </w:r>
    </w:p>
    <w:p w:rsidR="00DD1B6E" w:rsidRPr="00F7453F" w:rsidRDefault="00CC0DF6">
      <w:pPr>
        <w:spacing w:before="240" w:after="360" w:line="360" w:lineRule="auto"/>
        <w:ind w:right="18"/>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Aunado a lo anterior, respecto al pronunciamiento emitido por la persona servidora pública habilitada competente a fin de dar respuesta al punto en análisis,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rsidR="00DD1B6E" w:rsidRPr="00F7453F" w:rsidRDefault="00CC0DF6">
      <w:pPr>
        <w:tabs>
          <w:tab w:val="left" w:pos="975"/>
        </w:tabs>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De lo hasta aquí expuesto, se concluye que los motivos de inconformidad de la parte </w:t>
      </w:r>
      <w:r w:rsidRPr="00F7453F">
        <w:rPr>
          <w:rFonts w:ascii="Palatino Linotype" w:eastAsia="Palatino Linotype" w:hAnsi="Palatino Linotype" w:cs="Palatino Linotype"/>
          <w:b/>
          <w:sz w:val="22"/>
          <w:szCs w:val="22"/>
        </w:rPr>
        <w:t xml:space="preserve">Recurrente </w:t>
      </w:r>
      <w:r w:rsidRPr="00F7453F">
        <w:rPr>
          <w:rFonts w:ascii="Palatino Linotype" w:eastAsia="Palatino Linotype" w:hAnsi="Palatino Linotype" w:cs="Palatino Linotype"/>
          <w:sz w:val="22"/>
          <w:szCs w:val="22"/>
        </w:rPr>
        <w:t xml:space="preserve">devienen fundados, siendo procedente </w:t>
      </w:r>
      <w:r w:rsidRPr="00F7453F">
        <w:rPr>
          <w:rFonts w:ascii="Palatino Linotype" w:eastAsia="Palatino Linotype" w:hAnsi="Palatino Linotype" w:cs="Palatino Linotype"/>
          <w:i/>
          <w:sz w:val="22"/>
          <w:szCs w:val="22"/>
        </w:rPr>
        <w:t xml:space="preserve">Modificar </w:t>
      </w:r>
      <w:r w:rsidRPr="00F7453F">
        <w:rPr>
          <w:rFonts w:ascii="Palatino Linotype" w:eastAsia="Palatino Linotype" w:hAnsi="Palatino Linotype" w:cs="Palatino Linotype"/>
          <w:sz w:val="22"/>
          <w:szCs w:val="22"/>
        </w:rPr>
        <w:t xml:space="preserve">la respuesta proporcionada por el </w:t>
      </w:r>
      <w:r w:rsidRPr="00F7453F">
        <w:rPr>
          <w:rFonts w:ascii="Palatino Linotype" w:eastAsia="Palatino Linotype" w:hAnsi="Palatino Linotype" w:cs="Palatino Linotype"/>
          <w:b/>
          <w:sz w:val="22"/>
          <w:szCs w:val="22"/>
        </w:rPr>
        <w:t xml:space="preserve">Sujeto Obligado </w:t>
      </w:r>
      <w:r w:rsidRPr="00F7453F">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rsidR="00DD1B6E" w:rsidRPr="00F7453F" w:rsidRDefault="00CC0DF6">
      <w:pP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Quinto. Versión Pública. </w:t>
      </w:r>
      <w:r w:rsidRPr="00F7453F">
        <w:rPr>
          <w:rFonts w:ascii="Palatino Linotype" w:eastAsia="Palatino Linotype" w:hAnsi="Palatino Linotype" w:cs="Palatino Linotype"/>
          <w:sz w:val="22"/>
          <w:szCs w:val="22"/>
        </w:rPr>
        <w:t>Como fue debidamente apuntado,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sz w:val="22"/>
          <w:szCs w:val="22"/>
        </w:rPr>
        <w:t> </w:t>
      </w: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Artículo 3.</w:t>
      </w:r>
      <w:r w:rsidRPr="00F7453F">
        <w:rPr>
          <w:rFonts w:ascii="Palatino Linotype" w:eastAsia="Palatino Linotype" w:hAnsi="Palatino Linotype" w:cs="Palatino Linotype"/>
          <w:i/>
          <w:sz w:val="22"/>
          <w:szCs w:val="22"/>
        </w:rPr>
        <w:t xml:space="preserve"> Para los efectos de la presente Ley se entenderá por:</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IX. Datos personales</w:t>
      </w:r>
      <w:r w:rsidRPr="00F7453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XX. Información clasificada</w:t>
      </w:r>
      <w:r w:rsidRPr="00F7453F">
        <w:rPr>
          <w:rFonts w:ascii="Palatino Linotype" w:eastAsia="Palatino Linotype" w:hAnsi="Palatino Linotype" w:cs="Palatino Linotype"/>
          <w:i/>
          <w:sz w:val="22"/>
          <w:szCs w:val="22"/>
        </w:rPr>
        <w:t>: Aquella considerada por la presente Ley como reservada o confidencial;</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XXI. Información confidencial</w:t>
      </w:r>
      <w:r w:rsidRPr="00F7453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XXXII. Protección de Datos Personales</w:t>
      </w:r>
      <w:r w:rsidRPr="00F7453F">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tabs>
          <w:tab w:val="left" w:pos="1276"/>
        </w:tabs>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XLV. Versión pública</w:t>
      </w:r>
      <w:r w:rsidRPr="00F7453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Artículo 6</w:t>
      </w:r>
      <w:r w:rsidRPr="00F7453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91.</w:t>
      </w:r>
      <w:r w:rsidRPr="00F7453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F7453F">
        <w:rPr>
          <w:rFonts w:ascii="Palatino Linotype" w:eastAsia="Palatino Linotype" w:hAnsi="Palatino Linotype" w:cs="Palatino Linotype"/>
          <w:i/>
          <w:sz w:val="22"/>
          <w:szCs w:val="22"/>
        </w:rPr>
        <w:br/>
        <w:t>…</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132.</w:t>
      </w:r>
      <w:r w:rsidRPr="00F7453F">
        <w:rPr>
          <w:rFonts w:ascii="Palatino Linotype" w:eastAsia="Palatino Linotype" w:hAnsi="Palatino Linotype" w:cs="Palatino Linotype"/>
          <w:i/>
          <w:sz w:val="22"/>
          <w:szCs w:val="22"/>
        </w:rPr>
        <w:t xml:space="preserve"> La clasificación de la información se llevará a cabo en el momento en que:</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Se reciba una solicitud de acceso a la información;</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xml:space="preserve"> Se determine mediante resolución de autoridad competente; o</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137.</w:t>
      </w:r>
      <w:r w:rsidRPr="00F7453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Artículo 143.</w:t>
      </w:r>
      <w:r w:rsidRPr="00F7453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DD1B6E" w:rsidRPr="00F7453F" w:rsidRDefault="00CC0DF6">
      <w:pPr>
        <w:spacing w:before="240" w:after="240" w:line="360" w:lineRule="auto"/>
        <w:ind w:right="5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DD1B6E" w:rsidRPr="00F7453F" w:rsidRDefault="00CC0DF6">
      <w:pPr>
        <w:spacing w:before="240" w:after="240" w:line="360" w:lineRule="auto"/>
        <w:ind w:right="5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7453F">
        <w:rPr>
          <w:rFonts w:ascii="Palatino Linotype" w:eastAsia="Palatino Linotype" w:hAnsi="Palatino Linotype" w:cs="Palatino Linotype"/>
          <w:b/>
          <w:sz w:val="22"/>
          <w:szCs w:val="22"/>
        </w:rPr>
        <w:t>Registro Federal de Contribuyentes</w:t>
      </w:r>
      <w:r w:rsidRPr="00F7453F">
        <w:rPr>
          <w:rFonts w:ascii="Palatino Linotype" w:eastAsia="Palatino Linotype" w:hAnsi="Palatino Linotype" w:cs="Palatino Linotype"/>
          <w:sz w:val="22"/>
          <w:szCs w:val="22"/>
        </w:rPr>
        <w:t xml:space="preserve"> (RFC), la </w:t>
      </w:r>
      <w:r w:rsidRPr="00F7453F">
        <w:rPr>
          <w:rFonts w:ascii="Palatino Linotype" w:eastAsia="Palatino Linotype" w:hAnsi="Palatino Linotype" w:cs="Palatino Linotype"/>
          <w:b/>
          <w:sz w:val="22"/>
          <w:szCs w:val="22"/>
        </w:rPr>
        <w:t>Clave Única de Registro de Población</w:t>
      </w:r>
      <w:r w:rsidRPr="00F7453F">
        <w:rPr>
          <w:rFonts w:ascii="Palatino Linotype" w:eastAsia="Palatino Linotype" w:hAnsi="Palatino Linotype" w:cs="Palatino Linotype"/>
          <w:sz w:val="22"/>
          <w:szCs w:val="22"/>
        </w:rPr>
        <w:t xml:space="preserve"> (CURP), la </w:t>
      </w:r>
      <w:r w:rsidRPr="00F7453F">
        <w:rPr>
          <w:rFonts w:ascii="Palatino Linotype" w:eastAsia="Palatino Linotype" w:hAnsi="Palatino Linotype" w:cs="Palatino Linotype"/>
          <w:b/>
          <w:sz w:val="22"/>
          <w:szCs w:val="22"/>
        </w:rPr>
        <w:t>Clave de cualquier tipo de seguridad social</w:t>
      </w:r>
      <w:r w:rsidRPr="00F7453F">
        <w:rPr>
          <w:rFonts w:ascii="Palatino Linotype" w:eastAsia="Palatino Linotype" w:hAnsi="Palatino Linotype" w:cs="Palatino Linotype"/>
          <w:sz w:val="22"/>
          <w:szCs w:val="22"/>
        </w:rPr>
        <w:t xml:space="preserve"> (ISSEMYM, u otros), los </w:t>
      </w:r>
      <w:r w:rsidRPr="00F7453F">
        <w:rPr>
          <w:rFonts w:ascii="Palatino Linotype" w:eastAsia="Palatino Linotype" w:hAnsi="Palatino Linotype" w:cs="Palatino Linotype"/>
          <w:b/>
          <w:sz w:val="22"/>
          <w:szCs w:val="22"/>
        </w:rPr>
        <w:t>números de cuentas bancarias</w:t>
      </w:r>
      <w:r w:rsidRPr="00F7453F">
        <w:rPr>
          <w:rFonts w:ascii="Palatino Linotype" w:eastAsia="Palatino Linotype" w:hAnsi="Palatino Linotype" w:cs="Palatino Linotype"/>
          <w:sz w:val="22"/>
          <w:szCs w:val="22"/>
        </w:rPr>
        <w:t xml:space="preserve">, claves estandarizadas – interbancarias - (CLABES) y de tarjetas, los </w:t>
      </w:r>
      <w:r w:rsidRPr="00F7453F">
        <w:rPr>
          <w:rFonts w:ascii="Palatino Linotype" w:eastAsia="Palatino Linotype" w:hAnsi="Palatino Linotype" w:cs="Palatino Linotype"/>
          <w:b/>
          <w:sz w:val="22"/>
          <w:szCs w:val="22"/>
        </w:rPr>
        <w:t>préstamos o descuentos</w:t>
      </w:r>
      <w:r w:rsidRPr="00F7453F">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F7453F">
        <w:rPr>
          <w:rFonts w:ascii="Palatino Linotype" w:eastAsia="Palatino Linotype" w:hAnsi="Palatino Linotype" w:cs="Palatino Linotype"/>
          <w:b/>
          <w:sz w:val="22"/>
          <w:szCs w:val="22"/>
        </w:rPr>
        <w:t xml:space="preserve"> número de empleado, </w:t>
      </w:r>
      <w:r w:rsidRPr="00F7453F">
        <w:rPr>
          <w:rFonts w:ascii="Palatino Linotype" w:eastAsia="Palatino Linotype" w:hAnsi="Palatino Linotype" w:cs="Palatino Linotype"/>
          <w:sz w:val="22"/>
          <w:szCs w:val="22"/>
        </w:rPr>
        <w:t xml:space="preserve">y, de ser el caso, el </w:t>
      </w:r>
      <w:r w:rsidRPr="00F7453F">
        <w:rPr>
          <w:rFonts w:ascii="Palatino Linotype" w:eastAsia="Palatino Linotype" w:hAnsi="Palatino Linotype" w:cs="Palatino Linotype"/>
          <w:b/>
          <w:sz w:val="22"/>
          <w:szCs w:val="22"/>
        </w:rPr>
        <w:t>folio fiscal</w:t>
      </w:r>
      <w:r w:rsidRPr="00F7453F">
        <w:rPr>
          <w:rFonts w:ascii="Palatino Linotype" w:eastAsia="Palatino Linotype" w:hAnsi="Palatino Linotype" w:cs="Palatino Linotype"/>
          <w:sz w:val="22"/>
          <w:szCs w:val="22"/>
        </w:rPr>
        <w:t xml:space="preserve">, la </w:t>
      </w:r>
      <w:r w:rsidRPr="00F7453F">
        <w:rPr>
          <w:rFonts w:ascii="Palatino Linotype" w:eastAsia="Palatino Linotype" w:hAnsi="Palatino Linotype" w:cs="Palatino Linotype"/>
          <w:b/>
          <w:sz w:val="22"/>
          <w:szCs w:val="22"/>
        </w:rPr>
        <w:t xml:space="preserve">cadena original, </w:t>
      </w:r>
      <w:r w:rsidRPr="00F7453F">
        <w:rPr>
          <w:rFonts w:ascii="Palatino Linotype" w:eastAsia="Palatino Linotype" w:hAnsi="Palatino Linotype" w:cs="Palatino Linotype"/>
          <w:sz w:val="22"/>
          <w:szCs w:val="22"/>
        </w:rPr>
        <w:t>los</w:t>
      </w:r>
      <w:r w:rsidRPr="00F7453F">
        <w:rPr>
          <w:rFonts w:ascii="Palatino Linotype" w:eastAsia="Palatino Linotype" w:hAnsi="Palatino Linotype" w:cs="Palatino Linotype"/>
          <w:b/>
          <w:sz w:val="22"/>
          <w:szCs w:val="22"/>
        </w:rPr>
        <w:t xml:space="preserve"> códigos bidimensionales o códigos QR,</w:t>
      </w:r>
      <w:r w:rsidRPr="00F7453F">
        <w:rPr>
          <w:rFonts w:ascii="Palatino Linotype" w:eastAsia="Palatino Linotype" w:hAnsi="Palatino Linotype" w:cs="Palatino Linotype"/>
          <w:sz w:val="22"/>
          <w:szCs w:val="22"/>
        </w:rPr>
        <w:t xml:space="preserve"> y cualquier información de carácter fiscal.</w:t>
      </w:r>
    </w:p>
    <w:p w:rsidR="00DD1B6E" w:rsidRPr="00F7453F" w:rsidRDefault="00CC0DF6">
      <w:pPr>
        <w:spacing w:before="240" w:after="240" w:line="360" w:lineRule="auto"/>
        <w:ind w:right="5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Por cuanto hace al </w:t>
      </w:r>
      <w:r w:rsidRPr="00F7453F">
        <w:rPr>
          <w:rFonts w:ascii="Palatino Linotype" w:eastAsia="Palatino Linotype" w:hAnsi="Palatino Linotype" w:cs="Palatino Linotype"/>
          <w:b/>
          <w:sz w:val="22"/>
          <w:szCs w:val="22"/>
        </w:rPr>
        <w:t>Registro Federal de Contribuyentes, RFC,</w:t>
      </w:r>
      <w:r w:rsidRPr="00F7453F">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de interpretación con clave de control SO/019/2017, el cual es del tenor literal siguiente:</w:t>
      </w:r>
    </w:p>
    <w:p w:rsidR="00DD1B6E" w:rsidRPr="00F7453F" w:rsidRDefault="00CC0DF6">
      <w:pPr>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 “Registro Federal de Contribuyentes (RFC) de personas físicas</w:t>
      </w:r>
      <w:r w:rsidRPr="00F7453F">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De igual manera la </w:t>
      </w:r>
      <w:r w:rsidRPr="00F7453F">
        <w:rPr>
          <w:rFonts w:ascii="Palatino Linotype" w:eastAsia="Palatino Linotype" w:hAnsi="Palatino Linotype" w:cs="Palatino Linotype"/>
          <w:b/>
          <w:sz w:val="22"/>
          <w:szCs w:val="22"/>
        </w:rPr>
        <w:t>Clave Única de Registro de Población</w:t>
      </w:r>
      <w:r w:rsidRPr="00F7453F">
        <w:rPr>
          <w:rFonts w:ascii="Palatino Linotype" w:eastAsia="Palatino Linotype" w:hAnsi="Palatino Linotype" w:cs="Palatino Linotype"/>
          <w:sz w:val="22"/>
          <w:szCs w:val="22"/>
        </w:rPr>
        <w:t xml:space="preserve">, </w:t>
      </w:r>
      <w:r w:rsidRPr="00F7453F">
        <w:rPr>
          <w:rFonts w:ascii="Palatino Linotype" w:eastAsia="Palatino Linotype" w:hAnsi="Palatino Linotype" w:cs="Palatino Linotype"/>
          <w:b/>
          <w:sz w:val="22"/>
          <w:szCs w:val="22"/>
        </w:rPr>
        <w:t>CURP,</w:t>
      </w:r>
      <w:r w:rsidRPr="00F7453F">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de interpretación con Clave de control SO/018/2017, el cual refiere:</w:t>
      </w:r>
    </w:p>
    <w:p w:rsidR="00DD1B6E" w:rsidRPr="00F7453F" w:rsidRDefault="00CC0DF6">
      <w:pPr>
        <w:ind w:left="851" w:right="851"/>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 “Clave Única de Registro de Población (CURP). </w:t>
      </w:r>
      <w:r w:rsidRPr="00F7453F">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Por lo que respecta a la </w:t>
      </w:r>
      <w:r w:rsidRPr="00F7453F">
        <w:rPr>
          <w:rFonts w:ascii="Palatino Linotype" w:eastAsia="Palatino Linotype" w:hAnsi="Palatino Linotype" w:cs="Palatino Linotype"/>
          <w:b/>
          <w:sz w:val="22"/>
          <w:szCs w:val="22"/>
        </w:rPr>
        <w:t>clave de seguridad social</w:t>
      </w:r>
      <w:r w:rsidRPr="00F7453F">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Respecto de los </w:t>
      </w:r>
      <w:r w:rsidRPr="00F7453F">
        <w:rPr>
          <w:rFonts w:ascii="Palatino Linotype" w:eastAsia="Palatino Linotype" w:hAnsi="Palatino Linotype" w:cs="Palatino Linotype"/>
          <w:b/>
          <w:sz w:val="22"/>
          <w:szCs w:val="22"/>
        </w:rPr>
        <w:t>números de cuentas bancari</w:t>
      </w:r>
      <w:r w:rsidRPr="00F7453F">
        <w:rPr>
          <w:rFonts w:ascii="Palatino Linotype" w:eastAsia="Palatino Linotype" w:hAnsi="Palatino Linotype" w:cs="Palatino Linotype"/>
          <w:sz w:val="22"/>
          <w:szCs w:val="22"/>
        </w:rPr>
        <w:t xml:space="preserve">as, </w:t>
      </w:r>
      <w:r w:rsidRPr="00F7453F">
        <w:rPr>
          <w:rFonts w:ascii="Palatino Linotype" w:eastAsia="Palatino Linotype" w:hAnsi="Palatino Linotype" w:cs="Palatino Linotype"/>
          <w:b/>
          <w:sz w:val="22"/>
          <w:szCs w:val="22"/>
        </w:rPr>
        <w:t>claves estandarizadas –interbancarias- (CLABES) y de tarjetas</w:t>
      </w:r>
      <w:r w:rsidRPr="00F7453F">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rsidR="00DD1B6E" w:rsidRPr="00F7453F" w:rsidRDefault="00CC0DF6">
      <w:pPr>
        <w:spacing w:before="240" w:after="24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Cuentas bancarias y/o CLABE interbancaria de personas físicas y morales privadas.</w:t>
      </w:r>
      <w:r w:rsidRPr="00F7453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DD1B6E" w:rsidRPr="00F7453F" w:rsidRDefault="00CC0DF6">
      <w:pPr>
        <w:spacing w:before="240" w:after="24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7453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10" w:name="_heading=h.35nkun2" w:colFirst="0" w:colLast="0"/>
      <w:bookmarkEnd w:id="10"/>
      <w:r w:rsidRPr="00F7453F">
        <w:rPr>
          <w:rFonts w:ascii="Palatino Linotype" w:eastAsia="Palatino Linotype" w:hAnsi="Palatino Linotype" w:cs="Palatino Linotype"/>
          <w:sz w:val="22"/>
          <w:szCs w:val="22"/>
        </w:rPr>
        <w:t xml:space="preserve">Por cuanto hace a los </w:t>
      </w:r>
      <w:r w:rsidRPr="00F7453F">
        <w:rPr>
          <w:rFonts w:ascii="Palatino Linotype" w:eastAsia="Palatino Linotype" w:hAnsi="Palatino Linotype" w:cs="Palatino Linotype"/>
          <w:b/>
          <w:sz w:val="22"/>
          <w:szCs w:val="22"/>
        </w:rPr>
        <w:t>préstamos o descuentos de carácter personal</w:t>
      </w:r>
      <w:r w:rsidRPr="00F7453F">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rsidR="00DD1B6E" w:rsidRPr="00F7453F" w:rsidRDefault="00CC0DF6">
      <w:pPr>
        <w:spacing w:before="120" w:after="120"/>
        <w:ind w:left="851" w:right="900"/>
        <w:jc w:val="both"/>
        <w:rPr>
          <w:rFonts w:ascii="Palatino Linotype" w:eastAsia="Palatino Linotype" w:hAnsi="Palatino Linotype" w:cs="Palatino Linotype"/>
          <w:b/>
          <w:i/>
          <w:sz w:val="22"/>
          <w:szCs w:val="22"/>
        </w:rPr>
      </w:pPr>
      <w:bookmarkStart w:id="11" w:name="_heading=h.1ksv4uv" w:colFirst="0" w:colLast="0"/>
      <w:bookmarkEnd w:id="11"/>
      <w:r w:rsidRPr="00F7453F">
        <w:rPr>
          <w:rFonts w:ascii="Palatino Linotype" w:eastAsia="Palatino Linotype" w:hAnsi="Palatino Linotype" w:cs="Palatino Linotype"/>
          <w:b/>
          <w:i/>
          <w:sz w:val="22"/>
          <w:szCs w:val="22"/>
        </w:rPr>
        <w:t xml:space="preserve">“ARTÍCULO 84. </w:t>
      </w:r>
      <w:r w:rsidRPr="00F7453F">
        <w:rPr>
          <w:rFonts w:ascii="Palatino Linotype" w:eastAsia="Palatino Linotype" w:hAnsi="Palatino Linotype" w:cs="Palatino Linotype"/>
          <w:i/>
          <w:sz w:val="22"/>
          <w:szCs w:val="22"/>
        </w:rPr>
        <w:t>Sólo podrán hacerse retenciones, descuentos o deducciones al sueldo de los servidores públicos por concepto de:</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Gravámenes fiscales relacionados con el sueldo;</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w:t>
      </w:r>
      <w:r w:rsidRPr="00F7453F">
        <w:rPr>
          <w:rFonts w:ascii="Palatino Linotype" w:eastAsia="Palatino Linotype" w:hAnsi="Palatino Linotype" w:cs="Palatino Linotype"/>
          <w:b/>
          <w:i/>
          <w:sz w:val="22"/>
          <w:szCs w:val="22"/>
        </w:rPr>
        <w:t>Cuotas sindicales</w:t>
      </w:r>
      <w:r w:rsidRPr="00F7453F">
        <w:rPr>
          <w:rFonts w:ascii="Palatino Linotype" w:eastAsia="Palatino Linotype" w:hAnsi="Palatino Linotype" w:cs="Palatino Linotype"/>
          <w:i/>
          <w:sz w:val="22"/>
          <w:szCs w:val="22"/>
        </w:rPr>
        <w:t>;</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IV.</w:t>
      </w:r>
      <w:r w:rsidRPr="00F7453F">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w:t>
      </w:r>
      <w:r w:rsidRPr="00F7453F">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w:t>
      </w:r>
      <w:r w:rsidRPr="00F7453F">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VII.</w:t>
      </w:r>
      <w:r w:rsidRPr="00F7453F">
        <w:rPr>
          <w:rFonts w:ascii="Palatino Linotype" w:eastAsia="Palatino Linotype" w:hAnsi="Palatino Linotype" w:cs="Palatino Linotype"/>
          <w:i/>
          <w:sz w:val="22"/>
          <w:szCs w:val="22"/>
        </w:rPr>
        <w:t xml:space="preserve"> Faltas de puntualidad o de asistencia injustificadas;</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VIII. Pensiones alimenticias ordenadas por la autoridad judicial;</w:t>
      </w:r>
      <w:r w:rsidRPr="00F7453F">
        <w:rPr>
          <w:rFonts w:ascii="Palatino Linotype" w:eastAsia="Palatino Linotype" w:hAnsi="Palatino Linotype" w:cs="Palatino Linotype"/>
          <w:i/>
          <w:sz w:val="22"/>
          <w:szCs w:val="22"/>
        </w:rPr>
        <w:t xml:space="preserve"> o</w:t>
      </w:r>
    </w:p>
    <w:p w:rsidR="00DD1B6E" w:rsidRPr="00F7453F" w:rsidRDefault="00CC0DF6">
      <w:pPr>
        <w:spacing w:before="120" w:after="120"/>
        <w:ind w:left="1134" w:right="902"/>
        <w:jc w:val="both"/>
        <w:rPr>
          <w:rFonts w:ascii="Palatino Linotype" w:eastAsia="Palatino Linotype" w:hAnsi="Palatino Linotype" w:cs="Palatino Linotype"/>
          <w:b/>
          <w:i/>
          <w:sz w:val="22"/>
          <w:szCs w:val="22"/>
        </w:rPr>
      </w:pPr>
      <w:r w:rsidRPr="00F7453F">
        <w:rPr>
          <w:rFonts w:ascii="Palatino Linotype" w:eastAsia="Palatino Linotype" w:hAnsi="Palatino Linotype" w:cs="Palatino Linotype"/>
          <w:b/>
          <w:i/>
          <w:sz w:val="22"/>
          <w:szCs w:val="22"/>
        </w:rPr>
        <w:t>IX. Cualquier otro convenido con instituciones de servicios y aceptado por el servidor público.</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De este modo, los </w:t>
      </w:r>
      <w:r w:rsidRPr="00F7453F">
        <w:rPr>
          <w:rFonts w:ascii="Palatino Linotype" w:eastAsia="Palatino Linotype" w:hAnsi="Palatino Linotype" w:cs="Palatino Linotype"/>
          <w:b/>
          <w:sz w:val="22"/>
          <w:szCs w:val="22"/>
        </w:rPr>
        <w:t>descuentos o deducciones por cuotas sindicales</w:t>
      </w:r>
      <w:r w:rsidRPr="00F7453F">
        <w:rPr>
          <w:rFonts w:ascii="Palatino Linotype" w:eastAsia="Palatino Linotype" w:hAnsi="Palatino Linotype" w:cs="Palatino Linotype"/>
          <w:sz w:val="22"/>
          <w:szCs w:val="22"/>
        </w:rPr>
        <w:t xml:space="preserve">, </w:t>
      </w:r>
      <w:r w:rsidRPr="00F7453F">
        <w:rPr>
          <w:rFonts w:ascii="Palatino Linotype" w:eastAsia="Palatino Linotype" w:hAnsi="Palatino Linotype" w:cs="Palatino Linotype"/>
          <w:b/>
          <w:sz w:val="22"/>
          <w:szCs w:val="22"/>
        </w:rPr>
        <w:t>pensiones alimenticias</w:t>
      </w:r>
      <w:r w:rsidRPr="00F7453F">
        <w:rPr>
          <w:rFonts w:ascii="Palatino Linotype" w:eastAsia="Palatino Linotype" w:hAnsi="Palatino Linotype" w:cs="Palatino Linotype"/>
          <w:sz w:val="22"/>
          <w:szCs w:val="22"/>
        </w:rPr>
        <w:t xml:space="preserve"> o </w:t>
      </w:r>
      <w:r w:rsidRPr="00F7453F">
        <w:rPr>
          <w:rFonts w:ascii="Palatino Linotype" w:eastAsia="Palatino Linotype" w:hAnsi="Palatino Linotype" w:cs="Palatino Linotype"/>
          <w:b/>
          <w:sz w:val="22"/>
          <w:szCs w:val="22"/>
        </w:rPr>
        <w:t>créditos adquiridos con instituciones privadas</w:t>
      </w:r>
      <w:r w:rsidRPr="00F7453F">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F7453F">
        <w:rPr>
          <w:rFonts w:ascii="Palatino Linotype" w:eastAsia="Palatino Linotype" w:hAnsi="Palatino Linotype" w:cs="Palatino Linotype"/>
          <w:b/>
          <w:sz w:val="22"/>
          <w:szCs w:val="22"/>
        </w:rPr>
        <w:t>es información que no es de carácter público, sino que constituye información confidencial</w:t>
      </w:r>
      <w:r w:rsidRPr="00F7453F">
        <w:rPr>
          <w:rFonts w:ascii="Palatino Linotype" w:eastAsia="Palatino Linotype" w:hAnsi="Palatino Linotype" w:cs="Palatino Linotype"/>
          <w:sz w:val="22"/>
          <w:szCs w:val="22"/>
        </w:rPr>
        <w:t xml:space="preserve"> en virtud de que corresponde con decisiones personales, y por tanto, se debe clasificar.</w:t>
      </w:r>
    </w:p>
    <w:p w:rsidR="00DD1B6E" w:rsidRPr="00F7453F" w:rsidRDefault="00CC0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rsidR="00DD1B6E" w:rsidRPr="00F7453F" w:rsidRDefault="00CC0DF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Con relación al </w:t>
      </w:r>
      <w:r w:rsidRPr="00F7453F">
        <w:rPr>
          <w:rFonts w:ascii="Palatino Linotype" w:eastAsia="Palatino Linotype" w:hAnsi="Palatino Linotype" w:cs="Palatino Linotype"/>
          <w:b/>
          <w:sz w:val="22"/>
          <w:szCs w:val="22"/>
        </w:rPr>
        <w:t>número de empleado</w:t>
      </w:r>
      <w:r w:rsidRPr="00F7453F">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F7453F">
        <w:rPr>
          <w:rFonts w:ascii="Palatino Linotype" w:eastAsia="Palatino Linotype" w:hAnsi="Palatino Linotype" w:cs="Palatino Linotype"/>
          <w:sz w:val="22"/>
          <w:szCs w:val="22"/>
          <w:vertAlign w:val="superscript"/>
        </w:rPr>
        <w:footnoteReference w:id="2"/>
      </w:r>
      <w:r w:rsidRPr="00F7453F">
        <w:rPr>
          <w:rFonts w:ascii="Palatino Linotype" w:eastAsia="Palatino Linotype" w:hAnsi="Palatino Linotype" w:cs="Palatino Linotype"/>
          <w:sz w:val="22"/>
          <w:szCs w:val="22"/>
        </w:rPr>
        <w:t>.</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rsidR="00DD1B6E" w:rsidRPr="00F7453F" w:rsidRDefault="00CC0DF6">
      <w:pPr>
        <w:tabs>
          <w:tab w:val="left" w:pos="7655"/>
        </w:tabs>
        <w:spacing w:before="240" w:after="240"/>
        <w:ind w:left="993" w:right="99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“Número de empleado. </w:t>
      </w:r>
      <w:r w:rsidRPr="00F7453F">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De la información fiscal</w:t>
      </w:r>
      <w:r w:rsidRPr="00F7453F">
        <w:rPr>
          <w:rFonts w:ascii="Palatino Linotype" w:eastAsia="Palatino Linotype" w:hAnsi="Palatino Linotype" w:cs="Palatino Linotype"/>
          <w:sz w:val="22"/>
          <w:szCs w:val="22"/>
        </w:rPr>
        <w:t xml:space="preserve">: </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La </w:t>
      </w:r>
      <w:r w:rsidRPr="00F7453F">
        <w:rPr>
          <w:rFonts w:ascii="Palatino Linotype" w:eastAsia="Palatino Linotype" w:hAnsi="Palatino Linotype" w:cs="Palatino Linotype"/>
          <w:b/>
          <w:sz w:val="22"/>
          <w:szCs w:val="22"/>
        </w:rPr>
        <w:t>Cadena Original</w:t>
      </w:r>
      <w:r w:rsidRPr="00F7453F">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Los </w:t>
      </w:r>
      <w:r w:rsidRPr="00F7453F">
        <w:rPr>
          <w:rFonts w:ascii="Palatino Linotype" w:eastAsia="Palatino Linotype" w:hAnsi="Palatino Linotype" w:cs="Palatino Linotype"/>
          <w:b/>
          <w:sz w:val="22"/>
          <w:szCs w:val="22"/>
        </w:rPr>
        <w:t>códigos bidimensionales</w:t>
      </w:r>
      <w:r w:rsidRPr="00F7453F">
        <w:rPr>
          <w:rFonts w:ascii="Palatino Linotype" w:eastAsia="Palatino Linotype" w:hAnsi="Palatino Linotype" w:cs="Palatino Linotype"/>
          <w:sz w:val="22"/>
          <w:szCs w:val="22"/>
        </w:rPr>
        <w:t xml:space="preserve"> o </w:t>
      </w:r>
      <w:r w:rsidRPr="00F7453F">
        <w:rPr>
          <w:rFonts w:ascii="Palatino Linotype" w:eastAsia="Palatino Linotype" w:hAnsi="Palatino Linotype" w:cs="Palatino Linotype"/>
          <w:b/>
          <w:sz w:val="22"/>
          <w:szCs w:val="22"/>
        </w:rPr>
        <w:t xml:space="preserve">códigos QR, </w:t>
      </w:r>
      <w:r w:rsidRPr="00F7453F">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En tal sentido, si derivado del análisis efectuado por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rsidR="00DD1B6E" w:rsidRPr="00F7453F" w:rsidRDefault="00CC0DF6">
      <w:pPr>
        <w:spacing w:before="240" w:after="240" w:line="360" w:lineRule="auto"/>
        <w:ind w:right="50"/>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49.</w:t>
      </w:r>
      <w:r w:rsidRPr="00F7453F">
        <w:rPr>
          <w:rFonts w:ascii="Palatino Linotype" w:eastAsia="Palatino Linotype" w:hAnsi="Palatino Linotype" w:cs="Palatino Linotype"/>
          <w:i/>
          <w:sz w:val="22"/>
          <w:szCs w:val="22"/>
        </w:rPr>
        <w:t xml:space="preserve"> </w:t>
      </w:r>
      <w:r w:rsidRPr="00F7453F">
        <w:rPr>
          <w:rFonts w:ascii="Palatino Linotype" w:eastAsia="Palatino Linotype" w:hAnsi="Palatino Linotype" w:cs="Palatino Linotype"/>
          <w:b/>
          <w:i/>
          <w:sz w:val="22"/>
          <w:szCs w:val="22"/>
        </w:rPr>
        <w:t>Los Comités de Transparencia</w:t>
      </w:r>
      <w:r w:rsidRPr="00F7453F">
        <w:rPr>
          <w:rFonts w:ascii="Palatino Linotype" w:eastAsia="Palatino Linotype" w:hAnsi="Palatino Linotype" w:cs="Palatino Linotype"/>
          <w:i/>
          <w:sz w:val="22"/>
          <w:szCs w:val="22"/>
        </w:rPr>
        <w:t xml:space="preserve"> tendrán las siguientes atribuciones:</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VIII. Aprobar, modificar o revocar la clasificación de la información</w:t>
      </w:r>
      <w:r w:rsidRPr="00F7453F">
        <w:rPr>
          <w:rFonts w:ascii="Palatino Linotype" w:eastAsia="Palatino Linotype" w:hAnsi="Palatino Linotype" w:cs="Palatino Linotype"/>
          <w:i/>
          <w:sz w:val="22"/>
          <w:szCs w:val="22"/>
        </w:rPr>
        <w:t>…”</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Artículo 53.</w:t>
      </w:r>
      <w:r w:rsidRPr="00F7453F">
        <w:rPr>
          <w:rFonts w:ascii="Palatino Linotype" w:eastAsia="Palatino Linotype" w:hAnsi="Palatino Linotype" w:cs="Palatino Linotype"/>
          <w:i/>
          <w:sz w:val="22"/>
          <w:szCs w:val="22"/>
        </w:rPr>
        <w:t xml:space="preserve"> Las </w:t>
      </w:r>
      <w:r w:rsidRPr="00F7453F">
        <w:rPr>
          <w:rFonts w:ascii="Palatino Linotype" w:eastAsia="Palatino Linotype" w:hAnsi="Palatino Linotype" w:cs="Palatino Linotype"/>
          <w:b/>
          <w:i/>
          <w:sz w:val="22"/>
          <w:szCs w:val="22"/>
        </w:rPr>
        <w:t>Unidades de Transparencia</w:t>
      </w:r>
      <w:r w:rsidRPr="00F7453F">
        <w:rPr>
          <w:rFonts w:ascii="Palatino Linotype" w:eastAsia="Palatino Linotype" w:hAnsi="Palatino Linotype" w:cs="Palatino Linotype"/>
          <w:i/>
          <w:sz w:val="22"/>
          <w:szCs w:val="22"/>
        </w:rPr>
        <w:t xml:space="preserve"> tendrán las siguientes </w:t>
      </w:r>
      <w:r w:rsidRPr="00F7453F">
        <w:rPr>
          <w:rFonts w:ascii="Palatino Linotype" w:eastAsia="Palatino Linotype" w:hAnsi="Palatino Linotype" w:cs="Palatino Linotype"/>
          <w:b/>
          <w:i/>
          <w:sz w:val="22"/>
          <w:szCs w:val="22"/>
        </w:rPr>
        <w:t>funciones</w:t>
      </w:r>
      <w:r w:rsidRPr="00F7453F">
        <w:rPr>
          <w:rFonts w:ascii="Palatino Linotype" w:eastAsia="Palatino Linotype" w:hAnsi="Palatino Linotype" w:cs="Palatino Linotype"/>
          <w:i/>
          <w:sz w:val="22"/>
          <w:szCs w:val="22"/>
        </w:rPr>
        <w:t>:</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X. Presentar ante el Comité, el proyecto de clasificación de información</w:t>
      </w:r>
      <w:r w:rsidRPr="00F7453F">
        <w:rPr>
          <w:rFonts w:ascii="Palatino Linotype" w:eastAsia="Palatino Linotype" w:hAnsi="Palatino Linotype" w:cs="Palatino Linotype"/>
          <w:i/>
          <w:sz w:val="22"/>
          <w:szCs w:val="22"/>
        </w:rPr>
        <w:t xml:space="preserve">…” </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“Artículo 59.</w:t>
      </w:r>
      <w:r w:rsidRPr="00F7453F">
        <w:rPr>
          <w:rFonts w:ascii="Palatino Linotype" w:eastAsia="Palatino Linotype" w:hAnsi="Palatino Linotype" w:cs="Palatino Linotype"/>
          <w:i/>
          <w:sz w:val="22"/>
          <w:szCs w:val="22"/>
        </w:rPr>
        <w:t xml:space="preserve"> Los </w:t>
      </w:r>
      <w:r w:rsidRPr="00F7453F">
        <w:rPr>
          <w:rFonts w:ascii="Palatino Linotype" w:eastAsia="Palatino Linotype" w:hAnsi="Palatino Linotype" w:cs="Palatino Linotype"/>
          <w:b/>
          <w:i/>
          <w:sz w:val="22"/>
          <w:szCs w:val="22"/>
        </w:rPr>
        <w:t>servidores públicos habilitados</w:t>
      </w:r>
      <w:r w:rsidRPr="00F7453F">
        <w:rPr>
          <w:rFonts w:ascii="Palatino Linotype" w:eastAsia="Palatino Linotype" w:hAnsi="Palatino Linotype" w:cs="Palatino Linotype"/>
          <w:i/>
          <w:sz w:val="22"/>
          <w:szCs w:val="22"/>
        </w:rPr>
        <w:t xml:space="preserve"> tendrán las </w:t>
      </w:r>
      <w:r w:rsidRPr="00F7453F">
        <w:rPr>
          <w:rFonts w:ascii="Palatino Linotype" w:eastAsia="Palatino Linotype" w:hAnsi="Palatino Linotype" w:cs="Palatino Linotype"/>
          <w:b/>
          <w:i/>
          <w:sz w:val="22"/>
          <w:szCs w:val="22"/>
        </w:rPr>
        <w:t>funciones</w:t>
      </w:r>
      <w:r w:rsidRPr="00F7453F">
        <w:rPr>
          <w:rFonts w:ascii="Palatino Linotype" w:eastAsia="Palatino Linotype" w:hAnsi="Palatino Linotype" w:cs="Palatino Linotype"/>
          <w:i/>
          <w:sz w:val="22"/>
          <w:szCs w:val="22"/>
        </w:rPr>
        <w:t xml:space="preserve"> siguientes:</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7453F">
        <w:rPr>
          <w:rFonts w:ascii="Palatino Linotype" w:eastAsia="Palatino Linotype" w:hAnsi="Palatino Linotype" w:cs="Palatino Linotype"/>
          <w:i/>
          <w:sz w:val="22"/>
          <w:szCs w:val="22"/>
        </w:rPr>
        <w:t>, la cual tendrá los fundamentos y argumentos en que se basa dicha propuesta…”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Artículo 149.</w:t>
      </w:r>
      <w:r w:rsidRPr="00F7453F">
        <w:rPr>
          <w:rFonts w:ascii="Palatino Linotype" w:eastAsia="Palatino Linotype" w:hAnsi="Palatino Linotype" w:cs="Palatino Linotype"/>
          <w:i/>
          <w:sz w:val="22"/>
          <w:szCs w:val="22"/>
        </w:rPr>
        <w:t xml:space="preserve"> El </w:t>
      </w:r>
      <w:r w:rsidRPr="00F7453F">
        <w:rPr>
          <w:rFonts w:ascii="Palatino Linotype" w:eastAsia="Palatino Linotype" w:hAnsi="Palatino Linotype" w:cs="Palatino Linotype"/>
          <w:b/>
          <w:i/>
          <w:sz w:val="22"/>
          <w:szCs w:val="22"/>
        </w:rPr>
        <w:t>acuerdo que clasifique la información como confidencial</w:t>
      </w:r>
      <w:r w:rsidRPr="00F7453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rsidR="00DD1B6E" w:rsidRPr="00F7453F" w:rsidRDefault="00CC0DF6">
      <w:pP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Es decir,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DD1B6E" w:rsidRPr="00F7453F" w:rsidRDefault="00CC0DF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 “Quincuagésimo. </w:t>
      </w:r>
      <w:r w:rsidRPr="00F7453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DD1B6E" w:rsidRPr="00F7453F" w:rsidRDefault="00CC0DF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Quincuagésimo primero. </w:t>
      </w:r>
      <w:r w:rsidRPr="00F7453F">
        <w:rPr>
          <w:rFonts w:ascii="Palatino Linotype" w:eastAsia="Palatino Linotype" w:hAnsi="Palatino Linotype" w:cs="Palatino Linotype"/>
          <w:i/>
          <w:sz w:val="22"/>
          <w:szCs w:val="22"/>
        </w:rPr>
        <w:t xml:space="preserve">Toda acta del Comité de Transparencia deberá contener: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El número de sesión y fecha;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xml:space="preserve">. El nombre del área que solicitó la clasificación de información;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La fundamentación legal y motivación correspondiente;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IV</w:t>
      </w:r>
      <w:r w:rsidRPr="00F7453F">
        <w:rPr>
          <w:rFonts w:ascii="Palatino Linotype" w:eastAsia="Palatino Linotype" w:hAnsi="Palatino Linotype" w:cs="Palatino Linotype"/>
          <w:i/>
          <w:sz w:val="22"/>
          <w:szCs w:val="22"/>
        </w:rPr>
        <w:t xml:space="preserve">. La resolución o resoluciones aprobadas; y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V</w:t>
      </w:r>
      <w:r w:rsidRPr="00F7453F">
        <w:rPr>
          <w:rFonts w:ascii="Palatino Linotype" w:eastAsia="Palatino Linotype" w:hAnsi="Palatino Linotype" w:cs="Palatino Linotype"/>
          <w:i/>
          <w:sz w:val="22"/>
          <w:szCs w:val="22"/>
        </w:rPr>
        <w:t xml:space="preserve">. La rúbrica o firma digital de cada integrante del Comité de Transparencia. </w:t>
      </w:r>
    </w:p>
    <w:p w:rsidR="00DD1B6E" w:rsidRPr="00F7453F" w:rsidRDefault="00CC0DF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Los motivos y razonamientos que sustenten la confirmación o modificación de la prueba de daño;</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Descripción de las partes o secciones reservadas, en caso de clasificación parcial</w:t>
      </w:r>
      <w:r w:rsidRPr="00F7453F">
        <w:rPr>
          <w:rFonts w:ascii="Palatino Linotype" w:eastAsia="Palatino Linotype" w:hAnsi="Palatino Linotype" w:cs="Palatino Linotype"/>
          <w:b/>
          <w:i/>
          <w:sz w:val="22"/>
          <w:szCs w:val="22"/>
        </w:rPr>
        <w:t xml:space="preserve">;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El periodo por el que mantendrá su clasificación y fecha de expiración; y </w:t>
      </w:r>
    </w:p>
    <w:p w:rsidR="00DD1B6E" w:rsidRPr="00F7453F" w:rsidRDefault="00CC0DF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IV.</w:t>
      </w:r>
      <w:r w:rsidRPr="00F7453F">
        <w:rPr>
          <w:rFonts w:ascii="Palatino Linotype" w:eastAsia="Palatino Linotype" w:hAnsi="Palatino Linotype" w:cs="Palatino Linotype"/>
          <w:i/>
          <w:sz w:val="22"/>
          <w:szCs w:val="22"/>
        </w:rPr>
        <w:t xml:space="preserve"> El nombre del titular y área encargada de realizar la versión pública del documento, en su caso. </w:t>
      </w:r>
    </w:p>
    <w:p w:rsidR="00DD1B6E" w:rsidRPr="00F7453F" w:rsidRDefault="00CC0DF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DD1B6E" w:rsidRPr="00F7453F" w:rsidRDefault="00CC0DF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r w:rsidRPr="00F7453F">
        <w:rPr>
          <w:rFonts w:ascii="Palatino Linotype" w:eastAsia="Palatino Linotype" w:hAnsi="Palatino Linotype" w:cs="Palatino Linotype"/>
          <w:b/>
          <w:i/>
          <w:sz w:val="22"/>
          <w:szCs w:val="22"/>
        </w:rPr>
        <w:t>Quincuagésimo segundo</w:t>
      </w:r>
      <w:r w:rsidRPr="00F7453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DD1B6E" w:rsidRPr="00F7453F" w:rsidRDefault="00CC0DF6">
      <w:pPr>
        <w:spacing w:before="120" w:after="120"/>
        <w:ind w:left="1134"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Señalar las personas o instancias autorizadas a acceder a la información clasificada.</w:t>
      </w:r>
    </w:p>
    <w:p w:rsidR="00DD1B6E" w:rsidRPr="00F7453F" w:rsidRDefault="00CC0DF6">
      <w:pP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DD1B6E" w:rsidRPr="00F7453F" w:rsidRDefault="00CC0DF6">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w:t>
      </w:r>
    </w:p>
    <w:p w:rsidR="00DD1B6E" w:rsidRPr="00F7453F" w:rsidRDefault="00CC0DF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F7453F">
        <w:rPr>
          <w:rFonts w:ascii="Palatino Linotype" w:eastAsia="Palatino Linotype" w:hAnsi="Palatino Linotype" w:cs="Palatino Linotype"/>
          <w:b/>
          <w:i/>
          <w:sz w:val="22"/>
          <w:szCs w:val="22"/>
        </w:rPr>
        <w:t xml:space="preserve">Quincuagésimo cuarto. </w:t>
      </w:r>
      <w:r w:rsidRPr="00F7453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7453F">
        <w:rPr>
          <w:rFonts w:ascii="Palatino Linotype" w:eastAsia="Palatino Linotype" w:hAnsi="Palatino Linotype" w:cs="Palatino Linotype"/>
          <w:b/>
          <w:i/>
          <w:sz w:val="22"/>
          <w:szCs w:val="22"/>
        </w:rPr>
        <w:t xml:space="preserve"> </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 xml:space="preserve">Quincuagésimo quinto. </w:t>
      </w:r>
      <w:r w:rsidRPr="00F7453F">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DD1B6E" w:rsidRPr="00F7453F" w:rsidRDefault="00CC0DF6">
      <w:pPr>
        <w:spacing w:before="120" w:after="120"/>
        <w:ind w:left="851" w:right="902"/>
        <w:jc w:val="both"/>
        <w:rPr>
          <w:rFonts w:ascii="Palatino Linotype" w:eastAsia="Palatino Linotype" w:hAnsi="Palatino Linotype" w:cs="Palatino Linotype"/>
          <w:b/>
          <w:i/>
          <w:sz w:val="22"/>
          <w:szCs w:val="22"/>
        </w:rPr>
      </w:pPr>
      <w:r w:rsidRPr="00F7453F">
        <w:rPr>
          <w:rFonts w:ascii="Palatino Linotype" w:eastAsia="Palatino Linotype" w:hAnsi="Palatino Linotype" w:cs="Palatino Linotype"/>
          <w:b/>
          <w:i/>
          <w:sz w:val="22"/>
          <w:szCs w:val="22"/>
        </w:rPr>
        <w:t>...</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Quincuagésimo séptimo</w:t>
      </w:r>
      <w:r w:rsidRPr="00F7453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w:t>
      </w:r>
      <w:r w:rsidRPr="00F7453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w:t>
      </w:r>
      <w:r w:rsidRPr="00F7453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DD1B6E" w:rsidRPr="00F7453F" w:rsidRDefault="00CC0DF6">
      <w:pPr>
        <w:spacing w:before="120" w:after="120"/>
        <w:ind w:left="1134"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III</w:t>
      </w:r>
      <w:r w:rsidRPr="00F7453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DD1B6E" w:rsidRPr="00F7453F" w:rsidRDefault="00CC0DF6">
      <w:pPr>
        <w:spacing w:before="120" w:after="120"/>
        <w:ind w:left="851" w:right="902"/>
        <w:jc w:val="both"/>
        <w:rPr>
          <w:rFonts w:ascii="Palatino Linotype" w:eastAsia="Palatino Linotype" w:hAnsi="Palatino Linotype" w:cs="Palatino Linotype"/>
          <w:i/>
          <w:sz w:val="22"/>
          <w:szCs w:val="22"/>
        </w:rPr>
      </w:pPr>
      <w:r w:rsidRPr="00F7453F">
        <w:rPr>
          <w:rFonts w:ascii="Palatino Linotype" w:eastAsia="Palatino Linotype" w:hAnsi="Palatino Linotype" w:cs="Palatino Linotype"/>
          <w:b/>
          <w:i/>
          <w:sz w:val="22"/>
          <w:szCs w:val="22"/>
        </w:rPr>
        <w:t>Quincuagésimo octavo</w:t>
      </w:r>
      <w:r w:rsidRPr="00F7453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12" w:name="_heading=h.jc1m5t7db2bc" w:colFirst="0" w:colLast="0"/>
      <w:bookmarkEnd w:id="12"/>
      <w:r w:rsidRPr="00F7453F">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DD1B6E" w:rsidRPr="00F7453F" w:rsidRDefault="00CC0DF6">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F7453F">
        <w:rPr>
          <w:rFonts w:ascii="Palatino Linotype" w:eastAsia="Palatino Linotype" w:hAnsi="Palatino Linotype" w:cs="Palatino Linotype"/>
          <w:b/>
          <w:sz w:val="22"/>
          <w:szCs w:val="22"/>
        </w:rPr>
        <w:t>III. R E S U E L V E</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13" w:name="_heading=h.26in1rg" w:colFirst="0" w:colLast="0"/>
      <w:bookmarkEnd w:id="13"/>
      <w:r w:rsidRPr="00F7453F">
        <w:rPr>
          <w:rFonts w:ascii="Palatino Linotype" w:eastAsia="Palatino Linotype" w:hAnsi="Palatino Linotype" w:cs="Palatino Linotype"/>
          <w:b/>
          <w:sz w:val="22"/>
          <w:szCs w:val="22"/>
        </w:rPr>
        <w:t xml:space="preserve">Primero. </w:t>
      </w:r>
      <w:r w:rsidRPr="00F7453F">
        <w:rPr>
          <w:rFonts w:ascii="Palatino Linotype" w:eastAsia="Palatino Linotype" w:hAnsi="Palatino Linotype" w:cs="Palatino Linotype"/>
          <w:sz w:val="22"/>
          <w:szCs w:val="22"/>
        </w:rPr>
        <w:t>Resultan</w:t>
      </w:r>
      <w:r w:rsidRPr="00F7453F">
        <w:rPr>
          <w:rFonts w:ascii="Palatino Linotype" w:eastAsia="Palatino Linotype" w:hAnsi="Palatino Linotype" w:cs="Palatino Linotype"/>
          <w:b/>
          <w:sz w:val="22"/>
          <w:szCs w:val="22"/>
        </w:rPr>
        <w:t xml:space="preserve"> fundadas</w:t>
      </w:r>
      <w:r w:rsidRPr="00F7453F">
        <w:rPr>
          <w:rFonts w:ascii="Palatino Linotype" w:eastAsia="Palatino Linotype" w:hAnsi="Palatino Linotype" w:cs="Palatino Linotype"/>
          <w:sz w:val="22"/>
          <w:szCs w:val="22"/>
        </w:rPr>
        <w:t xml:space="preserve"> las razones o motivos de inconformidad hechos valer por la parte</w:t>
      </w:r>
      <w:r w:rsidRPr="00F7453F">
        <w:rPr>
          <w:rFonts w:ascii="Palatino Linotype" w:eastAsia="Palatino Linotype" w:hAnsi="Palatino Linotype" w:cs="Palatino Linotype"/>
          <w:b/>
          <w:sz w:val="22"/>
          <w:szCs w:val="22"/>
        </w:rPr>
        <w:t xml:space="preserve"> Recurrente</w:t>
      </w:r>
      <w:r w:rsidRPr="00F7453F">
        <w:rPr>
          <w:rFonts w:ascii="Palatino Linotype" w:eastAsia="Palatino Linotype" w:hAnsi="Palatino Linotype" w:cs="Palatino Linotype"/>
          <w:sz w:val="22"/>
          <w:szCs w:val="22"/>
        </w:rPr>
        <w:t xml:space="preserve"> en el recurso de revisión </w:t>
      </w:r>
      <w:r w:rsidRPr="00F7453F">
        <w:rPr>
          <w:rFonts w:ascii="Palatino Linotype" w:eastAsia="Palatino Linotype" w:hAnsi="Palatino Linotype" w:cs="Palatino Linotype"/>
          <w:b/>
          <w:sz w:val="22"/>
          <w:szCs w:val="22"/>
        </w:rPr>
        <w:t>10104/INFOEM/IP/RR/2025</w:t>
      </w:r>
      <w:r w:rsidRPr="00F7453F">
        <w:rPr>
          <w:rFonts w:ascii="Palatino Linotype" w:eastAsia="Palatino Linotype" w:hAnsi="Palatino Linotype" w:cs="Palatino Linotype"/>
          <w:sz w:val="22"/>
          <w:szCs w:val="22"/>
        </w:rPr>
        <w:t xml:space="preserve">; por lo que, en términos del </w:t>
      </w:r>
      <w:r w:rsidRPr="00F7453F">
        <w:rPr>
          <w:rFonts w:ascii="Palatino Linotype" w:eastAsia="Palatino Linotype" w:hAnsi="Palatino Linotype" w:cs="Palatino Linotype"/>
          <w:b/>
          <w:sz w:val="22"/>
          <w:szCs w:val="22"/>
        </w:rPr>
        <w:t>Considerando</w:t>
      </w:r>
      <w:r w:rsidRPr="00F7453F">
        <w:rPr>
          <w:rFonts w:ascii="Palatino Linotype" w:eastAsia="Palatino Linotype" w:hAnsi="Palatino Linotype" w:cs="Palatino Linotype"/>
          <w:sz w:val="22"/>
          <w:szCs w:val="22"/>
        </w:rPr>
        <w:t xml:space="preserve"> </w:t>
      </w:r>
      <w:r w:rsidRPr="00F7453F">
        <w:rPr>
          <w:rFonts w:ascii="Palatino Linotype" w:eastAsia="Palatino Linotype" w:hAnsi="Palatino Linotype" w:cs="Palatino Linotype"/>
          <w:b/>
          <w:sz w:val="22"/>
          <w:szCs w:val="22"/>
        </w:rPr>
        <w:t xml:space="preserve">Cuarto </w:t>
      </w:r>
      <w:r w:rsidRPr="00F7453F">
        <w:rPr>
          <w:rFonts w:ascii="Palatino Linotype" w:eastAsia="Palatino Linotype" w:hAnsi="Palatino Linotype" w:cs="Palatino Linotype"/>
          <w:sz w:val="22"/>
          <w:szCs w:val="22"/>
        </w:rPr>
        <w:t xml:space="preserve">de esta resolución, se </w:t>
      </w:r>
      <w:r w:rsidRPr="00F7453F">
        <w:rPr>
          <w:rFonts w:ascii="Palatino Linotype" w:eastAsia="Palatino Linotype" w:hAnsi="Palatino Linotype" w:cs="Palatino Linotype"/>
          <w:b/>
          <w:sz w:val="22"/>
          <w:szCs w:val="22"/>
        </w:rPr>
        <w:t xml:space="preserve">Modifica </w:t>
      </w:r>
      <w:r w:rsidRPr="00F7453F">
        <w:rPr>
          <w:rFonts w:ascii="Palatino Linotype" w:eastAsia="Palatino Linotype" w:hAnsi="Palatino Linotype" w:cs="Palatino Linotype"/>
          <w:sz w:val="22"/>
          <w:szCs w:val="22"/>
        </w:rPr>
        <w:t xml:space="preserve">la respuesta emitida por el </w:t>
      </w:r>
      <w:r w:rsidRPr="00F7453F">
        <w:rPr>
          <w:rFonts w:ascii="Palatino Linotype" w:eastAsia="Palatino Linotype" w:hAnsi="Palatino Linotype" w:cs="Palatino Linotype"/>
          <w:b/>
          <w:sz w:val="22"/>
          <w:szCs w:val="22"/>
        </w:rPr>
        <w:t xml:space="preserve">Sujeto Obligado. </w:t>
      </w:r>
    </w:p>
    <w:p w:rsidR="00DD1B6E" w:rsidRPr="00F7453F" w:rsidRDefault="00CC0DF6">
      <w:pPr>
        <w:spacing w:before="240" w:after="240" w:line="360" w:lineRule="auto"/>
        <w:ind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Segundo. </w:t>
      </w:r>
      <w:r w:rsidRPr="00F7453F">
        <w:rPr>
          <w:rFonts w:ascii="Palatino Linotype" w:eastAsia="Palatino Linotype" w:hAnsi="Palatino Linotype" w:cs="Palatino Linotype"/>
          <w:sz w:val="22"/>
          <w:szCs w:val="22"/>
        </w:rPr>
        <w:t xml:space="preserve">Se </w:t>
      </w:r>
      <w:r w:rsidRPr="00F7453F">
        <w:rPr>
          <w:rFonts w:ascii="Palatino Linotype" w:eastAsia="Palatino Linotype" w:hAnsi="Palatino Linotype" w:cs="Palatino Linotype"/>
          <w:b/>
          <w:sz w:val="22"/>
          <w:szCs w:val="22"/>
        </w:rPr>
        <w:t>Ordena</w:t>
      </w:r>
      <w:r w:rsidRPr="00F7453F">
        <w:rPr>
          <w:rFonts w:ascii="Palatino Linotype" w:eastAsia="Palatino Linotype" w:hAnsi="Palatino Linotype" w:cs="Palatino Linotype"/>
          <w:sz w:val="22"/>
          <w:szCs w:val="22"/>
        </w:rPr>
        <w:t xml:space="preserve"> al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en términos de los Considerandos </w:t>
      </w:r>
      <w:r w:rsidRPr="00F7453F">
        <w:rPr>
          <w:rFonts w:ascii="Palatino Linotype" w:eastAsia="Palatino Linotype" w:hAnsi="Palatino Linotype" w:cs="Palatino Linotype"/>
          <w:b/>
          <w:sz w:val="22"/>
          <w:szCs w:val="22"/>
        </w:rPr>
        <w:t xml:space="preserve">Cuarto </w:t>
      </w:r>
      <w:r w:rsidRPr="00F7453F">
        <w:rPr>
          <w:rFonts w:ascii="Palatino Linotype" w:eastAsia="Palatino Linotype" w:hAnsi="Palatino Linotype" w:cs="Palatino Linotype"/>
          <w:sz w:val="22"/>
          <w:szCs w:val="22"/>
        </w:rPr>
        <w:t xml:space="preserve">y </w:t>
      </w:r>
      <w:r w:rsidRPr="00F7453F">
        <w:rPr>
          <w:rFonts w:ascii="Palatino Linotype" w:eastAsia="Palatino Linotype" w:hAnsi="Palatino Linotype" w:cs="Palatino Linotype"/>
          <w:b/>
          <w:sz w:val="22"/>
          <w:szCs w:val="22"/>
        </w:rPr>
        <w:t xml:space="preserve">Quinto </w:t>
      </w:r>
      <w:r w:rsidRPr="00F7453F">
        <w:rPr>
          <w:rFonts w:ascii="Palatino Linotype" w:eastAsia="Palatino Linotype" w:hAnsi="Palatino Linotype" w:cs="Palatino Linotype"/>
          <w:sz w:val="22"/>
          <w:szCs w:val="22"/>
        </w:rPr>
        <w:t xml:space="preserve">de esta resolución, haga entrega, vía </w:t>
      </w:r>
      <w:r w:rsidRPr="00F7453F">
        <w:rPr>
          <w:rFonts w:ascii="Palatino Linotype" w:eastAsia="Palatino Linotype" w:hAnsi="Palatino Linotype" w:cs="Palatino Linotype"/>
          <w:b/>
          <w:sz w:val="22"/>
          <w:szCs w:val="22"/>
        </w:rPr>
        <w:t>SAIMEX</w:t>
      </w:r>
      <w:r w:rsidRPr="00F7453F">
        <w:rPr>
          <w:rFonts w:ascii="Palatino Linotype" w:eastAsia="Palatino Linotype" w:hAnsi="Palatino Linotype" w:cs="Palatino Linotype"/>
          <w:sz w:val="22"/>
          <w:szCs w:val="22"/>
        </w:rPr>
        <w:t>, en versión pública, de lo siguiente:</w:t>
      </w:r>
    </w:p>
    <w:p w:rsidR="00DD1B6E" w:rsidRPr="00F7453F" w:rsidRDefault="00CC0DF6">
      <w:pPr>
        <w:spacing w:before="240" w:after="240" w:line="360" w:lineRule="auto"/>
        <w:ind w:left="284" w:right="49"/>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1. Recibo de nómina de la segunda quincena de junio de dos mil veinticinco, de la Secretaria del Ayuntamiento en funciones al treinta de julio de dos mil veinticinco. </w:t>
      </w:r>
    </w:p>
    <w:p w:rsidR="00DD1B6E" w:rsidRPr="00F7453F" w:rsidRDefault="00CC0DF6">
      <w:pPr>
        <w:spacing w:before="120" w:after="120"/>
        <w:ind w:left="284"/>
        <w:jc w:val="both"/>
        <w:rPr>
          <w:rFonts w:ascii="Palatino Linotype" w:eastAsia="Palatino Linotype" w:hAnsi="Palatino Linotype" w:cs="Palatino Linotype"/>
          <w:i/>
          <w:sz w:val="20"/>
          <w:szCs w:val="20"/>
        </w:rPr>
      </w:pPr>
      <w:r w:rsidRPr="00F7453F">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F7453F">
        <w:rPr>
          <w:rFonts w:ascii="Palatino Linotype" w:eastAsia="Palatino Linotype" w:hAnsi="Palatino Linotype" w:cs="Palatino Linotype"/>
          <w:b/>
          <w:i/>
          <w:sz w:val="20"/>
          <w:szCs w:val="20"/>
        </w:rPr>
        <w:t>Recurrente</w:t>
      </w:r>
      <w:r w:rsidRPr="00F7453F">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b/>
          <w:sz w:val="22"/>
          <w:szCs w:val="22"/>
        </w:rPr>
        <w:t xml:space="preserve">Tercero. Notifíquese, </w:t>
      </w:r>
      <w:r w:rsidRPr="00F7453F">
        <w:rPr>
          <w:rFonts w:ascii="Palatino Linotype" w:eastAsia="Palatino Linotype" w:hAnsi="Palatino Linotype" w:cs="Palatino Linotype"/>
          <w:sz w:val="22"/>
          <w:szCs w:val="22"/>
        </w:rPr>
        <w:t xml:space="preserve">vía </w:t>
      </w:r>
      <w:r w:rsidRPr="00F7453F">
        <w:rPr>
          <w:rFonts w:ascii="Palatino Linotype" w:eastAsia="Palatino Linotype" w:hAnsi="Palatino Linotype" w:cs="Palatino Linotype"/>
          <w:b/>
          <w:sz w:val="22"/>
          <w:szCs w:val="22"/>
        </w:rPr>
        <w:t>SAIMEX</w:t>
      </w:r>
      <w:r w:rsidRPr="00F7453F">
        <w:rPr>
          <w:rFonts w:ascii="Palatino Linotype" w:eastAsia="Palatino Linotype" w:hAnsi="Palatino Linotype" w:cs="Palatino Linotype"/>
          <w:sz w:val="22"/>
          <w:szCs w:val="22"/>
        </w:rPr>
        <w:t xml:space="preserve">, al Titular de la Unidad de Transparencia del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r w:rsidRPr="00F7453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7453F">
        <w:rPr>
          <w:rFonts w:ascii="Palatino Linotype" w:eastAsia="Palatino Linotype" w:hAnsi="Palatino Linotype" w:cs="Palatino Linotype"/>
          <w:b/>
          <w:sz w:val="22"/>
          <w:szCs w:val="22"/>
        </w:rPr>
        <w:t>Sujeto Obligado</w:t>
      </w:r>
      <w:r w:rsidRPr="00F7453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DD1B6E" w:rsidRPr="00F7453F" w:rsidRDefault="00CC0DF6">
      <w:pPr>
        <w:spacing w:before="240" w:after="240" w:line="360" w:lineRule="auto"/>
        <w:jc w:val="both"/>
        <w:rPr>
          <w:rFonts w:ascii="Palatino Linotype" w:eastAsia="Palatino Linotype" w:hAnsi="Palatino Linotype" w:cs="Palatino Linotype"/>
          <w:sz w:val="22"/>
          <w:szCs w:val="22"/>
        </w:rPr>
      </w:pPr>
      <w:bookmarkStart w:id="14" w:name="_heading=h.17dp8vu" w:colFirst="0" w:colLast="0"/>
      <w:bookmarkEnd w:id="14"/>
      <w:r w:rsidRPr="00F7453F">
        <w:rPr>
          <w:rFonts w:ascii="Palatino Linotype" w:eastAsia="Palatino Linotype" w:hAnsi="Palatino Linotype" w:cs="Palatino Linotype"/>
          <w:b/>
          <w:sz w:val="22"/>
          <w:szCs w:val="22"/>
        </w:rPr>
        <w:t xml:space="preserve">Cuarto.  Notifíquese, </w:t>
      </w:r>
      <w:r w:rsidRPr="00F7453F">
        <w:rPr>
          <w:rFonts w:ascii="Palatino Linotype" w:eastAsia="Palatino Linotype" w:hAnsi="Palatino Linotype" w:cs="Palatino Linotype"/>
          <w:sz w:val="22"/>
          <w:szCs w:val="22"/>
        </w:rPr>
        <w:t xml:space="preserve">vía </w:t>
      </w:r>
      <w:r w:rsidRPr="00F7453F">
        <w:rPr>
          <w:rFonts w:ascii="Palatino Linotype" w:eastAsia="Palatino Linotype" w:hAnsi="Palatino Linotype" w:cs="Palatino Linotype"/>
          <w:b/>
          <w:sz w:val="22"/>
          <w:szCs w:val="22"/>
        </w:rPr>
        <w:t>SAIMEX</w:t>
      </w:r>
      <w:r w:rsidRPr="00F7453F">
        <w:rPr>
          <w:rFonts w:ascii="Palatino Linotype" w:eastAsia="Palatino Linotype" w:hAnsi="Palatino Linotype" w:cs="Palatino Linotype"/>
          <w:sz w:val="22"/>
          <w:szCs w:val="22"/>
        </w:rPr>
        <w:t xml:space="preserve">, a la parte </w:t>
      </w:r>
      <w:r w:rsidRPr="00F7453F">
        <w:rPr>
          <w:rFonts w:ascii="Palatino Linotype" w:eastAsia="Palatino Linotype" w:hAnsi="Palatino Linotype" w:cs="Palatino Linotype"/>
          <w:b/>
          <w:sz w:val="22"/>
          <w:szCs w:val="22"/>
        </w:rPr>
        <w:t>Recurrente</w:t>
      </w:r>
      <w:r w:rsidRPr="00F7453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D1B6E" w:rsidRPr="00E16FA1" w:rsidRDefault="00CC0DF6">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5" w:name="_heading=h.lnxbz9" w:colFirst="0" w:colLast="0"/>
      <w:bookmarkEnd w:id="15"/>
      <w:r w:rsidRPr="00F7453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center"/>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p>
    <w:p w:rsidR="00DD1B6E" w:rsidRPr="00E16FA1" w:rsidRDefault="00DD1B6E">
      <w:pPr>
        <w:spacing w:line="360" w:lineRule="auto"/>
        <w:jc w:val="both"/>
        <w:rPr>
          <w:rFonts w:ascii="Palatino Linotype" w:eastAsia="Palatino Linotype" w:hAnsi="Palatino Linotype" w:cs="Palatino Linotype"/>
          <w:sz w:val="22"/>
          <w:szCs w:val="22"/>
        </w:rPr>
      </w:pPr>
      <w:bookmarkStart w:id="16" w:name="_GoBack"/>
      <w:bookmarkEnd w:id="16"/>
    </w:p>
    <w:sectPr w:rsidR="00DD1B6E" w:rsidRPr="00E16FA1">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B8F" w:rsidRDefault="00EC1B8F">
      <w:r>
        <w:separator/>
      </w:r>
    </w:p>
  </w:endnote>
  <w:endnote w:type="continuationSeparator" w:id="0">
    <w:p w:rsidR="00EC1B8F" w:rsidRDefault="00EC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C21038-C61C-41A7-8A72-19C339343112}"/>
    <w:embedBold r:id="rId2" w:fontKey="{EFE82617-805E-4055-8317-AB55A5E38932}"/>
  </w:font>
  <w:font w:name="Cambria">
    <w:panose1 w:val="02040503050406030204"/>
    <w:charset w:val="00"/>
    <w:family w:val="roman"/>
    <w:pitch w:val="variable"/>
    <w:sig w:usb0="E00006FF" w:usb1="420024FF" w:usb2="02000000" w:usb3="00000000" w:csb0="0000019F" w:csb1="00000000"/>
    <w:embedRegular r:id="rId3" w:fontKey="{93F17D92-C107-424B-8157-2730DDCD157F}"/>
    <w:embedBold r:id="rId4" w:fontKey="{CAC78762-7B25-4716-AA75-2FFCA29CC002}"/>
    <w:embedBoldItalic r:id="rId5" w:fontKey="{B589B02D-A098-4B11-9CE6-22EEB17C42E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2083E2A-6CD1-4BF3-8313-8DCD19C02729}"/>
  </w:font>
  <w:font w:name="Georgia">
    <w:panose1 w:val="02040502050405020303"/>
    <w:charset w:val="00"/>
    <w:family w:val="roman"/>
    <w:pitch w:val="variable"/>
    <w:sig w:usb0="00000287" w:usb1="00000000" w:usb2="00000000" w:usb3="00000000" w:csb0="0000009F" w:csb1="00000000"/>
    <w:embedRegular r:id="rId7" w:fontKey="{00849220-3E9B-4735-A09A-4DBAA95220AD}"/>
    <w:embedItalic r:id="rId8" w:fontKey="{88316010-27D2-439C-BC61-0C8D47D40AF5}"/>
  </w:font>
  <w:font w:name="Palatino Linotype">
    <w:panose1 w:val="02040502050505030304"/>
    <w:charset w:val="00"/>
    <w:family w:val="roman"/>
    <w:pitch w:val="variable"/>
    <w:sig w:usb0="E0000287" w:usb1="40000013" w:usb2="00000000" w:usb3="00000000" w:csb0="0000019F" w:csb1="00000000"/>
    <w:embedRegular r:id="rId9" w:fontKey="{849BFC35-067E-4850-83F0-28ABF4449858}"/>
    <w:embedBold r:id="rId10" w:fontKey="{882E401D-D7CF-4B0F-96C9-FAAE58FF2FE6}"/>
    <w:embedItalic r:id="rId11" w:fontKey="{DED8D0FE-D988-4EDC-A909-51285BBFCC77}"/>
    <w:embedBoldItalic r:id="rId12" w:fontKey="{2DDC0F0A-8FF9-4561-80F2-D8218C469A4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B6E" w:rsidRDefault="00CC0DF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50CF">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50C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DD1B6E" w:rsidRDefault="00DD1B6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B6E" w:rsidRDefault="00CC0DF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50C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50C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DD1B6E" w:rsidRDefault="00DD1B6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B8F" w:rsidRDefault="00EC1B8F">
      <w:r>
        <w:separator/>
      </w:r>
    </w:p>
  </w:footnote>
  <w:footnote w:type="continuationSeparator" w:id="0">
    <w:p w:rsidR="00EC1B8F" w:rsidRDefault="00EC1B8F">
      <w:r>
        <w:continuationSeparator/>
      </w:r>
    </w:p>
  </w:footnote>
  <w:footnote w:id="1">
    <w:p w:rsidR="00DD1B6E" w:rsidRDefault="00CC0D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2">
    <w:p w:rsidR="00DD1B6E" w:rsidRDefault="00CC0DF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B6E" w:rsidRDefault="00CC0DF6">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-1080090</wp:posOffset>
          </wp:positionH>
          <wp:positionV relativeFrom="paragraph">
            <wp:posOffset>-488261</wp:posOffset>
          </wp:positionV>
          <wp:extent cx="7809865" cy="10165715"/>
          <wp:effectExtent l="0" t="0" r="0" b="0"/>
          <wp:wrapNone/>
          <wp:docPr id="1021692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DD1B6E">
      <w:tc>
        <w:tcPr>
          <w:tcW w:w="2489" w:type="dxa"/>
        </w:tcPr>
        <w:p w:rsidR="00DD1B6E" w:rsidRDefault="00CC0D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rsidR="00DD1B6E" w:rsidRDefault="00CC0DF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10104/INFOEM/IP/RR/2025</w:t>
          </w:r>
        </w:p>
      </w:tc>
    </w:tr>
    <w:tr w:rsidR="00DD1B6E">
      <w:trPr>
        <w:trHeight w:val="228"/>
      </w:trPr>
      <w:tc>
        <w:tcPr>
          <w:tcW w:w="2489" w:type="dxa"/>
          <w:vAlign w:val="center"/>
        </w:tcPr>
        <w:p w:rsidR="00DD1B6E" w:rsidRDefault="00CC0D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rsidR="00DD1B6E" w:rsidRDefault="00CC0DF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DD1B6E">
      <w:tc>
        <w:tcPr>
          <w:tcW w:w="2489" w:type="dxa"/>
          <w:vAlign w:val="center"/>
        </w:tcPr>
        <w:p w:rsidR="00DD1B6E" w:rsidRDefault="00CC0DF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rsidR="00DD1B6E" w:rsidRDefault="00CC0DF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D1B6E" w:rsidRDefault="00CC0DF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B6E" w:rsidRDefault="00CC0DF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-1080132</wp:posOffset>
          </wp:positionH>
          <wp:positionV relativeFrom="paragraph">
            <wp:posOffset>-369891</wp:posOffset>
          </wp:positionV>
          <wp:extent cx="7809865" cy="10165715"/>
          <wp:effectExtent l="0" t="0" r="0" b="0"/>
          <wp:wrapNone/>
          <wp:docPr id="10216925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DD1B6E">
      <w:tc>
        <w:tcPr>
          <w:tcW w:w="2489" w:type="dxa"/>
        </w:tcPr>
        <w:p w:rsidR="00DD1B6E" w:rsidRDefault="00CC0D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rsidR="00DD1B6E" w:rsidRDefault="00CC0DF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10104/INFOEM/IP/RR/2025</w:t>
          </w:r>
        </w:p>
      </w:tc>
    </w:tr>
    <w:tr w:rsidR="00DD1B6E">
      <w:tc>
        <w:tcPr>
          <w:tcW w:w="2489" w:type="dxa"/>
        </w:tcPr>
        <w:p w:rsidR="00DD1B6E" w:rsidRDefault="00CC0D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rsidR="00DD1B6E" w:rsidRDefault="00C750CF" w:rsidP="00C750CF">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 XXXXXXX </w:t>
          </w:r>
        </w:p>
      </w:tc>
    </w:tr>
    <w:tr w:rsidR="00DD1B6E">
      <w:trPr>
        <w:trHeight w:val="228"/>
      </w:trPr>
      <w:tc>
        <w:tcPr>
          <w:tcW w:w="2489" w:type="dxa"/>
          <w:vAlign w:val="center"/>
        </w:tcPr>
        <w:p w:rsidR="00DD1B6E" w:rsidRDefault="00CC0D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rsidR="00DD1B6E" w:rsidRDefault="00CC0DF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DD1B6E">
      <w:tc>
        <w:tcPr>
          <w:tcW w:w="2489" w:type="dxa"/>
          <w:vAlign w:val="center"/>
        </w:tcPr>
        <w:p w:rsidR="00DD1B6E" w:rsidRDefault="00CC0DF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rsidR="00DD1B6E" w:rsidRDefault="00CC0DF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D1B6E" w:rsidRDefault="00DD1B6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3443A"/>
    <w:multiLevelType w:val="multilevel"/>
    <w:tmpl w:val="303251F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6E"/>
    <w:rsid w:val="00C750CF"/>
    <w:rsid w:val="00CC0DF6"/>
    <w:rsid w:val="00DD1B6E"/>
    <w:rsid w:val="00E16FA1"/>
    <w:rsid w:val="00EC1B8F"/>
    <w:rsid w:val="00F745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F94AE"/>
  <w15:docId w15:val="{CDF13E6A-1DDE-4139-96B2-78E05FB9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2s8r23WLQ/ecmnagzwclGBlz+g==">CgMxLjAyCWguM3JkY3JqbjIOaC5kYWozajJ4bzZxNjYyCGguZ2pkZ3hzMg5oLjdyM3BmbjhscDI4NjIOaC5jbDUxbG5ib2FtM2UyCWguM2R5NnZrbTIJaC4zMGowemxsMgloLjJzOGV5bzEyCGgudHlqY3d0MgloLjJldDkycDAyCWguMzVua3VuMjIJaC4xa3N2NHV2Mg5oLmpjMW01dDdkYjJiYzIJaC4yNmluMXJnMgloLjE3ZHA4dnUyCGgubG54Yno5OAByITFoSEd6elNhRm5paUt6V01jdnFacVZhTWp6UGNfUXdh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10808</Words>
  <Characters>59448</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2025-11-14T19:04:00Z</cp:lastPrinted>
  <dcterms:created xsi:type="dcterms:W3CDTF">2025-12-10T23:07:00Z</dcterms:created>
  <dcterms:modified xsi:type="dcterms:W3CDTF">2025-12-10T23:07:00Z</dcterms:modified>
</cp:coreProperties>
</file>