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Pr="00A15B00" w:rsidRDefault="00CF1CC3" w:rsidP="00A15B00">
      <w:pPr>
        <w:tabs>
          <w:tab w:val="left" w:pos="3465"/>
        </w:tabs>
        <w:spacing w:line="360" w:lineRule="auto"/>
        <w:jc w:val="both"/>
        <w:rPr>
          <w:rFonts w:ascii="Palatino Linotype" w:eastAsia="Palatino Linotype" w:hAnsi="Palatino Linotype" w:cs="Palatino Linotype"/>
          <w:b/>
          <w:color w:val="000000" w:themeColor="text1"/>
          <w:sz w:val="24"/>
          <w:szCs w:val="24"/>
        </w:rPr>
      </w:pPr>
      <w:bookmarkStart w:id="0" w:name="_GoBack"/>
      <w:bookmarkEnd w:id="0"/>
      <w:r w:rsidRPr="00A15B00">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156A18">
        <w:rPr>
          <w:rFonts w:ascii="Palatino Linotype" w:eastAsia="Palatino Linotype" w:hAnsi="Palatino Linotype" w:cs="Palatino Linotype"/>
          <w:b/>
          <w:color w:val="000000" w:themeColor="text1"/>
          <w:sz w:val="24"/>
          <w:szCs w:val="24"/>
        </w:rPr>
        <w:t>de</w:t>
      </w:r>
      <w:r w:rsidR="00156A18" w:rsidRPr="00156A18">
        <w:rPr>
          <w:rFonts w:ascii="Palatino Linotype" w:eastAsia="Palatino Linotype" w:hAnsi="Palatino Linotype" w:cs="Palatino Linotype"/>
          <w:b/>
          <w:color w:val="000000" w:themeColor="text1"/>
          <w:sz w:val="24"/>
          <w:szCs w:val="24"/>
        </w:rPr>
        <w:t xml:space="preserve"> fecha uno</w:t>
      </w:r>
      <w:r w:rsidR="00713034" w:rsidRPr="00A15B00">
        <w:rPr>
          <w:rFonts w:ascii="Palatino Linotype" w:eastAsia="Palatino Linotype" w:hAnsi="Palatino Linotype" w:cs="Palatino Linotype"/>
          <w:b/>
          <w:color w:val="000000" w:themeColor="text1"/>
          <w:sz w:val="24"/>
          <w:szCs w:val="24"/>
        </w:rPr>
        <w:t xml:space="preserve"> </w:t>
      </w:r>
      <w:r w:rsidR="00156A18">
        <w:rPr>
          <w:rFonts w:ascii="Palatino Linotype" w:eastAsia="Palatino Linotype" w:hAnsi="Palatino Linotype" w:cs="Palatino Linotype"/>
          <w:b/>
          <w:color w:val="000000" w:themeColor="text1"/>
          <w:sz w:val="24"/>
          <w:szCs w:val="24"/>
        </w:rPr>
        <w:t xml:space="preserve">(01) </w:t>
      </w:r>
      <w:r w:rsidR="00713034" w:rsidRPr="00A15B00">
        <w:rPr>
          <w:rFonts w:ascii="Palatino Linotype" w:eastAsia="Palatino Linotype" w:hAnsi="Palatino Linotype" w:cs="Palatino Linotype"/>
          <w:b/>
          <w:color w:val="000000" w:themeColor="text1"/>
          <w:sz w:val="24"/>
          <w:szCs w:val="24"/>
        </w:rPr>
        <w:t>de octubre</w:t>
      </w:r>
      <w:r w:rsidRPr="00A15B00">
        <w:rPr>
          <w:rFonts w:ascii="Palatino Linotype" w:eastAsia="Palatino Linotype" w:hAnsi="Palatino Linotype" w:cs="Palatino Linotype"/>
          <w:b/>
          <w:color w:val="000000" w:themeColor="text1"/>
          <w:sz w:val="24"/>
          <w:szCs w:val="24"/>
        </w:rPr>
        <w:t xml:space="preserve"> de dos mil veinticinco.</w:t>
      </w:r>
    </w:p>
    <w:p w:rsidR="0084142B" w:rsidRPr="00A15B00" w:rsidRDefault="0084142B" w:rsidP="00A15B00">
      <w:pPr>
        <w:tabs>
          <w:tab w:val="left" w:pos="3465"/>
        </w:tabs>
        <w:spacing w:line="360" w:lineRule="auto"/>
        <w:jc w:val="both"/>
        <w:rPr>
          <w:rFonts w:ascii="Palatino Linotype" w:eastAsia="Palatino Linotype" w:hAnsi="Palatino Linotype" w:cs="Palatino Linotype"/>
          <w:b/>
          <w:color w:val="000000" w:themeColor="text1"/>
          <w:sz w:val="24"/>
          <w:szCs w:val="24"/>
        </w:rPr>
      </w:pPr>
    </w:p>
    <w:p w:rsidR="0084142B" w:rsidRPr="00A15B00" w:rsidRDefault="00CF1CC3" w:rsidP="00A15B00">
      <w:pPr>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b/>
          <w:color w:val="000000" w:themeColor="text1"/>
          <w:sz w:val="24"/>
          <w:szCs w:val="24"/>
        </w:rPr>
        <w:t>VISTO</w:t>
      </w:r>
      <w:r w:rsidRPr="00A15B00">
        <w:rPr>
          <w:rFonts w:ascii="Palatino Linotype" w:eastAsia="Palatino Linotype" w:hAnsi="Palatino Linotype" w:cs="Palatino Linotype"/>
          <w:color w:val="000000" w:themeColor="text1"/>
          <w:sz w:val="24"/>
          <w:szCs w:val="24"/>
        </w:rPr>
        <w:t xml:space="preserve"> el expediente electrónico formado con motivo del recurso de revisión </w:t>
      </w:r>
      <w:r w:rsidRPr="00A15B00">
        <w:rPr>
          <w:rFonts w:ascii="Palatino Linotype" w:eastAsia="Palatino Linotype" w:hAnsi="Palatino Linotype" w:cs="Palatino Linotype"/>
          <w:b/>
          <w:color w:val="000000" w:themeColor="text1"/>
          <w:sz w:val="24"/>
          <w:szCs w:val="24"/>
        </w:rPr>
        <w:t xml:space="preserve">  </w:t>
      </w:r>
      <w:r w:rsidR="00713034" w:rsidRPr="00A15B00">
        <w:rPr>
          <w:rFonts w:ascii="Palatino Linotype" w:eastAsia="Palatino Linotype" w:hAnsi="Palatino Linotype" w:cs="Palatino Linotype"/>
          <w:b/>
          <w:bCs/>
          <w:color w:val="000000" w:themeColor="text1"/>
          <w:sz w:val="24"/>
          <w:szCs w:val="24"/>
        </w:rPr>
        <w:t>04593/INFOEM/IP/RR/2025</w:t>
      </w:r>
      <w:r w:rsidRPr="00A15B00">
        <w:rPr>
          <w:rFonts w:ascii="Palatino Linotype" w:eastAsia="Palatino Linotype" w:hAnsi="Palatino Linotype" w:cs="Palatino Linotype"/>
          <w:color w:val="000000" w:themeColor="text1"/>
          <w:sz w:val="24"/>
          <w:szCs w:val="24"/>
        </w:rPr>
        <w:t>,</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promovido por </w:t>
      </w:r>
      <w:r w:rsidR="00A15B00">
        <w:rPr>
          <w:rFonts w:ascii="Palatino Linotype" w:eastAsia="Palatino Linotype" w:hAnsi="Palatino Linotype" w:cs="Palatino Linotype"/>
          <w:b/>
          <w:color w:val="000000" w:themeColor="text1"/>
          <w:sz w:val="24"/>
          <w:szCs w:val="24"/>
        </w:rPr>
        <w:t>una persona que no proporciono datos de identificación</w:t>
      </w:r>
      <w:r w:rsidRPr="00A15B00">
        <w:rPr>
          <w:rFonts w:ascii="Palatino Linotype" w:eastAsia="Palatino Linotype" w:hAnsi="Palatino Linotype" w:cs="Palatino Linotype"/>
          <w:b/>
          <w:color w:val="000000" w:themeColor="text1"/>
          <w:sz w:val="24"/>
          <w:szCs w:val="24"/>
        </w:rPr>
        <w:t>,</w:t>
      </w:r>
      <w:r w:rsidRPr="00A15B00">
        <w:rPr>
          <w:rFonts w:ascii="Palatino Linotype" w:eastAsia="Palatino Linotype" w:hAnsi="Palatino Linotype" w:cs="Palatino Linotype"/>
          <w:color w:val="000000" w:themeColor="text1"/>
          <w:sz w:val="24"/>
          <w:szCs w:val="24"/>
        </w:rPr>
        <w:t xml:space="preserve"> a quien en lo sucesivo se le identificará como </w:t>
      </w:r>
      <w:r w:rsidRPr="00A15B00">
        <w:rPr>
          <w:rFonts w:ascii="Palatino Linotype" w:eastAsia="Palatino Linotype" w:hAnsi="Palatino Linotype" w:cs="Palatino Linotype"/>
          <w:b/>
          <w:color w:val="000000" w:themeColor="text1"/>
          <w:sz w:val="24"/>
          <w:szCs w:val="24"/>
        </w:rPr>
        <w:t>EL RECURRENTE</w:t>
      </w:r>
      <w:r w:rsidRPr="00A15B00">
        <w:rPr>
          <w:rFonts w:ascii="Palatino Linotype" w:eastAsia="Palatino Linotype" w:hAnsi="Palatino Linotype" w:cs="Palatino Linotype"/>
          <w:color w:val="000000" w:themeColor="text1"/>
          <w:sz w:val="24"/>
          <w:szCs w:val="24"/>
        </w:rPr>
        <w:t xml:space="preserve">, en contra de la respuesta del </w:t>
      </w:r>
      <w:r w:rsidR="00713034" w:rsidRPr="00A15B00">
        <w:rPr>
          <w:rFonts w:ascii="Palatino Linotype" w:eastAsia="Palatino Linotype" w:hAnsi="Palatino Linotype" w:cs="Palatino Linotype"/>
          <w:b/>
          <w:bCs/>
          <w:color w:val="000000" w:themeColor="text1"/>
          <w:sz w:val="24"/>
          <w:szCs w:val="24"/>
        </w:rPr>
        <w:t>Ayuntamiento de Acambay de Ruíz Castañeda</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en lo sucesivo el</w:t>
      </w:r>
      <w:r w:rsidRPr="00A15B00">
        <w:rPr>
          <w:rFonts w:ascii="Palatino Linotype" w:eastAsia="Palatino Linotype" w:hAnsi="Palatino Linotype" w:cs="Palatino Linotype"/>
          <w:b/>
          <w:color w:val="000000" w:themeColor="text1"/>
          <w:sz w:val="24"/>
          <w:szCs w:val="24"/>
        </w:rPr>
        <w:t xml:space="preserve"> SUJETO OBLIGADO</w:t>
      </w:r>
      <w:r w:rsidRPr="00A15B00">
        <w:rPr>
          <w:rFonts w:ascii="Palatino Linotype" w:eastAsia="Palatino Linotype" w:hAnsi="Palatino Linotype" w:cs="Palatino Linotype"/>
          <w:color w:val="000000" w:themeColor="text1"/>
          <w:sz w:val="24"/>
          <w:szCs w:val="24"/>
        </w:rPr>
        <w:t>, se procede a dictar la presente resolución, con base en los siguientes:</w:t>
      </w:r>
    </w:p>
    <w:p w:rsidR="0084142B" w:rsidRPr="00A15B00" w:rsidRDefault="0084142B" w:rsidP="00A15B00">
      <w:pPr>
        <w:spacing w:line="360" w:lineRule="auto"/>
        <w:jc w:val="both"/>
        <w:rPr>
          <w:rFonts w:ascii="Palatino Linotype" w:eastAsia="Palatino Linotype" w:hAnsi="Palatino Linotype" w:cs="Palatino Linotype"/>
          <w:b/>
          <w:color w:val="000000" w:themeColor="text1"/>
          <w:sz w:val="24"/>
          <w:szCs w:val="24"/>
        </w:rPr>
      </w:pPr>
    </w:p>
    <w:p w:rsidR="0084142B" w:rsidRDefault="00CF1CC3" w:rsidP="00A15B00">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k5tjtga1gtwn" w:colFirst="0" w:colLast="0"/>
      <w:bookmarkEnd w:id="1"/>
      <w:r w:rsidRPr="00A15B00">
        <w:rPr>
          <w:rFonts w:ascii="Palatino Linotype" w:eastAsia="Palatino Linotype" w:hAnsi="Palatino Linotype" w:cs="Palatino Linotype"/>
          <w:b/>
          <w:color w:val="000000" w:themeColor="text1"/>
          <w:sz w:val="24"/>
          <w:szCs w:val="24"/>
        </w:rPr>
        <w:t>A</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N</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T</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E</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C</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E</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D</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E</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N</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T</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E</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S</w:t>
      </w:r>
    </w:p>
    <w:p w:rsidR="00156A18" w:rsidRPr="00156A18" w:rsidRDefault="00156A18" w:rsidP="00156A18">
      <w:pPr>
        <w:rPr>
          <w:lang w:val="es-ES_tradnl" w:eastAsia="es-ES"/>
        </w:rPr>
      </w:pPr>
    </w:p>
    <w:p w:rsidR="00FE75E1"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El</w:t>
      </w:r>
      <w:r w:rsidRPr="00A15B00">
        <w:rPr>
          <w:rFonts w:ascii="Palatino Linotype" w:eastAsia="Palatino Linotype" w:hAnsi="Palatino Linotype" w:cs="Palatino Linotype"/>
          <w:b/>
          <w:color w:val="000000" w:themeColor="text1"/>
          <w:sz w:val="24"/>
          <w:szCs w:val="24"/>
        </w:rPr>
        <w:t xml:space="preserve"> </w:t>
      </w:r>
      <w:r w:rsidR="00713034" w:rsidRPr="00A15B00">
        <w:rPr>
          <w:rFonts w:ascii="Palatino Linotype" w:eastAsia="Palatino Linotype" w:hAnsi="Palatino Linotype" w:cs="Palatino Linotype"/>
          <w:b/>
          <w:color w:val="000000" w:themeColor="text1"/>
          <w:sz w:val="24"/>
          <w:szCs w:val="24"/>
        </w:rPr>
        <w:t>dieciocho de marzo</w:t>
      </w:r>
      <w:r w:rsidR="00350C93" w:rsidRPr="00A15B00">
        <w:rPr>
          <w:rFonts w:ascii="Palatino Linotype" w:eastAsia="Palatino Linotype" w:hAnsi="Palatino Linotype" w:cs="Palatino Linotype"/>
          <w:b/>
          <w:color w:val="000000" w:themeColor="text1"/>
          <w:sz w:val="24"/>
          <w:szCs w:val="24"/>
        </w:rPr>
        <w:t xml:space="preserve"> de dos mil veinticinco</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se presentó ante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a través del SAIMEX, la solicitud de información pública registrada con el número</w:t>
      </w:r>
      <w:r w:rsidR="00350C93" w:rsidRPr="00A15B00">
        <w:rPr>
          <w:rFonts w:ascii="Palatino Linotype" w:eastAsia="Palatino Linotype" w:hAnsi="Palatino Linotype" w:cs="Palatino Linotype"/>
          <w:b/>
          <w:color w:val="000000" w:themeColor="text1"/>
          <w:sz w:val="24"/>
          <w:szCs w:val="24"/>
        </w:rPr>
        <w:t xml:space="preserve"> </w:t>
      </w:r>
      <w:r w:rsidR="00713034" w:rsidRPr="00A15B00">
        <w:rPr>
          <w:rFonts w:ascii="Palatino Linotype" w:eastAsia="Palatino Linotype" w:hAnsi="Palatino Linotype" w:cs="Palatino Linotype"/>
          <w:b/>
          <w:bCs/>
          <w:color w:val="000000" w:themeColor="text1"/>
          <w:sz w:val="24"/>
          <w:szCs w:val="24"/>
        </w:rPr>
        <w:t>00215/ACAMBAY/IP/2025</w:t>
      </w:r>
      <w:r w:rsidRPr="00A15B00">
        <w:rPr>
          <w:rFonts w:ascii="Palatino Linotype" w:eastAsia="Palatino Linotype" w:hAnsi="Palatino Linotype" w:cs="Palatino Linotype"/>
          <w:b/>
          <w:color w:val="000000" w:themeColor="text1"/>
          <w:sz w:val="24"/>
          <w:szCs w:val="24"/>
        </w:rPr>
        <w:t xml:space="preserve">; </w:t>
      </w:r>
      <w:r w:rsidR="005C4740">
        <w:rPr>
          <w:rFonts w:ascii="Palatino Linotype" w:eastAsia="Palatino Linotype" w:hAnsi="Palatino Linotype" w:cs="Palatino Linotype"/>
          <w:color w:val="000000" w:themeColor="text1"/>
          <w:sz w:val="24"/>
          <w:szCs w:val="24"/>
        </w:rPr>
        <w:t>en la que</w:t>
      </w:r>
      <w:r w:rsidRPr="00A15B00">
        <w:rPr>
          <w:rFonts w:ascii="Palatino Linotype" w:eastAsia="Palatino Linotype" w:hAnsi="Palatino Linotype" w:cs="Palatino Linotype"/>
          <w:color w:val="000000" w:themeColor="text1"/>
          <w:sz w:val="24"/>
          <w:szCs w:val="24"/>
        </w:rPr>
        <w:t xml:space="preserve"> se solicitó la siguiente información:</w:t>
      </w:r>
    </w:p>
    <w:p w:rsidR="00FE75E1" w:rsidRPr="00A15B00" w:rsidRDefault="00FE75E1"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FE75E1" w:rsidP="00A15B0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w:t>
      </w:r>
      <w:r w:rsidR="00713034" w:rsidRPr="00A15B00">
        <w:rPr>
          <w:rFonts w:ascii="Palatino Linotype" w:eastAsia="Palatino Linotype" w:hAnsi="Palatino Linotype" w:cs="Palatino Linotype"/>
          <w:i/>
          <w:color w:val="000000" w:themeColor="text1"/>
          <w:sz w:val="24"/>
          <w:szCs w:val="24"/>
        </w:rPr>
        <w:t>SOLICITO SABER CUANTO EL GASTO QUE REALIZO EL AYUNTAMIENTO EN EL CARNAVAL POR CONCEPTO DESDE LA MUSICA Y LA GENTE QUE TRAJO PARA LLEVAR ACABO DICHO EVENTO EN POCAS PALABRAS SOLICITO TODO LO QUE SE GASTO POR CONCEPTO</w:t>
      </w:r>
      <w:r w:rsidR="00CF1CC3" w:rsidRPr="00A15B00">
        <w:rPr>
          <w:rFonts w:ascii="Palatino Linotype" w:eastAsia="Palatino Linotype" w:hAnsi="Palatino Linotype" w:cs="Palatino Linotype"/>
          <w:i/>
          <w:color w:val="000000" w:themeColor="text1"/>
          <w:sz w:val="24"/>
          <w:szCs w:val="24"/>
        </w:rPr>
        <w:t>” (Sic)</w:t>
      </w:r>
    </w:p>
    <w:p w:rsidR="0084142B" w:rsidRPr="00A15B00" w:rsidRDefault="0084142B"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CF1CC3" w:rsidP="00A15B00">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Se eligió como modalidad de entrega de la información: A través del </w:t>
      </w:r>
      <w:r w:rsidRPr="00A15B00">
        <w:rPr>
          <w:rFonts w:ascii="Palatino Linotype" w:eastAsia="Palatino Linotype" w:hAnsi="Palatino Linotype" w:cs="Palatino Linotype"/>
          <w:b/>
          <w:color w:val="000000" w:themeColor="text1"/>
          <w:sz w:val="24"/>
          <w:szCs w:val="24"/>
        </w:rPr>
        <w:t>SAIMEX.</w:t>
      </w:r>
    </w:p>
    <w:p w:rsidR="0084142B" w:rsidRPr="00A15B00" w:rsidRDefault="0084142B"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El</w:t>
      </w:r>
      <w:r w:rsidR="00350C93" w:rsidRPr="00A15B00">
        <w:rPr>
          <w:rFonts w:ascii="Palatino Linotype" w:eastAsia="Palatino Linotype" w:hAnsi="Palatino Linotype" w:cs="Palatino Linotype"/>
          <w:color w:val="000000" w:themeColor="text1"/>
          <w:sz w:val="24"/>
          <w:szCs w:val="24"/>
        </w:rPr>
        <w:t xml:space="preserve"> </w:t>
      </w:r>
      <w:r w:rsidR="00713034" w:rsidRPr="00A15B00">
        <w:rPr>
          <w:rFonts w:ascii="Palatino Linotype" w:eastAsia="Palatino Linotype" w:hAnsi="Palatino Linotype" w:cs="Palatino Linotype"/>
          <w:b/>
          <w:color w:val="000000" w:themeColor="text1"/>
          <w:sz w:val="24"/>
          <w:szCs w:val="24"/>
        </w:rPr>
        <w:t>ocho de abril</w:t>
      </w:r>
      <w:r w:rsidR="00350C93" w:rsidRPr="00A15B00">
        <w:rPr>
          <w:rFonts w:ascii="Palatino Linotype" w:eastAsia="Palatino Linotype" w:hAnsi="Palatino Linotype" w:cs="Palatino Linotype"/>
          <w:b/>
          <w:color w:val="000000" w:themeColor="text1"/>
          <w:sz w:val="24"/>
          <w:szCs w:val="24"/>
        </w:rPr>
        <w:t xml:space="preserve"> de dos mil veinticinco, </w:t>
      </w:r>
      <w:r w:rsidRPr="00A15B00">
        <w:rPr>
          <w:rFonts w:ascii="Palatino Linotype" w:eastAsia="Palatino Linotype" w:hAnsi="Palatino Linotype" w:cs="Palatino Linotype"/>
          <w:color w:val="000000" w:themeColor="text1"/>
          <w:sz w:val="24"/>
          <w:szCs w:val="24"/>
        </w:rPr>
        <w:t xml:space="preserve">el </w:t>
      </w:r>
      <w:r w:rsidRPr="00A15B00">
        <w:rPr>
          <w:rFonts w:ascii="Palatino Linotype" w:eastAsia="Palatino Linotype" w:hAnsi="Palatino Linotype" w:cs="Palatino Linotype"/>
          <w:b/>
          <w:color w:val="000000" w:themeColor="text1"/>
          <w:sz w:val="24"/>
          <w:szCs w:val="24"/>
        </w:rPr>
        <w:t xml:space="preserve">SUJETO OBLIGADO, </w:t>
      </w:r>
      <w:r w:rsidR="00350C93" w:rsidRPr="00A15B00">
        <w:rPr>
          <w:rFonts w:ascii="Palatino Linotype" w:eastAsia="Palatino Linotype" w:hAnsi="Palatino Linotype" w:cs="Palatino Linotype"/>
          <w:color w:val="000000" w:themeColor="text1"/>
          <w:sz w:val="24"/>
          <w:szCs w:val="24"/>
        </w:rPr>
        <w:t>dio respuesta de la siguiente manera:</w:t>
      </w:r>
    </w:p>
    <w:p w:rsidR="00713034" w:rsidRPr="00A15B00" w:rsidRDefault="00713034" w:rsidP="00A15B00">
      <w:pPr>
        <w:pStyle w:val="Prrafodelista"/>
        <w:numPr>
          <w:ilvl w:val="0"/>
          <w:numId w:val="23"/>
        </w:numPr>
        <w:pBdr>
          <w:top w:val="nil"/>
          <w:left w:val="nil"/>
          <w:bottom w:val="nil"/>
          <w:right w:val="nil"/>
          <w:between w:val="nil"/>
        </w:pBdr>
        <w:spacing w:line="276" w:lineRule="auto"/>
        <w:ind w:left="0" w:firstLine="0"/>
        <w:jc w:val="both"/>
        <w:rPr>
          <w:rFonts w:ascii="Palatino Linotype" w:hAnsi="Palatino Linotype"/>
          <w:b/>
          <w:i/>
          <w:color w:val="000000" w:themeColor="text1"/>
        </w:rPr>
      </w:pPr>
      <w:r w:rsidRPr="00A15B00">
        <w:rPr>
          <w:rFonts w:ascii="Palatino Linotype" w:hAnsi="Palatino Linotype"/>
          <w:b/>
          <w:i/>
          <w:color w:val="000000" w:themeColor="text1"/>
        </w:rPr>
        <w:t>SOL 215.pdf</w:t>
      </w:r>
    </w:p>
    <w:p w:rsidR="00713034" w:rsidRPr="00A15B00" w:rsidRDefault="00713034" w:rsidP="00A15B00">
      <w:pPr>
        <w:pBdr>
          <w:top w:val="nil"/>
          <w:left w:val="nil"/>
          <w:bottom w:val="nil"/>
          <w:right w:val="nil"/>
          <w:between w:val="nil"/>
        </w:pBdr>
        <w:spacing w:line="276" w:lineRule="auto"/>
        <w:jc w:val="both"/>
        <w:rPr>
          <w:rFonts w:ascii="Palatino Linotype" w:hAnsi="Palatino Linotype"/>
          <w:color w:val="000000" w:themeColor="text1"/>
          <w:sz w:val="24"/>
          <w:szCs w:val="24"/>
        </w:rPr>
      </w:pPr>
      <w:r w:rsidRPr="00A15B00">
        <w:rPr>
          <w:rFonts w:ascii="Palatino Linotype" w:hAnsi="Palatino Linotype"/>
          <w:color w:val="000000" w:themeColor="text1"/>
          <w:sz w:val="24"/>
          <w:szCs w:val="24"/>
        </w:rPr>
        <w:t>Oficio de diecinueve de marzo de dos mil veinticinco, firmado por el Titular de la Unidad de Transparencia por el que solicita al Tesorero Municipal de atención a la solicitud de información que nos ocupa.</w:t>
      </w:r>
    </w:p>
    <w:p w:rsidR="00713034" w:rsidRPr="00A15B00" w:rsidRDefault="00713034" w:rsidP="00A15B00">
      <w:pPr>
        <w:pBdr>
          <w:top w:val="nil"/>
          <w:left w:val="nil"/>
          <w:bottom w:val="nil"/>
          <w:right w:val="nil"/>
          <w:between w:val="nil"/>
        </w:pBdr>
        <w:spacing w:line="276" w:lineRule="auto"/>
        <w:jc w:val="both"/>
        <w:rPr>
          <w:rFonts w:ascii="Palatino Linotype" w:hAnsi="Palatino Linotype"/>
          <w:color w:val="000000" w:themeColor="text1"/>
          <w:sz w:val="24"/>
          <w:szCs w:val="24"/>
        </w:rPr>
      </w:pPr>
    </w:p>
    <w:p w:rsidR="00713034" w:rsidRPr="00A15B00" w:rsidRDefault="00713034" w:rsidP="00A15B00">
      <w:pPr>
        <w:pBdr>
          <w:top w:val="nil"/>
          <w:left w:val="nil"/>
          <w:bottom w:val="nil"/>
          <w:right w:val="nil"/>
          <w:between w:val="nil"/>
        </w:pBdr>
        <w:spacing w:line="276" w:lineRule="auto"/>
        <w:jc w:val="both"/>
        <w:rPr>
          <w:rFonts w:ascii="Palatino Linotype" w:hAnsi="Palatino Linotype"/>
          <w:b/>
          <w:i/>
          <w:color w:val="000000" w:themeColor="text1"/>
          <w:sz w:val="24"/>
          <w:szCs w:val="24"/>
        </w:rPr>
      </w:pPr>
      <w:r w:rsidRPr="00A15B00">
        <w:rPr>
          <w:rFonts w:ascii="Palatino Linotype" w:hAnsi="Palatino Linotype"/>
          <w:color w:val="000000" w:themeColor="text1"/>
          <w:sz w:val="24"/>
          <w:szCs w:val="24"/>
        </w:rPr>
        <w:t>Oficio de tres de abril de dos mil veinticinco, firmado por el Tesorero Municipal por el que informo lo siguiente:</w:t>
      </w:r>
    </w:p>
    <w:p w:rsidR="00FE75E1" w:rsidRPr="00A15B00" w:rsidRDefault="00713034" w:rsidP="00A15B00">
      <w:pPr>
        <w:pBdr>
          <w:top w:val="nil"/>
          <w:left w:val="nil"/>
          <w:bottom w:val="nil"/>
          <w:right w:val="nil"/>
          <w:between w:val="nil"/>
        </w:pBdr>
        <w:spacing w:line="276" w:lineRule="auto"/>
        <w:jc w:val="both"/>
        <w:rPr>
          <w:rFonts w:ascii="Palatino Linotype" w:hAnsi="Palatino Linotype"/>
          <w:i/>
          <w:color w:val="000000" w:themeColor="text1"/>
          <w:sz w:val="24"/>
          <w:szCs w:val="24"/>
        </w:rPr>
      </w:pPr>
      <w:r w:rsidRPr="00A15B00">
        <w:rPr>
          <w:rFonts w:ascii="Palatino Linotype" w:hAnsi="Palatino Linotype"/>
          <w:i/>
          <w:color w:val="000000" w:themeColor="text1"/>
          <w:sz w:val="24"/>
          <w:szCs w:val="24"/>
        </w:rPr>
        <w:t>“En este sentido, en respuesta a la solicitud, se informa que derivado a que los proveedores no entregaron las facturas correspondientes en el mes del evento, el informe de dichos gastos se integrara hasta el segundo trimestre del presente año. Por lo tanto, esta Tesorería Municipal no está en condiciones de atender lo requerido.”</w:t>
      </w:r>
    </w:p>
    <w:p w:rsidR="00713034" w:rsidRPr="00A15B00" w:rsidRDefault="00713034" w:rsidP="00A15B00">
      <w:pPr>
        <w:pBdr>
          <w:top w:val="nil"/>
          <w:left w:val="nil"/>
          <w:bottom w:val="nil"/>
          <w:right w:val="nil"/>
          <w:between w:val="nil"/>
        </w:pBdr>
        <w:spacing w:line="276" w:lineRule="auto"/>
        <w:jc w:val="both"/>
        <w:rPr>
          <w:rFonts w:ascii="Palatino Linotype" w:hAnsi="Palatino Linotype"/>
          <w:color w:val="000000" w:themeColor="text1"/>
          <w:sz w:val="24"/>
          <w:szCs w:val="24"/>
        </w:rPr>
      </w:pPr>
      <w:r w:rsidRPr="00A15B00">
        <w:rPr>
          <w:rFonts w:ascii="Palatino Linotype" w:hAnsi="Palatino Linotype"/>
          <w:color w:val="000000" w:themeColor="text1"/>
          <w:sz w:val="24"/>
          <w:szCs w:val="24"/>
        </w:rPr>
        <w:t>Oficio de diecinueve de marzo de dos mil veinticinco, firmado por el Titular de la Unidad de Transparencia por el que solicita al Titular de la Unidad de Adquisidores y Recursos Materiales de atención a la solicitud de información que nos ocupa.</w:t>
      </w:r>
    </w:p>
    <w:p w:rsidR="00FE75E1" w:rsidRPr="00A15B00" w:rsidRDefault="00713034" w:rsidP="00A15B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Oficio de primero de marzo de dos mil veinticinco, firmado por Titular de la Unidad de Transparencia por el que solicita al Titular de la Unidad de Adquisidores y Recursos Materiales</w:t>
      </w:r>
      <w:r w:rsidR="003B55E9" w:rsidRPr="00A15B00">
        <w:rPr>
          <w:rFonts w:ascii="Palatino Linotype" w:eastAsia="Palatino Linotype" w:hAnsi="Palatino Linotype" w:cs="Palatino Linotype"/>
          <w:color w:val="000000" w:themeColor="text1"/>
          <w:sz w:val="24"/>
          <w:szCs w:val="24"/>
        </w:rPr>
        <w:t>, por el que informo lo siguiente:</w:t>
      </w:r>
    </w:p>
    <w:p w:rsidR="003B55E9" w:rsidRPr="00A15B00" w:rsidRDefault="003B55E9" w:rsidP="00A15B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que derivado a que los proveedores no entregaron las facturas correspondientes en el mes del evento; dichos gastos se integrara hasta el segundo trimestre del presente año. Por tanto, se verifico que durante el primer trimestre no se han efectuado pagos ni egresos en relación al concepto, por tal razón el área de Adquisiciones y Recursos materiales no está en condiciones de atender lo requerido.”</w:t>
      </w:r>
    </w:p>
    <w:p w:rsidR="00F54876" w:rsidRPr="00A15B00" w:rsidRDefault="00F54876" w:rsidP="00A15B00">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sz w:val="24"/>
          <w:szCs w:val="24"/>
        </w:rPr>
      </w:pPr>
    </w:p>
    <w:p w:rsidR="00FE75E1" w:rsidRPr="00A15B00" w:rsidRDefault="00FE75E1"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 xml:space="preserve">Inconforme con lo anterior, el </w:t>
      </w:r>
      <w:r w:rsidR="00F54876" w:rsidRPr="00A15B00">
        <w:rPr>
          <w:rFonts w:ascii="Palatino Linotype" w:eastAsia="Palatino Linotype" w:hAnsi="Palatino Linotype" w:cs="Palatino Linotype"/>
          <w:b/>
          <w:color w:val="000000" w:themeColor="text1"/>
          <w:sz w:val="24"/>
          <w:szCs w:val="24"/>
        </w:rPr>
        <w:t>veintitrés de abril</w:t>
      </w:r>
      <w:r w:rsidRPr="00A15B00">
        <w:rPr>
          <w:rFonts w:ascii="Palatino Linotype" w:eastAsia="Palatino Linotype" w:hAnsi="Palatino Linotype" w:cs="Palatino Linotype"/>
          <w:b/>
          <w:color w:val="000000" w:themeColor="text1"/>
          <w:sz w:val="24"/>
          <w:szCs w:val="24"/>
        </w:rPr>
        <w:t xml:space="preserve"> de dos mil veinticinco</w:t>
      </w:r>
      <w:r w:rsidRPr="00A15B00">
        <w:rPr>
          <w:rFonts w:ascii="Palatino Linotype" w:eastAsia="Palatino Linotype" w:hAnsi="Palatino Linotype" w:cs="Palatino Linotype"/>
          <w:color w:val="000000" w:themeColor="text1"/>
          <w:sz w:val="24"/>
          <w:szCs w:val="24"/>
        </w:rPr>
        <w:t xml:space="preserve">, el hoy </w:t>
      </w:r>
      <w:r w:rsidRPr="00A15B00">
        <w:rPr>
          <w:rFonts w:ascii="Palatino Linotype" w:eastAsia="Palatino Linotype" w:hAnsi="Palatino Linotype" w:cs="Palatino Linotype"/>
          <w:b/>
          <w:color w:val="000000" w:themeColor="text1"/>
          <w:sz w:val="24"/>
          <w:szCs w:val="24"/>
        </w:rPr>
        <w:t xml:space="preserve">RECURRENTE, </w:t>
      </w:r>
      <w:r w:rsidRPr="00A15B00">
        <w:rPr>
          <w:rFonts w:ascii="Palatino Linotype" w:eastAsia="Palatino Linotype" w:hAnsi="Palatino Linotype" w:cs="Palatino Linotype"/>
          <w:color w:val="000000" w:themeColor="text1"/>
          <w:sz w:val="24"/>
          <w:szCs w:val="24"/>
        </w:rPr>
        <w:t xml:space="preserve">interpuso recurso de revisión en contra de la respuesta emitida por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manifestando las siguientes razones o motivos de inconformidad:</w:t>
      </w:r>
    </w:p>
    <w:p w:rsidR="0084142B" w:rsidRPr="00A15B00" w:rsidRDefault="0084142B" w:rsidP="00A15B00">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i/>
          <w:color w:val="000000" w:themeColor="text1"/>
          <w:sz w:val="24"/>
          <w:szCs w:val="24"/>
        </w:rPr>
      </w:pPr>
    </w:p>
    <w:p w:rsidR="0084142B" w:rsidRPr="00A15B00" w:rsidRDefault="00CF1CC3" w:rsidP="00A15B00">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2" w:name="_heading=h.sz4sngxvcrxd" w:colFirst="0" w:colLast="0"/>
      <w:bookmarkEnd w:id="2"/>
      <w:r w:rsidRPr="00A15B00">
        <w:rPr>
          <w:rFonts w:ascii="Palatino Linotype" w:eastAsia="Palatino Linotype" w:hAnsi="Palatino Linotype" w:cs="Palatino Linotype"/>
          <w:b/>
          <w:color w:val="000000" w:themeColor="text1"/>
          <w:sz w:val="24"/>
          <w:szCs w:val="24"/>
        </w:rPr>
        <w:t xml:space="preserve">Acto impugnado: </w:t>
      </w:r>
      <w:r w:rsidRPr="00A15B00">
        <w:rPr>
          <w:rFonts w:ascii="Palatino Linotype" w:eastAsia="Palatino Linotype" w:hAnsi="Palatino Linotype" w:cs="Palatino Linotype"/>
          <w:i/>
          <w:color w:val="000000" w:themeColor="text1"/>
          <w:sz w:val="24"/>
          <w:szCs w:val="24"/>
        </w:rPr>
        <w:t>“</w:t>
      </w:r>
      <w:r w:rsidR="00F54876" w:rsidRPr="00A15B00">
        <w:rPr>
          <w:rFonts w:ascii="Palatino Linotype" w:eastAsia="Palatino Linotype" w:hAnsi="Palatino Linotype" w:cs="Palatino Linotype"/>
          <w:i/>
          <w:color w:val="000000" w:themeColor="text1"/>
          <w:sz w:val="24"/>
          <w:szCs w:val="24"/>
        </w:rPr>
        <w:t>ME NIEGAN EL DERECHO A SABER Y QUE LA INFORMACIÓN SEA PUBLICA, POR TAL MOTIVO SOLICITO AL INFOEM REALICE E INDAGUE UNA VERIFICACION YA QUE EN VARIAS SOLICITUDES QUE SOLICITO ME NIEGAN LA INFORMACION O ME MANDAN CADA BARBARIDAD NO SE SI LA TITULAR DE TRANSPARENCIA NO TENGA CONOCIMIENTO DEL AREA O BIEN EL MUNICIPIO NO QUIERE ENTREGAR INFORMACION PERO EL INCUMPLIMIENTO A LAS OBLIGACIONES PUEDEN SER SANCIONADOS POR UNA MEDIDA APREMIO POR TAL MOTIVO SOLICITO A LOS COMICIONADOS DEL INFOEM ORDEN AL MUNICIPIO LA ENTREGA DE LA INFORMACION Y SEPAN SI LA TITULAR CUENTA CON LOS REQUISITOS PARA TENER EL CARGO EN ESPECIAL LA CERTIFICACION</w:t>
      </w:r>
      <w:r w:rsidRPr="00A15B00">
        <w:rPr>
          <w:rFonts w:ascii="Palatino Linotype" w:eastAsia="Palatino Linotype" w:hAnsi="Palatino Linotype" w:cs="Palatino Linotype"/>
          <w:i/>
          <w:color w:val="000000" w:themeColor="text1"/>
          <w:sz w:val="24"/>
          <w:szCs w:val="24"/>
        </w:rPr>
        <w:t>”</w:t>
      </w:r>
    </w:p>
    <w:p w:rsidR="00FE75E1" w:rsidRPr="00A15B00" w:rsidRDefault="00FE75E1" w:rsidP="00A15B0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84142B" w:rsidRPr="00A15B00" w:rsidRDefault="00CF1CC3" w:rsidP="00A15B00">
      <w:pPr>
        <w:numPr>
          <w:ilvl w:val="0"/>
          <w:numId w:val="3"/>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bookmarkStart w:id="3" w:name="_heading=h.q4ny55z1g6bu" w:colFirst="0" w:colLast="0"/>
      <w:bookmarkEnd w:id="3"/>
      <w:r w:rsidRPr="00A15B00">
        <w:rPr>
          <w:rFonts w:ascii="Palatino Linotype" w:eastAsia="Palatino Linotype" w:hAnsi="Palatino Linotype" w:cs="Palatino Linotype"/>
          <w:b/>
          <w:color w:val="000000" w:themeColor="text1"/>
          <w:sz w:val="24"/>
          <w:szCs w:val="24"/>
        </w:rPr>
        <w:t>Razones o Motivos de inconformidad: “</w:t>
      </w:r>
      <w:r w:rsidR="00F54876" w:rsidRPr="00A15B00">
        <w:rPr>
          <w:rFonts w:ascii="Palatino Linotype" w:eastAsia="Palatino Linotype" w:hAnsi="Palatino Linotype" w:cs="Palatino Linotype"/>
          <w:i/>
          <w:color w:val="000000" w:themeColor="text1"/>
          <w:sz w:val="24"/>
          <w:szCs w:val="24"/>
        </w:rPr>
        <w:t xml:space="preserve">ME NIEGAN EL DERECHO A SABER Y QUE LA INFORMACIÓN SEA PUBLICA, POR TAL MOTIVO SOLICITO AL INFOEM REALICE E INDAGUE UNA VERIFICACION YA QUE EN VARIAS SOLICITUDES QUE SOLICITO ME NIEGAN LA INFORMACION O ME MANDAN CADA BARBARIDAD NO SE SI LA TITULAR DE TRANSPARENCIA NO TENGA CONOCIMIENTO DEL AREA O BIEN EL MUNICIPIO NO QUIERE ENTREGAR INFORMACION PERO EL INCUMPLIMIENTO A LAS OBLIGACIONES PUEDEN SER SANCIONADOS POR UNA MEDIDA APREMIO POR TAL MOTIVO SOLICITO A LOS COMICIONADOS DEL INFOEM ORDEN AL MUNICIPIO LA </w:t>
      </w:r>
      <w:r w:rsidR="00F54876" w:rsidRPr="00A15B00">
        <w:rPr>
          <w:rFonts w:ascii="Palatino Linotype" w:eastAsia="Palatino Linotype" w:hAnsi="Palatino Linotype" w:cs="Palatino Linotype"/>
          <w:i/>
          <w:color w:val="000000" w:themeColor="text1"/>
          <w:sz w:val="24"/>
          <w:szCs w:val="24"/>
        </w:rPr>
        <w:lastRenderedPageBreak/>
        <w:t>ENTREGA DE LA INFORMACION Y SEPAN SI LA TITULAR CUENTA CON LOS REQUISITOS PARA TENER EL CARGO EN ESPECIAL LA CERTIFICACION</w:t>
      </w:r>
      <w:r w:rsidRPr="00A15B00">
        <w:rPr>
          <w:rFonts w:ascii="Palatino Linotype" w:eastAsia="Palatino Linotype" w:hAnsi="Palatino Linotype" w:cs="Palatino Linotype"/>
          <w:color w:val="000000" w:themeColor="text1"/>
          <w:sz w:val="24"/>
          <w:szCs w:val="24"/>
        </w:rPr>
        <w:t>”</w:t>
      </w:r>
    </w:p>
    <w:p w:rsidR="0084142B" w:rsidRPr="00A15B00" w:rsidRDefault="0084142B" w:rsidP="00A15B00">
      <w:pPr>
        <w:spacing w:line="360" w:lineRule="auto"/>
        <w:jc w:val="both"/>
        <w:rPr>
          <w:rFonts w:ascii="Palatino Linotype" w:eastAsia="Palatino Linotype" w:hAnsi="Palatino Linotype" w:cs="Palatino Linotype"/>
          <w:i/>
          <w:color w:val="000000" w:themeColor="text1"/>
          <w:sz w:val="24"/>
          <w:szCs w:val="24"/>
        </w:rPr>
      </w:pP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La Comisionada Ponente con fundamento en lo dispuesto por el artículo 185 fracción II de la ley de la materia, a través del acuerdo de admisión notificado el </w:t>
      </w:r>
      <w:r w:rsidR="00F54876" w:rsidRPr="00A15B00">
        <w:rPr>
          <w:rFonts w:ascii="Palatino Linotype" w:eastAsia="Palatino Linotype" w:hAnsi="Palatino Linotype" w:cs="Palatino Linotype"/>
          <w:b/>
          <w:color w:val="000000" w:themeColor="text1"/>
          <w:sz w:val="24"/>
          <w:szCs w:val="24"/>
        </w:rPr>
        <w:t>veintinueve de abril</w:t>
      </w:r>
      <w:r w:rsidRPr="00A15B00">
        <w:rPr>
          <w:rFonts w:ascii="Palatino Linotype" w:eastAsia="Palatino Linotype" w:hAnsi="Palatino Linotype" w:cs="Palatino Linotype"/>
          <w:b/>
          <w:color w:val="000000" w:themeColor="text1"/>
          <w:sz w:val="24"/>
          <w:szCs w:val="24"/>
        </w:rPr>
        <w:t xml:space="preserve"> de dos mil veinticinco</w:t>
      </w:r>
      <w:r w:rsidRPr="00A15B00">
        <w:rPr>
          <w:rFonts w:ascii="Palatino Linotype" w:eastAsia="Palatino Linotype" w:hAnsi="Palatino Linotype" w:cs="Palatino Linotype"/>
          <w:color w:val="000000" w:themeColor="text1"/>
          <w:sz w:val="24"/>
          <w:szCs w:val="24"/>
        </w:rPr>
        <w:t xml:space="preserve">, puso a disposición de las partes el expediente electrónico vía </w:t>
      </w:r>
      <w:r w:rsidRPr="00A15B00">
        <w:rPr>
          <w:rFonts w:ascii="Palatino Linotype" w:eastAsia="Palatino Linotype" w:hAnsi="Palatino Linotype" w:cs="Palatino Linotype"/>
          <w:b/>
          <w:color w:val="000000" w:themeColor="text1"/>
          <w:sz w:val="24"/>
          <w:szCs w:val="24"/>
        </w:rPr>
        <w:t xml:space="preserve">SAIMEX </w:t>
      </w:r>
      <w:r w:rsidRPr="00A15B00">
        <w:rPr>
          <w:rFonts w:ascii="Palatino Linotype" w:eastAsia="Palatino Linotype" w:hAnsi="Palatino Linotype" w:cs="Palatino Linotype"/>
          <w:color w:val="000000" w:themeColor="text1"/>
          <w:sz w:val="24"/>
          <w:szCs w:val="24"/>
        </w:rPr>
        <w:t xml:space="preserve">a efecto de que en un plazo máximo de siete días manifestaran lo que a su derecho conviniera, ofrecieran pruebas y alegatos según corresponda a los casos concretos, y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presentará el Informe Justificado procedente.</w:t>
      </w:r>
    </w:p>
    <w:p w:rsidR="00FE75E1" w:rsidRPr="00A15B00" w:rsidRDefault="00FE75E1" w:rsidP="00A15B0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El </w:t>
      </w:r>
      <w:r w:rsidR="00FE75E1" w:rsidRPr="00A15B00">
        <w:rPr>
          <w:rFonts w:ascii="Palatino Linotype" w:eastAsia="Palatino Linotype" w:hAnsi="Palatino Linotype" w:cs="Palatino Linotype"/>
          <w:b/>
          <w:color w:val="000000" w:themeColor="text1"/>
          <w:sz w:val="24"/>
          <w:szCs w:val="24"/>
        </w:rPr>
        <w:t xml:space="preserve">SUJETO OBLIGADO </w:t>
      </w:r>
      <w:r w:rsidR="00FE75E1" w:rsidRPr="00A15B00">
        <w:rPr>
          <w:rFonts w:ascii="Palatino Linotype" w:eastAsia="Palatino Linotype" w:hAnsi="Palatino Linotype" w:cs="Palatino Linotype"/>
          <w:color w:val="000000" w:themeColor="text1"/>
          <w:sz w:val="24"/>
          <w:szCs w:val="24"/>
        </w:rPr>
        <w:t>y el</w:t>
      </w:r>
      <w:r w:rsidR="003C7C49" w:rsidRPr="00A15B00">
        <w:rPr>
          <w:rFonts w:ascii="Palatino Linotype" w:eastAsia="Palatino Linotype" w:hAnsi="Palatino Linotype" w:cs="Palatino Linotype"/>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 xml:space="preserve">PARTICULAR </w:t>
      </w:r>
      <w:r w:rsidR="003C7C49" w:rsidRPr="00A15B00">
        <w:rPr>
          <w:rFonts w:ascii="Palatino Linotype" w:eastAsia="Palatino Linotype" w:hAnsi="Palatino Linotype" w:cs="Palatino Linotype"/>
          <w:color w:val="000000" w:themeColor="text1"/>
          <w:sz w:val="24"/>
          <w:szCs w:val="24"/>
        </w:rPr>
        <w:t>fue</w:t>
      </w:r>
      <w:r w:rsidR="00FE75E1" w:rsidRPr="00A15B00">
        <w:rPr>
          <w:rFonts w:ascii="Palatino Linotype" w:eastAsia="Palatino Linotype" w:hAnsi="Palatino Linotype" w:cs="Palatino Linotype"/>
          <w:color w:val="000000" w:themeColor="text1"/>
          <w:sz w:val="24"/>
          <w:szCs w:val="24"/>
        </w:rPr>
        <w:t>ron</w:t>
      </w:r>
      <w:r w:rsidR="003C7C49" w:rsidRPr="00A15B00">
        <w:rPr>
          <w:rFonts w:ascii="Palatino Linotype" w:eastAsia="Palatino Linotype" w:hAnsi="Palatino Linotype" w:cs="Palatino Linotype"/>
          <w:color w:val="000000" w:themeColor="text1"/>
          <w:sz w:val="24"/>
          <w:szCs w:val="24"/>
        </w:rPr>
        <w:t xml:space="preserve"> omiso</w:t>
      </w:r>
      <w:r w:rsidR="00FE75E1" w:rsidRPr="00A15B00">
        <w:rPr>
          <w:rFonts w:ascii="Palatino Linotype" w:eastAsia="Palatino Linotype" w:hAnsi="Palatino Linotype" w:cs="Palatino Linotype"/>
          <w:color w:val="000000" w:themeColor="text1"/>
          <w:sz w:val="24"/>
          <w:szCs w:val="24"/>
        </w:rPr>
        <w:t>s</w:t>
      </w:r>
      <w:r w:rsidRPr="00A15B00">
        <w:rPr>
          <w:rFonts w:ascii="Palatino Linotype" w:eastAsia="Palatino Linotype" w:hAnsi="Palatino Linotype" w:cs="Palatino Linotype"/>
          <w:color w:val="000000" w:themeColor="text1"/>
          <w:sz w:val="24"/>
          <w:szCs w:val="24"/>
        </w:rPr>
        <w:t xml:space="preserve"> en realizar manifestación alguna que a su derecho conviniera y asistiera.</w:t>
      </w:r>
    </w:p>
    <w:p w:rsidR="00FE75E1" w:rsidRPr="00A15B00" w:rsidRDefault="00FE75E1"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3C7C49" w:rsidRPr="00A15B00" w:rsidRDefault="003C7C49"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bookmarkStart w:id="4" w:name="_heading=h.jnpr9qdalaue" w:colFirst="0" w:colLast="0"/>
      <w:bookmarkEnd w:id="4"/>
      <w:r w:rsidRPr="00A15B00">
        <w:rPr>
          <w:rFonts w:ascii="Palatino Linotype" w:eastAsia="Palatino Linotype" w:hAnsi="Palatino Linotype" w:cs="Palatino Linotype"/>
          <w:color w:val="000000" w:themeColor="text1"/>
          <w:sz w:val="24"/>
          <w:szCs w:val="24"/>
        </w:rPr>
        <w:t xml:space="preserve">El </w:t>
      </w:r>
      <w:r w:rsidR="00F54876" w:rsidRPr="00A15B00">
        <w:rPr>
          <w:rFonts w:ascii="Palatino Linotype" w:eastAsia="Palatino Linotype" w:hAnsi="Palatino Linotype" w:cs="Palatino Linotype"/>
          <w:b/>
          <w:color w:val="000000" w:themeColor="text1"/>
          <w:sz w:val="24"/>
          <w:szCs w:val="24"/>
        </w:rPr>
        <w:t>veinticuatro de septiembre</w:t>
      </w:r>
      <w:r w:rsidRPr="00A15B00">
        <w:rPr>
          <w:rFonts w:ascii="Palatino Linotype" w:eastAsia="Palatino Linotype" w:hAnsi="Palatino Linotype" w:cs="Palatino Linotype"/>
          <w:b/>
          <w:color w:val="000000" w:themeColor="text1"/>
          <w:sz w:val="24"/>
          <w:szCs w:val="24"/>
        </w:rPr>
        <w:t xml:space="preserve"> de dos mil veinticinco, </w:t>
      </w:r>
      <w:r w:rsidRPr="00A15B00">
        <w:rPr>
          <w:rFonts w:ascii="Palatino Linotype" w:eastAsia="Palatino Linotype" w:hAnsi="Palatino Linotype" w:cs="Palatino Linotype"/>
          <w:color w:val="000000" w:themeColor="text1"/>
          <w:sz w:val="24"/>
          <w:szCs w:val="24"/>
        </w:rPr>
        <w:t>se notificó el acuerdo de ampliación para resolver el recurso de revisión que nos ocupa.</w:t>
      </w:r>
    </w:p>
    <w:p w:rsidR="00F54876" w:rsidRPr="00A15B00" w:rsidRDefault="00F54876" w:rsidP="00A15B0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84142B" w:rsidRPr="00156A18"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Finalmente, mediante acuerdo de </w:t>
      </w:r>
      <w:r w:rsidR="00F54876" w:rsidRPr="00A15B00">
        <w:rPr>
          <w:rFonts w:ascii="Palatino Linotype" w:eastAsia="Palatino Linotype" w:hAnsi="Palatino Linotype" w:cs="Palatino Linotype"/>
          <w:b/>
          <w:color w:val="000000" w:themeColor="text1"/>
          <w:sz w:val="24"/>
          <w:szCs w:val="24"/>
        </w:rPr>
        <w:t>veinticuatro de septiembre</w:t>
      </w:r>
      <w:r w:rsidR="003C7C49"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 xml:space="preserve">de dos mil veinticinco, </w:t>
      </w:r>
      <w:r w:rsidRPr="00A15B00">
        <w:rPr>
          <w:rFonts w:ascii="Palatino Linotype" w:eastAsia="Palatino Linotype" w:hAnsi="Palatino Linotype" w:cs="Palatino Linotype"/>
          <w:color w:val="000000" w:themeColor="text1"/>
          <w:sz w:val="24"/>
          <w:szCs w:val="24"/>
        </w:rPr>
        <w:t>se  decretó el cierre de instrucción, por lo que no ha</w:t>
      </w:r>
      <w:r w:rsidR="00156A18">
        <w:rPr>
          <w:rFonts w:ascii="Palatino Linotype" w:eastAsia="Palatino Linotype" w:hAnsi="Palatino Linotype" w:cs="Palatino Linotype"/>
          <w:color w:val="000000" w:themeColor="text1"/>
          <w:sz w:val="24"/>
          <w:szCs w:val="24"/>
        </w:rPr>
        <w:t>biendo más que hacer constar, y</w:t>
      </w:r>
      <w:r w:rsidR="005C4740">
        <w:rPr>
          <w:rFonts w:ascii="Palatino Linotype" w:eastAsia="Palatino Linotype" w:hAnsi="Palatino Linotype" w:cs="Palatino Linotype"/>
          <w:color w:val="000000" w:themeColor="text1"/>
          <w:sz w:val="24"/>
          <w:szCs w:val="24"/>
        </w:rPr>
        <w:t xml:space="preserve"> -----------</w:t>
      </w:r>
    </w:p>
    <w:p w:rsidR="00156A18" w:rsidRDefault="00156A18" w:rsidP="00156A18">
      <w:pPr>
        <w:pStyle w:val="Prrafodelista"/>
        <w:rPr>
          <w:rFonts w:ascii="Palatino Linotype" w:eastAsia="Palatino Linotype" w:hAnsi="Palatino Linotype" w:cs="Palatino Linotype"/>
          <w:b/>
          <w:color w:val="000000" w:themeColor="text1"/>
        </w:rPr>
      </w:pPr>
    </w:p>
    <w:p w:rsidR="005C4740" w:rsidRDefault="005C4740"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5C4740" w:rsidRDefault="005C4740"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5C4740" w:rsidRDefault="005C4740"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5C4740" w:rsidRDefault="005C4740"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5C4740" w:rsidRDefault="005C4740"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84142B" w:rsidRPr="00A15B00" w:rsidRDefault="00CF1CC3"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b/>
          <w:color w:val="000000" w:themeColor="text1"/>
          <w:sz w:val="24"/>
          <w:szCs w:val="24"/>
        </w:rPr>
        <w:lastRenderedPageBreak/>
        <w:t>C</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O</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N</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S</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I</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D</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E</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R</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A</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N</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D</w:t>
      </w:r>
      <w:r w:rsidR="00156A18">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O</w:t>
      </w:r>
    </w:p>
    <w:p w:rsidR="0084142B" w:rsidRPr="00A15B00" w:rsidRDefault="0084142B" w:rsidP="00A15B0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themeColor="text1"/>
          <w:sz w:val="24"/>
          <w:szCs w:val="24"/>
        </w:rPr>
      </w:pPr>
    </w:p>
    <w:p w:rsidR="003C7C49" w:rsidRPr="00A15B00" w:rsidRDefault="00CF1CC3" w:rsidP="00A15B0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qvthlr518szq" w:colFirst="0" w:colLast="0"/>
      <w:bookmarkEnd w:id="5"/>
      <w:r w:rsidRPr="00A15B00">
        <w:rPr>
          <w:rFonts w:ascii="Palatino Linotype" w:eastAsia="Palatino Linotype" w:hAnsi="Palatino Linotype" w:cs="Palatino Linotype"/>
          <w:b/>
          <w:color w:val="000000" w:themeColor="text1"/>
          <w:sz w:val="24"/>
          <w:szCs w:val="24"/>
        </w:rPr>
        <w:t>PRIMERO. De la competencia</w:t>
      </w: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A15B00" w:rsidRDefault="0084142B"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CF1CC3" w:rsidP="00A15B00">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yxepb6g6s82q" w:colFirst="0" w:colLast="0"/>
      <w:bookmarkEnd w:id="6"/>
      <w:r w:rsidRPr="00A15B00">
        <w:rPr>
          <w:rFonts w:ascii="Palatino Linotype" w:eastAsia="Palatino Linotype" w:hAnsi="Palatino Linotype" w:cs="Palatino Linotype"/>
          <w:b/>
          <w:color w:val="000000" w:themeColor="text1"/>
          <w:sz w:val="24"/>
          <w:szCs w:val="24"/>
        </w:rPr>
        <w:t>SEGUNDO. De la oportunidad y procedencia.</w:t>
      </w: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El medio de impugnación fue presentado a través del </w:t>
      </w:r>
      <w:r w:rsidRPr="00A15B00">
        <w:rPr>
          <w:rFonts w:ascii="Palatino Linotype" w:eastAsia="Palatino Linotype" w:hAnsi="Palatino Linotype" w:cs="Palatino Linotype"/>
          <w:b/>
          <w:color w:val="000000" w:themeColor="text1"/>
          <w:sz w:val="24"/>
          <w:szCs w:val="24"/>
        </w:rPr>
        <w:t>SAIMEX,</w:t>
      </w:r>
      <w:r w:rsidRPr="00A15B00">
        <w:rPr>
          <w:rFonts w:ascii="Palatino Linotype" w:eastAsia="Palatino Linotype" w:hAnsi="Palatino Linotype" w:cs="Palatino Linotype"/>
          <w:color w:val="000000" w:themeColor="text1"/>
          <w:sz w:val="24"/>
          <w:szCs w:val="24"/>
        </w:rPr>
        <w:t xml:space="preserve"> en el formato previamente aprobado para tal efecto y dentro del plazo legal de quince días hábiles otorgados; para el caso en particular es de señalar que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entregó su respuesta el </w:t>
      </w:r>
      <w:r w:rsidR="00F54876" w:rsidRPr="00A15B00">
        <w:rPr>
          <w:rFonts w:ascii="Palatino Linotype" w:eastAsia="Palatino Linotype" w:hAnsi="Palatino Linotype" w:cs="Palatino Linotype"/>
          <w:b/>
          <w:color w:val="000000" w:themeColor="text1"/>
          <w:sz w:val="24"/>
          <w:szCs w:val="24"/>
        </w:rPr>
        <w:t>ocho de abril</w:t>
      </w:r>
      <w:r w:rsidR="000A6C20"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de dos mil veinticinco</w:t>
      </w:r>
      <w:r w:rsidRPr="00A15B00">
        <w:rPr>
          <w:rFonts w:ascii="Palatino Linotype" w:eastAsia="Palatino Linotype" w:hAnsi="Palatino Linotype" w:cs="Palatino Linotype"/>
          <w:color w:val="000000" w:themeColor="text1"/>
          <w:sz w:val="24"/>
          <w:szCs w:val="24"/>
        </w:rPr>
        <w:t>, de tal forma que el plazo para interponer el recurso de revisión transcurrió del</w:t>
      </w:r>
      <w:r w:rsidRPr="00A15B00">
        <w:rPr>
          <w:rFonts w:ascii="Palatino Linotype" w:eastAsia="Palatino Linotype" w:hAnsi="Palatino Linotype" w:cs="Palatino Linotype"/>
          <w:b/>
          <w:color w:val="000000" w:themeColor="text1"/>
          <w:sz w:val="24"/>
          <w:szCs w:val="24"/>
        </w:rPr>
        <w:t xml:space="preserve"> </w:t>
      </w:r>
      <w:r w:rsidR="00F54876" w:rsidRPr="00A15B00">
        <w:rPr>
          <w:rFonts w:ascii="Palatino Linotype" w:eastAsia="Palatino Linotype" w:hAnsi="Palatino Linotype" w:cs="Palatino Linotype"/>
          <w:b/>
          <w:color w:val="000000" w:themeColor="text1"/>
          <w:sz w:val="24"/>
          <w:szCs w:val="24"/>
        </w:rPr>
        <w:t xml:space="preserve">nueve de abril al ocho de mayo </w:t>
      </w:r>
      <w:r w:rsidR="000A6C20" w:rsidRPr="00A15B00">
        <w:rPr>
          <w:rFonts w:ascii="Palatino Linotype" w:eastAsia="Palatino Linotype" w:hAnsi="Palatino Linotype" w:cs="Palatino Linotype"/>
          <w:b/>
          <w:color w:val="000000" w:themeColor="text1"/>
          <w:sz w:val="24"/>
          <w:szCs w:val="24"/>
        </w:rPr>
        <w:t>de dos</w:t>
      </w:r>
      <w:r w:rsidRPr="00A15B00">
        <w:rPr>
          <w:rFonts w:ascii="Palatino Linotype" w:eastAsia="Palatino Linotype" w:hAnsi="Palatino Linotype" w:cs="Palatino Linotype"/>
          <w:b/>
          <w:color w:val="000000" w:themeColor="text1"/>
          <w:sz w:val="24"/>
          <w:szCs w:val="24"/>
        </w:rPr>
        <w:t xml:space="preserve"> mil veinticinco,</w:t>
      </w:r>
      <w:r w:rsidRPr="00A15B00">
        <w:rPr>
          <w:rFonts w:ascii="Palatino Linotype" w:eastAsia="Palatino Linotype" w:hAnsi="Palatino Linotype" w:cs="Palatino Linotype"/>
          <w:color w:val="000000" w:themeColor="text1"/>
          <w:sz w:val="24"/>
          <w:szCs w:val="24"/>
        </w:rPr>
        <w:t xml:space="preserve"> en consecuencia, el ahora </w:t>
      </w:r>
      <w:r w:rsidRPr="00A15B00">
        <w:rPr>
          <w:rFonts w:ascii="Palatino Linotype" w:eastAsia="Palatino Linotype" w:hAnsi="Palatino Linotype" w:cs="Palatino Linotype"/>
          <w:b/>
          <w:color w:val="000000" w:themeColor="text1"/>
          <w:sz w:val="24"/>
          <w:szCs w:val="24"/>
        </w:rPr>
        <w:t>RECURRENTE</w:t>
      </w:r>
      <w:r w:rsidRPr="00A15B00">
        <w:rPr>
          <w:rFonts w:ascii="Palatino Linotype" w:eastAsia="Palatino Linotype" w:hAnsi="Palatino Linotype" w:cs="Palatino Linotype"/>
          <w:color w:val="000000" w:themeColor="text1"/>
          <w:sz w:val="24"/>
          <w:szCs w:val="24"/>
        </w:rPr>
        <w:t xml:space="preserve"> presentó su inconformidad el </w:t>
      </w:r>
      <w:r w:rsidR="00F54876" w:rsidRPr="00A15B00">
        <w:rPr>
          <w:rFonts w:ascii="Palatino Linotype" w:eastAsia="Palatino Linotype" w:hAnsi="Palatino Linotype" w:cs="Palatino Linotype"/>
          <w:b/>
          <w:color w:val="000000" w:themeColor="text1"/>
          <w:sz w:val="24"/>
          <w:szCs w:val="24"/>
        </w:rPr>
        <w:t>veintitrés de abril de dos</w:t>
      </w:r>
      <w:r w:rsidRPr="00A15B00">
        <w:rPr>
          <w:rFonts w:ascii="Palatino Linotype" w:eastAsia="Palatino Linotype" w:hAnsi="Palatino Linotype" w:cs="Palatino Linotype"/>
          <w:b/>
          <w:color w:val="000000" w:themeColor="text1"/>
          <w:sz w:val="24"/>
          <w:szCs w:val="24"/>
        </w:rPr>
        <w:t xml:space="preserve"> mil veinticinco</w:t>
      </w:r>
      <w:r w:rsidRPr="00A15B00">
        <w:rPr>
          <w:rFonts w:ascii="Palatino Linotype" w:eastAsia="Palatino Linotype" w:hAnsi="Palatino Linotype" w:cs="Palatino Linotype"/>
          <w:color w:val="000000" w:themeColor="text1"/>
          <w:sz w:val="24"/>
          <w:szCs w:val="24"/>
        </w:rPr>
        <w:t>, por lo que se estima que la inconformidad se presentó dentro del lapso legalmente establecido para tal efecto.</w:t>
      </w:r>
    </w:p>
    <w:p w:rsidR="0084142B" w:rsidRPr="00A15B00" w:rsidRDefault="0084142B"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CF1CC3" w:rsidP="00A15B00">
      <w:pPr>
        <w:numPr>
          <w:ilvl w:val="0"/>
          <w:numId w:val="1"/>
        </w:numPr>
        <w:spacing w:before="240" w:after="24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A15B00" w:rsidRDefault="00CF1CC3" w:rsidP="00A15B00">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eyseha2nnyzo" w:colFirst="0" w:colLast="0"/>
      <w:bookmarkEnd w:id="7"/>
      <w:r w:rsidRPr="00A15B00">
        <w:rPr>
          <w:rFonts w:ascii="Palatino Linotype" w:eastAsia="Palatino Linotype" w:hAnsi="Palatino Linotype" w:cs="Palatino Linotype"/>
          <w:b/>
          <w:color w:val="000000" w:themeColor="text1"/>
          <w:sz w:val="24"/>
          <w:szCs w:val="24"/>
        </w:rPr>
        <w:t xml:space="preserve">TERCERO. Del planteamiento de la </w:t>
      </w:r>
      <w:r w:rsidRPr="00A15B00">
        <w:rPr>
          <w:rFonts w:ascii="Palatino Linotype" w:eastAsia="Palatino Linotype" w:hAnsi="Palatino Linotype" w:cs="Palatino Linotype"/>
          <w:b/>
          <w:i/>
          <w:color w:val="000000" w:themeColor="text1"/>
          <w:sz w:val="24"/>
          <w:szCs w:val="24"/>
        </w:rPr>
        <w:t>Litis</w:t>
      </w:r>
      <w:r w:rsidRPr="00A15B00">
        <w:rPr>
          <w:rFonts w:ascii="Palatino Linotype" w:eastAsia="Palatino Linotype" w:hAnsi="Palatino Linotype" w:cs="Palatino Linotype"/>
          <w:b/>
          <w:color w:val="000000" w:themeColor="text1"/>
          <w:sz w:val="24"/>
          <w:szCs w:val="24"/>
        </w:rPr>
        <w:t>.</w:t>
      </w:r>
    </w:p>
    <w:p w:rsidR="00841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Se solicitó tener acceso, a la información que a continuación se desagrega:</w:t>
      </w:r>
    </w:p>
    <w:p w:rsidR="0084142B" w:rsidRPr="00A15B00" w:rsidRDefault="00CF1CC3" w:rsidP="00A15B0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w:t>
      </w:r>
      <w:r w:rsidR="00F54876" w:rsidRPr="00A15B00">
        <w:rPr>
          <w:rFonts w:ascii="Palatino Linotype" w:eastAsia="Palatino Linotype" w:hAnsi="Palatino Linotype" w:cs="Palatino Linotype"/>
          <w:i/>
          <w:color w:val="000000" w:themeColor="text1"/>
          <w:sz w:val="24"/>
          <w:szCs w:val="24"/>
        </w:rPr>
        <w:t>SOLICITO SABER CUANTO EL GASTO QUE REALIZO EL AYUNTAMIENTO EN EL CARNAVAL POR CONCEPTO DESDE LA MUSICA Y LA GENTE QUE TRAJO PARA LLEVAR ACABO DICHO EVENTO EN POCAS PALABRAS SOLICITO TODO LO QUE SE GASTO POR CONCEPTO</w:t>
      </w:r>
      <w:r w:rsidR="001D1F0F" w:rsidRPr="00A15B00">
        <w:rPr>
          <w:rFonts w:ascii="Palatino Linotype" w:eastAsia="Palatino Linotype" w:hAnsi="Palatino Linotype" w:cs="Palatino Linotype"/>
          <w:i/>
          <w:color w:val="000000" w:themeColor="text1"/>
          <w:sz w:val="24"/>
          <w:szCs w:val="24"/>
        </w:rPr>
        <w:t>”</w:t>
      </w:r>
    </w:p>
    <w:p w:rsidR="001D1F0F" w:rsidRPr="00A15B00" w:rsidRDefault="001D1F0F" w:rsidP="00A15B00">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CB542B" w:rsidRPr="00A15B00" w:rsidRDefault="00CF1CC3"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En respuesta,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informo </w:t>
      </w:r>
      <w:r w:rsidR="00E01661" w:rsidRPr="00A15B00">
        <w:rPr>
          <w:rFonts w:ascii="Palatino Linotype" w:eastAsia="Palatino Linotype" w:hAnsi="Palatino Linotype" w:cs="Palatino Linotype"/>
          <w:color w:val="000000" w:themeColor="text1"/>
          <w:sz w:val="24"/>
          <w:szCs w:val="24"/>
        </w:rPr>
        <w:t xml:space="preserve">que no se cuenta con la información solicitada. </w:t>
      </w:r>
    </w:p>
    <w:p w:rsidR="00E01661" w:rsidRPr="00A15B00" w:rsidRDefault="00E01661" w:rsidP="00A15B00">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4B039F" w:rsidRPr="00A15B00" w:rsidRDefault="004B039F"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Inconforme, el </w:t>
      </w:r>
      <w:r w:rsidRPr="00A15B00">
        <w:rPr>
          <w:rFonts w:ascii="Palatino Linotype" w:eastAsia="Palatino Linotype" w:hAnsi="Palatino Linotype" w:cs="Palatino Linotype"/>
          <w:b/>
          <w:color w:val="000000" w:themeColor="text1"/>
          <w:sz w:val="24"/>
          <w:szCs w:val="24"/>
        </w:rPr>
        <w:t xml:space="preserve">PARTICULAR., </w:t>
      </w:r>
      <w:r w:rsidRPr="00A15B00">
        <w:rPr>
          <w:rFonts w:ascii="Palatino Linotype" w:eastAsia="Palatino Linotype" w:hAnsi="Palatino Linotype" w:cs="Palatino Linotype"/>
          <w:color w:val="000000" w:themeColor="text1"/>
          <w:sz w:val="24"/>
          <w:szCs w:val="24"/>
        </w:rPr>
        <w:t>interpuso recurso de revisión arguyendo que se le negó la información.</w:t>
      </w:r>
    </w:p>
    <w:p w:rsidR="00CB542B" w:rsidRPr="00A15B00" w:rsidRDefault="00CB542B"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CB542B" w:rsidRPr="00A15B00" w:rsidRDefault="00CB542B" w:rsidP="00A15B00">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En etapa de manifestaciones </w:t>
      </w:r>
      <w:r w:rsidR="000A6C20" w:rsidRPr="00A15B00">
        <w:rPr>
          <w:rFonts w:ascii="Palatino Linotype" w:eastAsia="Palatino Linotype" w:hAnsi="Palatino Linotype" w:cs="Palatino Linotype"/>
          <w:color w:val="000000" w:themeColor="text1"/>
          <w:sz w:val="24"/>
          <w:szCs w:val="24"/>
        </w:rPr>
        <w:t>las partes no realizaron pronunciamiento alguno.</w:t>
      </w:r>
    </w:p>
    <w:p w:rsidR="0084142B" w:rsidRPr="00A15B00" w:rsidRDefault="00CF1CC3"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b/>
      </w:r>
    </w:p>
    <w:p w:rsidR="0084142B" w:rsidRPr="00A15B00" w:rsidRDefault="00CF1CC3"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En dichas condiciones, la </w:t>
      </w:r>
      <w:r w:rsidRPr="00A15B00">
        <w:rPr>
          <w:rFonts w:ascii="Palatino Linotype" w:eastAsia="Palatino Linotype" w:hAnsi="Palatino Linotype" w:cs="Palatino Linotype"/>
          <w:i/>
          <w:color w:val="000000" w:themeColor="text1"/>
          <w:sz w:val="24"/>
          <w:szCs w:val="24"/>
        </w:rPr>
        <w:t>Litis</w:t>
      </w:r>
      <w:r w:rsidRPr="00A15B00">
        <w:rPr>
          <w:rFonts w:ascii="Palatino Linotype" w:eastAsia="Palatino Linotype" w:hAnsi="Palatino Linotype" w:cs="Palatino Linotype"/>
          <w:color w:val="000000" w:themeColor="text1"/>
          <w:sz w:val="24"/>
          <w:szCs w:val="24"/>
        </w:rPr>
        <w:t xml:space="preserve"> a resolver en este recurso se circunscribe a determinar si se actualiza la causal de procedencia prevista en el artículo 179, </w:t>
      </w:r>
      <w:r w:rsidRPr="00A15B00">
        <w:rPr>
          <w:rFonts w:ascii="Palatino Linotype" w:eastAsia="Palatino Linotype" w:hAnsi="Palatino Linotype" w:cs="Palatino Linotype"/>
          <w:b/>
          <w:color w:val="000000" w:themeColor="text1"/>
          <w:sz w:val="24"/>
          <w:szCs w:val="24"/>
        </w:rPr>
        <w:t xml:space="preserve">fracción I </w:t>
      </w:r>
      <w:r w:rsidRPr="00A15B00">
        <w:rPr>
          <w:rFonts w:ascii="Palatino Linotype" w:eastAsia="Palatino Linotype" w:hAnsi="Palatino Linotype" w:cs="Palatino Linotype"/>
          <w:color w:val="000000" w:themeColor="text1"/>
          <w:sz w:val="24"/>
          <w:szCs w:val="24"/>
        </w:rPr>
        <w:t xml:space="preserve">de la </w:t>
      </w:r>
      <w:r w:rsidRPr="00A15B00">
        <w:rPr>
          <w:rFonts w:ascii="Palatino Linotype" w:eastAsia="Palatino Linotype" w:hAnsi="Palatino Linotype" w:cs="Palatino Linotype"/>
          <w:b/>
          <w:color w:val="000000" w:themeColor="text1"/>
          <w:sz w:val="24"/>
          <w:szCs w:val="24"/>
        </w:rPr>
        <w:t xml:space="preserve">Ley de Transparencia y Acceso a la Información Pública del Estado de </w:t>
      </w:r>
      <w:r w:rsidRPr="00A15B00">
        <w:rPr>
          <w:rFonts w:ascii="Palatino Linotype" w:eastAsia="Palatino Linotype" w:hAnsi="Palatino Linotype" w:cs="Palatino Linotype"/>
          <w:color w:val="000000" w:themeColor="text1"/>
          <w:sz w:val="24"/>
          <w:szCs w:val="24"/>
        </w:rPr>
        <w:t>México</w:t>
      </w:r>
      <w:r w:rsidRPr="00A15B00">
        <w:rPr>
          <w:rFonts w:ascii="Palatino Linotype" w:eastAsia="Palatino Linotype" w:hAnsi="Palatino Linotype" w:cs="Palatino Linotype"/>
          <w:b/>
          <w:color w:val="000000" w:themeColor="text1"/>
          <w:sz w:val="24"/>
          <w:szCs w:val="24"/>
        </w:rPr>
        <w:t xml:space="preserve"> y </w:t>
      </w:r>
      <w:r w:rsidRPr="00A15B00">
        <w:rPr>
          <w:rFonts w:ascii="Palatino Linotype" w:eastAsia="Palatino Linotype" w:hAnsi="Palatino Linotype" w:cs="Palatino Linotype"/>
          <w:color w:val="000000" w:themeColor="text1"/>
          <w:sz w:val="24"/>
          <w:szCs w:val="24"/>
        </w:rPr>
        <w:t>Municipios; fracción que determina la hipótesis jurídica relativa a La negat</w:t>
      </w:r>
      <w:r w:rsidR="004B039F" w:rsidRPr="00A15B00">
        <w:rPr>
          <w:rFonts w:ascii="Palatino Linotype" w:eastAsia="Palatino Linotype" w:hAnsi="Palatino Linotype" w:cs="Palatino Linotype"/>
          <w:color w:val="000000" w:themeColor="text1"/>
          <w:sz w:val="24"/>
          <w:szCs w:val="24"/>
        </w:rPr>
        <w:t>iva a la información solicitada</w:t>
      </w:r>
      <w:r w:rsidRPr="00A15B00">
        <w:rPr>
          <w:rFonts w:ascii="Palatino Linotype" w:eastAsia="Palatino Linotype" w:hAnsi="Palatino Linotype" w:cs="Palatino Linotype"/>
          <w:color w:val="000000" w:themeColor="text1"/>
          <w:sz w:val="24"/>
          <w:szCs w:val="24"/>
        </w:rPr>
        <w:t xml:space="preserve">; contexto del cual se dolió </w:t>
      </w:r>
      <w:r w:rsidRPr="00A15B00">
        <w:rPr>
          <w:rFonts w:ascii="Palatino Linotype" w:eastAsia="Palatino Linotype" w:hAnsi="Palatino Linotype" w:cs="Palatino Linotype"/>
          <w:b/>
          <w:color w:val="000000" w:themeColor="text1"/>
          <w:sz w:val="24"/>
          <w:szCs w:val="24"/>
        </w:rPr>
        <w:t xml:space="preserve">EL RECURRENTE </w:t>
      </w:r>
      <w:r w:rsidRPr="00A15B00">
        <w:rPr>
          <w:rFonts w:ascii="Palatino Linotype" w:eastAsia="Palatino Linotype" w:hAnsi="Palatino Linotype" w:cs="Palatino Linotype"/>
          <w:color w:val="000000" w:themeColor="text1"/>
          <w:sz w:val="24"/>
          <w:szCs w:val="24"/>
        </w:rPr>
        <w:t xml:space="preserve">al momento de interponer su inconformidad. </w:t>
      </w:r>
    </w:p>
    <w:p w:rsidR="0084142B" w:rsidRPr="00A15B00" w:rsidRDefault="00CF1CC3"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 xml:space="preserve">De modo tal que el presente recurso de revisión se abocara en determinar si el </w:t>
      </w:r>
      <w:r w:rsidRPr="00A15B00">
        <w:rPr>
          <w:rFonts w:ascii="Palatino Linotype" w:eastAsia="Palatino Linotype" w:hAnsi="Palatino Linotype" w:cs="Palatino Linotype"/>
          <w:b/>
          <w:color w:val="000000" w:themeColor="text1"/>
          <w:sz w:val="24"/>
          <w:szCs w:val="24"/>
        </w:rPr>
        <w:t>SUJETO</w:t>
      </w:r>
      <w:r w:rsidRPr="00A15B00">
        <w:rPr>
          <w:rFonts w:ascii="Palatino Linotype" w:eastAsia="Palatino Linotype" w:hAnsi="Palatino Linotype" w:cs="Palatino Linotype"/>
          <w:color w:val="000000" w:themeColor="text1"/>
          <w:sz w:val="24"/>
          <w:szCs w:val="24"/>
        </w:rPr>
        <w:t xml:space="preserve"> </w:t>
      </w:r>
      <w:r w:rsidRPr="00A15B00">
        <w:rPr>
          <w:rFonts w:ascii="Palatino Linotype" w:eastAsia="Palatino Linotype" w:hAnsi="Palatino Linotype" w:cs="Palatino Linotype"/>
          <w:b/>
          <w:color w:val="000000" w:themeColor="text1"/>
          <w:sz w:val="24"/>
          <w:szCs w:val="24"/>
        </w:rPr>
        <w:t>OBLIGADO</w:t>
      </w:r>
      <w:r w:rsidRPr="00A15B00">
        <w:rPr>
          <w:rFonts w:ascii="Palatino Linotype" w:eastAsia="Palatino Linotype" w:hAnsi="Palatino Linotype" w:cs="Palatino Linotype"/>
          <w:color w:val="000000" w:themeColor="text1"/>
          <w:sz w:val="24"/>
          <w:szCs w:val="24"/>
        </w:rPr>
        <w:t xml:space="preserve"> con su respuesta ciertamente actualiza la causal de procedencia</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antes señalada. </w:t>
      </w:r>
    </w:p>
    <w:p w:rsidR="000A6C20" w:rsidRPr="00A15B00" w:rsidRDefault="000A6C20" w:rsidP="00A15B00">
      <w:pPr>
        <w:spacing w:after="0" w:line="360" w:lineRule="auto"/>
        <w:jc w:val="both"/>
        <w:rPr>
          <w:rFonts w:ascii="Palatino Linotype" w:eastAsia="Palatino Linotype" w:hAnsi="Palatino Linotype" w:cs="Palatino Linotype"/>
          <w:color w:val="000000" w:themeColor="text1"/>
          <w:sz w:val="24"/>
          <w:szCs w:val="24"/>
        </w:rPr>
      </w:pPr>
    </w:p>
    <w:p w:rsidR="000A6C20" w:rsidRPr="00A15B00" w:rsidRDefault="000A6C20" w:rsidP="00A15B00">
      <w:pPr>
        <w:pStyle w:val="Ttulo2"/>
        <w:spacing w:before="0" w:line="360" w:lineRule="auto"/>
        <w:rPr>
          <w:rFonts w:ascii="Palatino Linotype" w:hAnsi="Palatino Linotype"/>
          <w:b/>
          <w:color w:val="000000" w:themeColor="text1"/>
          <w:sz w:val="24"/>
          <w:szCs w:val="24"/>
        </w:rPr>
      </w:pPr>
      <w:bookmarkStart w:id="8" w:name="_Toc495427545"/>
      <w:bookmarkStart w:id="9" w:name="_Toc23414596"/>
      <w:bookmarkStart w:id="10" w:name="_Toc34819433"/>
      <w:bookmarkStart w:id="11" w:name="_Toc51259589"/>
      <w:bookmarkStart w:id="12" w:name="_Toc83128582"/>
      <w:r w:rsidRPr="00A15B00">
        <w:rPr>
          <w:rFonts w:ascii="Palatino Linotype" w:hAnsi="Palatino Linotype"/>
          <w:b/>
          <w:color w:val="000000" w:themeColor="text1"/>
          <w:sz w:val="24"/>
          <w:szCs w:val="24"/>
        </w:rPr>
        <w:t>CUARTO. Del estudio y resolución del asunto.</w:t>
      </w:r>
      <w:bookmarkEnd w:id="8"/>
      <w:bookmarkEnd w:id="9"/>
      <w:bookmarkEnd w:id="10"/>
      <w:bookmarkEnd w:id="11"/>
      <w:bookmarkEnd w:id="12"/>
    </w:p>
    <w:p w:rsidR="000A6C20" w:rsidRPr="00A15B00" w:rsidRDefault="000A6C20" w:rsidP="00A15B00">
      <w:pPr>
        <w:pStyle w:val="Prrafodelista"/>
        <w:numPr>
          <w:ilvl w:val="0"/>
          <w:numId w:val="18"/>
        </w:numPr>
        <w:spacing w:line="360" w:lineRule="auto"/>
        <w:ind w:left="0" w:firstLine="0"/>
        <w:jc w:val="both"/>
        <w:rPr>
          <w:rFonts w:ascii="Palatino Linotype" w:hAnsi="Palatino Linotype" w:cs="Tahoma"/>
          <w:b/>
          <w:bCs/>
          <w:iCs/>
          <w:color w:val="000000" w:themeColor="text1"/>
        </w:rPr>
      </w:pPr>
      <w:r w:rsidRPr="00A15B00">
        <w:rPr>
          <w:rFonts w:ascii="Palatino Linotype" w:hAnsi="Palatino Linotype" w:cs="Tahoma"/>
          <w:b/>
          <w:bCs/>
          <w:iCs/>
          <w:color w:val="000000" w:themeColor="text1"/>
        </w:rPr>
        <w:t>Marco normativo aplicable en materia de transparencia y acceso a la información pública.</w:t>
      </w:r>
    </w:p>
    <w:p w:rsidR="000A6C20" w:rsidRPr="00A15B00" w:rsidRDefault="000A6C20" w:rsidP="00A15B0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A15B00">
        <w:rPr>
          <w:rFonts w:ascii="Palatino Linotype" w:hAnsi="Palatino Linotype"/>
          <w:color w:val="000000" w:themeColor="text1"/>
          <w:sz w:val="24"/>
          <w:szCs w:val="24"/>
        </w:rPr>
        <w:t xml:space="preserve">Acotada la </w:t>
      </w:r>
      <w:r w:rsidRPr="00A15B00">
        <w:rPr>
          <w:rFonts w:ascii="Palatino Linotype" w:hAnsi="Palatino Linotype"/>
          <w:i/>
          <w:color w:val="000000" w:themeColor="text1"/>
          <w:sz w:val="24"/>
          <w:szCs w:val="24"/>
        </w:rPr>
        <w:t>Litis</w:t>
      </w:r>
      <w:r w:rsidRPr="00A15B00">
        <w:rPr>
          <w:rFonts w:ascii="Palatino Linotype" w:hAnsi="Palatino Linotype"/>
          <w:color w:val="000000" w:themeColor="text1"/>
          <w:sz w:val="24"/>
          <w:szCs w:val="24"/>
        </w:rPr>
        <w:t xml:space="preserve"> del asunto de mérito, es dable puntualizar inicialmente </w:t>
      </w:r>
      <w:r w:rsidRPr="00A15B00">
        <w:rPr>
          <w:rFonts w:ascii="Palatino Linotype" w:eastAsia="MS Mincho" w:hAnsi="Palatino Linotype" w:cs="Times New Roman"/>
          <w:color w:val="000000" w:themeColor="text1"/>
          <w:sz w:val="24"/>
          <w:szCs w:val="24"/>
        </w:rPr>
        <w:t>en términos generales, que e</w:t>
      </w:r>
      <w:r w:rsidRPr="00A15B00">
        <w:rPr>
          <w:rFonts w:ascii="Palatino Linotype" w:hAnsi="Palatino Linotype" w:cs="Tahoma"/>
          <w:bCs/>
          <w:iCs/>
          <w:color w:val="000000" w:themeColor="text1"/>
          <w:sz w:val="24"/>
          <w:szCs w:val="24"/>
        </w:rPr>
        <w:t xml:space="preserve">l </w:t>
      </w:r>
      <w:r w:rsidRPr="00A15B00">
        <w:rPr>
          <w:rFonts w:ascii="Palatino Linotype" w:eastAsia="Times New Roman" w:hAnsi="Palatino Linotype" w:cs="Arial"/>
          <w:color w:val="000000" w:themeColor="text1"/>
          <w:sz w:val="24"/>
          <w:szCs w:val="24"/>
          <w:lang w:val="es-ES"/>
        </w:rPr>
        <w:t>Derecho</w:t>
      </w:r>
      <w:r w:rsidRPr="00A15B00">
        <w:rPr>
          <w:rFonts w:ascii="Palatino Linotype" w:hAnsi="Palatino Linotype" w:cs="Tahoma"/>
          <w:bCs/>
          <w:iCs/>
          <w:color w:val="000000" w:themeColor="text1"/>
          <w:sz w:val="24"/>
          <w:szCs w:val="24"/>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0A6C20" w:rsidRPr="00A15B00" w:rsidRDefault="000A6C20" w:rsidP="00A15B00">
      <w:pPr>
        <w:spacing w:line="360" w:lineRule="auto"/>
        <w:jc w:val="both"/>
        <w:rPr>
          <w:rFonts w:ascii="Palatino Linotype" w:hAnsi="Palatino Linotype" w:cs="Tahoma"/>
          <w:bCs/>
          <w:iCs/>
          <w:color w:val="000000" w:themeColor="text1"/>
          <w:sz w:val="24"/>
          <w:szCs w:val="24"/>
        </w:rPr>
      </w:pPr>
    </w:p>
    <w:p w:rsidR="000A6C20" w:rsidRPr="00A15B00" w:rsidRDefault="000A6C20" w:rsidP="00A15B0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A15B00">
        <w:rPr>
          <w:rFonts w:ascii="Palatino Linotype" w:hAnsi="Palatino Linotype" w:cs="Tahoma"/>
          <w:bCs/>
          <w:iCs/>
          <w:color w:val="000000" w:themeColor="text1"/>
          <w:sz w:val="24"/>
          <w:szCs w:val="24"/>
        </w:rPr>
        <w:t xml:space="preserve">Por su parte, la Ley General de Transparencia y Acceso a la Información Pública, dispone en su </w:t>
      </w:r>
      <w:r w:rsidRPr="00A15B00">
        <w:rPr>
          <w:rFonts w:ascii="Palatino Linotype" w:hAnsi="Palatino Linotype"/>
          <w:color w:val="000000" w:themeColor="text1"/>
          <w:sz w:val="24"/>
          <w:szCs w:val="24"/>
        </w:rPr>
        <w:t>artículo</w:t>
      </w:r>
      <w:r w:rsidRPr="00A15B00">
        <w:rPr>
          <w:rFonts w:ascii="Palatino Linotype" w:hAnsi="Palatino Linotype" w:cs="Tahoma"/>
          <w:bCs/>
          <w:iCs/>
          <w:color w:val="000000" w:themeColor="text1"/>
          <w:sz w:val="24"/>
          <w:szCs w:val="24"/>
        </w:rPr>
        <w:t xml:space="preserve"> 70 que la </w:t>
      </w:r>
      <w:r w:rsidRPr="00A15B00">
        <w:rPr>
          <w:rFonts w:ascii="Palatino Linotype" w:hAnsi="Palatino Linotype"/>
          <w:color w:val="000000" w:themeColor="text1"/>
          <w:sz w:val="24"/>
          <w:szCs w:val="24"/>
        </w:rPr>
        <w:t>información</w:t>
      </w:r>
      <w:r w:rsidRPr="00A15B00">
        <w:rPr>
          <w:rFonts w:ascii="Palatino Linotype" w:hAnsi="Palatino Linotype" w:cs="Tahoma"/>
          <w:bCs/>
          <w:iCs/>
          <w:color w:val="000000" w:themeColor="text1"/>
          <w:sz w:val="24"/>
          <w:szCs w:val="24"/>
        </w:rPr>
        <w:t xml:space="preserve">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0A6C20" w:rsidRPr="00A15B00" w:rsidRDefault="000A6C20" w:rsidP="00A15B00">
      <w:pPr>
        <w:spacing w:line="360" w:lineRule="auto"/>
        <w:jc w:val="both"/>
        <w:rPr>
          <w:rFonts w:ascii="Palatino Linotype" w:hAnsi="Palatino Linotype" w:cs="Tahoma"/>
          <w:bCs/>
          <w:iCs/>
          <w:color w:val="000000" w:themeColor="text1"/>
          <w:sz w:val="24"/>
          <w:szCs w:val="24"/>
        </w:rPr>
      </w:pPr>
    </w:p>
    <w:p w:rsidR="000A6C20" w:rsidRPr="00A15B00" w:rsidRDefault="000A6C20" w:rsidP="00A15B0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A15B00">
        <w:rPr>
          <w:rFonts w:ascii="Palatino Linotype" w:hAnsi="Palatino Linotype" w:cs="Tahoma"/>
          <w:bCs/>
          <w:iCs/>
          <w:color w:val="000000" w:themeColor="text1"/>
          <w:sz w:val="24"/>
          <w:szCs w:val="24"/>
        </w:rPr>
        <w:lastRenderedPageBreak/>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0A6C20" w:rsidRPr="00A15B00" w:rsidRDefault="000A6C20" w:rsidP="00A15B00">
      <w:pPr>
        <w:spacing w:line="360" w:lineRule="auto"/>
        <w:contextualSpacing/>
        <w:jc w:val="both"/>
        <w:rPr>
          <w:rFonts w:ascii="Palatino Linotype" w:hAnsi="Palatino Linotype" w:cs="Tahoma"/>
          <w:bCs/>
          <w:iCs/>
          <w:color w:val="000000" w:themeColor="text1"/>
          <w:sz w:val="24"/>
          <w:szCs w:val="24"/>
        </w:rPr>
      </w:pPr>
    </w:p>
    <w:p w:rsidR="000A6C20" w:rsidRPr="00A15B00" w:rsidRDefault="000A6C20" w:rsidP="00A15B0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A15B00">
        <w:rPr>
          <w:rFonts w:ascii="Palatino Linotype" w:hAnsi="Palatino Linotype" w:cs="Tahoma"/>
          <w:bCs/>
          <w:iCs/>
          <w:color w:val="000000" w:themeColor="text1"/>
          <w:sz w:val="24"/>
          <w:szCs w:val="24"/>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A6C20" w:rsidRPr="00A15B00" w:rsidRDefault="000A6C20" w:rsidP="00A15B00">
      <w:pPr>
        <w:spacing w:after="0" w:line="360" w:lineRule="auto"/>
        <w:jc w:val="both"/>
        <w:rPr>
          <w:rFonts w:ascii="Palatino Linotype" w:hAnsi="Palatino Linotype" w:cs="Tahoma"/>
          <w:bCs/>
          <w:iCs/>
          <w:color w:val="000000" w:themeColor="text1"/>
          <w:sz w:val="24"/>
          <w:szCs w:val="24"/>
        </w:rPr>
      </w:pPr>
    </w:p>
    <w:p w:rsidR="000A6C20" w:rsidRPr="00A15B00" w:rsidRDefault="000A6C20" w:rsidP="00A15B00">
      <w:pPr>
        <w:numPr>
          <w:ilvl w:val="0"/>
          <w:numId w:val="1"/>
        </w:numPr>
        <w:spacing w:after="0" w:line="360" w:lineRule="auto"/>
        <w:ind w:left="0" w:firstLine="0"/>
        <w:jc w:val="both"/>
        <w:rPr>
          <w:rFonts w:ascii="Palatino Linotype" w:hAnsi="Palatino Linotype" w:cs="Tahoma"/>
          <w:bCs/>
          <w:iCs/>
          <w:color w:val="000000" w:themeColor="text1"/>
          <w:sz w:val="24"/>
          <w:szCs w:val="24"/>
        </w:rPr>
      </w:pPr>
      <w:r w:rsidRPr="00A15B00">
        <w:rPr>
          <w:rFonts w:ascii="Palatino Linotype" w:hAnsi="Palatino Linotype" w:cs="Tahoma"/>
          <w:bCs/>
          <w:iCs/>
          <w:color w:val="000000" w:themeColor="text1"/>
          <w:sz w:val="24"/>
          <w:szCs w:val="24"/>
        </w:rPr>
        <w:t xml:space="preserve">Precisado lo anterior, respecto la fuente obligacional , </w:t>
      </w:r>
      <w:r w:rsidR="00E01661" w:rsidRPr="00A15B00">
        <w:rPr>
          <w:rFonts w:ascii="Palatino Linotype" w:hAnsi="Palatino Linotype" w:cs="Tahoma"/>
          <w:bCs/>
          <w:iCs/>
          <w:color w:val="000000" w:themeColor="text1"/>
          <w:sz w:val="24"/>
          <w:szCs w:val="24"/>
        </w:rPr>
        <w:t>el Bando Municipal refiere lo siguiente:</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TÍTULO SEXTO</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Del Gobierno Municipal, Autoridades y Organismos Auxiliares del Ayuntamiento</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CAPÍTULO I</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De las Dependencias Administrativas Centralizadas</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
          <w:bCs/>
          <w:i/>
          <w:iCs/>
          <w:color w:val="000000" w:themeColor="text1"/>
          <w:sz w:val="24"/>
          <w:szCs w:val="24"/>
        </w:rPr>
        <w:t>Artículo 52</w:t>
      </w:r>
      <w:r w:rsidRPr="00A15B00">
        <w:rPr>
          <w:rFonts w:ascii="Palatino Linotype" w:hAnsi="Palatino Linotype" w:cs="Tahoma"/>
          <w:bCs/>
          <w:i/>
          <w:iCs/>
          <w:color w:val="000000" w:themeColor="text1"/>
          <w:sz w:val="24"/>
          <w:szCs w:val="24"/>
        </w:rPr>
        <w:t>. Para el logro de los fines, las dependencias de la Administración Pública Municipal, deberán conducir sus actividades de manera planeada, programada y con base en la legislación correspondiente, en las políticas públicas, la jerarquización y las restricciones que establezca el Ayuntamiento, el Plan de Desarrollo Municipal y los programas que de éste se deriven, integrándose con las direcciones, coordinaciones, oficialías, Juzgado Cívico, áreas y unidades administrativas que establece el presente Bando. Dichas dependencias serán las siguientes:</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w:t>
      </w:r>
    </w:p>
    <w:p w:rsidR="00E01661" w:rsidRPr="00A15B00" w:rsidRDefault="00E01661" w:rsidP="00A15B00">
      <w:pPr>
        <w:spacing w:after="0" w:line="240" w:lineRule="auto"/>
        <w:jc w:val="both"/>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III. Tesorería Municipal;</w:t>
      </w:r>
    </w:p>
    <w:p w:rsidR="00E01661" w:rsidRPr="00A15B00" w:rsidRDefault="00E01661" w:rsidP="00A15B00">
      <w:pPr>
        <w:spacing w:after="0" w:line="240" w:lineRule="auto"/>
        <w:jc w:val="both"/>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CAPÍTULO III</w:t>
      </w:r>
    </w:p>
    <w:p w:rsidR="00E01661" w:rsidRPr="00A15B00" w:rsidRDefault="00E01661" w:rsidP="00A15B00">
      <w:pPr>
        <w:spacing w:after="0" w:line="240" w:lineRule="auto"/>
        <w:jc w:val="center"/>
        <w:rPr>
          <w:rFonts w:ascii="Palatino Linotype" w:hAnsi="Palatino Linotype" w:cs="Tahoma"/>
          <w:b/>
          <w:bCs/>
          <w:i/>
          <w:iCs/>
          <w:color w:val="000000" w:themeColor="text1"/>
          <w:sz w:val="24"/>
          <w:szCs w:val="24"/>
        </w:rPr>
      </w:pPr>
      <w:r w:rsidRPr="00A15B00">
        <w:rPr>
          <w:rFonts w:ascii="Palatino Linotype" w:hAnsi="Palatino Linotype" w:cs="Tahoma"/>
          <w:b/>
          <w:bCs/>
          <w:i/>
          <w:iCs/>
          <w:color w:val="000000" w:themeColor="text1"/>
          <w:sz w:val="24"/>
          <w:szCs w:val="24"/>
        </w:rPr>
        <w:t>De la Tesorería Municipal</w:t>
      </w:r>
    </w:p>
    <w:p w:rsidR="00E01661" w:rsidRPr="00A15B00" w:rsidRDefault="00E01661" w:rsidP="00A15B00">
      <w:pPr>
        <w:spacing w:after="0" w:line="240" w:lineRule="auto"/>
        <w:rPr>
          <w:rFonts w:ascii="Palatino Linotype" w:hAnsi="Palatino Linotype" w:cs="Tahoma"/>
          <w:b/>
          <w:bCs/>
          <w:i/>
          <w:iCs/>
          <w:color w:val="000000" w:themeColor="text1"/>
          <w:sz w:val="24"/>
          <w:szCs w:val="24"/>
        </w:rPr>
      </w:pP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
          <w:bCs/>
          <w:i/>
          <w:iCs/>
          <w:color w:val="000000" w:themeColor="text1"/>
          <w:sz w:val="24"/>
          <w:szCs w:val="24"/>
        </w:rPr>
        <w:t>Artículo 89.</w:t>
      </w:r>
      <w:r w:rsidRPr="00A15B00">
        <w:rPr>
          <w:rFonts w:ascii="Palatino Linotype" w:hAnsi="Palatino Linotype" w:cs="Tahoma"/>
          <w:bCs/>
          <w:i/>
          <w:iCs/>
          <w:color w:val="000000" w:themeColor="text1"/>
          <w:sz w:val="24"/>
          <w:szCs w:val="24"/>
        </w:rPr>
        <w:t xml:space="preserve"> La Tesorería Municipal es el órgano encargado de la recaudación de los ingresos municipales y responsable de realizar las erogaciones que haga el Ayuntamiento.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
          <w:bCs/>
          <w:i/>
          <w:iCs/>
          <w:color w:val="000000" w:themeColor="text1"/>
          <w:sz w:val="24"/>
          <w:szCs w:val="24"/>
        </w:rPr>
        <w:t>Artículo 90.</w:t>
      </w:r>
      <w:r w:rsidRPr="00A15B00">
        <w:rPr>
          <w:rFonts w:ascii="Palatino Linotype" w:hAnsi="Palatino Linotype" w:cs="Tahoma"/>
          <w:bCs/>
          <w:i/>
          <w:iCs/>
          <w:color w:val="000000" w:themeColor="text1"/>
          <w:sz w:val="24"/>
          <w:szCs w:val="24"/>
        </w:rPr>
        <w:t xml:space="preserve"> Son atribuciones de la persona titular de la Tesorería Municipal: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I. Administrar la hacienda pública, de conformidad con las disposiciones legales aplicables;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III. Imponer las sanciones administrativas que procedan por infracciones a las disposiciones fiscales;</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u w:val="single"/>
        </w:rPr>
      </w:pPr>
      <w:r w:rsidRPr="00A15B00">
        <w:rPr>
          <w:rFonts w:ascii="Palatino Linotype" w:hAnsi="Palatino Linotype" w:cs="Tahoma"/>
          <w:bCs/>
          <w:i/>
          <w:iCs/>
          <w:color w:val="000000" w:themeColor="text1"/>
          <w:sz w:val="24"/>
          <w:szCs w:val="24"/>
          <w:u w:val="single"/>
        </w:rPr>
        <w:t xml:space="preserve">IV. Llevar los registros contables, financieros y administrativos de los ingresos, egresos, e inventarios;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V. Proporcionar oportunamente al Ayuntamiento todos los datos o informes que sean necesarios para la formulación del Presupuesto de Egresos Municipales, vigilando que se ajuste a las disposiciones de la Ley Orgánica Municipal y otros ordenamientos aplicables;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VI. Presentar anualmente al Ayuntamiento un informe de la situación contable financiera de la Tesorería;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VII. Proporcionar para la formulación del proyecto de Presupuesto de Egresos Municipales la información financiera relativa a la solución o en su caso, el pago de los litigios laborales;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VIII. Diseñar y aprobar las formas oficiales de manifestaciones, avisos y declaraciones y demás documentos requeridos;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IX. Participar en la formulación de convenios fiscales y ejercer las atribuciones que le correspondan en el ámbito de su competencia;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X. Proponer al Ayuntamiento la cancelación de cuentas incobrables;</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 XI. Custodiar y ejercer las garantías que se otorguen en favor de la hacienda pública;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XII. Proponer la política de ingresos de la Tesorería;</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 XIII. Intervenir en la elaboración del programa financiero municipal;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XIV. Elaborar y mantener actualizado el padrón de contribuyentes;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lastRenderedPageBreak/>
        <w:t xml:space="preserve">XV. Administrar a su inmediato antecesor todos los datos oficiales que se le solicite, para contestar los pliegos de observaciones y alcances que formule y deduzca el Órgano Superior de Fiscalización del Estado de México;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XVI. Solicitar a las instancias competentes, la práctica de revisiones circunstanciadas, de conformidad con las normas que rigen en materia de control y evaluación gubernamental en el ámbito municipal;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XVII. Glosar oportunamente las cuentas del Ayuntamiento;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XVIII. Contestar oportunamente los pliegos de observaciones y responsabilidad que haga el Órgano Superior de Fiscalización del Estado de México, así como atender en tiempo y forma las solicitudes de información que éste requiera, informando al Ayuntamiento; </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XIX. Expedir copias certificadas de los documentos a su cuidado, por acuerdo expreso del Ayuntamiento y cuando se trate de documentación presentada ante el Órgano Superior de Fiscalización del Estado de México;</w:t>
      </w:r>
    </w:p>
    <w:p w:rsidR="00E01661" w:rsidRPr="00A15B00" w:rsidRDefault="00E01661" w:rsidP="00A15B00">
      <w:pPr>
        <w:spacing w:after="0" w:line="240" w:lineRule="auto"/>
        <w:jc w:val="both"/>
        <w:rPr>
          <w:rFonts w:ascii="Palatino Linotype" w:hAnsi="Palatino Linotype" w:cs="Tahoma"/>
          <w:bCs/>
          <w:i/>
          <w:iCs/>
          <w:color w:val="000000" w:themeColor="text1"/>
          <w:sz w:val="24"/>
          <w:szCs w:val="24"/>
        </w:rPr>
      </w:pPr>
      <w:r w:rsidRPr="00A15B00">
        <w:rPr>
          <w:rFonts w:ascii="Palatino Linotype" w:hAnsi="Palatino Linotype" w:cs="Tahoma"/>
          <w:bCs/>
          <w:i/>
          <w:iCs/>
          <w:color w:val="000000" w:themeColor="text1"/>
          <w:sz w:val="24"/>
          <w:szCs w:val="24"/>
        </w:rPr>
        <w:t xml:space="preserve"> XX.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XXI. Dar cumplimiento a las leyes, convenios de coordinación fiscal y demás que en materia hacendaria celebre el Ayuntamiento con el Estado;</w:t>
      </w:r>
    </w:p>
    <w:p w:rsidR="000A6C20" w:rsidRPr="00A15B00" w:rsidRDefault="000A6C20" w:rsidP="00A15B00">
      <w:pPr>
        <w:spacing w:after="0" w:line="360" w:lineRule="auto"/>
        <w:jc w:val="both"/>
        <w:rPr>
          <w:rFonts w:ascii="Palatino Linotype" w:hAnsi="Palatino Linotype" w:cs="Tahoma"/>
          <w:bCs/>
          <w:iCs/>
          <w:color w:val="000000" w:themeColor="text1"/>
          <w:sz w:val="24"/>
          <w:szCs w:val="24"/>
        </w:rPr>
      </w:pPr>
    </w:p>
    <w:p w:rsidR="00EC5A2E" w:rsidRPr="00A15B00" w:rsidRDefault="00E01661" w:rsidP="00A15B00">
      <w:pPr>
        <w:numPr>
          <w:ilvl w:val="0"/>
          <w:numId w:val="1"/>
        </w:numPr>
        <w:spacing w:after="0" w:line="360" w:lineRule="auto"/>
        <w:ind w:left="0" w:firstLine="0"/>
        <w:jc w:val="both"/>
        <w:rPr>
          <w:rFonts w:ascii="Palatino Linotype" w:eastAsia="Times New Roman" w:hAnsi="Palatino Linotype" w:cs="Times New Roman"/>
          <w:b/>
          <w:i/>
          <w:color w:val="000000" w:themeColor="text1"/>
          <w:sz w:val="24"/>
          <w:szCs w:val="24"/>
        </w:rPr>
      </w:pPr>
      <w:r w:rsidRPr="00A15B00">
        <w:rPr>
          <w:rFonts w:ascii="Palatino Linotype" w:eastAsia="Times New Roman" w:hAnsi="Palatino Linotype" w:cs="Times New Roman"/>
          <w:color w:val="000000" w:themeColor="text1"/>
          <w:sz w:val="24"/>
          <w:szCs w:val="24"/>
        </w:rPr>
        <w:t xml:space="preserve">De lo anterior, se observa que el área competente para dar atención a lo solicitado es Tesorería Municipal, luego entonces, se advierte que fue el Tesorero y </w:t>
      </w:r>
      <w:r w:rsidR="00EC5A2E" w:rsidRPr="00A15B00">
        <w:rPr>
          <w:rFonts w:ascii="Palatino Linotype" w:eastAsia="Times New Roman" w:hAnsi="Palatino Linotype" w:cs="Times New Roman"/>
          <w:color w:val="000000" w:themeColor="text1"/>
          <w:sz w:val="24"/>
          <w:szCs w:val="24"/>
        </w:rPr>
        <w:t xml:space="preserve">el Titular de la Unidad e Adquisiciones y Recursos Materiales quienes se pronunciaron al respecto, por lo que se analizara de manera desglosada la información proporcionada por el </w:t>
      </w:r>
      <w:r w:rsidR="00EC5A2E" w:rsidRPr="00A15B00">
        <w:rPr>
          <w:rFonts w:ascii="Palatino Linotype" w:eastAsia="Times New Roman" w:hAnsi="Palatino Linotype" w:cs="Times New Roman"/>
          <w:b/>
          <w:color w:val="000000" w:themeColor="text1"/>
          <w:sz w:val="24"/>
          <w:szCs w:val="24"/>
        </w:rPr>
        <w:t xml:space="preserve">SUJETO OBLIGADO </w:t>
      </w:r>
      <w:r w:rsidR="00EC5A2E" w:rsidRPr="00A15B00">
        <w:rPr>
          <w:rFonts w:ascii="Palatino Linotype" w:eastAsia="Times New Roman" w:hAnsi="Palatino Linotype" w:cs="Times New Roman"/>
          <w:color w:val="000000" w:themeColor="text1"/>
          <w:sz w:val="24"/>
          <w:szCs w:val="24"/>
        </w:rPr>
        <w:t xml:space="preserve"> a efecto de poder determinar si con la respuesta proporcionada se tiene por colmada la solicitud de información </w:t>
      </w:r>
      <w:r w:rsidR="00EC5A2E" w:rsidRPr="00A15B00">
        <w:rPr>
          <w:rFonts w:ascii="Palatino Linotype" w:eastAsia="Times New Roman" w:hAnsi="Palatino Linotype" w:cs="Times New Roman"/>
          <w:b/>
          <w:bCs/>
          <w:color w:val="000000" w:themeColor="text1"/>
          <w:sz w:val="24"/>
          <w:szCs w:val="24"/>
        </w:rPr>
        <w:t xml:space="preserve">00215/ACAMBAY/IP/2025 </w:t>
      </w:r>
      <w:r w:rsidR="00EC5A2E" w:rsidRPr="00A15B00">
        <w:rPr>
          <w:rFonts w:ascii="Palatino Linotype" w:eastAsia="Times New Roman" w:hAnsi="Palatino Linotype" w:cs="Times New Roman"/>
          <w:bCs/>
          <w:color w:val="000000" w:themeColor="text1"/>
          <w:sz w:val="24"/>
          <w:szCs w:val="24"/>
        </w:rPr>
        <w:t xml:space="preserve">o si por el contrario resultan procedentes los motivos de inconformidad hechos valer por el ahora </w:t>
      </w:r>
      <w:r w:rsidR="00EC5A2E" w:rsidRPr="00A15B00">
        <w:rPr>
          <w:rFonts w:ascii="Palatino Linotype" w:eastAsia="Times New Roman" w:hAnsi="Palatino Linotype" w:cs="Times New Roman"/>
          <w:b/>
          <w:bCs/>
          <w:color w:val="000000" w:themeColor="text1"/>
          <w:sz w:val="24"/>
          <w:szCs w:val="24"/>
        </w:rPr>
        <w:t xml:space="preserve">RECURRENTE. </w:t>
      </w:r>
    </w:p>
    <w:p w:rsidR="008850CA" w:rsidRPr="00A15B00" w:rsidRDefault="008850CA" w:rsidP="00A15B00">
      <w:pPr>
        <w:spacing w:after="0" w:line="360" w:lineRule="auto"/>
        <w:jc w:val="both"/>
        <w:rPr>
          <w:rFonts w:ascii="Palatino Linotype" w:eastAsia="Times New Roman" w:hAnsi="Palatino Linotype" w:cs="Times New Roman"/>
          <w:b/>
          <w:i/>
          <w:color w:val="000000" w:themeColor="text1"/>
          <w:sz w:val="24"/>
          <w:szCs w:val="24"/>
        </w:rPr>
      </w:pPr>
    </w:p>
    <w:tbl>
      <w:tblPr>
        <w:tblStyle w:val="Tablaconcuadrcula"/>
        <w:tblW w:w="9918" w:type="dxa"/>
        <w:tblLook w:val="04A0" w:firstRow="1" w:lastRow="0" w:firstColumn="1" w:lastColumn="0" w:noHBand="0" w:noVBand="1"/>
      </w:tblPr>
      <w:tblGrid>
        <w:gridCol w:w="3256"/>
        <w:gridCol w:w="3402"/>
        <w:gridCol w:w="3260"/>
      </w:tblGrid>
      <w:tr w:rsidR="00A15B00" w:rsidRPr="00A15B00" w:rsidTr="00156A18">
        <w:tc>
          <w:tcPr>
            <w:tcW w:w="3256" w:type="dxa"/>
            <w:shd w:val="clear" w:color="auto" w:fill="D5DCE4" w:themeFill="text2" w:themeFillTint="33"/>
          </w:tcPr>
          <w:p w:rsidR="00EC5A2E" w:rsidRPr="00A15B00" w:rsidRDefault="00EC5A2E" w:rsidP="00A15B00">
            <w:pPr>
              <w:spacing w:line="360" w:lineRule="auto"/>
              <w:jc w:val="center"/>
              <w:rPr>
                <w:rFonts w:ascii="Palatino Linotype" w:eastAsia="Times New Roman" w:hAnsi="Palatino Linotype" w:cs="Times New Roman"/>
                <w:b/>
                <w:color w:val="000000" w:themeColor="text1"/>
                <w:sz w:val="24"/>
                <w:szCs w:val="24"/>
              </w:rPr>
            </w:pPr>
            <w:r w:rsidRPr="00A15B00">
              <w:rPr>
                <w:rFonts w:ascii="Palatino Linotype" w:eastAsia="Times New Roman" w:hAnsi="Palatino Linotype" w:cs="Times New Roman"/>
                <w:b/>
                <w:color w:val="000000" w:themeColor="text1"/>
                <w:sz w:val="24"/>
                <w:szCs w:val="24"/>
              </w:rPr>
              <w:t>Solicitud</w:t>
            </w:r>
          </w:p>
        </w:tc>
        <w:tc>
          <w:tcPr>
            <w:tcW w:w="3402" w:type="dxa"/>
            <w:shd w:val="clear" w:color="auto" w:fill="D5DCE4" w:themeFill="text2" w:themeFillTint="33"/>
          </w:tcPr>
          <w:p w:rsidR="00EC5A2E" w:rsidRPr="00A15B00" w:rsidRDefault="00EC5A2E" w:rsidP="00A15B00">
            <w:pPr>
              <w:spacing w:line="360" w:lineRule="auto"/>
              <w:jc w:val="center"/>
              <w:rPr>
                <w:rFonts w:ascii="Palatino Linotype" w:eastAsia="Times New Roman" w:hAnsi="Palatino Linotype" w:cs="Times New Roman"/>
                <w:b/>
                <w:color w:val="000000" w:themeColor="text1"/>
                <w:sz w:val="24"/>
                <w:szCs w:val="24"/>
              </w:rPr>
            </w:pPr>
            <w:r w:rsidRPr="00A15B00">
              <w:rPr>
                <w:rFonts w:ascii="Palatino Linotype" w:eastAsia="Times New Roman" w:hAnsi="Palatino Linotype" w:cs="Times New Roman"/>
                <w:b/>
                <w:color w:val="000000" w:themeColor="text1"/>
                <w:sz w:val="24"/>
                <w:szCs w:val="24"/>
              </w:rPr>
              <w:t>Respuesta</w:t>
            </w:r>
          </w:p>
        </w:tc>
        <w:tc>
          <w:tcPr>
            <w:tcW w:w="3260" w:type="dxa"/>
            <w:shd w:val="clear" w:color="auto" w:fill="D5DCE4" w:themeFill="text2" w:themeFillTint="33"/>
          </w:tcPr>
          <w:p w:rsidR="00EC5A2E" w:rsidRPr="00A15B00" w:rsidRDefault="00EC5A2E" w:rsidP="00A15B00">
            <w:pPr>
              <w:spacing w:line="360" w:lineRule="auto"/>
              <w:jc w:val="center"/>
              <w:rPr>
                <w:rFonts w:ascii="Palatino Linotype" w:eastAsia="Times New Roman" w:hAnsi="Palatino Linotype" w:cs="Times New Roman"/>
                <w:b/>
                <w:color w:val="000000" w:themeColor="text1"/>
                <w:sz w:val="24"/>
                <w:szCs w:val="24"/>
              </w:rPr>
            </w:pPr>
            <w:r w:rsidRPr="00A15B00">
              <w:rPr>
                <w:rFonts w:ascii="Palatino Linotype" w:eastAsia="Times New Roman" w:hAnsi="Palatino Linotype" w:cs="Times New Roman"/>
                <w:b/>
                <w:color w:val="000000" w:themeColor="text1"/>
                <w:sz w:val="24"/>
                <w:szCs w:val="24"/>
              </w:rPr>
              <w:t>¿Colma?</w:t>
            </w:r>
          </w:p>
        </w:tc>
      </w:tr>
      <w:tr w:rsidR="00EC5A2E" w:rsidRPr="00A15B00" w:rsidTr="00156A18">
        <w:tc>
          <w:tcPr>
            <w:tcW w:w="3256" w:type="dxa"/>
          </w:tcPr>
          <w:p w:rsidR="00EC5A2E" w:rsidRPr="00A15B00" w:rsidRDefault="00EC5A2E" w:rsidP="00A15B00">
            <w:pPr>
              <w:jc w:val="both"/>
              <w:rPr>
                <w:rFonts w:ascii="Palatino Linotype" w:eastAsia="Times New Roman" w:hAnsi="Palatino Linotype" w:cs="Times New Roman"/>
                <w:color w:val="000000" w:themeColor="text1"/>
                <w:sz w:val="24"/>
                <w:szCs w:val="24"/>
              </w:rPr>
            </w:pPr>
            <w:r w:rsidRPr="00A15B00">
              <w:rPr>
                <w:rFonts w:ascii="Palatino Linotype" w:eastAsia="Times New Roman" w:hAnsi="Palatino Linotype" w:cs="Times New Roman"/>
                <w:color w:val="000000" w:themeColor="text1"/>
                <w:sz w:val="24"/>
                <w:szCs w:val="24"/>
              </w:rPr>
              <w:t xml:space="preserve">EL GASTO QUE REALIZO EL AYUNTAMIENTO EN </w:t>
            </w:r>
            <w:r w:rsidRPr="00A15B00">
              <w:rPr>
                <w:rFonts w:ascii="Palatino Linotype" w:eastAsia="Times New Roman" w:hAnsi="Palatino Linotype" w:cs="Times New Roman"/>
                <w:color w:val="000000" w:themeColor="text1"/>
                <w:sz w:val="24"/>
                <w:szCs w:val="24"/>
              </w:rPr>
              <w:lastRenderedPageBreak/>
              <w:t>EL CARNAVAL POR CONCEPTO DESDE LA MUSICA Y LA GENTE QUE TRAJO PARA LLEVAR ACABO DICHO EVENTO EN POCAS PALABRAS SOLICITO TODO LO QUE SE GASTO POR CONCEPTO</w:t>
            </w:r>
          </w:p>
          <w:p w:rsidR="00EC5A2E" w:rsidRPr="00A15B00" w:rsidRDefault="00EC5A2E" w:rsidP="00A15B00">
            <w:pPr>
              <w:jc w:val="both"/>
              <w:rPr>
                <w:rFonts w:ascii="Palatino Linotype" w:eastAsia="Times New Roman" w:hAnsi="Palatino Linotype" w:cs="Times New Roman"/>
                <w:i/>
                <w:color w:val="000000" w:themeColor="text1"/>
                <w:sz w:val="24"/>
                <w:szCs w:val="24"/>
              </w:rPr>
            </w:pPr>
          </w:p>
        </w:tc>
        <w:tc>
          <w:tcPr>
            <w:tcW w:w="3402" w:type="dxa"/>
          </w:tcPr>
          <w:p w:rsidR="00EC5A2E" w:rsidRPr="00A15B00" w:rsidRDefault="00EC5A2E" w:rsidP="00A15B00">
            <w:pPr>
              <w:pBdr>
                <w:top w:val="nil"/>
                <w:left w:val="nil"/>
                <w:bottom w:val="nil"/>
                <w:right w:val="nil"/>
                <w:between w:val="nil"/>
              </w:pBdr>
              <w:jc w:val="both"/>
              <w:rPr>
                <w:rFonts w:ascii="Palatino Linotype" w:hAnsi="Palatino Linotype"/>
                <w:color w:val="000000" w:themeColor="text1"/>
                <w:sz w:val="24"/>
                <w:szCs w:val="24"/>
              </w:rPr>
            </w:pPr>
            <w:r w:rsidRPr="00A15B00">
              <w:rPr>
                <w:rFonts w:ascii="Palatino Linotype" w:hAnsi="Palatino Linotype"/>
                <w:color w:val="000000" w:themeColor="text1"/>
                <w:sz w:val="24"/>
                <w:szCs w:val="24"/>
              </w:rPr>
              <w:lastRenderedPageBreak/>
              <w:t>El Tesorero Municipal por el que informo lo siguiente:</w:t>
            </w:r>
          </w:p>
          <w:p w:rsidR="00EC5A2E" w:rsidRPr="00A15B00" w:rsidRDefault="00EC5A2E" w:rsidP="00A15B00">
            <w:pPr>
              <w:pBdr>
                <w:top w:val="nil"/>
                <w:left w:val="nil"/>
                <w:bottom w:val="nil"/>
                <w:right w:val="nil"/>
                <w:between w:val="nil"/>
              </w:pBdr>
              <w:jc w:val="both"/>
              <w:rPr>
                <w:rFonts w:ascii="Palatino Linotype" w:hAnsi="Palatino Linotype"/>
                <w:b/>
                <w:i/>
                <w:color w:val="000000" w:themeColor="text1"/>
                <w:sz w:val="24"/>
                <w:szCs w:val="24"/>
              </w:rPr>
            </w:pPr>
          </w:p>
          <w:p w:rsidR="00EC5A2E" w:rsidRPr="00A15B00" w:rsidRDefault="00EC5A2E" w:rsidP="00A15B00">
            <w:pPr>
              <w:pBdr>
                <w:top w:val="nil"/>
                <w:left w:val="nil"/>
                <w:bottom w:val="nil"/>
                <w:right w:val="nil"/>
                <w:between w:val="nil"/>
              </w:pBdr>
              <w:jc w:val="both"/>
              <w:rPr>
                <w:rFonts w:ascii="Palatino Linotype" w:hAnsi="Palatino Linotype"/>
                <w:i/>
                <w:color w:val="000000" w:themeColor="text1"/>
                <w:sz w:val="24"/>
                <w:szCs w:val="24"/>
              </w:rPr>
            </w:pPr>
            <w:r w:rsidRPr="00A15B00">
              <w:rPr>
                <w:rFonts w:ascii="Palatino Linotype" w:hAnsi="Palatino Linotype"/>
                <w:i/>
                <w:color w:val="000000" w:themeColor="text1"/>
                <w:sz w:val="24"/>
                <w:szCs w:val="24"/>
              </w:rPr>
              <w:t>“En este sentido, en respuesta a la solicitud, se informa que derivado a que los proveedores no entregaron las facturas correspondientes en el mes del evento, el informe de dichos gastos se integrara hasta el segundo trimestre del presente año. Por lo tanto, esta Tesorería Municipal no está en condiciones de atender lo requerido.”</w:t>
            </w:r>
          </w:p>
          <w:p w:rsidR="00EC5A2E" w:rsidRPr="00A15B00" w:rsidRDefault="00EC5A2E" w:rsidP="00A15B00">
            <w:pPr>
              <w:pBdr>
                <w:top w:val="nil"/>
                <w:left w:val="nil"/>
                <w:bottom w:val="nil"/>
                <w:right w:val="nil"/>
                <w:between w:val="nil"/>
              </w:pBdr>
              <w:jc w:val="both"/>
              <w:rPr>
                <w:rFonts w:ascii="Palatino Linotype" w:hAnsi="Palatino Linotype"/>
                <w:i/>
                <w:color w:val="000000" w:themeColor="text1"/>
                <w:sz w:val="24"/>
                <w:szCs w:val="24"/>
              </w:rPr>
            </w:pPr>
          </w:p>
          <w:p w:rsidR="00EC5A2E" w:rsidRPr="00A15B00" w:rsidRDefault="00EC5A2E" w:rsidP="00A15B00">
            <w:pPr>
              <w:jc w:val="both"/>
              <w:rPr>
                <w:rFonts w:ascii="Palatino Linotype" w:eastAsia="Times New Roman" w:hAnsi="Palatino Linotype" w:cs="Times New Roman"/>
                <w:color w:val="000000" w:themeColor="text1"/>
                <w:sz w:val="24"/>
                <w:szCs w:val="24"/>
              </w:rPr>
            </w:pPr>
            <w:r w:rsidRPr="00A15B00">
              <w:rPr>
                <w:rFonts w:ascii="Palatino Linotype" w:eastAsia="Times New Roman" w:hAnsi="Palatino Linotype" w:cs="Times New Roman"/>
                <w:color w:val="000000" w:themeColor="text1"/>
                <w:sz w:val="24"/>
                <w:szCs w:val="24"/>
              </w:rPr>
              <w:t>El Titular de la Unidad de Transparencia por el que solicita al Titular de la Unidad de Adquisidores y Recursos Materiales, por el que informo lo siguiente:</w:t>
            </w:r>
          </w:p>
          <w:p w:rsidR="00EC5A2E" w:rsidRPr="00A15B00" w:rsidRDefault="00EC5A2E" w:rsidP="00A15B00">
            <w:pPr>
              <w:jc w:val="both"/>
              <w:rPr>
                <w:rFonts w:ascii="Palatino Linotype" w:eastAsia="Times New Roman" w:hAnsi="Palatino Linotype" w:cs="Times New Roman"/>
                <w:color w:val="000000" w:themeColor="text1"/>
                <w:sz w:val="24"/>
                <w:szCs w:val="24"/>
              </w:rPr>
            </w:pPr>
          </w:p>
          <w:p w:rsidR="00EC5A2E" w:rsidRPr="00A15B00" w:rsidRDefault="00EC5A2E" w:rsidP="00A15B00">
            <w:pPr>
              <w:jc w:val="both"/>
              <w:rPr>
                <w:rFonts w:ascii="Palatino Linotype" w:eastAsia="Times New Roman" w:hAnsi="Palatino Linotype" w:cs="Times New Roman"/>
                <w:i/>
                <w:color w:val="000000" w:themeColor="text1"/>
                <w:sz w:val="24"/>
                <w:szCs w:val="24"/>
              </w:rPr>
            </w:pPr>
            <w:r w:rsidRPr="00A15B00">
              <w:rPr>
                <w:rFonts w:ascii="Palatino Linotype" w:eastAsia="Times New Roman" w:hAnsi="Palatino Linotype" w:cs="Times New Roman"/>
                <w:i/>
                <w:color w:val="000000" w:themeColor="text1"/>
                <w:sz w:val="24"/>
                <w:szCs w:val="24"/>
              </w:rPr>
              <w:t>… que derivado a que los proveedores no entregaron las facturas correspondientes en el mes del evento; dichos gastos se integrara hasta el segundo trimestre del presente año. Por tanto, se verifico que durante el primer trimestre no se han efectuado pagos ni egresos en relación al concepto, por tal razón el área de Adquisiciones y Recursos materiales no está en condiciones de atender lo requerido.”</w:t>
            </w:r>
          </w:p>
          <w:p w:rsidR="00EC5A2E" w:rsidRPr="00A15B00" w:rsidRDefault="00EC5A2E" w:rsidP="00A15B00">
            <w:pPr>
              <w:jc w:val="both"/>
              <w:rPr>
                <w:rFonts w:ascii="Palatino Linotype" w:eastAsia="Times New Roman" w:hAnsi="Palatino Linotype" w:cs="Times New Roman"/>
                <w:i/>
                <w:color w:val="000000" w:themeColor="text1"/>
                <w:sz w:val="24"/>
                <w:szCs w:val="24"/>
              </w:rPr>
            </w:pPr>
          </w:p>
        </w:tc>
        <w:tc>
          <w:tcPr>
            <w:tcW w:w="3260" w:type="dxa"/>
          </w:tcPr>
          <w:p w:rsidR="00EC5A2E" w:rsidRPr="00A15B00" w:rsidRDefault="00EC5A2E" w:rsidP="00A15B00">
            <w:pPr>
              <w:spacing w:line="360" w:lineRule="auto"/>
              <w:jc w:val="center"/>
              <w:rPr>
                <w:rFonts w:ascii="Palatino Linotype" w:eastAsia="Times New Roman" w:hAnsi="Palatino Linotype" w:cs="Times New Roman"/>
                <w:b/>
                <w:color w:val="000000" w:themeColor="text1"/>
                <w:sz w:val="24"/>
                <w:szCs w:val="24"/>
              </w:rPr>
            </w:pPr>
            <w:r w:rsidRPr="00A15B00">
              <w:rPr>
                <w:rFonts w:ascii="Palatino Linotype" w:eastAsia="Times New Roman" w:hAnsi="Palatino Linotype" w:cs="Times New Roman"/>
                <w:b/>
                <w:color w:val="000000" w:themeColor="text1"/>
                <w:sz w:val="24"/>
                <w:szCs w:val="24"/>
              </w:rPr>
              <w:lastRenderedPageBreak/>
              <w:t>NO</w:t>
            </w:r>
          </w:p>
          <w:p w:rsidR="00EC5A2E" w:rsidRPr="00A15B00" w:rsidRDefault="00EC5A2E" w:rsidP="00A15B00">
            <w:pPr>
              <w:jc w:val="both"/>
              <w:rPr>
                <w:rFonts w:ascii="Palatino Linotype" w:eastAsia="Times New Roman" w:hAnsi="Palatino Linotype" w:cs="Times New Roman"/>
                <w:color w:val="000000" w:themeColor="text1"/>
                <w:sz w:val="24"/>
                <w:szCs w:val="24"/>
              </w:rPr>
            </w:pPr>
            <w:r w:rsidRPr="00A15B00">
              <w:rPr>
                <w:rFonts w:ascii="Palatino Linotype" w:eastAsia="Times New Roman" w:hAnsi="Palatino Linotype" w:cs="Times New Roman"/>
                <w:color w:val="000000" w:themeColor="text1"/>
                <w:sz w:val="24"/>
                <w:szCs w:val="24"/>
              </w:rPr>
              <w:lastRenderedPageBreak/>
              <w:t>Se advierte que se pronunció el Tesorero Municipal, Servidor Público Habilitado pa</w:t>
            </w:r>
            <w:r w:rsidR="00E342AE" w:rsidRPr="00A15B00">
              <w:rPr>
                <w:rFonts w:ascii="Palatino Linotype" w:eastAsia="Times New Roman" w:hAnsi="Palatino Linotype" w:cs="Times New Roman"/>
                <w:color w:val="000000" w:themeColor="text1"/>
                <w:sz w:val="24"/>
                <w:szCs w:val="24"/>
              </w:rPr>
              <w:t>ra tal efecto, quien informo</w:t>
            </w:r>
            <w:r w:rsidRPr="00A15B00">
              <w:rPr>
                <w:rFonts w:ascii="Palatino Linotype" w:eastAsia="Times New Roman" w:hAnsi="Palatino Linotype" w:cs="Times New Roman"/>
                <w:color w:val="000000" w:themeColor="text1"/>
                <w:sz w:val="24"/>
                <w:szCs w:val="24"/>
              </w:rPr>
              <w:t xml:space="preserve"> al momento de dar respuesta informó que no cuenta con las facturas derivado de que los proveedores a la fecha de la solicitud no las remitieron, por lo que no es posible dar atención a lo requerido.</w:t>
            </w:r>
          </w:p>
          <w:p w:rsidR="00EC5A2E" w:rsidRPr="00A15B00" w:rsidRDefault="00EC5A2E" w:rsidP="00A15B00">
            <w:pPr>
              <w:jc w:val="both"/>
              <w:rPr>
                <w:rFonts w:ascii="Palatino Linotype" w:eastAsia="Times New Roman" w:hAnsi="Palatino Linotype" w:cs="Times New Roman"/>
                <w:color w:val="000000" w:themeColor="text1"/>
                <w:sz w:val="24"/>
                <w:szCs w:val="24"/>
              </w:rPr>
            </w:pPr>
          </w:p>
          <w:p w:rsidR="00EC5A2E" w:rsidRPr="00A15B00" w:rsidRDefault="00EC5A2E" w:rsidP="00A15B00">
            <w:pPr>
              <w:jc w:val="both"/>
              <w:rPr>
                <w:rFonts w:ascii="Palatino Linotype" w:eastAsia="Times New Roman" w:hAnsi="Palatino Linotype" w:cs="Times New Roman"/>
                <w:color w:val="000000" w:themeColor="text1"/>
                <w:sz w:val="24"/>
                <w:szCs w:val="24"/>
              </w:rPr>
            </w:pPr>
            <w:r w:rsidRPr="00A15B00">
              <w:rPr>
                <w:rFonts w:ascii="Palatino Linotype" w:eastAsia="Times New Roman" w:hAnsi="Palatino Linotype" w:cs="Times New Roman"/>
                <w:color w:val="000000" w:themeColor="text1"/>
                <w:sz w:val="24"/>
                <w:szCs w:val="24"/>
              </w:rPr>
              <w:t xml:space="preserve">Sin embargo, </w:t>
            </w:r>
            <w:r w:rsidR="00305275" w:rsidRPr="00A15B00">
              <w:rPr>
                <w:rFonts w:ascii="Palatino Linotype" w:eastAsia="Times New Roman" w:hAnsi="Palatino Linotype" w:cs="Times New Roman"/>
                <w:color w:val="000000" w:themeColor="text1"/>
                <w:sz w:val="24"/>
                <w:szCs w:val="24"/>
              </w:rPr>
              <w:t xml:space="preserve">partiendo de la naturaleza de la solicitud, se requirió el </w:t>
            </w:r>
            <w:r w:rsidR="00305275" w:rsidRPr="00A15B00">
              <w:rPr>
                <w:rFonts w:ascii="Palatino Linotype" w:eastAsia="Times New Roman" w:hAnsi="Palatino Linotype" w:cs="Times New Roman"/>
                <w:b/>
                <w:color w:val="000000" w:themeColor="text1"/>
                <w:sz w:val="24"/>
                <w:szCs w:val="24"/>
              </w:rPr>
              <w:t xml:space="preserve">gasto que realizó el Ayuntamiento, </w:t>
            </w:r>
            <w:r w:rsidR="00305275" w:rsidRPr="00A15B00">
              <w:rPr>
                <w:rFonts w:ascii="Palatino Linotype" w:eastAsia="Times New Roman" w:hAnsi="Palatino Linotype" w:cs="Times New Roman"/>
                <w:color w:val="000000" w:themeColor="text1"/>
                <w:sz w:val="24"/>
                <w:szCs w:val="24"/>
              </w:rPr>
              <w:t xml:space="preserve">respecto el carnaval referido, es decir, la cantidad, no así el documento probatorio de dichos gastos, que en el caso concreto lo son las facturas, en consecuencia no se puede tener por colmado el rubro en comento, resultando dable ordenar el gasto realizado. </w:t>
            </w:r>
          </w:p>
          <w:p w:rsidR="00305275" w:rsidRPr="00A15B00" w:rsidRDefault="00305275" w:rsidP="00A15B00">
            <w:pPr>
              <w:jc w:val="both"/>
              <w:rPr>
                <w:rFonts w:ascii="Palatino Linotype" w:hAnsi="Palatino Linotype"/>
                <w:color w:val="000000" w:themeColor="text1"/>
                <w:sz w:val="24"/>
                <w:szCs w:val="24"/>
              </w:rPr>
            </w:pPr>
          </w:p>
        </w:tc>
      </w:tr>
    </w:tbl>
    <w:p w:rsidR="00EC5A2E" w:rsidRPr="00A15B00" w:rsidRDefault="00EC5A2E" w:rsidP="00A15B00">
      <w:pPr>
        <w:spacing w:after="0" w:line="360" w:lineRule="auto"/>
        <w:jc w:val="both"/>
        <w:rPr>
          <w:rFonts w:ascii="Palatino Linotype" w:eastAsia="Times New Roman" w:hAnsi="Palatino Linotype" w:cs="Times New Roman"/>
          <w:b/>
          <w:i/>
          <w:color w:val="000000" w:themeColor="text1"/>
          <w:sz w:val="24"/>
          <w:szCs w:val="24"/>
        </w:rPr>
      </w:pPr>
    </w:p>
    <w:p w:rsidR="00262450" w:rsidRPr="00A15B00" w:rsidRDefault="00305275"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hAnsi="Palatino Linotype" w:cs="Tahoma"/>
          <w:bCs/>
          <w:iCs/>
          <w:color w:val="000000" w:themeColor="text1"/>
          <w:sz w:val="24"/>
          <w:szCs w:val="24"/>
        </w:rPr>
        <w:lastRenderedPageBreak/>
        <w:t xml:space="preserve">Es así que, como se refirió en la tabla anterior que no se puede tener por colmada la solicitud de información </w:t>
      </w:r>
      <w:r w:rsidRPr="00A15B00">
        <w:rPr>
          <w:rFonts w:ascii="Palatino Linotype" w:hAnsi="Palatino Linotype" w:cs="Tahoma"/>
          <w:b/>
          <w:bCs/>
          <w:iCs/>
          <w:color w:val="000000" w:themeColor="text1"/>
          <w:sz w:val="24"/>
          <w:szCs w:val="24"/>
        </w:rPr>
        <w:t xml:space="preserve">00215/ACAMBAY/IP/2025, </w:t>
      </w:r>
      <w:r w:rsidRPr="00A15B00">
        <w:rPr>
          <w:rFonts w:ascii="Palatino Linotype" w:hAnsi="Palatino Linotype" w:cs="Tahoma"/>
          <w:bCs/>
          <w:iCs/>
          <w:color w:val="000000" w:themeColor="text1"/>
          <w:sz w:val="24"/>
          <w:szCs w:val="24"/>
        </w:rPr>
        <w:t xml:space="preserve">derivado de que el </w:t>
      </w:r>
      <w:r w:rsidRPr="00A15B00">
        <w:rPr>
          <w:rFonts w:ascii="Palatino Linotype" w:hAnsi="Palatino Linotype" w:cs="Tahoma"/>
          <w:b/>
          <w:bCs/>
          <w:iCs/>
          <w:color w:val="000000" w:themeColor="text1"/>
          <w:sz w:val="24"/>
          <w:szCs w:val="24"/>
        </w:rPr>
        <w:t xml:space="preserve">SUJETO OBLIGADO </w:t>
      </w:r>
      <w:r w:rsidRPr="00A15B00">
        <w:rPr>
          <w:rFonts w:ascii="Palatino Linotype" w:hAnsi="Palatino Linotype" w:cs="Tahoma"/>
          <w:bCs/>
          <w:iCs/>
          <w:color w:val="000000" w:themeColor="text1"/>
          <w:sz w:val="24"/>
          <w:szCs w:val="24"/>
        </w:rPr>
        <w:t xml:space="preserve"> no hizo entrega de la información solicitada.</w:t>
      </w:r>
    </w:p>
    <w:p w:rsidR="00305275" w:rsidRPr="00A15B00" w:rsidRDefault="00305275" w:rsidP="00A15B00">
      <w:pPr>
        <w:spacing w:after="0" w:line="360" w:lineRule="auto"/>
        <w:jc w:val="both"/>
        <w:rPr>
          <w:rFonts w:ascii="Palatino Linotype" w:eastAsia="Palatino Linotype" w:hAnsi="Palatino Linotype" w:cs="Palatino Linotype"/>
          <w:color w:val="000000" w:themeColor="text1"/>
          <w:sz w:val="24"/>
          <w:szCs w:val="24"/>
        </w:rPr>
      </w:pPr>
    </w:p>
    <w:p w:rsidR="00305275" w:rsidRPr="00A15B00" w:rsidRDefault="00305275"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Asimismo, de la respuesta proporcionada por el Tesorero Municipal, se advierte la existencia del Carnaval en comento, pues –se insiste- este asume que se llevó a cabo tal evento, haciendo alusión a que no se cuenta con las facturas por las razones ya referidas.</w:t>
      </w:r>
    </w:p>
    <w:p w:rsidR="008850CA" w:rsidRPr="00A15B00" w:rsidRDefault="008850CA" w:rsidP="00A15B00">
      <w:pPr>
        <w:spacing w:after="0" w:line="360" w:lineRule="auto"/>
        <w:jc w:val="both"/>
        <w:rPr>
          <w:rFonts w:ascii="Palatino Linotype" w:eastAsia="Palatino Linotype" w:hAnsi="Palatino Linotype" w:cs="Palatino Linotype"/>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 efecto de precisión, se refiere lo siguiente:</w:t>
      </w:r>
    </w:p>
    <w:p w:rsidR="008850CA" w:rsidRPr="00A15B00" w:rsidRDefault="008850CA" w:rsidP="00A15B00">
      <w:pPr>
        <w:spacing w:after="0" w:line="360" w:lineRule="auto"/>
        <w:jc w:val="both"/>
        <w:rPr>
          <w:rFonts w:ascii="Palatino Linotype" w:eastAsia="Palatino Linotype" w:hAnsi="Palatino Linotype" w:cs="Palatino Linotype"/>
          <w:color w:val="000000" w:themeColor="text1"/>
          <w:sz w:val="24"/>
          <w:szCs w:val="24"/>
        </w:rPr>
      </w:pPr>
    </w:p>
    <w:p w:rsidR="00305275" w:rsidRPr="00A15B00" w:rsidRDefault="008850CA" w:rsidP="00A15B00">
      <w:pPr>
        <w:spacing w:after="0" w:line="360" w:lineRule="auto"/>
        <w:jc w:val="center"/>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noProof/>
          <w:color w:val="000000" w:themeColor="text1"/>
          <w:sz w:val="24"/>
          <w:szCs w:val="24"/>
        </w:rPr>
        <w:lastRenderedPageBreak/>
        <w:drawing>
          <wp:inline distT="0" distB="0" distL="0" distR="0" wp14:anchorId="34EB428C" wp14:editId="67FBFB11">
            <wp:extent cx="4248028" cy="4932000"/>
            <wp:effectExtent l="0" t="0" r="635"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8028" cy="4932000"/>
                    </a:xfrm>
                    <a:prstGeom prst="rect">
                      <a:avLst/>
                    </a:prstGeom>
                  </pic:spPr>
                </pic:pic>
              </a:graphicData>
            </a:graphic>
          </wp:inline>
        </w:drawing>
      </w:r>
    </w:p>
    <w:p w:rsidR="008850CA" w:rsidRPr="00A15B00" w:rsidRDefault="008850CA" w:rsidP="00A15B00">
      <w:pPr>
        <w:spacing w:after="0" w:line="360" w:lineRule="auto"/>
        <w:jc w:val="center"/>
        <w:rPr>
          <w:rFonts w:ascii="Palatino Linotype" w:eastAsia="Palatino Linotype" w:hAnsi="Palatino Linotype" w:cs="Palatino Linotype"/>
          <w:color w:val="000000" w:themeColor="text1"/>
          <w:sz w:val="24"/>
          <w:szCs w:val="24"/>
        </w:rPr>
      </w:pPr>
    </w:p>
    <w:p w:rsidR="00305275" w:rsidRPr="00A15B00" w:rsidRDefault="00305275" w:rsidP="00A15B00">
      <w:pPr>
        <w:numPr>
          <w:ilvl w:val="0"/>
          <w:numId w:val="1"/>
        </w:numPr>
        <w:spacing w:after="0" w:line="36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color w:val="000000" w:themeColor="text1"/>
          <w:sz w:val="24"/>
          <w:szCs w:val="24"/>
        </w:rPr>
        <w:t>Ahora bien, no pasa desapercibido que el Titular de la Unidad de Transparencia por el que solicita al Titular de la Unidad de Adquisidores y Recursos Materiales, informo que “</w:t>
      </w:r>
      <w:r w:rsidRPr="00A15B00">
        <w:rPr>
          <w:rFonts w:ascii="Palatino Linotype" w:eastAsia="Palatino Linotype" w:hAnsi="Palatino Linotype" w:cs="Palatino Linotype"/>
          <w:i/>
          <w:color w:val="000000" w:themeColor="text1"/>
          <w:sz w:val="24"/>
          <w:szCs w:val="24"/>
        </w:rPr>
        <w:t xml:space="preserve">derivado a que los proveedores no entregaron las facturas correspondientes en el mes del evento; dichos gastos se integrara hasta el segundo trimestre del presente año. Por tanto, se verifico que durante el primer trimestre no se han efectuado pagos ni egresos en relación al concepto, por tal razón el área de Adquisiciones y Recursos materiales no está en condiciones de atender lo requerido.”, </w:t>
      </w:r>
      <w:r w:rsidRPr="00A15B00">
        <w:rPr>
          <w:rFonts w:ascii="Palatino Linotype" w:eastAsia="Palatino Linotype" w:hAnsi="Palatino Linotype" w:cs="Palatino Linotype"/>
          <w:color w:val="000000" w:themeColor="text1"/>
          <w:sz w:val="24"/>
          <w:szCs w:val="24"/>
        </w:rPr>
        <w:t xml:space="preserve">sin embargo, como ya se refirió el área competente es Tesorería Municipal. </w:t>
      </w:r>
    </w:p>
    <w:p w:rsidR="00305275" w:rsidRPr="00A15B00" w:rsidRDefault="00305275"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 xml:space="preserve">En esa tesitura, </w:t>
      </w:r>
      <w:r w:rsidR="008850CA" w:rsidRPr="00A15B00">
        <w:rPr>
          <w:rFonts w:ascii="Palatino Linotype" w:eastAsia="Palatino Linotype" w:hAnsi="Palatino Linotype" w:cs="Palatino Linotype"/>
          <w:color w:val="000000" w:themeColor="text1"/>
          <w:sz w:val="24"/>
          <w:szCs w:val="24"/>
        </w:rPr>
        <w:t xml:space="preserve">resulta sable ordenar al </w:t>
      </w:r>
      <w:r w:rsidR="008850CA" w:rsidRPr="00A15B00">
        <w:rPr>
          <w:rFonts w:ascii="Palatino Linotype" w:eastAsia="Palatino Linotype" w:hAnsi="Palatino Linotype" w:cs="Palatino Linotype"/>
          <w:b/>
          <w:color w:val="000000" w:themeColor="text1"/>
          <w:sz w:val="24"/>
          <w:szCs w:val="24"/>
        </w:rPr>
        <w:t xml:space="preserve">SUJETO OBLIGADO </w:t>
      </w:r>
      <w:r w:rsidR="008850CA" w:rsidRPr="00A15B00">
        <w:rPr>
          <w:rFonts w:ascii="Palatino Linotype" w:eastAsia="Palatino Linotype" w:hAnsi="Palatino Linotype" w:cs="Palatino Linotype"/>
          <w:color w:val="000000" w:themeColor="text1"/>
          <w:sz w:val="24"/>
          <w:szCs w:val="24"/>
        </w:rPr>
        <w:t>haga entrega del documento en donde conste o se advierta el gasto que se realizó al dieciocho de marzo de dos mil veinticinco, que de manera enunciativa más no limitativa podría ser el contrato, por lo que al respecto se refiere lo siguiente:</w:t>
      </w:r>
    </w:p>
    <w:p w:rsidR="008850CA" w:rsidRPr="00A15B00" w:rsidRDefault="008850CA" w:rsidP="00A15B00">
      <w:pPr>
        <w:numPr>
          <w:ilvl w:val="0"/>
          <w:numId w:val="24"/>
        </w:numPr>
        <w:pBdr>
          <w:top w:val="nil"/>
          <w:left w:val="nil"/>
          <w:bottom w:val="nil"/>
          <w:right w:val="nil"/>
          <w:between w:val="nil"/>
        </w:pBdr>
        <w:suppressAutoHyphens/>
        <w:spacing w:after="0" w:line="276"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b/>
          <w:color w:val="000000" w:themeColor="text1"/>
          <w:sz w:val="24"/>
          <w:szCs w:val="24"/>
        </w:rPr>
        <w:t>Contrato:</w:t>
      </w:r>
      <w:r w:rsidRPr="00A15B00">
        <w:rPr>
          <w:rFonts w:ascii="Palatino Linotype" w:eastAsia="Palatino Linotype" w:hAnsi="Palatino Linotype" w:cs="Palatino Linotype"/>
          <w:color w:val="000000" w:themeColor="text1"/>
          <w:sz w:val="24"/>
          <w:szCs w:val="24"/>
        </w:rPr>
        <w:t xml:space="preserve"> Acuerdo legal entre dos o más personas que se comprometen a cumplir con ciertas obligaciones, que se pactan previo a cumplir con la obligación objeto del contrato </w:t>
      </w:r>
    </w:p>
    <w:p w:rsidR="008850CA" w:rsidRPr="00A15B00" w:rsidRDefault="008850CA" w:rsidP="00A15B00">
      <w:pPr>
        <w:spacing w:after="0" w:line="360" w:lineRule="auto"/>
        <w:jc w:val="both"/>
        <w:rPr>
          <w:rFonts w:ascii="Palatino Linotype" w:eastAsia="Palatino Linotype" w:hAnsi="Palatino Linotype" w:cs="Palatino Linotype"/>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Es así que, respecto los contratos solicitados y partiendo de que un contrato es un acuerdo legal entre dos o más personas que se comprometen a cumplir con ciertas obligaciones, que se pactan</w:t>
      </w:r>
      <w:r w:rsidRPr="00A15B00">
        <w:rPr>
          <w:rFonts w:ascii="Palatino Linotype" w:eastAsia="Palatino Linotype" w:hAnsi="Palatino Linotype" w:cs="Palatino Linotype"/>
          <w:color w:val="000000" w:themeColor="text1"/>
          <w:sz w:val="24"/>
          <w:szCs w:val="24"/>
          <w:u w:val="single"/>
        </w:rPr>
        <w:t xml:space="preserve"> previo</w:t>
      </w:r>
      <w:r w:rsidRPr="00A15B00">
        <w:rPr>
          <w:rFonts w:ascii="Palatino Linotype" w:eastAsia="Palatino Linotype" w:hAnsi="Palatino Linotype" w:cs="Palatino Linotype"/>
          <w:color w:val="000000" w:themeColor="text1"/>
          <w:sz w:val="24"/>
          <w:szCs w:val="24"/>
        </w:rPr>
        <w:t xml:space="preserve"> a cumplir con la obligación objeto del contrato que, en el caso que nos ocupa es el Carnaval, por lo  se considera que a la fecha de la solicitud ya se debió de contar con los mismos, pues –se insiste- los contratos deben de firmarse de manera previa a la prestación de los servicios contratados, además de que por la temporalidad de la solicitud y del evento, ya se deben de contar con los contratos relativos a los </w:t>
      </w:r>
      <w:r w:rsidR="00995353" w:rsidRPr="00A15B00">
        <w:rPr>
          <w:rFonts w:ascii="Palatino Linotype" w:eastAsia="Palatino Linotype" w:hAnsi="Palatino Linotype" w:cs="Palatino Linotype"/>
          <w:color w:val="000000" w:themeColor="text1"/>
          <w:sz w:val="24"/>
          <w:szCs w:val="24"/>
        </w:rPr>
        <w:t>eventos recreativos solicitados, en donde debe obrar el monto pactado por la prestación del servicio.</w:t>
      </w:r>
    </w:p>
    <w:p w:rsidR="008850CA" w:rsidRPr="00A15B00" w:rsidRDefault="008850CA" w:rsidP="00A15B00">
      <w:pPr>
        <w:spacing w:after="0" w:line="360" w:lineRule="auto"/>
        <w:jc w:val="both"/>
        <w:rPr>
          <w:rFonts w:ascii="Palatino Linotype" w:eastAsia="Palatino Linotype" w:hAnsi="Palatino Linotype" w:cs="Palatino Linotype"/>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Respecto los contratos de los cuales se ordena su entrega, la LEY DE CONTRATACIÓN PÚBLICA DEL ESTADO DE MÉXICO Y MUNICIPIO, en su artículo 1 establece lo siguiente:</w:t>
      </w:r>
    </w:p>
    <w:p w:rsidR="008850CA" w:rsidRPr="00A15B00" w:rsidRDefault="008850CA" w:rsidP="00A15B00">
      <w:pPr>
        <w:pBdr>
          <w:top w:val="nil"/>
          <w:left w:val="nil"/>
          <w:bottom w:val="nil"/>
          <w:right w:val="nil"/>
          <w:between w:val="nil"/>
        </w:pBdr>
        <w:jc w:val="center"/>
        <w:rPr>
          <w:rFonts w:ascii="Palatino Linotype" w:eastAsia="Palatino Linotype" w:hAnsi="Palatino Linotype" w:cs="Palatino Linotype"/>
          <w:b/>
          <w:i/>
          <w:color w:val="000000" w:themeColor="text1"/>
          <w:sz w:val="24"/>
          <w:szCs w:val="24"/>
        </w:rPr>
      </w:pPr>
      <w:r w:rsidRPr="00A15B00">
        <w:rPr>
          <w:rFonts w:ascii="Palatino Linotype" w:eastAsia="Palatino Linotype" w:hAnsi="Palatino Linotype" w:cs="Palatino Linotype"/>
          <w:b/>
          <w:i/>
          <w:color w:val="000000" w:themeColor="text1"/>
          <w:sz w:val="24"/>
          <w:szCs w:val="24"/>
        </w:rPr>
        <w:t>CAPITULO PRIMERO</w:t>
      </w:r>
    </w:p>
    <w:p w:rsidR="008850CA" w:rsidRPr="00A15B00" w:rsidRDefault="008850CA" w:rsidP="00A15B00">
      <w:pPr>
        <w:pBdr>
          <w:top w:val="nil"/>
          <w:left w:val="nil"/>
          <w:bottom w:val="nil"/>
          <w:right w:val="nil"/>
          <w:between w:val="nil"/>
        </w:pBdr>
        <w:jc w:val="center"/>
        <w:rPr>
          <w:rFonts w:ascii="Palatino Linotype" w:eastAsia="Palatino Linotype" w:hAnsi="Palatino Linotype" w:cs="Palatino Linotype"/>
          <w:b/>
          <w:i/>
          <w:color w:val="000000" w:themeColor="text1"/>
          <w:sz w:val="24"/>
          <w:szCs w:val="24"/>
        </w:rPr>
      </w:pPr>
      <w:r w:rsidRPr="00A15B00">
        <w:rPr>
          <w:rFonts w:ascii="Palatino Linotype" w:eastAsia="Palatino Linotype" w:hAnsi="Palatino Linotype" w:cs="Palatino Linotype"/>
          <w:b/>
          <w:i/>
          <w:color w:val="000000" w:themeColor="text1"/>
          <w:sz w:val="24"/>
          <w:szCs w:val="24"/>
        </w:rPr>
        <w:t>PARTE GENERAL</w:t>
      </w:r>
    </w:p>
    <w:p w:rsidR="008850CA" w:rsidRPr="00A15B00" w:rsidRDefault="008850CA" w:rsidP="00A15B00">
      <w:pPr>
        <w:pBdr>
          <w:top w:val="nil"/>
          <w:left w:val="nil"/>
          <w:bottom w:val="nil"/>
          <w:right w:val="nil"/>
          <w:between w:val="nil"/>
        </w:pBdr>
        <w:jc w:val="center"/>
        <w:rPr>
          <w:rFonts w:ascii="Palatino Linotype" w:eastAsia="Palatino Linotype" w:hAnsi="Palatino Linotype" w:cs="Palatino Linotype"/>
          <w:b/>
          <w:i/>
          <w:color w:val="000000" w:themeColor="text1"/>
          <w:sz w:val="24"/>
          <w:szCs w:val="24"/>
        </w:rPr>
      </w:pPr>
    </w:p>
    <w:p w:rsidR="008850CA" w:rsidRPr="00A15B00" w:rsidRDefault="008850CA" w:rsidP="00A15B0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1.-</w:t>
      </w:r>
      <w:r w:rsidRPr="00A15B00">
        <w:rPr>
          <w:rFonts w:ascii="Palatino Linotype" w:eastAsia="Palatino Linotype" w:hAnsi="Palatino Linotype" w:cs="Palatino Linotype"/>
          <w:i/>
          <w:color w:val="000000" w:themeColor="text1"/>
          <w:sz w:val="24"/>
          <w:szCs w:val="24"/>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rsidR="008850CA" w:rsidRPr="00A15B00" w:rsidRDefault="008850CA" w:rsidP="00A15B00">
      <w:pPr>
        <w:numPr>
          <w:ilvl w:val="0"/>
          <w:numId w:val="26"/>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lastRenderedPageBreak/>
        <w:t>Las secretarías y las unidades administrativas del Poder Ejecutivo del Estado.</w:t>
      </w:r>
    </w:p>
    <w:p w:rsidR="008850CA" w:rsidRPr="00A15B00" w:rsidRDefault="008850CA" w:rsidP="00A15B00">
      <w:pPr>
        <w:numPr>
          <w:ilvl w:val="0"/>
          <w:numId w:val="26"/>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 Derogada.</w:t>
      </w:r>
    </w:p>
    <w:p w:rsidR="008850CA" w:rsidRPr="00A15B00" w:rsidRDefault="008850CA" w:rsidP="00A15B00">
      <w:pPr>
        <w:numPr>
          <w:ilvl w:val="0"/>
          <w:numId w:val="26"/>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u w:val="single"/>
        </w:rPr>
        <w:t xml:space="preserve"> Los ayuntamientos de los municipios del Estado</w:t>
      </w:r>
      <w:r w:rsidRPr="00A15B00">
        <w:rPr>
          <w:rFonts w:ascii="Palatino Linotype" w:eastAsia="Palatino Linotype" w:hAnsi="Palatino Linotype" w:cs="Palatino Linotype"/>
          <w:i/>
          <w:color w:val="000000" w:themeColor="text1"/>
          <w:sz w:val="24"/>
          <w:szCs w:val="24"/>
        </w:rPr>
        <w:t xml:space="preserve">. </w:t>
      </w:r>
    </w:p>
    <w:p w:rsidR="008850CA" w:rsidRPr="00A15B00" w:rsidRDefault="008850CA" w:rsidP="00A15B00">
      <w:pPr>
        <w:numPr>
          <w:ilvl w:val="0"/>
          <w:numId w:val="26"/>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Los organismos auxiliares y fideicomisos públicos, de carácter estatal o municipal.</w:t>
      </w:r>
    </w:p>
    <w:p w:rsidR="008850CA" w:rsidRPr="00A15B00" w:rsidRDefault="008850CA" w:rsidP="00A15B00">
      <w:pPr>
        <w:numPr>
          <w:ilvl w:val="0"/>
          <w:numId w:val="26"/>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Los tribunales administrativos.</w:t>
      </w:r>
    </w:p>
    <w:p w:rsidR="008850CA" w:rsidRPr="00A15B00" w:rsidRDefault="008850CA" w:rsidP="00A15B00">
      <w:pPr>
        <w:pBdr>
          <w:top w:val="nil"/>
          <w:left w:val="nil"/>
          <w:bottom w:val="nil"/>
          <w:right w:val="nil"/>
          <w:between w:val="nil"/>
        </w:pBd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 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 También serán aplicables las disposiciones de esta Ley a los particulares que participen en los procedimientos, operaciones o contratos regulados en esta Ley.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Los poderes Legislativo y Judicial, así como los organismos autónomos aplicarán las disposiciones de esta Ley en lo que no se oponga a los ordenamientos legales que los regulan, sujetándose a sus propios órganos de control.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Tampoco serán aplicables las disposiciones de esta Ley en los actos que realicen los fideicomisos públicos en los que el Gobierno del Estado no sea fideicomitente único. “(sic)</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En ese orden de ideas, lo anterior, se adjudicará a través de licitaciones públicas, invitación restringida o adjudicación directa, mediante convocatoria pública, tal y como lo establecen los artículos 4, 26 y 27 de dicha Ley, los cuales son del tenor siguiente:</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lastRenderedPageBreak/>
        <w:t>“Artículo 4.-</w:t>
      </w:r>
      <w:r w:rsidRPr="00A15B00">
        <w:rPr>
          <w:rFonts w:ascii="Palatino Linotype" w:eastAsia="Palatino Linotype" w:hAnsi="Palatino Linotype" w:cs="Palatino Linotype"/>
          <w:i/>
          <w:color w:val="000000" w:themeColor="text1"/>
          <w:sz w:val="24"/>
          <w:szCs w:val="24"/>
        </w:rPr>
        <w:t xml:space="preserve"> Para los efectos de esta Ley, en las adquisiciones, enajenaciones, arrendamientos y servicios, quedan comprendidos: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I. La adquisición de bienes muebles.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II. La adquisición de bienes inmuebles, a través de compraventa.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III. La enajenación de bienes muebles e inmuebles.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IV. El arrendamiento de bienes muebles e inmuebles.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V. La contratación de los servicios, relacionados con bienes muebles que se encuentran incorporados o adheridos a bienes inmuebles, cuya instalación o mantenimiento no implique modificación al bien inmueble.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VI. La contratación de los servicios de reconstrucción y mantenimiento de bienes muebles.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VII. La contratación de los servicios de maquila, seguros y transportación, así como de los de limpieza y vigilancia de bienes inmuebles</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VIII. La prestación de servicios profesionales, la contratación de consultorías, asesorías y estudios e investigaciones, excepto la contratación de servicios personales de personas físicas bajo el régimen de honorarios. </w:t>
      </w:r>
    </w:p>
    <w:p w:rsidR="008850CA" w:rsidRPr="00A15B00" w:rsidRDefault="008850CA" w:rsidP="00A15B00">
      <w:pPr>
        <w:jc w:val="both"/>
        <w:rPr>
          <w:rFonts w:ascii="Palatino Linotype" w:eastAsia="Palatino Linotype" w:hAnsi="Palatino Linotype" w:cs="Palatino Linotype"/>
          <w:i/>
          <w:color w:val="000000" w:themeColor="text1"/>
          <w:sz w:val="24"/>
          <w:szCs w:val="24"/>
          <w:u w:val="single"/>
        </w:rPr>
      </w:pPr>
      <w:r w:rsidRPr="00A15B00">
        <w:rPr>
          <w:rFonts w:ascii="Palatino Linotype" w:eastAsia="Palatino Linotype" w:hAnsi="Palatino Linotype" w:cs="Palatino Linotype"/>
          <w:i/>
          <w:color w:val="000000" w:themeColor="text1"/>
          <w:sz w:val="24"/>
          <w:szCs w:val="24"/>
          <w:u w:val="single"/>
        </w:rPr>
        <w:t>En general, otros actos que impliquen la contratación de servicios de cualquier naturaleza.</w:t>
      </w:r>
    </w:p>
    <w:p w:rsidR="008850CA" w:rsidRPr="00A15B00" w:rsidRDefault="008850CA" w:rsidP="00A15B00">
      <w:pPr>
        <w:jc w:val="both"/>
        <w:rPr>
          <w:rFonts w:ascii="Palatino Linotype" w:eastAsia="Palatino Linotype" w:hAnsi="Palatino Linotype" w:cs="Palatino Linotype"/>
          <w:b/>
          <w:i/>
          <w:color w:val="000000" w:themeColor="text1"/>
          <w:sz w:val="24"/>
          <w:szCs w:val="24"/>
          <w:u w:val="single"/>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26.-</w:t>
      </w:r>
      <w:r w:rsidRPr="00A15B00">
        <w:rPr>
          <w:rFonts w:ascii="Palatino Linotype" w:eastAsia="Palatino Linotype" w:hAnsi="Palatino Linotype" w:cs="Palatino Linotype"/>
          <w:i/>
          <w:color w:val="000000" w:themeColor="text1"/>
          <w:sz w:val="24"/>
          <w:szCs w:val="24"/>
        </w:rPr>
        <w:t xml:space="preserve"> Las adquisiciones, arrendamientos y servicios se adjudicarán a través de licitaciones públicas, mediante convocatoria pública.</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27.-</w:t>
      </w:r>
      <w:r w:rsidRPr="00A15B00">
        <w:rPr>
          <w:rFonts w:ascii="Palatino Linotype" w:eastAsia="Palatino Linotype" w:hAnsi="Palatino Linotype" w:cs="Palatino Linotype"/>
          <w:i/>
          <w:color w:val="000000" w:themeColor="text1"/>
          <w:sz w:val="24"/>
          <w:szCs w:val="24"/>
        </w:rPr>
        <w:t xml:space="preserve"> La Secretaría, las entidades, los tribunales administrativos y los ayuntamientos podrán adjudicar adquisiciones, arrendamientos y servicios, mediante las excepciones al procedimiento de licitación que a continuación se señalan: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I. Invitación restringida. </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II. Adjudicación directa.”</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lastRenderedPageBreak/>
        <w:t xml:space="preserve">(Énfasis añadido) </w:t>
      </w:r>
    </w:p>
    <w:p w:rsidR="008850CA" w:rsidRPr="00A15B00" w:rsidRDefault="008850CA" w:rsidP="00A15B00">
      <w:pPr>
        <w:spacing w:line="360" w:lineRule="auto"/>
        <w:jc w:val="both"/>
        <w:rPr>
          <w:rFonts w:ascii="Palatino Linotype" w:eastAsia="Palatino Linotype" w:hAnsi="Palatino Linotype" w:cs="Palatino Linotype"/>
          <w:i/>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8850CA" w:rsidRPr="00A15B00" w:rsidRDefault="008850CA" w:rsidP="00A15B0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8850CA" w:rsidRPr="00A15B00" w:rsidRDefault="008850CA" w:rsidP="00A15B00">
      <w:pPr>
        <w:pBdr>
          <w:top w:val="nil"/>
          <w:left w:val="nil"/>
          <w:bottom w:val="nil"/>
          <w:right w:val="nil"/>
          <w:between w:val="nil"/>
        </w:pBdr>
        <w:rPr>
          <w:rFonts w:ascii="Palatino Linotype" w:eastAsia="Palatino Linotype" w:hAnsi="Palatino Linotype" w:cs="Palatino Linotype"/>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Por lo que,  en las licitaciones se debe seguir el procedimiento marcado en el artículo 35 del precitado ordenamiento, que literalmente establece:</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35.-</w:t>
      </w:r>
      <w:r w:rsidRPr="00A15B00">
        <w:rPr>
          <w:rFonts w:ascii="Palatino Linotype" w:eastAsia="Palatino Linotype" w:hAnsi="Palatino Linotype" w:cs="Palatino Linotype"/>
          <w:i/>
          <w:color w:val="000000" w:themeColor="text1"/>
          <w:sz w:val="24"/>
          <w:szCs w:val="24"/>
        </w:rPr>
        <w:t xml:space="preserve"> En los procedimientos de licitación pública se observará lo siguiente:</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El acto de presentación y apertura de propuestas se llevará a cabo por el servidor público que designe la convocante, conforme al procedimiento que se establezca en el reglamento de esta Ley.</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El comité de adquisiciones y servicios evaluará y analizará las propuestas técnicas y económicas presentadas por los licitantes en el ámbito de las respectivas competencias de sus integrantes, y emitirá el dictamen de adjudicación.</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Las bases de licitación se pondrán a la venta a partir de la fecha de publicación de la convocatoria y hasta el día hábil anterior a la fecha de celebración de la junta de aclaraciones o, en su defecto, del acto de presentación y apertura de propuestas.</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lastRenderedPageBreak/>
        <w:t>Las convocantes podrán modificar los plazos y términos establecidos en la convocatoria o en las bases de licitación, hasta cinco días hábiles anteriores a la fecha de la celebración del acto de presentación y apertura de propuestas.</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Las modificaciones no podrán limitar el número de licitantes, sustituir o variar sustancialmente los bienes o servicios convocados originalmente, ni adicionar otros  distintos.</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 Las modificaciones a la convocatoria o a las bases se harán del conocimiento de los interesados hasta tres días hábiles antes de la fecha señalada para el acto de presentación y apertura de propuestas.</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Se emitirá el fallo dentro de los 15 días hábiles siguientes a la publicación de la convocatoria.</w:t>
      </w:r>
    </w:p>
    <w:p w:rsidR="008850CA" w:rsidRPr="00A15B00" w:rsidRDefault="008850CA" w:rsidP="00A15B00">
      <w:pPr>
        <w:numPr>
          <w:ilvl w:val="0"/>
          <w:numId w:val="27"/>
        </w:numPr>
        <w:pBdr>
          <w:top w:val="nil"/>
          <w:left w:val="nil"/>
          <w:bottom w:val="nil"/>
          <w:right w:val="nil"/>
          <w:between w:val="nil"/>
        </w:pBdr>
        <w:suppressAutoHyphens/>
        <w:spacing w:after="0" w:line="240" w:lineRule="auto"/>
        <w:ind w:left="0" w:firstLine="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Los licitantes se podrán registrar hasta el día y la hora fijados para el acto de presentación y apertura de propuestas.”</w:t>
      </w:r>
    </w:p>
    <w:p w:rsidR="008850CA" w:rsidRPr="00A15B00" w:rsidRDefault="008850CA" w:rsidP="00A15B00">
      <w:pPr>
        <w:spacing w:line="360" w:lineRule="auto"/>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(Énfasis añadido)</w:t>
      </w:r>
    </w:p>
    <w:p w:rsidR="008850CA" w:rsidRPr="00A15B00" w:rsidRDefault="008850CA" w:rsidP="00A15B00">
      <w:pPr>
        <w:jc w:val="center"/>
        <w:rPr>
          <w:rFonts w:ascii="Palatino Linotype" w:eastAsia="Palatino Linotype" w:hAnsi="Palatino Linotype" w:cs="Palatino Linotype"/>
          <w:b/>
          <w:i/>
          <w:color w:val="000000" w:themeColor="text1"/>
          <w:sz w:val="24"/>
          <w:szCs w:val="24"/>
        </w:rPr>
      </w:pPr>
      <w:r w:rsidRPr="00A15B00">
        <w:rPr>
          <w:rFonts w:ascii="Palatino Linotype" w:eastAsia="Palatino Linotype" w:hAnsi="Palatino Linotype" w:cs="Palatino Linotype"/>
          <w:b/>
          <w:i/>
          <w:color w:val="000000" w:themeColor="text1"/>
          <w:sz w:val="24"/>
          <w:szCs w:val="24"/>
        </w:rPr>
        <w:t>CAPÍTULO OCTAVO</w:t>
      </w:r>
    </w:p>
    <w:p w:rsidR="008850CA" w:rsidRPr="00A15B00" w:rsidRDefault="008850CA" w:rsidP="00A15B00">
      <w:pPr>
        <w:jc w:val="center"/>
        <w:rPr>
          <w:rFonts w:ascii="Palatino Linotype" w:eastAsia="Palatino Linotype" w:hAnsi="Palatino Linotype" w:cs="Palatino Linotype"/>
          <w:b/>
          <w:i/>
          <w:color w:val="000000" w:themeColor="text1"/>
          <w:sz w:val="24"/>
          <w:szCs w:val="24"/>
        </w:rPr>
      </w:pPr>
      <w:r w:rsidRPr="00A15B00">
        <w:rPr>
          <w:rFonts w:ascii="Palatino Linotype" w:eastAsia="Palatino Linotype" w:hAnsi="Palatino Linotype" w:cs="Palatino Linotype"/>
          <w:b/>
          <w:i/>
          <w:color w:val="000000" w:themeColor="text1"/>
          <w:sz w:val="24"/>
          <w:szCs w:val="24"/>
        </w:rPr>
        <w:t>DE LOS CONTRATOS</w:t>
      </w:r>
    </w:p>
    <w:p w:rsidR="008850CA" w:rsidRPr="00A15B00" w:rsidRDefault="008850CA" w:rsidP="00A15B00">
      <w:pPr>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65.-</w:t>
      </w:r>
      <w:r w:rsidRPr="00A15B00">
        <w:rPr>
          <w:rFonts w:ascii="Palatino Linotype" w:eastAsia="Palatino Linotype" w:hAnsi="Palatino Linotype" w:cs="Palatino Linotype"/>
          <w:i/>
          <w:color w:val="000000" w:themeColor="text1"/>
          <w:sz w:val="24"/>
          <w:szCs w:val="24"/>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Gobierno Digital y de su Reglamento. </w:t>
      </w:r>
    </w:p>
    <w:p w:rsidR="008850CA" w:rsidRPr="00A15B00" w:rsidRDefault="008850CA" w:rsidP="00A15B00">
      <w:pPr>
        <w:spacing w:line="360" w:lineRule="auto"/>
        <w:jc w:val="both"/>
        <w:rPr>
          <w:rFonts w:ascii="Palatino Linotype" w:eastAsia="Palatino Linotype" w:hAnsi="Palatino Linotype" w:cs="Palatino Linotype"/>
          <w:i/>
          <w:color w:val="000000" w:themeColor="text1"/>
          <w:sz w:val="24"/>
          <w:szCs w:val="24"/>
        </w:rPr>
      </w:pP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Ahora bien, es necesario remitirnos al numeral 23 penúltimo párrafo de la Ley de Transparencia y Acceso a la Información Pública del Estado de México y Municipios, el cual a la letra reza:</w:t>
      </w:r>
    </w:p>
    <w:p w:rsidR="008850CA" w:rsidRPr="00A15B00" w:rsidRDefault="008850CA" w:rsidP="00A15B00">
      <w:pPr>
        <w:tabs>
          <w:tab w:val="left" w:pos="709"/>
        </w:tabs>
        <w:spacing w:before="24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 xml:space="preserve"> Artículo 23. Son sujetos obligados a transparentar y permitir el acceso a su información y proteger los datos personales que obren en su poder:</w:t>
      </w:r>
    </w:p>
    <w:p w:rsidR="008850CA" w:rsidRPr="00A15B00" w:rsidRDefault="008850CA" w:rsidP="00A15B00">
      <w:pPr>
        <w:tabs>
          <w:tab w:val="left" w:pos="709"/>
        </w:tabs>
        <w:spacing w:before="24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w:t>
      </w:r>
    </w:p>
    <w:p w:rsidR="008850CA" w:rsidRPr="00A15B00" w:rsidRDefault="008850CA" w:rsidP="00A15B00">
      <w:pPr>
        <w:tabs>
          <w:tab w:val="left" w:pos="709"/>
        </w:tabs>
        <w:spacing w:before="24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850CA" w:rsidRPr="00A15B00" w:rsidRDefault="008850CA" w:rsidP="00A15B00">
      <w:pPr>
        <w:tabs>
          <w:tab w:val="left" w:pos="709"/>
        </w:tabs>
        <w:spacing w:before="24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lastRenderedPageBreak/>
        <w:t>Los servidores públicos deberán transparentar sus acciones así como garantizar y respetar el derecho de acceso a la información pública.</w:t>
      </w:r>
    </w:p>
    <w:p w:rsidR="008850CA" w:rsidRPr="00A15B00" w:rsidRDefault="008850CA" w:rsidP="00A15B00">
      <w:pPr>
        <w:tabs>
          <w:tab w:val="left" w:pos="709"/>
        </w:tabs>
        <w:spacing w:before="240" w:line="360" w:lineRule="auto"/>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w:t>
      </w:r>
    </w:p>
    <w:p w:rsidR="008850CA" w:rsidRPr="00A15B00" w:rsidRDefault="008850CA"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En ese tenor, el diverso 92 de la Ley en comento, refiere: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“Artículo 92.</w:t>
      </w:r>
      <w:r w:rsidRPr="00A15B00">
        <w:rPr>
          <w:rFonts w:ascii="Palatino Linotype" w:eastAsia="Palatino Linotype" w:hAnsi="Palatino Linotype" w:cs="Palatino Linotype"/>
          <w:i/>
          <w:color w:val="000000" w:themeColor="text1"/>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b/>
          <w:i/>
          <w:color w:val="000000" w:themeColor="text1"/>
          <w:sz w:val="24"/>
          <w:szCs w:val="24"/>
        </w:rPr>
        <w:t>XXIX</w:t>
      </w:r>
      <w:r w:rsidRPr="00A15B00">
        <w:rPr>
          <w:rFonts w:ascii="Palatino Linotype" w:eastAsia="Palatino Linotype" w:hAnsi="Palatino Linotype" w:cs="Palatino Linotype"/>
          <w:i/>
          <w:color w:val="000000" w:themeColor="text1"/>
          <w:sz w:val="24"/>
          <w:szCs w:val="24"/>
        </w:rPr>
        <w:t>.</w:t>
      </w:r>
      <w:r w:rsidRPr="00A15B00">
        <w:rPr>
          <w:rFonts w:ascii="Palatino Linotype" w:eastAsia="Palatino Linotype" w:hAnsi="Palatino Linotype" w:cs="Palatino Linotype"/>
          <w:i/>
          <w:color w:val="000000" w:themeColor="text1"/>
          <w:sz w:val="24"/>
          <w:szCs w:val="24"/>
        </w:rPr>
        <w:tab/>
        <w:t xml:space="preserve">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a)</w:t>
      </w:r>
      <w:r w:rsidRPr="00A15B00">
        <w:rPr>
          <w:rFonts w:ascii="Palatino Linotype" w:eastAsia="Palatino Linotype" w:hAnsi="Palatino Linotype" w:cs="Palatino Linotype"/>
          <w:i/>
          <w:color w:val="000000" w:themeColor="text1"/>
          <w:sz w:val="24"/>
          <w:szCs w:val="24"/>
        </w:rPr>
        <w:tab/>
        <w:t xml:space="preserve">De licitaciones públicas o procedimientos de invitación restringida: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w:t>
      </w:r>
      <w:r w:rsidRPr="00A15B00">
        <w:rPr>
          <w:rFonts w:ascii="Palatino Linotype" w:eastAsia="Palatino Linotype" w:hAnsi="Palatino Linotype" w:cs="Palatino Linotype"/>
          <w:i/>
          <w:color w:val="000000" w:themeColor="text1"/>
          <w:sz w:val="24"/>
          <w:szCs w:val="24"/>
        </w:rPr>
        <w:tab/>
        <w:t xml:space="preserve">La convocatoria o invitación emitida, así como los fundamentos legales aplicados para llevarla a cabo;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2)</w:t>
      </w:r>
      <w:r w:rsidRPr="00A15B00">
        <w:rPr>
          <w:rFonts w:ascii="Palatino Linotype" w:eastAsia="Palatino Linotype" w:hAnsi="Palatino Linotype" w:cs="Palatino Linotype"/>
          <w:i/>
          <w:color w:val="000000" w:themeColor="text1"/>
          <w:sz w:val="24"/>
          <w:szCs w:val="24"/>
        </w:rPr>
        <w:tab/>
        <w:t xml:space="preserve">Los nombres de los participantes o invitados;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3)</w:t>
      </w:r>
      <w:r w:rsidRPr="00A15B00">
        <w:rPr>
          <w:rFonts w:ascii="Palatino Linotype" w:eastAsia="Palatino Linotype" w:hAnsi="Palatino Linotype" w:cs="Palatino Linotype"/>
          <w:i/>
          <w:color w:val="000000" w:themeColor="text1"/>
          <w:sz w:val="24"/>
          <w:szCs w:val="24"/>
        </w:rPr>
        <w:tab/>
        <w:t xml:space="preserve">El nombre del ganador y las razones que lo justifican;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4)</w:t>
      </w:r>
      <w:r w:rsidRPr="00A15B00">
        <w:rPr>
          <w:rFonts w:ascii="Palatino Linotype" w:eastAsia="Palatino Linotype" w:hAnsi="Palatino Linotype" w:cs="Palatino Linotype"/>
          <w:i/>
          <w:color w:val="000000" w:themeColor="text1"/>
          <w:sz w:val="24"/>
          <w:szCs w:val="24"/>
        </w:rPr>
        <w:tab/>
        <w:t xml:space="preserve">El área solicitante y la responsable de su ejecución;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5)</w:t>
      </w:r>
      <w:r w:rsidRPr="00A15B00">
        <w:rPr>
          <w:rFonts w:ascii="Palatino Linotype" w:eastAsia="Palatino Linotype" w:hAnsi="Palatino Linotype" w:cs="Palatino Linotype"/>
          <w:i/>
          <w:color w:val="000000" w:themeColor="text1"/>
          <w:sz w:val="24"/>
          <w:szCs w:val="24"/>
        </w:rPr>
        <w:tab/>
        <w:t xml:space="preserve">Las convocatorias e invitaciones emitidas;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6)</w:t>
      </w:r>
      <w:r w:rsidRPr="00A15B00">
        <w:rPr>
          <w:rFonts w:ascii="Palatino Linotype" w:eastAsia="Palatino Linotype" w:hAnsi="Palatino Linotype" w:cs="Palatino Linotype"/>
          <w:i/>
          <w:color w:val="000000" w:themeColor="text1"/>
          <w:sz w:val="24"/>
          <w:szCs w:val="24"/>
        </w:rPr>
        <w:tab/>
        <w:t xml:space="preserve">Los dictámenes y fallo de adjudicación; </w:t>
      </w:r>
    </w:p>
    <w:p w:rsidR="008850CA" w:rsidRPr="00A15B00" w:rsidRDefault="008850CA" w:rsidP="00A15B00">
      <w:pPr>
        <w:tabs>
          <w:tab w:val="left" w:pos="851"/>
        </w:tabs>
        <w:spacing w:before="120" w:after="120"/>
        <w:jc w:val="both"/>
        <w:rPr>
          <w:rFonts w:ascii="Palatino Linotype" w:eastAsia="Palatino Linotype" w:hAnsi="Palatino Linotype" w:cs="Palatino Linotype"/>
          <w:b/>
          <w:i/>
          <w:color w:val="000000" w:themeColor="text1"/>
          <w:sz w:val="24"/>
          <w:szCs w:val="24"/>
        </w:rPr>
      </w:pPr>
      <w:r w:rsidRPr="00A15B00">
        <w:rPr>
          <w:rFonts w:ascii="Palatino Linotype" w:eastAsia="Palatino Linotype" w:hAnsi="Palatino Linotype" w:cs="Palatino Linotype"/>
          <w:b/>
          <w:i/>
          <w:color w:val="000000" w:themeColor="text1"/>
          <w:sz w:val="24"/>
          <w:szCs w:val="24"/>
        </w:rPr>
        <w:t>7)</w:t>
      </w:r>
      <w:r w:rsidRPr="00A15B00">
        <w:rPr>
          <w:rFonts w:ascii="Palatino Linotype" w:eastAsia="Palatino Linotype" w:hAnsi="Palatino Linotype" w:cs="Palatino Linotype"/>
          <w:b/>
          <w:i/>
          <w:color w:val="000000" w:themeColor="text1"/>
          <w:sz w:val="24"/>
          <w:szCs w:val="24"/>
        </w:rPr>
        <w:tab/>
        <w:t xml:space="preserve">El contrato y, en su caso, sus anexos;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8)</w:t>
      </w:r>
      <w:r w:rsidRPr="00A15B00">
        <w:rPr>
          <w:rFonts w:ascii="Palatino Linotype" w:eastAsia="Palatino Linotype" w:hAnsi="Palatino Linotype" w:cs="Palatino Linotype"/>
          <w:i/>
          <w:color w:val="000000" w:themeColor="text1"/>
          <w:sz w:val="24"/>
          <w:szCs w:val="24"/>
        </w:rPr>
        <w:tab/>
        <w:t xml:space="preserve">Los mecanismos de vigilancia y supervisión, incluyendo en su caso, los estudios de impacto urbano y ambiental, según corresponda;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9)</w:t>
      </w:r>
      <w:r w:rsidRPr="00A15B00">
        <w:rPr>
          <w:rFonts w:ascii="Palatino Linotype" w:eastAsia="Palatino Linotype" w:hAnsi="Palatino Linotype" w:cs="Palatino Linotype"/>
          <w:i/>
          <w:color w:val="000000" w:themeColor="text1"/>
          <w:sz w:val="24"/>
          <w:szCs w:val="24"/>
        </w:rPr>
        <w:tab/>
        <w:t xml:space="preserve">La partida presupuestal, de conformidad con el clasificador por objeto del gasto, en el caso de ser aplicable;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lastRenderedPageBreak/>
        <w:t>10)</w:t>
      </w:r>
      <w:r w:rsidRPr="00A15B00">
        <w:rPr>
          <w:rFonts w:ascii="Palatino Linotype" w:eastAsia="Palatino Linotype" w:hAnsi="Palatino Linotype" w:cs="Palatino Linotype"/>
          <w:i/>
          <w:color w:val="000000" w:themeColor="text1"/>
          <w:sz w:val="24"/>
          <w:szCs w:val="24"/>
        </w:rPr>
        <w:tab/>
        <w:t xml:space="preserve">Origen de los recursos especificando si son federales, estatales o municipales, así como el tipo de fondo de participación o aportación respectiva;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11)</w:t>
      </w:r>
      <w:r w:rsidRPr="00A15B00">
        <w:rPr>
          <w:rFonts w:ascii="Palatino Linotype" w:eastAsia="Palatino Linotype" w:hAnsi="Palatino Linotype" w:cs="Palatino Linotype"/>
          <w:i/>
          <w:color w:val="000000" w:themeColor="text1"/>
          <w:sz w:val="24"/>
          <w:szCs w:val="24"/>
        </w:rPr>
        <w:tab/>
        <w:t xml:space="preserve">Los convenios modificatorios que, en su caso, sean firmados, precisando el objeto y la fecha de celebración;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12)</w:t>
      </w:r>
      <w:r w:rsidRPr="00A15B00">
        <w:rPr>
          <w:rFonts w:ascii="Palatino Linotype" w:eastAsia="Palatino Linotype" w:hAnsi="Palatino Linotype" w:cs="Palatino Linotype"/>
          <w:i/>
          <w:color w:val="000000" w:themeColor="text1"/>
          <w:sz w:val="24"/>
          <w:szCs w:val="24"/>
        </w:rPr>
        <w:tab/>
        <w:t xml:space="preserve">Los informes de avance físico y financiero sobre las obras o servicios contratados;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13)</w:t>
      </w:r>
      <w:r w:rsidRPr="00A15B00">
        <w:rPr>
          <w:rFonts w:ascii="Palatino Linotype" w:eastAsia="Palatino Linotype" w:hAnsi="Palatino Linotype" w:cs="Palatino Linotype"/>
          <w:i/>
          <w:color w:val="000000" w:themeColor="text1"/>
          <w:sz w:val="24"/>
          <w:szCs w:val="24"/>
        </w:rPr>
        <w:tab/>
        <w:t xml:space="preserve">El convenio de terminación; y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14)</w:t>
      </w:r>
      <w:r w:rsidRPr="00A15B00">
        <w:rPr>
          <w:rFonts w:ascii="Palatino Linotype" w:eastAsia="Palatino Linotype" w:hAnsi="Palatino Linotype" w:cs="Palatino Linotype"/>
          <w:i/>
          <w:color w:val="000000" w:themeColor="text1"/>
          <w:sz w:val="24"/>
          <w:szCs w:val="24"/>
        </w:rPr>
        <w:tab/>
        <w:t xml:space="preserve">El finiquito.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b)</w:t>
      </w:r>
      <w:r w:rsidRPr="00A15B00">
        <w:rPr>
          <w:rFonts w:ascii="Palatino Linotype" w:eastAsia="Palatino Linotype" w:hAnsi="Palatino Linotype" w:cs="Palatino Linotype"/>
          <w:i/>
          <w:color w:val="000000" w:themeColor="text1"/>
          <w:sz w:val="24"/>
          <w:szCs w:val="24"/>
        </w:rPr>
        <w:tab/>
        <w:t>De las adjudicaciones directas:</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w:t>
      </w:r>
      <w:r w:rsidRPr="00A15B00">
        <w:rPr>
          <w:rFonts w:ascii="Palatino Linotype" w:eastAsia="Palatino Linotype" w:hAnsi="Palatino Linotype" w:cs="Palatino Linotype"/>
          <w:i/>
          <w:color w:val="000000" w:themeColor="text1"/>
          <w:sz w:val="24"/>
          <w:szCs w:val="24"/>
        </w:rPr>
        <w:tab/>
        <w:t xml:space="preserve">La propuesta enviada por el participante;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2)</w:t>
      </w:r>
      <w:r w:rsidRPr="00A15B00">
        <w:rPr>
          <w:rFonts w:ascii="Palatino Linotype" w:eastAsia="Palatino Linotype" w:hAnsi="Palatino Linotype" w:cs="Palatino Linotype"/>
          <w:i/>
          <w:color w:val="000000" w:themeColor="text1"/>
          <w:sz w:val="24"/>
          <w:szCs w:val="24"/>
        </w:rPr>
        <w:tab/>
        <w:t xml:space="preserve">Los motivos y fundamentos legales aplicados para llevarla a cabo;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3)</w:t>
      </w:r>
      <w:r w:rsidRPr="00A15B00">
        <w:rPr>
          <w:rFonts w:ascii="Palatino Linotype" w:eastAsia="Palatino Linotype" w:hAnsi="Palatino Linotype" w:cs="Palatino Linotype"/>
          <w:i/>
          <w:color w:val="000000" w:themeColor="text1"/>
          <w:sz w:val="24"/>
          <w:szCs w:val="24"/>
        </w:rPr>
        <w:tab/>
        <w:t xml:space="preserve">La autorización del ejercicio de la opción;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4)</w:t>
      </w:r>
      <w:r w:rsidRPr="00A15B00">
        <w:rPr>
          <w:rFonts w:ascii="Palatino Linotype" w:eastAsia="Palatino Linotype" w:hAnsi="Palatino Linotype" w:cs="Palatino Linotype"/>
          <w:i/>
          <w:color w:val="000000" w:themeColor="text1"/>
          <w:sz w:val="24"/>
          <w:szCs w:val="24"/>
        </w:rPr>
        <w:tab/>
        <w:t xml:space="preserve">En su caso, las cotizaciones consideradas, especificando los nombres de los proveedores y sus montos;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5)</w:t>
      </w:r>
      <w:r w:rsidRPr="00A15B00">
        <w:rPr>
          <w:rFonts w:ascii="Palatino Linotype" w:eastAsia="Palatino Linotype" w:hAnsi="Palatino Linotype" w:cs="Palatino Linotype"/>
          <w:i/>
          <w:color w:val="000000" w:themeColor="text1"/>
          <w:sz w:val="24"/>
          <w:szCs w:val="24"/>
        </w:rPr>
        <w:tab/>
        <w:t xml:space="preserve">El nombre de la persona física o jurídica colectiva adjudicada;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6)</w:t>
      </w:r>
      <w:r w:rsidRPr="00A15B00">
        <w:rPr>
          <w:rFonts w:ascii="Palatino Linotype" w:eastAsia="Palatino Linotype" w:hAnsi="Palatino Linotype" w:cs="Palatino Linotype"/>
          <w:i/>
          <w:color w:val="000000" w:themeColor="text1"/>
          <w:sz w:val="24"/>
          <w:szCs w:val="24"/>
        </w:rPr>
        <w:tab/>
        <w:t xml:space="preserve">La unidad administrativa solicitante y la responsable de su ejecución;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7)</w:t>
      </w:r>
      <w:r w:rsidRPr="00A15B00">
        <w:rPr>
          <w:rFonts w:ascii="Palatino Linotype" w:eastAsia="Palatino Linotype" w:hAnsi="Palatino Linotype" w:cs="Palatino Linotype"/>
          <w:i/>
          <w:color w:val="000000" w:themeColor="text1"/>
          <w:sz w:val="24"/>
          <w:szCs w:val="24"/>
        </w:rPr>
        <w:tab/>
        <w:t xml:space="preserve">El número, fecha, el monto del contrato y el plazo de entrega o de ejecución de los servicios u obra;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8)</w:t>
      </w:r>
      <w:r w:rsidRPr="00A15B00">
        <w:rPr>
          <w:rFonts w:ascii="Palatino Linotype" w:eastAsia="Palatino Linotype" w:hAnsi="Palatino Linotype" w:cs="Palatino Linotype"/>
          <w:i/>
          <w:color w:val="000000" w:themeColor="text1"/>
          <w:sz w:val="24"/>
          <w:szCs w:val="24"/>
        </w:rPr>
        <w:tab/>
        <w:t xml:space="preserve">Los mecanismos de vigilancia y supervisión, incluyendo, en su caso, los estudios de impacto urbano y ambiental, según corresponda;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9)</w:t>
      </w:r>
      <w:r w:rsidRPr="00A15B00">
        <w:rPr>
          <w:rFonts w:ascii="Palatino Linotype" w:eastAsia="Palatino Linotype" w:hAnsi="Palatino Linotype" w:cs="Palatino Linotype"/>
          <w:i/>
          <w:color w:val="000000" w:themeColor="text1"/>
          <w:sz w:val="24"/>
          <w:szCs w:val="24"/>
        </w:rPr>
        <w:tab/>
        <w:t xml:space="preserve">Los informes de avance sobre las obras o servicios contratados;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10)</w:t>
      </w:r>
      <w:r w:rsidRPr="00A15B00">
        <w:rPr>
          <w:rFonts w:ascii="Palatino Linotype" w:eastAsia="Palatino Linotype" w:hAnsi="Palatino Linotype" w:cs="Palatino Linotype"/>
          <w:i/>
          <w:color w:val="000000" w:themeColor="text1"/>
          <w:sz w:val="24"/>
          <w:szCs w:val="24"/>
        </w:rPr>
        <w:tab/>
        <w:t xml:space="preserve">El convenio de terminación; y </w:t>
      </w:r>
    </w:p>
    <w:p w:rsidR="008850CA" w:rsidRPr="00A15B00" w:rsidRDefault="008850CA" w:rsidP="00A15B00">
      <w:pPr>
        <w:tabs>
          <w:tab w:val="left" w:pos="851"/>
        </w:tabs>
        <w:spacing w:before="120" w:after="120"/>
        <w:jc w:val="both"/>
        <w:rPr>
          <w:rFonts w:ascii="Palatino Linotype" w:eastAsia="Palatino Linotype" w:hAnsi="Palatino Linotype" w:cs="Palatino Linotype"/>
          <w:i/>
          <w:color w:val="000000" w:themeColor="text1"/>
          <w:sz w:val="24"/>
          <w:szCs w:val="24"/>
        </w:rPr>
      </w:pPr>
      <w:r w:rsidRPr="00A15B00">
        <w:rPr>
          <w:rFonts w:ascii="Palatino Linotype" w:eastAsia="Palatino Linotype" w:hAnsi="Palatino Linotype" w:cs="Palatino Linotype"/>
          <w:i/>
          <w:color w:val="000000" w:themeColor="text1"/>
          <w:sz w:val="24"/>
          <w:szCs w:val="24"/>
        </w:rPr>
        <w:t>11)</w:t>
      </w:r>
      <w:r w:rsidRPr="00A15B00">
        <w:rPr>
          <w:rFonts w:ascii="Palatino Linotype" w:eastAsia="Palatino Linotype" w:hAnsi="Palatino Linotype" w:cs="Palatino Linotype"/>
          <w:i/>
          <w:color w:val="000000" w:themeColor="text1"/>
          <w:sz w:val="24"/>
          <w:szCs w:val="24"/>
        </w:rPr>
        <w:tab/>
        <w:t xml:space="preserve">El finiquito. </w:t>
      </w:r>
    </w:p>
    <w:p w:rsidR="008850CA" w:rsidRPr="00A15B00" w:rsidRDefault="008850CA" w:rsidP="00A15B00">
      <w:pPr>
        <w:tabs>
          <w:tab w:val="left" w:pos="851"/>
        </w:tabs>
        <w:spacing w:before="120" w:after="120"/>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(Énfasis añadido)</w:t>
      </w:r>
    </w:p>
    <w:p w:rsidR="00305275" w:rsidRPr="00A15B00" w:rsidRDefault="00305275" w:rsidP="00A15B00">
      <w:pPr>
        <w:spacing w:after="0" w:line="360" w:lineRule="auto"/>
        <w:jc w:val="both"/>
        <w:rPr>
          <w:rFonts w:ascii="Palatino Linotype" w:eastAsia="Palatino Linotype" w:hAnsi="Palatino Linotype" w:cs="Palatino Linotype"/>
          <w:color w:val="000000" w:themeColor="text1"/>
          <w:sz w:val="24"/>
          <w:szCs w:val="24"/>
        </w:rPr>
      </w:pPr>
    </w:p>
    <w:p w:rsidR="00E342AE" w:rsidRPr="00A15B00" w:rsidRDefault="00BB52A2" w:rsidP="00A15B00">
      <w:pPr>
        <w:numPr>
          <w:ilvl w:val="0"/>
          <w:numId w:val="1"/>
        </w:numPr>
        <w:spacing w:after="0" w:line="360" w:lineRule="auto"/>
        <w:ind w:left="0" w:firstLine="0"/>
        <w:jc w:val="both"/>
        <w:rPr>
          <w:rFonts w:ascii="Palatino Linotype" w:eastAsia="Palatino Linotype" w:hAnsi="Palatino Linotype" w:cs="Palatino Linotype"/>
          <w:color w:val="000000" w:themeColor="text1"/>
          <w:sz w:val="24"/>
          <w:szCs w:val="24"/>
          <w:lang w:eastAsia="es-ES"/>
        </w:rPr>
      </w:pPr>
      <w:r w:rsidRPr="00A15B00">
        <w:rPr>
          <w:rFonts w:ascii="Palatino Linotype" w:eastAsia="Palatino Linotype" w:hAnsi="Palatino Linotype" w:cs="Palatino Linotype"/>
          <w:color w:val="000000" w:themeColor="text1"/>
          <w:sz w:val="24"/>
          <w:szCs w:val="24"/>
        </w:rPr>
        <w:t xml:space="preserve">De </w:t>
      </w:r>
      <w:r w:rsidRPr="00A15B00">
        <w:rPr>
          <w:rFonts w:ascii="Palatino Linotype" w:hAnsi="Palatino Linotype" w:cs="Arial"/>
          <w:color w:val="000000" w:themeColor="text1"/>
          <w:sz w:val="24"/>
          <w:szCs w:val="24"/>
          <w:lang w:val="es-ES_tradnl" w:eastAsia="es-ES"/>
        </w:rPr>
        <w:t>lo anterior, se colige que con la información proporcionada en respuesta no se tiene por colmada en su totalidad la solicitud de información</w:t>
      </w:r>
      <w:r w:rsidRPr="00A15B00">
        <w:rPr>
          <w:rFonts w:ascii="Palatino Linotype" w:hAnsi="Palatino Linotype" w:cs="Arial"/>
          <w:b/>
          <w:bCs/>
          <w:color w:val="000000" w:themeColor="text1"/>
          <w:sz w:val="24"/>
          <w:szCs w:val="24"/>
          <w:lang w:eastAsia="es-ES"/>
        </w:rPr>
        <w:t xml:space="preserve">  </w:t>
      </w:r>
      <w:r w:rsidR="00E342AE" w:rsidRPr="00A15B00">
        <w:rPr>
          <w:rFonts w:ascii="Palatino Linotype" w:hAnsi="Palatino Linotype" w:cs="Arial"/>
          <w:b/>
          <w:bCs/>
          <w:color w:val="000000" w:themeColor="text1"/>
          <w:sz w:val="24"/>
          <w:szCs w:val="24"/>
          <w:lang w:eastAsia="es-ES"/>
        </w:rPr>
        <w:t>00215/ACAMBAY/IP/2025</w:t>
      </w:r>
      <w:r w:rsidRPr="00A15B00">
        <w:rPr>
          <w:rFonts w:ascii="Palatino Linotype" w:hAnsi="Palatino Linotype" w:cs="Arial"/>
          <w:b/>
          <w:bCs/>
          <w:color w:val="000000" w:themeColor="text1"/>
          <w:sz w:val="24"/>
          <w:szCs w:val="24"/>
          <w:lang w:eastAsia="es-ES"/>
        </w:rPr>
        <w:t xml:space="preserve">, </w:t>
      </w:r>
      <w:r w:rsidRPr="00A15B00">
        <w:rPr>
          <w:rFonts w:ascii="Palatino Linotype" w:hAnsi="Palatino Linotype" w:cs="Arial"/>
          <w:bCs/>
          <w:color w:val="000000" w:themeColor="text1"/>
          <w:sz w:val="24"/>
          <w:szCs w:val="24"/>
          <w:lang w:eastAsia="es-ES"/>
        </w:rPr>
        <w:t xml:space="preserve">por lo </w:t>
      </w:r>
      <w:r w:rsidRPr="00A15B00">
        <w:rPr>
          <w:rFonts w:ascii="Palatino Linotype" w:hAnsi="Palatino Linotype" w:cs="Arial"/>
          <w:bCs/>
          <w:color w:val="000000" w:themeColor="text1"/>
          <w:sz w:val="24"/>
          <w:szCs w:val="24"/>
          <w:lang w:eastAsia="es-ES"/>
        </w:rPr>
        <w:lastRenderedPageBreak/>
        <w:t xml:space="preserve">que resulta dable </w:t>
      </w:r>
      <w:r w:rsidRPr="00A15B00">
        <w:rPr>
          <w:rFonts w:ascii="Palatino Linotype" w:hAnsi="Palatino Linotype" w:cs="Arial"/>
          <w:b/>
          <w:bCs/>
          <w:color w:val="000000" w:themeColor="text1"/>
          <w:sz w:val="24"/>
          <w:szCs w:val="24"/>
          <w:lang w:eastAsia="es-ES"/>
        </w:rPr>
        <w:t xml:space="preserve">REVOCAR </w:t>
      </w:r>
      <w:r w:rsidRPr="00A15B00">
        <w:rPr>
          <w:rFonts w:ascii="Palatino Linotype" w:hAnsi="Palatino Linotype" w:cs="Arial"/>
          <w:bCs/>
          <w:color w:val="000000" w:themeColor="text1"/>
          <w:sz w:val="24"/>
          <w:szCs w:val="24"/>
          <w:lang w:eastAsia="es-ES"/>
        </w:rPr>
        <w:t xml:space="preserve">la respuesta proporcionada y ordenar </w:t>
      </w:r>
      <w:r w:rsidR="00E342AE" w:rsidRPr="00A15B00">
        <w:rPr>
          <w:rFonts w:ascii="Palatino Linotype" w:hAnsi="Palatino Linotype" w:cs="Arial"/>
          <w:bCs/>
          <w:color w:val="000000" w:themeColor="text1"/>
          <w:sz w:val="24"/>
          <w:szCs w:val="24"/>
          <w:lang w:eastAsia="es-ES"/>
        </w:rPr>
        <w:t>el documento en donde conste el gasto realizado por concepto Carnaval de Acambay 2025 al dieciocho de marzo de dos mil veinticinco.</w:t>
      </w:r>
    </w:p>
    <w:p w:rsidR="00BB52A2" w:rsidRPr="00A15B00" w:rsidRDefault="00BB52A2" w:rsidP="00A15B0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lang w:eastAsia="es-ES"/>
        </w:rPr>
      </w:pPr>
    </w:p>
    <w:p w:rsidR="00BB52A2" w:rsidRPr="00A15B00" w:rsidRDefault="00BB52A2" w:rsidP="00A15B00">
      <w:pPr>
        <w:keepNext/>
        <w:keepLines/>
        <w:spacing w:line="360" w:lineRule="auto"/>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b/>
          <w:color w:val="000000" w:themeColor="text1"/>
          <w:sz w:val="24"/>
          <w:szCs w:val="24"/>
        </w:rPr>
        <w:t>QUINTO. De la versión pública.</w:t>
      </w:r>
    </w:p>
    <w:p w:rsidR="00BB52A2" w:rsidRPr="00A15B00" w:rsidRDefault="00BB52A2" w:rsidP="00A15B00">
      <w:pPr>
        <w:keepNext/>
        <w:keepLines/>
        <w:numPr>
          <w:ilvl w:val="0"/>
          <w:numId w:val="21"/>
        </w:numPr>
        <w:tabs>
          <w:tab w:val="left" w:pos="284"/>
        </w:tabs>
        <w:spacing w:line="360" w:lineRule="auto"/>
        <w:ind w:left="0" w:firstLine="0"/>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b/>
          <w:color w:val="000000" w:themeColor="text1"/>
          <w:sz w:val="24"/>
          <w:szCs w:val="24"/>
        </w:rPr>
        <w:t xml:space="preserve">Nociones generales. </w:t>
      </w:r>
    </w:p>
    <w:p w:rsidR="00BB52A2" w:rsidRPr="00A15B00" w:rsidRDefault="00BB52A2" w:rsidP="00A15B00">
      <w:pPr>
        <w:numPr>
          <w:ilvl w:val="0"/>
          <w:numId w:val="1"/>
        </w:numPr>
        <w:spacing w:after="0" w:line="360" w:lineRule="auto"/>
        <w:ind w:left="0" w:firstLine="0"/>
        <w:jc w:val="both"/>
        <w:rPr>
          <w:rFonts w:ascii="Palatino Linotype" w:hAnsi="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Debe destacarse, que debido a la información solicitada por el </w:t>
      </w:r>
      <w:r w:rsidRPr="00A15B00">
        <w:rPr>
          <w:rFonts w:ascii="Palatino Linotype" w:eastAsia="Palatino Linotype" w:hAnsi="Palatino Linotype" w:cs="Palatino Linotype"/>
          <w:b/>
          <w:color w:val="000000" w:themeColor="text1"/>
          <w:sz w:val="24"/>
          <w:szCs w:val="24"/>
        </w:rPr>
        <w:t xml:space="preserve">RECURRENTE, pueden obrar </w:t>
      </w:r>
      <w:r w:rsidRPr="00A15B00">
        <w:rPr>
          <w:rFonts w:ascii="Palatino Linotype" w:eastAsia="Palatino Linotype" w:hAnsi="Palatino Linotype" w:cs="Palatino Linotype"/>
          <w:color w:val="000000" w:themeColor="text1"/>
          <w:sz w:val="24"/>
          <w:szCs w:val="24"/>
        </w:rPr>
        <w:t xml:space="preserve">datos personales susceptibles de protegerse, así como información susceptible de clasificarse como confidenciales,  por lo que el </w:t>
      </w:r>
      <w:r w:rsidRPr="00A15B00">
        <w:rPr>
          <w:rFonts w:ascii="Palatino Linotype" w:eastAsia="Palatino Linotype" w:hAnsi="Palatino Linotype" w:cs="Palatino Linotype"/>
          <w:b/>
          <w:color w:val="000000" w:themeColor="text1"/>
          <w:sz w:val="24"/>
          <w:szCs w:val="24"/>
        </w:rPr>
        <w:t xml:space="preserve">SUJETO OBLIGADO </w:t>
      </w:r>
      <w:r w:rsidRPr="00A15B00">
        <w:rPr>
          <w:rFonts w:ascii="Palatino Linotype" w:eastAsia="Palatino Linotype" w:hAnsi="Palatino Linotype" w:cs="Palatino Linotype"/>
          <w:color w:val="000000" w:themeColor="text1"/>
          <w:sz w:val="24"/>
          <w:szCs w:val="24"/>
        </w:rPr>
        <w:t xml:space="preserve">deberá de hacer la adecuada versión pública, protegiendo los datos que no son susceptibles de ser proporcionados. </w:t>
      </w:r>
    </w:p>
    <w:p w:rsidR="00BB52A2" w:rsidRPr="00A15B00" w:rsidRDefault="00BB52A2" w:rsidP="00A15B00">
      <w:pPr>
        <w:tabs>
          <w:tab w:val="left" w:pos="0"/>
          <w:tab w:val="left" w:pos="284"/>
        </w:tabs>
        <w:spacing w:line="360" w:lineRule="auto"/>
        <w:jc w:val="both"/>
        <w:rPr>
          <w:rFonts w:ascii="Palatino Linotype" w:eastAsia="Palatino Linotype" w:hAnsi="Palatino Linotype" w:cs="Palatino Linotype"/>
          <w:color w:val="000000" w:themeColor="text1"/>
          <w:sz w:val="24"/>
          <w:szCs w:val="24"/>
          <w:highlight w:val="yellow"/>
        </w:rPr>
      </w:pPr>
    </w:p>
    <w:p w:rsidR="00BB52A2" w:rsidRPr="00A15B00" w:rsidRDefault="00BB52A2" w:rsidP="00A15B00">
      <w:pPr>
        <w:numPr>
          <w:ilvl w:val="0"/>
          <w:numId w:val="1"/>
        </w:numPr>
        <w:spacing w:after="0" w:line="360" w:lineRule="auto"/>
        <w:ind w:left="0" w:firstLine="0"/>
        <w:jc w:val="both"/>
        <w:rPr>
          <w:rFonts w:ascii="Palatino Linotype" w:hAnsi="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No pasa desapercibido para este Órgano Garante que los sujetos obligados</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A15B00" w:rsidRPr="00A15B00" w:rsidTr="00713034">
        <w:tc>
          <w:tcPr>
            <w:tcW w:w="2805" w:type="dxa"/>
          </w:tcPr>
          <w:p w:rsidR="00BB52A2" w:rsidRPr="00A15B00" w:rsidRDefault="00BB52A2" w:rsidP="00A15B00">
            <w:pPr>
              <w:tabs>
                <w:tab w:val="left" w:pos="284"/>
              </w:tabs>
              <w:spacing w:line="360" w:lineRule="auto"/>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 Requisitos previos.</w:t>
            </w:r>
          </w:p>
        </w:tc>
        <w:tc>
          <w:tcPr>
            <w:tcW w:w="6810"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Los artículos 100 y 122 de la Ley Estatal y de la Ley General vigente a la fecha de la solicitud, respectivamente, señalan que si los Sujetos Obligados determinan que la información actualiza alguno de los supuestos de clasificación, es deber de </w:t>
            </w:r>
            <w:r w:rsidRPr="00A15B00">
              <w:rPr>
                <w:rFonts w:ascii="Palatino Linotype" w:eastAsia="Palatino Linotype" w:hAnsi="Palatino Linotype" w:cs="Palatino Linotype"/>
                <w:color w:val="000000" w:themeColor="text1"/>
                <w:sz w:val="24"/>
                <w:szCs w:val="24"/>
              </w:rPr>
              <w:lastRenderedPageBreak/>
              <w:t xml:space="preserve">los titulares de las áreas proponer su clasificación y no del Comité de Transparencia. </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Además, se debe señalar el procedimiento, de los tres que establecen los artículos 132 y 106 de la Ley Estatal y General, respectivamente.</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A15B00">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A15B00">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tc>
      </w:tr>
      <w:tr w:rsidR="00A15B00" w:rsidRPr="00A15B00" w:rsidTr="00713034">
        <w:tc>
          <w:tcPr>
            <w:tcW w:w="2805" w:type="dxa"/>
          </w:tcPr>
          <w:p w:rsidR="00BB52A2" w:rsidRPr="00A15B00" w:rsidRDefault="00BB52A2" w:rsidP="00A15B00">
            <w:pPr>
              <w:tabs>
                <w:tab w:val="left" w:pos="284"/>
              </w:tabs>
              <w:spacing w:line="360" w:lineRule="auto"/>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b) Supuestos de clasificación.</w:t>
            </w:r>
          </w:p>
        </w:tc>
        <w:tc>
          <w:tcPr>
            <w:tcW w:w="6810"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Los artículos 116 y 143 de la Ley Estatal y de la Ley General vigente a la fecha de la solicitud, respectivamente, señalan los supuestos para que la información pueda ser clasificada como </w:t>
            </w:r>
            <w:r w:rsidRPr="00A15B00">
              <w:rPr>
                <w:rFonts w:ascii="Palatino Linotype" w:eastAsia="Palatino Linotype" w:hAnsi="Palatino Linotype" w:cs="Palatino Linotype"/>
                <w:color w:val="000000" w:themeColor="text1"/>
                <w:sz w:val="24"/>
                <w:szCs w:val="24"/>
              </w:rPr>
              <w:lastRenderedPageBreak/>
              <w:t>confidencial. Mientras que los artículos 105 y 130 de la Ley Estatal y de la Ley General vigente a la fecha de la solicitud,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15B00" w:rsidRPr="00A15B00" w:rsidTr="00713034">
        <w:tc>
          <w:tcPr>
            <w:tcW w:w="2805" w:type="dxa"/>
          </w:tcPr>
          <w:p w:rsidR="00BB52A2" w:rsidRPr="00A15B00" w:rsidRDefault="00BB52A2" w:rsidP="00A15B00">
            <w:pPr>
              <w:tabs>
                <w:tab w:val="left" w:pos="284"/>
              </w:tabs>
              <w:spacing w:line="360" w:lineRule="auto"/>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6810"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Es necesario que </w:t>
            </w:r>
            <w:r w:rsidRPr="00A15B00">
              <w:rPr>
                <w:rFonts w:ascii="Palatino Linotype" w:eastAsia="Palatino Linotype" w:hAnsi="Palatino Linotype" w:cs="Palatino Linotype"/>
                <w:b/>
                <w:color w:val="000000" w:themeColor="text1"/>
                <w:sz w:val="24"/>
                <w:szCs w:val="24"/>
                <w:u w:val="single"/>
              </w:rPr>
              <w:t>el acto reúna con los requisitos elementales</w:t>
            </w:r>
            <w:r w:rsidRPr="00A15B00">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propuesto por el Titular del I. El área </w:t>
            </w:r>
            <w:r w:rsidRPr="00A15B00">
              <w:rPr>
                <w:rFonts w:ascii="Palatino Linotype" w:eastAsia="Palatino Linotype" w:hAnsi="Palatino Linotype" w:cs="Palatino Linotype"/>
                <w:color w:val="000000" w:themeColor="text1"/>
                <w:sz w:val="24"/>
                <w:szCs w:val="24"/>
              </w:rPr>
              <w:lastRenderedPageBreak/>
              <w:t>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15B00" w:rsidRPr="00A15B00" w:rsidTr="00713034">
        <w:tc>
          <w:tcPr>
            <w:tcW w:w="2805" w:type="dxa"/>
          </w:tcPr>
          <w:p w:rsidR="00BB52A2" w:rsidRPr="00A15B00" w:rsidRDefault="00BB52A2" w:rsidP="00A15B00">
            <w:pPr>
              <w:tabs>
                <w:tab w:val="left" w:pos="284"/>
              </w:tabs>
              <w:spacing w:line="360" w:lineRule="auto"/>
              <w:rPr>
                <w:rFonts w:ascii="Palatino Linotype" w:eastAsia="Palatino Linotype" w:hAnsi="Palatino Linotype" w:cs="Palatino Linotype"/>
                <w:color w:val="000000" w:themeColor="text1"/>
                <w:sz w:val="24"/>
                <w:szCs w:val="24"/>
              </w:rPr>
            </w:pP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d) Requisitos de fondo del acuerdo de clasificación. </w:t>
            </w:r>
          </w:p>
        </w:tc>
        <w:tc>
          <w:tcPr>
            <w:tcW w:w="6810"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15B00">
              <w:rPr>
                <w:rFonts w:ascii="Palatino Linotype" w:eastAsia="Palatino Linotype" w:hAnsi="Palatino Linotype" w:cs="Palatino Linotype"/>
                <w:b/>
                <w:color w:val="000000" w:themeColor="text1"/>
                <w:sz w:val="24"/>
                <w:szCs w:val="24"/>
              </w:rPr>
              <w:t>Sujetos Obligados</w:t>
            </w:r>
            <w:r w:rsidRPr="00A15B00">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De lo anterior, se desprende que para una correcta </w:t>
            </w:r>
            <w:r w:rsidRPr="00A15B00">
              <w:rPr>
                <w:rFonts w:ascii="Palatino Linotype" w:eastAsia="Palatino Linotype" w:hAnsi="Palatino Linotype" w:cs="Palatino Linotype"/>
                <w:b/>
                <w:color w:val="000000" w:themeColor="text1"/>
                <w:sz w:val="24"/>
                <w:szCs w:val="24"/>
              </w:rPr>
              <w:t>clasificación total o parcial</w:t>
            </w:r>
            <w:r w:rsidRPr="00A15B00">
              <w:rPr>
                <w:rFonts w:ascii="Palatino Linotype" w:eastAsia="Palatino Linotype" w:hAnsi="Palatino Linotype" w:cs="Palatino Linotype"/>
                <w:color w:val="000000" w:themeColor="text1"/>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Así, en un acto de autoridad se cumple con la debida fundamentación cuando se cita el precepto legal aplicable al </w:t>
            </w:r>
            <w:r w:rsidRPr="00A15B00">
              <w:rPr>
                <w:rFonts w:ascii="Palatino Linotype" w:eastAsia="Palatino Linotype" w:hAnsi="Palatino Linotype" w:cs="Palatino Linotype"/>
                <w:color w:val="000000" w:themeColor="text1"/>
                <w:sz w:val="24"/>
                <w:szCs w:val="24"/>
              </w:rPr>
              <w:lastRenderedPageBreak/>
              <w:t>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Ahora bien, </w:t>
            </w:r>
            <w:r w:rsidRPr="00A15B00">
              <w:rPr>
                <w:rFonts w:ascii="Palatino Linotype" w:eastAsia="Palatino Linotype" w:hAnsi="Palatino Linotype" w:cs="Palatino Linotype"/>
                <w:b/>
                <w:color w:val="000000" w:themeColor="text1"/>
                <w:sz w:val="24"/>
                <w:szCs w:val="24"/>
                <w:u w:val="single"/>
              </w:rPr>
              <w:t>para cada caso además de fundar y motivar</w:t>
            </w:r>
            <w:r w:rsidRPr="00A15B00">
              <w:rPr>
                <w:rFonts w:ascii="Palatino Linotype" w:eastAsia="Palatino Linotype" w:hAnsi="Palatino Linotype" w:cs="Palatino Linotype"/>
                <w:color w:val="000000" w:themeColor="text1"/>
                <w:sz w:val="24"/>
                <w:szCs w:val="24"/>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B52A2" w:rsidRPr="00A15B00" w:rsidTr="00713034">
        <w:tc>
          <w:tcPr>
            <w:tcW w:w="2805"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6810" w:type="dxa"/>
          </w:tcPr>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Los artículos 148 y 120 de la Ley Estatal y de la Ley General vigente a la fecha de la solicitud, respectivamente, establecen que aun tratándose de datos personales, se podrán proporcionar, incluso sin solicitar el consentimiento de su titular. </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B52A2" w:rsidRPr="00A15B00" w:rsidRDefault="00BB52A2" w:rsidP="00A15B00">
      <w:pPr>
        <w:tabs>
          <w:tab w:val="left" w:pos="284"/>
        </w:tabs>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numPr>
          <w:ilvl w:val="0"/>
          <w:numId w:val="1"/>
        </w:numPr>
        <w:spacing w:after="0" w:line="360" w:lineRule="auto"/>
        <w:ind w:left="0" w:firstLine="0"/>
        <w:jc w:val="both"/>
        <w:rPr>
          <w:rFonts w:ascii="Palatino Linotype" w:hAnsi="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Si el servidor público incumple con estas formalidades y entrega la información sin proteger los datos personales incumple con lo que estipula las disposiciones legales establecidas.</w:t>
      </w: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numPr>
          <w:ilvl w:val="0"/>
          <w:numId w:val="1"/>
        </w:numPr>
        <w:spacing w:after="0" w:line="360" w:lineRule="auto"/>
        <w:ind w:left="0" w:firstLine="0"/>
        <w:jc w:val="both"/>
        <w:rPr>
          <w:rFonts w:ascii="Palatino Linotype" w:hAnsi="Palatino Linotype"/>
          <w:color w:val="000000" w:themeColor="text1"/>
          <w:sz w:val="24"/>
          <w:szCs w:val="24"/>
        </w:rPr>
      </w:pPr>
      <w:r w:rsidRPr="00A15B00">
        <w:rPr>
          <w:rFonts w:ascii="Palatino Linotype" w:eastAsia="Palatino Linotype" w:hAnsi="Palatino Linotype" w:cs="Palatino Linotype"/>
          <w:color w:val="000000" w:themeColor="text1"/>
          <w:sz w:val="24"/>
          <w:szCs w:val="24"/>
        </w:rPr>
        <w:t>Por lo anteriormente expuesto, este Órgano Garante considera parcialmente fundadas las razones o motivos de inconformidad que plantea el</w:t>
      </w:r>
      <w:r w:rsidRPr="00A15B00">
        <w:rPr>
          <w:rFonts w:ascii="Palatino Linotype" w:eastAsia="Palatino Linotype" w:hAnsi="Palatino Linotype" w:cs="Palatino Linotype"/>
          <w:b/>
          <w:color w:val="000000" w:themeColor="text1"/>
          <w:sz w:val="24"/>
          <w:szCs w:val="24"/>
        </w:rPr>
        <w:t xml:space="preserve"> RECURRENTE</w:t>
      </w:r>
      <w:r w:rsidRPr="00A15B00">
        <w:rPr>
          <w:rFonts w:ascii="Palatino Linotype" w:eastAsia="Palatino Linotype" w:hAnsi="Palatino Linotype" w:cs="Palatino Linotype"/>
          <w:color w:val="000000" w:themeColor="text1"/>
          <w:sz w:val="24"/>
          <w:szCs w:val="24"/>
        </w:rPr>
        <w:t xml:space="preserve">, determinando </w:t>
      </w:r>
      <w:r w:rsidRPr="00A15B00">
        <w:rPr>
          <w:rFonts w:ascii="Palatino Linotype" w:eastAsia="Palatino Linotype" w:hAnsi="Palatino Linotype" w:cs="Palatino Linotype"/>
          <w:b/>
          <w:smallCaps/>
          <w:color w:val="000000" w:themeColor="text1"/>
          <w:sz w:val="24"/>
          <w:szCs w:val="24"/>
        </w:rPr>
        <w:t xml:space="preserve">REVOCAR </w:t>
      </w:r>
      <w:r w:rsidRPr="00A15B00">
        <w:rPr>
          <w:rFonts w:ascii="Palatino Linotype" w:eastAsia="Palatino Linotype" w:hAnsi="Palatino Linotype" w:cs="Palatino Linotype"/>
          <w:color w:val="000000" w:themeColor="text1"/>
          <w:sz w:val="24"/>
          <w:szCs w:val="24"/>
        </w:rPr>
        <w:t xml:space="preserve">la respuesta del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15B00">
        <w:rPr>
          <w:rFonts w:ascii="Palatino Linotype" w:eastAsia="Palatino Linotype" w:hAnsi="Palatino Linotype" w:cs="Palatino Linotype"/>
          <w:b/>
          <w:color w:val="000000" w:themeColor="text1"/>
          <w:sz w:val="24"/>
          <w:szCs w:val="24"/>
        </w:rPr>
        <w:t>ÓRGANO GARANTE</w:t>
      </w:r>
      <w:r w:rsidRPr="00A15B00">
        <w:rPr>
          <w:rFonts w:ascii="Palatino Linotype" w:eastAsia="Palatino Linotype" w:hAnsi="Palatino Linotype" w:cs="Palatino Linotype"/>
          <w:color w:val="000000" w:themeColor="text1"/>
          <w:sz w:val="24"/>
          <w:szCs w:val="24"/>
        </w:rPr>
        <w:t xml:space="preserve"> emite los siguientes.</w:t>
      </w:r>
    </w:p>
    <w:p w:rsidR="00BB52A2" w:rsidRPr="00A15B00" w:rsidRDefault="00BB52A2" w:rsidP="00A15B00">
      <w:pPr>
        <w:pStyle w:val="Ttulo1"/>
        <w:spacing w:before="0" w:line="360" w:lineRule="auto"/>
        <w:jc w:val="center"/>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b/>
          <w:color w:val="000000" w:themeColor="text1"/>
          <w:sz w:val="24"/>
          <w:szCs w:val="24"/>
        </w:rPr>
        <w:lastRenderedPageBreak/>
        <w:t>R E S O L U T I V O S</w:t>
      </w:r>
    </w:p>
    <w:p w:rsidR="00BB52A2" w:rsidRPr="00A15B00" w:rsidRDefault="00BB52A2" w:rsidP="00A15B00">
      <w:pPr>
        <w:spacing w:line="360" w:lineRule="auto"/>
        <w:rPr>
          <w:rFonts w:ascii="Palatino Linotype" w:eastAsia="Palatino Linotype" w:hAnsi="Palatino Linotype" w:cs="Palatino Linotype"/>
          <w:color w:val="000000" w:themeColor="text1"/>
          <w:sz w:val="24"/>
          <w:szCs w:val="24"/>
        </w:rPr>
      </w:pPr>
    </w:p>
    <w:p w:rsidR="00BB52A2" w:rsidRPr="00A15B00" w:rsidRDefault="00BB52A2" w:rsidP="00A15B00">
      <w:pPr>
        <w:spacing w:line="360" w:lineRule="auto"/>
        <w:jc w:val="both"/>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b/>
          <w:color w:val="000000" w:themeColor="text1"/>
          <w:sz w:val="24"/>
          <w:szCs w:val="24"/>
        </w:rPr>
        <w:t>PRIMERO</w:t>
      </w:r>
      <w:r w:rsidRPr="00A15B00">
        <w:rPr>
          <w:rFonts w:ascii="Palatino Linotype" w:eastAsia="Palatino Linotype" w:hAnsi="Palatino Linotype" w:cs="Palatino Linotype"/>
          <w:color w:val="000000" w:themeColor="text1"/>
          <w:sz w:val="24"/>
          <w:szCs w:val="24"/>
        </w:rPr>
        <w:t xml:space="preserve">. Resultan infundadas las razones o motivos de inconformidad hechos valer en el Recurso de Revisión </w:t>
      </w:r>
      <w:r w:rsidR="00E342AE" w:rsidRPr="00A15B00">
        <w:rPr>
          <w:rFonts w:ascii="Palatino Linotype" w:eastAsia="Palatino Linotype" w:hAnsi="Palatino Linotype" w:cs="Palatino Linotype"/>
          <w:b/>
          <w:bCs/>
          <w:color w:val="000000" w:themeColor="text1"/>
          <w:sz w:val="24"/>
          <w:szCs w:val="24"/>
        </w:rPr>
        <w:t>04593/INFOEM/IP/RR/2025</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en términos del Considerando </w:t>
      </w:r>
      <w:r w:rsidRPr="00A15B00">
        <w:rPr>
          <w:rFonts w:ascii="Palatino Linotype" w:eastAsia="Palatino Linotype" w:hAnsi="Palatino Linotype" w:cs="Palatino Linotype"/>
          <w:b/>
          <w:color w:val="000000" w:themeColor="text1"/>
          <w:sz w:val="24"/>
          <w:szCs w:val="24"/>
        </w:rPr>
        <w:t xml:space="preserve">Cuarto y Quinto </w:t>
      </w:r>
      <w:r w:rsidRPr="00A15B00">
        <w:rPr>
          <w:rFonts w:ascii="Palatino Linotype" w:eastAsia="Palatino Linotype" w:hAnsi="Palatino Linotype" w:cs="Palatino Linotype"/>
          <w:color w:val="000000" w:themeColor="text1"/>
          <w:sz w:val="24"/>
          <w:szCs w:val="24"/>
        </w:rPr>
        <w:t xml:space="preserve">de la presente resolución. </w:t>
      </w: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bookmarkStart w:id="13" w:name="_heading=h.1ksv4uv" w:colFirst="0" w:colLast="0"/>
      <w:bookmarkEnd w:id="13"/>
      <w:r w:rsidRPr="00A15B00">
        <w:rPr>
          <w:rFonts w:ascii="Palatino Linotype" w:eastAsia="Palatino Linotype" w:hAnsi="Palatino Linotype" w:cs="Palatino Linotype"/>
          <w:b/>
          <w:color w:val="000000" w:themeColor="text1"/>
          <w:sz w:val="24"/>
          <w:szCs w:val="24"/>
        </w:rPr>
        <w:t xml:space="preserve">SEGUNDO. </w:t>
      </w:r>
      <w:r w:rsidRPr="00A15B00">
        <w:rPr>
          <w:rFonts w:ascii="Palatino Linotype" w:eastAsia="Palatino Linotype" w:hAnsi="Palatino Linotype" w:cs="Palatino Linotype"/>
          <w:color w:val="000000" w:themeColor="text1"/>
          <w:sz w:val="24"/>
          <w:szCs w:val="24"/>
        </w:rPr>
        <w:t xml:space="preserve">Se </w:t>
      </w:r>
      <w:r w:rsidRPr="00A15B00">
        <w:rPr>
          <w:rFonts w:ascii="Palatino Linotype" w:eastAsia="Palatino Linotype" w:hAnsi="Palatino Linotype" w:cs="Palatino Linotype"/>
          <w:b/>
          <w:color w:val="000000" w:themeColor="text1"/>
          <w:sz w:val="24"/>
          <w:szCs w:val="24"/>
        </w:rPr>
        <w:t xml:space="preserve">REVOCA </w:t>
      </w:r>
      <w:r w:rsidRPr="00A15B00">
        <w:rPr>
          <w:rFonts w:ascii="Palatino Linotype" w:eastAsia="Palatino Linotype" w:hAnsi="Palatino Linotype" w:cs="Palatino Linotype"/>
          <w:color w:val="000000" w:themeColor="text1"/>
          <w:sz w:val="24"/>
          <w:szCs w:val="24"/>
        </w:rPr>
        <w:t xml:space="preserve">la respuesta emitida por el </w:t>
      </w:r>
      <w:r w:rsidR="00E342AE" w:rsidRPr="00A15B00">
        <w:rPr>
          <w:rFonts w:ascii="Palatino Linotype" w:eastAsia="Palatino Linotype" w:hAnsi="Palatino Linotype" w:cs="Palatino Linotype"/>
          <w:b/>
          <w:bCs/>
          <w:color w:val="000000" w:themeColor="text1"/>
          <w:sz w:val="24"/>
          <w:szCs w:val="24"/>
        </w:rPr>
        <w:t>Ayuntamiento de Acambay de Ruíz Castañeda</w:t>
      </w:r>
      <w:r w:rsidRPr="00A15B00">
        <w:rPr>
          <w:rFonts w:ascii="Palatino Linotype" w:eastAsia="Palatino Linotype" w:hAnsi="Palatino Linotype" w:cs="Palatino Linotype"/>
          <w:b/>
          <w:color w:val="000000" w:themeColor="text1"/>
          <w:sz w:val="24"/>
          <w:szCs w:val="24"/>
        </w:rPr>
        <w:t xml:space="preserve"> </w:t>
      </w:r>
      <w:r w:rsidRPr="00A15B00">
        <w:rPr>
          <w:rFonts w:ascii="Palatino Linotype" w:eastAsia="Palatino Linotype" w:hAnsi="Palatino Linotype" w:cs="Palatino Linotype"/>
          <w:color w:val="000000" w:themeColor="text1"/>
          <w:sz w:val="24"/>
          <w:szCs w:val="24"/>
        </w:rPr>
        <w:t xml:space="preserve">y se </w:t>
      </w:r>
      <w:r w:rsidRPr="00A15B00">
        <w:rPr>
          <w:rFonts w:ascii="Palatino Linotype" w:eastAsia="Palatino Linotype" w:hAnsi="Palatino Linotype" w:cs="Palatino Linotype"/>
          <w:b/>
          <w:color w:val="000000" w:themeColor="text1"/>
          <w:sz w:val="24"/>
          <w:szCs w:val="24"/>
        </w:rPr>
        <w:t>ORDENA</w:t>
      </w:r>
      <w:r w:rsidRPr="00A15B00">
        <w:rPr>
          <w:rFonts w:ascii="Palatino Linotype" w:eastAsia="Palatino Linotype" w:hAnsi="Palatino Linotype" w:cs="Palatino Linotype"/>
          <w:color w:val="000000" w:themeColor="text1"/>
          <w:sz w:val="24"/>
          <w:szCs w:val="24"/>
        </w:rPr>
        <w:t xml:space="preserve"> entregar vía Sis</w:t>
      </w:r>
      <w:r w:rsidR="000D4863" w:rsidRPr="00A15B00">
        <w:rPr>
          <w:rFonts w:ascii="Palatino Linotype" w:eastAsia="Palatino Linotype" w:hAnsi="Palatino Linotype" w:cs="Palatino Linotype"/>
          <w:color w:val="000000" w:themeColor="text1"/>
          <w:sz w:val="24"/>
          <w:szCs w:val="24"/>
        </w:rPr>
        <w:t>tema de Acceso a la Información,</w:t>
      </w:r>
      <w:r w:rsidRPr="00A15B00">
        <w:rPr>
          <w:rFonts w:ascii="Palatino Linotype" w:eastAsia="Palatino Linotype" w:hAnsi="Palatino Linotype" w:cs="Palatino Linotype"/>
          <w:color w:val="000000" w:themeColor="text1"/>
          <w:sz w:val="24"/>
          <w:szCs w:val="24"/>
        </w:rPr>
        <w:t xml:space="preserve"> </w:t>
      </w:r>
      <w:r w:rsidR="00E342AE" w:rsidRPr="00A15B00">
        <w:rPr>
          <w:rFonts w:ascii="Palatino Linotype" w:eastAsia="Palatino Linotype" w:hAnsi="Palatino Linotype" w:cs="Palatino Linotype"/>
          <w:color w:val="000000" w:themeColor="text1"/>
          <w:sz w:val="24"/>
          <w:szCs w:val="24"/>
        </w:rPr>
        <w:t xml:space="preserve">de ser procedente </w:t>
      </w:r>
      <w:r w:rsidRPr="00A15B00">
        <w:rPr>
          <w:rFonts w:ascii="Palatino Linotype" w:eastAsia="Palatino Linotype" w:hAnsi="Palatino Linotype" w:cs="Palatino Linotype"/>
          <w:color w:val="000000" w:themeColor="text1"/>
          <w:sz w:val="24"/>
          <w:szCs w:val="24"/>
        </w:rPr>
        <w:t xml:space="preserve">en </w:t>
      </w:r>
      <w:r w:rsidR="00995353" w:rsidRPr="00A15B00">
        <w:rPr>
          <w:rFonts w:ascii="Palatino Linotype" w:eastAsia="Palatino Linotype" w:hAnsi="Palatino Linotype" w:cs="Palatino Linotype"/>
          <w:color w:val="000000" w:themeColor="text1"/>
          <w:sz w:val="24"/>
          <w:szCs w:val="24"/>
        </w:rPr>
        <w:t xml:space="preserve">versión pública, lo siguiente: </w:t>
      </w:r>
    </w:p>
    <w:p w:rsidR="00995353" w:rsidRPr="00A15B00" w:rsidRDefault="00995353" w:rsidP="00A15B00">
      <w:pPr>
        <w:spacing w:line="360" w:lineRule="auto"/>
        <w:jc w:val="both"/>
        <w:rPr>
          <w:rFonts w:ascii="Palatino Linotype" w:eastAsia="Palatino Linotype" w:hAnsi="Palatino Linotype" w:cs="Palatino Linotype"/>
          <w:color w:val="000000" w:themeColor="text1"/>
          <w:sz w:val="24"/>
          <w:szCs w:val="24"/>
        </w:rPr>
      </w:pPr>
    </w:p>
    <w:p w:rsidR="00BB52A2" w:rsidRPr="00A15B00" w:rsidRDefault="00E342AE" w:rsidP="00A15B00">
      <w:pPr>
        <w:pStyle w:val="Prrafodelista"/>
        <w:numPr>
          <w:ilvl w:val="0"/>
          <w:numId w:val="2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14" w:name="_heading=h.lnxbz9" w:colFirst="0" w:colLast="0"/>
      <w:bookmarkEnd w:id="14"/>
      <w:r w:rsidRPr="00A15B00">
        <w:rPr>
          <w:rFonts w:ascii="Palatino Linotype" w:hAnsi="Palatino Linotype"/>
          <w:b/>
          <w:color w:val="000000" w:themeColor="text1"/>
        </w:rPr>
        <w:t xml:space="preserve">Documento en donde conste el gasto realizado por </w:t>
      </w:r>
      <w:r w:rsidRPr="00A15B00">
        <w:rPr>
          <w:rFonts w:ascii="Palatino Linotype" w:hAnsi="Palatino Linotype"/>
          <w:b/>
          <w:bCs/>
          <w:color w:val="000000" w:themeColor="text1"/>
          <w:lang w:val="es-MX"/>
        </w:rPr>
        <w:t>concepto Carnaval de Acambay 2025, al dieciocho de marzo de dos mil veinticinco</w:t>
      </w:r>
    </w:p>
    <w:p w:rsidR="00BB52A2" w:rsidRPr="00A15B00" w:rsidRDefault="00BB52A2" w:rsidP="00A15B00">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p>
    <w:p w:rsidR="00BB52A2" w:rsidRPr="00A15B00" w:rsidRDefault="00BB52A2" w:rsidP="00A15B00">
      <w:pPr>
        <w:spacing w:line="360" w:lineRule="auto"/>
        <w:jc w:val="both"/>
        <w:rPr>
          <w:rFonts w:ascii="Palatino Linotype" w:eastAsia="Palatino Linotype" w:hAnsi="Palatino Linotype" w:cs="Palatino Linotype"/>
          <w:b/>
          <w:color w:val="000000" w:themeColor="text1"/>
          <w:sz w:val="24"/>
          <w:szCs w:val="24"/>
        </w:rPr>
      </w:pPr>
      <w:r w:rsidRPr="00A15B00">
        <w:rPr>
          <w:rFonts w:ascii="Palatino Linotype" w:eastAsia="Palatino Linotype" w:hAnsi="Palatino Linotype" w:cs="Palatino Linotype"/>
          <w:color w:val="000000" w:themeColor="text1"/>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A15B00">
        <w:rPr>
          <w:rFonts w:ascii="Palatino Linotype" w:eastAsia="Palatino Linotype" w:hAnsi="Palatino Linotype" w:cs="Palatino Linotype"/>
          <w:b/>
          <w:color w:val="000000" w:themeColor="text1"/>
          <w:sz w:val="24"/>
          <w:szCs w:val="24"/>
        </w:rPr>
        <w:t>RECURRENTE.</w:t>
      </w:r>
    </w:p>
    <w:p w:rsidR="00BB52A2" w:rsidRPr="00A15B00" w:rsidRDefault="00BB52A2" w:rsidP="00A15B00">
      <w:pPr>
        <w:tabs>
          <w:tab w:val="left" w:pos="8080"/>
        </w:tabs>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tabs>
          <w:tab w:val="left" w:pos="8080"/>
        </w:tabs>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b/>
          <w:color w:val="000000" w:themeColor="text1"/>
          <w:sz w:val="24"/>
          <w:szCs w:val="24"/>
        </w:rPr>
        <w:t>TERCERO. NOTIFÍQUESE</w:t>
      </w:r>
      <w:r w:rsidRPr="00A15B00">
        <w:rPr>
          <w:rFonts w:ascii="Palatino Linotype" w:eastAsia="Palatino Linotype" w:hAnsi="Palatino Linotype" w:cs="Palatino Linotype"/>
          <w:color w:val="000000" w:themeColor="text1"/>
          <w:sz w:val="24"/>
          <w:szCs w:val="24"/>
        </w:rPr>
        <w:t xml:space="preserve"> la presente resolución al Titular de la Unidad de Transparencia del Sujeto Obligado vía SAIMEX, para que conforme al artículo 186 último párrafo, 189 </w:t>
      </w:r>
      <w:r w:rsidRPr="00A15B00">
        <w:rPr>
          <w:rFonts w:ascii="Palatino Linotype" w:eastAsia="Palatino Linotype" w:hAnsi="Palatino Linotype" w:cs="Palatino Linotype"/>
          <w:color w:val="000000" w:themeColor="text1"/>
          <w:sz w:val="24"/>
          <w:szCs w:val="24"/>
        </w:rPr>
        <w:lastRenderedPageBreak/>
        <w:t xml:space="preserve">segundo párrafo y 194 de la Ley de Transparencia y Acceso a la Información Pública del Estado de México y Municipios; </w:t>
      </w:r>
      <w:r w:rsidRPr="00A15B00">
        <w:rPr>
          <w:rFonts w:ascii="Palatino Linotype" w:eastAsia="Palatino Linotype" w:hAnsi="Palatino Linotype" w:cs="Palatino Linotype"/>
          <w:b/>
          <w:color w:val="000000" w:themeColor="text1"/>
          <w:sz w:val="24"/>
          <w:szCs w:val="24"/>
        </w:rPr>
        <w:t xml:space="preserve">dé cumplimiento a lo ordenado dentro del plazo de diez días hábiles, </w:t>
      </w:r>
      <w:r w:rsidRPr="00A15B00">
        <w:rPr>
          <w:rFonts w:ascii="Palatino Linotype" w:eastAsia="Palatino Linotype" w:hAnsi="Palatino Linotype" w:cs="Palatino Linotype"/>
          <w:color w:val="000000" w:themeColor="text1"/>
          <w:sz w:val="24"/>
          <w:szCs w:val="24"/>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BB52A2" w:rsidRPr="00A15B00" w:rsidRDefault="00BB52A2" w:rsidP="00A15B00">
      <w:pPr>
        <w:tabs>
          <w:tab w:val="left" w:pos="8080"/>
        </w:tabs>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r w:rsidRPr="00A15B00">
        <w:rPr>
          <w:rFonts w:ascii="Palatino Linotype" w:eastAsia="Palatino Linotype" w:hAnsi="Palatino Linotype" w:cs="Palatino Linotype"/>
          <w:b/>
          <w:color w:val="000000" w:themeColor="text1"/>
          <w:sz w:val="24"/>
          <w:szCs w:val="24"/>
        </w:rPr>
        <w:t xml:space="preserve">CUARTO. </w:t>
      </w:r>
      <w:r w:rsidRPr="00A15B00">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A15B00">
        <w:rPr>
          <w:rFonts w:ascii="Palatino Linotype" w:eastAsia="Palatino Linotype" w:hAnsi="Palatino Linotype" w:cs="Palatino Linotype"/>
          <w:b/>
          <w:color w:val="000000" w:themeColor="text1"/>
          <w:sz w:val="24"/>
          <w:szCs w:val="24"/>
        </w:rPr>
        <w:t>SUJETO OBLIGADO</w:t>
      </w:r>
      <w:r w:rsidRPr="00A15B00">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bookmarkStart w:id="15" w:name="_heading=h.2jxsxqh" w:colFirst="0" w:colLast="0"/>
      <w:bookmarkEnd w:id="15"/>
      <w:r w:rsidRPr="00A15B00">
        <w:rPr>
          <w:rFonts w:ascii="Palatino Linotype" w:eastAsia="Palatino Linotype" w:hAnsi="Palatino Linotype" w:cs="Palatino Linotype"/>
          <w:b/>
          <w:color w:val="000000" w:themeColor="text1"/>
          <w:sz w:val="24"/>
          <w:szCs w:val="24"/>
        </w:rPr>
        <w:t xml:space="preserve">QUINTO. </w:t>
      </w:r>
      <w:r w:rsidRPr="00A15B00">
        <w:rPr>
          <w:rFonts w:ascii="Palatino Linotype" w:eastAsia="Palatino Linotype" w:hAnsi="Palatino Linotype" w:cs="Palatino Linotype"/>
          <w:color w:val="000000" w:themeColor="text1"/>
          <w:sz w:val="24"/>
          <w:szCs w:val="24"/>
        </w:rPr>
        <w:t xml:space="preserve">Notifíquese a </w:t>
      </w:r>
      <w:r w:rsidRPr="00A15B00">
        <w:rPr>
          <w:rFonts w:ascii="Palatino Linotype" w:eastAsia="Palatino Linotype" w:hAnsi="Palatino Linotype" w:cs="Palatino Linotype"/>
          <w:b/>
          <w:color w:val="000000" w:themeColor="text1"/>
          <w:sz w:val="24"/>
          <w:szCs w:val="24"/>
        </w:rPr>
        <w:t>EL RECURRENTE</w:t>
      </w:r>
      <w:r w:rsidRPr="00A15B00">
        <w:rPr>
          <w:rFonts w:ascii="Palatino Linotype" w:eastAsia="Palatino Linotype" w:hAnsi="Palatino Linotype" w:cs="Palatino Linotype"/>
          <w:color w:val="000000" w:themeColor="text1"/>
          <w:sz w:val="24"/>
          <w:szCs w:val="24"/>
        </w:rPr>
        <w:t xml:space="preserve"> la presente resolución, vía SAIMEX.</w:t>
      </w:r>
    </w:p>
    <w:p w:rsidR="00BB52A2" w:rsidRPr="00A15B00" w:rsidRDefault="00BB52A2" w:rsidP="00A15B00">
      <w:pPr>
        <w:shd w:val="clear" w:color="auto" w:fill="FFFFFF"/>
        <w:spacing w:line="360" w:lineRule="auto"/>
        <w:jc w:val="both"/>
        <w:rPr>
          <w:rFonts w:ascii="Palatino Linotype" w:eastAsia="Palatino Linotype" w:hAnsi="Palatino Linotype" w:cs="Palatino Linotype"/>
          <w:b/>
          <w:color w:val="000000" w:themeColor="text1"/>
          <w:sz w:val="24"/>
          <w:szCs w:val="24"/>
          <w:lang w:val="es-ES_tradnl"/>
        </w:rPr>
      </w:pP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lang w:val="es-ES_tradnl"/>
        </w:rPr>
      </w:pPr>
      <w:r w:rsidRPr="00A15B00">
        <w:rPr>
          <w:rFonts w:ascii="Palatino Linotype" w:eastAsia="Palatino Linotype" w:hAnsi="Palatino Linotype" w:cs="Palatino Linotype"/>
          <w:b/>
          <w:color w:val="000000" w:themeColor="text1"/>
          <w:sz w:val="24"/>
          <w:szCs w:val="24"/>
          <w:lang w:val="es-ES_tradnl"/>
        </w:rPr>
        <w:t xml:space="preserve">SEXTO. </w:t>
      </w:r>
      <w:r w:rsidRPr="00A15B00">
        <w:rPr>
          <w:rFonts w:ascii="Palatino Linotype" w:eastAsia="Palatino Linotype" w:hAnsi="Palatino Linotype" w:cs="Palatino Linotype"/>
          <w:color w:val="000000" w:themeColor="text1"/>
          <w:sz w:val="24"/>
          <w:szCs w:val="24"/>
          <w:lang w:val="es-ES_tradnl"/>
        </w:rPr>
        <w:t xml:space="preserve">Se hace del conocimiento del </w:t>
      </w:r>
      <w:r w:rsidRPr="00A15B00">
        <w:rPr>
          <w:rFonts w:ascii="Palatino Linotype" w:eastAsia="Palatino Linotype" w:hAnsi="Palatino Linotype" w:cs="Palatino Linotype"/>
          <w:b/>
          <w:color w:val="000000" w:themeColor="text1"/>
          <w:sz w:val="24"/>
          <w:szCs w:val="24"/>
          <w:lang w:val="es-ES_tradnl"/>
        </w:rPr>
        <w:t>RECURRENTE</w:t>
      </w:r>
      <w:r w:rsidRPr="00A15B00">
        <w:rPr>
          <w:rFonts w:ascii="Palatino Linotype" w:eastAsia="Palatino Linotype" w:hAnsi="Palatino Linotype" w:cs="Palatino Linotype"/>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156A18" w:rsidRDefault="00156A18" w:rsidP="00A15B00">
      <w:pPr>
        <w:tabs>
          <w:tab w:val="left" w:pos="5387"/>
        </w:tabs>
        <w:spacing w:line="360" w:lineRule="auto"/>
        <w:ind w:right="49"/>
        <w:jc w:val="both"/>
        <w:rPr>
          <w:rFonts w:ascii="Palatino Linotype" w:eastAsia="Palatino Linotype" w:hAnsi="Palatino Linotype" w:cs="Palatino Linotype"/>
          <w:sz w:val="24"/>
          <w:szCs w:val="24"/>
        </w:rPr>
      </w:pPr>
    </w:p>
    <w:p w:rsidR="00A15B00" w:rsidRPr="00444783" w:rsidRDefault="00A15B00" w:rsidP="00A15B00">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w:t>
      </w:r>
      <w:r w:rsidRPr="00575AE2">
        <w:rPr>
          <w:rFonts w:ascii="Palatino Linotype" w:eastAsia="Palatino Linotype" w:hAnsi="Palatino Linotype" w:cs="Palatino Linotype"/>
          <w:sz w:val="24"/>
          <w:szCs w:val="24"/>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sz w:val="24"/>
          <w:szCs w:val="24"/>
        </w:rPr>
        <w:t xml:space="preserve">QUINTA </w:t>
      </w:r>
      <w:r w:rsidRPr="00575AE2">
        <w:rPr>
          <w:rFonts w:ascii="Palatino Linotype" w:eastAsia="Palatino Linotype" w:hAnsi="Palatino Linotype" w:cs="Palatino Linotype"/>
          <w:sz w:val="24"/>
          <w:szCs w:val="24"/>
        </w:rPr>
        <w:t xml:space="preserve">SESIÓN ORDINARIA, CELEBRADA EL </w:t>
      </w:r>
      <w:r>
        <w:rPr>
          <w:rFonts w:ascii="Palatino Linotype" w:eastAsia="Palatino Linotype" w:hAnsi="Palatino Linotype" w:cs="Palatino Linotype"/>
          <w:sz w:val="24"/>
          <w:szCs w:val="24"/>
        </w:rPr>
        <w:t>PRIMERO (01</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 xml:space="preserve">OCTUBRE </w:t>
      </w:r>
      <w:r w:rsidRPr="00575AE2">
        <w:rPr>
          <w:rFonts w:ascii="Palatino Linotype" w:eastAsia="Palatino Linotype" w:hAnsi="Palatino Linotype" w:cs="Palatino Linotype"/>
          <w:sz w:val="24"/>
          <w:szCs w:val="24"/>
        </w:rPr>
        <w:t>DE DOS MIL VEINTICINCO, ANTE EL SECRETARIO TÉCNICO DEL PLENO ALEXIS TAPIA RAMÍREZ.</w:t>
      </w:r>
    </w:p>
    <w:p w:rsidR="00BB52A2" w:rsidRPr="00A15B00" w:rsidRDefault="00BB52A2" w:rsidP="00A15B00">
      <w:pPr>
        <w:spacing w:before="240" w:after="240" w:line="360" w:lineRule="auto"/>
        <w:jc w:val="both"/>
        <w:rPr>
          <w:rFonts w:ascii="Palatino Linotype" w:eastAsia="Palatino Linotype" w:hAnsi="Palatino Linotype" w:cs="Palatino Linotype"/>
          <w:color w:val="000000" w:themeColor="text1"/>
          <w:sz w:val="24"/>
          <w:szCs w:val="24"/>
        </w:rPr>
      </w:pPr>
    </w:p>
    <w:p w:rsidR="00BB52A2" w:rsidRDefault="00BB52A2"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5C4740" w:rsidRPr="00A15B00" w:rsidRDefault="005C4740" w:rsidP="00A15B00">
      <w:pPr>
        <w:spacing w:before="240" w:after="240"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before="240" w:after="240"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before="240" w:after="240"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before="240" w:after="240" w:line="360" w:lineRule="auto"/>
        <w:jc w:val="both"/>
        <w:rPr>
          <w:rFonts w:ascii="Palatino Linotype" w:eastAsia="Palatino Linotype" w:hAnsi="Palatino Linotype" w:cs="Palatino Linotype"/>
          <w:color w:val="000000" w:themeColor="text1"/>
          <w:sz w:val="24"/>
          <w:szCs w:val="24"/>
        </w:rPr>
      </w:pPr>
    </w:p>
    <w:p w:rsidR="00BB52A2" w:rsidRPr="00A15B00" w:rsidRDefault="00BB52A2" w:rsidP="00A15B00">
      <w:pPr>
        <w:spacing w:line="360" w:lineRule="auto"/>
        <w:jc w:val="both"/>
        <w:rPr>
          <w:rFonts w:ascii="Palatino Linotype" w:eastAsia="Palatino Linotype" w:hAnsi="Palatino Linotype" w:cs="Palatino Linotype"/>
          <w:color w:val="000000" w:themeColor="text1"/>
          <w:sz w:val="24"/>
          <w:szCs w:val="24"/>
        </w:rPr>
      </w:pPr>
    </w:p>
    <w:p w:rsidR="00271832" w:rsidRPr="00A15B00" w:rsidRDefault="00271832" w:rsidP="00A15B00">
      <w:pPr>
        <w:spacing w:after="0" w:line="360" w:lineRule="auto"/>
        <w:jc w:val="both"/>
        <w:rPr>
          <w:rFonts w:ascii="Palatino Linotype" w:eastAsia="MS Mincho" w:hAnsi="Palatino Linotype" w:cs="Arial"/>
          <w:i/>
          <w:color w:val="000000" w:themeColor="text1"/>
          <w:sz w:val="24"/>
          <w:szCs w:val="24"/>
        </w:rPr>
      </w:pPr>
    </w:p>
    <w:p w:rsidR="00271832" w:rsidRPr="00A15B00" w:rsidRDefault="00271832" w:rsidP="00A15B00">
      <w:pPr>
        <w:spacing w:after="0" w:line="360" w:lineRule="auto"/>
        <w:jc w:val="both"/>
        <w:rPr>
          <w:rFonts w:ascii="Palatino Linotype" w:eastAsia="MS Mincho" w:hAnsi="Palatino Linotype" w:cs="Arial"/>
          <w:i/>
          <w:color w:val="000000" w:themeColor="text1"/>
          <w:sz w:val="24"/>
          <w:szCs w:val="24"/>
        </w:rPr>
      </w:pPr>
    </w:p>
    <w:p w:rsidR="000A6C20" w:rsidRPr="00A15B00" w:rsidRDefault="000A6C20" w:rsidP="00A15B00">
      <w:pPr>
        <w:spacing w:after="0" w:line="360" w:lineRule="auto"/>
        <w:jc w:val="both"/>
        <w:rPr>
          <w:rFonts w:ascii="Palatino Linotype" w:eastAsia="Palatino Linotype" w:hAnsi="Palatino Linotype" w:cs="Palatino Linotype"/>
          <w:color w:val="000000" w:themeColor="text1"/>
          <w:sz w:val="24"/>
          <w:szCs w:val="24"/>
        </w:rPr>
      </w:pPr>
    </w:p>
    <w:p w:rsidR="0084142B" w:rsidRPr="00A15B00" w:rsidRDefault="0084142B" w:rsidP="00A15B00">
      <w:pPr>
        <w:spacing w:after="0" w:line="360" w:lineRule="auto"/>
        <w:jc w:val="both"/>
        <w:rPr>
          <w:rFonts w:ascii="Palatino Linotype" w:eastAsia="Palatino Linotype" w:hAnsi="Palatino Linotype" w:cs="Palatino Linotype"/>
          <w:color w:val="000000" w:themeColor="text1"/>
          <w:sz w:val="24"/>
          <w:szCs w:val="24"/>
        </w:rPr>
      </w:pPr>
    </w:p>
    <w:sectPr w:rsidR="0084142B" w:rsidRPr="00A15B00" w:rsidSect="00156A18">
      <w:headerReference w:type="even" r:id="rId9"/>
      <w:headerReference w:type="default" r:id="rId10"/>
      <w:footerReference w:type="default" r:id="rId11"/>
      <w:headerReference w:type="first" r:id="rId12"/>
      <w:footerReference w:type="first" r:id="rId13"/>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005" w:rsidRDefault="00511005">
      <w:pPr>
        <w:spacing w:after="0" w:line="240" w:lineRule="auto"/>
      </w:pPr>
      <w:r>
        <w:separator/>
      </w:r>
    </w:p>
  </w:endnote>
  <w:endnote w:type="continuationSeparator" w:id="0">
    <w:p w:rsidR="00511005" w:rsidRDefault="0051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0CA" w:rsidRDefault="008850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C4740">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C4740">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8850CA" w:rsidRDefault="008850CA">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0CA" w:rsidRDefault="008850CA">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C4740">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C4740">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8850CA" w:rsidRDefault="008850CA">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005" w:rsidRDefault="00511005">
      <w:pPr>
        <w:spacing w:after="0" w:line="240" w:lineRule="auto"/>
      </w:pPr>
      <w:r>
        <w:separator/>
      </w:r>
    </w:p>
  </w:footnote>
  <w:footnote w:type="continuationSeparator" w:id="0">
    <w:p w:rsidR="00511005" w:rsidRDefault="005110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0CA" w:rsidRDefault="00511005">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222" w:type="dxa"/>
      <w:tblInd w:w="1843" w:type="dxa"/>
      <w:tblLayout w:type="fixed"/>
      <w:tblLook w:val="0400" w:firstRow="0" w:lastRow="0" w:firstColumn="0" w:lastColumn="0" w:noHBand="0" w:noVBand="1"/>
    </w:tblPr>
    <w:tblGrid>
      <w:gridCol w:w="2976"/>
      <w:gridCol w:w="5246"/>
    </w:tblGrid>
    <w:tr w:rsidR="008850CA" w:rsidTr="00A15B00">
      <w:trPr>
        <w:trHeight w:val="227"/>
      </w:trPr>
      <w:tc>
        <w:tcPr>
          <w:tcW w:w="2976" w:type="dxa"/>
          <w:vAlign w:val="center"/>
        </w:tcPr>
        <w:p w:rsidR="008850CA" w:rsidRPr="00A15B00" w:rsidRDefault="008850CA" w:rsidP="00A15B00">
          <w:pPr>
            <w:spacing w:after="0" w:line="240" w:lineRule="auto"/>
            <w:ind w:right="34"/>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Recurso de Revisión:</w:t>
          </w:r>
        </w:p>
      </w:tc>
      <w:tc>
        <w:tcPr>
          <w:tcW w:w="5246"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bCs/>
              <w:color w:val="000000"/>
              <w:sz w:val="24"/>
              <w:szCs w:val="24"/>
            </w:rPr>
            <w:t>04593/INFOEM/IP/RR/2025</w:t>
          </w:r>
        </w:p>
      </w:tc>
    </w:tr>
    <w:tr w:rsidR="008850CA" w:rsidTr="00A15B00">
      <w:trPr>
        <w:trHeight w:val="242"/>
      </w:trPr>
      <w:tc>
        <w:tcPr>
          <w:tcW w:w="2976" w:type="dxa"/>
          <w:vAlign w:val="center"/>
        </w:tcPr>
        <w:p w:rsidR="008850CA" w:rsidRPr="00A15B00" w:rsidRDefault="008850CA" w:rsidP="00A15B00">
          <w:pPr>
            <w:spacing w:after="0" w:line="240" w:lineRule="auto"/>
            <w:ind w:right="34"/>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Sujeto Obligado:</w:t>
          </w:r>
        </w:p>
      </w:tc>
      <w:tc>
        <w:tcPr>
          <w:tcW w:w="5246"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bCs/>
              <w:color w:val="000000"/>
              <w:sz w:val="24"/>
              <w:szCs w:val="24"/>
            </w:rPr>
            <w:t>Ayuntamiento de Acambay de Ruíz Castañeda</w:t>
          </w:r>
        </w:p>
      </w:tc>
    </w:tr>
    <w:tr w:rsidR="008850CA" w:rsidTr="00A15B00">
      <w:trPr>
        <w:trHeight w:val="342"/>
      </w:trPr>
      <w:tc>
        <w:tcPr>
          <w:tcW w:w="2976" w:type="dxa"/>
          <w:vAlign w:val="center"/>
        </w:tcPr>
        <w:p w:rsidR="008850CA" w:rsidRPr="00A15B00" w:rsidRDefault="008850CA" w:rsidP="00A15B00">
          <w:pPr>
            <w:spacing w:after="0" w:line="240" w:lineRule="auto"/>
            <w:ind w:right="34"/>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Comisionada Ponente:</w:t>
          </w:r>
        </w:p>
      </w:tc>
      <w:tc>
        <w:tcPr>
          <w:tcW w:w="5246"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color w:val="000000"/>
              <w:sz w:val="24"/>
              <w:szCs w:val="24"/>
            </w:rPr>
            <w:t>María del Rosario Mejía Ayala</w:t>
          </w:r>
        </w:p>
      </w:tc>
    </w:tr>
  </w:tbl>
  <w:p w:rsidR="008850CA" w:rsidRDefault="00511005">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21.6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080" w:type="dxa"/>
      <w:tblInd w:w="1843" w:type="dxa"/>
      <w:tblLayout w:type="fixed"/>
      <w:tblLook w:val="0400" w:firstRow="0" w:lastRow="0" w:firstColumn="0" w:lastColumn="0" w:noHBand="0" w:noVBand="1"/>
    </w:tblPr>
    <w:tblGrid>
      <w:gridCol w:w="2977"/>
      <w:gridCol w:w="5103"/>
    </w:tblGrid>
    <w:tr w:rsidR="008850CA" w:rsidRPr="00A15B00" w:rsidTr="00A15B00">
      <w:trPr>
        <w:trHeight w:val="227"/>
      </w:trPr>
      <w:tc>
        <w:tcPr>
          <w:tcW w:w="2977" w:type="dxa"/>
          <w:vAlign w:val="center"/>
        </w:tcPr>
        <w:p w:rsidR="008850CA" w:rsidRPr="00A15B00" w:rsidRDefault="008850CA" w:rsidP="00A15B00">
          <w:pPr>
            <w:spacing w:after="0" w:line="240" w:lineRule="auto"/>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Recurso de Revisión:</w:t>
          </w:r>
        </w:p>
      </w:tc>
      <w:tc>
        <w:tcPr>
          <w:tcW w:w="5103"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bCs/>
              <w:color w:val="000000"/>
              <w:sz w:val="24"/>
              <w:szCs w:val="24"/>
            </w:rPr>
            <w:t>04593/INFOEM/IP/RR/2025</w:t>
          </w:r>
        </w:p>
      </w:tc>
    </w:tr>
    <w:tr w:rsidR="008850CA" w:rsidRPr="00A15B00" w:rsidTr="00A15B00">
      <w:trPr>
        <w:trHeight w:val="242"/>
      </w:trPr>
      <w:tc>
        <w:tcPr>
          <w:tcW w:w="2977" w:type="dxa"/>
          <w:vAlign w:val="center"/>
        </w:tcPr>
        <w:p w:rsidR="008850CA" w:rsidRPr="00A15B00" w:rsidRDefault="008850CA" w:rsidP="00A15B00">
          <w:pPr>
            <w:spacing w:after="0" w:line="240" w:lineRule="auto"/>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Recurrente:</w:t>
          </w:r>
        </w:p>
      </w:tc>
      <w:tc>
        <w:tcPr>
          <w:tcW w:w="5103" w:type="dxa"/>
        </w:tcPr>
        <w:p w:rsidR="008850CA" w:rsidRPr="00A15B00" w:rsidRDefault="008850CA" w:rsidP="00A15B00">
          <w:pPr>
            <w:pBdr>
              <w:top w:val="nil"/>
              <w:left w:val="nil"/>
              <w:bottom w:val="nil"/>
              <w:right w:val="nil"/>
              <w:between w:val="nil"/>
            </w:pBdr>
            <w:tabs>
              <w:tab w:val="center" w:pos="4419"/>
              <w:tab w:val="right" w:pos="8838"/>
              <w:tab w:val="left" w:pos="521"/>
            </w:tabs>
            <w:spacing w:after="0" w:line="240" w:lineRule="auto"/>
            <w:rPr>
              <w:rFonts w:ascii="Palatino Linotype" w:eastAsia="Palatino Linotype" w:hAnsi="Palatino Linotype" w:cs="Palatino Linotype"/>
              <w:color w:val="000000"/>
              <w:sz w:val="24"/>
              <w:szCs w:val="24"/>
            </w:rPr>
          </w:pPr>
        </w:p>
      </w:tc>
    </w:tr>
    <w:tr w:rsidR="008850CA" w:rsidRPr="00A15B00" w:rsidTr="00A15B00">
      <w:trPr>
        <w:trHeight w:val="342"/>
      </w:trPr>
      <w:tc>
        <w:tcPr>
          <w:tcW w:w="2977" w:type="dxa"/>
          <w:vAlign w:val="center"/>
        </w:tcPr>
        <w:p w:rsidR="008850CA" w:rsidRPr="00A15B00" w:rsidRDefault="008850CA" w:rsidP="00A15B00">
          <w:pPr>
            <w:spacing w:after="0" w:line="240" w:lineRule="auto"/>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Sujeto Obligado:</w:t>
          </w:r>
        </w:p>
      </w:tc>
      <w:tc>
        <w:tcPr>
          <w:tcW w:w="5103"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bCs/>
              <w:color w:val="000000"/>
              <w:sz w:val="24"/>
              <w:szCs w:val="24"/>
            </w:rPr>
            <w:t>Ayuntamiento de Acambay de Ruíz Castañeda</w:t>
          </w:r>
        </w:p>
      </w:tc>
    </w:tr>
    <w:tr w:rsidR="008850CA" w:rsidRPr="00A15B00" w:rsidTr="00A15B00">
      <w:trPr>
        <w:trHeight w:val="342"/>
      </w:trPr>
      <w:tc>
        <w:tcPr>
          <w:tcW w:w="2977" w:type="dxa"/>
          <w:vAlign w:val="center"/>
        </w:tcPr>
        <w:p w:rsidR="008850CA" w:rsidRPr="00A15B00" w:rsidRDefault="008850CA" w:rsidP="00A15B00">
          <w:pPr>
            <w:spacing w:after="0" w:line="240" w:lineRule="auto"/>
            <w:jc w:val="right"/>
            <w:rPr>
              <w:rFonts w:ascii="Palatino Linotype" w:eastAsia="Palatino Linotype" w:hAnsi="Palatino Linotype" w:cs="Palatino Linotype"/>
              <w:b/>
              <w:sz w:val="24"/>
              <w:szCs w:val="24"/>
            </w:rPr>
          </w:pPr>
          <w:r w:rsidRPr="00A15B00">
            <w:rPr>
              <w:rFonts w:ascii="Palatino Linotype" w:eastAsia="Palatino Linotype" w:hAnsi="Palatino Linotype" w:cs="Palatino Linotype"/>
              <w:b/>
              <w:sz w:val="24"/>
              <w:szCs w:val="24"/>
            </w:rPr>
            <w:t>Comisionada Ponente:</w:t>
          </w:r>
        </w:p>
      </w:tc>
      <w:tc>
        <w:tcPr>
          <w:tcW w:w="5103" w:type="dxa"/>
          <w:vAlign w:val="center"/>
        </w:tcPr>
        <w:p w:rsidR="008850CA" w:rsidRPr="00A15B00" w:rsidRDefault="008850CA" w:rsidP="00A15B0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4"/>
              <w:szCs w:val="24"/>
            </w:rPr>
          </w:pPr>
          <w:r w:rsidRPr="00A15B00">
            <w:rPr>
              <w:rFonts w:ascii="Palatino Linotype" w:eastAsia="Palatino Linotype" w:hAnsi="Palatino Linotype" w:cs="Palatino Linotype"/>
              <w:color w:val="000000"/>
              <w:sz w:val="24"/>
              <w:szCs w:val="24"/>
            </w:rPr>
            <w:t>María del Rosario Mejía Ayala</w:t>
          </w:r>
        </w:p>
      </w:tc>
    </w:tr>
  </w:tbl>
  <w:p w:rsidR="008850CA" w:rsidRDefault="00511005">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F426F"/>
    <w:multiLevelType w:val="hybridMultilevel"/>
    <w:tmpl w:val="8D847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7C3005"/>
    <w:multiLevelType w:val="hybridMultilevel"/>
    <w:tmpl w:val="E6F2873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4"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1B0BA5"/>
    <w:multiLevelType w:val="hybridMultilevel"/>
    <w:tmpl w:val="D9D2098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7500F61"/>
    <w:multiLevelType w:val="multilevel"/>
    <w:tmpl w:val="5F56EFDE"/>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1C1E6307"/>
    <w:multiLevelType w:val="multilevel"/>
    <w:tmpl w:val="B596C59C"/>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2" w15:restartNumberingAfterBreak="0">
    <w:nsid w:val="34317490"/>
    <w:multiLevelType w:val="hybridMultilevel"/>
    <w:tmpl w:val="0FF20A36"/>
    <w:lvl w:ilvl="0" w:tplc="3DD21F3A">
      <w:start w:val="1"/>
      <w:numFmt w:val="decimal"/>
      <w:lvlText w:val="%1."/>
      <w:lvlJc w:val="left"/>
      <w:pPr>
        <w:ind w:left="360" w:hanging="360"/>
      </w:pPr>
      <w:rPr>
        <w:rFonts w:ascii="Palatino Linotype" w:hAnsi="Palatino Linotype" w:hint="default"/>
        <w:b/>
        <w:i w:val="0"/>
        <w:color w:val="auto"/>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E922DB"/>
    <w:multiLevelType w:val="multilevel"/>
    <w:tmpl w:val="BD8C5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C22F5D"/>
    <w:multiLevelType w:val="hybridMultilevel"/>
    <w:tmpl w:val="2E8AA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FE43F41"/>
    <w:multiLevelType w:val="multilevel"/>
    <w:tmpl w:val="DD2210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EBA71AE"/>
    <w:multiLevelType w:val="multilevel"/>
    <w:tmpl w:val="DCC877E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572F6"/>
    <w:multiLevelType w:val="hybridMultilevel"/>
    <w:tmpl w:val="DBC8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65447C"/>
    <w:multiLevelType w:val="multilevel"/>
    <w:tmpl w:val="ED78949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24" w15:restartNumberingAfterBreak="0">
    <w:nsid w:val="6682489C"/>
    <w:multiLevelType w:val="multilevel"/>
    <w:tmpl w:val="B3B258A2"/>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811E92"/>
    <w:multiLevelType w:val="hybridMultilevel"/>
    <w:tmpl w:val="D9D08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777294"/>
    <w:multiLevelType w:val="multilevel"/>
    <w:tmpl w:val="B6F452A2"/>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1"/>
  </w:num>
  <w:num w:numId="4">
    <w:abstractNumId w:val="23"/>
  </w:num>
  <w:num w:numId="5">
    <w:abstractNumId w:val="19"/>
  </w:num>
  <w:num w:numId="6">
    <w:abstractNumId w:val="9"/>
  </w:num>
  <w:num w:numId="7">
    <w:abstractNumId w:val="16"/>
  </w:num>
  <w:num w:numId="8">
    <w:abstractNumId w:val="0"/>
  </w:num>
  <w:num w:numId="9">
    <w:abstractNumId w:val="22"/>
  </w:num>
  <w:num w:numId="10">
    <w:abstractNumId w:val="8"/>
  </w:num>
  <w:num w:numId="11">
    <w:abstractNumId w:val="24"/>
  </w:num>
  <w:num w:numId="12">
    <w:abstractNumId w:val="3"/>
  </w:num>
  <w:num w:numId="13">
    <w:abstractNumId w:val="1"/>
  </w:num>
  <w:num w:numId="14">
    <w:abstractNumId w:val="21"/>
  </w:num>
  <w:num w:numId="15">
    <w:abstractNumId w:val="6"/>
  </w:num>
  <w:num w:numId="16">
    <w:abstractNumId w:val="25"/>
  </w:num>
  <w:num w:numId="17">
    <w:abstractNumId w:val="12"/>
  </w:num>
  <w:num w:numId="18">
    <w:abstractNumId w:val="20"/>
  </w:num>
  <w:num w:numId="19">
    <w:abstractNumId w:val="15"/>
  </w:num>
  <w:num w:numId="20">
    <w:abstractNumId w:val="17"/>
  </w:num>
  <w:num w:numId="21">
    <w:abstractNumId w:val="10"/>
  </w:num>
  <w:num w:numId="22">
    <w:abstractNumId w:val="14"/>
  </w:num>
  <w:num w:numId="23">
    <w:abstractNumId w:val="5"/>
  </w:num>
  <w:num w:numId="24">
    <w:abstractNumId w:val="13"/>
  </w:num>
  <w:num w:numId="25">
    <w:abstractNumId w:val="26"/>
  </w:num>
  <w:num w:numId="26">
    <w:abstractNumId w:val="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0A6C20"/>
    <w:rsid w:val="000D4863"/>
    <w:rsid w:val="000D62F1"/>
    <w:rsid w:val="00156A18"/>
    <w:rsid w:val="001D1F0F"/>
    <w:rsid w:val="00262450"/>
    <w:rsid w:val="00271832"/>
    <w:rsid w:val="00305275"/>
    <w:rsid w:val="00350C93"/>
    <w:rsid w:val="003B55E9"/>
    <w:rsid w:val="003C7C49"/>
    <w:rsid w:val="00430078"/>
    <w:rsid w:val="004A44F5"/>
    <w:rsid w:val="004B039F"/>
    <w:rsid w:val="00511005"/>
    <w:rsid w:val="005925EA"/>
    <w:rsid w:val="005C4740"/>
    <w:rsid w:val="0066519D"/>
    <w:rsid w:val="00676980"/>
    <w:rsid w:val="006E5BEF"/>
    <w:rsid w:val="00713034"/>
    <w:rsid w:val="00792130"/>
    <w:rsid w:val="00820234"/>
    <w:rsid w:val="0084142B"/>
    <w:rsid w:val="008850CA"/>
    <w:rsid w:val="00995353"/>
    <w:rsid w:val="00A015A2"/>
    <w:rsid w:val="00A15B00"/>
    <w:rsid w:val="00A63887"/>
    <w:rsid w:val="00AC3965"/>
    <w:rsid w:val="00BB52A2"/>
    <w:rsid w:val="00C43F6B"/>
    <w:rsid w:val="00CB542B"/>
    <w:rsid w:val="00CF1CC3"/>
    <w:rsid w:val="00D066D4"/>
    <w:rsid w:val="00D9038E"/>
    <w:rsid w:val="00E01661"/>
    <w:rsid w:val="00E2067C"/>
    <w:rsid w:val="00E342AE"/>
    <w:rsid w:val="00E52BE7"/>
    <w:rsid w:val="00EC5A2E"/>
    <w:rsid w:val="00F54876"/>
    <w:rsid w:val="00FC156A"/>
    <w:rsid w:val="00FD58AB"/>
    <w:rsid w:val="00FE0446"/>
    <w:rsid w:val="00FE75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350C93"/>
    <w:rPr>
      <w:sz w:val="16"/>
      <w:szCs w:val="16"/>
    </w:rPr>
  </w:style>
  <w:style w:type="paragraph" w:styleId="Textocomentario">
    <w:name w:val="annotation text"/>
    <w:basedOn w:val="Normal"/>
    <w:link w:val="TextocomentarioCar"/>
    <w:uiPriority w:val="99"/>
    <w:semiHidden/>
    <w:unhideWhenUsed/>
    <w:rsid w:val="00350C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C93"/>
    <w:rPr>
      <w:sz w:val="20"/>
      <w:szCs w:val="20"/>
    </w:rPr>
  </w:style>
  <w:style w:type="paragraph" w:styleId="Asuntodelcomentario">
    <w:name w:val="annotation subject"/>
    <w:basedOn w:val="Textocomentario"/>
    <w:next w:val="Textocomentario"/>
    <w:link w:val="AsuntodelcomentarioCar"/>
    <w:uiPriority w:val="99"/>
    <w:semiHidden/>
    <w:unhideWhenUsed/>
    <w:rsid w:val="00350C93"/>
    <w:rPr>
      <w:b/>
      <w:bCs/>
    </w:rPr>
  </w:style>
  <w:style w:type="character" w:customStyle="1" w:styleId="AsuntodelcomentarioCar">
    <w:name w:val="Asunto del comentario Car"/>
    <w:basedOn w:val="TextocomentarioCar"/>
    <w:link w:val="Asuntodelcomentario"/>
    <w:uiPriority w:val="99"/>
    <w:semiHidden/>
    <w:rsid w:val="00350C93"/>
    <w:rPr>
      <w:b/>
      <w:bCs/>
      <w:sz w:val="20"/>
      <w:szCs w:val="20"/>
    </w:rPr>
  </w:style>
  <w:style w:type="paragraph" w:styleId="Textodeglobo">
    <w:name w:val="Balloon Text"/>
    <w:basedOn w:val="Normal"/>
    <w:link w:val="TextodegloboCar"/>
    <w:uiPriority w:val="99"/>
    <w:semiHidden/>
    <w:unhideWhenUsed/>
    <w:rsid w:val="00350C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C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6022">
      <w:bodyDiv w:val="1"/>
      <w:marLeft w:val="0"/>
      <w:marRight w:val="0"/>
      <w:marTop w:val="0"/>
      <w:marBottom w:val="0"/>
      <w:divBdr>
        <w:top w:val="none" w:sz="0" w:space="0" w:color="auto"/>
        <w:left w:val="none" w:sz="0" w:space="0" w:color="auto"/>
        <w:bottom w:val="none" w:sz="0" w:space="0" w:color="auto"/>
        <w:right w:val="none" w:sz="0" w:space="0" w:color="auto"/>
      </w:divBdr>
    </w:div>
    <w:div w:id="963316686">
      <w:bodyDiv w:val="1"/>
      <w:marLeft w:val="0"/>
      <w:marRight w:val="0"/>
      <w:marTop w:val="0"/>
      <w:marBottom w:val="0"/>
      <w:divBdr>
        <w:top w:val="none" w:sz="0" w:space="0" w:color="auto"/>
        <w:left w:val="none" w:sz="0" w:space="0" w:color="auto"/>
        <w:bottom w:val="none" w:sz="0" w:space="0" w:color="auto"/>
        <w:right w:val="none" w:sz="0" w:space="0" w:color="auto"/>
      </w:divBdr>
    </w:div>
    <w:div w:id="979770095">
      <w:bodyDiv w:val="1"/>
      <w:marLeft w:val="0"/>
      <w:marRight w:val="0"/>
      <w:marTop w:val="0"/>
      <w:marBottom w:val="0"/>
      <w:divBdr>
        <w:top w:val="none" w:sz="0" w:space="0" w:color="auto"/>
        <w:left w:val="none" w:sz="0" w:space="0" w:color="auto"/>
        <w:bottom w:val="none" w:sz="0" w:space="0" w:color="auto"/>
        <w:right w:val="none" w:sz="0" w:space="0" w:color="auto"/>
      </w:divBdr>
    </w:div>
    <w:div w:id="996499559">
      <w:bodyDiv w:val="1"/>
      <w:marLeft w:val="0"/>
      <w:marRight w:val="0"/>
      <w:marTop w:val="0"/>
      <w:marBottom w:val="0"/>
      <w:divBdr>
        <w:top w:val="none" w:sz="0" w:space="0" w:color="auto"/>
        <w:left w:val="none" w:sz="0" w:space="0" w:color="auto"/>
        <w:bottom w:val="none" w:sz="0" w:space="0" w:color="auto"/>
        <w:right w:val="none" w:sz="0" w:space="0" w:color="auto"/>
      </w:divBdr>
      <w:divsChild>
        <w:div w:id="1884901283">
          <w:marLeft w:val="0"/>
          <w:marRight w:val="0"/>
          <w:marTop w:val="0"/>
          <w:marBottom w:val="0"/>
          <w:divBdr>
            <w:top w:val="none" w:sz="0" w:space="0" w:color="auto"/>
            <w:left w:val="none" w:sz="0" w:space="0" w:color="auto"/>
            <w:bottom w:val="none" w:sz="0" w:space="0" w:color="auto"/>
            <w:right w:val="none" w:sz="0" w:space="0" w:color="auto"/>
          </w:divBdr>
        </w:div>
      </w:divsChild>
    </w:div>
    <w:div w:id="1550916960">
      <w:bodyDiv w:val="1"/>
      <w:marLeft w:val="0"/>
      <w:marRight w:val="0"/>
      <w:marTop w:val="0"/>
      <w:marBottom w:val="0"/>
      <w:divBdr>
        <w:top w:val="none" w:sz="0" w:space="0" w:color="auto"/>
        <w:left w:val="none" w:sz="0" w:space="0" w:color="auto"/>
        <w:bottom w:val="none" w:sz="0" w:space="0" w:color="auto"/>
        <w:right w:val="none" w:sz="0" w:space="0" w:color="auto"/>
      </w:divBdr>
    </w:div>
    <w:div w:id="1770082920">
      <w:bodyDiv w:val="1"/>
      <w:marLeft w:val="0"/>
      <w:marRight w:val="0"/>
      <w:marTop w:val="0"/>
      <w:marBottom w:val="0"/>
      <w:divBdr>
        <w:top w:val="none" w:sz="0" w:space="0" w:color="auto"/>
        <w:left w:val="none" w:sz="0" w:space="0" w:color="auto"/>
        <w:bottom w:val="none" w:sz="0" w:space="0" w:color="auto"/>
        <w:right w:val="none" w:sz="0" w:space="0" w:color="auto"/>
      </w:divBdr>
    </w:div>
    <w:div w:id="1830638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6402</Words>
  <Characters>35215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7</cp:revision>
  <cp:lastPrinted>2025-10-03T00:06:00Z</cp:lastPrinted>
  <dcterms:created xsi:type="dcterms:W3CDTF">2025-09-24T21:13:00Z</dcterms:created>
  <dcterms:modified xsi:type="dcterms:W3CDTF">2025-11-06T18:34:00Z</dcterms:modified>
</cp:coreProperties>
</file>