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F8E" w:rsidRPr="009C68B8" w:rsidRDefault="00874F8E" w:rsidP="00874F8E">
      <w:pPr>
        <w:tabs>
          <w:tab w:val="left" w:pos="0"/>
          <w:tab w:val="left" w:pos="3465"/>
        </w:tabs>
        <w:spacing w:line="360" w:lineRule="auto"/>
        <w:jc w:val="both"/>
        <w:rPr>
          <w:rFonts w:ascii="Palatino Linotype" w:hAnsi="Palatino Linotype"/>
          <w:sz w:val="22"/>
          <w:szCs w:val="22"/>
        </w:rPr>
      </w:pPr>
      <w:r w:rsidRPr="009C68B8">
        <w:rPr>
          <w:rFonts w:ascii="Palatino Linotype" w:hAnsi="Palatino Linotype"/>
          <w:sz w:val="22"/>
          <w:szCs w:val="22"/>
        </w:rPr>
        <w:t xml:space="preserve">Resolución del Pleno del Instituto de Transparencia, Acceso a la Información Pública y Protección de Datos Personales del Estado de México y Municipios, con domicilio en Metepec, Estado de México; del </w:t>
      </w:r>
      <w:r w:rsidR="00965917" w:rsidRPr="009C68B8">
        <w:rPr>
          <w:rFonts w:ascii="Palatino Linotype" w:hAnsi="Palatino Linotype"/>
          <w:sz w:val="22"/>
          <w:szCs w:val="22"/>
        </w:rPr>
        <w:t>seis de febrero de dos mil veinticinco.</w:t>
      </w:r>
    </w:p>
    <w:p w:rsidR="00874F8E" w:rsidRPr="009C68B8" w:rsidRDefault="00874F8E" w:rsidP="00874F8E">
      <w:pPr>
        <w:tabs>
          <w:tab w:val="left" w:pos="0"/>
          <w:tab w:val="left" w:pos="3465"/>
        </w:tabs>
        <w:spacing w:line="360" w:lineRule="auto"/>
        <w:jc w:val="both"/>
        <w:rPr>
          <w:rFonts w:ascii="Palatino Linotype" w:hAnsi="Palatino Linotype"/>
          <w:sz w:val="22"/>
          <w:szCs w:val="22"/>
        </w:rPr>
      </w:pPr>
    </w:p>
    <w:p w:rsidR="00874F8E" w:rsidRPr="009C68B8" w:rsidRDefault="00874F8E" w:rsidP="00874F8E">
      <w:pPr>
        <w:pStyle w:val="Encabezado"/>
        <w:spacing w:line="360" w:lineRule="auto"/>
        <w:jc w:val="both"/>
        <w:rPr>
          <w:rFonts w:ascii="Palatino Linotype" w:eastAsia="Times New Roman" w:hAnsi="Palatino Linotype" w:cs="Times New Roman"/>
          <w:b/>
          <w:color w:val="000000" w:themeColor="text1"/>
          <w:sz w:val="22"/>
          <w:szCs w:val="22"/>
        </w:rPr>
      </w:pPr>
      <w:r w:rsidRPr="009C68B8">
        <w:rPr>
          <w:rFonts w:ascii="Palatino Linotype" w:eastAsia="Times New Roman" w:hAnsi="Palatino Linotype" w:cs="Times New Roman"/>
          <w:b/>
          <w:color w:val="000000" w:themeColor="text1"/>
          <w:sz w:val="22"/>
          <w:szCs w:val="22"/>
        </w:rPr>
        <w:t>VISTO</w:t>
      </w:r>
      <w:r w:rsidRPr="009C68B8">
        <w:rPr>
          <w:rFonts w:ascii="Palatino Linotype" w:eastAsia="Times New Roman" w:hAnsi="Palatino Linotype" w:cs="Times New Roman"/>
          <w:color w:val="000000" w:themeColor="text1"/>
          <w:sz w:val="22"/>
          <w:szCs w:val="22"/>
        </w:rPr>
        <w:t xml:space="preserve"> en el expediente electrónico formado con motivo del recurso de revisión número </w:t>
      </w:r>
      <w:r w:rsidRPr="009C68B8">
        <w:rPr>
          <w:rFonts w:ascii="Palatino Linotype" w:hAnsi="Palatino Linotype" w:cs="Arial"/>
          <w:b/>
          <w:bCs/>
          <w:color w:val="000000" w:themeColor="text1"/>
          <w:sz w:val="22"/>
          <w:szCs w:val="22"/>
          <w:lang w:eastAsia="es-MX"/>
        </w:rPr>
        <w:t>0</w:t>
      </w:r>
      <w:r w:rsidR="00965917" w:rsidRPr="009C68B8">
        <w:rPr>
          <w:rFonts w:ascii="Palatino Linotype" w:hAnsi="Palatino Linotype" w:cs="Arial"/>
          <w:b/>
          <w:bCs/>
          <w:color w:val="000000" w:themeColor="text1"/>
          <w:sz w:val="22"/>
          <w:szCs w:val="22"/>
          <w:lang w:eastAsia="es-MX"/>
        </w:rPr>
        <w:t>7488</w:t>
      </w:r>
      <w:r w:rsidRPr="009C68B8">
        <w:rPr>
          <w:rFonts w:ascii="Palatino Linotype" w:hAnsi="Palatino Linotype" w:cs="Arial"/>
          <w:b/>
          <w:bCs/>
          <w:color w:val="000000" w:themeColor="text1"/>
          <w:sz w:val="22"/>
          <w:szCs w:val="22"/>
          <w:lang w:eastAsia="es-MX"/>
        </w:rPr>
        <w:t>/INFOEM/IP/RR/2024</w:t>
      </w:r>
      <w:r w:rsidRPr="009C68B8">
        <w:rPr>
          <w:rFonts w:ascii="Palatino Linotype" w:eastAsia="Times New Roman" w:hAnsi="Palatino Linotype" w:cs="Arial"/>
          <w:bCs/>
          <w:color w:val="000000" w:themeColor="text1"/>
          <w:sz w:val="22"/>
          <w:szCs w:val="22"/>
        </w:rPr>
        <w:t xml:space="preserve">, </w:t>
      </w:r>
      <w:r w:rsidRPr="009C68B8">
        <w:rPr>
          <w:rFonts w:ascii="Palatino Linotype" w:eastAsia="Times New Roman" w:hAnsi="Palatino Linotype" w:cs="Times New Roman"/>
          <w:color w:val="000000" w:themeColor="text1"/>
          <w:sz w:val="22"/>
          <w:szCs w:val="22"/>
        </w:rPr>
        <w:t>promovido por</w:t>
      </w:r>
      <w:r w:rsidRPr="009C68B8">
        <w:rPr>
          <w:rFonts w:ascii="Palatino Linotype" w:hAnsi="Palatino Linotype"/>
          <w:sz w:val="22"/>
          <w:szCs w:val="22"/>
        </w:rPr>
        <w:t xml:space="preserve"> </w:t>
      </w:r>
      <w:r w:rsidR="00D8218A">
        <w:rPr>
          <w:rFonts w:ascii="Palatino Linotype" w:hAnsi="Palatino Linotype"/>
          <w:b/>
          <w:sz w:val="22"/>
          <w:szCs w:val="22"/>
        </w:rPr>
        <w:t>XXXXXXXX</w:t>
      </w:r>
      <w:r w:rsidRPr="009C68B8">
        <w:rPr>
          <w:rFonts w:ascii="Palatino Linotype" w:eastAsia="Times New Roman" w:hAnsi="Palatino Linotype" w:cs="Arial"/>
          <w:color w:val="000000" w:themeColor="text1"/>
          <w:sz w:val="22"/>
          <w:szCs w:val="22"/>
        </w:rPr>
        <w:t xml:space="preserve">, en contra de la respuesta del </w:t>
      </w:r>
      <w:r w:rsidR="00965917" w:rsidRPr="009C68B8">
        <w:rPr>
          <w:rFonts w:ascii="Palatino Linotype" w:eastAsia="Times New Roman" w:hAnsi="Palatino Linotype" w:cs="Arial"/>
          <w:b/>
          <w:bCs/>
          <w:color w:val="000000" w:themeColor="text1"/>
          <w:sz w:val="22"/>
          <w:szCs w:val="22"/>
        </w:rPr>
        <w:t>Ayuntamiento de Tultitlán</w:t>
      </w:r>
      <w:r w:rsidRPr="009C68B8">
        <w:rPr>
          <w:rFonts w:ascii="Palatino Linotype" w:eastAsia="Calibri" w:hAnsi="Palatino Linotype" w:cs="Arial"/>
          <w:b/>
          <w:bCs/>
          <w:color w:val="000000" w:themeColor="text1"/>
          <w:sz w:val="22"/>
          <w:szCs w:val="22"/>
          <w:lang w:val="es-ES"/>
        </w:rPr>
        <w:t>,</w:t>
      </w:r>
      <w:r w:rsidRPr="009C68B8">
        <w:rPr>
          <w:rFonts w:ascii="Palatino Linotype" w:eastAsia="Calibri" w:hAnsi="Palatino Linotype" w:cs="Arial"/>
          <w:color w:val="000000" w:themeColor="text1"/>
          <w:sz w:val="22"/>
          <w:szCs w:val="22"/>
          <w:lang w:val="es-ES"/>
        </w:rPr>
        <w:t xml:space="preserve"> </w:t>
      </w:r>
      <w:r w:rsidRPr="009C68B8">
        <w:rPr>
          <w:rFonts w:ascii="Palatino Linotype" w:eastAsia="Times New Roman" w:hAnsi="Palatino Linotype" w:cs="Times New Roman"/>
          <w:color w:val="000000" w:themeColor="text1"/>
          <w:sz w:val="22"/>
          <w:szCs w:val="22"/>
        </w:rPr>
        <w:t>en lo sucesivo el</w:t>
      </w:r>
      <w:r w:rsidRPr="009C68B8">
        <w:rPr>
          <w:rFonts w:ascii="Palatino Linotype" w:eastAsia="Times New Roman" w:hAnsi="Palatino Linotype" w:cs="Times New Roman"/>
          <w:b/>
          <w:color w:val="000000" w:themeColor="text1"/>
          <w:sz w:val="22"/>
          <w:szCs w:val="22"/>
        </w:rPr>
        <w:t xml:space="preserve"> SUJETO OBLIGADO, </w:t>
      </w:r>
      <w:r w:rsidRPr="009C68B8">
        <w:rPr>
          <w:rFonts w:ascii="Palatino Linotype" w:eastAsia="Times New Roman" w:hAnsi="Palatino Linotype" w:cs="Times New Roman"/>
          <w:color w:val="000000" w:themeColor="text1"/>
          <w:sz w:val="22"/>
          <w:szCs w:val="22"/>
        </w:rPr>
        <w:t>se procede a dictar la presente resolución, con base en los siguientes:</w:t>
      </w:r>
    </w:p>
    <w:p w:rsidR="00874F8E" w:rsidRPr="009C68B8" w:rsidRDefault="00874F8E" w:rsidP="00874F8E">
      <w:pPr>
        <w:tabs>
          <w:tab w:val="left" w:pos="0"/>
        </w:tabs>
        <w:spacing w:line="360" w:lineRule="auto"/>
        <w:jc w:val="both"/>
        <w:rPr>
          <w:rFonts w:ascii="Palatino Linotype" w:hAnsi="Palatino Linotype"/>
          <w:sz w:val="22"/>
          <w:szCs w:val="22"/>
        </w:rPr>
      </w:pPr>
    </w:p>
    <w:p w:rsidR="00874F8E" w:rsidRPr="009C68B8" w:rsidRDefault="00874F8E" w:rsidP="00874F8E">
      <w:pPr>
        <w:pStyle w:val="Ttulo2"/>
        <w:jc w:val="center"/>
        <w:rPr>
          <w:rFonts w:ascii="Palatino Linotype" w:hAnsi="Palatino Linotype"/>
          <w:b/>
          <w:color w:val="000000" w:themeColor="text1"/>
          <w:sz w:val="22"/>
          <w:szCs w:val="22"/>
        </w:rPr>
      </w:pPr>
      <w:bookmarkStart w:id="0" w:name="_Toc461555884"/>
      <w:bookmarkStart w:id="1" w:name="_Toc466371847"/>
      <w:bookmarkStart w:id="2" w:name="_Toc2248730"/>
      <w:bookmarkStart w:id="3" w:name="_Toc88748489"/>
      <w:r w:rsidRPr="009C68B8">
        <w:rPr>
          <w:rFonts w:ascii="Palatino Linotype" w:hAnsi="Palatino Linotype"/>
          <w:b/>
          <w:color w:val="000000" w:themeColor="text1"/>
          <w:sz w:val="22"/>
          <w:szCs w:val="22"/>
        </w:rPr>
        <w:t>ANTECEDENTES</w:t>
      </w:r>
      <w:bookmarkEnd w:id="0"/>
      <w:bookmarkEnd w:id="1"/>
      <w:bookmarkEnd w:id="2"/>
      <w:bookmarkEnd w:id="3"/>
    </w:p>
    <w:p w:rsidR="00874F8E" w:rsidRPr="009C68B8" w:rsidRDefault="00874F8E" w:rsidP="00874F8E">
      <w:pPr>
        <w:rPr>
          <w:rFonts w:ascii="Palatino Linotype" w:hAnsi="Palatino Linotype"/>
          <w:sz w:val="22"/>
          <w:szCs w:val="22"/>
          <w:lang w:eastAsia="en-US"/>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 xml:space="preserve">El </w:t>
      </w:r>
      <w:r w:rsidR="00965917" w:rsidRPr="009C68B8">
        <w:rPr>
          <w:rFonts w:ascii="Palatino Linotype" w:eastAsia="Calibri" w:hAnsi="Palatino Linotype" w:cs="Arial"/>
          <w:color w:val="000000" w:themeColor="text1"/>
          <w:sz w:val="22"/>
          <w:szCs w:val="22"/>
          <w:lang w:val="es-ES"/>
        </w:rPr>
        <w:t>seis de noviembre</w:t>
      </w:r>
      <w:r w:rsidRPr="009C68B8">
        <w:rPr>
          <w:rFonts w:ascii="Palatino Linotype" w:eastAsia="Calibri" w:hAnsi="Palatino Linotype" w:cs="Arial"/>
          <w:color w:val="000000" w:themeColor="text1"/>
          <w:sz w:val="22"/>
          <w:szCs w:val="22"/>
          <w:lang w:val="es-ES"/>
        </w:rPr>
        <w:t xml:space="preserve"> de dos mil veinticuatro,</w:t>
      </w:r>
      <w:r w:rsidRPr="009C68B8">
        <w:rPr>
          <w:rFonts w:ascii="Palatino Linotype" w:eastAsia="Calibri" w:hAnsi="Palatino Linotype" w:cs="Times New Roman"/>
          <w:color w:val="000000" w:themeColor="text1"/>
          <w:sz w:val="22"/>
          <w:szCs w:val="22"/>
          <w:lang w:val="es-ES"/>
        </w:rPr>
        <w:t xml:space="preserve"> </w:t>
      </w:r>
      <w:r w:rsidRPr="009C68B8">
        <w:rPr>
          <w:rFonts w:ascii="Palatino Linotype" w:eastAsia="Calibri" w:hAnsi="Palatino Linotype" w:cs="Arial"/>
          <w:color w:val="000000" w:themeColor="text1"/>
          <w:sz w:val="22"/>
          <w:szCs w:val="22"/>
          <w:lang w:val="es-ES"/>
        </w:rPr>
        <w:t>se</w:t>
      </w:r>
      <w:r w:rsidRPr="009C68B8">
        <w:rPr>
          <w:rFonts w:ascii="Palatino Linotype" w:eastAsia="Calibri" w:hAnsi="Palatino Linotype" w:cs="Arial"/>
          <w:b/>
          <w:color w:val="000000" w:themeColor="text1"/>
          <w:sz w:val="22"/>
          <w:szCs w:val="22"/>
          <w:lang w:val="es-ES"/>
        </w:rPr>
        <w:t xml:space="preserve"> </w:t>
      </w:r>
      <w:r w:rsidRPr="009C68B8">
        <w:rPr>
          <w:rFonts w:ascii="Palatino Linotype" w:hAnsi="Palatino Linotype"/>
          <w:color w:val="000000" w:themeColor="text1"/>
          <w:sz w:val="22"/>
          <w:szCs w:val="22"/>
        </w:rPr>
        <w:t>presentaron</w:t>
      </w:r>
      <w:r w:rsidRPr="009C68B8">
        <w:rPr>
          <w:rFonts w:ascii="Palatino Linotype" w:hAnsi="Palatino Linotype"/>
          <w:b/>
          <w:color w:val="000000" w:themeColor="text1"/>
          <w:sz w:val="22"/>
          <w:szCs w:val="22"/>
        </w:rPr>
        <w:t xml:space="preserve"> </w:t>
      </w:r>
      <w:r w:rsidRPr="009C68B8">
        <w:rPr>
          <w:rFonts w:ascii="Palatino Linotype" w:eastAsia="Calibri" w:hAnsi="Palatino Linotype" w:cs="Arial"/>
          <w:color w:val="000000" w:themeColor="text1"/>
          <w:sz w:val="22"/>
          <w:szCs w:val="22"/>
        </w:rPr>
        <w:t xml:space="preserve">vía Sistema de Acceso a la Información Mexiquense </w:t>
      </w:r>
      <w:r w:rsidRPr="009C68B8">
        <w:rPr>
          <w:rFonts w:ascii="Palatino Linotype" w:eastAsia="Calibri" w:hAnsi="Palatino Linotype" w:cs="Arial"/>
          <w:b/>
          <w:color w:val="000000" w:themeColor="text1"/>
          <w:sz w:val="22"/>
          <w:szCs w:val="22"/>
        </w:rPr>
        <w:t>(SAIMEX)</w:t>
      </w:r>
      <w:r w:rsidRPr="009C68B8">
        <w:rPr>
          <w:rFonts w:ascii="Palatino Linotype" w:eastAsia="Calibri" w:hAnsi="Palatino Linotype" w:cs="Arial"/>
          <w:b/>
          <w:color w:val="000000" w:themeColor="text1"/>
          <w:sz w:val="22"/>
          <w:szCs w:val="22"/>
          <w:lang w:val="es-ES"/>
        </w:rPr>
        <w:t>,</w:t>
      </w:r>
      <w:r w:rsidRPr="009C68B8">
        <w:rPr>
          <w:rFonts w:ascii="Palatino Linotype" w:eastAsia="Calibri" w:hAnsi="Palatino Linotype" w:cs="Arial"/>
          <w:color w:val="000000" w:themeColor="text1"/>
          <w:sz w:val="22"/>
          <w:szCs w:val="22"/>
          <w:lang w:val="es-ES"/>
        </w:rPr>
        <w:t xml:space="preserve"> la solicitud de información pública registrada con el número </w:t>
      </w:r>
      <w:r w:rsidRPr="009C68B8">
        <w:rPr>
          <w:rFonts w:ascii="Palatino Linotype" w:hAnsi="Palatino Linotype"/>
          <w:b/>
          <w:sz w:val="22"/>
          <w:szCs w:val="22"/>
        </w:rPr>
        <w:t>0</w:t>
      </w:r>
      <w:r w:rsidR="00965917" w:rsidRPr="009C68B8">
        <w:rPr>
          <w:rFonts w:ascii="Palatino Linotype" w:hAnsi="Palatino Linotype"/>
          <w:b/>
          <w:sz w:val="22"/>
          <w:szCs w:val="22"/>
        </w:rPr>
        <w:t>0401</w:t>
      </w:r>
      <w:r w:rsidRPr="009C68B8">
        <w:rPr>
          <w:rFonts w:ascii="Palatino Linotype" w:hAnsi="Palatino Linotype"/>
          <w:b/>
          <w:sz w:val="22"/>
          <w:szCs w:val="22"/>
        </w:rPr>
        <w:t>/</w:t>
      </w:r>
      <w:r w:rsidR="00965917" w:rsidRPr="009C68B8">
        <w:rPr>
          <w:rFonts w:ascii="Palatino Linotype" w:hAnsi="Palatino Linotype"/>
          <w:b/>
          <w:sz w:val="22"/>
          <w:szCs w:val="22"/>
        </w:rPr>
        <w:t>TULTITLA</w:t>
      </w:r>
      <w:r w:rsidRPr="009C68B8">
        <w:rPr>
          <w:rFonts w:ascii="Palatino Linotype" w:hAnsi="Palatino Linotype"/>
          <w:b/>
          <w:sz w:val="22"/>
          <w:szCs w:val="22"/>
        </w:rPr>
        <w:t>/IP/2024</w:t>
      </w:r>
      <w:r w:rsidRPr="009C68B8">
        <w:rPr>
          <w:rFonts w:ascii="Palatino Linotype" w:hAnsi="Palatino Linotype"/>
          <w:b/>
          <w:bCs/>
          <w:color w:val="000000" w:themeColor="text1"/>
          <w:sz w:val="22"/>
          <w:szCs w:val="22"/>
        </w:rPr>
        <w:t>,</w:t>
      </w:r>
      <w:r w:rsidRPr="009C68B8">
        <w:rPr>
          <w:rFonts w:ascii="Palatino Linotype" w:eastAsia="Calibri" w:hAnsi="Palatino Linotype" w:cs="Arial"/>
          <w:color w:val="000000" w:themeColor="text1"/>
          <w:sz w:val="22"/>
          <w:szCs w:val="22"/>
          <w:lang w:val="es-ES"/>
        </w:rPr>
        <w:t xml:space="preserve"> mediante la cual se requirió lo siguiente:</w:t>
      </w:r>
    </w:p>
    <w:p w:rsidR="00874F8E" w:rsidRPr="009C68B8" w:rsidRDefault="00874F8E" w:rsidP="00874F8E">
      <w:pPr>
        <w:ind w:left="567" w:right="565"/>
        <w:jc w:val="both"/>
        <w:rPr>
          <w:rFonts w:ascii="Palatino Linotype" w:hAnsi="Palatino Linotype"/>
          <w:i/>
          <w:iCs/>
          <w:color w:val="000000"/>
          <w:sz w:val="22"/>
          <w:szCs w:val="22"/>
          <w:lang w:val="es-ES"/>
        </w:rPr>
      </w:pPr>
    </w:p>
    <w:p w:rsidR="00874F8E" w:rsidRPr="009C68B8" w:rsidRDefault="00874F8E" w:rsidP="00874F8E">
      <w:pPr>
        <w:ind w:left="567" w:right="565"/>
        <w:jc w:val="both"/>
        <w:rPr>
          <w:rFonts w:ascii="Palatino Linotype" w:hAnsi="Palatino Linotype"/>
          <w:i/>
          <w:iCs/>
          <w:sz w:val="22"/>
          <w:szCs w:val="22"/>
        </w:rPr>
      </w:pPr>
      <w:r w:rsidRPr="009C68B8">
        <w:rPr>
          <w:rFonts w:ascii="Palatino Linotype" w:hAnsi="Palatino Linotype"/>
          <w:i/>
          <w:iCs/>
          <w:color w:val="000000"/>
          <w:sz w:val="22"/>
          <w:szCs w:val="22"/>
        </w:rPr>
        <w:t>“</w:t>
      </w:r>
      <w:r w:rsidR="00965917" w:rsidRPr="009C68B8">
        <w:rPr>
          <w:rFonts w:ascii="Palatino Linotype" w:hAnsi="Palatino Linotype"/>
          <w:i/>
          <w:color w:val="000000"/>
          <w:sz w:val="22"/>
          <w:szCs w:val="22"/>
        </w:rPr>
        <w:t xml:space="preserve">En apego a los artículos 4 de la Ley de Transparencia y Acceso a la Información Pública del Estado de México y Municipios el cual establece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 y 19, el cual indica: “Se presume que la información debe existir si se refiere a las facultades, competencias y funciones que los ordenamientos jurídicos aplicables otorgan a los sujetos obligados”. Se expide la siguiente solicitud de información: De la respuesta otorgada a la solicitud de información 00276/TULTITLA/IP/2024 de la cual se emitió el oficio No. DECAEYVU/215/2024 de fecha 09 de agosto del 2024, signado </w:t>
      </w:r>
      <w:r w:rsidR="00965917" w:rsidRPr="009C68B8">
        <w:rPr>
          <w:rFonts w:ascii="Palatino Linotype" w:hAnsi="Palatino Linotype"/>
          <w:i/>
          <w:color w:val="000000"/>
          <w:sz w:val="22"/>
          <w:szCs w:val="22"/>
        </w:rPr>
        <w:lastRenderedPageBreak/>
        <w:t xml:space="preserve">por el Lcdo. Héctor Rodríguez Vega, Jefe del Departamento del Centro de Atención Empresarial y Ventanilla Única (se anexa para pronta referencia), se informó que “Por lo que hace a la solicitud del sistema SAIMEX 00276/TULTITLA/IP/2024, informó que después de una búsqueda en los archivos y medios digitales que obran en esta oficina a mi cargo, se encontró registro de una Licencia de Funcionamiento para una unidad económica con el giro de encierro de Transporte y Mantenimiento, en el domicilio ubicado en Avenida del Rio sin número, esquina Manuel Acuña, Barrio de Belem, Municipio de Tultitlan, Estado de México” sic. </w:t>
      </w:r>
      <w:r w:rsidR="00965917" w:rsidRPr="009C68B8">
        <w:rPr>
          <w:rFonts w:ascii="Palatino Linotype" w:hAnsi="Palatino Linotype"/>
          <w:b/>
          <w:i/>
          <w:color w:val="000000"/>
          <w:sz w:val="22"/>
          <w:szCs w:val="22"/>
        </w:rPr>
        <w:t xml:space="preserve">Al respecto, solicito de la manera más atenta copia en versión pública, en </w:t>
      </w:r>
      <w:bookmarkStart w:id="4" w:name="_GoBack"/>
      <w:r w:rsidR="00965917" w:rsidRPr="009C68B8">
        <w:rPr>
          <w:rFonts w:ascii="Palatino Linotype" w:hAnsi="Palatino Linotype"/>
          <w:b/>
          <w:i/>
          <w:color w:val="000000"/>
          <w:sz w:val="22"/>
          <w:szCs w:val="22"/>
        </w:rPr>
        <w:t xml:space="preserve">medio digital y a través de la plataforma de la “Licencia de Funcionamiento para una unidad económica con el giro de encierro de Transporte y Mantenimiento, en el domicilio ubicado en Avenida del Rio sin número, esquina Manuel Acuña, Barrio de Belem, Municipio de Tultitlan, Estado de México” Así mismo solicito las documentales que avalen el cumplimiento a lo establecido a la Norma Técnica de Protección Civil NTE-001-CGPC-2016, en cuanto a la elaboración de su programa específico, con el cual se hizo acreedor al permiso en materia de protección civil, tomando en cuenta que todo </w:t>
      </w:r>
      <w:proofErr w:type="spellStart"/>
      <w:r w:rsidR="00965917" w:rsidRPr="009C68B8">
        <w:rPr>
          <w:rFonts w:ascii="Palatino Linotype" w:hAnsi="Palatino Linotype"/>
          <w:b/>
          <w:i/>
          <w:color w:val="000000"/>
          <w:sz w:val="22"/>
          <w:szCs w:val="22"/>
        </w:rPr>
        <w:t>guro</w:t>
      </w:r>
      <w:proofErr w:type="spellEnd"/>
      <w:r w:rsidR="00965917" w:rsidRPr="009C68B8">
        <w:rPr>
          <w:rFonts w:ascii="Palatino Linotype" w:hAnsi="Palatino Linotype"/>
          <w:b/>
          <w:i/>
          <w:color w:val="000000"/>
          <w:sz w:val="22"/>
          <w:szCs w:val="22"/>
        </w:rPr>
        <w:t xml:space="preserve"> relacionado al transporte en general que sea acreedor a un permiso materia de Protección Civil deberá de contar con el programa citado. Tal como se manifestó en el oficio CMPCYB/981/2024, signado por el Ing. Francisco Javier Sánchez Servín, Coordinador Municipal de Protección Civil. Obtenido a través de una solicitud de información diversa.</w:t>
      </w:r>
      <w:r w:rsidR="00965917" w:rsidRPr="009C68B8">
        <w:rPr>
          <w:rFonts w:ascii="Palatino Linotype" w:hAnsi="Palatino Linotype"/>
          <w:i/>
          <w:color w:val="000000"/>
          <w:sz w:val="22"/>
          <w:szCs w:val="22"/>
        </w:rPr>
        <w:t xml:space="preserve"> (</w:t>
      </w:r>
      <w:proofErr w:type="gramStart"/>
      <w:r w:rsidR="00965917" w:rsidRPr="009C68B8">
        <w:rPr>
          <w:rFonts w:ascii="Palatino Linotype" w:hAnsi="Palatino Linotype"/>
          <w:i/>
          <w:color w:val="000000"/>
          <w:sz w:val="22"/>
          <w:szCs w:val="22"/>
        </w:rPr>
        <w:t>se</w:t>
      </w:r>
      <w:proofErr w:type="gramEnd"/>
      <w:r w:rsidR="00965917" w:rsidRPr="009C68B8">
        <w:rPr>
          <w:rFonts w:ascii="Palatino Linotype" w:hAnsi="Palatino Linotype"/>
          <w:i/>
          <w:color w:val="000000"/>
          <w:sz w:val="22"/>
          <w:szCs w:val="22"/>
        </w:rPr>
        <w:t xml:space="preserve"> anexa oficio) G</w:t>
      </w:r>
      <w:bookmarkEnd w:id="4"/>
      <w:r w:rsidR="00965917" w:rsidRPr="009C68B8">
        <w:rPr>
          <w:rFonts w:ascii="Palatino Linotype" w:hAnsi="Palatino Linotype"/>
          <w:i/>
          <w:color w:val="000000"/>
          <w:sz w:val="22"/>
          <w:szCs w:val="22"/>
        </w:rPr>
        <w:t>racias</w:t>
      </w:r>
      <w:r w:rsidRPr="009C68B8">
        <w:rPr>
          <w:rFonts w:ascii="Palatino Linotype" w:hAnsi="Palatino Linotype"/>
          <w:i/>
          <w:iCs/>
          <w:sz w:val="22"/>
          <w:szCs w:val="22"/>
        </w:rPr>
        <w:t>” (Sic)</w:t>
      </w:r>
    </w:p>
    <w:p w:rsidR="00874F8E" w:rsidRPr="009C68B8" w:rsidRDefault="00874F8E" w:rsidP="00874F8E">
      <w:pPr>
        <w:tabs>
          <w:tab w:val="left" w:pos="426"/>
          <w:tab w:val="left" w:pos="567"/>
        </w:tabs>
        <w:jc w:val="both"/>
        <w:rPr>
          <w:rFonts w:ascii="Palatino Linotype" w:hAnsi="Palatino Linotype"/>
          <w:b/>
          <w:color w:val="000000" w:themeColor="text1"/>
          <w:sz w:val="22"/>
          <w:szCs w:val="22"/>
        </w:rPr>
      </w:pPr>
    </w:p>
    <w:p w:rsidR="00965917" w:rsidRPr="009C68B8" w:rsidRDefault="00965917" w:rsidP="00965917">
      <w:pPr>
        <w:tabs>
          <w:tab w:val="left" w:pos="426"/>
          <w:tab w:val="left" w:pos="567"/>
        </w:tabs>
        <w:jc w:val="both"/>
        <w:rPr>
          <w:rFonts w:ascii="Palatino Linotype" w:hAnsi="Palatino Linotype"/>
          <w:color w:val="000000" w:themeColor="text1"/>
          <w:sz w:val="22"/>
          <w:szCs w:val="22"/>
        </w:rPr>
      </w:pPr>
      <w:r w:rsidRPr="009C68B8">
        <w:rPr>
          <w:rFonts w:ascii="Palatino Linotype" w:hAnsi="Palatino Linotype"/>
          <w:color w:val="000000" w:themeColor="text1"/>
          <w:sz w:val="22"/>
          <w:szCs w:val="22"/>
        </w:rPr>
        <w:t>Se adjuntaron lo siguientes archivos electrónicos:</w:t>
      </w:r>
    </w:p>
    <w:p w:rsidR="00965917" w:rsidRPr="009C68B8" w:rsidRDefault="00965917" w:rsidP="00965917">
      <w:pPr>
        <w:tabs>
          <w:tab w:val="left" w:pos="426"/>
          <w:tab w:val="left" w:pos="567"/>
        </w:tabs>
        <w:jc w:val="both"/>
        <w:rPr>
          <w:rFonts w:ascii="Palatino Linotype" w:hAnsi="Palatino Linotype"/>
          <w:b/>
          <w:color w:val="000000" w:themeColor="text1"/>
          <w:sz w:val="22"/>
          <w:szCs w:val="22"/>
        </w:rPr>
      </w:pPr>
    </w:p>
    <w:p w:rsidR="00552072" w:rsidRPr="009C68B8" w:rsidRDefault="0048643A" w:rsidP="00A40DAF">
      <w:pPr>
        <w:tabs>
          <w:tab w:val="left" w:pos="426"/>
          <w:tab w:val="left" w:pos="567"/>
        </w:tabs>
        <w:ind w:left="567" w:right="565"/>
        <w:jc w:val="both"/>
        <w:rPr>
          <w:rFonts w:ascii="Palatino Linotype" w:hAnsi="Palatino Linotype" w:cs="Arial"/>
          <w:sz w:val="22"/>
          <w:szCs w:val="22"/>
        </w:rPr>
      </w:pPr>
      <w:hyperlink r:id="rId7" w:tgtFrame="_blank" w:history="1">
        <w:r w:rsidR="00965917" w:rsidRPr="009C68B8">
          <w:rPr>
            <w:rStyle w:val="Hipervnculo"/>
            <w:rFonts w:ascii="Palatino Linotype" w:eastAsiaTheme="majorEastAsia" w:hAnsi="Palatino Linotype" w:cs="Arial"/>
            <w:b/>
            <w:bCs/>
            <w:color w:val="auto"/>
            <w:sz w:val="22"/>
            <w:szCs w:val="22"/>
            <w:u w:val="none"/>
          </w:rPr>
          <w:t>S301 GOB (1).</w:t>
        </w:r>
        <w:proofErr w:type="spellStart"/>
        <w:r w:rsidR="00965917" w:rsidRPr="009C68B8">
          <w:rPr>
            <w:rStyle w:val="Hipervnculo"/>
            <w:rFonts w:ascii="Palatino Linotype" w:eastAsiaTheme="majorEastAsia" w:hAnsi="Palatino Linotype" w:cs="Arial"/>
            <w:b/>
            <w:bCs/>
            <w:color w:val="auto"/>
            <w:sz w:val="22"/>
            <w:szCs w:val="22"/>
            <w:u w:val="none"/>
          </w:rPr>
          <w:t>pdf</w:t>
        </w:r>
        <w:proofErr w:type="spellEnd"/>
      </w:hyperlink>
      <w:r w:rsidR="00965917" w:rsidRPr="009C68B8">
        <w:rPr>
          <w:rFonts w:ascii="Palatino Linotype" w:hAnsi="Palatino Linotype" w:cs="Arial"/>
          <w:sz w:val="22"/>
          <w:szCs w:val="22"/>
        </w:rPr>
        <w:t>:</w:t>
      </w:r>
      <w:r w:rsidR="00552072" w:rsidRPr="009C68B8">
        <w:rPr>
          <w:rFonts w:ascii="Palatino Linotype" w:hAnsi="Palatino Linotype" w:cs="Arial"/>
          <w:sz w:val="22"/>
          <w:szCs w:val="22"/>
        </w:rPr>
        <w:t xml:space="preserve"> Oficio suscrito por el Coordinador de Protección Civil y Bomberos, dirigido al Jefe de la Unidad Municipal de Acceso a la Información Pública y la Protección de Datos Personales, por medio del cual, manifestó lo siguiente: </w:t>
      </w:r>
    </w:p>
    <w:p w:rsidR="00552072" w:rsidRPr="009C68B8" w:rsidRDefault="00552072" w:rsidP="00A40DAF">
      <w:pPr>
        <w:tabs>
          <w:tab w:val="left" w:pos="426"/>
          <w:tab w:val="left" w:pos="567"/>
        </w:tabs>
        <w:ind w:left="567" w:right="565"/>
        <w:jc w:val="both"/>
        <w:rPr>
          <w:rFonts w:ascii="Palatino Linotype" w:hAnsi="Palatino Linotype" w:cs="Arial"/>
          <w:sz w:val="22"/>
          <w:szCs w:val="22"/>
        </w:rPr>
      </w:pPr>
    </w:p>
    <w:p w:rsidR="00552072" w:rsidRPr="009C68B8" w:rsidRDefault="00552072" w:rsidP="00A40DAF">
      <w:pPr>
        <w:tabs>
          <w:tab w:val="left" w:pos="426"/>
          <w:tab w:val="left" w:pos="567"/>
        </w:tabs>
        <w:ind w:left="567" w:right="565"/>
        <w:jc w:val="both"/>
        <w:rPr>
          <w:rFonts w:ascii="Palatino Linotype" w:hAnsi="Palatino Linotype" w:cs="Arial"/>
          <w:i/>
          <w:color w:val="222222"/>
          <w:sz w:val="22"/>
          <w:szCs w:val="22"/>
          <w:shd w:val="clear" w:color="auto" w:fill="FFFFFF"/>
        </w:rPr>
      </w:pPr>
      <w:r w:rsidRPr="009C68B8">
        <w:rPr>
          <w:rFonts w:ascii="Palatino Linotype" w:hAnsi="Palatino Linotype" w:cs="Arial"/>
          <w:i/>
          <w:sz w:val="22"/>
          <w:szCs w:val="22"/>
        </w:rPr>
        <w:t>“</w:t>
      </w:r>
      <w:r w:rsidRPr="009C68B8">
        <w:rPr>
          <w:rFonts w:ascii="Palatino Linotype" w:hAnsi="Palatino Linotype" w:cs="Arial"/>
          <w:i/>
          <w:color w:val="222222"/>
          <w:sz w:val="22"/>
          <w:szCs w:val="22"/>
          <w:shd w:val="clear" w:color="auto" w:fill="FFFFFF"/>
        </w:rPr>
        <w:t xml:space="preserve">Por medio del presente reciba un cordial saludo, al mismo tiempo en atención al NO. DE OFICIO: UTT/00241/2024, turnado por la Dirección de Gobierno y Protección Civil, a esta Coordinación, con el que envía y solicita (...atención sobre información que puede estar en posesión de la dependencia a su digno cargo, solicitándole amablemente pueda darse seguimiento para dar respuesta al folio </w:t>
      </w:r>
      <w:proofErr w:type="spellStart"/>
      <w:r w:rsidRPr="009C68B8">
        <w:rPr>
          <w:rFonts w:ascii="Palatino Linotype" w:hAnsi="Palatino Linotype" w:cs="Arial"/>
          <w:i/>
          <w:color w:val="222222"/>
          <w:sz w:val="22"/>
          <w:szCs w:val="22"/>
          <w:shd w:val="clear" w:color="auto" w:fill="FFFFFF"/>
        </w:rPr>
        <w:t>Saimex</w:t>
      </w:r>
      <w:proofErr w:type="spellEnd"/>
      <w:r w:rsidRPr="009C68B8">
        <w:rPr>
          <w:rFonts w:ascii="Palatino Linotype" w:hAnsi="Palatino Linotype" w:cs="Arial"/>
          <w:i/>
          <w:color w:val="222222"/>
          <w:sz w:val="22"/>
          <w:szCs w:val="22"/>
          <w:shd w:val="clear" w:color="auto" w:fill="FFFFFF"/>
        </w:rPr>
        <w:t xml:space="preserve"> 00301/TULTITLA/IP/2024...) sic.</w:t>
      </w:r>
    </w:p>
    <w:p w:rsidR="00552072" w:rsidRPr="009C68B8" w:rsidRDefault="00552072" w:rsidP="00A40DAF">
      <w:pPr>
        <w:tabs>
          <w:tab w:val="left" w:pos="426"/>
          <w:tab w:val="left" w:pos="567"/>
        </w:tabs>
        <w:ind w:left="567" w:right="565"/>
        <w:jc w:val="both"/>
        <w:rPr>
          <w:rFonts w:ascii="Palatino Linotype" w:hAnsi="Palatino Linotype" w:cs="Arial"/>
          <w:i/>
          <w:color w:val="222222"/>
          <w:sz w:val="22"/>
          <w:szCs w:val="22"/>
          <w:shd w:val="clear" w:color="auto" w:fill="FFFFFF"/>
        </w:rPr>
      </w:pPr>
    </w:p>
    <w:p w:rsidR="00552072" w:rsidRPr="009C68B8" w:rsidRDefault="00552072" w:rsidP="00A40DAF">
      <w:pPr>
        <w:tabs>
          <w:tab w:val="left" w:pos="426"/>
          <w:tab w:val="left" w:pos="567"/>
        </w:tabs>
        <w:ind w:left="567" w:right="565"/>
        <w:jc w:val="both"/>
        <w:rPr>
          <w:rFonts w:ascii="Palatino Linotype" w:hAnsi="Palatino Linotype" w:cs="Arial"/>
          <w:i/>
          <w:sz w:val="22"/>
          <w:szCs w:val="22"/>
        </w:rPr>
      </w:pPr>
      <w:r w:rsidRPr="009C68B8">
        <w:rPr>
          <w:rFonts w:ascii="Palatino Linotype" w:hAnsi="Palatino Linotype" w:cs="Arial"/>
          <w:i/>
          <w:sz w:val="22"/>
          <w:szCs w:val="22"/>
        </w:rPr>
        <w:t xml:space="preserve">Por lo antes descrito, tengo a bien informarle. </w:t>
      </w:r>
    </w:p>
    <w:p w:rsidR="00552072" w:rsidRPr="009C68B8" w:rsidRDefault="00552072" w:rsidP="00A40DAF">
      <w:pPr>
        <w:tabs>
          <w:tab w:val="left" w:pos="426"/>
          <w:tab w:val="left" w:pos="567"/>
        </w:tabs>
        <w:ind w:left="567" w:right="565"/>
        <w:jc w:val="both"/>
        <w:rPr>
          <w:rFonts w:ascii="Palatino Linotype" w:hAnsi="Palatino Linotype" w:cs="Arial"/>
          <w:i/>
          <w:sz w:val="22"/>
          <w:szCs w:val="22"/>
        </w:rPr>
      </w:pPr>
    </w:p>
    <w:p w:rsidR="00965917" w:rsidRPr="009C68B8" w:rsidRDefault="00552072" w:rsidP="00A40DAF">
      <w:pPr>
        <w:tabs>
          <w:tab w:val="left" w:pos="426"/>
          <w:tab w:val="left" w:pos="567"/>
        </w:tabs>
        <w:ind w:left="567" w:right="565"/>
        <w:jc w:val="both"/>
        <w:rPr>
          <w:rFonts w:ascii="Palatino Linotype" w:hAnsi="Palatino Linotype" w:cs="Arial"/>
          <w:i/>
          <w:sz w:val="22"/>
          <w:szCs w:val="22"/>
        </w:rPr>
      </w:pPr>
      <w:r w:rsidRPr="009C68B8">
        <w:rPr>
          <w:rFonts w:ascii="Palatino Linotype" w:hAnsi="Palatino Linotype" w:cs="Arial"/>
          <w:b/>
          <w:i/>
          <w:color w:val="222222"/>
          <w:sz w:val="22"/>
          <w:szCs w:val="22"/>
          <w:shd w:val="clear" w:color="auto" w:fill="FFFFFF"/>
        </w:rPr>
        <w:t xml:space="preserve">Todo giro relacionado al transporte en general, que sea acreedor a un permiso en materia de Protección Civil deberá contar con elaboración de su programa específico de conformidad con la Norma Técnica de Protección Civil NTE-001-CGPC-2016, que establece los lineamientos y las especificaciones para la elaboración de su programa específico de Protección Civil. </w:t>
      </w:r>
      <w:r w:rsidRPr="009C68B8">
        <w:rPr>
          <w:rFonts w:ascii="Palatino Linotype" w:hAnsi="Palatino Linotype" w:cs="Arial"/>
          <w:i/>
          <w:color w:val="222222"/>
          <w:sz w:val="22"/>
          <w:szCs w:val="22"/>
          <w:shd w:val="clear" w:color="auto" w:fill="FFFFFF"/>
        </w:rPr>
        <w:t xml:space="preserve">Escrito de petición fundamentado en el </w:t>
      </w:r>
      <w:r w:rsidR="00187275" w:rsidRPr="009C68B8">
        <w:rPr>
          <w:rFonts w:ascii="Palatino Linotype" w:hAnsi="Palatino Linotype" w:cs="Arial"/>
          <w:i/>
          <w:color w:val="222222"/>
          <w:sz w:val="22"/>
          <w:szCs w:val="22"/>
          <w:shd w:val="clear" w:color="auto" w:fill="FFFFFF"/>
        </w:rPr>
        <w:t>Artículo</w:t>
      </w:r>
      <w:r w:rsidRPr="009C68B8">
        <w:rPr>
          <w:rFonts w:ascii="Palatino Linotype" w:hAnsi="Palatino Linotype" w:cs="Arial"/>
          <w:i/>
          <w:color w:val="222222"/>
          <w:sz w:val="22"/>
          <w:szCs w:val="22"/>
          <w:shd w:val="clear" w:color="auto" w:fill="FFFFFF"/>
        </w:rPr>
        <w:t xml:space="preserve"> 8 de la Constitución Política de los Estados Unidos Mexicanos, ante la dependencia de Desarrollo Urbano y Medio Ambiente.” (Sic)</w:t>
      </w:r>
    </w:p>
    <w:p w:rsidR="00552072" w:rsidRPr="009C68B8" w:rsidRDefault="00552072" w:rsidP="00A40DAF">
      <w:pPr>
        <w:tabs>
          <w:tab w:val="left" w:pos="426"/>
          <w:tab w:val="left" w:pos="567"/>
        </w:tabs>
        <w:ind w:right="565"/>
        <w:jc w:val="both"/>
        <w:rPr>
          <w:rFonts w:ascii="Palatino Linotype" w:hAnsi="Palatino Linotype"/>
          <w:b/>
          <w:color w:val="000000" w:themeColor="text1"/>
          <w:sz w:val="22"/>
          <w:szCs w:val="22"/>
        </w:rPr>
      </w:pPr>
    </w:p>
    <w:p w:rsidR="00965917" w:rsidRPr="009C68B8" w:rsidRDefault="0048643A" w:rsidP="00A40DAF">
      <w:pPr>
        <w:tabs>
          <w:tab w:val="left" w:pos="426"/>
          <w:tab w:val="left" w:pos="567"/>
        </w:tabs>
        <w:ind w:left="567" w:right="565"/>
        <w:jc w:val="both"/>
        <w:rPr>
          <w:rFonts w:ascii="Palatino Linotype" w:hAnsi="Palatino Linotype" w:cs="Arial"/>
          <w:sz w:val="22"/>
          <w:szCs w:val="22"/>
        </w:rPr>
      </w:pPr>
      <w:hyperlink r:id="rId8" w:tgtFrame="_blank" w:history="1">
        <w:r w:rsidR="00965917" w:rsidRPr="009C68B8">
          <w:rPr>
            <w:rStyle w:val="Hipervnculo"/>
            <w:rFonts w:ascii="Palatino Linotype" w:eastAsiaTheme="majorEastAsia" w:hAnsi="Palatino Linotype" w:cs="Arial"/>
            <w:b/>
            <w:bCs/>
            <w:color w:val="auto"/>
            <w:sz w:val="22"/>
            <w:szCs w:val="22"/>
            <w:u w:val="none"/>
          </w:rPr>
          <w:t>S276 Y S 301 DE (2).</w:t>
        </w:r>
        <w:proofErr w:type="spellStart"/>
        <w:r w:rsidR="00965917" w:rsidRPr="009C68B8">
          <w:rPr>
            <w:rStyle w:val="Hipervnculo"/>
            <w:rFonts w:ascii="Palatino Linotype" w:eastAsiaTheme="majorEastAsia" w:hAnsi="Palatino Linotype" w:cs="Arial"/>
            <w:b/>
            <w:bCs/>
            <w:color w:val="auto"/>
            <w:sz w:val="22"/>
            <w:szCs w:val="22"/>
            <w:u w:val="none"/>
          </w:rPr>
          <w:t>pdf</w:t>
        </w:r>
        <w:proofErr w:type="spellEnd"/>
      </w:hyperlink>
      <w:r w:rsidR="00965917" w:rsidRPr="009C68B8">
        <w:rPr>
          <w:rFonts w:ascii="Palatino Linotype" w:hAnsi="Palatino Linotype" w:cs="Arial"/>
          <w:sz w:val="22"/>
          <w:szCs w:val="22"/>
        </w:rPr>
        <w:t>:</w:t>
      </w:r>
      <w:r w:rsidR="00A40DAF" w:rsidRPr="009C68B8">
        <w:rPr>
          <w:rFonts w:ascii="Palatino Linotype" w:hAnsi="Palatino Linotype" w:cs="Arial"/>
          <w:sz w:val="22"/>
          <w:szCs w:val="22"/>
        </w:rPr>
        <w:t xml:space="preserve"> Oficio suscrito por el Jefe de Departamento del Centro de Atención Empresarial y Ventanilla, Dirigido al Jefe de la Unidad Municipal de Acceso a la Información Pública y Protección de Datos Personales, por medio del cual, manifestó lo siguiente:</w:t>
      </w:r>
    </w:p>
    <w:p w:rsidR="00A40DAF" w:rsidRPr="009C68B8" w:rsidRDefault="00A40DAF" w:rsidP="00A40DAF">
      <w:pPr>
        <w:tabs>
          <w:tab w:val="left" w:pos="426"/>
          <w:tab w:val="left" w:pos="567"/>
        </w:tabs>
        <w:ind w:right="565"/>
        <w:jc w:val="both"/>
        <w:rPr>
          <w:rFonts w:ascii="Palatino Linotype" w:hAnsi="Palatino Linotype" w:cs="Arial"/>
          <w:sz w:val="22"/>
          <w:szCs w:val="22"/>
        </w:rPr>
      </w:pPr>
    </w:p>
    <w:p w:rsidR="00A40DAF" w:rsidRPr="009C68B8" w:rsidRDefault="00A40DAF" w:rsidP="00A40DAF">
      <w:pPr>
        <w:tabs>
          <w:tab w:val="left" w:pos="426"/>
          <w:tab w:val="left" w:pos="567"/>
        </w:tabs>
        <w:ind w:left="567" w:right="565"/>
        <w:jc w:val="both"/>
        <w:rPr>
          <w:rFonts w:ascii="Palatino Linotype" w:hAnsi="Palatino Linotype"/>
          <w:b/>
          <w:i/>
          <w:color w:val="000000" w:themeColor="text1"/>
          <w:sz w:val="22"/>
          <w:szCs w:val="22"/>
        </w:rPr>
      </w:pPr>
      <w:r w:rsidRPr="009C68B8">
        <w:rPr>
          <w:rFonts w:ascii="Palatino Linotype" w:hAnsi="Palatino Linotype" w:cs="Arial"/>
          <w:i/>
          <w:sz w:val="22"/>
          <w:szCs w:val="22"/>
        </w:rPr>
        <w:t>“</w:t>
      </w:r>
      <w:r w:rsidRPr="009C68B8">
        <w:rPr>
          <w:rFonts w:ascii="Palatino Linotype" w:hAnsi="Palatino Linotype" w:cs="Arial"/>
          <w:i/>
          <w:color w:val="222222"/>
          <w:sz w:val="22"/>
          <w:szCs w:val="22"/>
          <w:shd w:val="clear" w:color="auto" w:fill="FFFFFF"/>
        </w:rPr>
        <w:t xml:space="preserve">Por lo que hace a la solicitud del sistema SAIMEX 00276/TULTITLA/IP/2024, informo que después de una búsqueda en los archivos y medios digitales que obran en esta oficina a mi cargo, </w:t>
      </w:r>
      <w:r w:rsidRPr="009C68B8">
        <w:rPr>
          <w:rFonts w:ascii="Palatino Linotype" w:hAnsi="Palatino Linotype" w:cs="Arial"/>
          <w:b/>
          <w:i/>
          <w:color w:val="222222"/>
          <w:sz w:val="22"/>
          <w:szCs w:val="22"/>
          <w:shd w:val="clear" w:color="auto" w:fill="FFFFFF"/>
        </w:rPr>
        <w:t>se encontró registro de una Licencia de Funcionamiento para una unidad económica con el giro de Encierro de Transporte y Mantenimiento, en el domicilio ubicado en Avenida del Rio sin número, Esquina Manuel Acuña, Barrio de Belem, Municipio de Tultitlán, Estado de México.</w:t>
      </w:r>
      <w:r w:rsidRPr="009C68B8">
        <w:rPr>
          <w:rFonts w:ascii="Palatino Linotype" w:hAnsi="Palatino Linotype" w:cs="Arial"/>
          <w:i/>
          <w:color w:val="222222"/>
          <w:sz w:val="22"/>
          <w:szCs w:val="22"/>
          <w:shd w:val="clear" w:color="auto" w:fill="FFFFFF"/>
        </w:rPr>
        <w:t xml:space="preserve"> Por lo que hace a la solicitud del sistema SAIMEX 00301/TULTITLA/IP/2024, informo que después de una búsqueda en los archivos y medios digitales que obran en esta oficina a mi cargo no se encontró registro de una Licencia de Funcionamiento. Asimismo informo que la normatividad aplicable para realizar actividades comerciales en el Municipio de Tultitlán, Estado de México, son; Bando Municipal Vigente de Tultitlán, Estado de México; La Ley de Competitividad y Ordenamiento Comercial del Estado de México; Reglamento Orgánico de la Administración Pública del Municipio de Tultitlán, Estado de México; Código de Procedimientos Administrativos del Estado de México y las demás que sean aplicables. No omito informar que por lo dispuesto en los artículos 6°. Apartado A fracción </w:t>
      </w:r>
      <w:proofErr w:type="spellStart"/>
      <w:r w:rsidRPr="009C68B8">
        <w:rPr>
          <w:rFonts w:ascii="Palatino Linotype" w:hAnsi="Palatino Linotype" w:cs="Arial"/>
          <w:i/>
          <w:color w:val="222222"/>
          <w:sz w:val="22"/>
          <w:szCs w:val="22"/>
          <w:shd w:val="clear" w:color="auto" w:fill="FFFFFF"/>
        </w:rPr>
        <w:t>Il</w:t>
      </w:r>
      <w:proofErr w:type="spellEnd"/>
      <w:r w:rsidRPr="009C68B8">
        <w:rPr>
          <w:rFonts w:ascii="Palatino Linotype" w:hAnsi="Palatino Linotype" w:cs="Arial"/>
          <w:i/>
          <w:color w:val="222222"/>
          <w:sz w:val="22"/>
          <w:szCs w:val="22"/>
          <w:shd w:val="clear" w:color="auto" w:fill="FFFFFF"/>
        </w:rPr>
        <w:t xml:space="preserve">; 16 segundo párrafo de la Constitución Política de los Estados Unidos Mexicanos; 5 párrafo 23 de la Constitución Política del Estado Libre y Soberano de México; 3 fracción IV, 29 y 30 de la Ley de Protección de Datos Personales en Posesión de Sujetos Obligados del Estado de México y Municipios, </w:t>
      </w:r>
      <w:r w:rsidRPr="009C68B8">
        <w:rPr>
          <w:rFonts w:ascii="Palatino Linotype" w:hAnsi="Palatino Linotype" w:cs="Arial"/>
          <w:b/>
          <w:i/>
          <w:color w:val="222222"/>
          <w:sz w:val="22"/>
          <w:szCs w:val="22"/>
          <w:shd w:val="clear" w:color="auto" w:fill="FFFFFF"/>
        </w:rPr>
        <w:t xml:space="preserve">hago de su conocimiento que los datos </w:t>
      </w:r>
      <w:r w:rsidRPr="009C68B8">
        <w:rPr>
          <w:rFonts w:ascii="Palatino Linotype" w:hAnsi="Palatino Linotype" w:cs="Arial"/>
          <w:b/>
          <w:i/>
          <w:color w:val="222222"/>
          <w:sz w:val="22"/>
          <w:szCs w:val="22"/>
          <w:shd w:val="clear" w:color="auto" w:fill="FFFFFF"/>
        </w:rPr>
        <w:lastRenderedPageBreak/>
        <w:t>proporcionados se encuentran bajo resguardo de la Dirección de Desarrollo Económico para la realización de todo trámite administrativo relacionado con las licencias y permisos de funcionamiento y en su caso, con la incorporación de la unidad económica al Registro Municipal de Unidades Económicas de Tultitlán</w:t>
      </w:r>
      <w:r w:rsidRPr="009C68B8">
        <w:rPr>
          <w:rFonts w:ascii="Palatino Linotype" w:hAnsi="Palatino Linotype" w:cs="Arial"/>
          <w:i/>
          <w:color w:val="222222"/>
          <w:sz w:val="22"/>
          <w:szCs w:val="22"/>
          <w:shd w:val="clear" w:color="auto" w:fill="FFFFFF"/>
        </w:rPr>
        <w:t>.” (Sic)</w:t>
      </w:r>
    </w:p>
    <w:p w:rsidR="00965917" w:rsidRPr="009C68B8" w:rsidRDefault="00965917" w:rsidP="00874F8E">
      <w:pPr>
        <w:tabs>
          <w:tab w:val="left" w:pos="426"/>
          <w:tab w:val="left" w:pos="567"/>
        </w:tabs>
        <w:jc w:val="both"/>
        <w:rPr>
          <w:rFonts w:ascii="Palatino Linotype" w:hAnsi="Palatino Linotype"/>
          <w:b/>
          <w:color w:val="000000" w:themeColor="text1"/>
          <w:sz w:val="22"/>
          <w:szCs w:val="22"/>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 xml:space="preserve">Se </w:t>
      </w:r>
      <w:r w:rsidRPr="009C68B8">
        <w:rPr>
          <w:rFonts w:ascii="Palatino Linotype" w:eastAsia="Times New Roman" w:hAnsi="Palatino Linotype" w:cs="Arial"/>
          <w:sz w:val="22"/>
          <w:szCs w:val="22"/>
          <w:lang w:val="es-ES"/>
        </w:rPr>
        <w:t xml:space="preserve">señaló como modalidad de entrega de la información: a través de </w:t>
      </w:r>
      <w:r w:rsidRPr="009C68B8">
        <w:rPr>
          <w:rFonts w:ascii="Palatino Linotype" w:eastAsia="Times New Roman" w:hAnsi="Palatino Linotype" w:cs="Arial"/>
          <w:b/>
          <w:sz w:val="22"/>
          <w:szCs w:val="22"/>
          <w:lang w:val="es-ES"/>
        </w:rPr>
        <w:t>SAIMEX.</w:t>
      </w:r>
    </w:p>
    <w:p w:rsidR="00874F8E" w:rsidRPr="009C68B8" w:rsidRDefault="00874F8E" w:rsidP="00874F8E">
      <w:pPr>
        <w:rPr>
          <w:rFonts w:ascii="Palatino Linotype" w:eastAsia="Calibri" w:hAnsi="Palatino Linotype" w:cs="Arial"/>
          <w:color w:val="000000" w:themeColor="text1"/>
          <w:sz w:val="22"/>
          <w:szCs w:val="22"/>
          <w:lang w:val="es-AR"/>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AR"/>
        </w:rPr>
      </w:pPr>
      <w:r w:rsidRPr="009C68B8">
        <w:rPr>
          <w:rFonts w:ascii="Palatino Linotype" w:hAnsi="Palatino Linotype"/>
          <w:color w:val="000000" w:themeColor="text1"/>
          <w:sz w:val="22"/>
          <w:szCs w:val="22"/>
        </w:rPr>
        <w:t xml:space="preserve">El </w:t>
      </w:r>
      <w:r w:rsidR="00965917" w:rsidRPr="009C68B8">
        <w:rPr>
          <w:rFonts w:ascii="Palatino Linotype" w:hAnsi="Palatino Linotype"/>
          <w:color w:val="000000" w:themeColor="text1"/>
          <w:sz w:val="22"/>
          <w:szCs w:val="22"/>
        </w:rPr>
        <w:t>dos de diciembre</w:t>
      </w:r>
      <w:r w:rsidRPr="009C68B8">
        <w:rPr>
          <w:rFonts w:ascii="Palatino Linotype" w:hAnsi="Palatino Linotype"/>
          <w:color w:val="000000" w:themeColor="text1"/>
          <w:sz w:val="22"/>
          <w:szCs w:val="22"/>
        </w:rPr>
        <w:t xml:space="preserve"> de dos mil veinticuatro, </w:t>
      </w:r>
      <w:r w:rsidRPr="009C68B8">
        <w:rPr>
          <w:rFonts w:ascii="Palatino Linotype" w:eastAsia="Calibri" w:hAnsi="Palatino Linotype" w:cs="Arial"/>
          <w:color w:val="000000" w:themeColor="text1"/>
          <w:sz w:val="22"/>
          <w:szCs w:val="22"/>
          <w:lang w:val="es-AR"/>
        </w:rPr>
        <w:t xml:space="preserve">el </w:t>
      </w:r>
      <w:r w:rsidRPr="009C68B8">
        <w:rPr>
          <w:rFonts w:ascii="Palatino Linotype" w:eastAsia="Times New Roman" w:hAnsi="Palatino Linotype" w:cs="Arial"/>
          <w:b/>
          <w:color w:val="000000" w:themeColor="text1"/>
          <w:sz w:val="22"/>
          <w:szCs w:val="22"/>
          <w:lang w:val="es-ES"/>
        </w:rPr>
        <w:t xml:space="preserve">SUJETO </w:t>
      </w:r>
      <w:r w:rsidRPr="009C68B8">
        <w:rPr>
          <w:rFonts w:ascii="Palatino Linotype" w:hAnsi="Palatino Linotype" w:cs="Arial"/>
          <w:b/>
          <w:sz w:val="22"/>
          <w:szCs w:val="22"/>
        </w:rPr>
        <w:t>OBLIGADO</w:t>
      </w:r>
      <w:r w:rsidRPr="009C68B8">
        <w:rPr>
          <w:rFonts w:ascii="Palatino Linotype" w:hAnsi="Palatino Linotype" w:cs="Arial"/>
          <w:sz w:val="22"/>
          <w:szCs w:val="22"/>
        </w:rPr>
        <w:t xml:space="preserve"> emitió respuesta a la solicitud de información, en los siguientes términos:</w:t>
      </w:r>
    </w:p>
    <w:p w:rsidR="00874F8E" w:rsidRPr="009C68B8" w:rsidRDefault="00874F8E" w:rsidP="00874F8E">
      <w:pPr>
        <w:pStyle w:val="Prrafodelista"/>
        <w:tabs>
          <w:tab w:val="left" w:pos="426"/>
          <w:tab w:val="left" w:pos="567"/>
        </w:tabs>
        <w:ind w:left="567" w:right="565"/>
        <w:jc w:val="both"/>
        <w:rPr>
          <w:rFonts w:ascii="Palatino Linotype" w:hAnsi="Palatino Linotype"/>
          <w:i/>
          <w:iCs/>
          <w:color w:val="000000" w:themeColor="text1"/>
          <w:sz w:val="22"/>
          <w:szCs w:val="22"/>
        </w:rPr>
      </w:pPr>
    </w:p>
    <w:p w:rsidR="00874F8E" w:rsidRPr="009C68B8" w:rsidRDefault="00874F8E" w:rsidP="00874F8E">
      <w:pPr>
        <w:tabs>
          <w:tab w:val="left" w:pos="426"/>
          <w:tab w:val="left" w:pos="567"/>
        </w:tabs>
        <w:ind w:left="567" w:right="565"/>
        <w:jc w:val="both"/>
        <w:rPr>
          <w:rFonts w:ascii="Palatino Linotype" w:hAnsi="Palatino Linotype"/>
          <w:i/>
          <w:iCs/>
          <w:color w:val="000000"/>
          <w:sz w:val="22"/>
          <w:szCs w:val="22"/>
        </w:rPr>
      </w:pPr>
      <w:r w:rsidRPr="009C68B8">
        <w:rPr>
          <w:rFonts w:ascii="Palatino Linotype" w:hAnsi="Palatino Linotype"/>
          <w:i/>
          <w:iCs/>
          <w:color w:val="000000" w:themeColor="text1"/>
          <w:sz w:val="22"/>
          <w:szCs w:val="22"/>
        </w:rPr>
        <w:t>"</w:t>
      </w:r>
      <w:r w:rsidRPr="009C68B8">
        <w:rPr>
          <w:rFonts w:ascii="Palatino Linotype" w:hAnsi="Palatino Linotype"/>
          <w:i/>
          <w:iCs/>
          <w:color w:val="000000"/>
          <w:sz w:val="22"/>
          <w:szCs w:val="22"/>
        </w:rPr>
        <w:t>…</w:t>
      </w:r>
      <w:r w:rsidR="0080657C" w:rsidRPr="009C68B8">
        <w:rPr>
          <w:rFonts w:ascii="Palatino Linotype" w:hAnsi="Palatino Linotype"/>
          <w:i/>
          <w:color w:val="000000"/>
          <w:sz w:val="22"/>
          <w:szCs w:val="22"/>
        </w:rPr>
        <w:t>POR ESTE MEDIO RECIBA UN CORDIAL SALUDO AL TIEMPO QUE OFREZCO RESPUESTA A SU SOLICITUD DE INFORMACIÓN INGRESADA POR MEDIO DE ESTA PLATAFORMA DE ACCESO A LA INFORMACIÓN MEXIQUENSE (SAIMEX) CON EL FOLIO 00401/TULTITLA/IP/2024 CON ATENCIÓN DE LA COORDINACIÓN MUNICIPAL DE PROTECCIÓN CIVIL (SOPORTE DOCUMENTAL ANEXO A LA PRESENTE) SIN MÁS POR EL MOMENTO QUEDO A SUS ORDENES EN EL TELEFONO 26208900 EXTENSIÓN 1106</w:t>
      </w:r>
      <w:r w:rsidRPr="009C68B8">
        <w:rPr>
          <w:rFonts w:ascii="Palatino Linotype" w:hAnsi="Palatino Linotype"/>
          <w:i/>
          <w:iCs/>
          <w:color w:val="000000"/>
          <w:sz w:val="22"/>
          <w:szCs w:val="22"/>
        </w:rPr>
        <w:t>…” (Sic)</w:t>
      </w:r>
    </w:p>
    <w:p w:rsidR="00874F8E" w:rsidRPr="009C68B8" w:rsidRDefault="00874F8E" w:rsidP="00874F8E">
      <w:pPr>
        <w:tabs>
          <w:tab w:val="left" w:pos="426"/>
          <w:tab w:val="left" w:pos="567"/>
        </w:tabs>
        <w:ind w:left="567" w:right="565"/>
        <w:jc w:val="both"/>
        <w:rPr>
          <w:rFonts w:ascii="Palatino Linotype" w:hAnsi="Palatino Linotype"/>
          <w:i/>
          <w:iCs/>
          <w:color w:val="000000" w:themeColor="text1"/>
          <w:sz w:val="22"/>
          <w:szCs w:val="22"/>
        </w:rPr>
      </w:pPr>
    </w:p>
    <w:p w:rsidR="0080657C" w:rsidRPr="009C68B8" w:rsidRDefault="00874F8E" w:rsidP="00874F8E">
      <w:pPr>
        <w:tabs>
          <w:tab w:val="left" w:pos="426"/>
          <w:tab w:val="left" w:pos="567"/>
        </w:tabs>
        <w:ind w:right="565"/>
        <w:jc w:val="both"/>
        <w:rPr>
          <w:rFonts w:ascii="Palatino Linotype" w:hAnsi="Palatino Linotype"/>
          <w:bCs/>
          <w:color w:val="000000" w:themeColor="text1"/>
          <w:sz w:val="22"/>
          <w:szCs w:val="22"/>
        </w:rPr>
      </w:pPr>
      <w:r w:rsidRPr="009C68B8">
        <w:rPr>
          <w:rFonts w:ascii="Palatino Linotype" w:hAnsi="Palatino Linotype"/>
          <w:bCs/>
          <w:color w:val="000000" w:themeColor="text1"/>
          <w:sz w:val="22"/>
          <w:szCs w:val="22"/>
        </w:rPr>
        <w:t>Archivos electrónicos adjuntos:</w:t>
      </w:r>
    </w:p>
    <w:p w:rsidR="0080657C" w:rsidRPr="009C68B8" w:rsidRDefault="0080657C" w:rsidP="0080657C">
      <w:pPr>
        <w:tabs>
          <w:tab w:val="left" w:pos="426"/>
          <w:tab w:val="left" w:pos="567"/>
        </w:tabs>
        <w:ind w:left="567" w:right="565"/>
        <w:jc w:val="both"/>
        <w:rPr>
          <w:rFonts w:ascii="Palatino Linotype" w:hAnsi="Palatino Linotype"/>
          <w:b/>
          <w:bCs/>
          <w:sz w:val="22"/>
          <w:szCs w:val="22"/>
        </w:rPr>
      </w:pPr>
    </w:p>
    <w:p w:rsidR="00874F8E" w:rsidRPr="009C68B8" w:rsidRDefault="0048643A" w:rsidP="0080657C">
      <w:pPr>
        <w:spacing w:line="276" w:lineRule="auto"/>
        <w:ind w:left="567" w:right="565"/>
        <w:jc w:val="both"/>
        <w:rPr>
          <w:rFonts w:ascii="Palatino Linotype" w:hAnsi="Palatino Linotype"/>
          <w:sz w:val="22"/>
          <w:szCs w:val="22"/>
        </w:rPr>
      </w:pPr>
      <w:hyperlink r:id="rId9" w:tgtFrame="_blank" w:history="1">
        <w:r w:rsidR="0080657C" w:rsidRPr="009C68B8">
          <w:rPr>
            <w:rStyle w:val="Hipervnculo"/>
            <w:rFonts w:ascii="Palatino Linotype" w:eastAsiaTheme="majorEastAsia" w:hAnsi="Palatino Linotype" w:cs="Arial"/>
            <w:b/>
            <w:bCs/>
            <w:color w:val="auto"/>
            <w:sz w:val="22"/>
            <w:szCs w:val="22"/>
            <w:u w:val="none"/>
          </w:rPr>
          <w:t>SOL. 401 PROTEC. CIVIL Y BOMBEROS.pdf</w:t>
        </w:r>
      </w:hyperlink>
      <w:r w:rsidR="0080657C" w:rsidRPr="009C68B8">
        <w:rPr>
          <w:rFonts w:ascii="Palatino Linotype" w:hAnsi="Palatino Linotype"/>
          <w:sz w:val="22"/>
          <w:szCs w:val="22"/>
        </w:rPr>
        <w:t xml:space="preserve">: </w:t>
      </w:r>
      <w:r w:rsidR="00A40DAF" w:rsidRPr="009C68B8">
        <w:rPr>
          <w:rFonts w:ascii="Palatino Linotype" w:hAnsi="Palatino Linotype"/>
          <w:sz w:val="22"/>
          <w:szCs w:val="22"/>
        </w:rPr>
        <w:t xml:space="preserve">Oficio suscrito por el Coordinador Municipal de Protección Civil y Bomberos, por medio del cual, manifestó lo siguiente: </w:t>
      </w:r>
    </w:p>
    <w:p w:rsidR="00A40DAF" w:rsidRPr="009C68B8" w:rsidRDefault="00A40DAF" w:rsidP="0080657C">
      <w:pPr>
        <w:spacing w:line="276" w:lineRule="auto"/>
        <w:ind w:left="567" w:right="565"/>
        <w:jc w:val="both"/>
        <w:rPr>
          <w:rFonts w:ascii="Palatino Linotype" w:hAnsi="Palatino Linotype"/>
          <w:sz w:val="22"/>
          <w:szCs w:val="22"/>
        </w:rPr>
      </w:pPr>
    </w:p>
    <w:p w:rsidR="00A40DAF" w:rsidRPr="009C68B8" w:rsidRDefault="00A40DAF" w:rsidP="00A40DAF">
      <w:pPr>
        <w:ind w:left="567" w:right="565"/>
        <w:jc w:val="both"/>
        <w:rPr>
          <w:rFonts w:ascii="Palatino Linotype" w:hAnsi="Palatino Linotype"/>
          <w:i/>
          <w:sz w:val="22"/>
          <w:szCs w:val="22"/>
        </w:rPr>
      </w:pPr>
      <w:r w:rsidRPr="009C68B8">
        <w:rPr>
          <w:rFonts w:ascii="Palatino Linotype" w:hAnsi="Palatino Linotype"/>
          <w:sz w:val="22"/>
          <w:szCs w:val="22"/>
        </w:rPr>
        <w:t>“</w:t>
      </w:r>
      <w:r w:rsidRPr="009C68B8">
        <w:rPr>
          <w:rFonts w:ascii="Palatino Linotype" w:hAnsi="Palatino Linotype" w:cs="Arial"/>
          <w:i/>
          <w:color w:val="222222"/>
          <w:sz w:val="22"/>
          <w:szCs w:val="22"/>
          <w:shd w:val="clear" w:color="auto" w:fill="FFFFFF"/>
        </w:rPr>
        <w:t xml:space="preserve">Por medio del presente reciba un cordial saludo, al mismo tiempo en atención al NO. DE OFICIO: UTT/0323/2024, turnado por la Dirección de Gobierno y Protección Civil, a esta Coordinación con el oficio DGPC/041/2024, con el que envía y solicita (..., solicita de la unidad económica con el giro de encierro de Transporte y Mantenimiento, en el domicilio ubicado en Avenida del Rio sin número, esquina Manuel Acuña, Barrio Belem, Municipio de Tultitlan, Estado de México, las documentales que avalen el cumplimiento a lo establecido a la Norma Técnica de Protección Civil NTE-001-CGPC-2016, en cuanto a la elaboración de su programa específico, con el cual se hizo acreedor </w:t>
      </w:r>
      <w:r w:rsidRPr="009C68B8">
        <w:rPr>
          <w:rFonts w:ascii="Palatino Linotype" w:hAnsi="Palatino Linotype" w:cs="Arial"/>
          <w:i/>
          <w:color w:val="222222"/>
          <w:sz w:val="22"/>
          <w:szCs w:val="22"/>
          <w:shd w:val="clear" w:color="auto" w:fill="FFFFFF"/>
        </w:rPr>
        <w:lastRenderedPageBreak/>
        <w:t xml:space="preserve">al permiso en materia de Protección Civil, solicitándole amablemente pueda darse seguimiento para dar respuesta al folio </w:t>
      </w:r>
      <w:proofErr w:type="spellStart"/>
      <w:r w:rsidRPr="009C68B8">
        <w:rPr>
          <w:rFonts w:ascii="Palatino Linotype" w:hAnsi="Palatino Linotype" w:cs="Arial"/>
          <w:i/>
          <w:color w:val="222222"/>
          <w:sz w:val="22"/>
          <w:szCs w:val="22"/>
          <w:shd w:val="clear" w:color="auto" w:fill="FFFFFF"/>
        </w:rPr>
        <w:t>Saimex</w:t>
      </w:r>
      <w:proofErr w:type="spellEnd"/>
      <w:r w:rsidRPr="009C68B8">
        <w:rPr>
          <w:rFonts w:ascii="Palatino Linotype" w:hAnsi="Palatino Linotype" w:cs="Arial"/>
          <w:i/>
          <w:color w:val="222222"/>
          <w:sz w:val="22"/>
          <w:szCs w:val="22"/>
          <w:shd w:val="clear" w:color="auto" w:fill="FFFFFF"/>
        </w:rPr>
        <w:t xml:space="preserve"> 00401/TULTITLA/IP/2024 ...) sic. Por lo antes descrito, tengo a bien informarle. Con fundamento en lo dispuesto por el artículos 8 de la Constitución Política de los Estados Unidos Mexicanos; 12 y 15 de la Ley de Transparencia y Acceso a la Información </w:t>
      </w:r>
      <w:proofErr w:type="spellStart"/>
      <w:r w:rsidRPr="009C68B8">
        <w:rPr>
          <w:rFonts w:ascii="Palatino Linotype" w:hAnsi="Palatino Linotype" w:cs="Arial"/>
          <w:i/>
          <w:color w:val="222222"/>
          <w:sz w:val="22"/>
          <w:szCs w:val="22"/>
          <w:shd w:val="clear" w:color="auto" w:fill="FFFFFF"/>
        </w:rPr>
        <w:t>Publica</w:t>
      </w:r>
      <w:proofErr w:type="spellEnd"/>
      <w:r w:rsidRPr="009C68B8">
        <w:rPr>
          <w:rFonts w:ascii="Palatino Linotype" w:hAnsi="Palatino Linotype" w:cs="Arial"/>
          <w:i/>
          <w:color w:val="222222"/>
          <w:sz w:val="22"/>
          <w:szCs w:val="22"/>
          <w:shd w:val="clear" w:color="auto" w:fill="FFFFFF"/>
        </w:rPr>
        <w:t xml:space="preserve"> del Estado de México y Municipios, 279 fracción VIII del Reglamento Orgánico de la Administración Pública del Municipio de Tultitlán, Estado de México, </w:t>
      </w:r>
      <w:r w:rsidRPr="009C68B8">
        <w:rPr>
          <w:rFonts w:ascii="Palatino Linotype" w:hAnsi="Palatino Linotype" w:cs="Arial"/>
          <w:b/>
          <w:i/>
          <w:color w:val="222222"/>
          <w:sz w:val="22"/>
          <w:szCs w:val="22"/>
          <w:shd w:val="clear" w:color="auto" w:fill="FFFFFF"/>
        </w:rPr>
        <w:t>en mi calidad de Coordinador de Protección Civil y Bomberos, de Tultitlán, Estado de México, de manera atenta y respetuosa manifiesto a usted que no se cuenta con información relacionada del giro comercial o domicilio de referencia. En razón de lo anterior, para tener elementos y dar una respuesta más amplia a su solicitud haga llegar a esta Coordinación copia simple de la Licencia de Funcionamiento que Usted refiere.</w:t>
      </w:r>
      <w:r w:rsidRPr="009C68B8">
        <w:rPr>
          <w:rFonts w:ascii="Palatino Linotype" w:hAnsi="Palatino Linotype" w:cs="Arial"/>
          <w:i/>
          <w:color w:val="222222"/>
          <w:sz w:val="22"/>
          <w:szCs w:val="22"/>
          <w:shd w:val="clear" w:color="auto" w:fill="FFFFFF"/>
        </w:rPr>
        <w:t>” (Sic)</w:t>
      </w:r>
    </w:p>
    <w:p w:rsidR="0080657C" w:rsidRPr="009C68B8" w:rsidRDefault="0080657C" w:rsidP="00874F8E">
      <w:pPr>
        <w:spacing w:line="276" w:lineRule="auto"/>
        <w:ind w:right="565"/>
        <w:jc w:val="both"/>
        <w:rPr>
          <w:rFonts w:ascii="Palatino Linotype" w:hAnsi="Palatino Linotype" w:cs="ArialNarrow-Bold"/>
          <w:b/>
          <w:bCs/>
          <w:color w:val="000000"/>
          <w:sz w:val="22"/>
          <w:szCs w:val="22"/>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Times New Roman" w:hAnsi="Palatino Linotype" w:cs="Arial"/>
          <w:color w:val="000000" w:themeColor="text1"/>
          <w:sz w:val="22"/>
          <w:szCs w:val="22"/>
          <w:lang w:val="es-ES"/>
        </w:rPr>
        <w:t xml:space="preserve">El </w:t>
      </w:r>
      <w:r w:rsidR="0080657C" w:rsidRPr="009C68B8">
        <w:rPr>
          <w:rFonts w:ascii="Palatino Linotype" w:eastAsia="Times New Roman" w:hAnsi="Palatino Linotype" w:cs="Arial"/>
          <w:bCs/>
          <w:color w:val="000000" w:themeColor="text1"/>
          <w:sz w:val="22"/>
          <w:szCs w:val="22"/>
          <w:lang w:val="es-ES"/>
        </w:rPr>
        <w:t>cuatro de diciembre</w:t>
      </w:r>
      <w:r w:rsidRPr="009C68B8">
        <w:rPr>
          <w:rFonts w:ascii="Palatino Linotype" w:eastAsia="Times New Roman" w:hAnsi="Palatino Linotype" w:cs="Arial"/>
          <w:bCs/>
          <w:color w:val="000000" w:themeColor="text1"/>
          <w:sz w:val="22"/>
          <w:szCs w:val="22"/>
          <w:lang w:val="es-ES"/>
        </w:rPr>
        <w:t xml:space="preserve"> de dos mil veinticuatro,</w:t>
      </w:r>
      <w:r w:rsidRPr="009C68B8">
        <w:rPr>
          <w:rFonts w:ascii="Palatino Linotype" w:eastAsia="Times New Roman" w:hAnsi="Palatino Linotype" w:cs="Arial"/>
          <w:color w:val="000000" w:themeColor="text1"/>
          <w:sz w:val="22"/>
          <w:szCs w:val="22"/>
          <w:lang w:val="es-ES"/>
        </w:rPr>
        <w:t xml:space="preserve"> </w:t>
      </w:r>
      <w:r w:rsidRPr="009C68B8">
        <w:rPr>
          <w:rFonts w:ascii="Palatino Linotype" w:hAnsi="Palatino Linotype"/>
          <w:color w:val="000000" w:themeColor="text1"/>
          <w:sz w:val="22"/>
          <w:szCs w:val="22"/>
        </w:rPr>
        <w:t xml:space="preserve">se </w:t>
      </w:r>
      <w:r w:rsidRPr="009C68B8">
        <w:rPr>
          <w:rFonts w:ascii="Palatino Linotype" w:eastAsia="Times New Roman" w:hAnsi="Palatino Linotype" w:cs="Arial"/>
          <w:color w:val="000000" w:themeColor="text1"/>
          <w:sz w:val="22"/>
          <w:szCs w:val="22"/>
          <w:lang w:val="es-ES"/>
        </w:rPr>
        <w:t>interpuso el recurso de revisión, en contra de la respuesta, señalando como:</w:t>
      </w:r>
      <w:bookmarkStart w:id="5" w:name="_Toc466982514"/>
      <w:bookmarkStart w:id="6" w:name="_Toc471908126"/>
      <w:bookmarkStart w:id="7" w:name="_Toc491791300"/>
      <w:bookmarkStart w:id="8" w:name="_Toc496726170"/>
      <w:bookmarkStart w:id="9" w:name="_Toc497242134"/>
      <w:bookmarkStart w:id="10" w:name="_Toc497292517"/>
      <w:bookmarkStart w:id="11" w:name="_Toc498503716"/>
      <w:bookmarkStart w:id="12" w:name="_Toc499568660"/>
      <w:bookmarkStart w:id="13" w:name="_Toc499568693"/>
      <w:bookmarkStart w:id="14" w:name="_Toc499665452"/>
      <w:bookmarkStart w:id="15" w:name="_Toc499729819"/>
      <w:bookmarkStart w:id="16" w:name="_Toc499835024"/>
      <w:bookmarkStart w:id="17" w:name="_Toc499835835"/>
      <w:bookmarkStart w:id="18" w:name="_Toc499835858"/>
    </w:p>
    <w:p w:rsidR="00874F8E" w:rsidRPr="009C68B8" w:rsidRDefault="00874F8E" w:rsidP="00874F8E">
      <w:pPr>
        <w:pStyle w:val="Prrafodelista"/>
        <w:tabs>
          <w:tab w:val="left" w:pos="426"/>
          <w:tab w:val="left" w:pos="567"/>
        </w:tabs>
        <w:ind w:left="0"/>
        <w:jc w:val="both"/>
        <w:rPr>
          <w:rFonts w:ascii="Palatino Linotype" w:eastAsia="Calibri" w:hAnsi="Palatino Linotype" w:cs="Arial"/>
          <w:color w:val="000000" w:themeColor="text1"/>
          <w:sz w:val="22"/>
          <w:szCs w:val="22"/>
          <w:lang w:val="es-ES"/>
        </w:rPr>
      </w:pPr>
    </w:p>
    <w:p w:rsidR="00874F8E" w:rsidRPr="009C68B8" w:rsidRDefault="00874F8E" w:rsidP="00874F8E">
      <w:pPr>
        <w:tabs>
          <w:tab w:val="left" w:pos="7400"/>
        </w:tabs>
        <w:ind w:left="596" w:right="645"/>
        <w:jc w:val="both"/>
        <w:rPr>
          <w:rFonts w:ascii="Palatino Linotype" w:hAnsi="Palatino Linotype"/>
          <w:b/>
          <w:sz w:val="22"/>
          <w:szCs w:val="22"/>
        </w:rPr>
      </w:pPr>
      <w:r w:rsidRPr="009C68B8">
        <w:rPr>
          <w:rFonts w:ascii="Palatino Linotype" w:hAnsi="Palatino Linotype"/>
          <w:b/>
          <w:sz w:val="22"/>
          <w:szCs w:val="22"/>
        </w:rPr>
        <w:t>Acto Impugnado:</w:t>
      </w:r>
    </w:p>
    <w:p w:rsidR="00874F8E" w:rsidRPr="009C68B8" w:rsidRDefault="00874F8E" w:rsidP="00874F8E">
      <w:pPr>
        <w:tabs>
          <w:tab w:val="left" w:pos="7400"/>
        </w:tabs>
        <w:ind w:left="596" w:right="645"/>
        <w:jc w:val="both"/>
        <w:rPr>
          <w:rFonts w:ascii="Palatino Linotype" w:hAnsi="Palatino Linotype"/>
          <w:i/>
          <w:color w:val="000000"/>
          <w:sz w:val="22"/>
          <w:szCs w:val="22"/>
        </w:rPr>
      </w:pPr>
      <w:r w:rsidRPr="009C68B8">
        <w:rPr>
          <w:rFonts w:ascii="Palatino Linotype" w:hAnsi="Palatino Linotype"/>
          <w:b/>
          <w:i/>
          <w:sz w:val="22"/>
          <w:szCs w:val="22"/>
        </w:rPr>
        <w:t>“</w:t>
      </w:r>
      <w:r w:rsidR="0080657C" w:rsidRPr="009C68B8">
        <w:rPr>
          <w:rFonts w:ascii="Palatino Linotype" w:hAnsi="Palatino Linotype"/>
          <w:i/>
          <w:color w:val="000000"/>
          <w:sz w:val="22"/>
          <w:szCs w:val="22"/>
        </w:rPr>
        <w:t>LA RESPUESTA OTOGADA A LA SOLICITUD 00401/TULTITLA/IP/2024</w:t>
      </w:r>
      <w:r w:rsidRPr="009C68B8">
        <w:rPr>
          <w:rFonts w:ascii="Palatino Linotype" w:hAnsi="Palatino Linotype"/>
          <w:i/>
          <w:color w:val="000000"/>
          <w:sz w:val="22"/>
          <w:szCs w:val="22"/>
        </w:rPr>
        <w:t>” (Sic)</w:t>
      </w:r>
    </w:p>
    <w:p w:rsidR="00874F8E" w:rsidRPr="009C68B8" w:rsidRDefault="00874F8E" w:rsidP="00874F8E">
      <w:pPr>
        <w:tabs>
          <w:tab w:val="left" w:pos="7400"/>
        </w:tabs>
        <w:ind w:left="596" w:right="645"/>
        <w:jc w:val="both"/>
        <w:rPr>
          <w:rFonts w:ascii="Palatino Linotype" w:hAnsi="Palatino Linotype"/>
          <w:b/>
          <w:color w:val="000000"/>
          <w:sz w:val="22"/>
          <w:szCs w:val="22"/>
        </w:rPr>
      </w:pPr>
    </w:p>
    <w:p w:rsidR="00874F8E" w:rsidRPr="009C68B8" w:rsidRDefault="00874F8E" w:rsidP="00874F8E">
      <w:pPr>
        <w:tabs>
          <w:tab w:val="left" w:pos="7400"/>
        </w:tabs>
        <w:ind w:left="596" w:right="645"/>
        <w:jc w:val="both"/>
        <w:rPr>
          <w:rFonts w:ascii="Palatino Linotype" w:hAnsi="Palatino Linotype"/>
          <w:b/>
          <w:color w:val="000000"/>
          <w:sz w:val="22"/>
          <w:szCs w:val="22"/>
        </w:rPr>
      </w:pPr>
      <w:r w:rsidRPr="009C68B8">
        <w:rPr>
          <w:rFonts w:ascii="Palatino Linotype" w:hAnsi="Palatino Linotype"/>
          <w:b/>
          <w:color w:val="000000"/>
          <w:sz w:val="22"/>
          <w:szCs w:val="22"/>
        </w:rPr>
        <w:t>Razones o Motivos de Inconformidad:</w:t>
      </w:r>
    </w:p>
    <w:p w:rsidR="0080657C" w:rsidRPr="009C68B8" w:rsidRDefault="00874F8E" w:rsidP="0080657C">
      <w:pPr>
        <w:tabs>
          <w:tab w:val="left" w:pos="7400"/>
        </w:tabs>
        <w:ind w:left="596" w:right="645"/>
        <w:jc w:val="both"/>
        <w:rPr>
          <w:rFonts w:ascii="Palatino Linotype" w:hAnsi="Palatino Linotype"/>
          <w:bCs/>
          <w:i/>
          <w:iCs/>
          <w:color w:val="000000"/>
          <w:sz w:val="22"/>
          <w:szCs w:val="22"/>
        </w:rPr>
      </w:pPr>
      <w:r w:rsidRPr="009C68B8">
        <w:rPr>
          <w:rFonts w:ascii="Palatino Linotype" w:hAnsi="Palatino Linotype"/>
          <w:bCs/>
          <w:i/>
          <w:iCs/>
          <w:color w:val="000000"/>
          <w:sz w:val="22"/>
          <w:szCs w:val="22"/>
        </w:rPr>
        <w:t>“</w:t>
      </w:r>
      <w:r w:rsidR="0080657C" w:rsidRPr="009C68B8">
        <w:rPr>
          <w:rFonts w:ascii="Palatino Linotype" w:hAnsi="Palatino Linotype"/>
          <w:i/>
          <w:color w:val="000000"/>
          <w:sz w:val="22"/>
          <w:szCs w:val="22"/>
        </w:rPr>
        <w:t>SE ANEXA DOCUMENTO EN DONDE SE EXPONEN LAS RAZONES Y MOTIVOS</w:t>
      </w:r>
      <w:r w:rsidRPr="009C68B8">
        <w:rPr>
          <w:rFonts w:ascii="Palatino Linotype" w:hAnsi="Palatino Linotype"/>
          <w:bCs/>
          <w:i/>
          <w:iCs/>
          <w:color w:val="000000"/>
          <w:sz w:val="22"/>
          <w:szCs w:val="22"/>
        </w:rPr>
        <w:t>” (Sic)</w:t>
      </w:r>
    </w:p>
    <w:p w:rsidR="0080657C" w:rsidRPr="009C68B8" w:rsidRDefault="0080657C" w:rsidP="0080657C">
      <w:pPr>
        <w:tabs>
          <w:tab w:val="left" w:pos="7400"/>
        </w:tabs>
        <w:ind w:right="645"/>
        <w:jc w:val="both"/>
        <w:rPr>
          <w:rFonts w:ascii="Palatino Linotype" w:hAnsi="Palatino Linotype"/>
          <w:bCs/>
          <w:i/>
          <w:iCs/>
          <w:color w:val="000000"/>
          <w:sz w:val="22"/>
          <w:szCs w:val="22"/>
        </w:rPr>
      </w:pPr>
    </w:p>
    <w:p w:rsidR="0080657C" w:rsidRPr="009C68B8" w:rsidRDefault="0080657C" w:rsidP="0080657C">
      <w:pPr>
        <w:tabs>
          <w:tab w:val="left" w:pos="7400"/>
        </w:tabs>
        <w:ind w:right="645"/>
        <w:jc w:val="both"/>
        <w:rPr>
          <w:rFonts w:ascii="Palatino Linotype" w:hAnsi="Palatino Linotype"/>
          <w:bCs/>
          <w:iCs/>
          <w:color w:val="000000"/>
          <w:sz w:val="22"/>
          <w:szCs w:val="22"/>
        </w:rPr>
      </w:pPr>
      <w:r w:rsidRPr="009C68B8">
        <w:rPr>
          <w:rFonts w:ascii="Palatino Linotype" w:hAnsi="Palatino Linotype"/>
          <w:bCs/>
          <w:iCs/>
          <w:color w:val="000000"/>
          <w:sz w:val="22"/>
          <w:szCs w:val="22"/>
        </w:rPr>
        <w:t>Se adjuntaron los siguientes archivos electrónicos:</w:t>
      </w:r>
    </w:p>
    <w:p w:rsidR="0080657C" w:rsidRPr="009C68B8" w:rsidRDefault="0080657C" w:rsidP="0080657C">
      <w:pPr>
        <w:tabs>
          <w:tab w:val="left" w:pos="7400"/>
        </w:tabs>
        <w:ind w:right="645"/>
        <w:jc w:val="both"/>
        <w:rPr>
          <w:rFonts w:ascii="Palatino Linotype" w:hAnsi="Palatino Linotype"/>
          <w:bCs/>
          <w:iCs/>
          <w:color w:val="000000"/>
          <w:sz w:val="22"/>
          <w:szCs w:val="22"/>
        </w:rPr>
      </w:pPr>
    </w:p>
    <w:p w:rsidR="00187275" w:rsidRPr="009C68B8" w:rsidRDefault="0048643A" w:rsidP="00187275">
      <w:pPr>
        <w:spacing w:line="276" w:lineRule="auto"/>
        <w:ind w:left="567" w:right="565"/>
        <w:jc w:val="both"/>
        <w:rPr>
          <w:rFonts w:ascii="Palatino Linotype" w:hAnsi="Palatino Linotype" w:cs="Arial"/>
          <w:i/>
          <w:color w:val="222222"/>
          <w:sz w:val="22"/>
          <w:szCs w:val="22"/>
          <w:shd w:val="clear" w:color="auto" w:fill="FFFFFF"/>
        </w:rPr>
      </w:pPr>
      <w:hyperlink r:id="rId10" w:tgtFrame="_blank" w:history="1">
        <w:r w:rsidR="0080657C" w:rsidRPr="009C68B8">
          <w:rPr>
            <w:rStyle w:val="Hipervnculo"/>
            <w:rFonts w:ascii="Palatino Linotype" w:eastAsiaTheme="majorEastAsia" w:hAnsi="Palatino Linotype" w:cs="Arial"/>
            <w:b/>
            <w:bCs/>
            <w:color w:val="auto"/>
            <w:sz w:val="22"/>
            <w:szCs w:val="22"/>
            <w:u w:val="none"/>
          </w:rPr>
          <w:t>SOL. 401 PROTEC. CIVIL Y BOMBEROS.pdf</w:t>
        </w:r>
      </w:hyperlink>
      <w:r w:rsidR="0080657C" w:rsidRPr="009C68B8">
        <w:rPr>
          <w:rFonts w:ascii="Palatino Linotype" w:hAnsi="Palatino Linotype" w:cs="Arial"/>
          <w:sz w:val="22"/>
          <w:szCs w:val="22"/>
        </w:rPr>
        <w:t>:</w:t>
      </w:r>
      <w:r w:rsidR="00187275" w:rsidRPr="009C68B8">
        <w:rPr>
          <w:rFonts w:ascii="Palatino Linotype" w:hAnsi="Palatino Linotype" w:cs="Arial"/>
          <w:sz w:val="22"/>
          <w:szCs w:val="22"/>
        </w:rPr>
        <w:t xml:space="preserve"> </w:t>
      </w:r>
      <w:r w:rsidR="00187275" w:rsidRPr="009C68B8">
        <w:rPr>
          <w:rFonts w:ascii="Palatino Linotype" w:hAnsi="Palatino Linotype"/>
          <w:sz w:val="22"/>
          <w:szCs w:val="22"/>
        </w:rPr>
        <w:t>Oficio suscrito por el Coordinador Municipal de Protección Civil y Bomberos, por medio del cual, manifestó lo siguiente: “</w:t>
      </w:r>
      <w:r w:rsidR="00187275" w:rsidRPr="009C68B8">
        <w:rPr>
          <w:rFonts w:ascii="Palatino Linotype" w:hAnsi="Palatino Linotype" w:cs="Arial"/>
          <w:i/>
          <w:color w:val="222222"/>
          <w:sz w:val="22"/>
          <w:szCs w:val="22"/>
          <w:shd w:val="clear" w:color="auto" w:fill="FFFFFF"/>
        </w:rPr>
        <w:t xml:space="preserve">Por medio del presente reciba un cordial saludo, al mismo tiempo en atención al NO. DE OFICIO: UTT/0323/2024, turnado por la Dirección de Gobierno y Protección Civil, a esta Coordinación con el oficio DGPC/041/2024, con el que envía y solicita (..., solicita de la unidad económica con el giro de encierro de Transporte y Mantenimiento, en el domicilio ubicado en Avenida del Rio sin número, </w:t>
      </w:r>
      <w:r w:rsidR="00187275" w:rsidRPr="009C68B8">
        <w:rPr>
          <w:rFonts w:ascii="Palatino Linotype" w:hAnsi="Palatino Linotype" w:cs="Arial"/>
          <w:i/>
          <w:color w:val="222222"/>
          <w:sz w:val="22"/>
          <w:szCs w:val="22"/>
          <w:shd w:val="clear" w:color="auto" w:fill="FFFFFF"/>
        </w:rPr>
        <w:lastRenderedPageBreak/>
        <w:t xml:space="preserve">esquina Manuel Acuña, Barrio Belem, Municipio de Tultitlan, Estado de México, las documentales que avalen el cumplimiento a lo establecido a la Norma Técnica de Protección Civil NTE-001-CGPC-2016, en cuanto a la elaboración de su programa específico, con el cual se hizo acreedor al permiso en materia de Protección Civil, solicitándole amablemente pueda darse seguimiento para dar respuesta al folio </w:t>
      </w:r>
      <w:proofErr w:type="spellStart"/>
      <w:r w:rsidR="00187275" w:rsidRPr="009C68B8">
        <w:rPr>
          <w:rFonts w:ascii="Palatino Linotype" w:hAnsi="Palatino Linotype" w:cs="Arial"/>
          <w:i/>
          <w:color w:val="222222"/>
          <w:sz w:val="22"/>
          <w:szCs w:val="22"/>
          <w:shd w:val="clear" w:color="auto" w:fill="FFFFFF"/>
        </w:rPr>
        <w:t>Saimex</w:t>
      </w:r>
      <w:proofErr w:type="spellEnd"/>
      <w:r w:rsidR="00187275" w:rsidRPr="009C68B8">
        <w:rPr>
          <w:rFonts w:ascii="Palatino Linotype" w:hAnsi="Palatino Linotype" w:cs="Arial"/>
          <w:i/>
          <w:color w:val="222222"/>
          <w:sz w:val="22"/>
          <w:szCs w:val="22"/>
          <w:shd w:val="clear" w:color="auto" w:fill="FFFFFF"/>
        </w:rPr>
        <w:t xml:space="preserve"> 00401/TULTITLA/IP/2024 ...) sic. Por lo antes descrito, tengo a bien informarle. Con fundamento en lo dispuesto por el artículos 8 de la Constitución Política de los Estados Unidos Mexicanos; 12 y 15 de la Ley de Transparencia y Acceso a la Información </w:t>
      </w:r>
      <w:proofErr w:type="spellStart"/>
      <w:r w:rsidR="00187275" w:rsidRPr="009C68B8">
        <w:rPr>
          <w:rFonts w:ascii="Palatino Linotype" w:hAnsi="Palatino Linotype" w:cs="Arial"/>
          <w:i/>
          <w:color w:val="222222"/>
          <w:sz w:val="22"/>
          <w:szCs w:val="22"/>
          <w:shd w:val="clear" w:color="auto" w:fill="FFFFFF"/>
        </w:rPr>
        <w:t>Publica</w:t>
      </w:r>
      <w:proofErr w:type="spellEnd"/>
      <w:r w:rsidR="00187275" w:rsidRPr="009C68B8">
        <w:rPr>
          <w:rFonts w:ascii="Palatino Linotype" w:hAnsi="Palatino Linotype" w:cs="Arial"/>
          <w:i/>
          <w:color w:val="222222"/>
          <w:sz w:val="22"/>
          <w:szCs w:val="22"/>
          <w:shd w:val="clear" w:color="auto" w:fill="FFFFFF"/>
        </w:rPr>
        <w:t xml:space="preserve"> del Estado de México y Municipios, 279 fracción VIII del Reglamento Orgánico de la Administración Pública del Municipio de Tultitlán, Estado de México, </w:t>
      </w:r>
      <w:r w:rsidR="00187275" w:rsidRPr="009C68B8">
        <w:rPr>
          <w:rFonts w:ascii="Palatino Linotype" w:hAnsi="Palatino Linotype" w:cs="Arial"/>
          <w:b/>
          <w:i/>
          <w:color w:val="222222"/>
          <w:sz w:val="22"/>
          <w:szCs w:val="22"/>
          <w:shd w:val="clear" w:color="auto" w:fill="FFFFFF"/>
        </w:rPr>
        <w:t>en mi calidad de Coordinador de Protección Civil y Bomberos, de Tultitlán, Estado de México, de manera atenta y respetuosa manifiesto a usted que no se cuenta con información relacionada del giro comercial o domicilio de referencia. En razón de lo anterior, para tener elementos y dar una respuesta más amplia a su solicitud haga llegar a esta Coordinación copia simple de la Licencia de Funcionamiento que Usted refiere.</w:t>
      </w:r>
      <w:r w:rsidR="00187275" w:rsidRPr="009C68B8">
        <w:rPr>
          <w:rFonts w:ascii="Palatino Linotype" w:hAnsi="Palatino Linotype" w:cs="Arial"/>
          <w:i/>
          <w:color w:val="222222"/>
          <w:sz w:val="22"/>
          <w:szCs w:val="22"/>
          <w:shd w:val="clear" w:color="auto" w:fill="FFFFFF"/>
        </w:rPr>
        <w:t>” (Sic)</w:t>
      </w:r>
    </w:p>
    <w:p w:rsidR="00187275" w:rsidRPr="009C68B8" w:rsidRDefault="00187275" w:rsidP="00187275">
      <w:pPr>
        <w:spacing w:line="276" w:lineRule="auto"/>
        <w:ind w:right="565"/>
        <w:jc w:val="both"/>
        <w:rPr>
          <w:rFonts w:ascii="Palatino Linotype" w:hAnsi="Palatino Linotype"/>
          <w:sz w:val="22"/>
          <w:szCs w:val="22"/>
        </w:rPr>
      </w:pPr>
    </w:p>
    <w:p w:rsidR="0080657C" w:rsidRPr="009C68B8" w:rsidRDefault="0048643A" w:rsidP="001D0D1D">
      <w:pPr>
        <w:tabs>
          <w:tab w:val="left" w:pos="426"/>
          <w:tab w:val="left" w:pos="567"/>
        </w:tabs>
        <w:ind w:left="567" w:right="565"/>
        <w:jc w:val="both"/>
        <w:rPr>
          <w:rFonts w:ascii="Palatino Linotype" w:hAnsi="Palatino Linotype" w:cs="Arial"/>
          <w:sz w:val="22"/>
          <w:szCs w:val="22"/>
        </w:rPr>
      </w:pPr>
      <w:hyperlink r:id="rId11" w:tgtFrame="_blank" w:history="1">
        <w:r w:rsidR="0080657C" w:rsidRPr="009C68B8">
          <w:rPr>
            <w:rStyle w:val="Hipervnculo"/>
            <w:rFonts w:ascii="Palatino Linotype" w:eastAsiaTheme="majorEastAsia" w:hAnsi="Palatino Linotype" w:cs="Arial"/>
            <w:b/>
            <w:bCs/>
            <w:color w:val="auto"/>
            <w:sz w:val="22"/>
            <w:szCs w:val="22"/>
            <w:u w:val="none"/>
          </w:rPr>
          <w:t>S276 Y S 301 DE (2) (1).</w:t>
        </w:r>
        <w:proofErr w:type="spellStart"/>
        <w:r w:rsidR="0080657C" w:rsidRPr="009C68B8">
          <w:rPr>
            <w:rStyle w:val="Hipervnculo"/>
            <w:rFonts w:ascii="Palatino Linotype" w:eastAsiaTheme="majorEastAsia" w:hAnsi="Palatino Linotype" w:cs="Arial"/>
            <w:b/>
            <w:bCs/>
            <w:color w:val="auto"/>
            <w:sz w:val="22"/>
            <w:szCs w:val="22"/>
            <w:u w:val="none"/>
          </w:rPr>
          <w:t>pdf</w:t>
        </w:r>
        <w:proofErr w:type="spellEnd"/>
      </w:hyperlink>
      <w:r w:rsidR="0080657C" w:rsidRPr="009C68B8">
        <w:rPr>
          <w:rFonts w:ascii="Palatino Linotype" w:hAnsi="Palatino Linotype" w:cs="Arial"/>
          <w:sz w:val="22"/>
          <w:szCs w:val="22"/>
        </w:rPr>
        <w:t>:</w:t>
      </w:r>
      <w:r w:rsidR="00187275" w:rsidRPr="009C68B8">
        <w:rPr>
          <w:rFonts w:ascii="Palatino Linotype" w:hAnsi="Palatino Linotype" w:cs="Arial"/>
          <w:sz w:val="22"/>
          <w:szCs w:val="22"/>
        </w:rPr>
        <w:t xml:space="preserve"> Oficio suscrito por el Jefe de Departamento del Centro de Atención Empresarial y Ventanilla, Dirigido al Jefe de la Unidad Municipal de Acceso a la Información Pública y Protección de Datos Personales, por medio del cual, manifestó lo siguiente: </w:t>
      </w:r>
      <w:r w:rsidR="00187275" w:rsidRPr="009C68B8">
        <w:rPr>
          <w:rFonts w:ascii="Palatino Linotype" w:hAnsi="Palatino Linotype" w:cs="Arial"/>
          <w:i/>
          <w:sz w:val="22"/>
          <w:szCs w:val="22"/>
        </w:rPr>
        <w:t>“</w:t>
      </w:r>
      <w:r w:rsidR="00187275" w:rsidRPr="009C68B8">
        <w:rPr>
          <w:rFonts w:ascii="Palatino Linotype" w:hAnsi="Palatino Linotype" w:cs="Arial"/>
          <w:i/>
          <w:color w:val="222222"/>
          <w:sz w:val="22"/>
          <w:szCs w:val="22"/>
          <w:shd w:val="clear" w:color="auto" w:fill="FFFFFF"/>
        </w:rPr>
        <w:t xml:space="preserve">Por lo que hace a la solicitud del sistema SAIMEX 00276/TULTITLA/IP/2024, informo que después de una búsqueda en los archivos y medios digitales que obran en esta oficina a mi cargo, </w:t>
      </w:r>
      <w:r w:rsidR="00187275" w:rsidRPr="009C68B8">
        <w:rPr>
          <w:rFonts w:ascii="Palatino Linotype" w:hAnsi="Palatino Linotype" w:cs="Arial"/>
          <w:b/>
          <w:i/>
          <w:color w:val="222222"/>
          <w:sz w:val="22"/>
          <w:szCs w:val="22"/>
          <w:shd w:val="clear" w:color="auto" w:fill="FFFFFF"/>
        </w:rPr>
        <w:t>se encontró registro de una Licencia de Funcionamiento para una unidad económica con el giro de Encierro de Transporte y Mantenimiento, en el domicilio ubicado en Avenida del Rio sin número, Esquina Manuel Acuña, Barrio de Belem, Municipio de Tultitlán, Estado de México.</w:t>
      </w:r>
      <w:r w:rsidR="00187275" w:rsidRPr="009C68B8">
        <w:rPr>
          <w:rFonts w:ascii="Palatino Linotype" w:hAnsi="Palatino Linotype" w:cs="Arial"/>
          <w:i/>
          <w:color w:val="222222"/>
          <w:sz w:val="22"/>
          <w:szCs w:val="22"/>
          <w:shd w:val="clear" w:color="auto" w:fill="FFFFFF"/>
        </w:rPr>
        <w:t xml:space="preserve"> Por lo que hace a la solicitud del sistema SAIMEX 00301/TULTITLA/IP/2024, informo que después de una búsqueda en los archivos y medios digitales que obran en esta oficina a mi cargo no se encontró registro de una Licencia de Funcionamiento. Asimismo informo que la normatividad aplicable para realizar actividades comerciales en el Municipio de Tultitlán, Estado de México, son; Bando Municipal Vigente de Tultitlán, Estado de México; La Ley de Competitividad y Ordenamiento Comercial del Estado de México; Reglamento Orgánico de la </w:t>
      </w:r>
      <w:r w:rsidR="00187275" w:rsidRPr="009C68B8">
        <w:rPr>
          <w:rFonts w:ascii="Palatino Linotype" w:hAnsi="Palatino Linotype" w:cs="Arial"/>
          <w:i/>
          <w:color w:val="222222"/>
          <w:sz w:val="22"/>
          <w:szCs w:val="22"/>
          <w:shd w:val="clear" w:color="auto" w:fill="FFFFFF"/>
        </w:rPr>
        <w:lastRenderedPageBreak/>
        <w:t xml:space="preserve">Administración Pública del Municipio de Tultitlán, Estado de México; Código de Procedimientos Administrativos del Estado de México y las demás que sean aplicables. No omito informar que por lo dispuesto en los artículos 6°. Apartado A fracción </w:t>
      </w:r>
      <w:proofErr w:type="spellStart"/>
      <w:r w:rsidR="00187275" w:rsidRPr="009C68B8">
        <w:rPr>
          <w:rFonts w:ascii="Palatino Linotype" w:hAnsi="Palatino Linotype" w:cs="Arial"/>
          <w:i/>
          <w:color w:val="222222"/>
          <w:sz w:val="22"/>
          <w:szCs w:val="22"/>
          <w:shd w:val="clear" w:color="auto" w:fill="FFFFFF"/>
        </w:rPr>
        <w:t>Il</w:t>
      </w:r>
      <w:proofErr w:type="spellEnd"/>
      <w:r w:rsidR="00187275" w:rsidRPr="009C68B8">
        <w:rPr>
          <w:rFonts w:ascii="Palatino Linotype" w:hAnsi="Palatino Linotype" w:cs="Arial"/>
          <w:i/>
          <w:color w:val="222222"/>
          <w:sz w:val="22"/>
          <w:szCs w:val="22"/>
          <w:shd w:val="clear" w:color="auto" w:fill="FFFFFF"/>
        </w:rPr>
        <w:t xml:space="preserve">; 16 segundo párrafo de la Constitución Política de los Estados Unidos Mexicanos; 5 párrafo 23 de la Constitución Política del Estado Libre y Soberano de México; 3 fracción IV, 29 y 30 de la Ley de Protección de Datos Personales en Posesión de Sujetos Obligados del Estado de México y Municipios, </w:t>
      </w:r>
      <w:r w:rsidR="00187275" w:rsidRPr="009C68B8">
        <w:rPr>
          <w:rFonts w:ascii="Palatino Linotype" w:hAnsi="Palatino Linotype" w:cs="Arial"/>
          <w:b/>
          <w:i/>
          <w:color w:val="222222"/>
          <w:sz w:val="22"/>
          <w:szCs w:val="22"/>
          <w:shd w:val="clear" w:color="auto" w:fill="FFFFFF"/>
        </w:rPr>
        <w:t>hago de su conocimiento que los datos proporcionados se encuentran bajo resguardo de la Dirección de Desarrollo Económico para la realización de todo trámite administrativo relacionado con las licencias y permisos de funcionamiento y en su caso, con la incorporación de la unidad económica al Registro Municipal de Unidades Económicas de Tultitlán</w:t>
      </w:r>
      <w:r w:rsidR="00187275" w:rsidRPr="009C68B8">
        <w:rPr>
          <w:rFonts w:ascii="Palatino Linotype" w:hAnsi="Palatino Linotype" w:cs="Arial"/>
          <w:i/>
          <w:color w:val="222222"/>
          <w:sz w:val="22"/>
          <w:szCs w:val="22"/>
          <w:shd w:val="clear" w:color="auto" w:fill="FFFFFF"/>
        </w:rPr>
        <w:t>.” (Sic)</w:t>
      </w:r>
    </w:p>
    <w:p w:rsidR="00187275" w:rsidRPr="009C68B8" w:rsidRDefault="0048643A" w:rsidP="001D0D1D">
      <w:pPr>
        <w:spacing w:before="100" w:beforeAutospacing="1" w:after="100" w:afterAutospacing="1"/>
        <w:ind w:left="567" w:right="565"/>
        <w:jc w:val="both"/>
        <w:rPr>
          <w:rFonts w:ascii="Palatino Linotype" w:hAnsi="Palatino Linotype" w:cs="Arial"/>
          <w:i/>
          <w:sz w:val="22"/>
          <w:szCs w:val="22"/>
        </w:rPr>
      </w:pPr>
      <w:hyperlink r:id="rId12" w:tgtFrame="_blank" w:history="1">
        <w:r w:rsidR="0080657C" w:rsidRPr="009C68B8">
          <w:rPr>
            <w:rStyle w:val="Hipervnculo"/>
            <w:rFonts w:ascii="Palatino Linotype" w:eastAsiaTheme="majorEastAsia" w:hAnsi="Palatino Linotype" w:cs="Arial"/>
            <w:b/>
            <w:bCs/>
            <w:color w:val="auto"/>
            <w:sz w:val="22"/>
            <w:szCs w:val="22"/>
            <w:u w:val="none"/>
          </w:rPr>
          <w:t>inconformidad respuesta a 00401TULTITLA.pdf</w:t>
        </w:r>
      </w:hyperlink>
      <w:r w:rsidR="0080657C" w:rsidRPr="009C68B8">
        <w:rPr>
          <w:rFonts w:ascii="Palatino Linotype" w:hAnsi="Palatino Linotype" w:cs="Arial"/>
          <w:sz w:val="22"/>
          <w:szCs w:val="22"/>
        </w:rPr>
        <w:t>:</w:t>
      </w:r>
      <w:r w:rsidR="00187275" w:rsidRPr="009C68B8">
        <w:rPr>
          <w:rFonts w:ascii="Palatino Linotype" w:hAnsi="Palatino Linotype" w:cs="Arial"/>
          <w:sz w:val="22"/>
          <w:szCs w:val="22"/>
        </w:rPr>
        <w:t xml:space="preserve"> Documento consistente en un escrito, por medio del cual, el </w:t>
      </w:r>
      <w:r w:rsidR="00187275" w:rsidRPr="009C68B8">
        <w:rPr>
          <w:rFonts w:ascii="Palatino Linotype" w:hAnsi="Palatino Linotype" w:cs="Arial"/>
          <w:b/>
          <w:sz w:val="22"/>
          <w:szCs w:val="22"/>
        </w:rPr>
        <w:t>RECURRENTE</w:t>
      </w:r>
      <w:r w:rsidR="00187275" w:rsidRPr="009C68B8">
        <w:rPr>
          <w:rFonts w:ascii="Palatino Linotype" w:hAnsi="Palatino Linotype" w:cs="Arial"/>
          <w:sz w:val="22"/>
          <w:szCs w:val="22"/>
        </w:rPr>
        <w:t xml:space="preserve"> manifestó lo siguiente:</w:t>
      </w:r>
      <w:r w:rsidR="00187275" w:rsidRPr="009C68B8">
        <w:rPr>
          <w:rFonts w:ascii="Palatino Linotype" w:hAnsi="Palatino Linotype" w:cs="Arial"/>
          <w:i/>
          <w:sz w:val="22"/>
          <w:szCs w:val="22"/>
        </w:rPr>
        <w:t xml:space="preserve"> “</w:t>
      </w:r>
      <w:r w:rsidR="00187275" w:rsidRPr="009C68B8">
        <w:rPr>
          <w:rFonts w:ascii="Palatino Linotype" w:hAnsi="Palatino Linotype"/>
          <w:i/>
          <w:sz w:val="22"/>
          <w:szCs w:val="22"/>
        </w:rPr>
        <w:t>Manifiesto mi más profunda inconformidad por la respuesta dada a la solicitud con Número de Folio de la Solicitud: 00401/TULTITLA/IP/2024, ya que de manera arbitraria, con dolo y con el único afán de ocultar que pro derecho tiene el pueblo de México</w:t>
      </w:r>
      <w:r w:rsidR="00187275" w:rsidRPr="009C68B8">
        <w:rPr>
          <w:rFonts w:ascii="Palatino Linotype" w:hAnsi="Palatino Linotype"/>
          <w:b/>
          <w:i/>
          <w:sz w:val="22"/>
          <w:szCs w:val="22"/>
        </w:rPr>
        <w:t xml:space="preserve">, se contesta de manera parcial la citada solicitud dada a través del oficio de la COORDINACION MUNICIPAL DE PROTECCIÓN CIVIL Y BOMBEROS </w:t>
      </w:r>
      <w:r w:rsidR="00187275" w:rsidRPr="009C68B8">
        <w:rPr>
          <w:rFonts w:ascii="Palatino Linotype" w:hAnsi="Palatino Linotype"/>
          <w:i/>
          <w:sz w:val="22"/>
          <w:szCs w:val="22"/>
        </w:rPr>
        <w:t xml:space="preserve">con </w:t>
      </w:r>
      <w:proofErr w:type="spellStart"/>
      <w:r w:rsidR="00187275" w:rsidRPr="009C68B8">
        <w:rPr>
          <w:rFonts w:ascii="Palatino Linotype" w:hAnsi="Palatino Linotype"/>
          <w:i/>
          <w:sz w:val="22"/>
          <w:szCs w:val="22"/>
        </w:rPr>
        <w:t>numero</w:t>
      </w:r>
      <w:proofErr w:type="spellEnd"/>
      <w:r w:rsidR="00187275" w:rsidRPr="009C68B8">
        <w:rPr>
          <w:rFonts w:ascii="Palatino Linotype" w:hAnsi="Palatino Linotype"/>
          <w:i/>
          <w:sz w:val="22"/>
          <w:szCs w:val="22"/>
        </w:rPr>
        <w:t xml:space="preserve"> СMPСYB/2293/2024, de fecha 26 de noviembre del 2024 (se anexa), firmado por el ING. FRANCISCO JAVIER SÁNCHEZ SERVÍN, COORDINADOR MUNICIPAL DE PROTECCIÓN CIVIL, dirigido al C. AARÓN MANUEL RUZ ZUBIETA, JEFE DE LA UNIDAD MUNICIPAL DE ACCESO A LA INFORMACIÓN PÚBLICA Y LA PROTECCIÓN DE DATOS PERSONALES, en el cual se describe lo siguiente: “Por medio del presente reciba un cordial saludo, al mismo tiempo en atención al NO. DE OFICIO: UTT/0323/2024, turnado por la Dirección de Gobierno y Protección Civil, a esta Coordinación con el oficio DGPC/041/2024, con el que </w:t>
      </w:r>
      <w:proofErr w:type="spellStart"/>
      <w:r w:rsidR="00187275" w:rsidRPr="009C68B8">
        <w:rPr>
          <w:rFonts w:ascii="Palatino Linotype" w:hAnsi="Palatino Linotype"/>
          <w:i/>
          <w:sz w:val="22"/>
          <w:szCs w:val="22"/>
        </w:rPr>
        <w:t>envia</w:t>
      </w:r>
      <w:proofErr w:type="spellEnd"/>
      <w:r w:rsidR="00187275" w:rsidRPr="009C68B8">
        <w:rPr>
          <w:rFonts w:ascii="Palatino Linotype" w:hAnsi="Palatino Linotype"/>
          <w:i/>
          <w:sz w:val="22"/>
          <w:szCs w:val="22"/>
        </w:rPr>
        <w:t xml:space="preserve"> y solicita (.., solicita de la unidad económica con el giro de encierro de Transporte y Mantenimiento, en el domicilio ubicado en Avenida del Rio sin número, esquina Manuel Acuña, Barrio Belem, Municipio de Tultitlan, Estado de México, las documentales que avalen el cumplimiento a lo establecido a la Norma Técnica de Protección Civil NTE-001-CGPC2016, en cuanto a la elaboración de su programa específico, con el cual se hizo acreedor al permiso en materia de Protección Civil, solicitándole amablemente pueda darse seguimiento para dar respuesta al folio </w:t>
      </w:r>
      <w:proofErr w:type="spellStart"/>
      <w:r w:rsidR="00187275" w:rsidRPr="009C68B8">
        <w:rPr>
          <w:rFonts w:ascii="Palatino Linotype" w:hAnsi="Palatino Linotype"/>
          <w:i/>
          <w:sz w:val="22"/>
          <w:szCs w:val="22"/>
        </w:rPr>
        <w:t>Saimex</w:t>
      </w:r>
      <w:proofErr w:type="spellEnd"/>
      <w:r w:rsidR="00187275" w:rsidRPr="009C68B8">
        <w:rPr>
          <w:rFonts w:ascii="Palatino Linotype" w:hAnsi="Palatino Linotype"/>
          <w:i/>
          <w:sz w:val="22"/>
          <w:szCs w:val="22"/>
        </w:rPr>
        <w:t xml:space="preserve"> 00401/TULTITLA/IP/2024 ...) sic. Por lo antes descrito, tengo a bien </w:t>
      </w:r>
      <w:r w:rsidR="00187275" w:rsidRPr="009C68B8">
        <w:rPr>
          <w:rFonts w:ascii="Palatino Linotype" w:hAnsi="Palatino Linotype"/>
          <w:i/>
          <w:sz w:val="22"/>
          <w:szCs w:val="22"/>
        </w:rPr>
        <w:lastRenderedPageBreak/>
        <w:t xml:space="preserve">informarle. Con fundamento en lo dispuesto por el </w:t>
      </w:r>
      <w:proofErr w:type="spellStart"/>
      <w:r w:rsidR="00187275" w:rsidRPr="009C68B8">
        <w:rPr>
          <w:rFonts w:ascii="Palatino Linotype" w:hAnsi="Palatino Linotype"/>
          <w:i/>
          <w:sz w:val="22"/>
          <w:szCs w:val="22"/>
        </w:rPr>
        <w:t>articulo</w:t>
      </w:r>
      <w:proofErr w:type="spellEnd"/>
      <w:r w:rsidR="00187275" w:rsidRPr="009C68B8">
        <w:rPr>
          <w:rFonts w:ascii="Palatino Linotype" w:hAnsi="Palatino Linotype"/>
          <w:i/>
          <w:sz w:val="22"/>
          <w:szCs w:val="22"/>
        </w:rPr>
        <w:t xml:space="preserve"> 8 de la Constitución Política de los Estados Unidos Mexicanos; 12 y 15 de la Ley de Transparencia y Acceso a la Información Pública del Estado de México y Municipios, 279 fracción VIII del Reglamento Orgánico de la Administración Pública del Municipio de Tultitlán, Estado de México, en mi calidad de Coordinador de Protección Civil y Bomberos, de Tultitlán, Estado de México, de manera atenta y respetuosa manifiesto a usted que no se cuenta con información relacionada del giro comercial o domicilio de referencia. En razón de lo anterior, para tener elementos y dar una respuesta más amplia a su solicitud haga llegar a esta Coordinación copia simple de la Licencia de Funcionamiento que Usted refiere. </w:t>
      </w:r>
      <w:r w:rsidR="00187275" w:rsidRPr="009C68B8">
        <w:rPr>
          <w:rFonts w:ascii="Palatino Linotype" w:hAnsi="Palatino Linotype"/>
          <w:b/>
          <w:i/>
          <w:sz w:val="22"/>
          <w:szCs w:val="22"/>
        </w:rPr>
        <w:t>Como se nota en ningún momento están respondiendo lo solicitado</w:t>
      </w:r>
      <w:r w:rsidR="00187275" w:rsidRPr="009C68B8">
        <w:rPr>
          <w:rFonts w:ascii="Palatino Linotype" w:hAnsi="Palatino Linotype"/>
          <w:i/>
          <w:sz w:val="22"/>
          <w:szCs w:val="22"/>
        </w:rPr>
        <w:t xml:space="preserve"> que fue explícitamente fue: “De la respuesta otorgada a la solicitud de información 00276/TULTITLA/IP/2024 de la cual se emitió el oficio No. DECAEYVU/215/2024 de fecha 09 de agosto del 2024, signado por el Lcdo. Héctor Rodríguez Vega, Jefe del Departamento del Centro de Atención Empresarial y Ventanilla Única (se anexa para pronta referencia), se informó que “Por lo que hace a la solicitud del sistema SAIMEX 00276/TULTITLA/IP/2024, informó que después de una búsqueda en los archivos y medios digitales que obran en esta oficina a mi cargo, se encontró registro de una Licencia de Funcionamiento para una unidad económica con el giro de encierro de Transporte y Mantenimiento, en el domicilio ubicado en Avenida del Rio sin número, esquina Manuel Acuña, Barrio de Belem, Municipio de Tultitlan, Estado de México” sic. Al respecto, solicito de la manera más atenta copia en versión pública, en medio digital y a través de la plataforma de la “Licencia de Funcionamiento para una unidad económica con el giro de encierro de Transporte y Mantenimiento, en el domicilio ubicado en Avenida del Rio sin número, esquina Manuel Acuña, Barrio de Belem, Municipio de Tultitlan, Estado de México” Así mismo solicito las documentales que avalen el cumplimiento a lo establecido a la Norma Técnica de Protección Civil NTE001-CGPC-2016, en cuanto a la elaboración de su programa específico, con el cual se hizo acreedor al permiso en materia de protección civil, tomando en cuenta que todo </w:t>
      </w:r>
      <w:r w:rsidR="001D0D1D" w:rsidRPr="009C68B8">
        <w:rPr>
          <w:rFonts w:ascii="Palatino Linotype" w:hAnsi="Palatino Linotype"/>
          <w:i/>
          <w:sz w:val="22"/>
          <w:szCs w:val="22"/>
        </w:rPr>
        <w:t>giro</w:t>
      </w:r>
      <w:r w:rsidR="00187275" w:rsidRPr="009C68B8">
        <w:rPr>
          <w:rFonts w:ascii="Palatino Linotype" w:hAnsi="Palatino Linotype"/>
          <w:i/>
          <w:sz w:val="22"/>
          <w:szCs w:val="22"/>
        </w:rPr>
        <w:t xml:space="preserve"> relacionado al transporte en general que sea acreedor a un permiso materia de Protección Civil deberá de contar con el programa citado. Tal como se manifestó en el oficio CMPCYB/981/2024, signado por el Ing. Francisco Javier Sánchez Servín, Coordinador Municipal de Protección Civil. Obtenido a través de una solicitud de información diversa. (</w:t>
      </w:r>
      <w:proofErr w:type="gramStart"/>
      <w:r w:rsidR="00187275" w:rsidRPr="009C68B8">
        <w:rPr>
          <w:rFonts w:ascii="Palatino Linotype" w:hAnsi="Palatino Linotype"/>
          <w:i/>
          <w:sz w:val="22"/>
          <w:szCs w:val="22"/>
        </w:rPr>
        <w:t>se</w:t>
      </w:r>
      <w:proofErr w:type="gramEnd"/>
      <w:r w:rsidR="00187275" w:rsidRPr="009C68B8">
        <w:rPr>
          <w:rFonts w:ascii="Palatino Linotype" w:hAnsi="Palatino Linotype"/>
          <w:i/>
          <w:sz w:val="22"/>
          <w:szCs w:val="22"/>
        </w:rPr>
        <w:t xml:space="preserve"> anexa oficio) Gracias” Como se observa en la contestación el ING. FRANCISCO JAVIER SÁNCHEZ SERVÍN, COORDINADOR MUNICIPAL DE PROTECCIÓN CIVIL, les solicita al C. AARÓN MANUEL RUZ ZUBIETA, JEFE DE LA UNIDAD MUNICIPAL DE ACCESO A LA INFORMACIÓN </w:t>
      </w:r>
      <w:r w:rsidR="00187275" w:rsidRPr="009C68B8">
        <w:rPr>
          <w:rFonts w:ascii="Palatino Linotype" w:hAnsi="Palatino Linotype"/>
          <w:i/>
          <w:sz w:val="22"/>
          <w:szCs w:val="22"/>
        </w:rPr>
        <w:lastRenderedPageBreak/>
        <w:t>PÚBLICA Y LA PROTECCIÓN DE DATOS PERSONALES, “… para tener elementos y dar una respuesta más amplia a su solicitud haga llegar a esta Coordinación copia simple de la Licencia de Funcionamiento que Usted refiere.”</w:t>
      </w:r>
      <w:r w:rsidR="001D0D1D" w:rsidRPr="009C68B8">
        <w:rPr>
          <w:rFonts w:ascii="Palatino Linotype" w:hAnsi="Palatino Linotype"/>
          <w:i/>
          <w:sz w:val="22"/>
          <w:szCs w:val="22"/>
        </w:rPr>
        <w:t xml:space="preserve"> </w:t>
      </w:r>
      <w:r w:rsidR="00187275" w:rsidRPr="009C68B8">
        <w:rPr>
          <w:rFonts w:ascii="Palatino Linotype" w:hAnsi="Palatino Linotype"/>
          <w:b/>
          <w:i/>
          <w:sz w:val="22"/>
          <w:szCs w:val="22"/>
        </w:rPr>
        <w:t>Por lo que en ningún momento se da atención a lo que fue solicitado</w:t>
      </w:r>
      <w:r w:rsidR="00187275" w:rsidRPr="009C68B8">
        <w:rPr>
          <w:rFonts w:ascii="Palatino Linotype" w:hAnsi="Palatino Linotype"/>
          <w:i/>
          <w:sz w:val="22"/>
          <w:szCs w:val="22"/>
        </w:rPr>
        <w:t xml:space="preserve"> de manera respetuosa, de manera </w:t>
      </w:r>
      <w:proofErr w:type="spellStart"/>
      <w:r w:rsidR="00187275" w:rsidRPr="009C68B8">
        <w:rPr>
          <w:rFonts w:ascii="Palatino Linotype" w:hAnsi="Palatino Linotype"/>
          <w:i/>
          <w:sz w:val="22"/>
          <w:szCs w:val="22"/>
        </w:rPr>
        <w:t>pacifica</w:t>
      </w:r>
      <w:proofErr w:type="spellEnd"/>
      <w:r w:rsidR="00187275" w:rsidRPr="009C68B8">
        <w:rPr>
          <w:rFonts w:ascii="Palatino Linotype" w:hAnsi="Palatino Linotype"/>
          <w:i/>
          <w:sz w:val="22"/>
          <w:szCs w:val="22"/>
        </w:rPr>
        <w:t xml:space="preserve"> y de manera motivada y fundamentada. </w:t>
      </w:r>
      <w:r w:rsidR="00187275" w:rsidRPr="009C68B8">
        <w:rPr>
          <w:rFonts w:ascii="Palatino Linotype" w:hAnsi="Palatino Linotype"/>
          <w:b/>
          <w:i/>
          <w:sz w:val="22"/>
          <w:szCs w:val="22"/>
        </w:rPr>
        <w:t>Por tal motivo solicito me sea entregada la información solicitada</w:t>
      </w:r>
      <w:r w:rsidR="00187275" w:rsidRPr="009C68B8">
        <w:rPr>
          <w:rFonts w:ascii="Palatino Linotype" w:hAnsi="Palatino Linotype"/>
          <w:i/>
          <w:sz w:val="22"/>
          <w:szCs w:val="22"/>
        </w:rPr>
        <w:t xml:space="preserve"> a la brevedad posible y si es el caso se sancione a los servidores públicos que con toda alevosía, ventaja y dolo niegan de manera arbitraria la información, Gracias.</w:t>
      </w:r>
      <w:r w:rsidR="00187275" w:rsidRPr="009C68B8">
        <w:rPr>
          <w:rFonts w:ascii="Palatino Linotype" w:hAnsi="Palatino Linotype" w:cs="Arial"/>
          <w:i/>
          <w:sz w:val="22"/>
          <w:szCs w:val="22"/>
        </w:rPr>
        <w:t>” (Sic)</w:t>
      </w:r>
    </w:p>
    <w:p w:rsidR="001D0D1D" w:rsidRPr="009C68B8" w:rsidRDefault="0048643A" w:rsidP="001D0D1D">
      <w:pPr>
        <w:spacing w:before="100" w:beforeAutospacing="1" w:after="100" w:afterAutospacing="1"/>
        <w:ind w:left="567" w:right="565"/>
        <w:jc w:val="both"/>
        <w:rPr>
          <w:rFonts w:ascii="Palatino Linotype" w:hAnsi="Palatino Linotype" w:cs="Arial"/>
          <w:sz w:val="22"/>
          <w:szCs w:val="22"/>
        </w:rPr>
      </w:pPr>
      <w:hyperlink r:id="rId13" w:tgtFrame="_blank" w:history="1">
        <w:r w:rsidR="0080657C" w:rsidRPr="009C68B8">
          <w:rPr>
            <w:rStyle w:val="Hipervnculo"/>
            <w:rFonts w:ascii="Palatino Linotype" w:eastAsiaTheme="majorEastAsia" w:hAnsi="Palatino Linotype" w:cs="Arial"/>
            <w:b/>
            <w:bCs/>
            <w:color w:val="auto"/>
            <w:sz w:val="22"/>
            <w:szCs w:val="22"/>
            <w:u w:val="none"/>
          </w:rPr>
          <w:t>S301 GOB (1) (1).</w:t>
        </w:r>
        <w:proofErr w:type="spellStart"/>
        <w:r w:rsidR="0080657C" w:rsidRPr="009C68B8">
          <w:rPr>
            <w:rStyle w:val="Hipervnculo"/>
            <w:rFonts w:ascii="Palatino Linotype" w:eastAsiaTheme="majorEastAsia" w:hAnsi="Palatino Linotype" w:cs="Arial"/>
            <w:b/>
            <w:bCs/>
            <w:color w:val="auto"/>
            <w:sz w:val="22"/>
            <w:szCs w:val="22"/>
            <w:u w:val="none"/>
          </w:rPr>
          <w:t>pdf</w:t>
        </w:r>
        <w:proofErr w:type="spellEnd"/>
      </w:hyperlink>
      <w:r w:rsidR="0080657C" w:rsidRPr="009C68B8">
        <w:rPr>
          <w:rFonts w:ascii="Palatino Linotype" w:hAnsi="Palatino Linotype" w:cs="Arial"/>
          <w:sz w:val="22"/>
          <w:szCs w:val="22"/>
        </w:rPr>
        <w:t>:</w:t>
      </w:r>
      <w:r w:rsidR="001D0D1D" w:rsidRPr="009C68B8">
        <w:rPr>
          <w:rFonts w:ascii="Palatino Linotype" w:hAnsi="Palatino Linotype" w:cs="Arial"/>
          <w:sz w:val="22"/>
          <w:szCs w:val="22"/>
        </w:rPr>
        <w:t xml:space="preserve"> Oficio suscrito por el Coordinador de Protección Civil y Bomberos, dirigido al Jefe de la Unidad Municipal de Acceso a la Información Pública y la Protección de Datos Personales, por medio del cual, manifestó lo siguiente: </w:t>
      </w:r>
      <w:r w:rsidR="001D0D1D" w:rsidRPr="009C68B8">
        <w:rPr>
          <w:rFonts w:ascii="Palatino Linotype" w:hAnsi="Palatino Linotype" w:cs="Arial"/>
          <w:i/>
          <w:sz w:val="22"/>
          <w:szCs w:val="22"/>
        </w:rPr>
        <w:t>“</w:t>
      </w:r>
      <w:r w:rsidR="001D0D1D" w:rsidRPr="009C68B8">
        <w:rPr>
          <w:rFonts w:ascii="Palatino Linotype" w:hAnsi="Palatino Linotype" w:cs="Arial"/>
          <w:i/>
          <w:color w:val="222222"/>
          <w:sz w:val="22"/>
          <w:szCs w:val="22"/>
          <w:shd w:val="clear" w:color="auto" w:fill="FFFFFF"/>
        </w:rPr>
        <w:t xml:space="preserve">Por medio del presente reciba un cordial saludo, al mismo tiempo en atención al NO. DE OFICIO: UTT/00241/2024, turnado por la Dirección de Gobierno y Protección Civil, a esta Coordinación, con el que envía y solicita (...atención sobre información que puede estar en posesión de la dependencia a su digno cargo, solicitándole amablemente pueda darse seguimiento para dar respuesta al folio </w:t>
      </w:r>
      <w:proofErr w:type="spellStart"/>
      <w:r w:rsidR="001D0D1D" w:rsidRPr="009C68B8">
        <w:rPr>
          <w:rFonts w:ascii="Palatino Linotype" w:hAnsi="Palatino Linotype" w:cs="Arial"/>
          <w:i/>
          <w:color w:val="222222"/>
          <w:sz w:val="22"/>
          <w:szCs w:val="22"/>
          <w:shd w:val="clear" w:color="auto" w:fill="FFFFFF"/>
        </w:rPr>
        <w:t>Saimex</w:t>
      </w:r>
      <w:proofErr w:type="spellEnd"/>
      <w:r w:rsidR="001D0D1D" w:rsidRPr="009C68B8">
        <w:rPr>
          <w:rFonts w:ascii="Palatino Linotype" w:hAnsi="Palatino Linotype" w:cs="Arial"/>
          <w:i/>
          <w:color w:val="222222"/>
          <w:sz w:val="22"/>
          <w:szCs w:val="22"/>
          <w:shd w:val="clear" w:color="auto" w:fill="FFFFFF"/>
        </w:rPr>
        <w:t xml:space="preserve"> 00301/TULTITLA/IP/2024...) sic.</w:t>
      </w:r>
    </w:p>
    <w:p w:rsidR="001D0D1D" w:rsidRPr="009C68B8" w:rsidRDefault="001D0D1D" w:rsidP="001D0D1D">
      <w:pPr>
        <w:tabs>
          <w:tab w:val="left" w:pos="426"/>
          <w:tab w:val="left" w:pos="567"/>
        </w:tabs>
        <w:ind w:left="567" w:right="565"/>
        <w:jc w:val="both"/>
        <w:rPr>
          <w:rFonts w:ascii="Palatino Linotype" w:hAnsi="Palatino Linotype" w:cs="Arial"/>
          <w:i/>
          <w:sz w:val="22"/>
          <w:szCs w:val="22"/>
        </w:rPr>
      </w:pPr>
      <w:r w:rsidRPr="009C68B8">
        <w:rPr>
          <w:rFonts w:ascii="Palatino Linotype" w:hAnsi="Palatino Linotype" w:cs="Arial"/>
          <w:i/>
          <w:sz w:val="22"/>
          <w:szCs w:val="22"/>
        </w:rPr>
        <w:t xml:space="preserve">Por lo antes descrito, tengo a bien informarle. </w:t>
      </w:r>
    </w:p>
    <w:p w:rsidR="001D0D1D" w:rsidRPr="009C68B8" w:rsidRDefault="001D0D1D" w:rsidP="001D0D1D">
      <w:pPr>
        <w:tabs>
          <w:tab w:val="left" w:pos="426"/>
          <w:tab w:val="left" w:pos="567"/>
        </w:tabs>
        <w:ind w:left="567" w:right="565"/>
        <w:jc w:val="both"/>
        <w:rPr>
          <w:rFonts w:ascii="Palatino Linotype" w:hAnsi="Palatino Linotype" w:cs="Arial"/>
          <w:i/>
          <w:sz w:val="22"/>
          <w:szCs w:val="22"/>
        </w:rPr>
      </w:pPr>
    </w:p>
    <w:p w:rsidR="00874F8E" w:rsidRPr="009C68B8" w:rsidRDefault="001D0D1D" w:rsidP="001D0D1D">
      <w:pPr>
        <w:tabs>
          <w:tab w:val="left" w:pos="426"/>
          <w:tab w:val="left" w:pos="567"/>
        </w:tabs>
        <w:ind w:left="567" w:right="565"/>
        <w:jc w:val="both"/>
        <w:rPr>
          <w:rFonts w:ascii="Palatino Linotype" w:hAnsi="Palatino Linotype" w:cs="Arial"/>
          <w:i/>
          <w:sz w:val="22"/>
          <w:szCs w:val="22"/>
        </w:rPr>
      </w:pPr>
      <w:r w:rsidRPr="009C68B8">
        <w:rPr>
          <w:rFonts w:ascii="Palatino Linotype" w:hAnsi="Palatino Linotype" w:cs="Arial"/>
          <w:b/>
          <w:i/>
          <w:color w:val="222222"/>
          <w:sz w:val="22"/>
          <w:szCs w:val="22"/>
          <w:shd w:val="clear" w:color="auto" w:fill="FFFFFF"/>
        </w:rPr>
        <w:t xml:space="preserve">Todo giro relacionado al transporte en general, que sea acreedor a un permiso en materia de Protección Civil deberá contar con elaboración de su programa específico de conformidad con la Norma Técnica de Protección Civil NTE-001-CGPC-2016, que establece los lineamientos y las especificaciones para la elaboración de su programa específico de Protección Civil. </w:t>
      </w:r>
      <w:r w:rsidRPr="009C68B8">
        <w:rPr>
          <w:rFonts w:ascii="Palatino Linotype" w:hAnsi="Palatino Linotype" w:cs="Arial"/>
          <w:i/>
          <w:color w:val="222222"/>
          <w:sz w:val="22"/>
          <w:szCs w:val="22"/>
          <w:shd w:val="clear" w:color="auto" w:fill="FFFFFF"/>
        </w:rPr>
        <w:t>Escrito de petición fundamentado en el Artículo 8 de la Constitución Política de los Estados Unidos Mexicanos, ante la dependencia de Desarrollo Urbano y Medio Ambiente.” (Sic)</w:t>
      </w:r>
    </w:p>
    <w:p w:rsidR="001D0D1D" w:rsidRPr="009C68B8" w:rsidRDefault="001D0D1D" w:rsidP="001D0D1D">
      <w:pPr>
        <w:tabs>
          <w:tab w:val="left" w:pos="426"/>
          <w:tab w:val="left" w:pos="567"/>
        </w:tabs>
        <w:spacing w:line="360" w:lineRule="auto"/>
        <w:ind w:right="565"/>
        <w:jc w:val="both"/>
        <w:rPr>
          <w:rFonts w:ascii="Palatino Linotype" w:hAnsi="Palatino Linotype" w:cs="Arial"/>
          <w:i/>
          <w:sz w:val="22"/>
          <w:szCs w:val="22"/>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 xml:space="preserve">La </w:t>
      </w:r>
      <w:r w:rsidRPr="009C68B8">
        <w:rPr>
          <w:rFonts w:ascii="Palatino Linotype" w:eastAsia="Calibri" w:hAnsi="Palatino Linotype"/>
          <w:sz w:val="22"/>
          <w:szCs w:val="22"/>
        </w:rPr>
        <w:t>Comisionada</w:t>
      </w:r>
      <w:r w:rsidRPr="009C68B8">
        <w:rPr>
          <w:rFonts w:ascii="Palatino Linotype" w:eastAsia="Calibri" w:hAnsi="Palatino Linotype" w:cs="Arial"/>
          <w:sz w:val="22"/>
          <w:szCs w:val="22"/>
        </w:rPr>
        <w:t xml:space="preserve"> Ponente con fundamento en lo dispuesto por el artículo 185 fracción II de la ley de la materia, a través del acuerdo de admisión del diecisiete de julio de dos mil veinticuatro, puso a disposición de las partes el expediente electrónico vía Sistema de Acceso a la Información Mexiquense </w:t>
      </w:r>
      <w:r w:rsidRPr="009C68B8">
        <w:rPr>
          <w:rFonts w:ascii="Palatino Linotype" w:eastAsia="Calibri" w:hAnsi="Palatino Linotype" w:cs="Arial"/>
          <w:b/>
          <w:sz w:val="22"/>
          <w:szCs w:val="22"/>
        </w:rPr>
        <w:t xml:space="preserve">SAIMEX, </w:t>
      </w:r>
      <w:r w:rsidRPr="009C68B8">
        <w:rPr>
          <w:rFonts w:ascii="Palatino Linotype" w:eastAsia="Calibri" w:hAnsi="Palatino Linotype" w:cs="Arial"/>
          <w:sz w:val="22"/>
          <w:szCs w:val="22"/>
        </w:rPr>
        <w:t xml:space="preserve">a efecto de que en un plazo máximo de siete </w:t>
      </w:r>
      <w:r w:rsidRPr="009C68B8">
        <w:rPr>
          <w:rFonts w:ascii="Palatino Linotype" w:eastAsia="Calibri" w:hAnsi="Palatino Linotype" w:cs="Arial"/>
          <w:sz w:val="22"/>
          <w:szCs w:val="22"/>
        </w:rPr>
        <w:lastRenderedPageBreak/>
        <w:t xml:space="preserve">días manifestaran lo que a su derecho conviniera, ofrecieran pruebas y alegatos según corresponda, de esta forma para que el </w:t>
      </w:r>
      <w:r w:rsidRPr="009C68B8">
        <w:rPr>
          <w:rFonts w:ascii="Palatino Linotype" w:eastAsia="Calibri" w:hAnsi="Palatino Linotype" w:cs="Arial"/>
          <w:b/>
          <w:sz w:val="22"/>
          <w:szCs w:val="22"/>
        </w:rPr>
        <w:t>SUJETO OBLIGADO</w:t>
      </w:r>
      <w:r w:rsidRPr="009C68B8">
        <w:rPr>
          <w:rFonts w:ascii="Palatino Linotype" w:eastAsia="Calibri" w:hAnsi="Palatino Linotype" w:cs="Arial"/>
          <w:sz w:val="22"/>
          <w:szCs w:val="22"/>
        </w:rPr>
        <w:t xml:space="preserve"> presentará el Informe Justificado procedente.</w:t>
      </w:r>
    </w:p>
    <w:bookmarkEnd w:id="5"/>
    <w:bookmarkEnd w:id="6"/>
    <w:bookmarkEnd w:id="7"/>
    <w:bookmarkEnd w:id="8"/>
    <w:bookmarkEnd w:id="9"/>
    <w:bookmarkEnd w:id="10"/>
    <w:bookmarkEnd w:id="11"/>
    <w:bookmarkEnd w:id="12"/>
    <w:bookmarkEnd w:id="13"/>
    <w:bookmarkEnd w:id="14"/>
    <w:bookmarkEnd w:id="15"/>
    <w:bookmarkEnd w:id="16"/>
    <w:bookmarkEnd w:id="17"/>
    <w:bookmarkEnd w:id="18"/>
    <w:p w:rsidR="00874F8E" w:rsidRPr="009C68B8"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9C68B8" w:rsidRDefault="00874F8E" w:rsidP="0080657C">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bCs/>
          <w:color w:val="000000" w:themeColor="text1"/>
          <w:sz w:val="22"/>
          <w:szCs w:val="22"/>
          <w:lang w:val="es-ES"/>
        </w:rPr>
      </w:pPr>
      <w:r w:rsidRPr="009C68B8">
        <w:rPr>
          <w:rFonts w:ascii="Palatino Linotype" w:eastAsia="Calibri" w:hAnsi="Palatino Linotype" w:cs="Arial"/>
          <w:color w:val="000000" w:themeColor="text1"/>
          <w:sz w:val="22"/>
          <w:szCs w:val="22"/>
          <w:lang w:val="es-ES"/>
        </w:rPr>
        <w:t xml:space="preserve">El </w:t>
      </w:r>
      <w:r w:rsidRPr="009C68B8">
        <w:rPr>
          <w:rFonts w:ascii="Palatino Linotype" w:eastAsia="Calibri" w:hAnsi="Palatino Linotype" w:cs="Arial"/>
          <w:b/>
          <w:color w:val="000000" w:themeColor="text1"/>
          <w:sz w:val="22"/>
          <w:szCs w:val="22"/>
          <w:lang w:val="es-ES"/>
        </w:rPr>
        <w:t>SUJETO OBLIGADO</w:t>
      </w:r>
      <w:r w:rsidRPr="009C68B8">
        <w:rPr>
          <w:rFonts w:ascii="Palatino Linotype" w:eastAsia="Calibri" w:hAnsi="Palatino Linotype" w:cs="Arial"/>
          <w:color w:val="000000" w:themeColor="text1"/>
          <w:sz w:val="22"/>
          <w:szCs w:val="22"/>
          <w:lang w:val="es-ES"/>
        </w:rPr>
        <w:t xml:space="preserve"> </w:t>
      </w:r>
      <w:r w:rsidR="0080657C" w:rsidRPr="009C68B8">
        <w:rPr>
          <w:rFonts w:ascii="Palatino Linotype" w:eastAsia="Calibri" w:hAnsi="Palatino Linotype" w:cs="Arial"/>
          <w:color w:val="000000" w:themeColor="text1"/>
          <w:sz w:val="22"/>
          <w:szCs w:val="22"/>
          <w:lang w:val="es-ES"/>
        </w:rPr>
        <w:t xml:space="preserve">omitió rendir </w:t>
      </w:r>
      <w:r w:rsidRPr="009C68B8">
        <w:rPr>
          <w:rFonts w:ascii="Palatino Linotype" w:eastAsia="Calibri" w:hAnsi="Palatino Linotype" w:cs="Arial"/>
          <w:color w:val="000000" w:themeColor="text1"/>
          <w:sz w:val="22"/>
          <w:szCs w:val="22"/>
          <w:lang w:val="es-ES"/>
        </w:rPr>
        <w:t xml:space="preserve">el </w:t>
      </w:r>
      <w:r w:rsidRPr="009C68B8">
        <w:rPr>
          <w:rFonts w:ascii="Palatino Linotype" w:eastAsia="Calibri" w:hAnsi="Palatino Linotype" w:cs="Arial"/>
          <w:sz w:val="22"/>
          <w:szCs w:val="22"/>
          <w:lang w:val="es-ES"/>
        </w:rPr>
        <w:t xml:space="preserve">informe justificado correspondiente, </w:t>
      </w:r>
      <w:r w:rsidR="0080657C" w:rsidRPr="009C68B8">
        <w:rPr>
          <w:rFonts w:ascii="Palatino Linotype" w:eastAsia="Calibri" w:hAnsi="Palatino Linotype" w:cs="Arial"/>
          <w:bCs/>
          <w:color w:val="000000" w:themeColor="text1"/>
          <w:sz w:val="22"/>
          <w:szCs w:val="22"/>
          <w:lang w:val="es-ES"/>
        </w:rPr>
        <w:t>p</w:t>
      </w:r>
      <w:r w:rsidRPr="009C68B8">
        <w:rPr>
          <w:rFonts w:ascii="Palatino Linotype" w:eastAsia="Calibri" w:hAnsi="Palatino Linotype" w:cs="Arial"/>
          <w:sz w:val="22"/>
          <w:szCs w:val="22"/>
          <w:lang w:val="es-ES"/>
        </w:rPr>
        <w:t>or su parte, el</w:t>
      </w:r>
      <w:r w:rsidRPr="009C68B8">
        <w:rPr>
          <w:rFonts w:ascii="Palatino Linotype" w:eastAsia="Calibri" w:hAnsi="Palatino Linotype" w:cs="Arial"/>
          <w:b/>
          <w:sz w:val="22"/>
          <w:szCs w:val="22"/>
          <w:lang w:val="es-ES"/>
        </w:rPr>
        <w:t xml:space="preserve"> </w:t>
      </w:r>
      <w:r w:rsidRPr="009C68B8">
        <w:rPr>
          <w:rFonts w:ascii="Palatino Linotype" w:eastAsia="Calibri" w:hAnsi="Palatino Linotype" w:cs="Arial"/>
          <w:b/>
          <w:bCs/>
          <w:sz w:val="22"/>
          <w:szCs w:val="22"/>
          <w:lang w:val="es-ES"/>
        </w:rPr>
        <w:t>RECURRENTE</w:t>
      </w:r>
      <w:r w:rsidRPr="009C68B8">
        <w:rPr>
          <w:rFonts w:ascii="Palatino Linotype" w:eastAsia="Calibri" w:hAnsi="Palatino Linotype" w:cs="Arial"/>
          <w:b/>
          <w:sz w:val="22"/>
          <w:szCs w:val="22"/>
          <w:lang w:val="es-ES"/>
        </w:rPr>
        <w:t xml:space="preserve"> </w:t>
      </w:r>
      <w:r w:rsidRPr="009C68B8">
        <w:rPr>
          <w:rFonts w:ascii="Palatino Linotype" w:eastAsia="Calibri" w:hAnsi="Palatino Linotype" w:cs="Arial"/>
          <w:sz w:val="22"/>
          <w:szCs w:val="22"/>
          <w:lang w:val="es-ES"/>
        </w:rPr>
        <w:t xml:space="preserve">no presentó pruebas o alegatos que convinieran a su derecho, según consta en el </w:t>
      </w:r>
      <w:r w:rsidRPr="009C68B8">
        <w:rPr>
          <w:rFonts w:ascii="Palatino Linotype" w:eastAsia="Calibri" w:hAnsi="Palatino Linotype" w:cs="Arial"/>
          <w:b/>
          <w:bCs/>
          <w:sz w:val="22"/>
          <w:szCs w:val="22"/>
          <w:lang w:val="es-ES"/>
        </w:rPr>
        <w:t>SAIMEX.</w:t>
      </w:r>
    </w:p>
    <w:p w:rsidR="00874F8E" w:rsidRPr="009C68B8" w:rsidRDefault="00874F8E" w:rsidP="00874F8E">
      <w:pPr>
        <w:pStyle w:val="Prrafodelista"/>
        <w:tabs>
          <w:tab w:val="left" w:pos="426"/>
          <w:tab w:val="left" w:pos="567"/>
        </w:tabs>
        <w:spacing w:line="360" w:lineRule="auto"/>
        <w:ind w:left="0"/>
        <w:jc w:val="both"/>
        <w:rPr>
          <w:rFonts w:ascii="Palatino Linotype" w:hAnsi="Palatino Linotype"/>
          <w:sz w:val="22"/>
          <w:szCs w:val="22"/>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hAnsi="Palatino Linotype"/>
          <w:sz w:val="22"/>
          <w:szCs w:val="22"/>
        </w:rPr>
      </w:pPr>
      <w:r w:rsidRPr="009C68B8">
        <w:rPr>
          <w:rFonts w:ascii="Palatino Linotype" w:hAnsi="Palatino Linotype"/>
          <w:sz w:val="22"/>
          <w:szCs w:val="22"/>
        </w:rPr>
        <w:t xml:space="preserve">La Comisionada Ponente decretó el cierre de instrucción mediante acuerdo del </w:t>
      </w:r>
      <w:r w:rsidR="00552072" w:rsidRPr="009C68B8">
        <w:rPr>
          <w:rFonts w:ascii="Palatino Linotype" w:hAnsi="Palatino Linotype"/>
          <w:sz w:val="22"/>
          <w:szCs w:val="22"/>
        </w:rPr>
        <w:t>treinta de enero</w:t>
      </w:r>
      <w:r w:rsidRPr="009C68B8">
        <w:rPr>
          <w:rFonts w:ascii="Palatino Linotype" w:hAnsi="Palatino Linotype"/>
          <w:sz w:val="22"/>
          <w:szCs w:val="22"/>
        </w:rPr>
        <w:t xml:space="preserve"> de dos mil veinticuatro; por lo que se ordenó turnar el expediente a resolución, misma que ahora se pronuncia; y ---------------------------------------------------------------------------</w:t>
      </w:r>
    </w:p>
    <w:p w:rsidR="00874F8E" w:rsidRPr="009C68B8" w:rsidRDefault="00874F8E" w:rsidP="00874F8E">
      <w:pPr>
        <w:pStyle w:val="Prrafodelista"/>
        <w:tabs>
          <w:tab w:val="left" w:pos="426"/>
          <w:tab w:val="left" w:pos="567"/>
        </w:tabs>
        <w:spacing w:line="360" w:lineRule="auto"/>
        <w:ind w:left="0"/>
        <w:jc w:val="both"/>
        <w:rPr>
          <w:rFonts w:ascii="Palatino Linotype" w:hAnsi="Palatino Linotype"/>
          <w:sz w:val="22"/>
          <w:szCs w:val="22"/>
        </w:rPr>
      </w:pPr>
    </w:p>
    <w:p w:rsidR="00874F8E" w:rsidRPr="009C68B8" w:rsidRDefault="00874F8E" w:rsidP="00874F8E">
      <w:pPr>
        <w:pStyle w:val="Ttulo2"/>
        <w:jc w:val="center"/>
        <w:rPr>
          <w:rFonts w:ascii="Palatino Linotype" w:hAnsi="Palatino Linotype"/>
          <w:b/>
          <w:color w:val="000000" w:themeColor="text1"/>
          <w:sz w:val="22"/>
          <w:szCs w:val="22"/>
        </w:rPr>
      </w:pPr>
      <w:bookmarkStart w:id="19" w:name="_Toc88748490"/>
      <w:r w:rsidRPr="009C68B8">
        <w:rPr>
          <w:rFonts w:ascii="Palatino Linotype" w:hAnsi="Palatino Linotype"/>
          <w:b/>
          <w:color w:val="000000" w:themeColor="text1"/>
          <w:sz w:val="22"/>
          <w:szCs w:val="22"/>
        </w:rPr>
        <w:t>CONSIDERANDO</w:t>
      </w:r>
      <w:bookmarkEnd w:id="19"/>
    </w:p>
    <w:p w:rsidR="00874F8E" w:rsidRPr="009C68B8" w:rsidRDefault="00874F8E" w:rsidP="00874F8E">
      <w:pPr>
        <w:rPr>
          <w:rFonts w:ascii="Palatino Linotype" w:hAnsi="Palatino Linotype"/>
          <w:sz w:val="22"/>
          <w:szCs w:val="22"/>
          <w:lang w:eastAsia="en-US"/>
        </w:rPr>
      </w:pPr>
    </w:p>
    <w:p w:rsidR="00874F8E" w:rsidRPr="009C68B8" w:rsidRDefault="00874F8E" w:rsidP="00874F8E">
      <w:pPr>
        <w:pStyle w:val="Ttulo2"/>
        <w:tabs>
          <w:tab w:val="left" w:pos="0"/>
        </w:tabs>
        <w:spacing w:before="0" w:line="360" w:lineRule="auto"/>
        <w:rPr>
          <w:rFonts w:ascii="Palatino Linotype" w:hAnsi="Palatino Linotype"/>
          <w:b/>
          <w:color w:val="auto"/>
          <w:sz w:val="22"/>
          <w:szCs w:val="22"/>
        </w:rPr>
      </w:pPr>
      <w:bookmarkStart w:id="20" w:name="_Toc491791303"/>
      <w:bookmarkStart w:id="21" w:name="_Toc535334651"/>
      <w:bookmarkStart w:id="22" w:name="_Toc2248732"/>
      <w:bookmarkStart w:id="23" w:name="_Toc88748491"/>
      <w:r w:rsidRPr="009C68B8">
        <w:rPr>
          <w:rFonts w:ascii="Palatino Linotype" w:hAnsi="Palatino Linotype"/>
          <w:b/>
          <w:color w:val="auto"/>
          <w:sz w:val="22"/>
          <w:szCs w:val="22"/>
        </w:rPr>
        <w:t>PRIMERO. De la competencia</w:t>
      </w:r>
      <w:bookmarkEnd w:id="20"/>
      <w:bookmarkEnd w:id="21"/>
      <w:bookmarkEnd w:id="22"/>
      <w:bookmarkEnd w:id="23"/>
    </w:p>
    <w:p w:rsidR="00874F8E" w:rsidRPr="009C68B8"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imes New Roman"/>
          <w:sz w:val="22"/>
          <w:szCs w:val="22"/>
        </w:rPr>
        <w:t xml:space="preserve">Este </w:t>
      </w:r>
      <w:r w:rsidRPr="009C68B8">
        <w:rPr>
          <w:rFonts w:ascii="Palatino Linotype" w:eastAsia="Calibri" w:hAnsi="Palatino Linotype"/>
          <w:color w:val="000000" w:themeColor="text1"/>
          <w:sz w:val="22"/>
          <w:szCs w:val="22"/>
          <w:lang w:val="es-ES"/>
        </w:rPr>
        <w:t xml:space="preserve">Instituto de Transparencia, Acceso a la Información Pública y Protección de Datos Personales del Estado de México y Municipios, es competente para conocer y resolver el presente recurso de conformidad con el artículo: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w:t>
      </w:r>
      <w:r w:rsidRPr="009C68B8">
        <w:rPr>
          <w:rFonts w:ascii="Palatino Linotype" w:eastAsia="Calibri" w:hAnsi="Palatino Linotype" w:cs="Arial"/>
          <w:color w:val="000000" w:themeColor="text1"/>
          <w:sz w:val="22"/>
          <w:szCs w:val="22"/>
          <w:lang w:val="es-ES"/>
        </w:rPr>
        <w:t xml:space="preserve">de la Ley de Transparencia y Acceso a la Información Pública del Estado de México y Municipios; y 10, 7, 9 fracciones I y XXIV, y 11 del Reglamento Interior </w:t>
      </w:r>
      <w:r w:rsidRPr="009C68B8">
        <w:rPr>
          <w:rFonts w:ascii="Palatino Linotype" w:eastAsia="Calibri" w:hAnsi="Palatino Linotype" w:cs="Arial"/>
          <w:color w:val="000000" w:themeColor="text1"/>
          <w:sz w:val="22"/>
          <w:szCs w:val="22"/>
          <w:lang w:val="es-ES"/>
        </w:rPr>
        <w:lastRenderedPageBreak/>
        <w:t>del Instituto de Transparencia, Acceso a la Información Pública y Protección de Datos Personales del Estado de México y Municipios.</w:t>
      </w:r>
    </w:p>
    <w:p w:rsidR="00874F8E" w:rsidRPr="009C68B8"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9C68B8" w:rsidRDefault="00874F8E" w:rsidP="00874F8E">
      <w:pPr>
        <w:pStyle w:val="Ttulo2"/>
        <w:tabs>
          <w:tab w:val="left" w:pos="0"/>
        </w:tabs>
        <w:spacing w:before="0" w:line="360" w:lineRule="auto"/>
        <w:rPr>
          <w:rFonts w:ascii="Palatino Linotype" w:hAnsi="Palatino Linotype"/>
          <w:b/>
          <w:color w:val="auto"/>
          <w:sz w:val="22"/>
          <w:szCs w:val="22"/>
        </w:rPr>
      </w:pPr>
      <w:bookmarkStart w:id="24" w:name="_Toc491791304"/>
      <w:bookmarkStart w:id="25" w:name="_Toc535334652"/>
      <w:bookmarkStart w:id="26" w:name="_Toc2248733"/>
      <w:bookmarkStart w:id="27" w:name="_Toc88748492"/>
      <w:r w:rsidRPr="009C68B8">
        <w:rPr>
          <w:rFonts w:ascii="Palatino Linotype" w:hAnsi="Palatino Linotype"/>
          <w:b/>
          <w:color w:val="auto"/>
          <w:sz w:val="22"/>
          <w:szCs w:val="22"/>
        </w:rPr>
        <w:t>SEGUNDO. De la oportunidad y procedencia.</w:t>
      </w:r>
      <w:bookmarkEnd w:id="24"/>
      <w:bookmarkEnd w:id="25"/>
      <w:bookmarkEnd w:id="26"/>
      <w:bookmarkEnd w:id="27"/>
    </w:p>
    <w:p w:rsidR="00874F8E" w:rsidRPr="009C68B8" w:rsidRDefault="00874F8E" w:rsidP="00874F8E">
      <w:pPr>
        <w:rPr>
          <w:rFonts w:ascii="Palatino Linotype" w:hAnsi="Palatino Linotype"/>
          <w:sz w:val="22"/>
          <w:szCs w:val="22"/>
          <w:lang w:val="es-ES_tradnl" w:eastAsia="en-US"/>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bookmarkStart w:id="28" w:name="_Toc511234456"/>
      <w:bookmarkStart w:id="29" w:name="_Toc466371865"/>
      <w:bookmarkStart w:id="30" w:name="_Toc466377653"/>
      <w:r w:rsidRPr="009C68B8">
        <w:rPr>
          <w:rFonts w:ascii="Palatino Linotype" w:eastAsia="Calibri" w:hAnsi="Palatino Linotype" w:cs="Arial"/>
          <w:color w:val="000000" w:themeColor="text1"/>
          <w:sz w:val="22"/>
          <w:szCs w:val="22"/>
          <w:lang w:val="es-ES"/>
        </w:rPr>
        <w:t xml:space="preserve"> </w:t>
      </w:r>
      <w:r w:rsidRPr="009C68B8">
        <w:rPr>
          <w:rFonts w:ascii="Palatino Linotype" w:eastAsia="Calibri" w:hAnsi="Palatino Linotype" w:cs="Arial"/>
          <w:color w:val="000000" w:themeColor="text1"/>
          <w:sz w:val="22"/>
          <w:szCs w:val="22"/>
        </w:rPr>
        <w:t xml:space="preserve">El medio de impugnación fue presentado a través del </w:t>
      </w:r>
      <w:r w:rsidRPr="009C68B8">
        <w:rPr>
          <w:rFonts w:ascii="Palatino Linotype" w:eastAsia="Calibri" w:hAnsi="Palatino Linotype" w:cs="Arial"/>
          <w:b/>
          <w:bCs/>
          <w:iCs/>
          <w:color w:val="000000" w:themeColor="text1"/>
          <w:sz w:val="22"/>
          <w:szCs w:val="22"/>
        </w:rPr>
        <w:t>SAIMEX</w:t>
      </w:r>
      <w:r w:rsidRPr="009C68B8">
        <w:rPr>
          <w:rFonts w:ascii="Palatino Linotype" w:eastAsia="Calibri" w:hAnsi="Palatino Linotype" w:cs="Arial"/>
          <w:b/>
          <w:color w:val="000000" w:themeColor="text1"/>
          <w:sz w:val="22"/>
          <w:szCs w:val="22"/>
        </w:rPr>
        <w:t xml:space="preserve"> </w:t>
      </w:r>
      <w:r w:rsidRPr="009C68B8">
        <w:rPr>
          <w:rFonts w:ascii="Palatino Linotype" w:eastAsia="Calibri" w:hAnsi="Palatino Linotype" w:cs="Arial"/>
          <w:color w:val="000000" w:themeColor="text1"/>
          <w:sz w:val="22"/>
          <w:szCs w:val="22"/>
        </w:rPr>
        <w:t xml:space="preserve">en el formato previamente aprobado para tal efecto y dentro del plazo legal de quince días hábiles otorgados; siendo así que el </w:t>
      </w:r>
      <w:r w:rsidRPr="009C68B8">
        <w:rPr>
          <w:rFonts w:ascii="Palatino Linotype" w:eastAsia="Calibri" w:hAnsi="Palatino Linotype" w:cs="Arial"/>
          <w:b/>
          <w:color w:val="000000" w:themeColor="text1"/>
          <w:sz w:val="22"/>
          <w:szCs w:val="22"/>
        </w:rPr>
        <w:t>SUJETO OBLIGADO</w:t>
      </w:r>
      <w:r w:rsidRPr="009C68B8">
        <w:rPr>
          <w:rFonts w:ascii="Palatino Linotype" w:eastAsia="Calibri" w:hAnsi="Palatino Linotype" w:cs="Arial"/>
          <w:color w:val="000000" w:themeColor="text1"/>
          <w:sz w:val="22"/>
          <w:szCs w:val="22"/>
        </w:rPr>
        <w:t xml:space="preserve"> entregó respuesta el </w:t>
      </w:r>
      <w:r w:rsidR="00552072" w:rsidRPr="009C68B8">
        <w:rPr>
          <w:rFonts w:ascii="Palatino Linotype" w:eastAsia="Calibri" w:hAnsi="Palatino Linotype" w:cs="Arial"/>
          <w:color w:val="000000" w:themeColor="text1"/>
          <w:sz w:val="22"/>
          <w:szCs w:val="22"/>
        </w:rPr>
        <w:t>dos de diciembre</w:t>
      </w:r>
      <w:r w:rsidRPr="009C68B8">
        <w:rPr>
          <w:rFonts w:ascii="Palatino Linotype" w:eastAsia="Calibri" w:hAnsi="Palatino Linotype" w:cs="Arial"/>
          <w:color w:val="000000" w:themeColor="text1"/>
          <w:sz w:val="22"/>
          <w:szCs w:val="22"/>
        </w:rPr>
        <w:t xml:space="preserve"> de dos mil veinticuatro, de tal forma que el plazo para interponer el recurso de revisión transcurrió del </w:t>
      </w:r>
      <w:r w:rsidR="00552072" w:rsidRPr="009C68B8">
        <w:rPr>
          <w:rFonts w:ascii="Palatino Linotype" w:eastAsia="Calibri" w:hAnsi="Palatino Linotype" w:cs="Arial"/>
          <w:color w:val="000000" w:themeColor="text1"/>
          <w:sz w:val="22"/>
          <w:szCs w:val="22"/>
        </w:rPr>
        <w:t>tres de diciembre</w:t>
      </w:r>
      <w:r w:rsidRPr="009C68B8">
        <w:rPr>
          <w:rFonts w:ascii="Palatino Linotype" w:eastAsia="Calibri" w:hAnsi="Palatino Linotype" w:cs="Arial"/>
          <w:color w:val="000000" w:themeColor="text1"/>
          <w:sz w:val="22"/>
          <w:szCs w:val="22"/>
        </w:rPr>
        <w:t xml:space="preserve"> </w:t>
      </w:r>
      <w:r w:rsidR="00552072" w:rsidRPr="009C68B8">
        <w:rPr>
          <w:rFonts w:ascii="Palatino Linotype" w:eastAsia="Calibri" w:hAnsi="Palatino Linotype" w:cs="Arial"/>
          <w:color w:val="000000" w:themeColor="text1"/>
          <w:sz w:val="22"/>
          <w:szCs w:val="22"/>
        </w:rPr>
        <w:t xml:space="preserve">de dos mil veinticuatro </w:t>
      </w:r>
      <w:r w:rsidRPr="009C68B8">
        <w:rPr>
          <w:rFonts w:ascii="Palatino Linotype" w:eastAsia="Calibri" w:hAnsi="Palatino Linotype" w:cs="Arial"/>
          <w:color w:val="000000" w:themeColor="text1"/>
          <w:sz w:val="22"/>
          <w:szCs w:val="22"/>
        </w:rPr>
        <w:t xml:space="preserve">al </w:t>
      </w:r>
      <w:r w:rsidR="00552072" w:rsidRPr="009C68B8">
        <w:rPr>
          <w:rFonts w:ascii="Palatino Linotype" w:eastAsia="Calibri" w:hAnsi="Palatino Linotype" w:cs="Arial"/>
          <w:color w:val="000000" w:themeColor="text1"/>
          <w:sz w:val="22"/>
          <w:szCs w:val="22"/>
        </w:rPr>
        <w:t>trece de enero de dos mil veinticinco</w:t>
      </w:r>
      <w:r w:rsidRPr="009C68B8">
        <w:rPr>
          <w:rFonts w:ascii="Palatino Linotype" w:eastAsia="Calibri" w:hAnsi="Palatino Linotype" w:cs="Arial"/>
          <w:color w:val="000000" w:themeColor="text1"/>
          <w:sz w:val="22"/>
          <w:szCs w:val="22"/>
        </w:rPr>
        <w:t xml:space="preserve">, en consecuencia, </w:t>
      </w:r>
      <w:r w:rsidRPr="009C68B8">
        <w:rPr>
          <w:rFonts w:ascii="Palatino Linotype" w:hAnsi="Palatino Linotype" w:cs="Arial"/>
          <w:bCs/>
          <w:color w:val="000000" w:themeColor="text1"/>
          <w:sz w:val="22"/>
          <w:szCs w:val="22"/>
        </w:rPr>
        <w:t xml:space="preserve">si la parte </w:t>
      </w:r>
      <w:r w:rsidRPr="009C68B8">
        <w:rPr>
          <w:rFonts w:ascii="Palatino Linotype" w:hAnsi="Palatino Linotype" w:cs="Arial"/>
          <w:b/>
          <w:color w:val="000000" w:themeColor="text1"/>
          <w:sz w:val="22"/>
          <w:szCs w:val="22"/>
        </w:rPr>
        <w:t xml:space="preserve">RECURRENTE </w:t>
      </w:r>
      <w:r w:rsidRPr="009C68B8">
        <w:rPr>
          <w:rFonts w:ascii="Palatino Linotype" w:hAnsi="Palatino Linotype" w:cs="Arial"/>
          <w:bCs/>
          <w:color w:val="000000" w:themeColor="text1"/>
          <w:sz w:val="22"/>
          <w:szCs w:val="22"/>
        </w:rPr>
        <w:t xml:space="preserve">presentó su inconformidad el </w:t>
      </w:r>
      <w:r w:rsidR="00552072" w:rsidRPr="009C68B8">
        <w:rPr>
          <w:rFonts w:ascii="Palatino Linotype" w:hAnsi="Palatino Linotype" w:cs="Arial"/>
          <w:bCs/>
          <w:color w:val="000000" w:themeColor="text1"/>
          <w:sz w:val="22"/>
          <w:szCs w:val="22"/>
        </w:rPr>
        <w:t xml:space="preserve">cuatro de diciembre </w:t>
      </w:r>
      <w:r w:rsidRPr="009C68B8">
        <w:rPr>
          <w:rFonts w:ascii="Palatino Linotype" w:hAnsi="Palatino Linotype" w:cs="Arial"/>
          <w:bCs/>
          <w:color w:val="000000" w:themeColor="text1"/>
          <w:sz w:val="22"/>
          <w:szCs w:val="22"/>
        </w:rPr>
        <w:t>de dos mil veinticuatro, se encuentra dentro de los márgenes temporales previstos en el artículo 178 de la Ley de Transparencia y Acceso a la Información Pública del Estado de México y Municipios.</w:t>
      </w:r>
    </w:p>
    <w:p w:rsidR="00874F8E" w:rsidRPr="009C68B8"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rPr>
        <w:t>En 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1D0D1D" w:rsidRPr="009C68B8" w:rsidRDefault="001D0D1D" w:rsidP="001D0D1D">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9C68B8" w:rsidRDefault="00874F8E" w:rsidP="00874F8E">
      <w:pPr>
        <w:pStyle w:val="Ttulo2"/>
        <w:tabs>
          <w:tab w:val="left" w:pos="0"/>
        </w:tabs>
        <w:spacing w:before="0" w:line="360" w:lineRule="auto"/>
        <w:rPr>
          <w:rFonts w:ascii="Palatino Linotype" w:hAnsi="Palatino Linotype"/>
          <w:b/>
          <w:i/>
          <w:iCs/>
          <w:color w:val="auto"/>
          <w:sz w:val="22"/>
          <w:szCs w:val="22"/>
        </w:rPr>
      </w:pPr>
      <w:bookmarkStart w:id="31" w:name="_Toc535334653"/>
      <w:bookmarkStart w:id="32" w:name="_Toc2248734"/>
      <w:bookmarkStart w:id="33" w:name="_Toc88748493"/>
      <w:r w:rsidRPr="009C68B8">
        <w:rPr>
          <w:rFonts w:ascii="Palatino Linotype" w:hAnsi="Palatino Linotype"/>
          <w:b/>
          <w:color w:val="auto"/>
          <w:sz w:val="22"/>
          <w:szCs w:val="22"/>
        </w:rPr>
        <w:t xml:space="preserve">TERCERO. </w:t>
      </w:r>
      <w:bookmarkEnd w:id="31"/>
      <w:bookmarkEnd w:id="32"/>
      <w:r w:rsidRPr="009C68B8">
        <w:rPr>
          <w:rFonts w:ascii="Palatino Linotype" w:hAnsi="Palatino Linotype"/>
          <w:b/>
          <w:color w:val="auto"/>
          <w:sz w:val="22"/>
          <w:szCs w:val="22"/>
        </w:rPr>
        <w:t xml:space="preserve">Del planteamiento de la </w:t>
      </w:r>
      <w:r w:rsidRPr="009C68B8">
        <w:rPr>
          <w:rFonts w:ascii="Palatino Linotype" w:hAnsi="Palatino Linotype"/>
          <w:b/>
          <w:i/>
          <w:iCs/>
          <w:color w:val="auto"/>
          <w:sz w:val="22"/>
          <w:szCs w:val="22"/>
        </w:rPr>
        <w:t>Litis.</w:t>
      </w:r>
    </w:p>
    <w:p w:rsidR="00874F8E" w:rsidRPr="009C68B8" w:rsidRDefault="00874F8E" w:rsidP="00874F8E">
      <w:pPr>
        <w:spacing w:line="360" w:lineRule="auto"/>
        <w:rPr>
          <w:rFonts w:ascii="Palatino Linotype" w:hAnsi="Palatino Linotype"/>
          <w:sz w:val="22"/>
          <w:szCs w:val="22"/>
          <w:lang w:val="es-ES_tradnl" w:eastAsia="en-US"/>
        </w:rPr>
      </w:pPr>
    </w:p>
    <w:p w:rsidR="005722BA" w:rsidRPr="009C68B8" w:rsidRDefault="00874F8E" w:rsidP="005722BA">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b/>
          <w:color w:val="000000" w:themeColor="text1"/>
          <w:sz w:val="22"/>
          <w:szCs w:val="22"/>
          <w:lang w:val="es-ES"/>
        </w:rPr>
      </w:pPr>
      <w:bookmarkStart w:id="34" w:name="_Toc529263621"/>
      <w:bookmarkStart w:id="35" w:name="_Toc530650937"/>
      <w:bookmarkStart w:id="36" w:name="_Toc535334654"/>
      <w:bookmarkStart w:id="37" w:name="_Toc2248735"/>
      <w:bookmarkEnd w:id="33"/>
      <w:r w:rsidRPr="009C68B8">
        <w:rPr>
          <w:rFonts w:ascii="Palatino Linotype" w:eastAsia="Calibri" w:hAnsi="Palatino Linotype" w:cs="Arial"/>
          <w:color w:val="000000" w:themeColor="text1"/>
          <w:sz w:val="22"/>
          <w:szCs w:val="22"/>
        </w:rPr>
        <w:t>El</w:t>
      </w:r>
      <w:r w:rsidRPr="009C68B8">
        <w:rPr>
          <w:rFonts w:ascii="Palatino Linotype" w:eastAsia="Calibri" w:hAnsi="Palatino Linotype" w:cs="Arial"/>
          <w:color w:val="000000" w:themeColor="text1"/>
          <w:sz w:val="22"/>
          <w:szCs w:val="22"/>
          <w:lang w:val="es-ES"/>
        </w:rPr>
        <w:t xml:space="preserve"> </w:t>
      </w:r>
      <w:r w:rsidRPr="009C68B8">
        <w:rPr>
          <w:rFonts w:ascii="Palatino Linotype" w:eastAsia="Calibri" w:hAnsi="Palatino Linotype" w:cs="Arial"/>
          <w:b/>
          <w:color w:val="000000" w:themeColor="text1"/>
          <w:sz w:val="22"/>
          <w:szCs w:val="22"/>
          <w:lang w:val="es-ES"/>
        </w:rPr>
        <w:t>RECURRENTE</w:t>
      </w:r>
      <w:r w:rsidRPr="009C68B8">
        <w:rPr>
          <w:rFonts w:ascii="Palatino Linotype" w:eastAsia="Calibri" w:hAnsi="Palatino Linotype" w:cs="Arial"/>
          <w:color w:val="000000" w:themeColor="text1"/>
          <w:sz w:val="22"/>
          <w:szCs w:val="22"/>
          <w:lang w:val="es-ES"/>
        </w:rPr>
        <w:t xml:space="preserve"> solicitó </w:t>
      </w:r>
    </w:p>
    <w:p w:rsidR="005722BA" w:rsidRPr="009C68B8" w:rsidRDefault="005722BA" w:rsidP="005722BA">
      <w:pPr>
        <w:pStyle w:val="Prrafodelista"/>
        <w:numPr>
          <w:ilvl w:val="0"/>
          <w:numId w:val="9"/>
        </w:numPr>
        <w:tabs>
          <w:tab w:val="left" w:pos="1276"/>
        </w:tabs>
        <w:ind w:left="567" w:right="565" w:hanging="141"/>
        <w:jc w:val="both"/>
        <w:rPr>
          <w:rFonts w:ascii="Palatino Linotype" w:hAnsi="Palatino Linotype"/>
          <w:b/>
          <w:color w:val="000000"/>
          <w:sz w:val="22"/>
          <w:szCs w:val="22"/>
        </w:rPr>
      </w:pPr>
      <w:r w:rsidRPr="009C68B8">
        <w:rPr>
          <w:rFonts w:ascii="Palatino Linotype" w:hAnsi="Palatino Linotype"/>
          <w:b/>
          <w:color w:val="000000"/>
          <w:sz w:val="22"/>
          <w:szCs w:val="22"/>
        </w:rPr>
        <w:lastRenderedPageBreak/>
        <w:t xml:space="preserve">La licencia de funcionamiento de la unidad económica con el giro de encierro de Transporte y Mantenimiento, </w:t>
      </w:r>
      <w:r w:rsidR="009869F6" w:rsidRPr="009C68B8">
        <w:rPr>
          <w:rFonts w:ascii="Palatino Linotype" w:hAnsi="Palatino Linotype"/>
          <w:b/>
          <w:color w:val="000000"/>
          <w:sz w:val="22"/>
          <w:szCs w:val="22"/>
        </w:rPr>
        <w:t>con</w:t>
      </w:r>
      <w:r w:rsidRPr="009C68B8">
        <w:rPr>
          <w:rFonts w:ascii="Palatino Linotype" w:hAnsi="Palatino Linotype"/>
          <w:b/>
          <w:color w:val="000000"/>
          <w:sz w:val="22"/>
          <w:szCs w:val="22"/>
        </w:rPr>
        <w:t xml:space="preserve"> domicilio en Avenida del Rio sin número, esquina Manuel Acuña, Barrio de Belem, Municipio de Tultitlan, Estado de México; y</w:t>
      </w:r>
    </w:p>
    <w:p w:rsidR="005722BA" w:rsidRPr="009C68B8" w:rsidRDefault="005722BA" w:rsidP="005722BA">
      <w:pPr>
        <w:pStyle w:val="Prrafodelista"/>
        <w:tabs>
          <w:tab w:val="left" w:pos="1276"/>
        </w:tabs>
        <w:ind w:left="567" w:right="565"/>
        <w:jc w:val="both"/>
        <w:rPr>
          <w:rFonts w:ascii="Palatino Linotype" w:hAnsi="Palatino Linotype"/>
          <w:b/>
          <w:color w:val="000000"/>
          <w:sz w:val="22"/>
          <w:szCs w:val="22"/>
        </w:rPr>
      </w:pPr>
    </w:p>
    <w:p w:rsidR="005722BA" w:rsidRPr="009C68B8" w:rsidRDefault="005722BA" w:rsidP="005722BA">
      <w:pPr>
        <w:pStyle w:val="Prrafodelista"/>
        <w:numPr>
          <w:ilvl w:val="0"/>
          <w:numId w:val="9"/>
        </w:numPr>
        <w:tabs>
          <w:tab w:val="left" w:pos="1276"/>
        </w:tabs>
        <w:ind w:left="567" w:right="565" w:hanging="141"/>
        <w:jc w:val="both"/>
        <w:rPr>
          <w:rFonts w:ascii="Palatino Linotype" w:eastAsia="Calibri" w:hAnsi="Palatino Linotype" w:cs="Arial"/>
          <w:color w:val="000000" w:themeColor="text1"/>
          <w:sz w:val="22"/>
          <w:szCs w:val="22"/>
          <w:lang w:val="es-ES"/>
        </w:rPr>
      </w:pPr>
      <w:r w:rsidRPr="009C68B8">
        <w:rPr>
          <w:rFonts w:ascii="Palatino Linotype" w:hAnsi="Palatino Linotype"/>
          <w:b/>
          <w:color w:val="000000"/>
          <w:sz w:val="22"/>
          <w:szCs w:val="22"/>
        </w:rPr>
        <w:t>Las documentales que aval</w:t>
      </w:r>
      <w:r w:rsidR="009869F6" w:rsidRPr="009C68B8">
        <w:rPr>
          <w:rFonts w:ascii="Palatino Linotype" w:hAnsi="Palatino Linotype"/>
          <w:b/>
          <w:color w:val="000000"/>
          <w:sz w:val="22"/>
          <w:szCs w:val="22"/>
        </w:rPr>
        <w:t xml:space="preserve">en </w:t>
      </w:r>
      <w:r w:rsidRPr="009C68B8">
        <w:rPr>
          <w:rFonts w:ascii="Palatino Linotype" w:hAnsi="Palatino Linotype"/>
          <w:b/>
          <w:color w:val="000000"/>
          <w:sz w:val="22"/>
          <w:szCs w:val="22"/>
        </w:rPr>
        <w:t>el cumplimiento a lo establecido a la Norma Técnica de Protección Civil NTE-001-CGPC-2016, en cuanto a la elaboración de su programa específico, con el cual se hizo acreedor al permiso en materia de protección civil.</w:t>
      </w:r>
    </w:p>
    <w:p w:rsidR="005722BA" w:rsidRPr="009C68B8" w:rsidRDefault="005722BA" w:rsidP="005722BA">
      <w:pPr>
        <w:pStyle w:val="Prrafodelista"/>
        <w:tabs>
          <w:tab w:val="left" w:pos="426"/>
          <w:tab w:val="left" w:pos="567"/>
        </w:tabs>
        <w:spacing w:line="360" w:lineRule="auto"/>
        <w:ind w:left="0" w:right="-2"/>
        <w:jc w:val="both"/>
        <w:rPr>
          <w:rFonts w:ascii="Palatino Linotype" w:eastAsia="Calibri" w:hAnsi="Palatino Linotype" w:cs="Arial"/>
          <w:b/>
          <w:color w:val="000000" w:themeColor="text1"/>
          <w:sz w:val="22"/>
          <w:szCs w:val="22"/>
          <w:lang w:val="es-ES"/>
        </w:rPr>
      </w:pPr>
    </w:p>
    <w:p w:rsidR="00874F8E" w:rsidRPr="009C68B8" w:rsidRDefault="00874F8E" w:rsidP="009869F6">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 xml:space="preserve">En respuesta, el </w:t>
      </w:r>
      <w:r w:rsidRPr="009C68B8">
        <w:rPr>
          <w:rFonts w:ascii="Palatino Linotype" w:eastAsia="Calibri" w:hAnsi="Palatino Linotype" w:cs="Arial"/>
          <w:b/>
          <w:color w:val="000000" w:themeColor="text1"/>
          <w:sz w:val="22"/>
          <w:szCs w:val="22"/>
          <w:lang w:val="es-ES"/>
        </w:rPr>
        <w:t>SUJETO OBLIGADO</w:t>
      </w:r>
      <w:r w:rsidRPr="009C68B8">
        <w:rPr>
          <w:rFonts w:ascii="Palatino Linotype" w:eastAsia="Calibri" w:hAnsi="Palatino Linotype" w:cs="Arial"/>
          <w:color w:val="000000" w:themeColor="text1"/>
          <w:sz w:val="22"/>
          <w:szCs w:val="22"/>
          <w:lang w:val="es-ES"/>
        </w:rPr>
        <w:t xml:space="preserve"> </w:t>
      </w:r>
      <w:r w:rsidR="009869F6" w:rsidRPr="009C68B8">
        <w:rPr>
          <w:rFonts w:ascii="Palatino Linotype" w:eastAsia="Calibri" w:hAnsi="Palatino Linotype" w:cs="Arial"/>
          <w:color w:val="000000" w:themeColor="text1"/>
          <w:sz w:val="22"/>
          <w:szCs w:val="22"/>
          <w:lang w:val="es-ES"/>
        </w:rPr>
        <w:t>por medio</w:t>
      </w:r>
      <w:r w:rsidRPr="009C68B8">
        <w:rPr>
          <w:rFonts w:ascii="Palatino Linotype" w:eastAsia="Calibri" w:hAnsi="Palatino Linotype" w:cs="Arial"/>
          <w:color w:val="000000" w:themeColor="text1"/>
          <w:sz w:val="22"/>
          <w:szCs w:val="22"/>
          <w:lang w:val="es-ES"/>
        </w:rPr>
        <w:t xml:space="preserve"> </w:t>
      </w:r>
      <w:r w:rsidR="009869F6" w:rsidRPr="009C68B8">
        <w:rPr>
          <w:rFonts w:ascii="Palatino Linotype" w:eastAsia="Calibri" w:hAnsi="Palatino Linotype" w:cs="Arial"/>
          <w:color w:val="000000" w:themeColor="text1"/>
          <w:sz w:val="22"/>
          <w:szCs w:val="22"/>
          <w:lang w:val="es-ES"/>
        </w:rPr>
        <w:t>d</w:t>
      </w:r>
      <w:r w:rsidRPr="009C68B8">
        <w:rPr>
          <w:rFonts w:ascii="Palatino Linotype" w:eastAsia="Calibri" w:hAnsi="Palatino Linotype" w:cs="Arial"/>
          <w:color w:val="000000" w:themeColor="text1"/>
          <w:sz w:val="22"/>
          <w:szCs w:val="22"/>
          <w:lang w:val="es-ES"/>
        </w:rPr>
        <w:t xml:space="preserve">el </w:t>
      </w:r>
      <w:r w:rsidR="009869F6" w:rsidRPr="009C68B8">
        <w:rPr>
          <w:rFonts w:ascii="Palatino Linotype" w:hAnsi="Palatino Linotype"/>
          <w:sz w:val="22"/>
          <w:szCs w:val="22"/>
        </w:rPr>
        <w:t xml:space="preserve">Coordinador Municipal de Protección Civil y Bomberos, refirió que no cuenta con </w:t>
      </w:r>
      <w:r w:rsidR="009869F6" w:rsidRPr="009C68B8">
        <w:rPr>
          <w:rFonts w:ascii="Palatino Linotype" w:hAnsi="Palatino Linotype" w:cs="Arial"/>
          <w:color w:val="222222"/>
          <w:sz w:val="22"/>
          <w:szCs w:val="22"/>
          <w:shd w:val="clear" w:color="auto" w:fill="FFFFFF"/>
        </w:rPr>
        <w:t>información relacionada al giro comercial o domicilio de referencia; asimismo, solicitó hicieran llegar a la Unidad Administrativa a su cargo, la copia simple de la licencia de funcionamiento en mención para tener elementos y dar una respuesta más amplia a la solicitud de información.</w:t>
      </w:r>
    </w:p>
    <w:p w:rsidR="00874F8E" w:rsidRPr="009C68B8"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MX"/>
        </w:rPr>
      </w:pPr>
    </w:p>
    <w:p w:rsidR="00874F8E" w:rsidRPr="009C68B8" w:rsidRDefault="009869F6"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9C68B8">
        <w:rPr>
          <w:rFonts w:ascii="Palatino Linotype" w:eastAsia="Calibri" w:hAnsi="Palatino Linotype" w:cs="Arial"/>
          <w:color w:val="000000" w:themeColor="text1"/>
          <w:sz w:val="22"/>
          <w:szCs w:val="22"/>
          <w:lang w:val="es-ES"/>
        </w:rPr>
        <w:t xml:space="preserve"> </w:t>
      </w:r>
      <w:r w:rsidR="001E1B61" w:rsidRPr="009C68B8">
        <w:rPr>
          <w:rFonts w:ascii="Palatino Linotype" w:eastAsia="Calibri" w:hAnsi="Palatino Linotype" w:cs="Arial"/>
          <w:color w:val="000000" w:themeColor="text1"/>
          <w:sz w:val="22"/>
          <w:szCs w:val="22"/>
          <w:lang w:val="es-ES"/>
        </w:rPr>
        <w:t>Posteriormente</w:t>
      </w:r>
      <w:r w:rsidR="00874F8E" w:rsidRPr="009C68B8">
        <w:rPr>
          <w:rFonts w:ascii="Palatino Linotype" w:eastAsia="Calibri" w:hAnsi="Palatino Linotype" w:cs="Arial"/>
          <w:color w:val="000000" w:themeColor="text1"/>
          <w:sz w:val="22"/>
          <w:szCs w:val="22"/>
          <w:lang w:val="es-ES"/>
        </w:rPr>
        <w:t xml:space="preserve">, el </w:t>
      </w:r>
      <w:r w:rsidR="00874F8E" w:rsidRPr="009C68B8">
        <w:rPr>
          <w:rFonts w:ascii="Palatino Linotype" w:hAnsi="Palatino Linotype" w:cs="Arial"/>
          <w:b/>
          <w:color w:val="000000" w:themeColor="text1"/>
          <w:sz w:val="22"/>
          <w:szCs w:val="22"/>
        </w:rPr>
        <w:t>RECURRENTE</w:t>
      </w:r>
      <w:r w:rsidR="00874F8E" w:rsidRPr="009C68B8">
        <w:rPr>
          <w:rFonts w:ascii="Palatino Linotype" w:hAnsi="Palatino Linotype" w:cs="Arial"/>
          <w:color w:val="000000" w:themeColor="text1"/>
          <w:sz w:val="22"/>
          <w:szCs w:val="22"/>
        </w:rPr>
        <w:t xml:space="preserve"> impugnó la respuesta mediante recurso de revisión, en el que refirió como razones o motivos de inconformidad, </w:t>
      </w:r>
      <w:r w:rsidR="00874F8E" w:rsidRPr="009C68B8">
        <w:rPr>
          <w:rFonts w:ascii="Palatino Linotype" w:hAnsi="Palatino Linotype" w:cs="Arial"/>
          <w:b/>
          <w:color w:val="000000" w:themeColor="text1"/>
          <w:sz w:val="22"/>
          <w:szCs w:val="22"/>
        </w:rPr>
        <w:t>la negativa de la información solicitada.</w:t>
      </w:r>
    </w:p>
    <w:p w:rsidR="00874F8E" w:rsidRPr="009C68B8"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 xml:space="preserve">En </w:t>
      </w:r>
      <w:r w:rsidRPr="009C68B8">
        <w:rPr>
          <w:rFonts w:ascii="Palatino Linotype" w:hAnsi="Palatino Linotype" w:cs="Arial"/>
          <w:sz w:val="22"/>
          <w:szCs w:val="22"/>
        </w:rPr>
        <w:t xml:space="preserve">dichas condiciones, la </w:t>
      </w:r>
      <w:r w:rsidRPr="009C68B8">
        <w:rPr>
          <w:rFonts w:ascii="Palatino Linotype" w:hAnsi="Palatino Linotype" w:cs="Arial"/>
          <w:i/>
          <w:sz w:val="22"/>
          <w:szCs w:val="22"/>
        </w:rPr>
        <w:t>Litis</w:t>
      </w:r>
      <w:r w:rsidRPr="009C68B8">
        <w:rPr>
          <w:rFonts w:ascii="Palatino Linotype" w:hAnsi="Palatino Linotype" w:cs="Arial"/>
          <w:sz w:val="22"/>
          <w:szCs w:val="22"/>
        </w:rPr>
        <w:t xml:space="preserve"> a resolver en el presente recurso de revisión se circunscribe a determinar si </w:t>
      </w:r>
      <w:r w:rsidRPr="009C68B8">
        <w:rPr>
          <w:rFonts w:ascii="Palatino Linotype" w:eastAsia="MS Mincho" w:hAnsi="Palatino Linotype" w:cs="Arial"/>
          <w:sz w:val="22"/>
          <w:szCs w:val="22"/>
        </w:rPr>
        <w:t>se actualizan la causal de procedencia prevista en el artículo 179, fracción</w:t>
      </w:r>
      <w:r w:rsidRPr="009C68B8">
        <w:rPr>
          <w:rFonts w:ascii="Palatino Linotype" w:eastAsia="MS Mincho" w:hAnsi="Palatino Linotype" w:cs="Arial"/>
          <w:b/>
          <w:bCs/>
          <w:sz w:val="22"/>
          <w:szCs w:val="22"/>
        </w:rPr>
        <w:t xml:space="preserve"> </w:t>
      </w:r>
      <w:r w:rsidRPr="009C68B8">
        <w:rPr>
          <w:rFonts w:ascii="Palatino Linotype" w:eastAsia="MS Mincho" w:hAnsi="Palatino Linotype" w:cs="Arial"/>
          <w:sz w:val="22"/>
          <w:szCs w:val="22"/>
        </w:rPr>
        <w:t xml:space="preserve">I de la </w:t>
      </w:r>
      <w:r w:rsidRPr="009C68B8">
        <w:rPr>
          <w:rFonts w:ascii="Palatino Linotype" w:eastAsia="MS Mincho" w:hAnsi="Palatino Linotype" w:cs="Arial"/>
          <w:b/>
          <w:sz w:val="22"/>
          <w:szCs w:val="22"/>
        </w:rPr>
        <w:t>Ley de Transparencia y Acceso a la Información Pública del Estado de México y Municipios</w:t>
      </w:r>
      <w:r w:rsidRPr="009C68B8">
        <w:rPr>
          <w:rFonts w:ascii="Palatino Linotype" w:eastAsia="MS Mincho" w:hAnsi="Palatino Linotype" w:cs="Arial"/>
          <w:sz w:val="22"/>
          <w:szCs w:val="22"/>
        </w:rPr>
        <w:t xml:space="preserve">; </w:t>
      </w:r>
      <w:r w:rsidRPr="009C68B8">
        <w:rPr>
          <w:rFonts w:ascii="Palatino Linotype" w:hAnsi="Palatino Linotype" w:cs="Arial"/>
          <w:color w:val="000000" w:themeColor="text1"/>
          <w:sz w:val="22"/>
          <w:szCs w:val="22"/>
        </w:rPr>
        <w:t>fracción que determinan la hipótesis jurídica relativa a la negativa de la información solicitada.</w:t>
      </w:r>
    </w:p>
    <w:p w:rsidR="00874F8E" w:rsidRPr="009C68B8"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9C68B8" w:rsidRDefault="00874F8E" w:rsidP="00874F8E">
      <w:pPr>
        <w:pStyle w:val="Ttulo2"/>
        <w:tabs>
          <w:tab w:val="left" w:pos="0"/>
        </w:tabs>
        <w:spacing w:before="0" w:line="360" w:lineRule="auto"/>
        <w:rPr>
          <w:rFonts w:ascii="Palatino Linotype" w:hAnsi="Palatino Linotype"/>
          <w:b/>
          <w:color w:val="auto"/>
          <w:sz w:val="22"/>
          <w:szCs w:val="22"/>
        </w:rPr>
      </w:pPr>
      <w:r w:rsidRPr="009C68B8">
        <w:rPr>
          <w:rFonts w:ascii="Palatino Linotype" w:hAnsi="Palatino Linotype"/>
          <w:b/>
          <w:color w:val="auto"/>
          <w:sz w:val="22"/>
          <w:szCs w:val="22"/>
        </w:rPr>
        <w:lastRenderedPageBreak/>
        <w:t>CUARTO. Del estudio y resolución del asunto.</w:t>
      </w:r>
    </w:p>
    <w:p w:rsidR="00874F8E" w:rsidRPr="009C68B8" w:rsidRDefault="00874F8E" w:rsidP="00874F8E">
      <w:pPr>
        <w:rPr>
          <w:rFonts w:ascii="Palatino Linotype" w:hAnsi="Palatino Linotype"/>
          <w:sz w:val="22"/>
          <w:szCs w:val="22"/>
          <w:lang w:val="es-ES_tradnl" w:eastAsia="en-US"/>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 xml:space="preserve">El </w:t>
      </w:r>
      <w:r w:rsidRPr="009C68B8">
        <w:rPr>
          <w:rFonts w:ascii="Palatino Linotype" w:hAnsi="Palatino Linotype" w:cs="Arial"/>
          <w:color w:val="000000"/>
          <w:sz w:val="22"/>
          <w:szCs w:val="22"/>
          <w:lang w:eastAsia="es-MX"/>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9C68B8">
        <w:rPr>
          <w:rFonts w:ascii="Palatino Linotype" w:eastAsia="MS Mincho" w:hAnsi="Palatino Linotype" w:cs="Arial"/>
          <w:sz w:val="22"/>
          <w:szCs w:val="22"/>
        </w:rPr>
        <w:t>Particular</w:t>
      </w:r>
      <w:r w:rsidRPr="009C68B8">
        <w:rPr>
          <w:rFonts w:ascii="Palatino Linotype" w:hAnsi="Palatino Linotype" w:cs="Arial"/>
          <w:color w:val="000000"/>
          <w:sz w:val="22"/>
          <w:szCs w:val="22"/>
          <w:lang w:eastAsia="es-MX"/>
        </w:rPr>
        <w:t xml:space="preserve"> del Estado de México</w:t>
      </w:r>
      <w:r w:rsidRPr="009C68B8">
        <w:rPr>
          <w:rFonts w:ascii="Palatino Linotype" w:hAnsi="Palatino Linotype" w:cs="Arial"/>
          <w:color w:val="000000"/>
          <w:sz w:val="22"/>
          <w:szCs w:val="22"/>
        </w:rPr>
        <w:t>.</w:t>
      </w:r>
    </w:p>
    <w:p w:rsidR="00874F8E" w:rsidRPr="009C68B8"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 xml:space="preserve">Definiendo </w:t>
      </w:r>
      <w:r w:rsidRPr="009C68B8">
        <w:rPr>
          <w:rFonts w:ascii="Palatino Linotype" w:hAnsi="Palatino Linotype"/>
          <w:sz w:val="22"/>
          <w:szCs w:val="22"/>
        </w:rPr>
        <w:t xml:space="preserve">el Derecho de Acceso a la Información Pública como: </w:t>
      </w:r>
      <w:r w:rsidRPr="009C68B8">
        <w:rPr>
          <w:rFonts w:ascii="Palatino Linotype" w:hAnsi="Palatino Linotype"/>
          <w:i/>
          <w:color w:val="000000"/>
          <w:sz w:val="22"/>
          <w:szCs w:val="22"/>
        </w:rPr>
        <w:t xml:space="preserve">La igualdad de </w:t>
      </w:r>
      <w:r w:rsidRPr="009C68B8">
        <w:rPr>
          <w:rFonts w:ascii="Palatino Linotype" w:hAnsi="Palatino Linotype"/>
          <w:sz w:val="22"/>
          <w:szCs w:val="22"/>
        </w:rPr>
        <w:t>oportunidades</w:t>
      </w:r>
      <w:r w:rsidRPr="009C68B8">
        <w:rPr>
          <w:rFonts w:ascii="Palatino Linotype" w:hAnsi="Palatino Linotype"/>
          <w:i/>
          <w:color w:val="000000"/>
          <w:sz w:val="22"/>
          <w:szCs w:val="22"/>
        </w:rPr>
        <w:t xml:space="preserve"> para recibir, buscar e impartir información</w:t>
      </w:r>
      <w:r w:rsidRPr="009C68B8">
        <w:rPr>
          <w:rFonts w:ascii="Palatino Linotype" w:hAnsi="Palatino Linotype"/>
          <w:i/>
          <w:color w:val="000000"/>
          <w:sz w:val="22"/>
          <w:szCs w:val="22"/>
          <w:vertAlign w:val="superscript"/>
        </w:rPr>
        <w:footnoteReference w:id="1"/>
      </w:r>
      <w:r w:rsidRPr="009C68B8">
        <w:rPr>
          <w:rFonts w:ascii="Palatino Linotype" w:hAnsi="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9C68B8">
        <w:rPr>
          <w:rFonts w:ascii="Palatino Linotype" w:hAnsi="Palatino Linotype"/>
          <w:i/>
          <w:color w:val="000000"/>
          <w:sz w:val="22"/>
          <w:szCs w:val="22"/>
          <w:vertAlign w:val="superscript"/>
        </w:rPr>
        <w:footnoteReference w:id="2"/>
      </w:r>
      <w:r w:rsidRPr="009C68B8">
        <w:rPr>
          <w:rFonts w:ascii="Palatino Linotype" w:hAnsi="Palatino Linotype"/>
          <w:color w:val="000000"/>
          <w:sz w:val="22"/>
          <w:szCs w:val="22"/>
        </w:rPr>
        <w:t>que se constituye como una herramienta fundamental para ejercer</w:t>
      </w:r>
      <w:r w:rsidRPr="009C68B8">
        <w:rPr>
          <w:rFonts w:ascii="Palatino Linotype" w:hAnsi="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9C68B8">
        <w:rPr>
          <w:rFonts w:ascii="Palatino Linotype" w:hAnsi="Palatino Linotype"/>
          <w:i/>
          <w:color w:val="000000"/>
          <w:sz w:val="22"/>
          <w:szCs w:val="22"/>
          <w:vertAlign w:val="superscript"/>
        </w:rPr>
        <w:footnoteReference w:id="3"/>
      </w:r>
      <w:r w:rsidRPr="009C68B8">
        <w:rPr>
          <w:rFonts w:ascii="Palatino Linotype" w:hAnsi="Palatino Linotype"/>
          <w:color w:val="000000"/>
          <w:sz w:val="22"/>
          <w:szCs w:val="22"/>
        </w:rPr>
        <w:t>fomentando</w:t>
      </w:r>
      <w:r w:rsidRPr="009C68B8">
        <w:rPr>
          <w:rFonts w:ascii="Palatino Linotype" w:hAnsi="Palatino Linotype"/>
          <w:i/>
          <w:color w:val="000000"/>
          <w:sz w:val="22"/>
          <w:szCs w:val="22"/>
        </w:rPr>
        <w:t xml:space="preserve"> la transparencia de las actividades estatales y </w:t>
      </w:r>
      <w:r w:rsidRPr="009C68B8">
        <w:rPr>
          <w:rFonts w:ascii="Palatino Linotype" w:hAnsi="Palatino Linotype"/>
          <w:color w:val="000000"/>
          <w:sz w:val="22"/>
          <w:szCs w:val="22"/>
        </w:rPr>
        <w:t>promoviendo</w:t>
      </w:r>
      <w:r w:rsidRPr="009C68B8">
        <w:rPr>
          <w:rFonts w:ascii="Palatino Linotype" w:hAnsi="Palatino Linotype"/>
          <w:i/>
          <w:color w:val="000000"/>
          <w:sz w:val="22"/>
          <w:szCs w:val="22"/>
        </w:rPr>
        <w:t xml:space="preserve"> la responsabilidad de los funcionarios sobre su gestión pública,</w:t>
      </w:r>
      <w:r w:rsidRPr="009C68B8">
        <w:rPr>
          <w:rFonts w:ascii="Palatino Linotype" w:hAnsi="Palatino Linotype"/>
          <w:i/>
          <w:color w:val="000000"/>
          <w:sz w:val="22"/>
          <w:szCs w:val="22"/>
          <w:vertAlign w:val="superscript"/>
        </w:rPr>
        <w:footnoteReference w:id="4"/>
      </w:r>
      <w:r w:rsidRPr="009C68B8">
        <w:rPr>
          <w:rFonts w:ascii="Palatino Linotype" w:hAnsi="Palatino Linotype"/>
          <w:color w:val="000000"/>
          <w:sz w:val="22"/>
          <w:szCs w:val="22"/>
        </w:rPr>
        <w:t>que permite</w:t>
      </w:r>
      <w:r w:rsidRPr="009C68B8">
        <w:rPr>
          <w:rFonts w:ascii="Palatino Linotype" w:hAnsi="Palatino Linotype"/>
          <w:i/>
          <w:color w:val="000000"/>
          <w:sz w:val="22"/>
          <w:szCs w:val="22"/>
        </w:rPr>
        <w:t xml:space="preserve"> saber qué están haciendo los gobiernos por sus pueblos, sin lo cual la verdad languidecería y la participación en el gobierno permanecería fragmentada.</w:t>
      </w:r>
    </w:p>
    <w:p w:rsidR="00874F8E" w:rsidRPr="009C68B8"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lastRenderedPageBreak/>
        <w:t xml:space="preserve">En </w:t>
      </w:r>
      <w:r w:rsidRPr="009C68B8">
        <w:rPr>
          <w:rFonts w:ascii="Palatino Linotype" w:hAnsi="Palatino Linotype"/>
          <w:sz w:val="22"/>
          <w:szCs w:val="22"/>
        </w:rPr>
        <w:t>México, además de los derechos, están reconocidas las garantías para su protección, en ese sentido el párrafo tercero de artículo primero de la Constitución Política de los Estados Unidos Mexicanos, dispone lo siguiente:</w:t>
      </w:r>
    </w:p>
    <w:p w:rsidR="00874F8E" w:rsidRPr="009C68B8" w:rsidRDefault="00874F8E" w:rsidP="00874F8E">
      <w:pPr>
        <w:ind w:right="565"/>
        <w:rPr>
          <w:rFonts w:ascii="Palatino Linotype" w:eastAsia="Calibri" w:hAnsi="Palatino Linotype" w:cs="Arial"/>
          <w:color w:val="000000" w:themeColor="text1"/>
          <w:sz w:val="22"/>
          <w:szCs w:val="22"/>
          <w:lang w:val="es-ES"/>
        </w:rPr>
      </w:pPr>
    </w:p>
    <w:p w:rsidR="00874F8E" w:rsidRPr="009C68B8" w:rsidRDefault="00874F8E" w:rsidP="00874F8E">
      <w:pPr>
        <w:ind w:left="567" w:right="565"/>
        <w:contextualSpacing/>
        <w:jc w:val="both"/>
        <w:rPr>
          <w:rFonts w:ascii="Palatino Linotype" w:hAnsi="Palatino Linotype"/>
          <w:i/>
          <w:sz w:val="22"/>
          <w:szCs w:val="22"/>
        </w:rPr>
      </w:pPr>
      <w:r w:rsidRPr="009C68B8">
        <w:rPr>
          <w:rFonts w:ascii="Palatino Linotype" w:hAnsi="Palatino Linotype"/>
          <w:i/>
          <w:sz w:val="22"/>
          <w:szCs w:val="22"/>
        </w:rPr>
        <w:t>“</w:t>
      </w:r>
      <w:r w:rsidRPr="009C68B8">
        <w:rPr>
          <w:rFonts w:ascii="Palatino Linotype" w:hAnsi="Palatino Linotype"/>
          <w:b/>
          <w:i/>
          <w:sz w:val="22"/>
          <w:szCs w:val="22"/>
        </w:rPr>
        <w:t>Artículo 1.-</w:t>
      </w:r>
      <w:r w:rsidRPr="009C68B8">
        <w:rPr>
          <w:rFonts w:ascii="Palatino Linotype" w:hAnsi="Palatino Linotype"/>
          <w:i/>
          <w:sz w:val="22"/>
          <w:szCs w:val="22"/>
        </w:rPr>
        <w:t xml:space="preserve"> </w:t>
      </w:r>
    </w:p>
    <w:p w:rsidR="00874F8E" w:rsidRPr="009C68B8" w:rsidRDefault="00874F8E" w:rsidP="00874F8E">
      <w:pPr>
        <w:ind w:left="567" w:right="565"/>
        <w:contextualSpacing/>
        <w:jc w:val="both"/>
        <w:rPr>
          <w:rFonts w:ascii="Palatino Linotype" w:hAnsi="Palatino Linotype"/>
          <w:i/>
          <w:sz w:val="22"/>
          <w:szCs w:val="22"/>
        </w:rPr>
      </w:pPr>
      <w:r w:rsidRPr="009C68B8">
        <w:rPr>
          <w:rFonts w:ascii="Palatino Linotype" w:hAnsi="Palatino Linotype"/>
          <w:i/>
          <w:sz w:val="22"/>
          <w:szCs w:val="22"/>
        </w:rPr>
        <w:t>(…)</w:t>
      </w:r>
    </w:p>
    <w:p w:rsidR="00874F8E" w:rsidRPr="009C68B8" w:rsidRDefault="00874F8E" w:rsidP="00874F8E">
      <w:pPr>
        <w:ind w:left="567" w:right="565"/>
        <w:contextualSpacing/>
        <w:jc w:val="both"/>
        <w:rPr>
          <w:rFonts w:ascii="Palatino Linotype" w:hAnsi="Palatino Linotype"/>
          <w:i/>
          <w:sz w:val="22"/>
          <w:szCs w:val="22"/>
        </w:rPr>
      </w:pPr>
      <w:r w:rsidRPr="009C68B8">
        <w:rPr>
          <w:rFonts w:ascii="Palatino Linotype" w:hAnsi="Palatino Linotype"/>
          <w:i/>
          <w:sz w:val="22"/>
          <w:szCs w:val="22"/>
        </w:rPr>
        <w:t>Todas las</w:t>
      </w:r>
      <w:r w:rsidRPr="009C68B8">
        <w:rPr>
          <w:rFonts w:ascii="Palatino Linotype" w:hAnsi="Palatino Linotype"/>
          <w:sz w:val="22"/>
          <w:szCs w:val="22"/>
        </w:rPr>
        <w:t xml:space="preserve"> </w:t>
      </w:r>
      <w:r w:rsidRPr="009C68B8">
        <w:rPr>
          <w:rFonts w:ascii="Palatino Linotype" w:hAnsi="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874F8E" w:rsidRPr="009C68B8" w:rsidRDefault="00874F8E" w:rsidP="00874F8E">
      <w:pPr>
        <w:ind w:left="567" w:right="565"/>
        <w:contextualSpacing/>
        <w:jc w:val="both"/>
        <w:rPr>
          <w:rFonts w:ascii="Palatino Linotype" w:hAnsi="Palatino Linotype"/>
          <w:sz w:val="22"/>
          <w:szCs w:val="22"/>
        </w:rPr>
      </w:pPr>
      <w:r w:rsidRPr="009C68B8">
        <w:rPr>
          <w:rFonts w:ascii="Palatino Linotype" w:hAnsi="Palatino Linotype"/>
          <w:i/>
          <w:sz w:val="22"/>
          <w:szCs w:val="22"/>
        </w:rPr>
        <w:t>(…)</w:t>
      </w:r>
      <w:r w:rsidRPr="009C68B8">
        <w:rPr>
          <w:rFonts w:ascii="Palatino Linotype" w:hAnsi="Palatino Linotype"/>
          <w:sz w:val="22"/>
          <w:szCs w:val="22"/>
        </w:rPr>
        <w:t>”</w:t>
      </w:r>
    </w:p>
    <w:p w:rsidR="00874F8E" w:rsidRPr="009C68B8" w:rsidRDefault="00874F8E" w:rsidP="00874F8E">
      <w:pPr>
        <w:ind w:right="565"/>
        <w:contextualSpacing/>
        <w:jc w:val="both"/>
        <w:rPr>
          <w:rFonts w:ascii="Palatino Linotype" w:hAnsi="Palatino Linotype"/>
          <w:sz w:val="22"/>
          <w:szCs w:val="22"/>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 xml:space="preserve">Por </w:t>
      </w:r>
      <w:r w:rsidRPr="009C68B8">
        <w:rPr>
          <w:rFonts w:ascii="Palatino Linotype" w:hAnsi="Palatino Linotype"/>
          <w:sz w:val="22"/>
          <w:szCs w:val="22"/>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 mismo artículo.</w:t>
      </w:r>
    </w:p>
    <w:p w:rsidR="00874F8E" w:rsidRPr="009C68B8"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 xml:space="preserve">Así </w:t>
      </w:r>
      <w:r w:rsidRPr="009C68B8">
        <w:rPr>
          <w:rFonts w:ascii="Palatino Linotype" w:hAnsi="Palatino Linotype"/>
          <w:sz w:val="22"/>
          <w:szCs w:val="22"/>
        </w:rPr>
        <w:t xml:space="preserve">conforme a la Constitución Política de las Estado Unidos Mexicanos </w:t>
      </w:r>
      <w:r w:rsidRPr="009C68B8">
        <w:rPr>
          <w:rFonts w:ascii="Palatino Linotype" w:eastAsia="Calibri" w:hAnsi="Palatino Linotype"/>
          <w:sz w:val="22"/>
          <w:szCs w:val="22"/>
        </w:rPr>
        <w:t xml:space="preserve">y la </w:t>
      </w:r>
      <w:r w:rsidRPr="009C68B8">
        <w:rPr>
          <w:rFonts w:ascii="Palatino Linotype" w:hAnsi="Palatino Linotype"/>
          <w:sz w:val="22"/>
          <w:szCs w:val="22"/>
        </w:rPr>
        <w:t>Constitución</w:t>
      </w:r>
      <w:r w:rsidRPr="009C68B8">
        <w:rPr>
          <w:rFonts w:ascii="Palatino Linotype" w:eastAsia="Calibri" w:hAnsi="Palatino Linotype"/>
          <w:sz w:val="22"/>
          <w:szCs w:val="22"/>
        </w:rPr>
        <w:t xml:space="preserve"> Política del Estado Libre y Soberano de México respectivamente</w:t>
      </w:r>
      <w:r w:rsidRPr="009C68B8">
        <w:rPr>
          <w:rFonts w:ascii="Palatino Linotype" w:hAnsi="Palatino Linotype"/>
          <w:sz w:val="22"/>
          <w:szCs w:val="22"/>
        </w:rPr>
        <w:t>, el cumplimiento de las garantías primarias, entendidas como obligaciones inmediatamente relacionadas con el Derecho de Acceso a la Información Pública, permiten que todas las autoridades, en el ámbito de sus atribuciones lo respeten, protejan y garanticen.</w:t>
      </w:r>
    </w:p>
    <w:p w:rsidR="00874F8E" w:rsidRPr="009C68B8"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9C68B8" w:rsidRDefault="00874F8E" w:rsidP="00874F8E">
      <w:pPr>
        <w:ind w:left="567" w:right="565"/>
        <w:jc w:val="center"/>
        <w:rPr>
          <w:rFonts w:ascii="Palatino Linotype" w:hAnsi="Palatino Linotype" w:cs="Arial"/>
          <w:b/>
          <w:bCs/>
          <w:i/>
          <w:sz w:val="22"/>
          <w:szCs w:val="22"/>
        </w:rPr>
      </w:pPr>
      <w:r w:rsidRPr="009C68B8">
        <w:rPr>
          <w:rFonts w:ascii="Palatino Linotype" w:hAnsi="Palatino Linotype" w:cs="Arial"/>
          <w:b/>
          <w:bCs/>
          <w:i/>
          <w:sz w:val="22"/>
          <w:szCs w:val="22"/>
        </w:rPr>
        <w:t>Constitución Política de los Estados Unidos Mexicanos</w:t>
      </w:r>
    </w:p>
    <w:p w:rsidR="00874F8E" w:rsidRPr="009C68B8" w:rsidRDefault="00874F8E" w:rsidP="00874F8E">
      <w:pPr>
        <w:ind w:left="567" w:right="565"/>
        <w:jc w:val="center"/>
        <w:rPr>
          <w:rFonts w:ascii="Palatino Linotype" w:hAnsi="Palatino Linotype" w:cs="Arial"/>
          <w:b/>
          <w:bCs/>
          <w:i/>
          <w:sz w:val="22"/>
          <w:szCs w:val="22"/>
        </w:rPr>
      </w:pPr>
    </w:p>
    <w:p w:rsidR="00874F8E" w:rsidRPr="009C68B8" w:rsidRDefault="00874F8E" w:rsidP="00874F8E">
      <w:pPr>
        <w:ind w:left="567" w:right="565"/>
        <w:jc w:val="both"/>
        <w:rPr>
          <w:rFonts w:ascii="Palatino Linotype" w:hAnsi="Palatino Linotype" w:cs="Arial"/>
          <w:b/>
          <w:bCs/>
          <w:i/>
          <w:sz w:val="22"/>
          <w:szCs w:val="22"/>
        </w:rPr>
      </w:pPr>
      <w:r w:rsidRPr="009C68B8">
        <w:rPr>
          <w:rFonts w:ascii="Palatino Linotype" w:hAnsi="Palatino Linotype" w:cs="Arial"/>
          <w:b/>
          <w:bCs/>
          <w:i/>
          <w:sz w:val="22"/>
          <w:szCs w:val="22"/>
        </w:rPr>
        <w:t>“Artículo 6.</w:t>
      </w:r>
      <w:r w:rsidRPr="009C68B8">
        <w:rPr>
          <w:rFonts w:ascii="Palatino Linotype" w:hAnsi="Palatino Linotype" w:cs="Arial"/>
          <w:bCs/>
          <w:i/>
          <w:sz w:val="22"/>
          <w:szCs w:val="22"/>
        </w:rPr>
        <w:t xml:space="preserve"> …</w:t>
      </w:r>
    </w:p>
    <w:p w:rsidR="00874F8E" w:rsidRPr="009C68B8" w:rsidRDefault="00874F8E" w:rsidP="00874F8E">
      <w:pPr>
        <w:ind w:left="567" w:right="565"/>
        <w:jc w:val="both"/>
        <w:rPr>
          <w:rFonts w:ascii="Palatino Linotype" w:hAnsi="Palatino Linotype" w:cs="Arial"/>
          <w:bCs/>
          <w:i/>
          <w:sz w:val="22"/>
          <w:szCs w:val="22"/>
        </w:rPr>
      </w:pPr>
      <w:r w:rsidRPr="009C68B8">
        <w:rPr>
          <w:rFonts w:ascii="Palatino Linotype" w:hAnsi="Palatino Linotype" w:cs="Arial"/>
          <w:bCs/>
          <w:i/>
          <w:sz w:val="22"/>
          <w:szCs w:val="22"/>
        </w:rPr>
        <w:t>…</w:t>
      </w:r>
    </w:p>
    <w:p w:rsidR="00874F8E" w:rsidRPr="009C68B8" w:rsidRDefault="00874F8E" w:rsidP="00874F8E">
      <w:pPr>
        <w:ind w:left="567" w:right="565"/>
        <w:jc w:val="both"/>
        <w:rPr>
          <w:rFonts w:ascii="Palatino Linotype" w:hAnsi="Palatino Linotype" w:cs="Arial"/>
          <w:bCs/>
          <w:i/>
          <w:sz w:val="22"/>
          <w:szCs w:val="22"/>
        </w:rPr>
      </w:pPr>
      <w:r w:rsidRPr="009C68B8">
        <w:rPr>
          <w:rFonts w:ascii="Palatino Linotype" w:hAnsi="Palatino Linotype" w:cs="Arial"/>
          <w:bCs/>
          <w:i/>
          <w:sz w:val="22"/>
          <w:szCs w:val="22"/>
        </w:rPr>
        <w:t>Para efectos de lo dispuesto en el presente artículo se observará lo siguiente:</w:t>
      </w:r>
    </w:p>
    <w:p w:rsidR="00874F8E" w:rsidRPr="009C68B8" w:rsidRDefault="00874F8E" w:rsidP="00874F8E">
      <w:pPr>
        <w:ind w:left="567" w:right="565"/>
        <w:jc w:val="both"/>
        <w:rPr>
          <w:rFonts w:ascii="Palatino Linotype" w:hAnsi="Palatino Linotype" w:cs="Arial"/>
          <w:b/>
          <w:bCs/>
          <w:i/>
          <w:sz w:val="22"/>
          <w:szCs w:val="22"/>
        </w:rPr>
      </w:pPr>
      <w:r w:rsidRPr="009C68B8">
        <w:rPr>
          <w:rFonts w:ascii="Palatino Linotype" w:hAnsi="Palatino Linotype" w:cs="Arial"/>
          <w:b/>
          <w:bCs/>
          <w:i/>
          <w:sz w:val="22"/>
          <w:szCs w:val="22"/>
        </w:rPr>
        <w:lastRenderedPageBreak/>
        <w:t>A</w:t>
      </w:r>
      <w:r w:rsidRPr="009C68B8">
        <w:rPr>
          <w:rFonts w:ascii="Palatino Linotype" w:hAnsi="Palatino Linotype" w:cs="Arial"/>
          <w:bCs/>
          <w:i/>
          <w:sz w:val="22"/>
          <w:szCs w:val="22"/>
        </w:rPr>
        <w:t xml:space="preserve">. </w:t>
      </w:r>
      <w:r w:rsidRPr="009C68B8">
        <w:rPr>
          <w:rFonts w:ascii="Palatino Linotype" w:hAnsi="Palatino Linotype" w:cs="Arial"/>
          <w:b/>
          <w:bCs/>
          <w:i/>
          <w:sz w:val="22"/>
          <w:szCs w:val="22"/>
        </w:rPr>
        <w:t>Para el ejercicio del derecho de acceso a la información</w:t>
      </w:r>
      <w:r w:rsidRPr="009C68B8">
        <w:rPr>
          <w:rFonts w:ascii="Palatino Linotype" w:hAnsi="Palatino Linotype" w:cs="Arial"/>
          <w:bCs/>
          <w:i/>
          <w:sz w:val="22"/>
          <w:szCs w:val="22"/>
        </w:rPr>
        <w:t xml:space="preserve">, la Federación y </w:t>
      </w:r>
      <w:r w:rsidRPr="009C68B8">
        <w:rPr>
          <w:rFonts w:ascii="Palatino Linotype" w:hAnsi="Palatino Linotype" w:cs="Arial"/>
          <w:b/>
          <w:bCs/>
          <w:i/>
          <w:sz w:val="22"/>
          <w:szCs w:val="22"/>
        </w:rPr>
        <w:t>las entidades federativas, en el ámbito de sus respectivas competencias, se regirán por los siguientes principios y bases:</w:t>
      </w:r>
    </w:p>
    <w:p w:rsidR="00874F8E" w:rsidRPr="009C68B8" w:rsidRDefault="00874F8E" w:rsidP="00874F8E">
      <w:pPr>
        <w:ind w:left="567" w:right="565"/>
        <w:jc w:val="both"/>
        <w:rPr>
          <w:rFonts w:ascii="Palatino Linotype" w:hAnsi="Palatino Linotype" w:cs="Arial"/>
          <w:bCs/>
          <w:i/>
          <w:sz w:val="22"/>
          <w:szCs w:val="22"/>
        </w:rPr>
      </w:pPr>
      <w:r w:rsidRPr="009C68B8">
        <w:rPr>
          <w:rFonts w:ascii="Palatino Linotype" w:hAnsi="Palatino Linotype" w:cs="Arial"/>
          <w:b/>
          <w:bCs/>
          <w:i/>
          <w:sz w:val="22"/>
          <w:szCs w:val="22"/>
        </w:rPr>
        <w:t xml:space="preserve">I. </w:t>
      </w:r>
      <w:r w:rsidRPr="009C68B8">
        <w:rPr>
          <w:rFonts w:ascii="Palatino Linotype" w:hAnsi="Palatino Linotype" w:cs="Arial"/>
          <w:b/>
          <w:bCs/>
          <w:i/>
          <w:sz w:val="22"/>
          <w:szCs w:val="22"/>
        </w:rPr>
        <w:tab/>
        <w:t>Toda la información en posesión de cualquier</w:t>
      </w:r>
      <w:r w:rsidRPr="009C68B8">
        <w:rPr>
          <w:rFonts w:ascii="Palatino Linotype" w:hAnsi="Palatino Linotype" w:cs="Arial"/>
          <w:bCs/>
          <w:i/>
          <w:sz w:val="22"/>
          <w:szCs w:val="22"/>
        </w:rPr>
        <w:t xml:space="preserve"> </w:t>
      </w:r>
      <w:r w:rsidRPr="009C68B8">
        <w:rPr>
          <w:rFonts w:ascii="Palatino Linotype" w:hAnsi="Palatino Linotype" w:cs="Arial"/>
          <w:b/>
          <w:bCs/>
          <w:i/>
          <w:sz w:val="22"/>
          <w:szCs w:val="22"/>
        </w:rPr>
        <w:t>autoridad</w:t>
      </w:r>
      <w:r w:rsidRPr="009C68B8">
        <w:rPr>
          <w:rFonts w:ascii="Palatino Linotype" w:hAnsi="Palatino Linotype" w:cs="Arial"/>
          <w:bCs/>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C68B8">
        <w:rPr>
          <w:rFonts w:ascii="Palatino Linotype" w:hAnsi="Palatino Linotype" w:cs="Arial"/>
          <w:b/>
          <w:bCs/>
          <w:i/>
          <w:sz w:val="22"/>
          <w:szCs w:val="22"/>
        </w:rPr>
        <w:t>municipal</w:t>
      </w:r>
      <w:r w:rsidRPr="009C68B8">
        <w:rPr>
          <w:rFonts w:ascii="Palatino Linotype" w:hAnsi="Palatino Linotype" w:cs="Arial"/>
          <w:bCs/>
          <w:i/>
          <w:sz w:val="22"/>
          <w:szCs w:val="22"/>
        </w:rPr>
        <w:t xml:space="preserve">, </w:t>
      </w:r>
      <w:r w:rsidRPr="009C68B8">
        <w:rPr>
          <w:rFonts w:ascii="Palatino Linotype" w:hAnsi="Palatino Linotype" w:cs="Arial"/>
          <w:b/>
          <w:bCs/>
          <w:i/>
          <w:sz w:val="22"/>
          <w:szCs w:val="22"/>
        </w:rPr>
        <w:t>es pública</w:t>
      </w:r>
      <w:r w:rsidRPr="009C68B8">
        <w:rPr>
          <w:rFonts w:ascii="Palatino Linotype" w:hAnsi="Palatino Linotype" w:cs="Arial"/>
          <w:bCs/>
          <w:i/>
          <w:sz w:val="22"/>
          <w:szCs w:val="22"/>
        </w:rPr>
        <w:t xml:space="preserve"> y sólo podrá ser reservada temporalmente por razones de interés público y seguridad nacional, en los términos que fijen las leyes. </w:t>
      </w:r>
      <w:r w:rsidRPr="009C68B8">
        <w:rPr>
          <w:rFonts w:ascii="Palatino Linotype" w:hAnsi="Palatino Linotype" w:cs="Arial"/>
          <w:b/>
          <w:bCs/>
          <w:i/>
          <w:sz w:val="22"/>
          <w:szCs w:val="22"/>
        </w:rPr>
        <w:t>En la interpretación de este derecho deberá prevalecer el principio de máxima publicidad. Los sujetos obligados deberán documentar todo acto que derive del ejercicio de sus facultades, competencias o funciones</w:t>
      </w:r>
      <w:r w:rsidRPr="009C68B8">
        <w:rPr>
          <w:rFonts w:ascii="Palatino Linotype" w:hAnsi="Palatino Linotype" w:cs="Arial"/>
          <w:bCs/>
          <w:i/>
          <w:sz w:val="22"/>
          <w:szCs w:val="22"/>
        </w:rPr>
        <w:t>, la ley determinará los supuestos específicos bajo los cuales procederá la declaración de inexistencia de la información.”</w:t>
      </w:r>
    </w:p>
    <w:p w:rsidR="00874F8E" w:rsidRPr="009C68B8" w:rsidRDefault="00874F8E" w:rsidP="00874F8E">
      <w:pPr>
        <w:tabs>
          <w:tab w:val="left" w:pos="426"/>
          <w:tab w:val="left" w:pos="567"/>
        </w:tabs>
        <w:ind w:right="565"/>
        <w:jc w:val="both"/>
        <w:rPr>
          <w:rFonts w:ascii="Palatino Linotype" w:eastAsia="Calibri" w:hAnsi="Palatino Linotype" w:cs="Arial"/>
          <w:color w:val="000000" w:themeColor="text1"/>
          <w:sz w:val="22"/>
          <w:szCs w:val="22"/>
          <w:lang w:val="es-ES"/>
        </w:rPr>
      </w:pPr>
    </w:p>
    <w:p w:rsidR="00874F8E" w:rsidRPr="009C68B8" w:rsidRDefault="00874F8E" w:rsidP="00874F8E">
      <w:pPr>
        <w:ind w:left="567" w:right="565"/>
        <w:jc w:val="center"/>
        <w:rPr>
          <w:rFonts w:ascii="Palatino Linotype" w:hAnsi="Palatino Linotype" w:cs="Arial"/>
          <w:b/>
          <w:bCs/>
          <w:i/>
          <w:sz w:val="22"/>
          <w:szCs w:val="22"/>
        </w:rPr>
      </w:pPr>
      <w:r w:rsidRPr="009C68B8">
        <w:rPr>
          <w:rFonts w:ascii="Palatino Linotype" w:hAnsi="Palatino Linotype" w:cs="Arial"/>
          <w:b/>
          <w:bCs/>
          <w:i/>
          <w:sz w:val="22"/>
          <w:szCs w:val="22"/>
        </w:rPr>
        <w:t>Constitución Política del Estado Libre y Soberano de México</w:t>
      </w:r>
    </w:p>
    <w:p w:rsidR="00874F8E" w:rsidRPr="009C68B8" w:rsidRDefault="00874F8E" w:rsidP="00874F8E">
      <w:pPr>
        <w:ind w:left="567" w:right="565"/>
        <w:jc w:val="both"/>
        <w:rPr>
          <w:rFonts w:ascii="Palatino Linotype" w:hAnsi="Palatino Linotype" w:cs="Arial"/>
          <w:bCs/>
          <w:i/>
          <w:sz w:val="22"/>
          <w:szCs w:val="22"/>
        </w:rPr>
      </w:pPr>
      <w:r w:rsidRPr="009C68B8">
        <w:rPr>
          <w:rFonts w:ascii="Palatino Linotype" w:hAnsi="Palatino Linotype" w:cs="Arial"/>
          <w:b/>
          <w:bCs/>
          <w:i/>
          <w:sz w:val="22"/>
          <w:szCs w:val="22"/>
        </w:rPr>
        <w:t>“Artículo 5</w:t>
      </w:r>
      <w:r w:rsidRPr="009C68B8">
        <w:rPr>
          <w:rFonts w:ascii="Palatino Linotype" w:hAnsi="Palatino Linotype" w:cs="Arial"/>
          <w:bCs/>
          <w:i/>
          <w:sz w:val="22"/>
          <w:szCs w:val="22"/>
        </w:rPr>
        <w:t>.-…</w:t>
      </w:r>
    </w:p>
    <w:p w:rsidR="00874F8E" w:rsidRPr="009C68B8" w:rsidRDefault="00874F8E" w:rsidP="00874F8E">
      <w:pPr>
        <w:ind w:left="567" w:right="565"/>
        <w:jc w:val="both"/>
        <w:rPr>
          <w:rFonts w:ascii="Palatino Linotype" w:hAnsi="Palatino Linotype" w:cs="Arial"/>
          <w:bCs/>
          <w:i/>
          <w:sz w:val="22"/>
          <w:szCs w:val="22"/>
        </w:rPr>
      </w:pPr>
      <w:r w:rsidRPr="009C68B8">
        <w:rPr>
          <w:rFonts w:ascii="Palatino Linotype" w:hAnsi="Palatino Linotype" w:cs="Arial"/>
          <w:bCs/>
          <w:i/>
          <w:sz w:val="22"/>
          <w:szCs w:val="22"/>
        </w:rPr>
        <w:t>…</w:t>
      </w:r>
    </w:p>
    <w:p w:rsidR="00874F8E" w:rsidRPr="009C68B8" w:rsidRDefault="00874F8E" w:rsidP="00874F8E">
      <w:pPr>
        <w:ind w:left="567" w:right="565"/>
        <w:jc w:val="both"/>
        <w:rPr>
          <w:rFonts w:ascii="Palatino Linotype" w:hAnsi="Palatino Linotype" w:cs="Arial"/>
          <w:bCs/>
          <w:i/>
          <w:sz w:val="22"/>
          <w:szCs w:val="22"/>
        </w:rPr>
      </w:pPr>
      <w:r w:rsidRPr="009C68B8">
        <w:rPr>
          <w:rFonts w:ascii="Palatino Linotype" w:hAnsi="Palatino Linotype" w:cs="Arial"/>
          <w:b/>
          <w:bCs/>
          <w:i/>
          <w:sz w:val="22"/>
          <w:szCs w:val="22"/>
        </w:rPr>
        <w:t>El derecho a la información será garantizado por el Estado. La ley establecerá las previsiones que permitan asegurar la protección, el respeto y la difusión de este derecho</w:t>
      </w:r>
      <w:r w:rsidRPr="009C68B8">
        <w:rPr>
          <w:rFonts w:ascii="Palatino Linotype" w:hAnsi="Palatino Linotype" w:cs="Arial"/>
          <w:bCs/>
          <w:i/>
          <w:sz w:val="22"/>
          <w:szCs w:val="22"/>
        </w:rPr>
        <w:t>.</w:t>
      </w:r>
    </w:p>
    <w:p w:rsidR="00874F8E" w:rsidRPr="009C68B8" w:rsidRDefault="00874F8E" w:rsidP="00874F8E">
      <w:pPr>
        <w:ind w:left="567" w:right="565"/>
        <w:jc w:val="both"/>
        <w:rPr>
          <w:rFonts w:ascii="Palatino Linotype" w:hAnsi="Palatino Linotype" w:cs="Arial"/>
          <w:bCs/>
          <w:i/>
          <w:sz w:val="22"/>
          <w:szCs w:val="22"/>
        </w:rPr>
      </w:pPr>
      <w:r w:rsidRPr="009C68B8">
        <w:rPr>
          <w:rFonts w:ascii="Palatino Linotype" w:hAnsi="Palatino Linotype" w:cs="Arial"/>
          <w:bCs/>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874F8E" w:rsidRPr="009C68B8" w:rsidRDefault="00874F8E" w:rsidP="00874F8E">
      <w:pPr>
        <w:ind w:left="567" w:right="565"/>
        <w:jc w:val="both"/>
        <w:rPr>
          <w:rFonts w:ascii="Palatino Linotype" w:hAnsi="Palatino Linotype" w:cs="Arial"/>
          <w:bCs/>
          <w:i/>
          <w:sz w:val="22"/>
          <w:szCs w:val="22"/>
        </w:rPr>
      </w:pPr>
    </w:p>
    <w:p w:rsidR="00874F8E" w:rsidRPr="009C68B8" w:rsidRDefault="00874F8E" w:rsidP="00874F8E">
      <w:pPr>
        <w:ind w:left="567" w:right="565"/>
        <w:jc w:val="both"/>
        <w:rPr>
          <w:rFonts w:ascii="Palatino Linotype" w:hAnsi="Palatino Linotype" w:cs="Arial"/>
          <w:bCs/>
          <w:i/>
          <w:sz w:val="22"/>
          <w:szCs w:val="22"/>
        </w:rPr>
      </w:pPr>
      <w:r w:rsidRPr="009C68B8">
        <w:rPr>
          <w:rFonts w:ascii="Palatino Linotype" w:hAnsi="Palatino Linotype" w:cs="Arial"/>
          <w:b/>
          <w:bCs/>
          <w:i/>
          <w:sz w:val="22"/>
          <w:szCs w:val="22"/>
        </w:rPr>
        <w:t>Este derecho se regirá por los principios y bases siguientes</w:t>
      </w:r>
      <w:r w:rsidRPr="009C68B8">
        <w:rPr>
          <w:rFonts w:ascii="Palatino Linotype" w:hAnsi="Palatino Linotype" w:cs="Arial"/>
          <w:bCs/>
          <w:i/>
          <w:sz w:val="22"/>
          <w:szCs w:val="22"/>
        </w:rPr>
        <w:t>:</w:t>
      </w:r>
    </w:p>
    <w:p w:rsidR="00874F8E" w:rsidRPr="009C68B8" w:rsidRDefault="00874F8E" w:rsidP="00874F8E">
      <w:pPr>
        <w:pStyle w:val="Prrafodelista"/>
        <w:numPr>
          <w:ilvl w:val="0"/>
          <w:numId w:val="2"/>
        </w:numPr>
        <w:ind w:left="567" w:right="565" w:firstLine="0"/>
        <w:jc w:val="both"/>
        <w:rPr>
          <w:rFonts w:ascii="Palatino Linotype" w:hAnsi="Palatino Linotype" w:cs="Arial"/>
          <w:bCs/>
          <w:i/>
          <w:sz w:val="22"/>
          <w:szCs w:val="22"/>
        </w:rPr>
      </w:pPr>
      <w:r w:rsidRPr="009C68B8">
        <w:rPr>
          <w:rFonts w:ascii="Palatino Linotype" w:hAnsi="Palatino Linotype" w:cs="Arial"/>
          <w:b/>
          <w:bCs/>
          <w:i/>
          <w:sz w:val="22"/>
          <w:szCs w:val="22"/>
        </w:rPr>
        <w:t>Toda la información en posesión de cualquier autoridad, entidad, órgano y organismos de los</w:t>
      </w:r>
      <w:r w:rsidRPr="009C68B8">
        <w:rPr>
          <w:rFonts w:ascii="Palatino Linotype" w:hAnsi="Palatino Linotype" w:cs="Arial"/>
          <w:bCs/>
          <w:i/>
          <w:sz w:val="22"/>
          <w:szCs w:val="22"/>
        </w:rPr>
        <w:t xml:space="preserve"> Poderes Ejecutivo, Legislativo y Judicial, órganos autónomos, partidos políticos, fideicomisos y fondos públicos estatales y </w:t>
      </w:r>
      <w:r w:rsidRPr="009C68B8">
        <w:rPr>
          <w:rFonts w:ascii="Palatino Linotype" w:hAnsi="Palatino Linotype" w:cs="Arial"/>
          <w:b/>
          <w:bCs/>
          <w:i/>
          <w:sz w:val="22"/>
          <w:szCs w:val="22"/>
        </w:rPr>
        <w:t>municipales</w:t>
      </w:r>
      <w:r w:rsidRPr="009C68B8">
        <w:rPr>
          <w:rFonts w:ascii="Palatino Linotype" w:hAnsi="Palatino Linotype" w:cs="Arial"/>
          <w:bCs/>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C68B8">
        <w:rPr>
          <w:rFonts w:ascii="Palatino Linotype" w:hAnsi="Palatino Linotype" w:cs="Arial"/>
          <w:b/>
          <w:bCs/>
          <w:i/>
          <w:sz w:val="22"/>
          <w:szCs w:val="22"/>
        </w:rPr>
        <w:t>es pública</w:t>
      </w:r>
      <w:r w:rsidRPr="009C68B8">
        <w:rPr>
          <w:rFonts w:ascii="Palatino Linotype" w:hAnsi="Palatino Linotype" w:cs="Arial"/>
          <w:bCs/>
          <w:i/>
          <w:sz w:val="22"/>
          <w:szCs w:val="22"/>
        </w:rPr>
        <w:t xml:space="preserve"> y sólo podrá ser reservada temporalmente por razones previstas en la Constitución Política de los Estados Unidos Mexicanos de interés público y seguridad, en los términos que fijen las leyes. </w:t>
      </w:r>
      <w:r w:rsidRPr="009C68B8">
        <w:rPr>
          <w:rFonts w:ascii="Palatino Linotype" w:hAnsi="Palatino Linotype" w:cs="Arial"/>
          <w:b/>
          <w:bCs/>
          <w:i/>
          <w:sz w:val="22"/>
          <w:szCs w:val="22"/>
        </w:rPr>
        <w:t xml:space="preserve">En la interpretación de este derecho deberá </w:t>
      </w:r>
      <w:r w:rsidRPr="009C68B8">
        <w:rPr>
          <w:rFonts w:ascii="Palatino Linotype" w:hAnsi="Palatino Linotype" w:cs="Arial"/>
          <w:b/>
          <w:bCs/>
          <w:i/>
          <w:sz w:val="22"/>
          <w:szCs w:val="22"/>
        </w:rPr>
        <w:lastRenderedPageBreak/>
        <w:t>prevalecer el principio de máxima publicidad</w:t>
      </w:r>
      <w:r w:rsidRPr="009C68B8">
        <w:rPr>
          <w:rFonts w:ascii="Palatino Linotype" w:hAnsi="Palatino Linotype" w:cs="Arial"/>
          <w:bCs/>
          <w:i/>
          <w:sz w:val="22"/>
          <w:szCs w:val="22"/>
        </w:rPr>
        <w:t xml:space="preserve">. </w:t>
      </w:r>
      <w:r w:rsidRPr="009C68B8">
        <w:rPr>
          <w:rFonts w:ascii="Palatino Linotype" w:hAnsi="Palatino Linotype" w:cs="Arial"/>
          <w:b/>
          <w:bCs/>
          <w:i/>
          <w:sz w:val="22"/>
          <w:szCs w:val="22"/>
        </w:rPr>
        <w:t>Los sujetos obligados deberán documentar todo acto que derive del ejercicio de sus facultades, competencias o funciones</w:t>
      </w:r>
      <w:r w:rsidRPr="009C68B8">
        <w:rPr>
          <w:rFonts w:ascii="Palatino Linotype" w:hAnsi="Palatino Linotype" w:cs="Arial"/>
          <w:bCs/>
          <w:i/>
          <w:sz w:val="22"/>
          <w:szCs w:val="22"/>
        </w:rPr>
        <w:t>, la ley determinará los supuestos específicos bajo los cuales procederá la declaración de inexistencia de la información.”</w:t>
      </w:r>
    </w:p>
    <w:p w:rsidR="00874F8E" w:rsidRPr="009C68B8" w:rsidRDefault="00874F8E" w:rsidP="00874F8E">
      <w:pPr>
        <w:ind w:left="567" w:right="565"/>
        <w:jc w:val="both"/>
        <w:rPr>
          <w:rFonts w:ascii="Palatino Linotype" w:hAnsi="Palatino Linotype" w:cs="Arial"/>
          <w:bCs/>
          <w:i/>
          <w:sz w:val="22"/>
          <w:szCs w:val="22"/>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 xml:space="preserve">Según </w:t>
      </w:r>
      <w:r w:rsidRPr="009C68B8">
        <w:rPr>
          <w:rFonts w:ascii="Palatino Linotype" w:hAnsi="Palatino Linotype" w:cs="Arial"/>
          <w:sz w:val="22"/>
          <w:szCs w:val="22"/>
        </w:rPr>
        <w:t xml:space="preserve">el artículo 150 de la Ley de Transparencia del Estado, la solicitud es la garantía primaria del Derecho de Acceso a la Información, además, establece que se regirá </w:t>
      </w:r>
      <w:r w:rsidRPr="009C68B8">
        <w:rPr>
          <w:rFonts w:ascii="Palatino Linotype" w:hAnsi="Palatino Linotype" w:cs="Arial"/>
          <w:i/>
          <w:sz w:val="22"/>
          <w:szCs w:val="22"/>
        </w:rPr>
        <w:t>por los principios de simplicidad, rapidez gratuidad del procedimiento, auxilio y orientación a los particulares</w:t>
      </w:r>
      <w:r w:rsidRPr="009C68B8">
        <w:rPr>
          <w:rFonts w:ascii="Palatino Linotype" w:hAnsi="Palatino Linotype" w:cs="Arial"/>
          <w:sz w:val="22"/>
          <w:szCs w:val="22"/>
        </w:rPr>
        <w:t>, contemplando el derecho de las personas con discapacidad y hablantes de lengua indígena.</w:t>
      </w:r>
    </w:p>
    <w:p w:rsidR="00874F8E" w:rsidRPr="009C68B8"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 xml:space="preserve">El </w:t>
      </w:r>
      <w:r w:rsidRPr="009C68B8">
        <w:rPr>
          <w:rFonts w:ascii="Palatino Linotype" w:hAnsi="Palatino Linotype"/>
          <w:sz w:val="22"/>
          <w:szCs w:val="22"/>
        </w:rPr>
        <w:t>Derecho</w:t>
      </w:r>
      <w:r w:rsidRPr="009C68B8">
        <w:rPr>
          <w:rFonts w:ascii="Palatino Linotype" w:hAnsi="Palatino Linotype" w:cs="Arial"/>
          <w:sz w:val="22"/>
          <w:szCs w:val="22"/>
        </w:rPr>
        <w:t xml:space="preserve"> de Acceso a la Información se garantiza y respeta oportunamente, y según lo que dispone la Ley, las </w:t>
      </w:r>
      <w:r w:rsidRPr="009C68B8">
        <w:rPr>
          <w:rFonts w:ascii="Palatino Linotype" w:hAnsi="Palatino Linotype" w:cs="Arial"/>
          <w:i/>
          <w:sz w:val="22"/>
          <w:szCs w:val="22"/>
        </w:rPr>
        <w:t>solicitudes de acceso a la información</w:t>
      </w:r>
      <w:r w:rsidRPr="009C68B8">
        <w:rPr>
          <w:rFonts w:ascii="Palatino Linotype" w:hAnsi="Palatino Linotype" w:cs="Arial"/>
          <w:sz w:val="22"/>
          <w:szCs w:val="22"/>
        </w:rPr>
        <w:t>.</w:t>
      </w:r>
    </w:p>
    <w:p w:rsidR="00874F8E" w:rsidRPr="009C68B8"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 xml:space="preserve">Así </w:t>
      </w:r>
      <w:r w:rsidRPr="009C68B8">
        <w:rPr>
          <w:rFonts w:ascii="Palatino Linotype" w:hAnsi="Palatino Linotype" w:cs="Arial"/>
          <w:sz w:val="22"/>
          <w:szCs w:val="22"/>
        </w:rPr>
        <w:t xml:space="preserve">entonces, se procede analizar, en primer lugar, si el </w:t>
      </w:r>
      <w:r w:rsidRPr="009C68B8">
        <w:rPr>
          <w:rFonts w:ascii="Palatino Linotype" w:hAnsi="Palatino Linotype" w:cs="Arial"/>
          <w:b/>
          <w:bCs/>
          <w:sz w:val="22"/>
          <w:szCs w:val="22"/>
        </w:rPr>
        <w:t>SUJETO OBLIGADO</w:t>
      </w:r>
      <w:r w:rsidRPr="009C68B8">
        <w:rPr>
          <w:rFonts w:ascii="Palatino Linotype" w:hAnsi="Palatino Linotype" w:cs="Arial"/>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r w:rsidRPr="009C68B8">
        <w:rPr>
          <w:rFonts w:ascii="Palatino Linotype" w:eastAsia="Calibri" w:hAnsi="Palatino Linotype" w:cs="Arial"/>
          <w:color w:val="000000" w:themeColor="text1"/>
          <w:sz w:val="22"/>
          <w:szCs w:val="22"/>
          <w:lang w:val="es-ES"/>
        </w:rPr>
        <w:t xml:space="preserve"> </w:t>
      </w:r>
    </w:p>
    <w:p w:rsidR="00874F8E" w:rsidRPr="009C68B8"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9C68B8" w:rsidRDefault="00874F8E" w:rsidP="00874F8E">
      <w:pPr>
        <w:keepNext/>
        <w:keepLines/>
        <w:numPr>
          <w:ilvl w:val="1"/>
          <w:numId w:val="3"/>
        </w:numPr>
        <w:spacing w:line="360" w:lineRule="auto"/>
        <w:ind w:left="567" w:right="565"/>
        <w:contextualSpacing/>
        <w:jc w:val="both"/>
        <w:outlineLvl w:val="1"/>
        <w:rPr>
          <w:rFonts w:ascii="Palatino Linotype" w:eastAsia="MS Gothic" w:hAnsi="Palatino Linotype"/>
          <w:b/>
          <w:sz w:val="22"/>
          <w:szCs w:val="22"/>
        </w:rPr>
      </w:pPr>
      <w:bookmarkStart w:id="38" w:name="_Toc70428585"/>
      <w:bookmarkStart w:id="39" w:name="_Toc71234380"/>
      <w:bookmarkStart w:id="40" w:name="_Toc83901398"/>
      <w:r w:rsidRPr="009C68B8">
        <w:rPr>
          <w:rFonts w:ascii="Palatino Linotype" w:eastAsia="MS Gothic" w:hAnsi="Palatino Linotype"/>
          <w:b/>
          <w:sz w:val="22"/>
          <w:szCs w:val="22"/>
        </w:rPr>
        <w:t>De</w:t>
      </w:r>
      <w:bookmarkEnd w:id="38"/>
      <w:bookmarkEnd w:id="39"/>
      <w:bookmarkEnd w:id="40"/>
      <w:r w:rsidRPr="009C68B8">
        <w:rPr>
          <w:rFonts w:ascii="Palatino Linotype" w:eastAsia="MS Gothic" w:hAnsi="Palatino Linotype"/>
          <w:b/>
          <w:sz w:val="22"/>
          <w:szCs w:val="22"/>
        </w:rPr>
        <w:t xml:space="preserve"> la información solicitada y la respuesta del SUJETO OBLIGADO.</w:t>
      </w:r>
    </w:p>
    <w:p w:rsidR="00874F8E" w:rsidRPr="009C68B8" w:rsidRDefault="00874F8E" w:rsidP="00874F8E">
      <w:pPr>
        <w:keepNext/>
        <w:keepLines/>
        <w:spacing w:line="360" w:lineRule="auto"/>
        <w:ind w:left="207"/>
        <w:contextualSpacing/>
        <w:jc w:val="both"/>
        <w:outlineLvl w:val="1"/>
        <w:rPr>
          <w:rFonts w:ascii="Palatino Linotype" w:eastAsia="MS Gothic" w:hAnsi="Palatino Linotype"/>
          <w:b/>
          <w:sz w:val="22"/>
          <w:szCs w:val="22"/>
        </w:rPr>
      </w:pPr>
    </w:p>
    <w:p w:rsidR="00874F8E" w:rsidRPr="009C68B8" w:rsidRDefault="00874F8E" w:rsidP="00874F8E">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 xml:space="preserve">Derivado </w:t>
      </w:r>
      <w:r w:rsidRPr="009C68B8">
        <w:rPr>
          <w:rFonts w:ascii="Palatino Linotype" w:eastAsia="Calibri" w:hAnsi="Palatino Linotype" w:cs="Arial"/>
          <w:sz w:val="22"/>
          <w:szCs w:val="22"/>
        </w:rPr>
        <w:t xml:space="preserve">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w:t>
      </w:r>
      <w:r w:rsidRPr="009C68B8">
        <w:rPr>
          <w:rFonts w:ascii="Palatino Linotype" w:eastAsia="Calibri" w:hAnsi="Palatino Linotype" w:cs="Arial"/>
          <w:sz w:val="22"/>
          <w:szCs w:val="22"/>
        </w:rPr>
        <w:lastRenderedPageBreak/>
        <w:t>lo establecido en el artículo 8 de la Ley de Transparencia y Acceso a la Información Pública del Estado de México y Municipios.</w:t>
      </w:r>
    </w:p>
    <w:p w:rsidR="00874F8E" w:rsidRPr="009C68B8" w:rsidRDefault="00874F8E" w:rsidP="00874F8E">
      <w:pPr>
        <w:pStyle w:val="Prrafodelista"/>
        <w:tabs>
          <w:tab w:val="left" w:pos="426"/>
          <w:tab w:val="left" w:pos="567"/>
        </w:tabs>
        <w:spacing w:line="360" w:lineRule="auto"/>
        <w:ind w:left="0" w:right="-2"/>
        <w:jc w:val="both"/>
        <w:rPr>
          <w:rFonts w:ascii="Palatino Linotype" w:eastAsia="Calibri" w:hAnsi="Palatino Linotype" w:cs="Arial"/>
          <w:color w:val="000000" w:themeColor="text1"/>
          <w:sz w:val="22"/>
          <w:szCs w:val="22"/>
          <w:lang w:val="es-ES"/>
        </w:rPr>
      </w:pPr>
    </w:p>
    <w:p w:rsidR="00874F8E" w:rsidRPr="009C68B8" w:rsidRDefault="00874F8E" w:rsidP="00874F8E">
      <w:pPr>
        <w:pStyle w:val="Prrafodelista"/>
        <w:numPr>
          <w:ilvl w:val="0"/>
          <w:numId w:val="1"/>
        </w:numPr>
        <w:tabs>
          <w:tab w:val="left" w:pos="426"/>
          <w:tab w:val="left" w:pos="567"/>
        </w:tabs>
        <w:spacing w:line="360" w:lineRule="auto"/>
        <w:ind w:left="0" w:right="-2" w:firstLine="0"/>
        <w:jc w:val="both"/>
        <w:rPr>
          <w:rFonts w:ascii="Palatino Linotype" w:eastAsia="Calibri" w:hAnsi="Palatino Linotype" w:cs="Arial"/>
          <w:b/>
          <w:bCs/>
          <w:color w:val="000000" w:themeColor="text1"/>
          <w:sz w:val="22"/>
          <w:szCs w:val="22"/>
          <w:lang w:val="es-ES"/>
        </w:rPr>
      </w:pPr>
      <w:r w:rsidRPr="009C68B8">
        <w:rPr>
          <w:rFonts w:ascii="Palatino Linotype" w:eastAsia="Calibri" w:hAnsi="Palatino Linotype" w:cs="Arial"/>
          <w:sz w:val="22"/>
          <w:szCs w:val="22"/>
        </w:rPr>
        <w:t xml:space="preserve">Así, debemos recapitular que el </w:t>
      </w:r>
      <w:r w:rsidRPr="009C68B8">
        <w:rPr>
          <w:rFonts w:ascii="Palatino Linotype" w:eastAsia="Calibri" w:hAnsi="Palatino Linotype" w:cs="Arial"/>
          <w:b/>
          <w:bCs/>
          <w:sz w:val="22"/>
          <w:szCs w:val="22"/>
        </w:rPr>
        <w:t>RECURRENTE</w:t>
      </w:r>
      <w:r w:rsidRPr="009C68B8">
        <w:rPr>
          <w:rFonts w:ascii="Palatino Linotype" w:eastAsia="Calibri" w:hAnsi="Palatino Linotype" w:cs="Arial"/>
          <w:sz w:val="22"/>
          <w:szCs w:val="22"/>
        </w:rPr>
        <w:t xml:space="preserve"> solicitó</w:t>
      </w:r>
      <w:r w:rsidR="001E1B61" w:rsidRPr="009C68B8">
        <w:rPr>
          <w:rFonts w:ascii="Palatino Linotype" w:eastAsia="Calibri" w:hAnsi="Palatino Linotype" w:cs="Arial"/>
          <w:bCs/>
          <w:color w:val="000000" w:themeColor="text1"/>
          <w:sz w:val="22"/>
          <w:szCs w:val="22"/>
          <w:lang w:val="es-ES"/>
        </w:rPr>
        <w:t xml:space="preserve"> lo siguiente:</w:t>
      </w:r>
    </w:p>
    <w:p w:rsidR="001E1B61" w:rsidRPr="009C68B8" w:rsidRDefault="001E1B61" w:rsidP="001E1B61">
      <w:pPr>
        <w:pStyle w:val="Prrafodelista"/>
        <w:tabs>
          <w:tab w:val="left" w:pos="426"/>
          <w:tab w:val="left" w:pos="567"/>
        </w:tabs>
        <w:spacing w:line="360" w:lineRule="auto"/>
        <w:ind w:left="0" w:right="-2"/>
        <w:jc w:val="both"/>
        <w:rPr>
          <w:rFonts w:ascii="Palatino Linotype" w:eastAsia="Calibri" w:hAnsi="Palatino Linotype" w:cs="Arial"/>
          <w:b/>
          <w:bCs/>
          <w:color w:val="000000" w:themeColor="text1"/>
          <w:sz w:val="22"/>
          <w:szCs w:val="22"/>
          <w:lang w:val="es-ES"/>
        </w:rPr>
      </w:pPr>
    </w:p>
    <w:p w:rsidR="001E1B61" w:rsidRPr="009C68B8" w:rsidRDefault="001E1B61" w:rsidP="001E1B61">
      <w:pPr>
        <w:pStyle w:val="Prrafodelista"/>
        <w:numPr>
          <w:ilvl w:val="0"/>
          <w:numId w:val="9"/>
        </w:numPr>
        <w:tabs>
          <w:tab w:val="left" w:pos="1276"/>
        </w:tabs>
        <w:ind w:left="567" w:right="565" w:hanging="141"/>
        <w:jc w:val="both"/>
        <w:rPr>
          <w:rFonts w:ascii="Palatino Linotype" w:hAnsi="Palatino Linotype"/>
          <w:b/>
          <w:color w:val="000000"/>
          <w:sz w:val="22"/>
          <w:szCs w:val="22"/>
        </w:rPr>
      </w:pPr>
      <w:r w:rsidRPr="009C68B8">
        <w:rPr>
          <w:rFonts w:ascii="Palatino Linotype" w:hAnsi="Palatino Linotype"/>
          <w:b/>
          <w:color w:val="000000"/>
          <w:sz w:val="22"/>
          <w:szCs w:val="22"/>
        </w:rPr>
        <w:t>La licencia de funcionamiento de la unidad económica con el giro de encierro de Transporte y Mantenimiento, con domicilio en Avenida del Rio sin número, esquina Manuel Acuña, Barrio de Belem, Municipio de Tultitlan, Estado de México; y</w:t>
      </w:r>
    </w:p>
    <w:p w:rsidR="001E1B61" w:rsidRPr="009C68B8" w:rsidRDefault="001E1B61" w:rsidP="001E1B61">
      <w:pPr>
        <w:pStyle w:val="Prrafodelista"/>
        <w:tabs>
          <w:tab w:val="left" w:pos="1276"/>
        </w:tabs>
        <w:ind w:left="567" w:right="565"/>
        <w:jc w:val="both"/>
        <w:rPr>
          <w:rFonts w:ascii="Palatino Linotype" w:hAnsi="Palatino Linotype"/>
          <w:b/>
          <w:color w:val="000000"/>
          <w:sz w:val="22"/>
          <w:szCs w:val="22"/>
        </w:rPr>
      </w:pPr>
    </w:p>
    <w:p w:rsidR="001E1B61" w:rsidRPr="009C68B8" w:rsidRDefault="001E1B61" w:rsidP="001E1B61">
      <w:pPr>
        <w:pStyle w:val="Prrafodelista"/>
        <w:numPr>
          <w:ilvl w:val="0"/>
          <w:numId w:val="9"/>
        </w:numPr>
        <w:tabs>
          <w:tab w:val="left" w:pos="1276"/>
        </w:tabs>
        <w:ind w:left="567" w:right="565" w:hanging="141"/>
        <w:jc w:val="both"/>
        <w:rPr>
          <w:rFonts w:ascii="Palatino Linotype" w:eastAsia="Calibri" w:hAnsi="Palatino Linotype" w:cs="Arial"/>
          <w:color w:val="000000" w:themeColor="text1"/>
          <w:sz w:val="22"/>
          <w:szCs w:val="22"/>
          <w:lang w:val="es-ES"/>
        </w:rPr>
      </w:pPr>
      <w:r w:rsidRPr="009C68B8">
        <w:rPr>
          <w:rFonts w:ascii="Palatino Linotype" w:hAnsi="Palatino Linotype"/>
          <w:b/>
          <w:color w:val="000000"/>
          <w:sz w:val="22"/>
          <w:szCs w:val="22"/>
        </w:rPr>
        <w:t>Las documentales que avalen el cumplimiento a lo establecido a la Norma Técnica de Protección Civil NTE-001-CGPC-2016, en cuanto a la elaboración de su programa específico, con el cual se hizo acreedor al permiso en materia de protección civil.</w:t>
      </w:r>
    </w:p>
    <w:p w:rsidR="00874F8E" w:rsidRPr="009C68B8" w:rsidRDefault="00874F8E" w:rsidP="00874F8E">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rsidR="00874F8E" w:rsidRPr="009C68B8" w:rsidRDefault="00874F8E" w:rsidP="001E1B6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 xml:space="preserve">En respuesta, </w:t>
      </w:r>
      <w:r w:rsidR="001E1B61" w:rsidRPr="009C68B8">
        <w:rPr>
          <w:rFonts w:ascii="Palatino Linotype" w:eastAsia="Calibri" w:hAnsi="Palatino Linotype" w:cs="Arial"/>
          <w:color w:val="000000" w:themeColor="text1"/>
          <w:sz w:val="22"/>
          <w:szCs w:val="22"/>
          <w:lang w:val="es-ES"/>
        </w:rPr>
        <w:t xml:space="preserve">el </w:t>
      </w:r>
      <w:r w:rsidR="001E1B61" w:rsidRPr="009C68B8">
        <w:rPr>
          <w:rFonts w:ascii="Palatino Linotype" w:eastAsia="Calibri" w:hAnsi="Palatino Linotype" w:cs="Arial"/>
          <w:b/>
          <w:color w:val="000000" w:themeColor="text1"/>
          <w:sz w:val="22"/>
          <w:szCs w:val="22"/>
          <w:lang w:val="es-ES"/>
        </w:rPr>
        <w:t>SUJETO OBLIGADO</w:t>
      </w:r>
      <w:r w:rsidR="001E1B61" w:rsidRPr="009C68B8">
        <w:rPr>
          <w:rFonts w:ascii="Palatino Linotype" w:eastAsia="Calibri" w:hAnsi="Palatino Linotype" w:cs="Arial"/>
          <w:color w:val="000000" w:themeColor="text1"/>
          <w:sz w:val="22"/>
          <w:szCs w:val="22"/>
          <w:lang w:val="es-ES"/>
        </w:rPr>
        <w:t xml:space="preserve"> por medio del </w:t>
      </w:r>
      <w:r w:rsidR="001E1B61" w:rsidRPr="009C68B8">
        <w:rPr>
          <w:rFonts w:ascii="Palatino Linotype" w:hAnsi="Palatino Linotype"/>
          <w:sz w:val="22"/>
          <w:szCs w:val="22"/>
        </w:rPr>
        <w:t xml:space="preserve">Coordinador Municipal de Protección Civil y Bomberos, </w:t>
      </w:r>
      <w:r w:rsidR="001E1B61" w:rsidRPr="009C68B8">
        <w:rPr>
          <w:rFonts w:ascii="Palatino Linotype" w:hAnsi="Palatino Linotype"/>
          <w:b/>
          <w:sz w:val="22"/>
          <w:szCs w:val="22"/>
        </w:rPr>
        <w:t xml:space="preserve">refirió que no cuenta con </w:t>
      </w:r>
      <w:r w:rsidR="001E1B61" w:rsidRPr="009C68B8">
        <w:rPr>
          <w:rFonts w:ascii="Palatino Linotype" w:hAnsi="Palatino Linotype" w:cs="Arial"/>
          <w:b/>
          <w:color w:val="222222"/>
          <w:sz w:val="22"/>
          <w:szCs w:val="22"/>
          <w:shd w:val="clear" w:color="auto" w:fill="FFFFFF"/>
        </w:rPr>
        <w:t xml:space="preserve">información relacionada al giro comercial o domicilio de referencia; </w:t>
      </w:r>
      <w:r w:rsidR="001E1B61" w:rsidRPr="009C68B8">
        <w:rPr>
          <w:rFonts w:ascii="Palatino Linotype" w:hAnsi="Palatino Linotype" w:cs="Arial"/>
          <w:color w:val="222222"/>
          <w:sz w:val="22"/>
          <w:szCs w:val="22"/>
          <w:shd w:val="clear" w:color="auto" w:fill="FFFFFF"/>
        </w:rPr>
        <w:t>asimismo, solicitó hicieran llegar a la Unidad Administrativa a su cargo, la copia simple de la licencia de funcionamiento en mención para tener elementos y dar una respuesta más amplia a la solicitud de información.</w:t>
      </w:r>
    </w:p>
    <w:p w:rsidR="00874F8E" w:rsidRPr="009C68B8" w:rsidRDefault="00874F8E" w:rsidP="001E1B61">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 xml:space="preserve">Posteriormente, el </w:t>
      </w:r>
      <w:r w:rsidRPr="009C68B8">
        <w:rPr>
          <w:rFonts w:ascii="Palatino Linotype" w:eastAsia="Calibri" w:hAnsi="Palatino Linotype" w:cs="Arial"/>
          <w:b/>
          <w:bCs/>
          <w:color w:val="000000" w:themeColor="text1"/>
          <w:sz w:val="22"/>
          <w:szCs w:val="22"/>
          <w:lang w:val="es-ES"/>
        </w:rPr>
        <w:t>RECURRENTE</w:t>
      </w:r>
      <w:r w:rsidRPr="009C68B8">
        <w:rPr>
          <w:rFonts w:ascii="Palatino Linotype" w:eastAsia="Calibri" w:hAnsi="Palatino Linotype" w:cs="Arial"/>
          <w:color w:val="000000" w:themeColor="text1"/>
          <w:sz w:val="22"/>
          <w:szCs w:val="22"/>
          <w:lang w:val="es-ES"/>
        </w:rPr>
        <w:t xml:space="preserve"> </w:t>
      </w:r>
      <w:r w:rsidRPr="009C68B8">
        <w:rPr>
          <w:rFonts w:ascii="Palatino Linotype" w:hAnsi="Palatino Linotype" w:cs="Arial"/>
          <w:color w:val="000000" w:themeColor="text1"/>
          <w:sz w:val="22"/>
          <w:szCs w:val="22"/>
        </w:rPr>
        <w:t xml:space="preserve">interpuso el recurso de revisión, donde manifestó como motivos de inconformidad, </w:t>
      </w:r>
      <w:r w:rsidRPr="009C68B8">
        <w:rPr>
          <w:rFonts w:ascii="Palatino Linotype" w:hAnsi="Palatino Linotype" w:cs="Arial"/>
          <w:b/>
          <w:color w:val="000000" w:themeColor="text1"/>
          <w:sz w:val="22"/>
          <w:szCs w:val="22"/>
        </w:rPr>
        <w:t>la negativa de la información solicitada.</w:t>
      </w:r>
    </w:p>
    <w:p w:rsidR="00874F8E" w:rsidRPr="009C68B8" w:rsidRDefault="00874F8E" w:rsidP="00874F8E">
      <w:pPr>
        <w:rPr>
          <w:rFonts w:ascii="Palatino Linotype" w:eastAsia="Calibri" w:hAnsi="Palatino Linotype" w:cs="Arial"/>
          <w:color w:val="000000" w:themeColor="text1"/>
          <w:sz w:val="22"/>
          <w:szCs w:val="22"/>
          <w:lang w:val="es-ES"/>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 xml:space="preserve">En </w:t>
      </w:r>
      <w:r w:rsidRPr="009C68B8">
        <w:rPr>
          <w:rFonts w:ascii="Palatino Linotype" w:hAnsi="Palatino Linotype"/>
          <w:color w:val="000000" w:themeColor="text1"/>
          <w:sz w:val="22"/>
          <w:szCs w:val="22"/>
        </w:rPr>
        <w:t xml:space="preserve">razón de lo anterior, el estudio del presente asunto versará en analizar las constancias que obran en el expediente digital formado en el </w:t>
      </w:r>
      <w:r w:rsidRPr="009C68B8">
        <w:rPr>
          <w:rFonts w:ascii="Palatino Linotype" w:hAnsi="Palatino Linotype"/>
          <w:b/>
          <w:color w:val="000000" w:themeColor="text1"/>
          <w:sz w:val="22"/>
          <w:szCs w:val="22"/>
        </w:rPr>
        <w:t>SAIMEX</w:t>
      </w:r>
      <w:r w:rsidRPr="009C68B8">
        <w:rPr>
          <w:rFonts w:ascii="Palatino Linotype" w:hAnsi="Palatino Linotype"/>
          <w:color w:val="000000" w:themeColor="text1"/>
          <w:sz w:val="22"/>
          <w:szCs w:val="22"/>
        </w:rPr>
        <w:t xml:space="preserve">, así como los agravios expuestos por el </w:t>
      </w:r>
      <w:r w:rsidRPr="009C68B8">
        <w:rPr>
          <w:rFonts w:ascii="Palatino Linotype" w:hAnsi="Palatino Linotype"/>
          <w:b/>
          <w:bCs/>
          <w:color w:val="000000" w:themeColor="text1"/>
          <w:sz w:val="22"/>
          <w:szCs w:val="22"/>
        </w:rPr>
        <w:t>RECURRENTE</w:t>
      </w:r>
      <w:r w:rsidRPr="009C68B8">
        <w:rPr>
          <w:rFonts w:ascii="Palatino Linotype" w:hAnsi="Palatino Linotype"/>
          <w:color w:val="000000" w:themeColor="text1"/>
          <w:sz w:val="22"/>
          <w:szCs w:val="22"/>
        </w:rPr>
        <w:t xml:space="preserve"> a través del recurso de revisión </w:t>
      </w:r>
      <w:r w:rsidR="001E1B61" w:rsidRPr="009C68B8">
        <w:rPr>
          <w:rFonts w:ascii="Palatino Linotype" w:hAnsi="Palatino Linotype"/>
          <w:b/>
          <w:bCs/>
          <w:color w:val="000000" w:themeColor="text1"/>
          <w:sz w:val="22"/>
          <w:szCs w:val="22"/>
        </w:rPr>
        <w:lastRenderedPageBreak/>
        <w:t>07488</w:t>
      </w:r>
      <w:r w:rsidRPr="009C68B8">
        <w:rPr>
          <w:rFonts w:ascii="Palatino Linotype" w:hAnsi="Palatino Linotype"/>
          <w:b/>
          <w:bCs/>
          <w:color w:val="000000" w:themeColor="text1"/>
          <w:sz w:val="22"/>
          <w:szCs w:val="22"/>
        </w:rPr>
        <w:t>/INFOEM/IP/RR/2024</w:t>
      </w:r>
      <w:r w:rsidRPr="009C68B8">
        <w:rPr>
          <w:rFonts w:ascii="Palatino Linotype" w:hAnsi="Palatino Linotype"/>
          <w:color w:val="000000" w:themeColor="text1"/>
          <w:sz w:val="22"/>
          <w:szCs w:val="22"/>
        </w:rPr>
        <w:t xml:space="preserve">, con el objeto de determinar si, con su respuesta, el </w:t>
      </w:r>
      <w:r w:rsidRPr="009C68B8">
        <w:rPr>
          <w:rFonts w:ascii="Palatino Linotype" w:hAnsi="Palatino Linotype"/>
          <w:b/>
          <w:color w:val="000000" w:themeColor="text1"/>
          <w:sz w:val="22"/>
          <w:szCs w:val="22"/>
        </w:rPr>
        <w:t>SUJETO OBLIGADO</w:t>
      </w:r>
      <w:r w:rsidRPr="009C68B8">
        <w:rPr>
          <w:rFonts w:ascii="Palatino Linotype" w:hAnsi="Palatino Linotype"/>
          <w:color w:val="000000" w:themeColor="text1"/>
          <w:sz w:val="22"/>
          <w:szCs w:val="22"/>
        </w:rPr>
        <w:t xml:space="preserve"> colmó el derecho de acceso a la información o, si por el contrario, procede la entrega de información.</w:t>
      </w:r>
    </w:p>
    <w:p w:rsidR="00874F8E" w:rsidRPr="009C68B8" w:rsidRDefault="00874F8E" w:rsidP="00874F8E">
      <w:pPr>
        <w:rPr>
          <w:rFonts w:ascii="Palatino Linotype" w:eastAsia="Calibri" w:hAnsi="Palatino Linotype" w:cs="Arial"/>
          <w:color w:val="000000" w:themeColor="text1"/>
          <w:sz w:val="22"/>
          <w:szCs w:val="22"/>
          <w:lang w:val="es-ES"/>
        </w:rPr>
      </w:pPr>
    </w:p>
    <w:p w:rsidR="001E1B61" w:rsidRPr="009C68B8" w:rsidRDefault="001E1B61" w:rsidP="001E1B6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b/>
          <w:color w:val="000000" w:themeColor="text1"/>
          <w:sz w:val="22"/>
          <w:szCs w:val="22"/>
          <w:lang w:val="es-ES"/>
        </w:rPr>
      </w:pPr>
      <w:r w:rsidRPr="009C68B8">
        <w:rPr>
          <w:rFonts w:ascii="Palatino Linotype" w:eastAsia="Calibri" w:hAnsi="Palatino Linotype" w:cs="Arial"/>
          <w:color w:val="000000" w:themeColor="text1"/>
          <w:sz w:val="22"/>
          <w:szCs w:val="22"/>
          <w:lang w:val="es-ES"/>
        </w:rPr>
        <w:t xml:space="preserve">En este sentido, resulta conveniente mencionar que, es cierto el </w:t>
      </w:r>
      <w:r w:rsidRPr="009C68B8">
        <w:rPr>
          <w:rFonts w:ascii="Palatino Linotype" w:hAnsi="Palatino Linotype"/>
          <w:sz w:val="22"/>
          <w:szCs w:val="22"/>
        </w:rPr>
        <w:t>Coordinador Municipal de Protección Civil y Bomberos</w:t>
      </w:r>
      <w:r w:rsidRPr="009C68B8">
        <w:rPr>
          <w:rFonts w:ascii="Palatino Linotype" w:eastAsia="Calibri" w:hAnsi="Palatino Linotype" w:cs="Arial"/>
          <w:color w:val="000000" w:themeColor="text1"/>
          <w:sz w:val="22"/>
          <w:szCs w:val="22"/>
          <w:lang w:val="es-ES"/>
        </w:rPr>
        <w:t xml:space="preserve"> manifestó no contar con la información solicitada, también lo es que, de las documentales que integran el expediente electrónico en el </w:t>
      </w:r>
      <w:r w:rsidRPr="009C68B8">
        <w:rPr>
          <w:rFonts w:ascii="Palatino Linotype" w:eastAsia="Calibri" w:hAnsi="Palatino Linotype" w:cs="Arial"/>
          <w:b/>
          <w:color w:val="000000" w:themeColor="text1"/>
          <w:sz w:val="22"/>
          <w:szCs w:val="22"/>
          <w:lang w:val="es-ES"/>
        </w:rPr>
        <w:t>SAIMEX</w:t>
      </w:r>
      <w:r w:rsidRPr="009C68B8">
        <w:rPr>
          <w:rFonts w:ascii="Palatino Linotype" w:eastAsia="Calibri" w:hAnsi="Palatino Linotype" w:cs="Arial"/>
          <w:color w:val="000000" w:themeColor="text1"/>
          <w:sz w:val="22"/>
          <w:szCs w:val="22"/>
          <w:lang w:val="es-ES"/>
        </w:rPr>
        <w:t xml:space="preserve">, se tiene que tanto en la solicitud de información como en el recurso de revisión, el </w:t>
      </w:r>
      <w:r w:rsidRPr="009C68B8">
        <w:rPr>
          <w:rFonts w:ascii="Palatino Linotype" w:eastAsia="Calibri" w:hAnsi="Palatino Linotype" w:cs="Arial"/>
          <w:b/>
          <w:color w:val="000000" w:themeColor="text1"/>
          <w:sz w:val="22"/>
          <w:szCs w:val="22"/>
          <w:lang w:val="es-ES"/>
        </w:rPr>
        <w:t>RECURRENTE</w:t>
      </w:r>
      <w:r w:rsidRPr="009C68B8">
        <w:rPr>
          <w:rFonts w:ascii="Palatino Linotype" w:eastAsia="Calibri" w:hAnsi="Palatino Linotype" w:cs="Arial"/>
          <w:color w:val="000000" w:themeColor="text1"/>
          <w:sz w:val="22"/>
          <w:szCs w:val="22"/>
          <w:lang w:val="es-ES"/>
        </w:rPr>
        <w:t xml:space="preserve"> adjunto un oficio suscrito por </w:t>
      </w:r>
      <w:r w:rsidRPr="009C68B8">
        <w:rPr>
          <w:rFonts w:ascii="Palatino Linotype" w:hAnsi="Palatino Linotype" w:cs="Arial"/>
          <w:sz w:val="22"/>
          <w:szCs w:val="22"/>
        </w:rPr>
        <w:t xml:space="preserve">el Jefe de Departamento del Centro de Atención Empresarial y Ventanilla del Ayuntamiento de Tultitlán, por medio del cual, en atención a la solicitud de información </w:t>
      </w:r>
      <w:r w:rsidRPr="009C68B8">
        <w:rPr>
          <w:rFonts w:ascii="Palatino Linotype" w:hAnsi="Palatino Linotype" w:cs="Arial"/>
          <w:color w:val="222222"/>
          <w:sz w:val="22"/>
          <w:szCs w:val="22"/>
          <w:shd w:val="clear" w:color="auto" w:fill="FFFFFF"/>
        </w:rPr>
        <w:t>00276/TULTITLA/IP/2024, informó que previa búsqueda</w:t>
      </w:r>
      <w:r w:rsidR="004E267D" w:rsidRPr="009C68B8">
        <w:rPr>
          <w:rFonts w:ascii="Palatino Linotype" w:hAnsi="Palatino Linotype" w:cs="Arial"/>
          <w:color w:val="222222"/>
          <w:sz w:val="22"/>
          <w:szCs w:val="22"/>
          <w:shd w:val="clear" w:color="auto" w:fill="FFFFFF"/>
        </w:rPr>
        <w:t xml:space="preserve"> exhaustiva y razonable, </w:t>
      </w:r>
      <w:r w:rsidRPr="009C68B8">
        <w:rPr>
          <w:rFonts w:ascii="Palatino Linotype" w:hAnsi="Palatino Linotype" w:cs="Arial"/>
          <w:b/>
          <w:color w:val="222222"/>
          <w:sz w:val="22"/>
          <w:szCs w:val="22"/>
          <w:shd w:val="clear" w:color="auto" w:fill="FFFFFF"/>
        </w:rPr>
        <w:t xml:space="preserve">se localizó el registro de la </w:t>
      </w:r>
      <w:r w:rsidR="004E267D" w:rsidRPr="009C68B8">
        <w:rPr>
          <w:rFonts w:ascii="Palatino Linotype" w:hAnsi="Palatino Linotype" w:cs="Arial"/>
          <w:b/>
          <w:color w:val="222222"/>
          <w:sz w:val="22"/>
          <w:szCs w:val="22"/>
          <w:shd w:val="clear" w:color="auto" w:fill="FFFFFF"/>
        </w:rPr>
        <w:t xml:space="preserve">Licencia de Funcionamiento para una unidad económica con el giro de Encierro de Transporte y Mantenimiento, en el domicilio ubicado en Avenida del Rio sin número, Esquina Manuel Acuña, Barrio de Belem, Municipio de Tultitlán, Estado de México. </w:t>
      </w:r>
      <w:r w:rsidR="004E267D" w:rsidRPr="009C68B8">
        <w:rPr>
          <w:rFonts w:ascii="Palatino Linotype" w:hAnsi="Palatino Linotype" w:cs="Arial"/>
          <w:color w:val="222222"/>
          <w:sz w:val="22"/>
          <w:szCs w:val="22"/>
          <w:shd w:val="clear" w:color="auto" w:fill="FFFFFF"/>
        </w:rPr>
        <w:t>Como se observa:</w:t>
      </w:r>
    </w:p>
    <w:p w:rsidR="004E267D" w:rsidRPr="009C68B8" w:rsidRDefault="005709AE" w:rsidP="004E267D">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r w:rsidRPr="009C68B8">
        <w:rPr>
          <w:rFonts w:ascii="Palatino Linotype" w:eastAsia="Calibri" w:hAnsi="Palatino Linotype" w:cs="Arial"/>
          <w:b/>
          <w:noProof/>
          <w:color w:val="000000" w:themeColor="text1"/>
          <w:sz w:val="22"/>
          <w:szCs w:val="22"/>
          <w:lang w:val="es-MX" w:eastAsia="es-MX"/>
        </w:rPr>
        <mc:AlternateContent>
          <mc:Choice Requires="wps">
            <w:drawing>
              <wp:anchor distT="0" distB="0" distL="114300" distR="114300" simplePos="0" relativeHeight="251669504" behindDoc="0" locked="0" layoutInCell="1" allowOverlap="1">
                <wp:simplePos x="0" y="0"/>
                <wp:positionH relativeFrom="page">
                  <wp:align>center</wp:align>
                </wp:positionH>
                <wp:positionV relativeFrom="paragraph">
                  <wp:posOffset>4445</wp:posOffset>
                </wp:positionV>
                <wp:extent cx="5543550" cy="3305175"/>
                <wp:effectExtent l="0" t="0" r="19050" b="28575"/>
                <wp:wrapNone/>
                <wp:docPr id="17" name="Conector recto 17"/>
                <wp:cNvGraphicFramePr/>
                <a:graphic xmlns:a="http://schemas.openxmlformats.org/drawingml/2006/main">
                  <a:graphicData uri="http://schemas.microsoft.com/office/word/2010/wordprocessingShape">
                    <wps:wsp>
                      <wps:cNvCnPr/>
                      <wps:spPr>
                        <a:xfrm>
                          <a:off x="0" y="0"/>
                          <a:ext cx="5543550" cy="3305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B60929" id="Conector recto 17" o:spid="_x0000_s1026" style="position:absolute;z-index:251669504;visibility:visible;mso-wrap-style:square;mso-wrap-distance-left:9pt;mso-wrap-distance-top:0;mso-wrap-distance-right:9pt;mso-wrap-distance-bottom:0;mso-position-horizontal:center;mso-position-horizontal-relative:page;mso-position-vertical:absolute;mso-position-vertical-relative:text" from="0,.35pt" to="436.5pt,2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" strokecolor="#5b9bd5 [3204]" strokeweight=".5pt">
                <v:stroke joinstyle="miter"/>
                <w10:wrap anchorx="page"/>
              </v:line>
            </w:pict>
          </mc:Fallback>
        </mc:AlternateContent>
      </w:r>
    </w:p>
    <w:p w:rsidR="001E1B61" w:rsidRPr="009C68B8" w:rsidRDefault="005709AE" w:rsidP="001E1B61">
      <w:pPr>
        <w:pStyle w:val="Prrafodelista"/>
        <w:tabs>
          <w:tab w:val="left" w:pos="426"/>
          <w:tab w:val="left" w:pos="567"/>
        </w:tabs>
        <w:spacing w:line="360" w:lineRule="auto"/>
        <w:ind w:left="0"/>
        <w:jc w:val="both"/>
        <w:rPr>
          <w:rFonts w:ascii="Palatino Linotype" w:eastAsia="Calibri" w:hAnsi="Palatino Linotype" w:cs="Arial"/>
          <w:b/>
          <w:color w:val="000000" w:themeColor="text1"/>
          <w:sz w:val="22"/>
          <w:szCs w:val="22"/>
          <w:lang w:val="es-ES"/>
        </w:rPr>
      </w:pPr>
      <w:r w:rsidRPr="009C68B8">
        <w:rPr>
          <w:rFonts w:ascii="Palatino Linotype" w:eastAsia="Calibri" w:hAnsi="Palatino Linotype" w:cs="Arial"/>
          <w:noProof/>
          <w:color w:val="000000" w:themeColor="text1"/>
          <w:sz w:val="22"/>
          <w:szCs w:val="22"/>
          <w:lang w:val="es-MX" w:eastAsia="es-MX"/>
        </w:rPr>
        <w:lastRenderedPageBreak/>
        <mc:AlternateContent>
          <mc:Choice Requires="wps">
            <w:drawing>
              <wp:anchor distT="0" distB="0" distL="114300" distR="114300" simplePos="0" relativeHeight="251668480" behindDoc="0" locked="0" layoutInCell="1" allowOverlap="1" wp14:anchorId="68F18308" wp14:editId="143CBC53">
                <wp:simplePos x="0" y="0"/>
                <wp:positionH relativeFrom="column">
                  <wp:posOffset>291465</wp:posOffset>
                </wp:positionH>
                <wp:positionV relativeFrom="paragraph">
                  <wp:posOffset>3399156</wp:posOffset>
                </wp:positionV>
                <wp:extent cx="4772025" cy="781050"/>
                <wp:effectExtent l="19050" t="19050" r="28575" b="19050"/>
                <wp:wrapNone/>
                <wp:docPr id="16" name="Rectángulo 16"/>
                <wp:cNvGraphicFramePr/>
                <a:graphic xmlns:a="http://schemas.openxmlformats.org/drawingml/2006/main">
                  <a:graphicData uri="http://schemas.microsoft.com/office/word/2010/wordprocessingShape">
                    <wps:wsp>
                      <wps:cNvSpPr/>
                      <wps:spPr>
                        <a:xfrm>
                          <a:off x="0" y="0"/>
                          <a:ext cx="4772025" cy="78105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623701" id="Rectángulo 16" o:spid="_x0000_s1026" style="position:absolute;margin-left:22.95pt;margin-top:267.65pt;width:375.75pt;height:6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" filled="f" strokecolor="#c00000" strokeweight="2.25pt"/>
            </w:pict>
          </mc:Fallback>
        </mc:AlternateContent>
      </w:r>
      <w:r w:rsidR="004E267D" w:rsidRPr="009C68B8">
        <w:rPr>
          <w:rFonts w:ascii="Palatino Linotype" w:eastAsia="Calibri" w:hAnsi="Palatino Linotype" w:cs="Arial"/>
          <w:b/>
          <w:noProof/>
          <w:color w:val="000000" w:themeColor="text1"/>
          <w:sz w:val="22"/>
          <w:szCs w:val="22"/>
          <w:lang w:val="es-MX" w:eastAsia="es-MX"/>
        </w:rPr>
        <w:drawing>
          <wp:inline distT="0" distB="0" distL="0" distR="0" wp14:anchorId="7218E357" wp14:editId="6F09D14F">
            <wp:extent cx="5315585" cy="6486525"/>
            <wp:effectExtent l="19050" t="19050" r="18415" b="285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15585" cy="6486525"/>
                    </a:xfrm>
                    <a:prstGeom prst="rect">
                      <a:avLst/>
                    </a:prstGeom>
                    <a:ln>
                      <a:solidFill>
                        <a:schemeClr val="tx1"/>
                      </a:solidFill>
                    </a:ln>
                  </pic:spPr>
                </pic:pic>
              </a:graphicData>
            </a:graphic>
          </wp:inline>
        </w:drawing>
      </w:r>
    </w:p>
    <w:p w:rsidR="005709AE" w:rsidRPr="009C68B8" w:rsidRDefault="005709AE" w:rsidP="005709AE">
      <w:pPr>
        <w:pStyle w:val="Prrafodelista"/>
        <w:tabs>
          <w:tab w:val="left" w:pos="426"/>
          <w:tab w:val="left" w:pos="567"/>
        </w:tabs>
        <w:spacing w:line="360" w:lineRule="auto"/>
        <w:ind w:left="0"/>
        <w:jc w:val="center"/>
        <w:rPr>
          <w:rFonts w:ascii="Palatino Linotype" w:eastAsia="Calibri" w:hAnsi="Palatino Linotype" w:cs="Arial"/>
          <w:b/>
          <w:color w:val="000000" w:themeColor="text1"/>
          <w:sz w:val="22"/>
          <w:szCs w:val="22"/>
          <w:lang w:val="es-ES"/>
        </w:rPr>
      </w:pPr>
      <w:r w:rsidRPr="009C68B8">
        <w:rPr>
          <w:rFonts w:ascii="Palatino Linotype" w:eastAsia="Calibri" w:hAnsi="Palatino Linotype" w:cs="Arial"/>
          <w:b/>
          <w:color w:val="000000" w:themeColor="text1"/>
          <w:sz w:val="22"/>
          <w:szCs w:val="22"/>
          <w:lang w:val="es-ES"/>
        </w:rPr>
        <w:t>(…)</w:t>
      </w:r>
    </w:p>
    <w:p w:rsidR="004E267D" w:rsidRPr="009C68B8" w:rsidRDefault="005709AE" w:rsidP="001E1B61">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noProof/>
          <w:color w:val="000000" w:themeColor="text1"/>
          <w:sz w:val="22"/>
          <w:szCs w:val="22"/>
          <w:lang w:val="es-MX" w:eastAsia="es-MX"/>
        </w:rPr>
        <w:lastRenderedPageBreak/>
        <mc:AlternateContent>
          <mc:Choice Requires="wps">
            <w:drawing>
              <wp:anchor distT="0" distB="0" distL="114300" distR="114300" simplePos="0" relativeHeight="251666432" behindDoc="0" locked="0" layoutInCell="1" allowOverlap="1">
                <wp:simplePos x="0" y="0"/>
                <wp:positionH relativeFrom="column">
                  <wp:posOffset>558165</wp:posOffset>
                </wp:positionH>
                <wp:positionV relativeFrom="paragraph">
                  <wp:posOffset>4399280</wp:posOffset>
                </wp:positionV>
                <wp:extent cx="4772025" cy="762000"/>
                <wp:effectExtent l="19050" t="19050" r="28575" b="19050"/>
                <wp:wrapNone/>
                <wp:docPr id="15" name="Rectángulo 15"/>
                <wp:cNvGraphicFramePr/>
                <a:graphic xmlns:a="http://schemas.openxmlformats.org/drawingml/2006/main">
                  <a:graphicData uri="http://schemas.microsoft.com/office/word/2010/wordprocessingShape">
                    <wps:wsp>
                      <wps:cNvSpPr/>
                      <wps:spPr>
                        <a:xfrm>
                          <a:off x="0" y="0"/>
                          <a:ext cx="4772025" cy="76200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6E74AD" id="Rectángulo 15" o:spid="_x0000_s1026" style="position:absolute;margin-left:43.95pt;margin-top:346.4pt;width:375.75pt;height:60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" filled="f" strokecolor="#c00000" strokeweight="2.25pt"/>
            </w:pict>
          </mc:Fallback>
        </mc:AlternateContent>
      </w:r>
      <w:r w:rsidRPr="009C68B8">
        <w:rPr>
          <w:rFonts w:ascii="Palatino Linotype" w:eastAsia="Calibri" w:hAnsi="Palatino Linotype" w:cs="Arial"/>
          <w:noProof/>
          <w:color w:val="000000" w:themeColor="text1"/>
          <w:sz w:val="22"/>
          <w:szCs w:val="22"/>
          <w:lang w:val="es-MX" w:eastAsia="es-MX"/>
        </w:rPr>
        <w:drawing>
          <wp:anchor distT="0" distB="0" distL="114300" distR="114300" simplePos="0" relativeHeight="251665408" behindDoc="0" locked="0" layoutInCell="1" allowOverlap="1">
            <wp:simplePos x="0" y="0"/>
            <wp:positionH relativeFrom="margin">
              <wp:align>right</wp:align>
            </wp:positionH>
            <wp:positionV relativeFrom="paragraph">
              <wp:posOffset>2484120</wp:posOffset>
            </wp:positionV>
            <wp:extent cx="5454015" cy="4219575"/>
            <wp:effectExtent l="19050" t="19050" r="13335" b="28575"/>
            <wp:wrapThrough wrapText="bothSides">
              <wp:wrapPolygon edited="0">
                <wp:start x="-75" y="-98"/>
                <wp:lineTo x="-75" y="21649"/>
                <wp:lineTo x="21577" y="21649"/>
                <wp:lineTo x="21577" y="-98"/>
                <wp:lineTo x="-75" y="-98"/>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454015" cy="4219575"/>
                    </a:xfrm>
                    <a:prstGeom prst="rect">
                      <a:avLst/>
                    </a:prstGeom>
                    <a:ln>
                      <a:solidFill>
                        <a:schemeClr val="tx1"/>
                      </a:solidFill>
                    </a:ln>
                  </pic:spPr>
                </pic:pic>
              </a:graphicData>
            </a:graphic>
            <wp14:sizeRelV relativeFrom="margin">
              <wp14:pctHeight>0</wp14:pctHeight>
            </wp14:sizeRelV>
          </wp:anchor>
        </w:drawing>
      </w:r>
      <w:r w:rsidR="004E267D" w:rsidRPr="009C68B8">
        <w:rPr>
          <w:rFonts w:ascii="Palatino Linotype" w:eastAsia="Calibri" w:hAnsi="Palatino Linotype" w:cs="Arial"/>
          <w:color w:val="000000" w:themeColor="text1"/>
          <w:sz w:val="22"/>
          <w:szCs w:val="22"/>
          <w:lang w:val="es-ES"/>
        </w:rPr>
        <w:t xml:space="preserve">Asimismo, el </w:t>
      </w:r>
      <w:r w:rsidR="004E267D" w:rsidRPr="009C68B8">
        <w:rPr>
          <w:rFonts w:ascii="Palatino Linotype" w:eastAsia="Calibri" w:hAnsi="Palatino Linotype" w:cs="Arial"/>
          <w:b/>
          <w:color w:val="000000" w:themeColor="text1"/>
          <w:sz w:val="22"/>
          <w:szCs w:val="22"/>
          <w:lang w:val="es-ES"/>
        </w:rPr>
        <w:t>RECURRENTE</w:t>
      </w:r>
      <w:r w:rsidR="004E267D" w:rsidRPr="009C68B8">
        <w:rPr>
          <w:rFonts w:ascii="Palatino Linotype" w:eastAsia="Calibri" w:hAnsi="Palatino Linotype" w:cs="Arial"/>
          <w:color w:val="000000" w:themeColor="text1"/>
          <w:sz w:val="22"/>
          <w:szCs w:val="22"/>
          <w:lang w:val="es-ES"/>
        </w:rPr>
        <w:t xml:space="preserve"> adjunto a la solicitud de información y al recurso de revisión, un oficio suscrito por </w:t>
      </w:r>
      <w:r w:rsidR="004E267D" w:rsidRPr="009C68B8">
        <w:rPr>
          <w:rFonts w:ascii="Palatino Linotype" w:hAnsi="Palatino Linotype" w:cs="Arial"/>
          <w:sz w:val="22"/>
          <w:szCs w:val="22"/>
        </w:rPr>
        <w:t xml:space="preserve">Coordinador de Protección Civil y Bomberos del Ayuntamiento de Tultitlán, mediante el cual, informó que </w:t>
      </w:r>
      <w:r w:rsidR="004E267D" w:rsidRPr="009C68B8">
        <w:rPr>
          <w:rFonts w:ascii="Palatino Linotype" w:hAnsi="Palatino Linotype" w:cs="Arial"/>
          <w:b/>
          <w:sz w:val="22"/>
          <w:szCs w:val="22"/>
        </w:rPr>
        <w:t xml:space="preserve">todo </w:t>
      </w:r>
      <w:r w:rsidR="004E267D" w:rsidRPr="009C68B8">
        <w:rPr>
          <w:rFonts w:ascii="Palatino Linotype" w:hAnsi="Palatino Linotype" w:cs="Arial"/>
          <w:b/>
          <w:color w:val="222222"/>
          <w:sz w:val="22"/>
          <w:szCs w:val="22"/>
          <w:shd w:val="clear" w:color="auto" w:fill="FFFFFF"/>
        </w:rPr>
        <w:t>giro relacionado al transporte en general, que sea acreedor a un permiso en materia de Protección Civil deberá contar con elaboración de su programa específico de conformidad con la Norma Técnica de Protección Civil NTE-001-CGPC-2016,</w:t>
      </w:r>
      <w:r w:rsidR="004E267D" w:rsidRPr="009C68B8">
        <w:rPr>
          <w:rFonts w:ascii="Palatino Linotype" w:hAnsi="Palatino Linotype" w:cs="Arial"/>
          <w:color w:val="222222"/>
          <w:sz w:val="22"/>
          <w:szCs w:val="22"/>
          <w:shd w:val="clear" w:color="auto" w:fill="FFFFFF"/>
        </w:rPr>
        <w:t xml:space="preserve"> </w:t>
      </w:r>
      <w:r w:rsidR="004E267D" w:rsidRPr="009C68B8">
        <w:rPr>
          <w:rFonts w:ascii="Palatino Linotype" w:hAnsi="Palatino Linotype" w:cs="Arial"/>
          <w:b/>
          <w:color w:val="222222"/>
          <w:sz w:val="22"/>
          <w:szCs w:val="22"/>
          <w:shd w:val="clear" w:color="auto" w:fill="FFFFFF"/>
        </w:rPr>
        <w:t>que establece los lineamientos y las especificaciones para la elaboración de su programa específico de Protección Civil.</w:t>
      </w:r>
      <w:r w:rsidR="004E267D" w:rsidRPr="009C68B8">
        <w:rPr>
          <w:rFonts w:ascii="Palatino Linotype" w:hAnsi="Palatino Linotype" w:cs="Arial"/>
          <w:color w:val="222222"/>
          <w:sz w:val="22"/>
          <w:szCs w:val="22"/>
          <w:shd w:val="clear" w:color="auto" w:fill="FFFFFF"/>
        </w:rPr>
        <w:t xml:space="preserve"> Como se observa:</w:t>
      </w:r>
    </w:p>
    <w:p w:rsidR="005709A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lastRenderedPageBreak/>
        <w:t xml:space="preserve">Así, </w:t>
      </w:r>
      <w:r w:rsidRPr="009C68B8">
        <w:rPr>
          <w:rFonts w:ascii="Palatino Linotype" w:eastAsia="Palatino Linotype" w:hAnsi="Palatino Linotype" w:cs="Palatino Linotype"/>
          <w:sz w:val="22"/>
          <w:szCs w:val="22"/>
        </w:rPr>
        <w:t xml:space="preserve">de las constancias que integran </w:t>
      </w:r>
      <w:r w:rsidR="005709AE" w:rsidRPr="009C68B8">
        <w:rPr>
          <w:rFonts w:ascii="Palatino Linotype" w:eastAsia="Palatino Linotype" w:hAnsi="Palatino Linotype" w:cs="Palatino Linotype"/>
          <w:sz w:val="22"/>
          <w:szCs w:val="22"/>
        </w:rPr>
        <w:t xml:space="preserve">el expediente electrónico relacionado </w:t>
      </w:r>
      <w:r w:rsidRPr="009C68B8">
        <w:rPr>
          <w:rFonts w:ascii="Palatino Linotype" w:eastAsia="Palatino Linotype" w:hAnsi="Palatino Linotype" w:cs="Palatino Linotype"/>
          <w:sz w:val="22"/>
          <w:szCs w:val="22"/>
        </w:rPr>
        <w:t xml:space="preserve">con el recurso de revisión materia de estudio, se colige que el </w:t>
      </w:r>
      <w:r w:rsidRPr="009C68B8">
        <w:rPr>
          <w:rFonts w:ascii="Palatino Linotype" w:eastAsia="Palatino Linotype" w:hAnsi="Palatino Linotype" w:cs="Palatino Linotype"/>
          <w:b/>
          <w:sz w:val="22"/>
          <w:szCs w:val="22"/>
        </w:rPr>
        <w:t>SUJETO OBLIGADO</w:t>
      </w:r>
      <w:r w:rsidRPr="009C68B8">
        <w:rPr>
          <w:rFonts w:ascii="Palatino Linotype" w:eastAsia="Palatino Linotype" w:hAnsi="Palatino Linotype" w:cs="Palatino Linotype"/>
          <w:sz w:val="22"/>
          <w:szCs w:val="22"/>
        </w:rPr>
        <w:t xml:space="preserve"> </w:t>
      </w:r>
      <w:r w:rsidR="005709AE" w:rsidRPr="009C68B8">
        <w:rPr>
          <w:rFonts w:ascii="Palatino Linotype" w:eastAsia="Palatino Linotype" w:hAnsi="Palatino Linotype" w:cs="Palatino Linotype"/>
          <w:sz w:val="22"/>
          <w:szCs w:val="22"/>
        </w:rPr>
        <w:t>previamente asumió</w:t>
      </w:r>
      <w:r w:rsidRPr="009C68B8">
        <w:rPr>
          <w:rFonts w:ascii="Palatino Linotype" w:eastAsia="Palatino Linotype" w:hAnsi="Palatino Linotype" w:cs="Palatino Linotype"/>
          <w:sz w:val="22"/>
          <w:szCs w:val="22"/>
        </w:rPr>
        <w:t xml:space="preserve"> la competencia para conoce</w:t>
      </w:r>
      <w:r w:rsidR="005709AE" w:rsidRPr="009C68B8">
        <w:rPr>
          <w:rFonts w:ascii="Palatino Linotype" w:eastAsia="Palatino Linotype" w:hAnsi="Palatino Linotype" w:cs="Palatino Linotype"/>
          <w:sz w:val="22"/>
          <w:szCs w:val="22"/>
        </w:rPr>
        <w:t>r y poseer la información solicitada.</w:t>
      </w:r>
    </w:p>
    <w:p w:rsidR="005709AE" w:rsidRPr="009C68B8" w:rsidRDefault="005709AE" w:rsidP="005709A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9C68B8" w:rsidRDefault="005709A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Palatino Linotype" w:hAnsi="Palatino Linotype" w:cs="Palatino Linotype"/>
          <w:sz w:val="22"/>
          <w:szCs w:val="22"/>
        </w:rPr>
        <w:t xml:space="preserve">En este sentido, </w:t>
      </w:r>
      <w:r w:rsidR="00874F8E" w:rsidRPr="009C68B8">
        <w:rPr>
          <w:rFonts w:ascii="Palatino Linotype" w:eastAsia="Palatino Linotype" w:hAnsi="Palatino Linotype" w:cs="Palatino Linotype"/>
          <w:sz w:val="22"/>
          <w:szCs w:val="22"/>
        </w:rPr>
        <w:t xml:space="preserve">el estudio enunciado tiene por objeto determinar si </w:t>
      </w:r>
      <w:r w:rsidR="00874F8E" w:rsidRPr="009C68B8">
        <w:rPr>
          <w:rFonts w:ascii="Palatino Linotype" w:hAnsi="Palatino Linotype"/>
          <w:sz w:val="22"/>
          <w:szCs w:val="22"/>
        </w:rPr>
        <w:t>los</w:t>
      </w:r>
      <w:r w:rsidR="00874F8E" w:rsidRPr="009C68B8">
        <w:rPr>
          <w:rFonts w:ascii="Palatino Linotype" w:eastAsia="Palatino Linotype" w:hAnsi="Palatino Linotype" w:cs="Palatino Linotype"/>
          <w:sz w:val="22"/>
          <w:szCs w:val="22"/>
        </w:rPr>
        <w:t xml:space="preserve"> Sujeto</w:t>
      </w:r>
      <w:r w:rsidR="00874F8E" w:rsidRPr="009C68B8">
        <w:rPr>
          <w:rFonts w:ascii="Palatino Linotype" w:hAnsi="Palatino Linotype"/>
          <w:sz w:val="22"/>
          <w:szCs w:val="22"/>
        </w:rPr>
        <w:t>s</w:t>
      </w:r>
      <w:r w:rsidR="00874F8E" w:rsidRPr="009C68B8">
        <w:rPr>
          <w:rFonts w:ascii="Palatino Linotype" w:eastAsia="Palatino Linotype" w:hAnsi="Palatino Linotype" w:cs="Palatino Linotype"/>
          <w:sz w:val="22"/>
          <w:szCs w:val="22"/>
        </w:rPr>
        <w:t xml:space="preserve"> Obligado</w:t>
      </w:r>
      <w:r w:rsidR="00874F8E" w:rsidRPr="009C68B8">
        <w:rPr>
          <w:rFonts w:ascii="Palatino Linotype" w:hAnsi="Palatino Linotype"/>
          <w:sz w:val="22"/>
          <w:szCs w:val="22"/>
        </w:rPr>
        <w:t>s</w:t>
      </w:r>
      <w:r w:rsidRPr="009C68B8">
        <w:rPr>
          <w:rFonts w:ascii="Palatino Linotype" w:eastAsia="Palatino Linotype" w:hAnsi="Palatino Linotype" w:cs="Palatino Linotype"/>
          <w:sz w:val="22"/>
          <w:szCs w:val="22"/>
        </w:rPr>
        <w:t xml:space="preserve"> generan, poseen o administran </w:t>
      </w:r>
      <w:r w:rsidR="00874F8E" w:rsidRPr="009C68B8">
        <w:rPr>
          <w:rFonts w:ascii="Palatino Linotype" w:eastAsia="Palatino Linotype" w:hAnsi="Palatino Linotype" w:cs="Palatino Linotype"/>
          <w:sz w:val="22"/>
          <w:szCs w:val="22"/>
        </w:rPr>
        <w:t xml:space="preserve">la información </w:t>
      </w:r>
      <w:r w:rsidRPr="009C68B8">
        <w:rPr>
          <w:rFonts w:ascii="Palatino Linotype" w:eastAsia="Palatino Linotype" w:hAnsi="Palatino Linotype" w:cs="Palatino Linotype"/>
          <w:sz w:val="22"/>
          <w:szCs w:val="22"/>
        </w:rPr>
        <w:t>requerida</w:t>
      </w:r>
      <w:r w:rsidR="00874F8E" w:rsidRPr="009C68B8">
        <w:rPr>
          <w:rFonts w:ascii="Palatino Linotype" w:eastAsia="Palatino Linotype" w:hAnsi="Palatino Linotype" w:cs="Palatino Linotype"/>
          <w:sz w:val="22"/>
          <w:szCs w:val="22"/>
        </w:rPr>
        <w:t xml:space="preserve">, sin embargo, en aquellos casos en que </w:t>
      </w:r>
      <w:r w:rsidR="00874F8E" w:rsidRPr="009C68B8">
        <w:rPr>
          <w:rFonts w:ascii="Palatino Linotype" w:hAnsi="Palatino Linotype"/>
          <w:sz w:val="22"/>
          <w:szCs w:val="22"/>
        </w:rPr>
        <w:t>e</w:t>
      </w:r>
      <w:r w:rsidR="00874F8E" w:rsidRPr="009C68B8">
        <w:rPr>
          <w:rFonts w:ascii="Palatino Linotype" w:eastAsia="Palatino Linotype" w:hAnsi="Palatino Linotype" w:cs="Palatino Linotype"/>
          <w:sz w:val="22"/>
          <w:szCs w:val="22"/>
        </w:rPr>
        <w:t>st</w:t>
      </w:r>
      <w:r w:rsidR="00874F8E" w:rsidRPr="009C68B8">
        <w:rPr>
          <w:rFonts w:ascii="Palatino Linotype" w:hAnsi="Palatino Linotype"/>
          <w:sz w:val="22"/>
          <w:szCs w:val="22"/>
        </w:rPr>
        <w:t xml:space="preserve">os </w:t>
      </w:r>
      <w:r w:rsidR="00874F8E" w:rsidRPr="009C68B8">
        <w:rPr>
          <w:rFonts w:ascii="Palatino Linotype" w:eastAsia="Palatino Linotype" w:hAnsi="Palatino Linotype" w:cs="Palatino Linotype"/>
          <w:sz w:val="22"/>
          <w:szCs w:val="22"/>
        </w:rPr>
        <w:t>ha</w:t>
      </w:r>
      <w:r w:rsidR="00874F8E" w:rsidRPr="009C68B8">
        <w:rPr>
          <w:rFonts w:ascii="Palatino Linotype" w:hAnsi="Palatino Linotype"/>
          <w:sz w:val="22"/>
          <w:szCs w:val="22"/>
        </w:rPr>
        <w:t>n</w:t>
      </w:r>
      <w:r w:rsidR="00874F8E" w:rsidRPr="009C68B8">
        <w:rPr>
          <w:rFonts w:ascii="Palatino Linotype" w:eastAsia="Palatino Linotype" w:hAnsi="Palatino Linotype" w:cs="Palatino Linotype"/>
          <w:sz w:val="22"/>
          <w:szCs w:val="22"/>
        </w:rPr>
        <w:t xml:space="preserve"> asumido la competencia, sería ocioso y a nada práctico nos conduciría su estudio, ya que, se insiste, el ente obligado asumió la competencia referida.</w:t>
      </w:r>
    </w:p>
    <w:p w:rsidR="00874F8E" w:rsidRPr="009C68B8" w:rsidRDefault="00874F8E" w:rsidP="001E1B61">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709AE" w:rsidRPr="009C68B8" w:rsidRDefault="00606878"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 xml:space="preserve">No obstante, se insiste que el </w:t>
      </w:r>
      <w:r w:rsidRPr="009C68B8">
        <w:rPr>
          <w:rFonts w:ascii="Palatino Linotype" w:eastAsia="Calibri" w:hAnsi="Palatino Linotype" w:cs="Arial"/>
          <w:b/>
          <w:color w:val="000000" w:themeColor="text1"/>
          <w:sz w:val="22"/>
          <w:szCs w:val="22"/>
          <w:lang w:val="es-ES"/>
        </w:rPr>
        <w:t>SUJETO OBLIGADO</w:t>
      </w:r>
      <w:r w:rsidRPr="009C68B8">
        <w:rPr>
          <w:rFonts w:ascii="Palatino Linotype" w:eastAsia="Calibri" w:hAnsi="Palatino Linotype" w:cs="Arial"/>
          <w:color w:val="000000" w:themeColor="text1"/>
          <w:sz w:val="22"/>
          <w:szCs w:val="22"/>
          <w:lang w:val="es-ES"/>
        </w:rPr>
        <w:t xml:space="preserve"> se limitó a proporcionar únicamente la respuesta del </w:t>
      </w:r>
      <w:r w:rsidRPr="009C68B8">
        <w:rPr>
          <w:rFonts w:ascii="Palatino Linotype" w:hAnsi="Palatino Linotype"/>
          <w:sz w:val="22"/>
          <w:szCs w:val="22"/>
        </w:rPr>
        <w:t xml:space="preserve">Coordinador Municipal de Protección Civil y Bomberos, por medio de la cual, refirió que no cuenta con </w:t>
      </w:r>
      <w:r w:rsidRPr="009C68B8">
        <w:rPr>
          <w:rFonts w:ascii="Palatino Linotype" w:hAnsi="Palatino Linotype" w:cs="Arial"/>
          <w:color w:val="222222"/>
          <w:sz w:val="22"/>
          <w:szCs w:val="22"/>
          <w:shd w:val="clear" w:color="auto" w:fill="FFFFFF"/>
        </w:rPr>
        <w:t>información relacionada al giro comercial o domicilio de referencia</w:t>
      </w:r>
    </w:p>
    <w:p w:rsidR="005709AE" w:rsidRPr="009C68B8" w:rsidRDefault="005709AE" w:rsidP="005709AE">
      <w:pPr>
        <w:rPr>
          <w:rFonts w:ascii="Palatino Linotype" w:eastAsia="Calibri" w:hAnsi="Palatino Linotype" w:cs="Arial"/>
          <w:color w:val="000000" w:themeColor="text1"/>
          <w:sz w:val="22"/>
          <w:szCs w:val="22"/>
          <w:lang w:val="es-ES"/>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En atención a lo expuesto, se advierte que no se puede tener por atendido el requerimiento de Particular con la información proporcionada mediante respuesta.</w:t>
      </w:r>
    </w:p>
    <w:p w:rsidR="00874F8E" w:rsidRPr="009C68B8"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 xml:space="preserve">Ahora bien, cabe </w:t>
      </w:r>
      <w:r w:rsidRPr="009C68B8">
        <w:rPr>
          <w:rFonts w:ascii="Palatino Linotype" w:hAnsi="Palatino Linotype"/>
          <w:color w:val="000000" w:themeColor="text1"/>
          <w:sz w:val="22"/>
          <w:szCs w:val="22"/>
        </w:rPr>
        <w:t>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rsidR="00874F8E" w:rsidRPr="009C68B8"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9C68B8" w:rsidRDefault="00D8136B"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Al respecto</w:t>
      </w:r>
      <w:r w:rsidR="00874F8E" w:rsidRPr="009C68B8">
        <w:rPr>
          <w:rFonts w:ascii="Palatino Linotype" w:hAnsi="Palatino Linotype"/>
          <w:color w:val="000000" w:themeColor="text1"/>
          <w:sz w:val="22"/>
          <w:szCs w:val="22"/>
        </w:rPr>
        <w:t xml:space="preserve">, para </w:t>
      </w:r>
      <w:r w:rsidR="00874F8E" w:rsidRPr="009C68B8">
        <w:rPr>
          <w:rFonts w:ascii="Palatino Linotype" w:hAnsi="Palatino Linotype" w:cs="Arial"/>
          <w:sz w:val="22"/>
          <w:szCs w:val="22"/>
        </w:rPr>
        <w:t>atender las solicitudes de información, los Sujetos Obligados contarán con un área denominada Unidad de Transparencia</w:t>
      </w:r>
      <w:r w:rsidR="00874F8E" w:rsidRPr="009C68B8">
        <w:rPr>
          <w:rFonts w:ascii="Palatino Linotype" w:hAnsi="Palatino Linotype" w:cs="Arial"/>
          <w:sz w:val="22"/>
          <w:szCs w:val="22"/>
          <w:vertAlign w:val="superscript"/>
        </w:rPr>
        <w:footnoteReference w:id="5"/>
      </w:r>
      <w:r w:rsidR="00874F8E" w:rsidRPr="009C68B8">
        <w:rPr>
          <w:rFonts w:ascii="Palatino Linotype" w:hAnsi="Palatino Linotype" w:cs="Arial"/>
          <w:sz w:val="22"/>
          <w:szCs w:val="22"/>
        </w:rPr>
        <w:t>,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00874F8E" w:rsidRPr="009C68B8">
        <w:rPr>
          <w:rFonts w:ascii="Palatino Linotype" w:hAnsi="Palatino Linotype" w:cs="Arial"/>
          <w:b/>
          <w:bCs/>
          <w:sz w:val="22"/>
          <w:szCs w:val="22"/>
        </w:rPr>
        <w:t xml:space="preserve"> </w:t>
      </w:r>
      <w:r w:rsidR="00874F8E" w:rsidRPr="009C68B8">
        <w:rPr>
          <w:rFonts w:ascii="Palatino Linotype" w:hAnsi="Palatino Linotype" w:cs="Arial"/>
          <w:sz w:val="22"/>
          <w:szCs w:val="22"/>
        </w:rPr>
        <w:t>en los términos de la Ley General y la Ley de Transparencia y Acceso a la Información Pública del Estado de México y Municipios</w:t>
      </w:r>
      <w:r w:rsidR="00874F8E" w:rsidRPr="009C68B8">
        <w:rPr>
          <w:rFonts w:ascii="Palatino Linotype" w:hAnsi="Palatino Linotype" w:cs="Arial"/>
          <w:sz w:val="22"/>
          <w:szCs w:val="22"/>
          <w:vertAlign w:val="superscript"/>
        </w:rPr>
        <w:footnoteReference w:id="6"/>
      </w:r>
      <w:r w:rsidR="00874F8E" w:rsidRPr="009C68B8">
        <w:rPr>
          <w:rFonts w:ascii="Palatino Linotype" w:hAnsi="Palatino Linotype" w:cs="Arial"/>
          <w:sz w:val="22"/>
          <w:szCs w:val="22"/>
        </w:rPr>
        <w:t>.</w:t>
      </w:r>
    </w:p>
    <w:p w:rsidR="00874F8E" w:rsidRPr="009C68B8" w:rsidRDefault="00874F8E" w:rsidP="00874F8E">
      <w:pPr>
        <w:rPr>
          <w:rFonts w:ascii="Palatino Linotype" w:eastAsia="Calibri" w:hAnsi="Palatino Linotype" w:cs="Arial"/>
          <w:color w:val="000000" w:themeColor="text1"/>
          <w:sz w:val="22"/>
          <w:szCs w:val="22"/>
          <w:lang w:val="es-ES"/>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 xml:space="preserve">De </w:t>
      </w:r>
      <w:r w:rsidRPr="009C68B8">
        <w:rPr>
          <w:rFonts w:ascii="Palatino Linotype" w:hAnsi="Palatino Linotype" w:cs="Arial"/>
          <w:color w:val="000000" w:themeColor="text1"/>
          <w:sz w:val="22"/>
          <w:szCs w:val="22"/>
        </w:rPr>
        <w:t>conformidad con lo dispuesto en la Ley de Transparencia y Acceso a la Información Pública del Estado de México y Municipios, las Unidades de Transparencia tendrán, entre sus atribuciones, las siguientes:</w:t>
      </w:r>
    </w:p>
    <w:p w:rsidR="00874F8E" w:rsidRPr="009C68B8" w:rsidRDefault="00874F8E" w:rsidP="00874F8E">
      <w:pPr>
        <w:pStyle w:val="Prrafodelista"/>
        <w:tabs>
          <w:tab w:val="left" w:pos="426"/>
        </w:tabs>
        <w:spacing w:before="240" w:after="240" w:line="360" w:lineRule="auto"/>
        <w:ind w:left="0" w:right="51"/>
        <w:jc w:val="both"/>
        <w:rPr>
          <w:rFonts w:ascii="Palatino Linotype" w:hAnsi="Palatino Linotype"/>
          <w:color w:val="000000" w:themeColor="text1"/>
          <w:sz w:val="22"/>
          <w:szCs w:val="22"/>
        </w:rPr>
      </w:pPr>
    </w:p>
    <w:p w:rsidR="00874F8E" w:rsidRPr="009C68B8" w:rsidRDefault="00874F8E" w:rsidP="00874F8E">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9C68B8">
        <w:rPr>
          <w:rFonts w:ascii="Palatino Linotype" w:hAnsi="Palatino Linotype" w:cs="Arial"/>
          <w:color w:val="000000" w:themeColor="text1"/>
          <w:sz w:val="22"/>
          <w:szCs w:val="22"/>
        </w:rPr>
        <w:t>Recibir, tramitar y dar respuesta a las solicitudes de acceso a la información;</w:t>
      </w:r>
    </w:p>
    <w:p w:rsidR="00874F8E" w:rsidRPr="009C68B8" w:rsidRDefault="00874F8E" w:rsidP="00874F8E">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9C68B8">
        <w:rPr>
          <w:rFonts w:ascii="Palatino Linotype" w:hAnsi="Palatino Linotype" w:cs="Arial"/>
          <w:color w:val="000000" w:themeColor="text1"/>
          <w:sz w:val="22"/>
          <w:szCs w:val="22"/>
        </w:rPr>
        <w:t xml:space="preserve">Realizar, con efectividad, los trámites internos necesarios para la atención de las solicitudes de acceso a la información; </w:t>
      </w:r>
    </w:p>
    <w:p w:rsidR="00874F8E" w:rsidRPr="009C68B8" w:rsidRDefault="00874F8E" w:rsidP="00874F8E">
      <w:pPr>
        <w:pStyle w:val="Prrafodelista"/>
        <w:numPr>
          <w:ilvl w:val="1"/>
          <w:numId w:val="4"/>
        </w:numPr>
        <w:spacing w:before="240" w:after="240"/>
        <w:ind w:left="709" w:right="616" w:hanging="142"/>
        <w:jc w:val="both"/>
        <w:rPr>
          <w:rFonts w:ascii="Palatino Linotype" w:hAnsi="Palatino Linotype" w:cs="Arial"/>
          <w:color w:val="000000" w:themeColor="text1"/>
          <w:sz w:val="22"/>
          <w:szCs w:val="22"/>
        </w:rPr>
      </w:pPr>
      <w:r w:rsidRPr="009C68B8">
        <w:rPr>
          <w:rFonts w:ascii="Palatino Linotype" w:hAnsi="Palatino Linotype" w:cs="Arial"/>
          <w:color w:val="000000" w:themeColor="text1"/>
          <w:sz w:val="22"/>
          <w:szCs w:val="22"/>
        </w:rPr>
        <w:t xml:space="preserve">Entregar, en su caso, a los particulares la información solicitada; y </w:t>
      </w:r>
    </w:p>
    <w:p w:rsidR="00874F8E" w:rsidRPr="009C68B8" w:rsidRDefault="00874F8E" w:rsidP="00874F8E">
      <w:pPr>
        <w:pStyle w:val="Prrafodelista"/>
        <w:numPr>
          <w:ilvl w:val="1"/>
          <w:numId w:val="4"/>
        </w:numPr>
        <w:spacing w:before="240" w:after="240"/>
        <w:ind w:left="709" w:right="616" w:hanging="142"/>
        <w:jc w:val="both"/>
        <w:rPr>
          <w:rFonts w:ascii="Palatino Linotype" w:hAnsi="Palatino Linotype"/>
          <w:color w:val="000000" w:themeColor="text1"/>
          <w:sz w:val="22"/>
          <w:szCs w:val="22"/>
        </w:rPr>
      </w:pPr>
      <w:r w:rsidRPr="009C68B8">
        <w:rPr>
          <w:rFonts w:ascii="Palatino Linotype" w:hAnsi="Palatino Linotype" w:cs="Arial"/>
          <w:color w:val="000000" w:themeColor="text1"/>
          <w:sz w:val="22"/>
          <w:szCs w:val="22"/>
        </w:rPr>
        <w:t>Efectuar las notificaciones a los solicitantes.</w:t>
      </w:r>
    </w:p>
    <w:p w:rsidR="00874F8E" w:rsidRPr="009C68B8" w:rsidRDefault="00874F8E" w:rsidP="00874F8E">
      <w:pPr>
        <w:spacing w:before="240" w:after="240"/>
        <w:ind w:right="616"/>
        <w:jc w:val="both"/>
        <w:rPr>
          <w:rFonts w:ascii="Palatino Linotype" w:hAnsi="Palatino Linotype"/>
          <w:color w:val="000000" w:themeColor="text1"/>
          <w:sz w:val="22"/>
          <w:szCs w:val="22"/>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 xml:space="preserve">Otros </w:t>
      </w:r>
      <w:r w:rsidRPr="009C68B8">
        <w:rPr>
          <w:rFonts w:ascii="Palatino Linotype" w:hAnsi="Palatino Linotype" w:cs="Arial"/>
          <w:color w:val="000000" w:themeColor="text1"/>
          <w:sz w:val="22"/>
          <w:szCs w:val="22"/>
        </w:rPr>
        <w:t xml:space="preserve">sujetos del proceso de atención a las solicitudes de información son los servidores públicos habilitados, quienes serán designados por el titular del </w:t>
      </w:r>
      <w:r w:rsidRPr="009C68B8">
        <w:rPr>
          <w:rFonts w:ascii="Palatino Linotype" w:hAnsi="Palatino Linotype" w:cs="Arial"/>
          <w:b/>
          <w:color w:val="000000" w:themeColor="text1"/>
          <w:sz w:val="22"/>
          <w:szCs w:val="22"/>
        </w:rPr>
        <w:t xml:space="preserve">SUJETO OBLIGADO </w:t>
      </w:r>
      <w:r w:rsidRPr="009C68B8">
        <w:rPr>
          <w:rFonts w:ascii="Palatino Linotype" w:hAnsi="Palatino Linotype" w:cs="Arial"/>
          <w:color w:val="000000" w:themeColor="text1"/>
          <w:sz w:val="22"/>
          <w:szCs w:val="22"/>
        </w:rPr>
        <w:t xml:space="preserve">a </w:t>
      </w:r>
      <w:r w:rsidRPr="009C68B8">
        <w:rPr>
          <w:rFonts w:ascii="Palatino Linotype" w:hAnsi="Palatino Linotype" w:cs="Arial"/>
          <w:color w:val="000000" w:themeColor="text1"/>
          <w:sz w:val="22"/>
          <w:szCs w:val="22"/>
        </w:rPr>
        <w:lastRenderedPageBreak/>
        <w:t>propuesta del responsable de la Unidad de Transparencia</w:t>
      </w:r>
      <w:r w:rsidRPr="009C68B8">
        <w:rPr>
          <w:rStyle w:val="Refdenotaalpie"/>
          <w:rFonts w:ascii="Palatino Linotype" w:hAnsi="Palatino Linotype" w:cs="Arial"/>
          <w:color w:val="000000" w:themeColor="text1"/>
          <w:sz w:val="22"/>
          <w:szCs w:val="22"/>
        </w:rPr>
        <w:footnoteReference w:id="7"/>
      </w:r>
      <w:r w:rsidRPr="009C68B8">
        <w:rPr>
          <w:rFonts w:ascii="Palatino Linotype" w:hAnsi="Palatino Linotype" w:cs="Arial"/>
          <w:color w:val="000000" w:themeColor="text1"/>
          <w:sz w:val="22"/>
          <w:szCs w:val="22"/>
        </w:rPr>
        <w:t xml:space="preserve"> y tendrán, entre sus atribuciones, las siguientes</w:t>
      </w:r>
      <w:r w:rsidRPr="009C68B8">
        <w:rPr>
          <w:rStyle w:val="Refdenotaalpie"/>
          <w:rFonts w:ascii="Palatino Linotype" w:hAnsi="Palatino Linotype" w:cs="Arial"/>
          <w:color w:val="000000" w:themeColor="text1"/>
          <w:sz w:val="22"/>
          <w:szCs w:val="22"/>
        </w:rPr>
        <w:footnoteReference w:id="8"/>
      </w:r>
      <w:r w:rsidRPr="009C68B8">
        <w:rPr>
          <w:rFonts w:ascii="Palatino Linotype" w:hAnsi="Palatino Linotype" w:cs="Arial"/>
          <w:color w:val="000000" w:themeColor="text1"/>
          <w:sz w:val="22"/>
          <w:szCs w:val="22"/>
        </w:rPr>
        <w:t>:</w:t>
      </w:r>
    </w:p>
    <w:p w:rsidR="00874F8E" w:rsidRPr="009C68B8" w:rsidRDefault="00874F8E" w:rsidP="00874F8E">
      <w:pPr>
        <w:tabs>
          <w:tab w:val="left" w:pos="426"/>
          <w:tab w:val="left" w:pos="567"/>
        </w:tabs>
        <w:spacing w:line="360" w:lineRule="auto"/>
        <w:jc w:val="both"/>
        <w:rPr>
          <w:rFonts w:ascii="Palatino Linotype" w:eastAsia="Calibri" w:hAnsi="Palatino Linotype" w:cs="Arial"/>
          <w:color w:val="000000" w:themeColor="text1"/>
          <w:sz w:val="22"/>
          <w:szCs w:val="22"/>
          <w:lang w:val="es-ES"/>
        </w:rPr>
      </w:pPr>
    </w:p>
    <w:p w:rsidR="00874F8E" w:rsidRPr="009C68B8" w:rsidRDefault="00874F8E" w:rsidP="00874F8E">
      <w:pPr>
        <w:pStyle w:val="Prrafodelista"/>
        <w:numPr>
          <w:ilvl w:val="1"/>
          <w:numId w:val="5"/>
        </w:numPr>
        <w:spacing w:before="240" w:after="240"/>
        <w:ind w:left="709" w:right="565" w:hanging="142"/>
        <w:jc w:val="both"/>
        <w:rPr>
          <w:rFonts w:ascii="Palatino Linotype" w:hAnsi="Palatino Linotype" w:cs="Arial"/>
          <w:color w:val="000000" w:themeColor="text1"/>
          <w:sz w:val="22"/>
          <w:szCs w:val="22"/>
        </w:rPr>
      </w:pPr>
      <w:r w:rsidRPr="009C68B8">
        <w:rPr>
          <w:rFonts w:ascii="Palatino Linotype" w:hAnsi="Palatino Linotype" w:cs="Arial"/>
          <w:color w:val="000000" w:themeColor="text1"/>
          <w:sz w:val="22"/>
          <w:szCs w:val="22"/>
        </w:rPr>
        <w:t>Localizar la información que le solicite la Unidad de Transparencia; y</w:t>
      </w:r>
    </w:p>
    <w:p w:rsidR="00874F8E" w:rsidRPr="009C68B8" w:rsidRDefault="00874F8E" w:rsidP="00874F8E">
      <w:pPr>
        <w:pStyle w:val="Prrafodelista"/>
        <w:numPr>
          <w:ilvl w:val="1"/>
          <w:numId w:val="5"/>
        </w:numPr>
        <w:spacing w:before="240" w:after="240"/>
        <w:ind w:left="709" w:right="565" w:hanging="142"/>
        <w:jc w:val="both"/>
        <w:rPr>
          <w:rFonts w:ascii="Palatino Linotype" w:hAnsi="Palatino Linotype"/>
          <w:color w:val="000000" w:themeColor="text1"/>
          <w:sz w:val="22"/>
          <w:szCs w:val="22"/>
        </w:rPr>
      </w:pPr>
      <w:r w:rsidRPr="009C68B8">
        <w:rPr>
          <w:rFonts w:ascii="Palatino Linotype" w:hAnsi="Palatino Linotype" w:cs="Arial"/>
          <w:color w:val="000000" w:themeColor="text1"/>
          <w:sz w:val="22"/>
          <w:szCs w:val="22"/>
        </w:rPr>
        <w:t>Proporcionar la información que obre en los archivos y que le sea solicitada por la Unidad de Transparencia.</w:t>
      </w:r>
    </w:p>
    <w:p w:rsidR="00874F8E" w:rsidRPr="009C68B8" w:rsidRDefault="00874F8E" w:rsidP="00874F8E">
      <w:pPr>
        <w:tabs>
          <w:tab w:val="left" w:pos="426"/>
          <w:tab w:val="left" w:pos="567"/>
        </w:tabs>
        <w:spacing w:line="360" w:lineRule="auto"/>
        <w:jc w:val="both"/>
        <w:rPr>
          <w:rFonts w:ascii="Palatino Linotype" w:eastAsia="Calibri" w:hAnsi="Palatino Linotype" w:cs="Arial"/>
          <w:color w:val="000000" w:themeColor="text1"/>
          <w:sz w:val="22"/>
          <w:szCs w:val="22"/>
          <w:lang w:val="es-ES"/>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hAnsi="Palatino Linotype"/>
          <w:color w:val="000000" w:themeColor="text1"/>
          <w:sz w:val="22"/>
          <w:szCs w:val="22"/>
        </w:rPr>
        <w:t xml:space="preserve">De </w:t>
      </w:r>
      <w:r w:rsidRPr="009C68B8">
        <w:rPr>
          <w:rFonts w:ascii="Palatino Linotype" w:hAnsi="Palatino Linotype" w:cs="Arial"/>
          <w:color w:val="000000" w:themeColor="text1"/>
          <w:sz w:val="22"/>
          <w:szCs w:val="22"/>
        </w:rPr>
        <w:t xml:space="preserve">tal manera que cada una de las áreas administrativas del </w:t>
      </w:r>
      <w:r w:rsidRPr="009C68B8">
        <w:rPr>
          <w:rFonts w:ascii="Palatino Linotype" w:hAnsi="Palatino Linotype" w:cs="Arial"/>
          <w:b/>
          <w:bCs/>
          <w:color w:val="000000" w:themeColor="text1"/>
          <w:sz w:val="22"/>
          <w:szCs w:val="22"/>
        </w:rPr>
        <w:t>SUJETO OBLIGADO</w:t>
      </w:r>
      <w:r w:rsidRPr="009C68B8">
        <w:rPr>
          <w:rFonts w:ascii="Palatino Linotype" w:hAnsi="Palatino Linotype" w:cs="Arial"/>
          <w:color w:val="000000" w:themeColor="text1"/>
          <w:sz w:val="22"/>
          <w:szCs w:val="22"/>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rsidR="00874F8E" w:rsidRPr="009C68B8" w:rsidRDefault="00874F8E" w:rsidP="00874F8E">
      <w:pPr>
        <w:rPr>
          <w:rFonts w:ascii="Palatino Linotype" w:eastAsia="Calibri" w:hAnsi="Palatino Linotype" w:cs="Arial"/>
          <w:color w:val="000000" w:themeColor="text1"/>
          <w:sz w:val="22"/>
          <w:szCs w:val="22"/>
          <w:lang w:val="es-ES"/>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 xml:space="preserve">Aunado a lo anterior, </w:t>
      </w:r>
      <w:r w:rsidRPr="009C68B8">
        <w:rPr>
          <w:rFonts w:ascii="Palatino Linotype" w:hAnsi="Palatino Linotype"/>
          <w:color w:val="000000" w:themeColor="text1"/>
          <w:sz w:val="22"/>
          <w:szCs w:val="22"/>
        </w:rPr>
        <w:t>la Ley de Transparencia y Acceso a la Información Pública del Estado de México y Municipios, en su artículo 53, establece las funciones correspondientes a esta Unidad; mismas que se inserta a continuación:</w:t>
      </w:r>
    </w:p>
    <w:p w:rsidR="00874F8E" w:rsidRPr="009C68B8" w:rsidRDefault="00874F8E" w:rsidP="00874F8E">
      <w:pPr>
        <w:pStyle w:val="Prrafodelista"/>
        <w:tabs>
          <w:tab w:val="left" w:pos="426"/>
        </w:tabs>
        <w:spacing w:before="240" w:after="240" w:line="360" w:lineRule="auto"/>
        <w:ind w:left="0" w:right="51"/>
        <w:jc w:val="both"/>
        <w:rPr>
          <w:rFonts w:ascii="Palatino Linotype" w:hAnsi="Palatino Linotype"/>
          <w:color w:val="000000" w:themeColor="text1"/>
          <w:sz w:val="22"/>
          <w:szCs w:val="22"/>
        </w:rPr>
      </w:pPr>
    </w:p>
    <w:p w:rsidR="00874F8E" w:rsidRPr="009C68B8" w:rsidRDefault="00874F8E" w:rsidP="00874F8E">
      <w:pPr>
        <w:pStyle w:val="Prrafodelista"/>
        <w:tabs>
          <w:tab w:val="left" w:pos="426"/>
        </w:tabs>
        <w:spacing w:before="240" w:after="240"/>
        <w:ind w:left="567" w:right="616"/>
        <w:jc w:val="both"/>
        <w:rPr>
          <w:rFonts w:ascii="Palatino Linotype" w:hAnsi="Palatino Linotype"/>
          <w:i/>
          <w:iCs/>
          <w:sz w:val="22"/>
          <w:szCs w:val="22"/>
        </w:rPr>
      </w:pPr>
      <w:r w:rsidRPr="009C68B8">
        <w:rPr>
          <w:rFonts w:ascii="Palatino Linotype" w:hAnsi="Palatino Linotype"/>
          <w:b/>
          <w:bCs/>
          <w:i/>
          <w:iCs/>
          <w:sz w:val="22"/>
          <w:szCs w:val="22"/>
        </w:rPr>
        <w:t>“Artículo 53</w:t>
      </w:r>
      <w:r w:rsidRPr="009C68B8">
        <w:rPr>
          <w:rFonts w:ascii="Palatino Linotype" w:hAnsi="Palatino Linotype"/>
          <w:i/>
          <w:iCs/>
          <w:sz w:val="22"/>
          <w:szCs w:val="22"/>
        </w:rPr>
        <w:t xml:space="preserve">. Las Unidades de Transparencia tendrán las siguientes funciones: </w:t>
      </w:r>
    </w:p>
    <w:p w:rsidR="00874F8E" w:rsidRPr="009C68B8" w:rsidRDefault="00874F8E" w:rsidP="00874F8E">
      <w:pPr>
        <w:pStyle w:val="Prrafodelista"/>
        <w:tabs>
          <w:tab w:val="left" w:pos="426"/>
        </w:tabs>
        <w:spacing w:before="240" w:after="240"/>
        <w:ind w:left="567" w:right="616"/>
        <w:jc w:val="both"/>
        <w:rPr>
          <w:rFonts w:ascii="Palatino Linotype" w:hAnsi="Palatino Linotype"/>
          <w:i/>
          <w:iCs/>
          <w:sz w:val="22"/>
          <w:szCs w:val="22"/>
        </w:rPr>
      </w:pPr>
    </w:p>
    <w:p w:rsidR="00874F8E" w:rsidRPr="009C68B8" w:rsidRDefault="00874F8E" w:rsidP="00874F8E">
      <w:pPr>
        <w:pStyle w:val="Prrafodelista"/>
        <w:tabs>
          <w:tab w:val="left" w:pos="426"/>
        </w:tabs>
        <w:spacing w:before="240" w:after="240"/>
        <w:ind w:left="567" w:right="616"/>
        <w:jc w:val="both"/>
        <w:rPr>
          <w:rFonts w:ascii="Palatino Linotype" w:hAnsi="Palatino Linotype"/>
          <w:i/>
          <w:iCs/>
          <w:sz w:val="22"/>
          <w:szCs w:val="22"/>
        </w:rPr>
      </w:pPr>
      <w:r w:rsidRPr="009C68B8">
        <w:rPr>
          <w:rFonts w:ascii="Palatino Linotype" w:hAnsi="Palatino Linotype"/>
          <w:i/>
          <w:iCs/>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rsidR="00874F8E" w:rsidRPr="009C68B8" w:rsidRDefault="00874F8E" w:rsidP="00874F8E">
      <w:pPr>
        <w:pStyle w:val="Prrafodelista"/>
        <w:tabs>
          <w:tab w:val="left" w:pos="426"/>
        </w:tabs>
        <w:spacing w:before="240" w:after="240"/>
        <w:ind w:left="567" w:right="616"/>
        <w:jc w:val="both"/>
        <w:rPr>
          <w:rFonts w:ascii="Palatino Linotype" w:hAnsi="Palatino Linotype"/>
          <w:b/>
          <w:bCs/>
          <w:i/>
          <w:iCs/>
          <w:sz w:val="22"/>
          <w:szCs w:val="22"/>
        </w:rPr>
      </w:pPr>
      <w:r w:rsidRPr="009C68B8">
        <w:rPr>
          <w:rFonts w:ascii="Palatino Linotype" w:hAnsi="Palatino Linotype"/>
          <w:b/>
          <w:bCs/>
          <w:i/>
          <w:iCs/>
          <w:sz w:val="22"/>
          <w:szCs w:val="22"/>
        </w:rPr>
        <w:t xml:space="preserve">II. Recibir, tramitar y dar respuesta a las solicitudes de acceso a la información; </w:t>
      </w:r>
    </w:p>
    <w:p w:rsidR="00874F8E" w:rsidRPr="009C68B8" w:rsidRDefault="00874F8E" w:rsidP="00874F8E">
      <w:pPr>
        <w:pStyle w:val="Prrafodelista"/>
        <w:tabs>
          <w:tab w:val="left" w:pos="426"/>
        </w:tabs>
        <w:spacing w:before="240" w:after="240"/>
        <w:ind w:left="567" w:right="616"/>
        <w:jc w:val="both"/>
        <w:rPr>
          <w:rFonts w:ascii="Palatino Linotype" w:hAnsi="Palatino Linotype"/>
          <w:i/>
          <w:iCs/>
          <w:sz w:val="22"/>
          <w:szCs w:val="22"/>
        </w:rPr>
      </w:pPr>
      <w:r w:rsidRPr="009C68B8">
        <w:rPr>
          <w:rFonts w:ascii="Palatino Linotype" w:hAnsi="Palatino Linotype"/>
          <w:i/>
          <w:iCs/>
          <w:sz w:val="22"/>
          <w:szCs w:val="22"/>
        </w:rPr>
        <w:lastRenderedPageBreak/>
        <w:t xml:space="preserve">III. Auxiliar a los particulares en la elaboración de solicitudes de acceso a la información y, en su caso, orientarlos sobre los sujetos obligados competentes conforme a la normatividad aplicable; </w:t>
      </w:r>
    </w:p>
    <w:p w:rsidR="00874F8E" w:rsidRPr="009C68B8" w:rsidRDefault="00874F8E" w:rsidP="00874F8E">
      <w:pPr>
        <w:pStyle w:val="Prrafodelista"/>
        <w:tabs>
          <w:tab w:val="left" w:pos="426"/>
        </w:tabs>
        <w:spacing w:before="240" w:after="240"/>
        <w:ind w:left="567" w:right="616"/>
        <w:jc w:val="both"/>
        <w:rPr>
          <w:rFonts w:ascii="Palatino Linotype" w:hAnsi="Palatino Linotype"/>
          <w:b/>
          <w:bCs/>
          <w:i/>
          <w:iCs/>
          <w:sz w:val="22"/>
          <w:szCs w:val="22"/>
        </w:rPr>
      </w:pPr>
      <w:r w:rsidRPr="009C68B8">
        <w:rPr>
          <w:rFonts w:ascii="Palatino Linotype" w:hAnsi="Palatino Linotype"/>
          <w:b/>
          <w:bCs/>
          <w:i/>
          <w:iCs/>
          <w:sz w:val="22"/>
          <w:szCs w:val="22"/>
        </w:rPr>
        <w:t xml:space="preserve">IV. Realizar, con efectividad, los trámites internos necesarios para la atención de las solicitudes de acceso a la información; </w:t>
      </w:r>
    </w:p>
    <w:p w:rsidR="00874F8E" w:rsidRPr="009C68B8" w:rsidRDefault="00874F8E" w:rsidP="00874F8E">
      <w:pPr>
        <w:pStyle w:val="Prrafodelista"/>
        <w:tabs>
          <w:tab w:val="left" w:pos="426"/>
        </w:tabs>
        <w:spacing w:before="240" w:after="240"/>
        <w:ind w:left="567" w:right="616"/>
        <w:jc w:val="both"/>
        <w:rPr>
          <w:rFonts w:ascii="Palatino Linotype" w:hAnsi="Palatino Linotype"/>
          <w:i/>
          <w:iCs/>
          <w:sz w:val="22"/>
          <w:szCs w:val="22"/>
        </w:rPr>
      </w:pPr>
      <w:r w:rsidRPr="009C68B8">
        <w:rPr>
          <w:rFonts w:ascii="Palatino Linotype" w:hAnsi="Palatino Linotype"/>
          <w:i/>
          <w:iCs/>
          <w:sz w:val="22"/>
          <w:szCs w:val="22"/>
        </w:rPr>
        <w:t xml:space="preserve">V. Entregar, en su caso, a los particulares la información solicitada; </w:t>
      </w:r>
    </w:p>
    <w:p w:rsidR="00874F8E" w:rsidRPr="009C68B8" w:rsidRDefault="00874F8E" w:rsidP="00874F8E">
      <w:pPr>
        <w:pStyle w:val="Prrafodelista"/>
        <w:tabs>
          <w:tab w:val="left" w:pos="426"/>
        </w:tabs>
        <w:spacing w:before="240" w:after="240"/>
        <w:ind w:left="567" w:right="616"/>
        <w:jc w:val="both"/>
        <w:rPr>
          <w:rFonts w:ascii="Palatino Linotype" w:hAnsi="Palatino Linotype"/>
          <w:i/>
          <w:iCs/>
          <w:sz w:val="22"/>
          <w:szCs w:val="22"/>
        </w:rPr>
      </w:pPr>
      <w:r w:rsidRPr="009C68B8">
        <w:rPr>
          <w:rFonts w:ascii="Palatino Linotype" w:hAnsi="Palatino Linotype"/>
          <w:i/>
          <w:iCs/>
          <w:sz w:val="22"/>
          <w:szCs w:val="22"/>
        </w:rPr>
        <w:t xml:space="preserve">VI. Efectuar las notificaciones a los solicitantes; </w:t>
      </w:r>
    </w:p>
    <w:p w:rsidR="00874F8E" w:rsidRPr="009C68B8" w:rsidRDefault="00874F8E" w:rsidP="00874F8E">
      <w:pPr>
        <w:pStyle w:val="Prrafodelista"/>
        <w:tabs>
          <w:tab w:val="left" w:pos="426"/>
        </w:tabs>
        <w:spacing w:before="240" w:after="240"/>
        <w:ind w:left="567" w:right="616"/>
        <w:jc w:val="both"/>
        <w:rPr>
          <w:rFonts w:ascii="Palatino Linotype" w:hAnsi="Palatino Linotype"/>
          <w:i/>
          <w:iCs/>
          <w:sz w:val="22"/>
          <w:szCs w:val="22"/>
        </w:rPr>
      </w:pPr>
      <w:r w:rsidRPr="009C68B8">
        <w:rPr>
          <w:rFonts w:ascii="Palatino Linotype" w:hAnsi="Palatino Linotype"/>
          <w:i/>
          <w:iCs/>
          <w:sz w:val="22"/>
          <w:szCs w:val="22"/>
        </w:rPr>
        <w:t xml:space="preserve">VII. Proponer al Comité de Transparencia, los procedimientos internos que aseguren la mayor eficiencia en la gestión de las solicitudes de acceso a la información, conforme a la normatividad aplicable; </w:t>
      </w:r>
    </w:p>
    <w:p w:rsidR="00874F8E" w:rsidRPr="009C68B8" w:rsidRDefault="00874F8E" w:rsidP="00874F8E">
      <w:pPr>
        <w:pStyle w:val="Prrafodelista"/>
        <w:tabs>
          <w:tab w:val="left" w:pos="426"/>
        </w:tabs>
        <w:spacing w:before="240" w:after="240"/>
        <w:ind w:left="567" w:right="616"/>
        <w:jc w:val="both"/>
        <w:rPr>
          <w:rFonts w:ascii="Palatino Linotype" w:hAnsi="Palatino Linotype"/>
          <w:i/>
          <w:iCs/>
          <w:sz w:val="22"/>
          <w:szCs w:val="22"/>
        </w:rPr>
      </w:pPr>
      <w:r w:rsidRPr="009C68B8">
        <w:rPr>
          <w:rFonts w:ascii="Palatino Linotype" w:hAnsi="Palatino Linotype"/>
          <w:i/>
          <w:iCs/>
          <w:sz w:val="22"/>
          <w:szCs w:val="22"/>
        </w:rPr>
        <w:t xml:space="preserve">VIII. Proponer a quien preside el Comité de Transparencia, personal habilitado que sea necesario para recibir y dar trámite a las solicitudes de acceso a la información; </w:t>
      </w:r>
    </w:p>
    <w:p w:rsidR="00874F8E" w:rsidRPr="009C68B8" w:rsidRDefault="00874F8E" w:rsidP="00874F8E">
      <w:pPr>
        <w:pStyle w:val="Prrafodelista"/>
        <w:tabs>
          <w:tab w:val="left" w:pos="426"/>
        </w:tabs>
        <w:spacing w:before="240" w:after="240"/>
        <w:ind w:left="567" w:right="616"/>
        <w:jc w:val="both"/>
        <w:rPr>
          <w:rFonts w:ascii="Palatino Linotype" w:hAnsi="Palatino Linotype"/>
          <w:b/>
          <w:bCs/>
          <w:i/>
          <w:iCs/>
          <w:sz w:val="22"/>
          <w:szCs w:val="22"/>
        </w:rPr>
      </w:pPr>
      <w:r w:rsidRPr="009C68B8">
        <w:rPr>
          <w:rFonts w:ascii="Palatino Linotype" w:hAnsi="Palatino Linotype"/>
          <w:b/>
          <w:bCs/>
          <w:i/>
          <w:iCs/>
          <w:sz w:val="22"/>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rsidR="00874F8E" w:rsidRPr="009C68B8" w:rsidRDefault="00874F8E" w:rsidP="00874F8E">
      <w:pPr>
        <w:pStyle w:val="Prrafodelista"/>
        <w:tabs>
          <w:tab w:val="left" w:pos="426"/>
        </w:tabs>
        <w:spacing w:before="240" w:after="240"/>
        <w:ind w:left="567" w:right="616"/>
        <w:jc w:val="both"/>
        <w:rPr>
          <w:rFonts w:ascii="Palatino Linotype" w:hAnsi="Palatino Linotype"/>
          <w:i/>
          <w:iCs/>
          <w:sz w:val="22"/>
          <w:szCs w:val="22"/>
        </w:rPr>
      </w:pPr>
      <w:r w:rsidRPr="009C68B8">
        <w:rPr>
          <w:rFonts w:ascii="Palatino Linotype" w:hAnsi="Palatino Linotype"/>
          <w:i/>
          <w:iCs/>
          <w:sz w:val="22"/>
          <w:szCs w:val="22"/>
        </w:rPr>
        <w:t xml:space="preserve">X. Presentar ante el Comité, el proyecto de clasificación de información; </w:t>
      </w:r>
    </w:p>
    <w:p w:rsidR="00874F8E" w:rsidRPr="009C68B8" w:rsidRDefault="00874F8E" w:rsidP="00874F8E">
      <w:pPr>
        <w:pStyle w:val="Prrafodelista"/>
        <w:tabs>
          <w:tab w:val="left" w:pos="426"/>
        </w:tabs>
        <w:spacing w:before="240" w:after="240"/>
        <w:ind w:left="567" w:right="616"/>
        <w:jc w:val="both"/>
        <w:rPr>
          <w:rFonts w:ascii="Palatino Linotype" w:hAnsi="Palatino Linotype"/>
          <w:i/>
          <w:iCs/>
          <w:sz w:val="22"/>
          <w:szCs w:val="22"/>
        </w:rPr>
      </w:pPr>
      <w:r w:rsidRPr="009C68B8">
        <w:rPr>
          <w:rFonts w:ascii="Palatino Linotype" w:hAnsi="Palatino Linotype"/>
          <w:i/>
          <w:iCs/>
          <w:sz w:val="22"/>
          <w:szCs w:val="22"/>
        </w:rPr>
        <w:t xml:space="preserve">XI. Promover e implementar políticas de transparencia proactiva procurando su accesibilidad; </w:t>
      </w:r>
    </w:p>
    <w:p w:rsidR="00874F8E" w:rsidRPr="009C68B8" w:rsidRDefault="00874F8E" w:rsidP="00874F8E">
      <w:pPr>
        <w:pStyle w:val="Prrafodelista"/>
        <w:tabs>
          <w:tab w:val="left" w:pos="426"/>
        </w:tabs>
        <w:spacing w:before="240" w:after="240"/>
        <w:ind w:left="567" w:right="616"/>
        <w:jc w:val="both"/>
        <w:rPr>
          <w:rFonts w:ascii="Palatino Linotype" w:hAnsi="Palatino Linotype"/>
          <w:i/>
          <w:iCs/>
          <w:sz w:val="22"/>
          <w:szCs w:val="22"/>
        </w:rPr>
      </w:pPr>
      <w:r w:rsidRPr="009C68B8">
        <w:rPr>
          <w:rFonts w:ascii="Palatino Linotype" w:hAnsi="Palatino Linotype"/>
          <w:i/>
          <w:iCs/>
          <w:sz w:val="22"/>
          <w:szCs w:val="22"/>
        </w:rPr>
        <w:t xml:space="preserve">XII. Fomentar la transparencia y accesibilidad al interior del sujeto obligado; </w:t>
      </w:r>
    </w:p>
    <w:p w:rsidR="00874F8E" w:rsidRPr="009C68B8" w:rsidRDefault="00874F8E" w:rsidP="00874F8E">
      <w:pPr>
        <w:pStyle w:val="Prrafodelista"/>
        <w:tabs>
          <w:tab w:val="left" w:pos="426"/>
        </w:tabs>
        <w:spacing w:before="240" w:after="240"/>
        <w:ind w:left="567" w:right="616"/>
        <w:jc w:val="both"/>
        <w:rPr>
          <w:rFonts w:ascii="Palatino Linotype" w:hAnsi="Palatino Linotype"/>
          <w:i/>
          <w:iCs/>
          <w:sz w:val="22"/>
          <w:szCs w:val="22"/>
        </w:rPr>
      </w:pPr>
      <w:r w:rsidRPr="009C68B8">
        <w:rPr>
          <w:rFonts w:ascii="Palatino Linotype" w:hAnsi="Palatino Linotype"/>
          <w:i/>
          <w:iCs/>
          <w:sz w:val="22"/>
          <w:szCs w:val="22"/>
        </w:rPr>
        <w:t>XIII. Hacer del conocimiento de la instancia competente la probable responsabilidad por el incumplimiento de las obligaciones previstas en la presente Ley; y</w:t>
      </w:r>
    </w:p>
    <w:p w:rsidR="00874F8E" w:rsidRPr="009C68B8" w:rsidRDefault="00874F8E" w:rsidP="00874F8E">
      <w:pPr>
        <w:pStyle w:val="Prrafodelista"/>
        <w:tabs>
          <w:tab w:val="left" w:pos="426"/>
        </w:tabs>
        <w:spacing w:before="240" w:after="240"/>
        <w:ind w:left="567" w:right="616"/>
        <w:jc w:val="both"/>
        <w:rPr>
          <w:rFonts w:ascii="Palatino Linotype" w:hAnsi="Palatino Linotype"/>
          <w:i/>
          <w:iCs/>
          <w:sz w:val="22"/>
          <w:szCs w:val="22"/>
        </w:rPr>
      </w:pPr>
      <w:r w:rsidRPr="009C68B8">
        <w:rPr>
          <w:rFonts w:ascii="Palatino Linotype" w:hAnsi="Palatino Linotype"/>
          <w:i/>
          <w:iCs/>
          <w:sz w:val="22"/>
          <w:szCs w:val="22"/>
        </w:rPr>
        <w:t>XIV. Las demás que resulten necesarias para facilitar el acceso a la información y aquellas que se desprenden de la presente Ley y demás disposiciones jurídicas aplicables. (…)</w:t>
      </w:r>
    </w:p>
    <w:p w:rsidR="00874F8E" w:rsidRPr="009C68B8" w:rsidRDefault="00874F8E" w:rsidP="00874F8E">
      <w:pPr>
        <w:pStyle w:val="Prrafodelista"/>
        <w:tabs>
          <w:tab w:val="left" w:pos="426"/>
        </w:tabs>
        <w:spacing w:before="240" w:after="240"/>
        <w:ind w:left="567" w:right="616"/>
        <w:jc w:val="both"/>
        <w:rPr>
          <w:rFonts w:ascii="Palatino Linotype" w:hAnsi="Palatino Linotype"/>
          <w:i/>
          <w:iCs/>
          <w:sz w:val="22"/>
          <w:szCs w:val="22"/>
        </w:rPr>
      </w:pPr>
      <w:r w:rsidRPr="009C68B8">
        <w:rPr>
          <w:rFonts w:ascii="Palatino Linotype" w:hAnsi="Palatino Linotype"/>
          <w:i/>
          <w:iCs/>
          <w:sz w:val="22"/>
          <w:szCs w:val="22"/>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 </w:t>
      </w:r>
    </w:p>
    <w:p w:rsidR="00874F8E" w:rsidRPr="009C68B8" w:rsidRDefault="00874F8E" w:rsidP="00874F8E">
      <w:pPr>
        <w:tabs>
          <w:tab w:val="left" w:pos="426"/>
        </w:tabs>
        <w:spacing w:before="240" w:after="240"/>
        <w:ind w:right="616"/>
        <w:jc w:val="both"/>
        <w:rPr>
          <w:rFonts w:ascii="Palatino Linotype" w:hAnsi="Palatino Linotype"/>
          <w:i/>
          <w:iCs/>
          <w:sz w:val="22"/>
          <w:szCs w:val="22"/>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lastRenderedPageBreak/>
        <w:t>Así</w:t>
      </w:r>
      <w:r w:rsidRPr="009C68B8">
        <w:rPr>
          <w:rFonts w:ascii="Palatino Linotype" w:hAnsi="Palatino Linotype"/>
          <w:color w:val="000000" w:themeColor="text1"/>
          <w:sz w:val="22"/>
          <w:szCs w:val="22"/>
        </w:rPr>
        <w:t xml:space="preserve">, la Unidad de Transparencia es la encargada de </w:t>
      </w:r>
      <w:r w:rsidRPr="009C68B8">
        <w:rPr>
          <w:rFonts w:ascii="Palatino Linotype" w:hAnsi="Palatino Linotype"/>
          <w:sz w:val="22"/>
          <w:szCs w:val="22"/>
        </w:rPr>
        <w:t>recibir, tramitar y dar respuesta a las solicitudes de acceso a la información.</w:t>
      </w:r>
    </w:p>
    <w:p w:rsidR="00874F8E" w:rsidRPr="009C68B8"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 xml:space="preserve">En </w:t>
      </w:r>
      <w:r w:rsidR="00D8136B" w:rsidRPr="009C68B8">
        <w:rPr>
          <w:rFonts w:ascii="Palatino Linotype" w:eastAsia="Calibri" w:hAnsi="Palatino Linotype" w:cs="Arial"/>
          <w:color w:val="000000" w:themeColor="text1"/>
          <w:sz w:val="22"/>
          <w:szCs w:val="22"/>
          <w:lang w:val="es-ES"/>
        </w:rPr>
        <w:t>este sentido</w:t>
      </w:r>
      <w:r w:rsidRPr="009C68B8">
        <w:rPr>
          <w:rFonts w:ascii="Palatino Linotype" w:eastAsia="Calibri" w:hAnsi="Palatino Linotype" w:cs="Arial"/>
          <w:color w:val="000000" w:themeColor="text1"/>
          <w:sz w:val="22"/>
          <w:szCs w:val="22"/>
          <w:lang w:val="es-ES"/>
        </w:rPr>
        <w:t xml:space="preserve">, </w:t>
      </w:r>
      <w:r w:rsidRPr="009C68B8">
        <w:rPr>
          <w:rFonts w:ascii="Palatino Linotype" w:hAnsi="Palatino Linotype"/>
          <w:sz w:val="22"/>
          <w:szCs w:val="22"/>
        </w:rPr>
        <w:t xml:space="preserve">se precisa que, si bien el </w:t>
      </w:r>
      <w:r w:rsidRPr="009C68B8">
        <w:rPr>
          <w:rFonts w:ascii="Palatino Linotype" w:hAnsi="Palatino Linotype"/>
          <w:b/>
          <w:bCs/>
          <w:sz w:val="22"/>
          <w:szCs w:val="22"/>
        </w:rPr>
        <w:t>SUJETO OBLIGADO</w:t>
      </w:r>
      <w:r w:rsidRPr="009C68B8">
        <w:rPr>
          <w:rFonts w:ascii="Palatino Linotype" w:hAnsi="Palatino Linotype"/>
          <w:sz w:val="22"/>
          <w:szCs w:val="22"/>
        </w:rPr>
        <w:t xml:space="preserve"> emitió respuesta a lo solicitado, no se advierte se hayan realizado los requerimientos correspondientes a</w:t>
      </w:r>
      <w:r w:rsidR="00606878" w:rsidRPr="009C68B8">
        <w:rPr>
          <w:rFonts w:ascii="Palatino Linotype" w:hAnsi="Palatino Linotype"/>
          <w:sz w:val="22"/>
          <w:szCs w:val="22"/>
        </w:rPr>
        <w:t xml:space="preserve"> todos</w:t>
      </w:r>
      <w:r w:rsidRPr="009C68B8">
        <w:rPr>
          <w:rFonts w:ascii="Palatino Linotype" w:hAnsi="Palatino Linotype"/>
          <w:sz w:val="22"/>
          <w:szCs w:val="22"/>
        </w:rPr>
        <w:t xml:space="preserve"> los Servidores Pú</w:t>
      </w:r>
      <w:r w:rsidR="00606878" w:rsidRPr="009C68B8">
        <w:rPr>
          <w:rFonts w:ascii="Palatino Linotype" w:hAnsi="Palatino Linotype"/>
          <w:sz w:val="22"/>
          <w:szCs w:val="22"/>
        </w:rPr>
        <w:t>blicos Habilitados competentes.</w:t>
      </w:r>
    </w:p>
    <w:p w:rsidR="00874F8E" w:rsidRPr="009C68B8"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606878" w:rsidRPr="009C68B8" w:rsidRDefault="00AE58B7" w:rsidP="0060687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Por lo cual</w:t>
      </w:r>
      <w:r w:rsidR="00606878" w:rsidRPr="009C68B8">
        <w:rPr>
          <w:rFonts w:ascii="Palatino Linotype" w:eastAsia="Calibri" w:hAnsi="Palatino Linotype" w:cs="Arial"/>
          <w:color w:val="000000" w:themeColor="text1"/>
          <w:sz w:val="22"/>
          <w:szCs w:val="22"/>
          <w:lang w:val="es-ES"/>
        </w:rPr>
        <w:t xml:space="preserve">, resulta conveniente señalar que el artículo </w:t>
      </w:r>
      <w:r w:rsidR="003D283E" w:rsidRPr="009C68B8">
        <w:rPr>
          <w:rFonts w:ascii="Palatino Linotype" w:eastAsia="Calibri" w:hAnsi="Palatino Linotype" w:cs="Arial"/>
          <w:color w:val="000000" w:themeColor="text1"/>
          <w:sz w:val="22"/>
          <w:szCs w:val="22"/>
          <w:lang w:val="es-ES"/>
        </w:rPr>
        <w:t xml:space="preserve">177 del Reglamento Orgánico de la Administración Pública del Municipio de Tultitlán, establece que una de las </w:t>
      </w:r>
      <w:r w:rsidR="005309F6" w:rsidRPr="009C68B8">
        <w:rPr>
          <w:rFonts w:ascii="Palatino Linotype" w:eastAsia="Calibri" w:hAnsi="Palatino Linotype" w:cs="Arial"/>
          <w:color w:val="000000" w:themeColor="text1"/>
          <w:sz w:val="22"/>
          <w:szCs w:val="22"/>
          <w:lang w:val="es-ES"/>
        </w:rPr>
        <w:t xml:space="preserve">atribuciones de la Jefa o el Jefe del Departamento del Centro de Atención Empresarial y Ventanilla Única, es </w:t>
      </w:r>
      <w:r w:rsidR="005309F6" w:rsidRPr="009C68B8">
        <w:rPr>
          <w:rFonts w:ascii="Palatino Linotype" w:hAnsi="Palatino Linotype"/>
          <w:sz w:val="22"/>
          <w:szCs w:val="22"/>
        </w:rPr>
        <w:t>elaborar y revisar las licencias de funcionamiento o permisos provisionales de las unidades económicas que lo soliciten.</w:t>
      </w:r>
    </w:p>
    <w:p w:rsidR="00606878" w:rsidRPr="009C68B8" w:rsidRDefault="00606878" w:rsidP="0060687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606878" w:rsidRPr="009C68B8" w:rsidRDefault="005309F6"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Correlativo a lo anterior, el Reglamento de Actividades Económicas del Municipio de Tultitlán, en su artículo 27, establece que cuando se solicite la Licencia de Funcionamiento de una actividad económica de bajo riesgo, se deberán presentar los siguientes requisitos:</w:t>
      </w:r>
    </w:p>
    <w:p w:rsidR="005309F6" w:rsidRPr="009C68B8" w:rsidRDefault="005309F6" w:rsidP="005309F6">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309F6" w:rsidRPr="009C68B8" w:rsidRDefault="005309F6" w:rsidP="005309F6">
      <w:pPr>
        <w:pStyle w:val="Prrafodelista"/>
        <w:tabs>
          <w:tab w:val="left" w:pos="426"/>
          <w:tab w:val="left" w:pos="567"/>
        </w:tabs>
        <w:ind w:left="567"/>
        <w:jc w:val="both"/>
        <w:rPr>
          <w:rFonts w:ascii="Palatino Linotype" w:hAnsi="Palatino Linotype"/>
          <w:i/>
          <w:sz w:val="22"/>
          <w:szCs w:val="22"/>
        </w:rPr>
      </w:pPr>
      <w:r w:rsidRPr="009C68B8">
        <w:rPr>
          <w:rFonts w:ascii="Palatino Linotype" w:hAnsi="Palatino Linotype"/>
          <w:i/>
          <w:sz w:val="22"/>
          <w:szCs w:val="22"/>
        </w:rPr>
        <w:t xml:space="preserve">“1. Formato de Único de Gestión Empresarial (FUGE) debidamente llenado; </w:t>
      </w:r>
    </w:p>
    <w:p w:rsidR="005309F6" w:rsidRPr="009C68B8" w:rsidRDefault="005309F6" w:rsidP="005309F6">
      <w:pPr>
        <w:pStyle w:val="Prrafodelista"/>
        <w:tabs>
          <w:tab w:val="left" w:pos="426"/>
          <w:tab w:val="left" w:pos="567"/>
        </w:tabs>
        <w:ind w:left="567"/>
        <w:jc w:val="both"/>
        <w:rPr>
          <w:rFonts w:ascii="Palatino Linotype" w:hAnsi="Palatino Linotype"/>
          <w:i/>
          <w:sz w:val="22"/>
          <w:szCs w:val="22"/>
        </w:rPr>
      </w:pPr>
      <w:r w:rsidRPr="009C68B8">
        <w:rPr>
          <w:rFonts w:ascii="Palatino Linotype" w:hAnsi="Palatino Linotype"/>
          <w:i/>
          <w:sz w:val="22"/>
          <w:szCs w:val="22"/>
        </w:rPr>
        <w:t xml:space="preserve">2. Cédula Informativa de Zonificación o Licencia de Uso de Suelo; </w:t>
      </w:r>
    </w:p>
    <w:p w:rsidR="005309F6" w:rsidRPr="009C68B8" w:rsidRDefault="005309F6" w:rsidP="005309F6">
      <w:pPr>
        <w:pStyle w:val="Prrafodelista"/>
        <w:tabs>
          <w:tab w:val="left" w:pos="426"/>
          <w:tab w:val="left" w:pos="567"/>
        </w:tabs>
        <w:ind w:left="567"/>
        <w:jc w:val="both"/>
        <w:rPr>
          <w:rFonts w:ascii="Palatino Linotype" w:hAnsi="Palatino Linotype"/>
          <w:i/>
          <w:sz w:val="22"/>
          <w:szCs w:val="22"/>
        </w:rPr>
      </w:pPr>
      <w:r w:rsidRPr="009C68B8">
        <w:rPr>
          <w:rFonts w:ascii="Palatino Linotype" w:hAnsi="Palatino Linotype"/>
          <w:i/>
          <w:sz w:val="22"/>
          <w:szCs w:val="22"/>
        </w:rPr>
        <w:t xml:space="preserve">3. Identificación oficial vigente de la o el titular y/o representante Legal; </w:t>
      </w:r>
    </w:p>
    <w:p w:rsidR="005309F6" w:rsidRPr="009C68B8" w:rsidRDefault="005309F6" w:rsidP="005309F6">
      <w:pPr>
        <w:pStyle w:val="Prrafodelista"/>
        <w:tabs>
          <w:tab w:val="left" w:pos="426"/>
          <w:tab w:val="left" w:pos="567"/>
        </w:tabs>
        <w:ind w:left="567"/>
        <w:jc w:val="both"/>
        <w:rPr>
          <w:rFonts w:ascii="Palatino Linotype" w:hAnsi="Palatino Linotype"/>
          <w:i/>
          <w:sz w:val="22"/>
          <w:szCs w:val="22"/>
        </w:rPr>
      </w:pPr>
      <w:r w:rsidRPr="009C68B8">
        <w:rPr>
          <w:rFonts w:ascii="Palatino Linotype" w:hAnsi="Palatino Linotype"/>
          <w:i/>
          <w:sz w:val="22"/>
          <w:szCs w:val="22"/>
        </w:rPr>
        <w:t xml:space="preserve">4. En el caso de personas morales, original y copia simple del acta constitutiva y del poder del representante legal. </w:t>
      </w:r>
    </w:p>
    <w:p w:rsidR="005309F6" w:rsidRPr="009C68B8" w:rsidRDefault="005309F6" w:rsidP="005309F6">
      <w:pPr>
        <w:pStyle w:val="Prrafodelista"/>
        <w:tabs>
          <w:tab w:val="left" w:pos="426"/>
          <w:tab w:val="left" w:pos="567"/>
        </w:tabs>
        <w:ind w:left="567"/>
        <w:jc w:val="both"/>
        <w:rPr>
          <w:rFonts w:ascii="Palatino Linotype" w:hAnsi="Palatino Linotype"/>
          <w:i/>
          <w:sz w:val="22"/>
          <w:szCs w:val="22"/>
        </w:rPr>
      </w:pPr>
      <w:r w:rsidRPr="009C68B8">
        <w:rPr>
          <w:rFonts w:ascii="Palatino Linotype" w:hAnsi="Palatino Linotype"/>
          <w:i/>
          <w:sz w:val="22"/>
          <w:szCs w:val="22"/>
        </w:rPr>
        <w:t>5. Comprobante de pago de derechos en su caso.</w:t>
      </w:r>
    </w:p>
    <w:p w:rsidR="005309F6" w:rsidRPr="009C68B8" w:rsidRDefault="005309F6" w:rsidP="005309F6">
      <w:pPr>
        <w:pStyle w:val="Prrafodelista"/>
        <w:tabs>
          <w:tab w:val="left" w:pos="426"/>
          <w:tab w:val="left" w:pos="567"/>
        </w:tabs>
        <w:ind w:left="567"/>
        <w:jc w:val="both"/>
        <w:rPr>
          <w:rFonts w:ascii="Palatino Linotype" w:eastAsia="Calibri" w:hAnsi="Palatino Linotype" w:cs="Arial"/>
          <w:i/>
          <w:color w:val="000000" w:themeColor="text1"/>
          <w:sz w:val="22"/>
          <w:szCs w:val="22"/>
          <w:lang w:val="es-ES"/>
        </w:rPr>
      </w:pPr>
      <w:r w:rsidRPr="009C68B8">
        <w:rPr>
          <w:rFonts w:ascii="Palatino Linotype" w:hAnsi="Palatino Linotype"/>
          <w:i/>
          <w:sz w:val="22"/>
          <w:szCs w:val="22"/>
        </w:rPr>
        <w:t>6. Carta Compromiso de</w:t>
      </w:r>
      <w:r w:rsidRPr="009C68B8">
        <w:rPr>
          <w:rFonts w:ascii="Palatino Linotype" w:hAnsi="Palatino Linotype"/>
          <w:b/>
          <w:i/>
          <w:sz w:val="22"/>
          <w:szCs w:val="22"/>
        </w:rPr>
        <w:t xml:space="preserve"> protección civil</w:t>
      </w:r>
      <w:r w:rsidRPr="009C68B8">
        <w:rPr>
          <w:rFonts w:ascii="Palatino Linotype" w:hAnsi="Palatino Linotype"/>
          <w:i/>
          <w:sz w:val="22"/>
          <w:szCs w:val="22"/>
        </w:rPr>
        <w:t xml:space="preserve"> (con el efecto de que el solicitante acate las normas de esa materia).”</w:t>
      </w:r>
    </w:p>
    <w:p w:rsidR="00874F8E" w:rsidRPr="009C68B8"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924BAB" w:rsidRPr="009C68B8" w:rsidRDefault="005309F6" w:rsidP="003D283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lastRenderedPageBreak/>
        <w:t>Por su parte, el artículo</w:t>
      </w:r>
      <w:r w:rsidR="00924BAB" w:rsidRPr="009C68B8">
        <w:rPr>
          <w:rFonts w:ascii="Palatino Linotype" w:eastAsia="Calibri" w:hAnsi="Palatino Linotype" w:cs="Arial"/>
          <w:color w:val="000000" w:themeColor="text1"/>
          <w:sz w:val="22"/>
          <w:szCs w:val="22"/>
          <w:lang w:val="es-ES"/>
        </w:rPr>
        <w:t xml:space="preserve"> 275</w:t>
      </w:r>
      <w:r w:rsidRPr="009C68B8">
        <w:rPr>
          <w:rFonts w:ascii="Palatino Linotype" w:eastAsia="Calibri" w:hAnsi="Palatino Linotype" w:cs="Arial"/>
          <w:color w:val="000000" w:themeColor="text1"/>
          <w:sz w:val="22"/>
          <w:szCs w:val="22"/>
          <w:lang w:val="es-ES"/>
        </w:rPr>
        <w:t xml:space="preserve"> </w:t>
      </w:r>
      <w:r w:rsidR="00924BAB" w:rsidRPr="009C68B8">
        <w:rPr>
          <w:rFonts w:ascii="Palatino Linotype" w:eastAsia="Calibri" w:hAnsi="Palatino Linotype" w:cs="Arial"/>
          <w:color w:val="000000" w:themeColor="text1"/>
          <w:sz w:val="22"/>
          <w:szCs w:val="22"/>
          <w:lang w:val="es-ES"/>
        </w:rPr>
        <w:t>del Reglamento Orgánico de la Administración Pública del Municipio de Tultitlán, establece que la o el Titular de la Dirección de Gobierno y Protección Civil, tendrá las siguientes facultades:</w:t>
      </w:r>
    </w:p>
    <w:p w:rsidR="00606878" w:rsidRPr="009C68B8" w:rsidRDefault="00606878" w:rsidP="0060687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924BAB" w:rsidRPr="009C68B8" w:rsidRDefault="00924BAB" w:rsidP="00924BAB">
      <w:pPr>
        <w:pStyle w:val="Prrafodelista"/>
        <w:tabs>
          <w:tab w:val="left" w:pos="426"/>
          <w:tab w:val="left" w:pos="567"/>
        </w:tabs>
        <w:ind w:left="567" w:right="565"/>
        <w:jc w:val="both"/>
        <w:rPr>
          <w:rFonts w:ascii="Palatino Linotype" w:hAnsi="Palatino Linotype"/>
          <w:i/>
          <w:sz w:val="22"/>
          <w:szCs w:val="22"/>
        </w:rPr>
      </w:pPr>
      <w:r w:rsidRPr="009C68B8">
        <w:rPr>
          <w:rFonts w:ascii="Palatino Linotype" w:hAnsi="Palatino Linotype"/>
          <w:i/>
          <w:sz w:val="22"/>
          <w:szCs w:val="22"/>
        </w:rPr>
        <w:t xml:space="preserve">“I. Dar contestación a las demandas instauradas en contra del personal adscrito a la Dirección de Gobierno y Protección Civil; </w:t>
      </w:r>
    </w:p>
    <w:p w:rsidR="00924BAB" w:rsidRPr="009C68B8" w:rsidRDefault="00924BAB" w:rsidP="00924BAB">
      <w:pPr>
        <w:pStyle w:val="Prrafodelista"/>
        <w:tabs>
          <w:tab w:val="left" w:pos="426"/>
          <w:tab w:val="left" w:pos="567"/>
        </w:tabs>
        <w:ind w:left="567" w:right="565"/>
        <w:jc w:val="both"/>
        <w:rPr>
          <w:rFonts w:ascii="Palatino Linotype" w:hAnsi="Palatino Linotype"/>
          <w:i/>
          <w:sz w:val="22"/>
          <w:szCs w:val="22"/>
        </w:rPr>
      </w:pPr>
      <w:r w:rsidRPr="009C68B8">
        <w:rPr>
          <w:rFonts w:ascii="Palatino Linotype" w:hAnsi="Palatino Linotype"/>
          <w:i/>
          <w:sz w:val="22"/>
          <w:szCs w:val="22"/>
        </w:rPr>
        <w:t xml:space="preserve">II. Nombrar o habilitar a las servidoras y los servidores públicos adscritos a la Dependencia a su cargo, como Inspectores, Verificadores, Ejecutores y/o Notificadores; </w:t>
      </w:r>
    </w:p>
    <w:p w:rsidR="00924BAB" w:rsidRPr="009C68B8" w:rsidRDefault="00924BAB" w:rsidP="00924BAB">
      <w:pPr>
        <w:pStyle w:val="Prrafodelista"/>
        <w:tabs>
          <w:tab w:val="left" w:pos="426"/>
          <w:tab w:val="left" w:pos="567"/>
        </w:tabs>
        <w:ind w:left="567" w:right="565"/>
        <w:jc w:val="both"/>
        <w:rPr>
          <w:rFonts w:ascii="Palatino Linotype" w:hAnsi="Palatino Linotype"/>
          <w:i/>
          <w:sz w:val="22"/>
          <w:szCs w:val="22"/>
        </w:rPr>
      </w:pPr>
      <w:r w:rsidRPr="009C68B8">
        <w:rPr>
          <w:rFonts w:ascii="Palatino Linotype" w:hAnsi="Palatino Linotype"/>
          <w:i/>
          <w:sz w:val="22"/>
          <w:szCs w:val="22"/>
        </w:rPr>
        <w:t xml:space="preserve">III. Conducir por delegación expresa de la Presidenta o el Presidente Municipal, los asuntos de orden político interno; </w:t>
      </w:r>
    </w:p>
    <w:p w:rsidR="00924BAB" w:rsidRPr="009C68B8" w:rsidRDefault="00924BAB" w:rsidP="00924BAB">
      <w:pPr>
        <w:pStyle w:val="Prrafodelista"/>
        <w:tabs>
          <w:tab w:val="left" w:pos="426"/>
          <w:tab w:val="left" w:pos="567"/>
        </w:tabs>
        <w:ind w:left="567" w:right="565"/>
        <w:jc w:val="both"/>
        <w:rPr>
          <w:rFonts w:ascii="Palatino Linotype" w:hAnsi="Palatino Linotype"/>
          <w:i/>
          <w:sz w:val="22"/>
          <w:szCs w:val="22"/>
        </w:rPr>
      </w:pPr>
      <w:r w:rsidRPr="009C68B8">
        <w:rPr>
          <w:rFonts w:ascii="Palatino Linotype" w:hAnsi="Palatino Linotype"/>
          <w:i/>
          <w:sz w:val="22"/>
          <w:szCs w:val="22"/>
        </w:rPr>
        <w:t xml:space="preserve">IV. Coordinar, dirigir y supervisar las actividades de la Administración Pública Municipal para ejecutar obras y acciones que den solución a las problemáticas comunitarias; </w:t>
      </w:r>
    </w:p>
    <w:p w:rsidR="00924BAB" w:rsidRPr="009C68B8" w:rsidRDefault="00924BAB" w:rsidP="00924BAB">
      <w:pPr>
        <w:pStyle w:val="Prrafodelista"/>
        <w:tabs>
          <w:tab w:val="left" w:pos="426"/>
          <w:tab w:val="left" w:pos="567"/>
        </w:tabs>
        <w:ind w:left="567" w:right="565"/>
        <w:jc w:val="both"/>
        <w:rPr>
          <w:rFonts w:ascii="Palatino Linotype" w:hAnsi="Palatino Linotype"/>
          <w:i/>
          <w:sz w:val="22"/>
          <w:szCs w:val="22"/>
        </w:rPr>
      </w:pPr>
      <w:r w:rsidRPr="009C68B8">
        <w:rPr>
          <w:rFonts w:ascii="Palatino Linotype" w:hAnsi="Palatino Linotype"/>
          <w:i/>
          <w:sz w:val="22"/>
          <w:szCs w:val="22"/>
        </w:rPr>
        <w:t>(…)</w:t>
      </w:r>
    </w:p>
    <w:p w:rsidR="00924BAB" w:rsidRPr="009C68B8" w:rsidRDefault="00924BAB" w:rsidP="00924BAB">
      <w:pPr>
        <w:pStyle w:val="Prrafodelista"/>
        <w:tabs>
          <w:tab w:val="left" w:pos="426"/>
          <w:tab w:val="left" w:pos="567"/>
        </w:tabs>
        <w:ind w:left="567" w:right="565"/>
        <w:jc w:val="both"/>
        <w:rPr>
          <w:rFonts w:ascii="Palatino Linotype" w:hAnsi="Palatino Linotype"/>
          <w:b/>
          <w:i/>
          <w:sz w:val="22"/>
          <w:szCs w:val="22"/>
        </w:rPr>
      </w:pPr>
      <w:r w:rsidRPr="009C68B8">
        <w:rPr>
          <w:rFonts w:ascii="Palatino Linotype" w:hAnsi="Palatino Linotype"/>
          <w:b/>
          <w:i/>
          <w:sz w:val="22"/>
          <w:szCs w:val="22"/>
        </w:rPr>
        <w:t xml:space="preserve">X. Ordenar y ejecutar inspecciones y verificaciones en los eventos, establecimientos comerciales, industriales o de servicios, ya sean públicos o privados, para corroborar el cumplimiento de requisitos para poder operar o establecerse dentro del territorio municipal en materia de protección civil; </w:t>
      </w:r>
    </w:p>
    <w:p w:rsidR="00924BAB" w:rsidRPr="009C68B8" w:rsidRDefault="00924BAB" w:rsidP="00924BAB">
      <w:pPr>
        <w:pStyle w:val="Prrafodelista"/>
        <w:tabs>
          <w:tab w:val="left" w:pos="426"/>
          <w:tab w:val="left" w:pos="567"/>
        </w:tabs>
        <w:ind w:left="567" w:right="565"/>
        <w:jc w:val="both"/>
        <w:rPr>
          <w:rFonts w:ascii="Palatino Linotype" w:hAnsi="Palatino Linotype"/>
          <w:i/>
          <w:sz w:val="22"/>
          <w:szCs w:val="22"/>
        </w:rPr>
      </w:pPr>
      <w:r w:rsidRPr="009C68B8">
        <w:rPr>
          <w:rFonts w:ascii="Palatino Linotype" w:hAnsi="Palatino Linotype"/>
          <w:i/>
          <w:sz w:val="22"/>
          <w:szCs w:val="22"/>
        </w:rPr>
        <w:t xml:space="preserve">XI. Autorizar por escrito de forma indelegable o negar justificadamente, el uso de la vía pública para actividades no lucrativas, humanísticas, escolares o altruistas; de ser el caso, el no contar con dicha autorización se considerará falta administrativa; </w:t>
      </w:r>
    </w:p>
    <w:p w:rsidR="00924BAB" w:rsidRPr="009C68B8" w:rsidRDefault="00924BAB" w:rsidP="00924BAB">
      <w:pPr>
        <w:pStyle w:val="Prrafodelista"/>
        <w:tabs>
          <w:tab w:val="left" w:pos="426"/>
          <w:tab w:val="left" w:pos="567"/>
        </w:tabs>
        <w:ind w:left="567" w:right="565"/>
        <w:jc w:val="both"/>
        <w:rPr>
          <w:rFonts w:ascii="Palatino Linotype" w:hAnsi="Palatino Linotype"/>
          <w:i/>
          <w:sz w:val="22"/>
          <w:szCs w:val="22"/>
        </w:rPr>
      </w:pPr>
      <w:r w:rsidRPr="009C68B8">
        <w:rPr>
          <w:rFonts w:ascii="Palatino Linotype" w:hAnsi="Palatino Linotype"/>
          <w:i/>
          <w:sz w:val="22"/>
          <w:szCs w:val="22"/>
        </w:rPr>
        <w:t xml:space="preserve">XII. Establecer, ordenar y ejecutar planes de prevención de desastres y programas de auxilio a la población del Municipio de Tultitlán, primordialmente en el combate y extinción de incendios y el rescate de lesionados en emergencias u otras intervenciones a que se refiere la Ley, ejecutando las acciones destinadas a su control y mitigación en coordinación con los Organismos Públicos o Privados encargados de la Protección Civil y Seguridad Ciudadana; </w:t>
      </w:r>
    </w:p>
    <w:p w:rsidR="00924BAB" w:rsidRPr="009C68B8" w:rsidRDefault="00924BAB" w:rsidP="00924BAB">
      <w:pPr>
        <w:pStyle w:val="Prrafodelista"/>
        <w:tabs>
          <w:tab w:val="left" w:pos="426"/>
          <w:tab w:val="left" w:pos="567"/>
        </w:tabs>
        <w:ind w:left="567" w:right="565"/>
        <w:jc w:val="both"/>
        <w:rPr>
          <w:rFonts w:ascii="Palatino Linotype" w:hAnsi="Palatino Linotype"/>
          <w:i/>
          <w:sz w:val="22"/>
          <w:szCs w:val="22"/>
        </w:rPr>
      </w:pPr>
      <w:r w:rsidRPr="009C68B8">
        <w:rPr>
          <w:rFonts w:ascii="Palatino Linotype" w:hAnsi="Palatino Linotype"/>
          <w:i/>
          <w:sz w:val="22"/>
          <w:szCs w:val="22"/>
        </w:rPr>
        <w:t xml:space="preserve">XIII. Tener a su cargo la Coordinación Municipal de Protección Civil y Bomberos, vigilando que los cuerpos de protección civil, bomberos y paramédicos del municipio cumplan con los ordenamientos legales aplicables, en la ejecución de sus actividades relacionadas con la protección de los habitantes, de su patrimonio y la prevención de los desastres; </w:t>
      </w:r>
    </w:p>
    <w:p w:rsidR="00924BAB" w:rsidRPr="009C68B8" w:rsidRDefault="00924BAB" w:rsidP="00924BAB">
      <w:pPr>
        <w:pStyle w:val="Prrafodelista"/>
        <w:tabs>
          <w:tab w:val="left" w:pos="426"/>
          <w:tab w:val="left" w:pos="567"/>
        </w:tabs>
        <w:ind w:left="567" w:right="565"/>
        <w:jc w:val="both"/>
        <w:rPr>
          <w:rFonts w:ascii="Palatino Linotype" w:hAnsi="Palatino Linotype"/>
          <w:i/>
          <w:sz w:val="22"/>
          <w:szCs w:val="22"/>
        </w:rPr>
      </w:pPr>
      <w:r w:rsidRPr="009C68B8">
        <w:rPr>
          <w:rFonts w:ascii="Palatino Linotype" w:hAnsi="Palatino Linotype"/>
          <w:i/>
          <w:sz w:val="22"/>
          <w:szCs w:val="22"/>
        </w:rPr>
        <w:t xml:space="preserve">XIV. Organizar, operar, coordinar y controlar los servicios del sistema municipal de protección civil y bomberos; </w:t>
      </w:r>
    </w:p>
    <w:p w:rsidR="00924BAB" w:rsidRPr="009C68B8" w:rsidRDefault="00924BAB" w:rsidP="00924BAB">
      <w:pPr>
        <w:pStyle w:val="Prrafodelista"/>
        <w:tabs>
          <w:tab w:val="left" w:pos="426"/>
          <w:tab w:val="left" w:pos="567"/>
        </w:tabs>
        <w:ind w:left="567" w:right="565"/>
        <w:jc w:val="both"/>
        <w:rPr>
          <w:rFonts w:ascii="Palatino Linotype" w:hAnsi="Palatino Linotype"/>
          <w:i/>
          <w:sz w:val="22"/>
          <w:szCs w:val="22"/>
        </w:rPr>
      </w:pPr>
      <w:r w:rsidRPr="009C68B8">
        <w:rPr>
          <w:rFonts w:ascii="Palatino Linotype" w:hAnsi="Palatino Linotype"/>
          <w:i/>
          <w:sz w:val="22"/>
          <w:szCs w:val="22"/>
        </w:rPr>
        <w:lastRenderedPageBreak/>
        <w:t xml:space="preserve">XV. Formular y promover mecanismos de coordinación en materia de prevención y atención de desastres o siniestros, con autoridades federales, de la Ciudad de México, del gobierno del estado y otros municipios, así como los sectores social y privado; </w:t>
      </w:r>
    </w:p>
    <w:p w:rsidR="00924BAB" w:rsidRPr="009C68B8" w:rsidRDefault="00924BAB" w:rsidP="00924BAB">
      <w:pPr>
        <w:pStyle w:val="Prrafodelista"/>
        <w:tabs>
          <w:tab w:val="left" w:pos="426"/>
          <w:tab w:val="left" w:pos="567"/>
        </w:tabs>
        <w:ind w:left="567" w:right="565"/>
        <w:jc w:val="both"/>
        <w:rPr>
          <w:rFonts w:ascii="Palatino Linotype" w:hAnsi="Palatino Linotype"/>
          <w:i/>
          <w:sz w:val="22"/>
          <w:szCs w:val="22"/>
        </w:rPr>
      </w:pPr>
      <w:r w:rsidRPr="009C68B8">
        <w:rPr>
          <w:rFonts w:ascii="Palatino Linotype" w:hAnsi="Palatino Linotype"/>
          <w:i/>
          <w:sz w:val="22"/>
          <w:szCs w:val="22"/>
        </w:rPr>
        <w:t xml:space="preserve">XVI. Elaborar y ejecutar programas de difusión, capacitación de simulacros, dirigidos a los diversos sectores de la población, con el objeto de prevenir y enfrentar contingencias, emergencias y desastres; </w:t>
      </w:r>
    </w:p>
    <w:p w:rsidR="00924BAB" w:rsidRPr="009C68B8" w:rsidRDefault="00924BAB" w:rsidP="00924BAB">
      <w:pPr>
        <w:pStyle w:val="Prrafodelista"/>
        <w:tabs>
          <w:tab w:val="left" w:pos="426"/>
          <w:tab w:val="left" w:pos="567"/>
        </w:tabs>
        <w:ind w:left="567" w:right="565"/>
        <w:jc w:val="both"/>
        <w:rPr>
          <w:rFonts w:ascii="Palatino Linotype" w:hAnsi="Palatino Linotype"/>
          <w:i/>
          <w:sz w:val="22"/>
          <w:szCs w:val="22"/>
        </w:rPr>
      </w:pPr>
      <w:r w:rsidRPr="009C68B8">
        <w:rPr>
          <w:rFonts w:ascii="Palatino Linotype" w:hAnsi="Palatino Linotype"/>
          <w:i/>
          <w:sz w:val="22"/>
          <w:szCs w:val="22"/>
        </w:rPr>
        <w:t xml:space="preserve">XVII. Participar como integrante en el Comité Municipal de Prevención y Control de Crecimiento Urbano de Tultitlán; </w:t>
      </w:r>
    </w:p>
    <w:p w:rsidR="00924BAB" w:rsidRPr="009C68B8" w:rsidRDefault="00924BAB" w:rsidP="00924BAB">
      <w:pPr>
        <w:pStyle w:val="Prrafodelista"/>
        <w:tabs>
          <w:tab w:val="left" w:pos="426"/>
          <w:tab w:val="left" w:pos="567"/>
        </w:tabs>
        <w:ind w:left="567" w:right="565"/>
        <w:jc w:val="both"/>
        <w:rPr>
          <w:rFonts w:ascii="Palatino Linotype" w:hAnsi="Palatino Linotype"/>
          <w:i/>
          <w:sz w:val="22"/>
          <w:szCs w:val="22"/>
        </w:rPr>
      </w:pPr>
      <w:r w:rsidRPr="009C68B8">
        <w:rPr>
          <w:rFonts w:ascii="Palatino Linotype" w:hAnsi="Palatino Linotype"/>
          <w:i/>
          <w:sz w:val="22"/>
          <w:szCs w:val="22"/>
        </w:rPr>
        <w:t>XVIII.</w:t>
      </w:r>
      <w:r w:rsidR="00D8136B" w:rsidRPr="009C68B8">
        <w:rPr>
          <w:rFonts w:ascii="Palatino Linotype" w:hAnsi="Palatino Linotype"/>
          <w:i/>
          <w:sz w:val="22"/>
          <w:szCs w:val="22"/>
        </w:rPr>
        <w:t xml:space="preserve"> </w:t>
      </w:r>
      <w:r w:rsidRPr="009C68B8">
        <w:rPr>
          <w:rFonts w:ascii="Palatino Linotype" w:hAnsi="Palatino Linotype"/>
          <w:i/>
          <w:sz w:val="22"/>
          <w:szCs w:val="22"/>
        </w:rPr>
        <w:t xml:space="preserve">Podrá supervisar las inspecciones y verificaciones ejecutadas por el Departamento de Movilidad y Transporte en los vehículos utilizados como servicio público de transporte de pasajeros, en todas sus modalidades, para corroborar el cumplimiento de los requisitos para utilizar la vía pública o áreas de uso común como cajón de estacionamiento; </w:t>
      </w:r>
    </w:p>
    <w:p w:rsidR="00924BAB" w:rsidRPr="009C68B8" w:rsidRDefault="00924BAB" w:rsidP="00924BAB">
      <w:pPr>
        <w:pStyle w:val="Prrafodelista"/>
        <w:tabs>
          <w:tab w:val="left" w:pos="426"/>
          <w:tab w:val="left" w:pos="567"/>
        </w:tabs>
        <w:ind w:left="567" w:right="565"/>
        <w:jc w:val="both"/>
        <w:rPr>
          <w:rFonts w:ascii="Palatino Linotype" w:hAnsi="Palatino Linotype"/>
          <w:b/>
          <w:i/>
          <w:sz w:val="22"/>
          <w:szCs w:val="22"/>
        </w:rPr>
      </w:pPr>
      <w:r w:rsidRPr="009C68B8">
        <w:rPr>
          <w:rFonts w:ascii="Palatino Linotype" w:hAnsi="Palatino Linotype"/>
          <w:b/>
          <w:i/>
          <w:sz w:val="22"/>
          <w:szCs w:val="22"/>
        </w:rPr>
        <w:t xml:space="preserve">XIX. Integrar, conocer, iniciar, tramitar y resolver los procedimientos administrativos en contra de los titulares, propietarios, arrendadores y/o representantes legales de eventos, inmuebles y/o establecimientos comerciales, industriales o de servicios, de bajo, mediano y alto riesgo, ya sean públicos o privados que incumplan con lo ordenado en las leyes y Reglamentos aplicables en materia de protección civil; actos que podrán ser realizados a través de la Coordinación Jurídica de la Dirección de Gobierno y Protección Civil; </w:t>
      </w:r>
    </w:p>
    <w:p w:rsidR="00924BAB" w:rsidRPr="009C68B8" w:rsidRDefault="00924BAB" w:rsidP="00924BAB">
      <w:pPr>
        <w:pStyle w:val="Prrafodelista"/>
        <w:tabs>
          <w:tab w:val="left" w:pos="426"/>
          <w:tab w:val="left" w:pos="567"/>
        </w:tabs>
        <w:ind w:left="567" w:right="565"/>
        <w:jc w:val="both"/>
        <w:rPr>
          <w:rFonts w:ascii="Palatino Linotype" w:hAnsi="Palatino Linotype"/>
          <w:i/>
          <w:sz w:val="22"/>
          <w:szCs w:val="22"/>
        </w:rPr>
      </w:pPr>
      <w:r w:rsidRPr="009C68B8">
        <w:rPr>
          <w:rFonts w:ascii="Palatino Linotype" w:hAnsi="Palatino Linotype"/>
          <w:i/>
          <w:sz w:val="22"/>
          <w:szCs w:val="22"/>
        </w:rPr>
        <w:t xml:space="preserve">XX. En ejercicio de sus funciones, podrá colaborar en la integración de los procedimientos administrativos en contra de los titulares, propietarios, arrendadores y/o representantes legales de los vehículos utilizados como servicio público de transporte de pasajeros, en todas sus modalidades que incumplan con la autorización para ocupar la vía pública o áreas de uso común como cajón de estacionamiento; actos que podrán ser realizados a través de la Coordinación Jurídica de la Dirección de Gobierno y Protección Civil; </w:t>
      </w:r>
    </w:p>
    <w:p w:rsidR="00924BAB" w:rsidRPr="009C68B8" w:rsidRDefault="00924BAB" w:rsidP="00924BAB">
      <w:pPr>
        <w:pStyle w:val="Prrafodelista"/>
        <w:tabs>
          <w:tab w:val="left" w:pos="426"/>
          <w:tab w:val="left" w:pos="567"/>
        </w:tabs>
        <w:ind w:left="567" w:right="565"/>
        <w:jc w:val="both"/>
        <w:rPr>
          <w:rFonts w:ascii="Palatino Linotype" w:hAnsi="Palatino Linotype"/>
          <w:i/>
          <w:sz w:val="22"/>
          <w:szCs w:val="22"/>
        </w:rPr>
      </w:pPr>
      <w:r w:rsidRPr="009C68B8">
        <w:rPr>
          <w:rFonts w:ascii="Palatino Linotype" w:hAnsi="Palatino Linotype"/>
          <w:i/>
          <w:sz w:val="22"/>
          <w:szCs w:val="22"/>
        </w:rPr>
        <w:t xml:space="preserve">XXI. En caso de riesgo o peligro inminente, sin perjuicio del procedimiento administrativo correspondiente, la Dirección, ordenara de inmediato las medidas de seguridad conducentes a efecto de proteger la vida de la población y sus bienes, la planta productiva y el ambiente, así como para garantizar el funcionamiento de los servicios esenciales de la comunidad, y de ser el caso, informará mediante oficio a la autoridad competente para hacer de su conocimiento las medidas de seguridad que fueron aplicadas; </w:t>
      </w:r>
    </w:p>
    <w:p w:rsidR="00924BAB" w:rsidRPr="009C68B8" w:rsidRDefault="00924BAB" w:rsidP="00924BAB">
      <w:pPr>
        <w:pStyle w:val="Prrafodelista"/>
        <w:tabs>
          <w:tab w:val="left" w:pos="426"/>
          <w:tab w:val="left" w:pos="567"/>
        </w:tabs>
        <w:ind w:left="567" w:right="565"/>
        <w:jc w:val="both"/>
        <w:rPr>
          <w:rFonts w:ascii="Palatino Linotype" w:hAnsi="Palatino Linotype"/>
          <w:i/>
          <w:sz w:val="22"/>
          <w:szCs w:val="22"/>
        </w:rPr>
      </w:pPr>
      <w:r w:rsidRPr="009C68B8">
        <w:rPr>
          <w:rFonts w:ascii="Palatino Linotype" w:hAnsi="Palatino Linotype"/>
          <w:b/>
          <w:i/>
          <w:sz w:val="22"/>
          <w:szCs w:val="22"/>
        </w:rPr>
        <w:t xml:space="preserve">XXII. Analizar, identificar, concertar, evaluar, verificar y realizar todas las acciones necesarias para estar en aptitud de elaborar y/o actualizar el Atlas de </w:t>
      </w:r>
      <w:r w:rsidRPr="009C68B8">
        <w:rPr>
          <w:rFonts w:ascii="Palatino Linotype" w:hAnsi="Palatino Linotype"/>
          <w:b/>
          <w:i/>
          <w:sz w:val="22"/>
          <w:szCs w:val="22"/>
        </w:rPr>
        <w:lastRenderedPageBreak/>
        <w:t>Riesgo Municipal; así como para dar cumplimiento con el objeto y fines de la Dirección de Gobierno y Protección Civil;</w:t>
      </w:r>
      <w:r w:rsidRPr="009C68B8">
        <w:rPr>
          <w:rFonts w:ascii="Palatino Linotype" w:hAnsi="Palatino Linotype"/>
          <w:i/>
          <w:sz w:val="22"/>
          <w:szCs w:val="22"/>
        </w:rPr>
        <w:t xml:space="preserve"> </w:t>
      </w:r>
    </w:p>
    <w:p w:rsidR="00924BAB" w:rsidRPr="009C68B8" w:rsidRDefault="00924BAB" w:rsidP="00924BAB">
      <w:pPr>
        <w:pStyle w:val="Prrafodelista"/>
        <w:tabs>
          <w:tab w:val="left" w:pos="426"/>
          <w:tab w:val="left" w:pos="567"/>
        </w:tabs>
        <w:ind w:left="567" w:right="565"/>
        <w:jc w:val="both"/>
        <w:rPr>
          <w:rFonts w:ascii="Palatino Linotype" w:hAnsi="Palatino Linotype"/>
          <w:i/>
          <w:sz w:val="22"/>
          <w:szCs w:val="22"/>
        </w:rPr>
      </w:pPr>
      <w:r w:rsidRPr="009C68B8">
        <w:rPr>
          <w:rFonts w:ascii="Palatino Linotype" w:hAnsi="Palatino Linotype"/>
          <w:i/>
          <w:sz w:val="22"/>
          <w:szCs w:val="22"/>
        </w:rPr>
        <w:t>XXIII.</w:t>
      </w:r>
      <w:r w:rsidR="00D8136B" w:rsidRPr="009C68B8">
        <w:rPr>
          <w:rFonts w:ascii="Palatino Linotype" w:hAnsi="Palatino Linotype"/>
          <w:i/>
          <w:sz w:val="22"/>
          <w:szCs w:val="22"/>
        </w:rPr>
        <w:t xml:space="preserve"> </w:t>
      </w:r>
      <w:r w:rsidRPr="009C68B8">
        <w:rPr>
          <w:rFonts w:ascii="Palatino Linotype" w:hAnsi="Palatino Linotype"/>
          <w:i/>
          <w:sz w:val="22"/>
          <w:szCs w:val="22"/>
        </w:rPr>
        <w:t xml:space="preserve">Imponer, ejecutar y concertar las sanciones económicas, administrativas y/o medidas de seguridad derivado del incumplimiento de lo ordenado en las Leyes y Reglamentos aplicables en materia de Protección Civil, Movilidad y transporte, según el caso en concreto; actos que podrán ser realizados a través de la Coordinación Jurídica de la Dirección de Gobierno y Protección Civil; </w:t>
      </w:r>
    </w:p>
    <w:p w:rsidR="00924BAB" w:rsidRPr="009C68B8" w:rsidRDefault="00924BAB" w:rsidP="00924BAB">
      <w:pPr>
        <w:pStyle w:val="Prrafodelista"/>
        <w:tabs>
          <w:tab w:val="left" w:pos="426"/>
          <w:tab w:val="left" w:pos="567"/>
        </w:tabs>
        <w:ind w:left="567" w:right="565"/>
        <w:jc w:val="both"/>
        <w:rPr>
          <w:rFonts w:ascii="Palatino Linotype" w:hAnsi="Palatino Linotype"/>
          <w:i/>
          <w:sz w:val="22"/>
          <w:szCs w:val="22"/>
        </w:rPr>
      </w:pPr>
      <w:r w:rsidRPr="009C68B8">
        <w:rPr>
          <w:rFonts w:ascii="Palatino Linotype" w:hAnsi="Palatino Linotype"/>
          <w:i/>
          <w:sz w:val="22"/>
          <w:szCs w:val="22"/>
        </w:rPr>
        <w:t xml:space="preserve">XXIV. Para el ejercicio de sus facultades y atribuciones antes referidas, el Director podrá delegar aquellas a la o los servidores públicos a su cargo, siempre en el ámbito de sus respectivas funciones y atribuciones; </w:t>
      </w:r>
    </w:p>
    <w:p w:rsidR="00924BAB" w:rsidRPr="009C68B8" w:rsidRDefault="00924BAB" w:rsidP="00924BAB">
      <w:pPr>
        <w:pStyle w:val="Prrafodelista"/>
        <w:tabs>
          <w:tab w:val="left" w:pos="426"/>
          <w:tab w:val="left" w:pos="567"/>
        </w:tabs>
        <w:ind w:left="567" w:right="565"/>
        <w:jc w:val="both"/>
        <w:rPr>
          <w:rFonts w:ascii="Palatino Linotype" w:hAnsi="Palatino Linotype"/>
          <w:i/>
          <w:sz w:val="22"/>
          <w:szCs w:val="22"/>
        </w:rPr>
      </w:pPr>
      <w:r w:rsidRPr="009C68B8">
        <w:rPr>
          <w:rFonts w:ascii="Palatino Linotype" w:hAnsi="Palatino Linotype"/>
          <w:i/>
          <w:sz w:val="22"/>
          <w:szCs w:val="22"/>
        </w:rPr>
        <w:t xml:space="preserve">XXV. Habilitar días y horas inhábiles; </w:t>
      </w:r>
    </w:p>
    <w:p w:rsidR="00924BAB" w:rsidRPr="009C68B8" w:rsidRDefault="00924BAB" w:rsidP="00924BAB">
      <w:pPr>
        <w:pStyle w:val="Prrafodelista"/>
        <w:tabs>
          <w:tab w:val="left" w:pos="426"/>
          <w:tab w:val="left" w:pos="567"/>
        </w:tabs>
        <w:ind w:left="567" w:right="565"/>
        <w:jc w:val="both"/>
        <w:rPr>
          <w:rFonts w:ascii="Palatino Linotype" w:hAnsi="Palatino Linotype"/>
          <w:i/>
          <w:sz w:val="22"/>
          <w:szCs w:val="22"/>
        </w:rPr>
      </w:pPr>
      <w:r w:rsidRPr="009C68B8">
        <w:rPr>
          <w:rFonts w:ascii="Palatino Linotype" w:hAnsi="Palatino Linotype"/>
          <w:i/>
          <w:sz w:val="22"/>
          <w:szCs w:val="22"/>
        </w:rPr>
        <w:t xml:space="preserve">XXVI. Ordenar y aplicar las medidas de seguridad, de apremio, disciplinarias, e imponer multas contempladas en los ordenamientos legales aplicables; </w:t>
      </w:r>
    </w:p>
    <w:p w:rsidR="00924BAB" w:rsidRPr="009C68B8" w:rsidRDefault="00924BAB" w:rsidP="00924BAB">
      <w:pPr>
        <w:pStyle w:val="Prrafodelista"/>
        <w:tabs>
          <w:tab w:val="left" w:pos="426"/>
          <w:tab w:val="left" w:pos="567"/>
        </w:tabs>
        <w:ind w:left="567" w:right="565"/>
        <w:jc w:val="both"/>
        <w:rPr>
          <w:rFonts w:ascii="Palatino Linotype" w:hAnsi="Palatino Linotype"/>
          <w:i/>
          <w:sz w:val="22"/>
          <w:szCs w:val="22"/>
        </w:rPr>
      </w:pPr>
      <w:r w:rsidRPr="009C68B8">
        <w:rPr>
          <w:rFonts w:ascii="Palatino Linotype" w:hAnsi="Palatino Linotype"/>
          <w:b/>
          <w:i/>
          <w:sz w:val="22"/>
          <w:szCs w:val="22"/>
        </w:rPr>
        <w:t>XXVII. Dar el visto bueno tanto para la emisión del dictamen en materia de protección civil, como a las solicitudes de los particulares de los establecimientos que, dentro de sus actividades, desarrollen algún proceso que implique el manejo de sustancias y productos de riesgo, a efecto de mitigar, detectar las áreas de oportunidad, llevar a cabo diagnósticos e integrar el Atlas de Riesgo Municipal;</w:t>
      </w:r>
      <w:r w:rsidRPr="009C68B8">
        <w:rPr>
          <w:rFonts w:ascii="Palatino Linotype" w:hAnsi="Palatino Linotype"/>
          <w:i/>
          <w:sz w:val="22"/>
          <w:szCs w:val="22"/>
        </w:rPr>
        <w:t xml:space="preserve"> y</w:t>
      </w:r>
    </w:p>
    <w:p w:rsidR="00606878" w:rsidRPr="009C68B8" w:rsidRDefault="00924BAB" w:rsidP="00924BAB">
      <w:pPr>
        <w:pStyle w:val="Prrafodelista"/>
        <w:tabs>
          <w:tab w:val="left" w:pos="426"/>
          <w:tab w:val="left" w:pos="567"/>
        </w:tabs>
        <w:ind w:left="567" w:right="565"/>
        <w:jc w:val="both"/>
        <w:rPr>
          <w:rFonts w:ascii="Palatino Linotype" w:hAnsi="Palatino Linotype"/>
          <w:i/>
          <w:sz w:val="22"/>
          <w:szCs w:val="22"/>
        </w:rPr>
      </w:pPr>
      <w:r w:rsidRPr="009C68B8">
        <w:rPr>
          <w:rFonts w:ascii="Palatino Linotype" w:hAnsi="Palatino Linotype"/>
          <w:i/>
          <w:sz w:val="22"/>
          <w:szCs w:val="22"/>
        </w:rPr>
        <w:t>XXVIII. Las demás que le señalen la Presidenta o el Presidente Municipal, las leyes, reglamentos y disposiciones jurídicas aplicables.”</w:t>
      </w:r>
    </w:p>
    <w:p w:rsidR="00924BAB" w:rsidRPr="009C68B8" w:rsidRDefault="00924BAB" w:rsidP="0060687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 xml:space="preserve">Expuesto lo anterior, </w:t>
      </w:r>
      <w:r w:rsidRPr="009C68B8">
        <w:rPr>
          <w:rFonts w:ascii="Palatino Linotype" w:hAnsi="Palatino Linotype"/>
          <w:sz w:val="22"/>
          <w:szCs w:val="22"/>
        </w:rPr>
        <w:t xml:space="preserve">es importante señalar que el artículo 4, párrafo segundo de la Ley de Transparencia y Acceso a la Información Pública del Estado de México y Municipios, dispone: </w:t>
      </w:r>
    </w:p>
    <w:p w:rsidR="00874F8E" w:rsidRPr="009C68B8"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9C68B8" w:rsidRDefault="00874F8E" w:rsidP="00874F8E">
      <w:pPr>
        <w:pStyle w:val="Prrafodelista"/>
        <w:tabs>
          <w:tab w:val="left" w:pos="426"/>
          <w:tab w:val="left" w:pos="567"/>
        </w:tabs>
        <w:ind w:left="567" w:right="565"/>
        <w:jc w:val="both"/>
        <w:rPr>
          <w:rFonts w:ascii="Palatino Linotype" w:hAnsi="Palatino Linotype"/>
          <w:i/>
          <w:sz w:val="22"/>
          <w:szCs w:val="22"/>
        </w:rPr>
      </w:pPr>
      <w:r w:rsidRPr="009C68B8">
        <w:rPr>
          <w:rFonts w:ascii="Palatino Linotype" w:hAnsi="Palatino Linotype"/>
          <w:i/>
          <w:sz w:val="22"/>
          <w:szCs w:val="22"/>
        </w:rPr>
        <w:t>“</w:t>
      </w:r>
      <w:r w:rsidRPr="009C68B8">
        <w:rPr>
          <w:rFonts w:ascii="Palatino Linotype" w:hAnsi="Palatino Linotype"/>
          <w:b/>
          <w:i/>
          <w:sz w:val="22"/>
          <w:szCs w:val="22"/>
        </w:rPr>
        <w:t>Artículo 4. …</w:t>
      </w:r>
    </w:p>
    <w:p w:rsidR="00874F8E" w:rsidRPr="009C68B8" w:rsidRDefault="00874F8E" w:rsidP="00874F8E">
      <w:pPr>
        <w:pStyle w:val="Prrafodelista"/>
        <w:tabs>
          <w:tab w:val="left" w:pos="426"/>
          <w:tab w:val="left" w:pos="567"/>
        </w:tabs>
        <w:ind w:left="567" w:right="565"/>
        <w:jc w:val="both"/>
        <w:rPr>
          <w:rFonts w:ascii="Palatino Linotype" w:hAnsi="Palatino Linotype"/>
          <w:i/>
          <w:sz w:val="22"/>
          <w:szCs w:val="22"/>
        </w:rPr>
      </w:pPr>
      <w:r w:rsidRPr="009C68B8">
        <w:rPr>
          <w:rFonts w:ascii="Palatino Linotype" w:hAnsi="Palatino Linotype"/>
          <w:i/>
          <w:sz w:val="22"/>
          <w:szCs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w:t>
      </w:r>
      <w:r w:rsidRPr="009C68B8">
        <w:rPr>
          <w:rFonts w:ascii="Palatino Linotype" w:hAnsi="Palatino Linotype"/>
          <w:i/>
          <w:sz w:val="22"/>
          <w:szCs w:val="22"/>
        </w:rPr>
        <w:lastRenderedPageBreak/>
        <w:t>temporalmente por razones de interés público, en los términos de las causas legítimas y estrictamente necesarias previstas por esta Ley.”</w:t>
      </w:r>
    </w:p>
    <w:p w:rsidR="00874F8E" w:rsidRPr="009C68B8" w:rsidRDefault="00874F8E" w:rsidP="00874F8E">
      <w:pPr>
        <w:tabs>
          <w:tab w:val="left" w:pos="426"/>
          <w:tab w:val="left" w:pos="567"/>
        </w:tabs>
        <w:spacing w:line="360" w:lineRule="auto"/>
        <w:ind w:right="565"/>
        <w:jc w:val="both"/>
        <w:rPr>
          <w:rFonts w:ascii="Palatino Linotype" w:eastAsia="Calibri" w:hAnsi="Palatino Linotype" w:cs="Arial"/>
          <w:i/>
          <w:color w:val="000000" w:themeColor="text1"/>
          <w:sz w:val="22"/>
          <w:szCs w:val="22"/>
          <w:lang w:val="es-ES"/>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 xml:space="preserve">De lo anterior, se desprende </w:t>
      </w:r>
      <w:r w:rsidRPr="009C68B8">
        <w:rPr>
          <w:rFonts w:ascii="Palatino Linotype" w:hAnsi="Palatino Linotype"/>
          <w:sz w:val="22"/>
          <w:szCs w:val="22"/>
        </w:rPr>
        <w:t xml:space="preserve">que la información generada, obtenida, adquirida, transmitida, administrada o en posesión de los Sujetos Obligados, será accesible de manera permanente a cualquier persona, privilegiando el principio de máxima publicidad de la información. </w:t>
      </w:r>
    </w:p>
    <w:p w:rsidR="00874F8E" w:rsidRPr="009C68B8"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9C68B8" w:rsidRDefault="00AE58B7"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hAnsi="Palatino Linotype"/>
          <w:sz w:val="22"/>
          <w:szCs w:val="22"/>
        </w:rPr>
        <w:t>Y</w:t>
      </w:r>
      <w:r w:rsidR="00874F8E" w:rsidRPr="009C68B8">
        <w:rPr>
          <w:rFonts w:ascii="Palatino Linotype" w:hAnsi="Palatino Linotype"/>
          <w:sz w:val="22"/>
          <w:szCs w:val="22"/>
        </w:rPr>
        <w:t xml:space="preserv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rsidR="00874F8E" w:rsidRPr="009C68B8"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9C68B8" w:rsidRDefault="00874F8E" w:rsidP="00874F8E">
      <w:pPr>
        <w:pStyle w:val="Prrafodelista"/>
        <w:tabs>
          <w:tab w:val="left" w:pos="426"/>
          <w:tab w:val="left" w:pos="567"/>
        </w:tabs>
        <w:ind w:left="567" w:right="565"/>
        <w:jc w:val="both"/>
        <w:rPr>
          <w:rFonts w:ascii="Palatino Linotype" w:hAnsi="Palatino Linotype"/>
          <w:i/>
          <w:sz w:val="22"/>
          <w:szCs w:val="22"/>
        </w:rPr>
      </w:pPr>
      <w:r w:rsidRPr="009C68B8">
        <w:rPr>
          <w:rFonts w:ascii="Palatino Linotype" w:hAnsi="Palatino Linotype"/>
          <w:i/>
          <w:sz w:val="22"/>
          <w:szCs w:val="22"/>
        </w:rPr>
        <w:t>“</w:t>
      </w:r>
      <w:r w:rsidRPr="009C68B8">
        <w:rPr>
          <w:rFonts w:ascii="Palatino Linotype" w:hAnsi="Palatino Linotype"/>
          <w:b/>
          <w:i/>
          <w:sz w:val="22"/>
          <w:szCs w:val="22"/>
        </w:rPr>
        <w:t>Artículo 12.</w:t>
      </w:r>
      <w:r w:rsidRPr="009C68B8">
        <w:rPr>
          <w:rFonts w:ascii="Palatino Linotype" w:hAnsi="Palatino Linotype"/>
          <w:i/>
          <w:sz w:val="22"/>
          <w:szCs w:val="22"/>
        </w:rPr>
        <w:t xml:space="preserve"> Quienes generen, recopilen, administren, manejen, procesen, archiven o conserven información pública serán responsables de la misma en los términos de las disposiciones jurídicas aplicables. </w:t>
      </w:r>
    </w:p>
    <w:p w:rsidR="00874F8E" w:rsidRPr="009C68B8" w:rsidRDefault="00874F8E" w:rsidP="00874F8E">
      <w:pPr>
        <w:pStyle w:val="Prrafodelista"/>
        <w:tabs>
          <w:tab w:val="left" w:pos="426"/>
          <w:tab w:val="left" w:pos="567"/>
        </w:tabs>
        <w:ind w:left="567" w:right="565"/>
        <w:jc w:val="both"/>
        <w:rPr>
          <w:rFonts w:ascii="Palatino Linotype" w:hAnsi="Palatino Linotype"/>
          <w:i/>
          <w:sz w:val="22"/>
          <w:szCs w:val="22"/>
        </w:rPr>
      </w:pPr>
    </w:p>
    <w:p w:rsidR="00874F8E" w:rsidRPr="009C68B8" w:rsidRDefault="00874F8E" w:rsidP="00874F8E">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9C68B8">
        <w:rPr>
          <w:rFonts w:ascii="Palatino Linotype" w:hAnsi="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874F8E" w:rsidRPr="009C68B8"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 xml:space="preserve">En síntesis, </w:t>
      </w:r>
      <w:r w:rsidRPr="009C68B8">
        <w:rPr>
          <w:rFonts w:ascii="Palatino Linotype" w:hAnsi="Palatino Linotype"/>
          <w:sz w:val="22"/>
          <w:szCs w:val="22"/>
        </w:rPr>
        <w:t xml:space="preserve">el derecho de acceso a la información pública se satisface en aquellos casos en que se entregue el soporte documental en que conste la información pública, toda vez que, los Sujetos Obligados no tienen el deber de generar, poseer o administrar la </w:t>
      </w:r>
      <w:r w:rsidRPr="009C68B8">
        <w:rPr>
          <w:rFonts w:ascii="Palatino Linotype" w:hAnsi="Palatino Linotype"/>
          <w:sz w:val="22"/>
          <w:szCs w:val="22"/>
        </w:rPr>
        <w:lastRenderedPageBreak/>
        <w:t xml:space="preserve">información pública con el grado de detalle solicitado; esto es, que no tienen el deber de generar un documento ad hoc, para satisfacer el derecho de acceso a la información pública. </w:t>
      </w:r>
    </w:p>
    <w:p w:rsidR="00874F8E" w:rsidRPr="009C68B8"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hAnsi="Palatino Linotype"/>
          <w:sz w:val="22"/>
          <w:szCs w:val="22"/>
        </w:rPr>
        <w:t xml:space="preserve">Como apoyo a lo anterior, es aplicable el Criterio 03-17, emitido por el Instituto Nacional de Transparencia, Acceso a la Información y Protección de Datos Personales, que dice: </w:t>
      </w:r>
    </w:p>
    <w:p w:rsidR="00874F8E" w:rsidRPr="009C68B8" w:rsidRDefault="00874F8E" w:rsidP="00874F8E">
      <w:pPr>
        <w:rPr>
          <w:rFonts w:ascii="Palatino Linotype" w:hAnsi="Palatino Linotype"/>
          <w:b/>
          <w:sz w:val="22"/>
          <w:szCs w:val="22"/>
        </w:rPr>
      </w:pPr>
    </w:p>
    <w:p w:rsidR="00874F8E" w:rsidRPr="009C68B8" w:rsidRDefault="00874F8E" w:rsidP="00874F8E">
      <w:pPr>
        <w:pStyle w:val="Prrafodelista"/>
        <w:tabs>
          <w:tab w:val="left" w:pos="426"/>
          <w:tab w:val="left" w:pos="567"/>
        </w:tabs>
        <w:ind w:left="567" w:right="565"/>
        <w:jc w:val="both"/>
        <w:rPr>
          <w:rFonts w:ascii="Palatino Linotype" w:hAnsi="Palatino Linotype"/>
          <w:i/>
          <w:sz w:val="22"/>
          <w:szCs w:val="22"/>
        </w:rPr>
      </w:pPr>
      <w:r w:rsidRPr="009C68B8">
        <w:rPr>
          <w:rFonts w:ascii="Palatino Linotype" w:hAnsi="Palatino Linotype"/>
          <w:b/>
          <w:i/>
          <w:sz w:val="22"/>
          <w:szCs w:val="22"/>
        </w:rPr>
        <w:t>“No existe obligación de elaborar documentos ad hoc para atender las solicitudes de acceso a la información.</w:t>
      </w:r>
      <w:r w:rsidRPr="009C68B8">
        <w:rPr>
          <w:rFonts w:ascii="Palatino Linotype" w:hAnsi="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rsidR="00874F8E" w:rsidRPr="009C68B8" w:rsidRDefault="00874F8E" w:rsidP="00874F8E">
      <w:pPr>
        <w:pStyle w:val="Prrafodelista"/>
        <w:tabs>
          <w:tab w:val="left" w:pos="426"/>
          <w:tab w:val="left" w:pos="567"/>
        </w:tabs>
        <w:ind w:left="567" w:right="565"/>
        <w:jc w:val="both"/>
        <w:rPr>
          <w:rFonts w:ascii="Palatino Linotype" w:hAnsi="Palatino Linotype"/>
          <w:i/>
          <w:sz w:val="22"/>
          <w:szCs w:val="22"/>
        </w:rPr>
      </w:pPr>
    </w:p>
    <w:p w:rsidR="00874F8E" w:rsidRPr="009C68B8" w:rsidRDefault="00874F8E" w:rsidP="00874F8E">
      <w:pPr>
        <w:pStyle w:val="Prrafodelista"/>
        <w:tabs>
          <w:tab w:val="left" w:pos="426"/>
          <w:tab w:val="left" w:pos="567"/>
        </w:tabs>
        <w:ind w:left="567" w:right="565"/>
        <w:jc w:val="both"/>
        <w:rPr>
          <w:rFonts w:ascii="Palatino Linotype" w:hAnsi="Palatino Linotype"/>
          <w:i/>
          <w:sz w:val="22"/>
          <w:szCs w:val="22"/>
        </w:rPr>
      </w:pPr>
      <w:r w:rsidRPr="009C68B8">
        <w:rPr>
          <w:rFonts w:ascii="Palatino Linotype" w:hAnsi="Palatino Linotype"/>
          <w:i/>
          <w:sz w:val="22"/>
          <w:szCs w:val="22"/>
        </w:rPr>
        <w:t xml:space="preserve">Resoluciones: </w:t>
      </w:r>
    </w:p>
    <w:p w:rsidR="00874F8E" w:rsidRPr="009C68B8" w:rsidRDefault="00874F8E" w:rsidP="00874F8E">
      <w:pPr>
        <w:pStyle w:val="Prrafodelista"/>
        <w:tabs>
          <w:tab w:val="left" w:pos="426"/>
          <w:tab w:val="left" w:pos="567"/>
        </w:tabs>
        <w:ind w:left="567" w:right="565"/>
        <w:jc w:val="both"/>
        <w:rPr>
          <w:rFonts w:ascii="Palatino Linotype" w:hAnsi="Palatino Linotype"/>
          <w:i/>
          <w:sz w:val="22"/>
          <w:szCs w:val="22"/>
        </w:rPr>
      </w:pPr>
      <w:r w:rsidRPr="009C68B8">
        <w:rPr>
          <w:rFonts w:ascii="Palatino Linotype" w:hAnsi="Palatino Linotype"/>
          <w:i/>
          <w:sz w:val="22"/>
          <w:szCs w:val="22"/>
        </w:rPr>
        <w:sym w:font="Symbol" w:char="F0B7"/>
      </w:r>
      <w:r w:rsidRPr="009C68B8">
        <w:rPr>
          <w:rFonts w:ascii="Palatino Linotype" w:hAnsi="Palatino Linotype"/>
          <w:i/>
          <w:sz w:val="22"/>
          <w:szCs w:val="22"/>
        </w:rPr>
        <w:t xml:space="preserve"> RRA 0050/16. Instituto Nacional para la Evaluación de la Educación. 13 julio de 2016. Por unanimidad. Comisionado Ponente: Francisco Javier Acuña Llamas. </w:t>
      </w:r>
    </w:p>
    <w:p w:rsidR="00874F8E" w:rsidRPr="009C68B8" w:rsidRDefault="00874F8E" w:rsidP="00874F8E">
      <w:pPr>
        <w:pStyle w:val="Prrafodelista"/>
        <w:tabs>
          <w:tab w:val="left" w:pos="426"/>
          <w:tab w:val="left" w:pos="567"/>
        </w:tabs>
        <w:ind w:left="567" w:right="565"/>
        <w:jc w:val="both"/>
        <w:rPr>
          <w:rFonts w:ascii="Palatino Linotype" w:hAnsi="Palatino Linotype"/>
          <w:i/>
          <w:sz w:val="22"/>
          <w:szCs w:val="22"/>
        </w:rPr>
      </w:pPr>
      <w:r w:rsidRPr="009C68B8">
        <w:rPr>
          <w:rFonts w:ascii="Palatino Linotype" w:hAnsi="Palatino Linotype"/>
          <w:i/>
          <w:sz w:val="22"/>
          <w:szCs w:val="22"/>
        </w:rPr>
        <w:sym w:font="Symbol" w:char="F0B7"/>
      </w:r>
      <w:r w:rsidRPr="009C68B8">
        <w:rPr>
          <w:rFonts w:ascii="Palatino Linotype" w:hAnsi="Palatino Linotype"/>
          <w:i/>
          <w:sz w:val="22"/>
          <w:szCs w:val="22"/>
        </w:rPr>
        <w:t xml:space="preserve"> RRA 0310/16. Instituto Nacional de Transparencia, Acceso a la Información y Protección de Datos Personales. 10 de agosto de 2016. Por unanimidad. Comisionada Ponente. Areli Cano Guadiana. </w:t>
      </w:r>
    </w:p>
    <w:p w:rsidR="00874F8E" w:rsidRPr="009C68B8" w:rsidRDefault="00874F8E" w:rsidP="00874F8E">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9C68B8">
        <w:rPr>
          <w:rFonts w:ascii="Palatino Linotype" w:hAnsi="Palatino Linotype"/>
          <w:i/>
          <w:sz w:val="22"/>
          <w:szCs w:val="22"/>
        </w:rPr>
        <w:sym w:font="Symbol" w:char="F0B7"/>
      </w:r>
      <w:r w:rsidRPr="009C68B8">
        <w:rPr>
          <w:rFonts w:ascii="Palatino Linotype" w:hAnsi="Palatino Linotype"/>
          <w:i/>
          <w:sz w:val="22"/>
          <w:szCs w:val="22"/>
        </w:rPr>
        <w:t xml:space="preserve"> RRA 1889/16. Secretaría de Hacienda y Crédito Público. 05 de octubre de 2016. Por unanimidad. Comisionada Ponente. Ximena Puente de la Mora.”</w:t>
      </w:r>
    </w:p>
    <w:p w:rsidR="00874F8E" w:rsidRPr="009C68B8"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9C68B8" w:rsidRDefault="00AE58B7"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Asimismo</w:t>
      </w:r>
      <w:r w:rsidR="00874F8E" w:rsidRPr="009C68B8">
        <w:rPr>
          <w:rFonts w:ascii="Palatino Linotype" w:eastAsia="Calibri" w:hAnsi="Palatino Linotype" w:cs="Arial"/>
          <w:color w:val="000000" w:themeColor="text1"/>
          <w:sz w:val="22"/>
          <w:szCs w:val="22"/>
          <w:lang w:val="es-ES"/>
        </w:rPr>
        <w:t xml:space="preserve">, </w:t>
      </w:r>
      <w:r w:rsidR="00874F8E" w:rsidRPr="009C68B8">
        <w:rPr>
          <w:rFonts w:ascii="Palatino Linotype" w:hAnsi="Palatino Linotype"/>
          <w:sz w:val="22"/>
          <w:szCs w:val="22"/>
        </w:rPr>
        <w:t xml:space="preserve">el artículo 24, de la Ley de la materia, dispone que los Sujetos Obligados sólo proporcionarán la información pública que generen, administren o posean en el ejercicio de sus atribuciones; por consiguiente, la información pública se encuentra a </w:t>
      </w:r>
      <w:r w:rsidR="00874F8E" w:rsidRPr="009C68B8">
        <w:rPr>
          <w:rFonts w:ascii="Palatino Linotype" w:hAnsi="Palatino Linotype"/>
          <w:sz w:val="22"/>
          <w:szCs w:val="22"/>
        </w:rPr>
        <w:lastRenderedPageBreak/>
        <w:t>disposición de cualquier persona, lo que implica que es deber de los Sujetos Obligados, garantizar el derecho de acceso a la información pública.</w:t>
      </w:r>
    </w:p>
    <w:p w:rsidR="00874F8E" w:rsidRPr="009C68B8"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hAnsi="Palatino Linotype"/>
          <w:sz w:val="22"/>
          <w:szCs w:val="22"/>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874F8E" w:rsidRPr="009C68B8"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9C68B8" w:rsidRDefault="00874F8E" w:rsidP="00874F8E">
      <w:pPr>
        <w:pStyle w:val="Prrafodelista"/>
        <w:tabs>
          <w:tab w:val="left" w:pos="426"/>
          <w:tab w:val="left" w:pos="567"/>
        </w:tabs>
        <w:ind w:left="567" w:right="565"/>
        <w:jc w:val="both"/>
        <w:rPr>
          <w:rFonts w:ascii="Palatino Linotype" w:hAnsi="Palatino Linotype"/>
          <w:i/>
          <w:sz w:val="22"/>
          <w:szCs w:val="22"/>
        </w:rPr>
      </w:pPr>
      <w:r w:rsidRPr="009C68B8">
        <w:rPr>
          <w:rFonts w:ascii="Palatino Linotype" w:hAnsi="Palatino Linotype"/>
          <w:b/>
          <w:i/>
          <w:sz w:val="22"/>
          <w:szCs w:val="22"/>
        </w:rPr>
        <w:t>“Artículo 3.</w:t>
      </w:r>
      <w:r w:rsidRPr="009C68B8">
        <w:rPr>
          <w:rFonts w:ascii="Palatino Linotype" w:hAnsi="Palatino Linotype"/>
          <w:i/>
          <w:sz w:val="22"/>
          <w:szCs w:val="22"/>
        </w:rPr>
        <w:t xml:space="preserve"> Para los efectos de la presente Ley se entenderá por: </w:t>
      </w:r>
    </w:p>
    <w:p w:rsidR="00AE58B7" w:rsidRPr="009C68B8" w:rsidRDefault="00AE58B7" w:rsidP="00874F8E">
      <w:pPr>
        <w:pStyle w:val="Prrafodelista"/>
        <w:tabs>
          <w:tab w:val="left" w:pos="426"/>
          <w:tab w:val="left" w:pos="567"/>
        </w:tabs>
        <w:ind w:left="567" w:right="565"/>
        <w:jc w:val="both"/>
        <w:rPr>
          <w:rFonts w:ascii="Palatino Linotype" w:hAnsi="Palatino Linotype"/>
          <w:i/>
          <w:sz w:val="22"/>
          <w:szCs w:val="22"/>
        </w:rPr>
      </w:pPr>
    </w:p>
    <w:p w:rsidR="00874F8E" w:rsidRPr="009C68B8" w:rsidRDefault="00874F8E" w:rsidP="00874F8E">
      <w:pPr>
        <w:pStyle w:val="Prrafodelista"/>
        <w:tabs>
          <w:tab w:val="left" w:pos="426"/>
          <w:tab w:val="left" w:pos="567"/>
        </w:tabs>
        <w:ind w:left="567" w:right="565"/>
        <w:jc w:val="both"/>
        <w:rPr>
          <w:rFonts w:ascii="Palatino Linotype" w:hAnsi="Palatino Linotype"/>
          <w:i/>
          <w:sz w:val="22"/>
          <w:szCs w:val="22"/>
        </w:rPr>
      </w:pPr>
      <w:r w:rsidRPr="009C68B8">
        <w:rPr>
          <w:rFonts w:ascii="Palatino Linotype" w:hAnsi="Palatino Linotype"/>
          <w:i/>
          <w:sz w:val="22"/>
          <w:szCs w:val="22"/>
        </w:rPr>
        <w:t xml:space="preserve">(…) </w:t>
      </w:r>
    </w:p>
    <w:p w:rsidR="00AE58B7" w:rsidRPr="009C68B8" w:rsidRDefault="00AE58B7" w:rsidP="00874F8E">
      <w:pPr>
        <w:pStyle w:val="Prrafodelista"/>
        <w:tabs>
          <w:tab w:val="left" w:pos="426"/>
          <w:tab w:val="left" w:pos="567"/>
        </w:tabs>
        <w:ind w:left="567" w:right="565"/>
        <w:jc w:val="both"/>
        <w:rPr>
          <w:rFonts w:ascii="Palatino Linotype" w:hAnsi="Palatino Linotype"/>
          <w:i/>
          <w:sz w:val="22"/>
          <w:szCs w:val="22"/>
        </w:rPr>
      </w:pPr>
    </w:p>
    <w:p w:rsidR="00AE58B7" w:rsidRPr="009C68B8" w:rsidRDefault="00874F8E" w:rsidP="00AE58B7">
      <w:pPr>
        <w:pStyle w:val="Prrafodelista"/>
        <w:tabs>
          <w:tab w:val="left" w:pos="426"/>
          <w:tab w:val="left" w:pos="567"/>
        </w:tabs>
        <w:ind w:left="567" w:right="565"/>
        <w:jc w:val="both"/>
        <w:rPr>
          <w:rFonts w:ascii="Palatino Linotype" w:hAnsi="Palatino Linotype"/>
          <w:b/>
          <w:i/>
          <w:sz w:val="22"/>
          <w:szCs w:val="22"/>
        </w:rPr>
      </w:pPr>
      <w:r w:rsidRPr="009C68B8">
        <w:rPr>
          <w:rFonts w:ascii="Palatino Linotype" w:hAnsi="Palatino Linotype"/>
          <w:b/>
          <w:i/>
          <w:sz w:val="22"/>
          <w:szCs w:val="22"/>
        </w:rPr>
        <w:t>XI. Documento:</w:t>
      </w:r>
      <w:r w:rsidRPr="009C68B8">
        <w:rPr>
          <w:rFonts w:ascii="Palatino Linotype" w:hAnsi="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9C68B8">
        <w:rPr>
          <w:rFonts w:ascii="Palatino Linotype" w:hAnsi="Palatino Linotype"/>
          <w:b/>
          <w:i/>
          <w:sz w:val="22"/>
          <w:szCs w:val="22"/>
        </w:rPr>
        <w:t xml:space="preserve">Los documentos podrán estar en cualquier medio, sea escrito, impreso, sonoro, visual, electrónico, informático u holográfico; </w:t>
      </w:r>
    </w:p>
    <w:p w:rsidR="00874F8E" w:rsidRPr="009C68B8" w:rsidRDefault="00874F8E" w:rsidP="00874F8E">
      <w:pPr>
        <w:pStyle w:val="Prrafodelista"/>
        <w:tabs>
          <w:tab w:val="left" w:pos="426"/>
          <w:tab w:val="left" w:pos="567"/>
        </w:tabs>
        <w:ind w:left="567" w:right="565"/>
        <w:jc w:val="both"/>
        <w:rPr>
          <w:rFonts w:ascii="Palatino Linotype" w:eastAsia="Calibri" w:hAnsi="Palatino Linotype" w:cs="Arial"/>
          <w:i/>
          <w:color w:val="000000" w:themeColor="text1"/>
          <w:sz w:val="22"/>
          <w:szCs w:val="22"/>
          <w:lang w:val="es-ES"/>
        </w:rPr>
      </w:pPr>
      <w:r w:rsidRPr="009C68B8">
        <w:rPr>
          <w:rFonts w:ascii="Palatino Linotype" w:hAnsi="Palatino Linotype"/>
          <w:i/>
          <w:sz w:val="22"/>
          <w:szCs w:val="22"/>
        </w:rPr>
        <w:t>(…)”</w:t>
      </w:r>
    </w:p>
    <w:p w:rsidR="00874F8E" w:rsidRPr="009C68B8"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874F8E" w:rsidRPr="009C68B8" w:rsidRDefault="00874F8E" w:rsidP="00874F8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 xml:space="preserve">Siendo </w:t>
      </w:r>
      <w:r w:rsidRPr="009C68B8">
        <w:rPr>
          <w:rFonts w:ascii="Palatino Linotype" w:hAnsi="Palatino Linotype"/>
          <w:sz w:val="22"/>
          <w:szCs w:val="22"/>
        </w:rPr>
        <w:t xml:space="preserve">aplicable el Criterio de interpretación en el orden administrativo número 0002- 11, emitido por Acuerdo del Pleno del Instituto de Transparencia y Acceso a la Información </w:t>
      </w:r>
      <w:r w:rsidRPr="009C68B8">
        <w:rPr>
          <w:rFonts w:ascii="Palatino Linotype" w:hAnsi="Palatino Linotype"/>
          <w:sz w:val="22"/>
          <w:szCs w:val="22"/>
        </w:rPr>
        <w:lastRenderedPageBreak/>
        <w:t>Pública del Estado de México y Municipios; publicado en el Periódico Oficial del Gobierno del Estado Libre y Soberano de México “Gaceta del Gobierno”, el diecinueve de octubre de dos mil once, cuyo rubro y texto dispone:</w:t>
      </w:r>
    </w:p>
    <w:p w:rsidR="00874F8E" w:rsidRPr="009C68B8" w:rsidRDefault="00874F8E" w:rsidP="00874F8E">
      <w:pPr>
        <w:tabs>
          <w:tab w:val="left" w:pos="426"/>
          <w:tab w:val="left" w:pos="567"/>
        </w:tabs>
        <w:spacing w:line="360" w:lineRule="auto"/>
        <w:ind w:right="565"/>
        <w:jc w:val="both"/>
        <w:rPr>
          <w:rFonts w:ascii="Palatino Linotype" w:eastAsia="Calibri" w:hAnsi="Palatino Linotype" w:cs="Arial"/>
          <w:i/>
          <w:color w:val="000000" w:themeColor="text1"/>
          <w:sz w:val="22"/>
          <w:szCs w:val="22"/>
          <w:lang w:val="es-ES"/>
        </w:rPr>
      </w:pPr>
    </w:p>
    <w:p w:rsidR="00874F8E" w:rsidRPr="009C68B8" w:rsidRDefault="00874F8E" w:rsidP="00874F8E">
      <w:pPr>
        <w:pStyle w:val="Prrafodelista"/>
        <w:tabs>
          <w:tab w:val="left" w:pos="426"/>
          <w:tab w:val="left" w:pos="567"/>
        </w:tabs>
        <w:ind w:left="567" w:right="565"/>
        <w:jc w:val="both"/>
        <w:rPr>
          <w:rFonts w:ascii="Palatino Linotype" w:hAnsi="Palatino Linotype"/>
          <w:i/>
          <w:sz w:val="22"/>
          <w:szCs w:val="22"/>
        </w:rPr>
      </w:pPr>
      <w:r w:rsidRPr="009C68B8">
        <w:rPr>
          <w:rFonts w:ascii="Palatino Linotype" w:hAnsi="Palatino Linotype"/>
          <w:i/>
          <w:sz w:val="22"/>
          <w:szCs w:val="22"/>
        </w:rPr>
        <w:t>“CRITERIO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w:t>
      </w:r>
    </w:p>
    <w:p w:rsidR="00874F8E" w:rsidRPr="009C68B8" w:rsidRDefault="00874F8E"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31623" w:rsidRPr="009C68B8" w:rsidRDefault="00874F8E" w:rsidP="00AE58B7">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 xml:space="preserve">Bajo este contexto, </w:t>
      </w:r>
      <w:r w:rsidRPr="009C68B8">
        <w:rPr>
          <w:rFonts w:ascii="Palatino Linotype" w:hAnsi="Palatino Linotype"/>
          <w:sz w:val="22"/>
          <w:szCs w:val="22"/>
        </w:rPr>
        <w:t xml:space="preserve">con el afán de dar cumplimiento con lo requerido y </w:t>
      </w:r>
      <w:r w:rsidRPr="009C68B8">
        <w:rPr>
          <w:rFonts w:ascii="Palatino Linotype" w:eastAsia="Calibri" w:hAnsi="Palatino Linotype" w:cs="Arial"/>
          <w:color w:val="000000" w:themeColor="text1"/>
          <w:sz w:val="22"/>
          <w:szCs w:val="22"/>
          <w:lang w:val="es-ES"/>
        </w:rPr>
        <w:t xml:space="preserve">en atención al principio de máxima publicidad, se estima que para tener por colmado el requerimiento de información, es dable ordenar al </w:t>
      </w:r>
      <w:r w:rsidRPr="009C68B8">
        <w:rPr>
          <w:rFonts w:ascii="Palatino Linotype" w:eastAsia="Calibri" w:hAnsi="Palatino Linotype" w:cs="Arial"/>
          <w:b/>
          <w:bCs/>
          <w:color w:val="000000" w:themeColor="text1"/>
          <w:sz w:val="22"/>
          <w:szCs w:val="22"/>
          <w:lang w:val="es-ES"/>
        </w:rPr>
        <w:t>SUJETO OBLIGADO</w:t>
      </w:r>
      <w:r w:rsidRPr="009C68B8">
        <w:rPr>
          <w:rFonts w:ascii="Palatino Linotype" w:eastAsia="Calibri" w:hAnsi="Palatino Linotype" w:cs="Arial"/>
          <w:color w:val="000000" w:themeColor="text1"/>
          <w:sz w:val="22"/>
          <w:szCs w:val="22"/>
          <w:lang w:val="es-ES"/>
        </w:rPr>
        <w:t xml:space="preserve">, </w:t>
      </w:r>
      <w:r w:rsidR="00231623" w:rsidRPr="009C68B8">
        <w:rPr>
          <w:rFonts w:ascii="Palatino Linotype" w:eastAsia="Calibri" w:hAnsi="Palatino Linotype" w:cs="Arial"/>
          <w:color w:val="000000" w:themeColor="text1"/>
          <w:sz w:val="22"/>
          <w:szCs w:val="22"/>
          <w:lang w:val="es-ES"/>
        </w:rPr>
        <w:t xml:space="preserve">previa búsqueda exhaustiva y razonable, de ser procedente en versión pública, de la unidad económica referida en la solicitud de información, </w:t>
      </w:r>
      <w:r w:rsidR="00AE58B7" w:rsidRPr="009C68B8">
        <w:rPr>
          <w:rFonts w:ascii="Palatino Linotype" w:eastAsia="Calibri" w:hAnsi="Palatino Linotype" w:cs="Arial"/>
          <w:color w:val="000000" w:themeColor="text1"/>
          <w:sz w:val="22"/>
          <w:szCs w:val="22"/>
          <w:lang w:val="es-ES"/>
        </w:rPr>
        <w:t>al 6 de noviembre de 2024:</w:t>
      </w:r>
      <w:r w:rsidR="003D283E" w:rsidRPr="009C68B8">
        <w:rPr>
          <w:rFonts w:ascii="Palatino Linotype" w:eastAsia="Calibri" w:hAnsi="Palatino Linotype" w:cs="Arial"/>
          <w:b/>
          <w:color w:val="000000" w:themeColor="text1"/>
          <w:sz w:val="22"/>
          <w:szCs w:val="22"/>
          <w:lang w:val="es-ES"/>
        </w:rPr>
        <w:t xml:space="preserve"> </w:t>
      </w:r>
      <w:r w:rsidR="00AE58B7" w:rsidRPr="009C68B8">
        <w:rPr>
          <w:rFonts w:ascii="Palatino Linotype" w:eastAsia="Calibri" w:hAnsi="Palatino Linotype" w:cs="Arial"/>
          <w:b/>
          <w:bCs/>
          <w:color w:val="000000" w:themeColor="text1"/>
          <w:sz w:val="22"/>
          <w:szCs w:val="22"/>
          <w:lang w:val="es-ES"/>
        </w:rPr>
        <w:t xml:space="preserve">La </w:t>
      </w:r>
      <w:r w:rsidR="00AE58B7" w:rsidRPr="009C68B8">
        <w:rPr>
          <w:rFonts w:ascii="Palatino Linotype" w:hAnsi="Palatino Linotype"/>
          <w:b/>
          <w:color w:val="000000"/>
          <w:sz w:val="22"/>
          <w:szCs w:val="22"/>
        </w:rPr>
        <w:t xml:space="preserve">licencia de funcionamiento </w:t>
      </w:r>
      <w:r w:rsidR="00231623" w:rsidRPr="009C68B8">
        <w:rPr>
          <w:rFonts w:ascii="Palatino Linotype" w:hAnsi="Palatino Linotype"/>
          <w:b/>
          <w:color w:val="000000"/>
          <w:sz w:val="22"/>
          <w:szCs w:val="22"/>
        </w:rPr>
        <w:t>y</w:t>
      </w:r>
      <w:r w:rsidR="00AE58B7" w:rsidRPr="009C68B8">
        <w:rPr>
          <w:rFonts w:ascii="Palatino Linotype" w:hAnsi="Palatino Linotype"/>
          <w:b/>
          <w:color w:val="000000"/>
          <w:sz w:val="22"/>
          <w:szCs w:val="22"/>
        </w:rPr>
        <w:t xml:space="preserve"> las d</w:t>
      </w:r>
      <w:r w:rsidR="00231623" w:rsidRPr="009C68B8">
        <w:rPr>
          <w:rFonts w:ascii="Palatino Linotype" w:hAnsi="Palatino Linotype"/>
          <w:b/>
          <w:color w:val="000000"/>
          <w:sz w:val="22"/>
          <w:szCs w:val="22"/>
        </w:rPr>
        <w:t>ocumentales que avalen el cumplimiento a lo establecido a la Norma Técnica de Protección Civil NTE-001-CGPC-2016</w:t>
      </w:r>
      <w:r w:rsidR="003D283E" w:rsidRPr="009C68B8">
        <w:rPr>
          <w:rFonts w:ascii="Palatino Linotype" w:hAnsi="Palatino Linotype"/>
          <w:b/>
          <w:color w:val="000000"/>
          <w:sz w:val="22"/>
          <w:szCs w:val="22"/>
        </w:rPr>
        <w:t>, con lo c</w:t>
      </w:r>
      <w:r w:rsidR="00231623" w:rsidRPr="009C68B8">
        <w:rPr>
          <w:rFonts w:ascii="Palatino Linotype" w:hAnsi="Palatino Linotype"/>
          <w:b/>
          <w:color w:val="000000"/>
          <w:sz w:val="22"/>
          <w:szCs w:val="22"/>
        </w:rPr>
        <w:t>ual, se hizo acr</w:t>
      </w:r>
      <w:r w:rsidR="003D283E" w:rsidRPr="009C68B8">
        <w:rPr>
          <w:rFonts w:ascii="Palatino Linotype" w:hAnsi="Palatino Linotype"/>
          <w:b/>
          <w:color w:val="000000"/>
          <w:sz w:val="22"/>
          <w:szCs w:val="22"/>
        </w:rPr>
        <w:t>eedor al permiso en materia de Protección C</w:t>
      </w:r>
      <w:r w:rsidR="00231623" w:rsidRPr="009C68B8">
        <w:rPr>
          <w:rFonts w:ascii="Palatino Linotype" w:hAnsi="Palatino Linotype"/>
          <w:b/>
          <w:color w:val="000000"/>
          <w:sz w:val="22"/>
          <w:szCs w:val="22"/>
        </w:rPr>
        <w:t>ivil.</w:t>
      </w:r>
    </w:p>
    <w:p w:rsidR="00AE58B7" w:rsidRPr="009C68B8" w:rsidRDefault="00AE58B7" w:rsidP="00501AD8">
      <w:pPr>
        <w:pStyle w:val="Prrafodelista"/>
        <w:tabs>
          <w:tab w:val="left" w:pos="426"/>
          <w:tab w:val="left" w:pos="567"/>
        </w:tabs>
        <w:spacing w:line="360" w:lineRule="auto"/>
        <w:ind w:left="0"/>
        <w:jc w:val="both"/>
        <w:rPr>
          <w:rFonts w:ascii="Palatino Linotype" w:hAnsi="Palatino Linotype"/>
          <w:sz w:val="22"/>
          <w:szCs w:val="22"/>
        </w:rPr>
      </w:pPr>
      <w:bookmarkStart w:id="41" w:name="_Toc535495381"/>
      <w:bookmarkStart w:id="42" w:name="_Toc19782250"/>
      <w:bookmarkStart w:id="43" w:name="_Toc51330101"/>
      <w:bookmarkEnd w:id="34"/>
      <w:bookmarkEnd w:id="35"/>
      <w:bookmarkEnd w:id="36"/>
      <w:bookmarkEnd w:id="37"/>
    </w:p>
    <w:p w:rsidR="00501AD8" w:rsidRPr="009C68B8" w:rsidRDefault="00501AD8" w:rsidP="00501AD8">
      <w:pPr>
        <w:pStyle w:val="Prrafodelista"/>
        <w:numPr>
          <w:ilvl w:val="0"/>
          <w:numId w:val="18"/>
        </w:numPr>
        <w:tabs>
          <w:tab w:val="left" w:pos="426"/>
          <w:tab w:val="left" w:pos="567"/>
        </w:tabs>
        <w:spacing w:line="360" w:lineRule="auto"/>
        <w:jc w:val="both"/>
        <w:rPr>
          <w:rFonts w:ascii="Palatino Linotype" w:eastAsia="Calibri" w:hAnsi="Palatino Linotype" w:cs="Arial"/>
          <w:color w:val="000000" w:themeColor="text1"/>
          <w:sz w:val="22"/>
          <w:szCs w:val="22"/>
          <w:lang w:val="es-ES"/>
        </w:rPr>
      </w:pPr>
      <w:r w:rsidRPr="009C68B8">
        <w:rPr>
          <w:rFonts w:ascii="Palatino Linotype" w:hAnsi="Palatino Linotype"/>
          <w:b/>
          <w:sz w:val="22"/>
          <w:szCs w:val="22"/>
        </w:rPr>
        <w:lastRenderedPageBreak/>
        <w:t>Del nombre del titular de la licencia de funcionamiento</w:t>
      </w:r>
      <w:bookmarkEnd w:id="41"/>
      <w:bookmarkEnd w:id="42"/>
      <w:bookmarkEnd w:id="43"/>
      <w:r w:rsidRPr="009C68B8">
        <w:rPr>
          <w:rFonts w:ascii="Palatino Linotype" w:hAnsi="Palatino Linotype"/>
          <w:b/>
          <w:sz w:val="22"/>
          <w:szCs w:val="22"/>
        </w:rPr>
        <w:t>.</w:t>
      </w:r>
    </w:p>
    <w:p w:rsidR="00501AD8" w:rsidRPr="009C68B8" w:rsidRDefault="00501AD8" w:rsidP="00501AD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01AD8" w:rsidRPr="009C68B8" w:rsidRDefault="009D2CFE"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t>Ahora bien, es preciso</w:t>
      </w:r>
      <w:r w:rsidR="00D8136B" w:rsidRPr="009C68B8">
        <w:rPr>
          <w:rFonts w:ascii="Palatino Linotype" w:eastAsia="Calibri" w:hAnsi="Palatino Linotype" w:cs="Tahoma"/>
          <w:bCs/>
          <w:sz w:val="22"/>
          <w:szCs w:val="22"/>
          <w:lang w:eastAsia="en-US"/>
        </w:rPr>
        <w:t xml:space="preserve"> señalar que</w:t>
      </w:r>
      <w:r w:rsidRPr="009C68B8">
        <w:rPr>
          <w:rFonts w:ascii="Palatino Linotype" w:eastAsia="Calibri" w:hAnsi="Palatino Linotype" w:cs="Tahoma"/>
          <w:bCs/>
          <w:sz w:val="22"/>
          <w:szCs w:val="22"/>
          <w:lang w:eastAsia="en-US"/>
        </w:rPr>
        <w:t xml:space="preserve"> e</w:t>
      </w:r>
      <w:r w:rsidR="00501AD8" w:rsidRPr="009C68B8">
        <w:rPr>
          <w:rFonts w:ascii="Palatino Linotype" w:eastAsia="Calibri" w:hAnsi="Palatino Linotype" w:cs="Tahoma"/>
          <w:bCs/>
          <w:sz w:val="22"/>
          <w:szCs w:val="22"/>
          <w:lang w:eastAsia="en-US"/>
        </w:rPr>
        <w:t xml:space="preserve">l nombre de una persona física se integra con el sustantivo propio y el primer apellido de los padres; asimismo es la manifestación principal del derecho subjetivo a la personalidad y atributo de esta en términos del artículo 2.3 del Código Civil del Estado de México, de tal suerte, el nombre </w:t>
      </w:r>
      <w:r w:rsidR="00501AD8" w:rsidRPr="009C68B8">
        <w:rPr>
          <w:rFonts w:ascii="Palatino Linotype" w:eastAsia="Calibri" w:hAnsi="Palatino Linotype" w:cs="Tahoma"/>
          <w:bCs/>
          <w:i/>
          <w:sz w:val="22"/>
          <w:szCs w:val="22"/>
          <w:lang w:eastAsia="en-US"/>
        </w:rPr>
        <w:t>per se</w:t>
      </w:r>
      <w:r w:rsidR="00501AD8" w:rsidRPr="009C68B8">
        <w:rPr>
          <w:rFonts w:ascii="Palatino Linotype" w:eastAsia="Calibri" w:hAnsi="Palatino Linotype" w:cs="Tahoma"/>
          <w:bCs/>
          <w:sz w:val="22"/>
          <w:szCs w:val="22"/>
          <w:lang w:eastAsia="en-US"/>
        </w:rPr>
        <w:t xml:space="preserve"> es un elemento que hace a una persona física identificada o identificable, por lo que, tiene la naturaleza de </w:t>
      </w:r>
      <w:r w:rsidR="00501AD8" w:rsidRPr="009C68B8">
        <w:rPr>
          <w:rFonts w:ascii="Palatino Linotype" w:eastAsia="Calibri" w:hAnsi="Palatino Linotype" w:cs="Tahoma"/>
          <w:b/>
          <w:bCs/>
          <w:sz w:val="22"/>
          <w:szCs w:val="22"/>
          <w:lang w:eastAsia="en-US"/>
        </w:rPr>
        <w:t>dato personal.</w:t>
      </w:r>
    </w:p>
    <w:p w:rsidR="00501AD8" w:rsidRPr="009C68B8" w:rsidRDefault="00501AD8" w:rsidP="00501AD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t>Sobre el tema, se tiene presente que, este Instituto emitió el Criterio Relevante 01/18, de la Segunda Época de este Instituto, que establece que el nombre del titular de una licencia, como en el caso que nos ocupa, es información confidencial, cuando no involucra aprovechamiento de recursos públicos.</w:t>
      </w:r>
    </w:p>
    <w:p w:rsidR="00501AD8" w:rsidRPr="009C68B8" w:rsidRDefault="00501AD8" w:rsidP="00501AD8">
      <w:pPr>
        <w:pStyle w:val="Prrafodelista"/>
        <w:tabs>
          <w:tab w:val="left" w:pos="426"/>
          <w:tab w:val="left" w:pos="567"/>
        </w:tabs>
        <w:spacing w:line="360" w:lineRule="auto"/>
        <w:ind w:left="0"/>
        <w:jc w:val="both"/>
        <w:rPr>
          <w:rFonts w:ascii="Palatino Linotype" w:eastAsia="Calibri" w:hAnsi="Palatino Linotype" w:cs="Tahoma"/>
          <w:bCs/>
          <w:sz w:val="22"/>
          <w:szCs w:val="22"/>
          <w:lang w:eastAsia="en-US"/>
        </w:rPr>
      </w:pPr>
    </w:p>
    <w:p w:rsidR="00501AD8" w:rsidRPr="009C68B8" w:rsidRDefault="00501AD8" w:rsidP="00501AD8">
      <w:pPr>
        <w:ind w:left="567" w:right="567"/>
        <w:jc w:val="both"/>
        <w:rPr>
          <w:rFonts w:ascii="Palatino Linotype" w:eastAsiaTheme="minorHAnsi" w:hAnsi="Palatino Linotype" w:cs="Tahoma"/>
          <w:bCs/>
          <w:i/>
          <w:sz w:val="22"/>
          <w:szCs w:val="22"/>
        </w:rPr>
      </w:pPr>
      <w:r w:rsidRPr="009C68B8">
        <w:rPr>
          <w:rFonts w:ascii="Palatino Linotype" w:eastAsiaTheme="minorHAnsi" w:hAnsi="Palatino Linotype" w:cs="Tahoma"/>
          <w:b/>
          <w:bCs/>
          <w:i/>
          <w:sz w:val="22"/>
          <w:szCs w:val="22"/>
        </w:rPr>
        <w:t>“Nombre del titular de una licencia que no involucre el aprovechamiento de bienes, servicios y/o recursos públicos, constituye un dato personal susceptible de clasificar como confidencial.</w:t>
      </w:r>
      <w:r w:rsidRPr="009C68B8">
        <w:rPr>
          <w:rFonts w:ascii="Palatino Linotype" w:eastAsiaTheme="minorHAnsi" w:hAnsi="Palatino Linotype" w:cs="Tahoma"/>
          <w:bCs/>
          <w:i/>
          <w:sz w:val="22"/>
          <w:szCs w:val="22"/>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w:t>
      </w:r>
      <w:r w:rsidRPr="009C68B8">
        <w:rPr>
          <w:rFonts w:ascii="Palatino Linotype" w:eastAsiaTheme="minorHAnsi" w:hAnsi="Palatino Linotype" w:cs="Tahoma"/>
          <w:bCs/>
          <w:i/>
          <w:sz w:val="22"/>
          <w:szCs w:val="22"/>
        </w:rPr>
        <w:lastRenderedPageBreak/>
        <w:t>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rsidR="00501AD8" w:rsidRPr="009C68B8" w:rsidRDefault="00501AD8" w:rsidP="00501AD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t>En el Criterio en citado, contempla que si bien el nombre de los titulares de las licencias es un dato de carácter público, en términos del artículo 92, fracción XXXII de la Ley de Transparencia y Acceso a la Información Pública del Estado de México y Municipios, dicho precepto legal debe ser interpretado de manera armónica y sistemática, pues la intromisión a los datos personales de particulares únicamente se verá justificada cuando involucre el aprovechamiento de bienes, servicios o recursos públicos; por lo que constituye un dato personal, a menos que se actualice alguno de los supuestos previamente señalados.</w:t>
      </w:r>
    </w:p>
    <w:p w:rsidR="00501AD8" w:rsidRPr="009C68B8" w:rsidRDefault="00501AD8" w:rsidP="00501AD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t xml:space="preserve">No obstante, se considera que el nombre localizado en una licencia de funcionamiento, guarda cierto </w:t>
      </w:r>
      <w:r w:rsidRPr="009C68B8">
        <w:rPr>
          <w:rFonts w:ascii="Palatino Linotype" w:eastAsia="Calibri" w:hAnsi="Palatino Linotype" w:cs="Tahoma"/>
          <w:b/>
          <w:bCs/>
          <w:sz w:val="22"/>
          <w:szCs w:val="22"/>
          <w:lang w:eastAsia="en-US"/>
        </w:rPr>
        <w:t>interés público</w:t>
      </w:r>
      <w:r w:rsidRPr="009C68B8">
        <w:rPr>
          <w:rFonts w:ascii="Palatino Linotype" w:eastAsia="Calibri" w:hAnsi="Palatino Linotype" w:cs="Tahoma"/>
          <w:bCs/>
          <w:sz w:val="22"/>
          <w:szCs w:val="22"/>
          <w:lang w:eastAsia="en-US"/>
        </w:rPr>
        <w:t>, dado que cualquier actividad comercial, industrial o económica, es regulada los Ayuntamientos dentro de su circunscripción territorial, pues ayuda a transparentar la gestión pública.</w:t>
      </w:r>
    </w:p>
    <w:p w:rsidR="00501AD8" w:rsidRPr="009C68B8" w:rsidRDefault="00501AD8" w:rsidP="00501AD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t xml:space="preserve">En ese sentido, el artículo 92, fracción XXXII, de la Ley de Transparencia y Acceso a la Información Pública del Estado de México y Municipios, establece que los Sujetos Obligados deberán poner a disposición del público de manera permanente y actualizada </w:t>
      </w:r>
      <w:r w:rsidRPr="009C68B8">
        <w:rPr>
          <w:rFonts w:ascii="Palatino Linotype" w:eastAsia="Calibri" w:hAnsi="Palatino Linotype" w:cs="Tahoma"/>
          <w:bCs/>
          <w:sz w:val="22"/>
          <w:szCs w:val="22"/>
          <w:lang w:eastAsia="en-US"/>
        </w:rPr>
        <w:lastRenderedPageBreak/>
        <w:t xml:space="preserve">de las licencias otorgadas, especificando los titulares de estas, debiendo publicarse el objeto, </w:t>
      </w:r>
      <w:r w:rsidRPr="009C68B8">
        <w:rPr>
          <w:rFonts w:ascii="Palatino Linotype" w:eastAsia="Calibri" w:hAnsi="Palatino Linotype" w:cs="Tahoma"/>
          <w:b/>
          <w:bCs/>
          <w:sz w:val="22"/>
          <w:szCs w:val="22"/>
          <w:lang w:eastAsia="en-US"/>
        </w:rPr>
        <w:t xml:space="preserve">nombre </w:t>
      </w:r>
      <w:r w:rsidRPr="009C68B8">
        <w:rPr>
          <w:rFonts w:ascii="Palatino Linotype" w:eastAsia="Calibri" w:hAnsi="Palatino Linotype" w:cs="Tahoma"/>
          <w:bCs/>
          <w:sz w:val="22"/>
          <w:szCs w:val="22"/>
          <w:lang w:eastAsia="en-US"/>
        </w:rPr>
        <w:t xml:space="preserve">o razón social, vigencia, tipo, términos, condiciones, monto o modificación. </w:t>
      </w:r>
    </w:p>
    <w:p w:rsidR="00501AD8" w:rsidRPr="009C68B8" w:rsidRDefault="00501AD8" w:rsidP="00501AD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t>Cabe puntualizar que la licencia, se refiere al documento que contiene la autorización por parte de los Ayuntamientos para que un particular pueda realizar una actividad económica, comercial o industrial, regulada por las Leyes respectivas.</w:t>
      </w:r>
    </w:p>
    <w:p w:rsidR="00501AD8" w:rsidRPr="009C68B8" w:rsidRDefault="00501AD8" w:rsidP="00501AD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t>En ese sentido, de acuerdo con el artículo 92, fracción XXXII de la Ley en cita, el legislador contempló como información de interés público y que debe estar disponible para consulta, aquellas licencias otorgadas, especificando el nombre de su titular y las características principales. Ello, con la finalidad de asegurar su mayor difusión, que permita a los ciudadanos evaluar de manera permanente los indicadores más importantes de la gestión pública, como lo son, la autorización de licencias de funcionamiento, pues es facultad exclusiva de los Ayuntamientos.</w:t>
      </w:r>
    </w:p>
    <w:p w:rsidR="00501AD8" w:rsidRPr="009C68B8" w:rsidRDefault="00501AD8" w:rsidP="00501AD8">
      <w:pPr>
        <w:rPr>
          <w:rFonts w:ascii="Palatino Linotype" w:eastAsia="Calibri" w:hAnsi="Palatino Linotype" w:cs="Tahoma"/>
          <w:bCs/>
          <w:sz w:val="22"/>
          <w:szCs w:val="22"/>
          <w:lang w:eastAsia="en-U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t>Bajo tal premisa, podría concluirse que la hipótesis normativa del artículo 92, fracción XXXII de la Ley de Transparencia y Acceso a la Información Pública del Estado de México y los Municipios, se traduce en una excepción a la información personal que debe ser protegida, tal como es en el caso que nos ocupa el nombre del titular de una licencia de funcionamiento, por lo que no es dable, como se asienta en el Criterio Relevante, considerar que el nombre de los titulares de licencias de funcionamiento deba ser considerado confidencial, aún y cuando el mismo no involucre aprovechamiento de bienes o recursos públicos.</w:t>
      </w:r>
    </w:p>
    <w:p w:rsidR="00501AD8" w:rsidRPr="009C68B8" w:rsidRDefault="00501AD8" w:rsidP="00501AD8">
      <w:pPr>
        <w:rPr>
          <w:rFonts w:ascii="Palatino Linotype" w:eastAsia="Calibri" w:hAnsi="Palatino Linotype" w:cs="Tahoma"/>
          <w:bCs/>
          <w:sz w:val="22"/>
          <w:szCs w:val="22"/>
          <w:lang w:eastAsia="en-U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lastRenderedPageBreak/>
        <w:t>Se puede referir que, el artículo 91 de dicho ordenamiento jurídico, establece que la información pública será restringida excepcionalmente, cuando ésta sea clasificada como reservada o confidencial; por lo que, se colige que las obligaciones de transparencia no superan de forma automática la prohibición de no difundir datos personales sin el consentimiento de su titular, como sucede en el caso concreto.</w:t>
      </w:r>
    </w:p>
    <w:p w:rsidR="00501AD8" w:rsidRPr="009C68B8" w:rsidRDefault="00501AD8" w:rsidP="00AE58B7">
      <w:pPr>
        <w:rPr>
          <w:rFonts w:ascii="Palatino Linotype" w:eastAsia="Calibri" w:hAnsi="Palatino Linotype" w:cs="Tahoma"/>
          <w:bCs/>
          <w:sz w:val="22"/>
          <w:szCs w:val="22"/>
          <w:lang w:eastAsia="en-U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t xml:space="preserve">Ante tales circunstancias, se desprende que, en el caso concreto, sobreviene una </w:t>
      </w:r>
      <w:r w:rsidRPr="009C68B8">
        <w:rPr>
          <w:rFonts w:ascii="Palatino Linotype" w:eastAsia="Calibri" w:hAnsi="Palatino Linotype" w:cs="Tahoma"/>
          <w:b/>
          <w:bCs/>
          <w:sz w:val="22"/>
          <w:szCs w:val="22"/>
          <w:lang w:eastAsia="en-US"/>
        </w:rPr>
        <w:t>colisión de derechos fundamentales,</w:t>
      </w:r>
      <w:r w:rsidRPr="009C68B8">
        <w:rPr>
          <w:rFonts w:ascii="Palatino Linotype" w:eastAsia="Calibri" w:hAnsi="Palatino Linotype" w:cs="Tahoma"/>
          <w:bCs/>
          <w:sz w:val="22"/>
          <w:szCs w:val="22"/>
          <w:lang w:eastAsia="en-US"/>
        </w:rPr>
        <w:t xml:space="preserve"> esto es, por una parte, se tiene el derecho de acceso a la información, para conocer el nombre de la persona a la cual se le otorgó una licencia para desarrollar determinada actividad, y por la otra, el derecho a la protección de los nombres de aquellas a quienes obtuvieron una autorización específica, lo cual implica dar a conocer datos personales confidenciales consistentes, en el nombre de personas físicas y este vincularlo en la actividad que desarrollan y el lugar en el que se ubica su establecimiento.</w:t>
      </w:r>
    </w:p>
    <w:p w:rsidR="00501AD8" w:rsidRPr="009C68B8" w:rsidRDefault="00501AD8" w:rsidP="00501AD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t>Sobre el particular, debe señalarse que en un sistema jurídico los derechos fundamentales no son absolutos y la colisión entre derechos fundamentales debe resolverse mediante una ponderación que determine el derecho que ha de prevalecer en el caso concretó, y no apelando a reglas de prioridad entre normas.</w:t>
      </w:r>
    </w:p>
    <w:p w:rsidR="00501AD8" w:rsidRPr="009C68B8" w:rsidRDefault="00501AD8" w:rsidP="00501AD8">
      <w:pPr>
        <w:rPr>
          <w:rFonts w:ascii="Palatino Linotype" w:eastAsia="Calibri" w:hAnsi="Palatino Linotype" w:cs="Tahoma"/>
          <w:bCs/>
          <w:sz w:val="22"/>
          <w:szCs w:val="22"/>
          <w:lang w:eastAsia="en-U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t xml:space="preserve">Por cuanto hace a la colisión entre el derecho a la información y el derecho a la intimidad o a la vida privada, el Poder Judicial de la Federación ha sostenido la </w:t>
      </w:r>
      <w:r w:rsidRPr="009C68B8">
        <w:rPr>
          <w:rFonts w:ascii="Palatino Linotype" w:eastAsia="Calibri" w:hAnsi="Palatino Linotype" w:cs="Tahoma"/>
          <w:b/>
          <w:bCs/>
          <w:sz w:val="22"/>
          <w:szCs w:val="22"/>
          <w:lang w:eastAsia="en-US"/>
        </w:rPr>
        <w:t xml:space="preserve">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w:t>
      </w:r>
      <w:r w:rsidRPr="009C68B8">
        <w:rPr>
          <w:rFonts w:ascii="Palatino Linotype" w:eastAsia="Calibri" w:hAnsi="Palatino Linotype" w:cs="Tahoma"/>
          <w:b/>
          <w:bCs/>
          <w:sz w:val="22"/>
          <w:szCs w:val="22"/>
          <w:lang w:eastAsia="en-US"/>
        </w:rPr>
        <w:lastRenderedPageBreak/>
        <w:t xml:space="preserve">caso en concreto, </w:t>
      </w:r>
      <w:r w:rsidRPr="009C68B8">
        <w:rPr>
          <w:rFonts w:ascii="Palatino Linotype" w:eastAsia="Calibri" w:hAnsi="Palatino Linotype" w:cs="Tahoma"/>
          <w:bCs/>
          <w:sz w:val="22"/>
          <w:szCs w:val="22"/>
          <w:lang w:eastAsia="en-US"/>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rsidR="00501AD8" w:rsidRPr="009C68B8" w:rsidRDefault="00501AD8" w:rsidP="00501AD8">
      <w:pPr>
        <w:rPr>
          <w:rFonts w:ascii="Palatino Linotype" w:eastAsia="Calibri" w:hAnsi="Palatino Linotype" w:cs="Tahoma"/>
          <w:bCs/>
          <w:sz w:val="22"/>
          <w:szCs w:val="22"/>
          <w:lang w:eastAsia="en-U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t>En ese mismo sentido y atendiendo a la naturaleza del derecho a la protección de datos personales, por analogía, este debe ceder cuando exista un interés público mayor de acuerdo a las circunstancias del caso.</w:t>
      </w:r>
      <w:r w:rsidRPr="009C68B8">
        <w:rPr>
          <w:rFonts w:ascii="Palatino Linotype" w:hAnsi="Palatino Linotype" w:cs="Tahoma"/>
          <w:bCs/>
          <w:iCs/>
          <w:sz w:val="22"/>
          <w:szCs w:val="22"/>
        </w:rPr>
        <w:t xml:space="preserve"> Señalado lo anterior, resulta necesario realizar una ponderación de los dos intereses jurídicos tutelados que convergen en la controversia que se dirime; para lo cual, el artículo </w:t>
      </w:r>
      <w:r w:rsidRPr="009C68B8">
        <w:rPr>
          <w:rFonts w:ascii="Palatino Linotype" w:eastAsia="Calibri" w:hAnsi="Palatino Linotype" w:cs="Tahoma"/>
          <w:bCs/>
          <w:sz w:val="22"/>
          <w:szCs w:val="22"/>
          <w:lang w:eastAsia="en-US"/>
        </w:rPr>
        <w:t>184 de la Ley de Transparencia y Acceso a la Información Pública del Estado de México y Municipios</w:t>
      </w:r>
      <w:r w:rsidRPr="009C68B8">
        <w:rPr>
          <w:rFonts w:ascii="Palatino Linotype" w:hAnsi="Palatino Linotype" w:cs="Tahoma"/>
          <w:bCs/>
          <w:iCs/>
          <w:sz w:val="22"/>
          <w:szCs w:val="22"/>
        </w:rPr>
        <w:t xml:space="preserve"> prevé que cuando exista una colisión de derechos, este Instituto, al resolver el recurso de revisión, debe aplicar una prueba de interés público con base en elementos de idoneidad, necesidad y proporcionalidad. Para estos efectos, se entenderá por: </w:t>
      </w:r>
    </w:p>
    <w:p w:rsidR="00501AD8" w:rsidRPr="009C68B8" w:rsidRDefault="00501AD8" w:rsidP="00501AD8">
      <w:pPr>
        <w:pStyle w:val="Prrafodelista"/>
        <w:tabs>
          <w:tab w:val="left" w:pos="426"/>
          <w:tab w:val="left" w:pos="567"/>
        </w:tabs>
        <w:spacing w:line="360" w:lineRule="auto"/>
        <w:ind w:left="0"/>
        <w:jc w:val="both"/>
        <w:rPr>
          <w:rFonts w:ascii="Palatino Linotype" w:eastAsia="Calibri" w:hAnsi="Palatino Linotype" w:cs="Tahoma"/>
          <w:sz w:val="22"/>
          <w:szCs w:val="22"/>
        </w:rPr>
      </w:pPr>
    </w:p>
    <w:p w:rsidR="00501AD8" w:rsidRPr="009C68B8" w:rsidRDefault="00501AD8" w:rsidP="00501AD8">
      <w:pPr>
        <w:numPr>
          <w:ilvl w:val="0"/>
          <w:numId w:val="15"/>
        </w:numPr>
        <w:ind w:right="49"/>
        <w:contextualSpacing/>
        <w:jc w:val="both"/>
        <w:rPr>
          <w:rFonts w:ascii="Palatino Linotype" w:hAnsi="Palatino Linotype" w:cs="Tahoma"/>
          <w:bCs/>
          <w:iCs/>
          <w:sz w:val="22"/>
          <w:szCs w:val="22"/>
        </w:rPr>
      </w:pPr>
      <w:r w:rsidRPr="009C68B8">
        <w:rPr>
          <w:rFonts w:ascii="Palatino Linotype" w:hAnsi="Palatino Linotype" w:cs="Tahoma"/>
          <w:b/>
          <w:bCs/>
          <w:iCs/>
          <w:sz w:val="22"/>
          <w:szCs w:val="22"/>
        </w:rPr>
        <w:t>Idoneidad:</w:t>
      </w:r>
      <w:r w:rsidRPr="009C68B8">
        <w:rPr>
          <w:rFonts w:ascii="Palatino Linotype" w:hAnsi="Palatino Linotype" w:cs="Tahoma"/>
          <w:bCs/>
          <w:iCs/>
          <w:sz w:val="22"/>
          <w:szCs w:val="22"/>
        </w:rPr>
        <w:t xml:space="preserve"> La legitimidad del derecho adoptado como preferente, que sea el adecuado para el logro de un fin constitucionalmente válido o apto para conseguir el fin pretendido;</w:t>
      </w:r>
    </w:p>
    <w:p w:rsidR="00501AD8" w:rsidRPr="009C68B8" w:rsidRDefault="00501AD8" w:rsidP="00501AD8">
      <w:pPr>
        <w:ind w:left="426" w:right="49"/>
        <w:contextualSpacing/>
        <w:jc w:val="both"/>
        <w:rPr>
          <w:rFonts w:ascii="Palatino Linotype" w:hAnsi="Palatino Linotype" w:cs="Tahoma"/>
          <w:bCs/>
          <w:iCs/>
          <w:sz w:val="22"/>
          <w:szCs w:val="22"/>
        </w:rPr>
      </w:pPr>
    </w:p>
    <w:p w:rsidR="00501AD8" w:rsidRPr="009C68B8" w:rsidRDefault="00501AD8" w:rsidP="00501AD8">
      <w:pPr>
        <w:numPr>
          <w:ilvl w:val="0"/>
          <w:numId w:val="15"/>
        </w:numPr>
        <w:ind w:right="49"/>
        <w:contextualSpacing/>
        <w:jc w:val="both"/>
        <w:rPr>
          <w:rFonts w:ascii="Palatino Linotype" w:hAnsi="Palatino Linotype" w:cs="Tahoma"/>
          <w:bCs/>
          <w:iCs/>
          <w:sz w:val="22"/>
          <w:szCs w:val="22"/>
        </w:rPr>
      </w:pPr>
      <w:r w:rsidRPr="009C68B8">
        <w:rPr>
          <w:rFonts w:ascii="Palatino Linotype" w:hAnsi="Palatino Linotype" w:cs="Tahoma"/>
          <w:b/>
          <w:bCs/>
          <w:iCs/>
          <w:sz w:val="22"/>
          <w:szCs w:val="22"/>
        </w:rPr>
        <w:t>Necesidad:</w:t>
      </w:r>
      <w:r w:rsidRPr="009C68B8">
        <w:rPr>
          <w:rFonts w:ascii="Palatino Linotype" w:hAnsi="Palatino Linotype" w:cs="Tahoma"/>
          <w:bCs/>
          <w:iCs/>
          <w:sz w:val="22"/>
          <w:szCs w:val="22"/>
        </w:rPr>
        <w:t xml:space="preserve"> La falta de un medio alternativo menos lesivo a la apertura de la información, para satisfacer el interés público, y</w:t>
      </w:r>
    </w:p>
    <w:p w:rsidR="00501AD8" w:rsidRPr="009C68B8" w:rsidRDefault="00501AD8" w:rsidP="00501AD8">
      <w:pPr>
        <w:ind w:left="426" w:right="49"/>
        <w:contextualSpacing/>
        <w:jc w:val="both"/>
        <w:rPr>
          <w:rFonts w:ascii="Palatino Linotype" w:hAnsi="Palatino Linotype" w:cs="Tahoma"/>
          <w:bCs/>
          <w:iCs/>
          <w:sz w:val="22"/>
          <w:szCs w:val="22"/>
        </w:rPr>
      </w:pPr>
    </w:p>
    <w:p w:rsidR="00501AD8" w:rsidRPr="009C68B8" w:rsidRDefault="00501AD8" w:rsidP="00501AD8">
      <w:pPr>
        <w:numPr>
          <w:ilvl w:val="0"/>
          <w:numId w:val="15"/>
        </w:numPr>
        <w:ind w:right="49"/>
        <w:contextualSpacing/>
        <w:jc w:val="both"/>
        <w:rPr>
          <w:rFonts w:ascii="Palatino Linotype" w:hAnsi="Palatino Linotype" w:cs="Tahoma"/>
          <w:bCs/>
          <w:iCs/>
          <w:sz w:val="22"/>
          <w:szCs w:val="22"/>
        </w:rPr>
      </w:pPr>
      <w:r w:rsidRPr="009C68B8">
        <w:rPr>
          <w:rFonts w:ascii="Palatino Linotype" w:hAnsi="Palatino Linotype" w:cs="Tahoma"/>
          <w:b/>
          <w:bCs/>
          <w:iCs/>
          <w:sz w:val="22"/>
          <w:szCs w:val="22"/>
        </w:rPr>
        <w:t>Proporcionalidad:</w:t>
      </w:r>
      <w:r w:rsidRPr="009C68B8">
        <w:rPr>
          <w:rFonts w:ascii="Palatino Linotype" w:hAnsi="Palatino Linotype" w:cs="Tahoma"/>
          <w:bCs/>
          <w:iCs/>
          <w:sz w:val="22"/>
          <w:szCs w:val="22"/>
        </w:rPr>
        <w:t xml:space="preserve"> El equilibrio entre perjuicio y beneficio a favor del interés público, a fin de que la decisión tomada represente un beneficio mayor al perjuicio que podría causar a la población.</w:t>
      </w:r>
    </w:p>
    <w:p w:rsidR="00501AD8" w:rsidRPr="009C68B8" w:rsidRDefault="00501AD8" w:rsidP="00501AD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sz w:val="22"/>
          <w:szCs w:val="22"/>
        </w:rPr>
        <w:lastRenderedPageBreak/>
        <w:t>En ese orden de ideas, resulta procedente analizar cada uno de los elementos referidos, partiendo de que, en el caso concreto, se estima como preferente el derecho de acceso a la información, bajo las consideraciones que se verterán a continuación.</w:t>
      </w:r>
    </w:p>
    <w:p w:rsidR="00501AD8" w:rsidRPr="009C68B8" w:rsidRDefault="00501AD8" w:rsidP="00501AD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01AD8" w:rsidRPr="009C68B8" w:rsidRDefault="00501AD8" w:rsidP="009D2CFE">
      <w:pPr>
        <w:pStyle w:val="Prrafodelista"/>
        <w:numPr>
          <w:ilvl w:val="0"/>
          <w:numId w:val="16"/>
        </w:numPr>
        <w:spacing w:line="360" w:lineRule="auto"/>
        <w:ind w:right="-93"/>
        <w:jc w:val="both"/>
        <w:rPr>
          <w:rFonts w:ascii="Palatino Linotype" w:eastAsia="Calibri" w:hAnsi="Palatino Linotype" w:cs="Tahoma"/>
          <w:bCs/>
          <w:sz w:val="22"/>
          <w:szCs w:val="22"/>
          <w:lang w:eastAsia="en-US"/>
        </w:rPr>
      </w:pPr>
      <w:r w:rsidRPr="009C68B8">
        <w:rPr>
          <w:rFonts w:ascii="Palatino Linotype" w:eastAsia="Calibri" w:hAnsi="Palatino Linotype" w:cs="Tahoma"/>
          <w:b/>
          <w:bCs/>
          <w:iCs/>
          <w:sz w:val="22"/>
          <w:szCs w:val="22"/>
        </w:rPr>
        <w:t>Idoneidad</w:t>
      </w:r>
      <w:r w:rsidRPr="009C68B8">
        <w:rPr>
          <w:rFonts w:ascii="Palatino Linotype" w:eastAsia="Calibri" w:hAnsi="Palatino Linotype" w:cs="Tahoma"/>
          <w:bCs/>
          <w:sz w:val="22"/>
          <w:szCs w:val="22"/>
          <w:lang w:eastAsia="en-US"/>
        </w:rPr>
        <w:t xml:space="preserve">. </w:t>
      </w:r>
    </w:p>
    <w:p w:rsidR="00AE58B7" w:rsidRPr="009C68B8" w:rsidRDefault="00AE58B7" w:rsidP="00AE58B7">
      <w:pPr>
        <w:spacing w:line="360" w:lineRule="auto"/>
        <w:ind w:right="-93"/>
        <w:jc w:val="both"/>
        <w:rPr>
          <w:rFonts w:ascii="Palatino Linotype" w:eastAsia="Calibri" w:hAnsi="Palatino Linotype" w:cs="Tahoma"/>
          <w:bCs/>
          <w:sz w:val="22"/>
          <w:szCs w:val="22"/>
          <w:lang w:eastAsia="en-U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t xml:space="preserve">Existe un fin constitucionalmente válido para dar a conocer el nombre de aquellas personas físicas a quienes les fue otorgada una licencia para realizar una actividad económica, comercial o industrial en el Municipios de </w:t>
      </w:r>
      <w:r w:rsidR="00D8136B" w:rsidRPr="009C68B8">
        <w:rPr>
          <w:rFonts w:ascii="Palatino Linotype" w:eastAsia="Calibri" w:hAnsi="Palatino Linotype" w:cs="Tahoma"/>
          <w:bCs/>
          <w:sz w:val="22"/>
          <w:szCs w:val="22"/>
          <w:lang w:eastAsia="en-US"/>
        </w:rPr>
        <w:t>Tultitlán</w:t>
      </w:r>
      <w:r w:rsidRPr="009C68B8">
        <w:rPr>
          <w:rFonts w:ascii="Palatino Linotype" w:eastAsia="Calibri" w:hAnsi="Palatino Linotype" w:cs="Tahoma"/>
          <w:bCs/>
          <w:sz w:val="22"/>
          <w:szCs w:val="22"/>
          <w:lang w:eastAsia="en-US"/>
        </w:rPr>
        <w:t>; dicho fin es la transparencia y la rendición de cuentas sobre el quehacer gubernamental que permita identificar a aquellas personas que han sido autorizadas por el Ayuntamiento, para realizar actividades lícitas; esto es, las localizadas en el Catálogo Mexiquense de Actividades Industriales, Comerciales y de Servicios, a efecto de determinar si la misma se realizó atendiendo a lo previsto en el Reglamento de Licencias del Sujeto Obligado.</w:t>
      </w:r>
    </w:p>
    <w:p w:rsidR="00501AD8" w:rsidRPr="009C68B8" w:rsidRDefault="00501AD8" w:rsidP="00501AD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t xml:space="preserve">Al respecto, es de señalar que la </w:t>
      </w:r>
      <w:r w:rsidRPr="009C68B8">
        <w:rPr>
          <w:rFonts w:ascii="Palatino Linotype" w:eastAsia="Calibri" w:hAnsi="Palatino Linotype" w:cs="Tahoma"/>
          <w:b/>
          <w:bCs/>
          <w:sz w:val="22"/>
          <w:szCs w:val="22"/>
          <w:lang w:eastAsia="en-US"/>
        </w:rPr>
        <w:t xml:space="preserve">transparencia </w:t>
      </w:r>
      <w:r w:rsidRPr="009C68B8">
        <w:rPr>
          <w:rFonts w:ascii="Palatino Linotype" w:eastAsia="Calibri" w:hAnsi="Palatino Linotype" w:cs="Tahoma"/>
          <w:bCs/>
          <w:sz w:val="22"/>
          <w:szCs w:val="22"/>
          <w:lang w:eastAsia="en-US"/>
        </w:rPr>
        <w:t xml:space="preserve">está orientada a maximizar el uso social de la información de los organismos gubernamentales, misma que sirve para exigir cuentas a las autoridades; mientras que la </w:t>
      </w:r>
      <w:r w:rsidRPr="009C68B8">
        <w:rPr>
          <w:rFonts w:ascii="Palatino Linotype" w:eastAsia="Calibri" w:hAnsi="Palatino Linotype" w:cs="Tahoma"/>
          <w:b/>
          <w:bCs/>
          <w:sz w:val="22"/>
          <w:szCs w:val="22"/>
          <w:lang w:eastAsia="en-US"/>
        </w:rPr>
        <w:t>rendición de cuentas</w:t>
      </w:r>
      <w:r w:rsidRPr="009C68B8">
        <w:rPr>
          <w:rFonts w:ascii="Palatino Linotype" w:eastAsia="Calibri" w:hAnsi="Palatino Linotype" w:cs="Tahoma"/>
          <w:bCs/>
          <w:sz w:val="22"/>
          <w:szCs w:val="22"/>
          <w:lang w:eastAsia="en-US"/>
        </w:rPr>
        <w:t xml:space="preserve"> debe entenderse como la obligación de los funcionarios de responder por lo que hacen y la que atañe al poder de los ciudadanos para sancionar los resultados de la gestión en caso de que los servidores públicos hayan violado sus deberes públicos. Por lo que, estos dos conceptos están asociados de manera notable y por tanto, los gobernados requieren información para evaluar críticamente a sus gobernantes y exigirles cuentas.</w:t>
      </w:r>
    </w:p>
    <w:p w:rsidR="00501AD8" w:rsidRPr="009C68B8" w:rsidRDefault="00501AD8" w:rsidP="00501AD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lastRenderedPageBreak/>
        <w:t xml:space="preserve">En ese orden de ideas, la transparencia, al permitir y ayudar a la rendición de cuentas, funciona de doble manera, </w:t>
      </w:r>
      <w:r w:rsidRPr="009C68B8">
        <w:rPr>
          <w:rFonts w:ascii="Palatino Linotype" w:eastAsia="Calibri" w:hAnsi="Palatino Linotype" w:cs="Tahoma"/>
          <w:bCs/>
          <w:sz w:val="22"/>
          <w:szCs w:val="22"/>
          <w:u w:val="single"/>
          <w:lang w:eastAsia="en-US"/>
        </w:rPr>
        <w:t>capacitadora</w:t>
      </w:r>
      <w:r w:rsidRPr="009C68B8">
        <w:rPr>
          <w:rFonts w:ascii="Palatino Linotype" w:eastAsia="Calibri" w:hAnsi="Palatino Linotype" w:cs="Tahoma"/>
          <w:bCs/>
          <w:sz w:val="22"/>
          <w:szCs w:val="22"/>
          <w:lang w:eastAsia="en-US"/>
        </w:rPr>
        <w:t xml:space="preserve">, al permitir a la sociedad calificar el quehacer gubernamental, y cómo </w:t>
      </w:r>
      <w:r w:rsidRPr="009C68B8">
        <w:rPr>
          <w:rFonts w:ascii="Palatino Linotype" w:eastAsia="Calibri" w:hAnsi="Palatino Linotype" w:cs="Tahoma"/>
          <w:bCs/>
          <w:sz w:val="22"/>
          <w:szCs w:val="22"/>
          <w:u w:val="single"/>
          <w:lang w:eastAsia="en-US"/>
        </w:rPr>
        <w:t>inhibidora</w:t>
      </w:r>
      <w:r w:rsidRPr="009C68B8">
        <w:rPr>
          <w:rFonts w:ascii="Palatino Linotype" w:eastAsia="Calibri" w:hAnsi="Palatino Linotype" w:cs="Tahoma"/>
          <w:bCs/>
          <w:sz w:val="22"/>
          <w:szCs w:val="22"/>
          <w:lang w:eastAsia="en-US"/>
        </w:rPr>
        <w:t xml:space="preserve"> de conductas y acciones que atenten contra </w:t>
      </w:r>
      <w:r w:rsidRPr="009C68B8">
        <w:rPr>
          <w:rFonts w:ascii="Palatino Linotype" w:eastAsia="Calibri" w:hAnsi="Palatino Linotype" w:cs="Tahoma"/>
          <w:b/>
          <w:bCs/>
          <w:sz w:val="22"/>
          <w:szCs w:val="22"/>
          <w:lang w:eastAsia="en-US"/>
        </w:rPr>
        <w:t xml:space="preserve">el interés público. </w:t>
      </w:r>
    </w:p>
    <w:p w:rsidR="00501AD8" w:rsidRPr="009C68B8" w:rsidRDefault="00501AD8" w:rsidP="00501AD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t>Ahora bien, tal como se estableció en párrafos anteriores, cualquier actividad comercial, industrial o económica, únicamente podrá ser llevada a cabo, bajo el amparo de una licencia de funcionamiento expedida, por el Ayuntamiento de Santo Tomás, siempre y cuando cumplan con los requisitos establecidos en la Ley de Competitividad y Ordenamiento Comercial del Estado de México, y normatividad relativa.</w:t>
      </w:r>
    </w:p>
    <w:p w:rsidR="00501AD8" w:rsidRPr="009C68B8" w:rsidRDefault="00501AD8" w:rsidP="00501AD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t>En ese orden de ideas, la Suprema Corte de Justicia de la Nación, ha definido el acceso a la información como un derecho en sí mismo y como un medio o instrumento para el ejercicio de otros derechos,</w:t>
      </w:r>
      <w:r w:rsidRPr="009C68B8">
        <w:rPr>
          <w:rFonts w:ascii="Palatino Linotype" w:eastAsia="Calibri" w:hAnsi="Palatino Linotype" w:cs="Tahoma"/>
          <w:b/>
          <w:bCs/>
          <w:sz w:val="22"/>
          <w:szCs w:val="22"/>
          <w:lang w:eastAsia="en-US"/>
        </w:rPr>
        <w:t xml:space="preserve"> para que los gobernados ejerzan un control respecto del funcionamiento institucional de los poderes públicos, por lo que se constituye como una exigencia social de todo Estado de Derecho, y como un derecho colectivo o garantía social</w:t>
      </w:r>
      <w:r w:rsidRPr="009C68B8">
        <w:rPr>
          <w:rFonts w:ascii="Palatino Linotype" w:eastAsia="Calibri" w:hAnsi="Palatino Linotype" w:cs="Tahoma"/>
          <w:bCs/>
          <w:sz w:val="22"/>
          <w:szCs w:val="22"/>
          <w:lang w:eastAsia="en-US"/>
        </w:rPr>
        <w:t>, a fin de lograr la publicidad de los actos de gobierno y la transparencia de la administración pública. Lo anterior, a través de la jurisprudencia número P</w:t>
      </w:r>
      <w:proofErr w:type="gramStart"/>
      <w:r w:rsidRPr="009C68B8">
        <w:rPr>
          <w:rFonts w:ascii="Palatino Linotype" w:eastAsia="Calibri" w:hAnsi="Palatino Linotype" w:cs="Tahoma"/>
          <w:bCs/>
          <w:sz w:val="22"/>
          <w:szCs w:val="22"/>
          <w:lang w:eastAsia="en-US"/>
        </w:rPr>
        <w:t>./</w:t>
      </w:r>
      <w:proofErr w:type="gramEnd"/>
      <w:r w:rsidRPr="009C68B8">
        <w:rPr>
          <w:rFonts w:ascii="Palatino Linotype" w:eastAsia="Calibri" w:hAnsi="Palatino Linotype" w:cs="Tahoma"/>
          <w:bCs/>
          <w:sz w:val="22"/>
          <w:szCs w:val="22"/>
          <w:lang w:eastAsia="en-US"/>
        </w:rPr>
        <w:t>J. 54/2008, publicada en el Semanario Judicial de la Federación y su Gaceta, Tomo XXVII, página 743, Novena Época, en junio de dos mil ocho.</w:t>
      </w:r>
    </w:p>
    <w:p w:rsidR="00501AD8" w:rsidRPr="009C68B8" w:rsidRDefault="00501AD8" w:rsidP="00501AD8">
      <w:pPr>
        <w:rPr>
          <w:rFonts w:ascii="Palatino Linotype" w:eastAsia="Calibri" w:hAnsi="Palatino Linotype" w:cs="Tahoma"/>
          <w:bCs/>
          <w:sz w:val="22"/>
          <w:szCs w:val="22"/>
          <w:lang w:eastAsia="en-U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t>A mayor precisión, la transparencia de la información requerida permitiría a la sociedad, en general, conocer los nombres de las personas que acreditaron los elementos necesarios para poder realizar una actividad económica dentro del territorio del Municipio.</w:t>
      </w: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lastRenderedPageBreak/>
        <w:t xml:space="preserve">Por ende, otorgar el nombre de la persona autorizada, a través de una licencia de funcionamiento, </w:t>
      </w:r>
      <w:r w:rsidRPr="009C68B8">
        <w:rPr>
          <w:rFonts w:ascii="Palatino Linotype" w:eastAsia="Calibri" w:hAnsi="Palatino Linotype" w:cs="Tahoma"/>
          <w:b/>
          <w:bCs/>
          <w:sz w:val="22"/>
          <w:szCs w:val="22"/>
          <w:lang w:eastAsia="en-US"/>
        </w:rPr>
        <w:t>permite corroborar que la exhibida en el establecimiento comercial, fue emitida efectivamente por la autoridad competente.</w:t>
      </w:r>
    </w:p>
    <w:p w:rsidR="00501AD8" w:rsidRPr="009C68B8" w:rsidRDefault="00501AD8" w:rsidP="00501AD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t>Bajo esa premisa, se entiende que la materia sobre la cual versa la presente solicitud, reviste un interés colectivo para la sociedad, dado que el Estado a nivel municipal, es el encargado de regular los establecimientos comerciales o industriales dentro de extensión territorial.</w:t>
      </w:r>
    </w:p>
    <w:p w:rsidR="00501AD8" w:rsidRPr="009C68B8" w:rsidRDefault="00501AD8" w:rsidP="00501AD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t xml:space="preserve">Así, mediante la difusión de los nombres de aquellas personas que cuentan con la licencia de funcionamiento, permitiría una debida rendición de cuentas, pues es indispensable que se conozcan aquellos que están autorizados por parte de los Ayuntamientos para realizar actividades económicas, mismas que se encuentran reguladas, por lo que, con ello se garantizaría que la sociedad tenga certeza de que </w:t>
      </w:r>
      <w:r w:rsidRPr="009C68B8">
        <w:rPr>
          <w:rFonts w:ascii="Palatino Linotype" w:eastAsia="Calibri" w:hAnsi="Palatino Linotype" w:cs="Tahoma"/>
          <w:b/>
          <w:bCs/>
          <w:sz w:val="22"/>
          <w:szCs w:val="22"/>
          <w:lang w:eastAsia="en-US"/>
        </w:rPr>
        <w:t>las autorizaciones colocadas en los establecimientos, fueron efectivamente emitidas por el sujeto obligado, y no funcionan fuera del marco de la normatividad aplicable.</w:t>
      </w:r>
    </w:p>
    <w:p w:rsidR="00501AD8" w:rsidRPr="009C68B8" w:rsidRDefault="00501AD8" w:rsidP="00AB52FD">
      <w:pPr>
        <w:rPr>
          <w:rFonts w:ascii="Palatino Linotype" w:eastAsia="Calibri" w:hAnsi="Palatino Linotype" w:cs="Tahoma"/>
          <w:bCs/>
          <w:sz w:val="22"/>
          <w:szCs w:val="22"/>
          <w:lang w:eastAsia="en-U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t xml:space="preserve">Es bajo ese contexto, que se considera que el derecho de acceso a la información debe prevalecer frente a la protección del nombre de los titules de licencias de funcionamiento, </w:t>
      </w:r>
      <w:r w:rsidRPr="009C68B8">
        <w:rPr>
          <w:rFonts w:ascii="Palatino Linotype" w:eastAsia="Calibri" w:hAnsi="Palatino Linotype" w:cs="Tahoma"/>
          <w:b/>
          <w:bCs/>
          <w:sz w:val="22"/>
          <w:szCs w:val="22"/>
          <w:lang w:eastAsia="en-US"/>
        </w:rPr>
        <w:t>pues resulta de interés público</w:t>
      </w:r>
      <w:r w:rsidRPr="009C68B8">
        <w:rPr>
          <w:rFonts w:ascii="Palatino Linotype" w:eastAsia="Calibri" w:hAnsi="Palatino Linotype" w:cs="Tahoma"/>
          <w:bCs/>
          <w:sz w:val="22"/>
          <w:szCs w:val="22"/>
          <w:lang w:eastAsia="en-US"/>
        </w:rPr>
        <w:t>, el que la sociedad pueda identificar a quiénes están autorizados para ejercer la actividad comercial; lo cual permite corroborar que la localizada en el establecimiento fue efectivamente emitida por el Sujeto Obligado.</w:t>
      </w:r>
    </w:p>
    <w:p w:rsidR="00501AD8" w:rsidRPr="009C68B8" w:rsidRDefault="00501AD8" w:rsidP="00501AD8">
      <w:pPr>
        <w:rPr>
          <w:rFonts w:ascii="Palatino Linotype" w:eastAsia="Calibri" w:hAnsi="Palatino Linotype" w:cs="Tahoma"/>
          <w:bCs/>
          <w:sz w:val="22"/>
          <w:szCs w:val="22"/>
          <w:lang w:eastAsia="en-U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t xml:space="preserve">Igualmente, permitiría el escrutinio de la actividad de la autoridad encargada de emitir dichas licencias, en tanto que la sociedad podría conocer si se autorizaron a quienes </w:t>
      </w:r>
      <w:r w:rsidRPr="009C68B8">
        <w:rPr>
          <w:rFonts w:ascii="Palatino Linotype" w:eastAsia="Calibri" w:hAnsi="Palatino Linotype" w:cs="Tahoma"/>
          <w:bCs/>
          <w:sz w:val="22"/>
          <w:szCs w:val="22"/>
          <w:lang w:eastAsia="en-US"/>
        </w:rPr>
        <w:lastRenderedPageBreak/>
        <w:t>cumplen con los requisitos establecidos en la normatividad aplicable e incluso si dicha licencia se encuentra vigente.</w:t>
      </w:r>
    </w:p>
    <w:p w:rsidR="00501AD8" w:rsidRPr="009C68B8" w:rsidRDefault="00501AD8" w:rsidP="00501AD8">
      <w:pPr>
        <w:spacing w:line="360" w:lineRule="auto"/>
        <w:ind w:right="-93"/>
        <w:jc w:val="both"/>
        <w:rPr>
          <w:rFonts w:ascii="Palatino Linotype" w:eastAsia="Calibri" w:hAnsi="Palatino Linotype" w:cs="Tahoma"/>
          <w:b/>
          <w:sz w:val="22"/>
          <w:szCs w:val="22"/>
        </w:rPr>
      </w:pPr>
    </w:p>
    <w:p w:rsidR="00501AD8" w:rsidRPr="009C68B8" w:rsidRDefault="00501AD8" w:rsidP="009D2CFE">
      <w:pPr>
        <w:pStyle w:val="Prrafodelista"/>
        <w:numPr>
          <w:ilvl w:val="0"/>
          <w:numId w:val="16"/>
        </w:numPr>
        <w:spacing w:line="360" w:lineRule="auto"/>
        <w:ind w:right="-93"/>
        <w:jc w:val="both"/>
        <w:rPr>
          <w:rFonts w:ascii="Palatino Linotype" w:eastAsia="Calibri" w:hAnsi="Palatino Linotype" w:cs="Tahoma"/>
          <w:bCs/>
          <w:sz w:val="22"/>
          <w:szCs w:val="22"/>
          <w:lang w:eastAsia="en-US"/>
        </w:rPr>
      </w:pPr>
      <w:r w:rsidRPr="009C68B8">
        <w:rPr>
          <w:rFonts w:ascii="Palatino Linotype" w:eastAsia="Calibri" w:hAnsi="Palatino Linotype" w:cs="Tahoma"/>
          <w:b/>
          <w:sz w:val="22"/>
          <w:szCs w:val="22"/>
        </w:rPr>
        <w:t>Necesidad.</w:t>
      </w:r>
      <w:r w:rsidRPr="009C68B8">
        <w:rPr>
          <w:rFonts w:ascii="Palatino Linotype" w:eastAsia="Calibri" w:hAnsi="Palatino Linotype" w:cs="Tahoma"/>
          <w:bCs/>
          <w:sz w:val="22"/>
          <w:szCs w:val="22"/>
          <w:lang w:eastAsia="en-US"/>
        </w:rPr>
        <w:t xml:space="preserve"> </w:t>
      </w:r>
    </w:p>
    <w:p w:rsidR="00AE58B7" w:rsidRPr="009C68B8" w:rsidRDefault="00AE58B7" w:rsidP="00AE58B7">
      <w:pPr>
        <w:spacing w:line="360" w:lineRule="auto"/>
        <w:ind w:right="-93"/>
        <w:jc w:val="both"/>
        <w:rPr>
          <w:rFonts w:ascii="Palatino Linotype" w:eastAsia="Calibri" w:hAnsi="Palatino Linotype" w:cs="Tahoma"/>
          <w:bCs/>
          <w:sz w:val="22"/>
          <w:szCs w:val="22"/>
          <w:lang w:eastAsia="en-U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t xml:space="preserve">El sacrifico de la protección del nombre de aquellas personas que se les otorgó una licencia de funcionamiento, como medio para lograr el fin constitucionalmente válido señalado previamente, se justifica en razón de que se satisface el interés mayor de los ciudadanos de conocer si los establecimientos comerciales cuentan con la autorización correspondiente. Además, corrobora si la localizada en el inmueble para llevar a cabo la actividad, fue emitida por el Sujeto Obligado, </w:t>
      </w:r>
      <w:r w:rsidRPr="009C68B8">
        <w:rPr>
          <w:rFonts w:ascii="Palatino Linotype" w:eastAsia="Calibri" w:hAnsi="Palatino Linotype" w:cs="Tahoma"/>
          <w:b/>
          <w:bCs/>
          <w:sz w:val="22"/>
          <w:szCs w:val="22"/>
          <w:lang w:eastAsia="en-US"/>
        </w:rPr>
        <w:t>como regulador de las actividades económicas del Municipio, además de que permite identificar a las personas que acceden al servicio quién es el responsable del local.</w:t>
      </w:r>
    </w:p>
    <w:p w:rsidR="00501AD8" w:rsidRPr="009C68B8" w:rsidRDefault="00501AD8" w:rsidP="00501AD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t xml:space="preserve">Sobre el particular, el artículo 2° de la Ley de Transparencia y Acceso a la Información Pública del Estado de México y Municipios, dispone que entre los objetivos de la misma, se encuentran: </w:t>
      </w:r>
    </w:p>
    <w:p w:rsidR="00501AD8" w:rsidRPr="009C68B8" w:rsidRDefault="00501AD8" w:rsidP="00501AD8">
      <w:pPr>
        <w:pStyle w:val="Prrafodelista"/>
        <w:tabs>
          <w:tab w:val="left" w:pos="426"/>
          <w:tab w:val="left" w:pos="567"/>
        </w:tabs>
        <w:spacing w:line="360" w:lineRule="auto"/>
        <w:ind w:left="0"/>
        <w:jc w:val="both"/>
        <w:rPr>
          <w:rFonts w:ascii="Palatino Linotype" w:eastAsia="Calibri" w:hAnsi="Palatino Linotype" w:cs="Tahoma"/>
          <w:bCs/>
          <w:sz w:val="22"/>
          <w:szCs w:val="22"/>
          <w:lang w:eastAsia="en-US"/>
        </w:rPr>
      </w:pPr>
    </w:p>
    <w:p w:rsidR="00501AD8" w:rsidRPr="009C68B8" w:rsidRDefault="00D8136B" w:rsidP="00AB52FD">
      <w:pPr>
        <w:pStyle w:val="Prrafodelista"/>
        <w:numPr>
          <w:ilvl w:val="0"/>
          <w:numId w:val="14"/>
        </w:numPr>
        <w:ind w:left="709" w:right="565" w:hanging="283"/>
        <w:jc w:val="both"/>
        <w:rPr>
          <w:rFonts w:ascii="Palatino Linotype" w:eastAsia="Calibri" w:hAnsi="Palatino Linotype" w:cs="Tahoma"/>
          <w:bCs/>
          <w:sz w:val="22"/>
          <w:szCs w:val="22"/>
          <w:lang w:eastAsia="en-US"/>
        </w:rPr>
      </w:pPr>
      <w:r w:rsidRPr="009C68B8">
        <w:rPr>
          <w:rFonts w:ascii="Palatino Linotype" w:eastAsia="Calibri" w:hAnsi="Palatino Linotype" w:cs="Tahoma"/>
          <w:bCs/>
          <w:sz w:val="22"/>
          <w:szCs w:val="22"/>
          <w:lang w:eastAsia="en-US"/>
        </w:rPr>
        <w:t>T</w:t>
      </w:r>
      <w:r w:rsidR="00501AD8" w:rsidRPr="009C68B8">
        <w:rPr>
          <w:rFonts w:ascii="Palatino Linotype" w:eastAsia="Calibri" w:hAnsi="Palatino Linotype" w:cs="Tahoma"/>
          <w:bCs/>
          <w:sz w:val="22"/>
          <w:szCs w:val="22"/>
          <w:lang w:eastAsia="en-US"/>
        </w:rPr>
        <w:t xml:space="preserve">ransparentar la gestión pública mediante la difusión de la información generada por los Sujetos Obligados; </w:t>
      </w:r>
    </w:p>
    <w:p w:rsidR="00501AD8" w:rsidRPr="009C68B8" w:rsidRDefault="00D8136B" w:rsidP="00AB52FD">
      <w:pPr>
        <w:pStyle w:val="Prrafodelista"/>
        <w:numPr>
          <w:ilvl w:val="0"/>
          <w:numId w:val="14"/>
        </w:numPr>
        <w:ind w:left="709" w:right="565" w:hanging="283"/>
        <w:jc w:val="both"/>
        <w:rPr>
          <w:rFonts w:ascii="Palatino Linotype" w:eastAsia="Calibri" w:hAnsi="Palatino Linotype" w:cs="Tahoma"/>
          <w:bCs/>
          <w:sz w:val="22"/>
          <w:szCs w:val="22"/>
          <w:lang w:eastAsia="en-US"/>
        </w:rPr>
      </w:pPr>
      <w:r w:rsidRPr="009C68B8">
        <w:rPr>
          <w:rFonts w:ascii="Palatino Linotype" w:eastAsia="Calibri" w:hAnsi="Palatino Linotype" w:cs="Tahoma"/>
          <w:bCs/>
          <w:sz w:val="22"/>
          <w:szCs w:val="22"/>
          <w:lang w:eastAsia="en-US"/>
        </w:rPr>
        <w:t>P</w:t>
      </w:r>
      <w:r w:rsidR="00501AD8" w:rsidRPr="009C68B8">
        <w:rPr>
          <w:rFonts w:ascii="Palatino Linotype" w:eastAsia="Calibri" w:hAnsi="Palatino Linotype" w:cs="Tahoma"/>
          <w:bCs/>
          <w:sz w:val="22"/>
          <w:szCs w:val="22"/>
          <w:lang w:eastAsia="en-US"/>
        </w:rPr>
        <w:t xml:space="preserve">romover, fomentar y la cultura de la transparencia, el acceso a la información y a la rendición de cuentas; y, </w:t>
      </w:r>
    </w:p>
    <w:p w:rsidR="00501AD8" w:rsidRPr="009C68B8" w:rsidRDefault="00D8136B" w:rsidP="00AB52FD">
      <w:pPr>
        <w:pStyle w:val="Prrafodelista"/>
        <w:numPr>
          <w:ilvl w:val="0"/>
          <w:numId w:val="14"/>
        </w:numPr>
        <w:ind w:left="709" w:right="565" w:hanging="283"/>
        <w:jc w:val="both"/>
        <w:rPr>
          <w:rFonts w:ascii="Palatino Linotype" w:eastAsia="Calibri" w:hAnsi="Palatino Linotype" w:cs="Tahoma"/>
          <w:bCs/>
          <w:sz w:val="22"/>
          <w:szCs w:val="22"/>
          <w:lang w:eastAsia="en-US"/>
        </w:rPr>
      </w:pPr>
      <w:r w:rsidRPr="009C68B8">
        <w:rPr>
          <w:rFonts w:ascii="Palatino Linotype" w:eastAsia="Calibri" w:hAnsi="Palatino Linotype" w:cs="Tahoma"/>
          <w:bCs/>
          <w:sz w:val="22"/>
          <w:szCs w:val="22"/>
          <w:lang w:eastAsia="en-US"/>
        </w:rPr>
        <w:t>P</w:t>
      </w:r>
      <w:r w:rsidR="00501AD8" w:rsidRPr="009C68B8">
        <w:rPr>
          <w:rFonts w:ascii="Palatino Linotype" w:eastAsia="Calibri" w:hAnsi="Palatino Linotype" w:cs="Tahoma"/>
          <w:bCs/>
          <w:sz w:val="22"/>
          <w:szCs w:val="22"/>
          <w:lang w:eastAsia="en-US"/>
        </w:rPr>
        <w:t>ropiciar la participación ciudadana en la toma de las decisiones públicas, a fin de contribuir a la consolidación de la democracia.</w:t>
      </w:r>
    </w:p>
    <w:p w:rsidR="00AB52FD" w:rsidRPr="009C68B8" w:rsidRDefault="00AB52FD" w:rsidP="00AB52FD">
      <w:pPr>
        <w:pStyle w:val="Prrafodelista"/>
        <w:ind w:left="709" w:right="565"/>
        <w:jc w:val="both"/>
        <w:rPr>
          <w:rFonts w:ascii="Palatino Linotype" w:eastAsia="Calibri" w:hAnsi="Palatino Linotype" w:cs="Tahoma"/>
          <w:bCs/>
          <w:sz w:val="22"/>
          <w:szCs w:val="22"/>
          <w:lang w:eastAsia="en-U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lastRenderedPageBreak/>
        <w:t>En el caso concreto, se considera que no existe un medio menos oneroso que el ejercicio del derecho de acceso a la información para lograr el fin constitucionalmente válido, que es transparentar y rendir cuentas a la sociedad sobre las personas a quiénes se les otorgaron licencias, por parte del Municipio, para que pudieran realizar actividades económicas, comerciales o industriales, pues sólo por esta vía se puede conocer la forma en la cual el ente recurrido ejerció sus facultades emanadas en los diversos ordenamientos jurídicos, lo cual permitiría comprobar que las licencias localizadas en los respectivos establecimientos cumplieron con los requisitos establecidos en los mismos.</w:t>
      </w:r>
    </w:p>
    <w:p w:rsidR="00501AD8" w:rsidRPr="009C68B8" w:rsidRDefault="00501AD8" w:rsidP="00AB52FD">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t>En otras palabras, se considera que sólo con la difusión del nombre del titular de la licencia de funcionamiento, se podrían aportar los elementos necesarios a la ciudadanía para conocer que cualquier establecimiento comercial cuenta con la autorización emitida por el Ayuntamiento.</w:t>
      </w:r>
    </w:p>
    <w:p w:rsidR="00501AD8" w:rsidRPr="009C68B8" w:rsidRDefault="00501AD8" w:rsidP="00AB52FD">
      <w:pPr>
        <w:spacing w:line="360" w:lineRule="auto"/>
        <w:rPr>
          <w:rFonts w:ascii="Palatino Linotype" w:eastAsia="Calibri" w:hAnsi="Palatino Linotype" w:cs="Tahoma"/>
          <w:bCs/>
          <w:sz w:val="22"/>
          <w:szCs w:val="22"/>
          <w:lang w:eastAsia="en-US"/>
        </w:rPr>
      </w:pPr>
    </w:p>
    <w:p w:rsidR="00AB52FD" w:rsidRPr="009C68B8" w:rsidRDefault="00501AD8" w:rsidP="00AB52FD">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t>Las Licencias de funcionamiento deben encontrarse en un lugar visible dentro del establecimiento comercial y, si se negara el derecho de acceso a la información al nombre localizado en dicho documento, se impediría que los ciudadanos pudieran corroborar que la licencia de funcionamiento efectivamente fue emitida por el Sujeto Obligado a nombre de la persona responsable, pues al proteger dicho dato no se tendría certeza de que el titular corresponde con el emitido por el Municipio en comento, pues debe tener presente que la licencia de funcionamiento se entrega para brindar servicios a terceros, de ahí que se advierta un tema de interés público y que resulte imperativo la difusión de la información, advirtiéndose una desventaja de menor proporción en cuanto a la afectación de la protección de los datos personales.</w:t>
      </w:r>
    </w:p>
    <w:p w:rsidR="00501AD8" w:rsidRPr="009C68B8" w:rsidRDefault="00501AD8" w:rsidP="009D2CFE">
      <w:pPr>
        <w:pStyle w:val="Prrafodelista"/>
        <w:numPr>
          <w:ilvl w:val="0"/>
          <w:numId w:val="16"/>
        </w:numPr>
        <w:spacing w:line="360" w:lineRule="auto"/>
        <w:ind w:right="-93"/>
        <w:jc w:val="both"/>
        <w:rPr>
          <w:rFonts w:ascii="Palatino Linotype" w:hAnsi="Palatino Linotype" w:cs="Tahoma"/>
          <w:b/>
          <w:sz w:val="22"/>
          <w:szCs w:val="22"/>
        </w:rPr>
      </w:pPr>
      <w:r w:rsidRPr="009C68B8">
        <w:rPr>
          <w:rFonts w:ascii="Palatino Linotype" w:hAnsi="Palatino Linotype" w:cs="Tahoma"/>
          <w:b/>
          <w:sz w:val="22"/>
          <w:szCs w:val="22"/>
        </w:rPr>
        <w:lastRenderedPageBreak/>
        <w:t>Proporcionalidad en sentido estricto</w:t>
      </w:r>
      <w:r w:rsidRPr="009C68B8">
        <w:rPr>
          <w:rFonts w:ascii="Palatino Linotype" w:hAnsi="Palatino Linotype" w:cs="Tahoma"/>
          <w:sz w:val="22"/>
          <w:szCs w:val="22"/>
        </w:rPr>
        <w:t xml:space="preserve">. </w:t>
      </w:r>
    </w:p>
    <w:p w:rsidR="00AE58B7" w:rsidRPr="009C68B8" w:rsidRDefault="00AE58B7" w:rsidP="00AE58B7">
      <w:pPr>
        <w:spacing w:line="360" w:lineRule="auto"/>
        <w:ind w:right="-93"/>
        <w:jc w:val="both"/>
        <w:rPr>
          <w:rFonts w:ascii="Palatino Linotype" w:eastAsiaTheme="minorEastAsia" w:hAnsi="Palatino Linotype" w:cs="Tahoma"/>
          <w:b/>
          <w:sz w:val="22"/>
          <w:szCs w:val="22"/>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t>El sacrificio de la protección al nombre de aquellas personas que se les otorgó una licencia para realizar actividades económicas, como medio para lograr el fin constitucionalmente válido señalado previamente, se justifica en razón de que se satisface el interés mayor de los ciudadanos de conocer si los comerciantes cuentan con la autorización correspondiente para llevar a cabo dichas actividades, las cuales son reguladas, específicamente por los Municipios del Estado de México.</w:t>
      </w:r>
    </w:p>
    <w:p w:rsidR="00501AD8" w:rsidRPr="009C68B8" w:rsidRDefault="00501AD8" w:rsidP="00501AD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t>Aunado a ello, se aportarían elementos para determinar si esas autorizaciones se emitieron conforme a derecho y que las que se encuentran visibles en los establecimientos fueron efectivamente emitidas por el Ayuntamiento, esto es, que se cumplen con los requisitos legales que marcan las disposiciones antes estudiadas.</w:t>
      </w:r>
    </w:p>
    <w:p w:rsidR="00501AD8" w:rsidRPr="009C68B8" w:rsidRDefault="00501AD8" w:rsidP="00501AD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t xml:space="preserve">Conforme a lo anterior, el </w:t>
      </w:r>
      <w:r w:rsidRPr="009C68B8">
        <w:rPr>
          <w:rFonts w:ascii="Palatino Linotype" w:hAnsi="Palatino Linotype" w:cs="Tahoma"/>
          <w:sz w:val="22"/>
          <w:szCs w:val="22"/>
        </w:rPr>
        <w:t>bien jurídico tutelado por el supuesto de confidencialidad previsto en el artículo 143, fracción I de la Ley de la materia, debe ceder frente al derecho de la sociedad de obtener información, en tanto que es mayor el beneficio que representa su publicidad, pues la misma da cuenta del correcto actuar del Sujeto Obligado como regulador de las actividades comerciales en la extensión territorial del Municipio y permite a los usuarios del local comercial identificar al responsable del mismo.</w:t>
      </w:r>
    </w:p>
    <w:p w:rsidR="00501AD8" w:rsidRPr="009C68B8" w:rsidRDefault="00501AD8" w:rsidP="00501AD8">
      <w:pPr>
        <w:rPr>
          <w:rFonts w:ascii="Palatino Linotype" w:eastAsia="Calibri" w:hAnsi="Palatino Linotype" w:cs="Tahoma"/>
          <w:bCs/>
          <w:sz w:val="22"/>
          <w:szCs w:val="22"/>
          <w:lang w:eastAsia="en-U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Cs/>
          <w:sz w:val="22"/>
          <w:szCs w:val="22"/>
          <w:lang w:eastAsia="en-US"/>
        </w:rPr>
        <w:t xml:space="preserve">En ese sentido, la difusión del nombre de los titulares de las licencias de funcionamiento revisten un claro interés público, puesto que existe una necesidad colectiva de conocer y evaluar la emisión de dichas autorizaciones; en razón de que se trata de </w:t>
      </w:r>
      <w:r w:rsidRPr="009C68B8">
        <w:rPr>
          <w:rFonts w:ascii="Palatino Linotype" w:eastAsia="Calibri" w:hAnsi="Palatino Linotype" w:cs="Tahoma"/>
          <w:bCs/>
          <w:sz w:val="22"/>
          <w:szCs w:val="22"/>
          <w:lang w:eastAsia="en-US"/>
        </w:rPr>
        <w:lastRenderedPageBreak/>
        <w:t>información generada con motivo del ejercicio de las funciones del Ayuntamiento, como regulador de cualquier actividad económica, comercial o industrial dentro de su territorio; lo anterior, conforme a la Ley Orgánica Municipal el Estado de México, la Ley de Competitividad y Ordenamiento Comercial del Estado de México y demás normatividad aplicable.</w:t>
      </w:r>
    </w:p>
    <w:p w:rsidR="00501AD8" w:rsidRPr="009C68B8" w:rsidRDefault="00501AD8" w:rsidP="00501AD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sz w:val="22"/>
          <w:szCs w:val="22"/>
          <w:lang w:val="es-ES" w:eastAsia="es-MX"/>
        </w:rPr>
        <w:t xml:space="preserve">En conclusión, las licencias de funcionamiento son entregadas a </w:t>
      </w:r>
      <w:proofErr w:type="gramStart"/>
      <w:r w:rsidRPr="009C68B8">
        <w:rPr>
          <w:rFonts w:ascii="Palatino Linotype" w:eastAsia="Calibri" w:hAnsi="Palatino Linotype" w:cs="Arial"/>
          <w:sz w:val="22"/>
          <w:szCs w:val="22"/>
          <w:lang w:val="es-ES" w:eastAsia="es-MX"/>
        </w:rPr>
        <w:t>aquellas personas físicas o jurídico colectivas</w:t>
      </w:r>
      <w:proofErr w:type="gramEnd"/>
      <w:r w:rsidRPr="009C68B8">
        <w:rPr>
          <w:rFonts w:ascii="Palatino Linotype" w:eastAsia="Calibri" w:hAnsi="Palatino Linotype" w:cs="Arial"/>
          <w:sz w:val="22"/>
          <w:szCs w:val="22"/>
          <w:lang w:val="es-ES" w:eastAsia="es-MX"/>
        </w:rPr>
        <w:t xml:space="preserve"> que cumplen con los requisitos y formalidades exigidas por un determinado Ayuntamiento</w:t>
      </w:r>
      <w:r w:rsidRPr="009C68B8">
        <w:rPr>
          <w:rFonts w:ascii="Palatino Linotype" w:eastAsia="Calibri" w:hAnsi="Palatino Linotype" w:cs="Arial"/>
          <w:b/>
          <w:sz w:val="22"/>
          <w:szCs w:val="22"/>
          <w:lang w:val="es-ES" w:eastAsia="es-MX"/>
        </w:rPr>
        <w:t xml:space="preserve">, </w:t>
      </w:r>
      <w:r w:rsidRPr="009C68B8">
        <w:rPr>
          <w:rFonts w:ascii="Palatino Linotype" w:eastAsia="Calibri" w:hAnsi="Palatino Linotype" w:cs="Arial"/>
          <w:sz w:val="22"/>
          <w:szCs w:val="22"/>
          <w:lang w:val="es-ES" w:eastAsia="es-MX"/>
        </w:rPr>
        <w:t>para instaurar un establecimiento comercial. Asimismo, la licencia de funcionamiento debe encontrarse en un lugar visible dentro del establecimiento, de acuerdo con la normatividad en materia. Por ello, el nombre del titular es de carácter público, toda vez que ayuda a verificar si el establecimiento comercial cuenta con la debida licencia, también así, se brinda la certeza de que la información contenida en la licencia que se localiza en el establecimiento corresponde con la entregada por el Sujeto Obligado.</w:t>
      </w:r>
    </w:p>
    <w:p w:rsidR="00501AD8" w:rsidRPr="009C68B8" w:rsidRDefault="00501AD8" w:rsidP="00AB52FD">
      <w:pPr>
        <w:spacing w:line="360" w:lineRule="auto"/>
        <w:rPr>
          <w:rFonts w:ascii="Palatino Linotype" w:eastAsia="Calibri" w:hAnsi="Palatino Linotype" w:cs="Tahoma"/>
          <w:b/>
          <w:bCs/>
          <w:sz w:val="22"/>
          <w:szCs w:val="22"/>
          <w:lang w:eastAsia="en-U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Tahoma"/>
          <w:b/>
          <w:bCs/>
          <w:sz w:val="22"/>
          <w:szCs w:val="22"/>
          <w:lang w:eastAsia="en-US"/>
        </w:rPr>
        <w:t>Dar a conocer el nombre de los titulares de licencias, prevalece sobre la protección de los datos personales confidenciales de dichas personas, en razón del interés público que reviste;</w:t>
      </w:r>
      <w:r w:rsidRPr="009C68B8">
        <w:rPr>
          <w:rFonts w:ascii="Palatino Linotype" w:eastAsia="Calibri" w:hAnsi="Palatino Linotype" w:cs="Tahoma"/>
          <w:bCs/>
          <w:sz w:val="22"/>
          <w:szCs w:val="22"/>
          <w:lang w:eastAsia="en-US"/>
        </w:rPr>
        <w:t xml:space="preserve"> por lo que, no resulta aplicable, en el presente caso, el artículo 143 de la Ley de Transparencia y Acceso a la Información Pública del Estado de México y Municipios.</w:t>
      </w:r>
    </w:p>
    <w:p w:rsidR="00501AD8" w:rsidRPr="009C68B8" w:rsidRDefault="00501AD8" w:rsidP="00501AD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01AD8" w:rsidRPr="009C68B8" w:rsidRDefault="00501AD8" w:rsidP="00501AD8">
      <w:pPr>
        <w:pStyle w:val="Prrafodelista"/>
        <w:numPr>
          <w:ilvl w:val="0"/>
          <w:numId w:val="18"/>
        </w:numPr>
        <w:tabs>
          <w:tab w:val="left" w:pos="426"/>
          <w:tab w:val="left" w:pos="567"/>
        </w:tabs>
        <w:spacing w:line="360" w:lineRule="auto"/>
        <w:jc w:val="both"/>
        <w:rPr>
          <w:rFonts w:ascii="Palatino Linotype" w:eastAsia="Calibri" w:hAnsi="Palatino Linotype" w:cs="Arial"/>
          <w:b/>
          <w:color w:val="000000" w:themeColor="text1"/>
          <w:sz w:val="22"/>
          <w:szCs w:val="22"/>
          <w:lang w:val="es-ES"/>
        </w:rPr>
      </w:pPr>
      <w:r w:rsidRPr="009C68B8">
        <w:rPr>
          <w:rFonts w:ascii="Palatino Linotype" w:eastAsia="Calibri" w:hAnsi="Palatino Linotype" w:cs="Arial"/>
          <w:b/>
          <w:color w:val="000000" w:themeColor="text1"/>
          <w:sz w:val="22"/>
          <w:szCs w:val="22"/>
          <w:lang w:val="es-ES"/>
        </w:rPr>
        <w:t>De la clave catastral.</w:t>
      </w:r>
    </w:p>
    <w:p w:rsidR="00501AD8" w:rsidRPr="009C68B8" w:rsidRDefault="00501AD8" w:rsidP="00501AD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01AD8" w:rsidRPr="009C68B8" w:rsidRDefault="00501AD8" w:rsidP="00501AD8">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hAnsi="Palatino Linotype"/>
          <w:sz w:val="22"/>
          <w:szCs w:val="22"/>
        </w:rPr>
        <w:t xml:space="preserve">Ahora bien, respecto de la clave catastral, es un criterio mayoritario de este Pleno que ese elemento debe ser testado tomando en cuenta que el artículo 179 fracción I del Código </w:t>
      </w:r>
      <w:r w:rsidRPr="009C68B8">
        <w:rPr>
          <w:rFonts w:ascii="Palatino Linotype" w:hAnsi="Palatino Linotype"/>
          <w:sz w:val="22"/>
          <w:szCs w:val="22"/>
        </w:rPr>
        <w:lastRenderedPageBreak/>
        <w:t>Financiero del Estado de México y Municipios</w:t>
      </w:r>
      <w:r w:rsidR="009D2CFE" w:rsidRPr="009C68B8">
        <w:rPr>
          <w:rFonts w:ascii="Palatino Linotype" w:hAnsi="Palatino Linotype"/>
          <w:sz w:val="22"/>
          <w:szCs w:val="22"/>
        </w:rPr>
        <w:t>,</w:t>
      </w:r>
      <w:r w:rsidRPr="009C68B8">
        <w:rPr>
          <w:rFonts w:ascii="Palatino Linotype" w:hAnsi="Palatino Linotype"/>
          <w:sz w:val="22"/>
          <w:szCs w:val="22"/>
        </w:rPr>
        <w:t xml:space="preserve"> refiere que es un código alfanumérico único e irrepetible, que se asigna para efectos de localización geográfica, identificación, inscripción, control y registro de los inmuebles; el cual está integrado de dieciséis caracteres: los primeros tres identifican el código del municipio, los dos siguientes a la zona catastral, los subsecuentes tres a la manzana y las últimas dos posiciones identifican el número de lote o predio; en ese sentido, se advierte que el dato en comento, hace referencia a un predio determinado, en el presente caso, a un baldío destinado a casa habitación.</w:t>
      </w:r>
    </w:p>
    <w:p w:rsidR="00DC601E" w:rsidRPr="009C68B8" w:rsidRDefault="00DC601E" w:rsidP="00DC601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01AD8" w:rsidRPr="009C68B8" w:rsidRDefault="009D2CFE" w:rsidP="00DC601E">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hAnsi="Palatino Linotype"/>
          <w:sz w:val="22"/>
          <w:szCs w:val="22"/>
        </w:rPr>
        <w:t>Por su parte, e</w:t>
      </w:r>
      <w:r w:rsidR="00501AD8" w:rsidRPr="009C68B8">
        <w:rPr>
          <w:rFonts w:ascii="Palatino Linotype" w:hAnsi="Palatino Linotype"/>
          <w:sz w:val="22"/>
          <w:szCs w:val="22"/>
        </w:rPr>
        <w:t>l “Diccionario de Datos catastrales Escala 1:1000” del Instituto Nacional de Estadística y Geografía (INEGI), contempla en su Glosario la definición de la Clave Catastral, la cual, apunta lo siguiente:</w:t>
      </w:r>
    </w:p>
    <w:p w:rsidR="009D2CFE" w:rsidRPr="009C68B8" w:rsidRDefault="009D2CFE" w:rsidP="009D2CF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501AD8" w:rsidRPr="009C68B8" w:rsidRDefault="00501AD8" w:rsidP="00DC601E">
      <w:pPr>
        <w:pStyle w:val="Prrafodelista"/>
        <w:ind w:left="360"/>
        <w:jc w:val="both"/>
        <w:rPr>
          <w:rFonts w:ascii="Palatino Linotype" w:hAnsi="Palatino Linotype"/>
          <w:i/>
          <w:iCs/>
          <w:sz w:val="22"/>
          <w:szCs w:val="22"/>
        </w:rPr>
      </w:pPr>
      <w:r w:rsidRPr="009C68B8">
        <w:rPr>
          <w:rFonts w:ascii="Palatino Linotype" w:hAnsi="Palatino Linotype"/>
          <w:b/>
          <w:bCs/>
          <w:i/>
          <w:iCs/>
          <w:sz w:val="22"/>
          <w:szCs w:val="22"/>
        </w:rPr>
        <w:t>Clave Catastral:</w:t>
      </w:r>
      <w:r w:rsidRPr="009C68B8">
        <w:rPr>
          <w:rFonts w:ascii="Palatino Linotype" w:hAnsi="Palatino Linotype"/>
          <w:i/>
          <w:iCs/>
          <w:sz w:val="22"/>
          <w:szCs w:val="22"/>
        </w:rPr>
        <w:t xml:space="preserve"> El código que identifica al predio de forma única para su localización geográfica, mismo que es asignado a cada uno de ellos en el momento de su inscripción en el padrón catastral por las Unidades del Estado con atribuciones catastrales.</w:t>
      </w:r>
    </w:p>
    <w:p w:rsidR="00DC601E" w:rsidRPr="009C68B8" w:rsidRDefault="00DC601E" w:rsidP="009D2CFE">
      <w:pPr>
        <w:jc w:val="both"/>
        <w:rPr>
          <w:rFonts w:ascii="Palatino Linotype" w:hAnsi="Palatino Linotype"/>
          <w:i/>
          <w:iCs/>
          <w:sz w:val="22"/>
          <w:szCs w:val="22"/>
        </w:rPr>
      </w:pPr>
    </w:p>
    <w:p w:rsidR="00501AD8" w:rsidRPr="009C68B8" w:rsidRDefault="00501AD8" w:rsidP="00DC601E">
      <w:pPr>
        <w:pStyle w:val="Prrafodelista"/>
        <w:numPr>
          <w:ilvl w:val="0"/>
          <w:numId w:val="1"/>
        </w:numPr>
        <w:spacing w:before="240" w:after="240" w:line="360" w:lineRule="auto"/>
        <w:ind w:left="0" w:firstLine="0"/>
        <w:jc w:val="both"/>
        <w:rPr>
          <w:rFonts w:ascii="Palatino Linotype" w:hAnsi="Palatino Linotype"/>
          <w:sz w:val="22"/>
          <w:szCs w:val="22"/>
        </w:rPr>
      </w:pPr>
      <w:r w:rsidRPr="009C68B8">
        <w:rPr>
          <w:rFonts w:ascii="Palatino Linotype" w:hAnsi="Palatino Linotype"/>
          <w:sz w:val="22"/>
          <w:szCs w:val="22"/>
        </w:rPr>
        <w:t>Asimismo, dicho diccionario hace referencia a dos tipo</w:t>
      </w:r>
      <w:r w:rsidR="00DC601E" w:rsidRPr="009C68B8">
        <w:rPr>
          <w:rFonts w:ascii="Palatino Linotype" w:hAnsi="Palatino Linotype"/>
          <w:sz w:val="22"/>
          <w:szCs w:val="22"/>
        </w:rPr>
        <w:t xml:space="preserve">s de Claves Catastrales, siendo </w:t>
      </w:r>
      <w:r w:rsidRPr="009C68B8">
        <w:rPr>
          <w:rFonts w:ascii="Palatino Linotype" w:hAnsi="Palatino Linotype"/>
          <w:sz w:val="22"/>
          <w:szCs w:val="22"/>
        </w:rPr>
        <w:t xml:space="preserve">éstas la Estándar y la Original, que se definen como se observa a continuación: </w:t>
      </w:r>
    </w:p>
    <w:p w:rsidR="00DC601E" w:rsidRPr="009C68B8" w:rsidRDefault="00DC601E" w:rsidP="00DC601E">
      <w:pPr>
        <w:pStyle w:val="Prrafodelista"/>
        <w:spacing w:before="240" w:after="240" w:line="360" w:lineRule="auto"/>
        <w:ind w:left="0"/>
        <w:jc w:val="both"/>
        <w:rPr>
          <w:rFonts w:ascii="Palatino Linotype" w:hAnsi="Palatino Linotype"/>
          <w:sz w:val="22"/>
          <w:szCs w:val="22"/>
        </w:rPr>
      </w:pPr>
    </w:p>
    <w:p w:rsidR="00501AD8" w:rsidRPr="009C68B8" w:rsidRDefault="00501AD8" w:rsidP="00DC601E">
      <w:pPr>
        <w:pStyle w:val="Prrafodelista"/>
        <w:ind w:left="360"/>
        <w:jc w:val="both"/>
        <w:rPr>
          <w:rFonts w:ascii="Palatino Linotype" w:hAnsi="Palatino Linotype"/>
          <w:i/>
          <w:iCs/>
          <w:sz w:val="22"/>
          <w:szCs w:val="22"/>
        </w:rPr>
      </w:pPr>
      <w:r w:rsidRPr="009C68B8">
        <w:rPr>
          <w:rFonts w:ascii="Palatino Linotype" w:hAnsi="Palatino Linotype"/>
          <w:b/>
          <w:bCs/>
          <w:i/>
          <w:iCs/>
          <w:sz w:val="22"/>
          <w:szCs w:val="22"/>
        </w:rPr>
        <w:t>CLAVE CATASTRAL ESTÁNDAR:</w:t>
      </w:r>
      <w:r w:rsidRPr="009C68B8">
        <w:rPr>
          <w:rFonts w:ascii="Palatino Linotype" w:hAnsi="Palatino Linotype"/>
          <w:i/>
          <w:iCs/>
          <w:sz w:val="22"/>
          <w:szCs w:val="22"/>
        </w:rPr>
        <w:t xml:space="preserve"> Código de 31 caracteres conformado por elementos administrativos y que identifica al objeto espacial en forma única para su localización, compuesto por: Estado (2) + Región Catastral (3) + Municipio (3) + Zona Catastral (2) + Localidad (4) + Sector Catastral (3) + Manzana (3) + Predio (5) + Condominio: edificio (2) y unidad (4).</w:t>
      </w:r>
    </w:p>
    <w:p w:rsidR="00501AD8" w:rsidRPr="009C68B8" w:rsidRDefault="00501AD8" w:rsidP="00DC601E">
      <w:pPr>
        <w:pStyle w:val="Prrafodelista"/>
        <w:ind w:left="360"/>
        <w:jc w:val="both"/>
        <w:rPr>
          <w:rFonts w:ascii="Palatino Linotype" w:hAnsi="Palatino Linotype"/>
          <w:i/>
          <w:iCs/>
          <w:sz w:val="22"/>
          <w:szCs w:val="22"/>
        </w:rPr>
      </w:pPr>
    </w:p>
    <w:p w:rsidR="00501AD8" w:rsidRPr="009C68B8" w:rsidRDefault="00501AD8" w:rsidP="00DC601E">
      <w:pPr>
        <w:pStyle w:val="Prrafodelista"/>
        <w:ind w:left="360"/>
        <w:jc w:val="both"/>
        <w:rPr>
          <w:rFonts w:ascii="Palatino Linotype" w:hAnsi="Palatino Linotype"/>
          <w:i/>
          <w:iCs/>
          <w:sz w:val="22"/>
          <w:szCs w:val="22"/>
        </w:rPr>
      </w:pPr>
      <w:r w:rsidRPr="009C68B8">
        <w:rPr>
          <w:rFonts w:ascii="Palatino Linotype" w:hAnsi="Palatino Linotype"/>
          <w:b/>
          <w:bCs/>
          <w:i/>
          <w:iCs/>
          <w:sz w:val="22"/>
          <w:szCs w:val="22"/>
        </w:rPr>
        <w:t>CLAVE CATASTRAL ORIGINAL:</w:t>
      </w:r>
      <w:r w:rsidRPr="009C68B8">
        <w:rPr>
          <w:rFonts w:ascii="Palatino Linotype" w:hAnsi="Palatino Linotype"/>
          <w:i/>
          <w:iCs/>
          <w:sz w:val="22"/>
          <w:szCs w:val="22"/>
        </w:rPr>
        <w:t xml:space="preserve"> Código que identifica al objeto espacial, el cual es asignado por el Catastro Estatal, Municipal o por el Registro Agrario Nacional.</w:t>
      </w:r>
    </w:p>
    <w:p w:rsidR="00DC601E" w:rsidRPr="009C68B8" w:rsidRDefault="00DC601E" w:rsidP="009D2CFE">
      <w:pPr>
        <w:jc w:val="both"/>
        <w:rPr>
          <w:rFonts w:ascii="Palatino Linotype" w:hAnsi="Palatino Linotype"/>
          <w:i/>
          <w:iCs/>
          <w:sz w:val="22"/>
          <w:szCs w:val="22"/>
        </w:rPr>
      </w:pPr>
    </w:p>
    <w:p w:rsidR="00501AD8" w:rsidRPr="009C68B8" w:rsidRDefault="00501AD8" w:rsidP="00DC601E">
      <w:pPr>
        <w:pStyle w:val="Prrafodelista"/>
        <w:numPr>
          <w:ilvl w:val="0"/>
          <w:numId w:val="1"/>
        </w:numPr>
        <w:spacing w:before="100" w:beforeAutospacing="1" w:after="100" w:afterAutospacing="1" w:line="360" w:lineRule="auto"/>
        <w:ind w:left="0" w:firstLine="0"/>
        <w:jc w:val="both"/>
        <w:rPr>
          <w:rFonts w:ascii="Palatino Linotype" w:hAnsi="Palatino Linotype"/>
          <w:sz w:val="22"/>
          <w:szCs w:val="22"/>
        </w:rPr>
      </w:pPr>
      <w:r w:rsidRPr="009C68B8">
        <w:rPr>
          <w:rFonts w:ascii="Palatino Linotype" w:hAnsi="Palatino Linotype"/>
          <w:sz w:val="22"/>
          <w:szCs w:val="22"/>
        </w:rPr>
        <w:lastRenderedPageBreak/>
        <w:t>En ese orden de ideas, la Ley de Transparencia y Acceso a la Información Pública del Estado de México y Municipios, en el ya citada fracción IX del artículo 3, establece que se debe entender como datos personales a la información concerniente a una persona, identificada o identificable según lo dispuesto por la también referida Ley de Protección de Datos Personales del Estado de México. Tiene apoyo a lo expresado, lo contemplado en la siguiente tesis jurisprudencial.</w:t>
      </w:r>
    </w:p>
    <w:p w:rsidR="00DC601E" w:rsidRPr="009C68B8" w:rsidRDefault="00DC601E" w:rsidP="00DC601E">
      <w:pPr>
        <w:pStyle w:val="Prrafodelista"/>
        <w:spacing w:before="100" w:beforeAutospacing="1" w:after="100" w:afterAutospacing="1"/>
        <w:ind w:left="0" w:right="565"/>
        <w:jc w:val="both"/>
        <w:rPr>
          <w:rFonts w:ascii="Palatino Linotype" w:hAnsi="Palatino Linotype"/>
          <w:sz w:val="22"/>
          <w:szCs w:val="22"/>
        </w:rPr>
      </w:pPr>
    </w:p>
    <w:p w:rsidR="00501AD8" w:rsidRPr="009C68B8" w:rsidRDefault="00501AD8" w:rsidP="00DC601E">
      <w:pPr>
        <w:pStyle w:val="Prrafodelista"/>
        <w:ind w:left="360" w:right="565"/>
        <w:jc w:val="both"/>
        <w:rPr>
          <w:rFonts w:ascii="Palatino Linotype" w:hAnsi="Palatino Linotype"/>
          <w:b/>
          <w:bCs/>
          <w:i/>
          <w:iCs/>
          <w:sz w:val="22"/>
          <w:szCs w:val="22"/>
        </w:rPr>
      </w:pPr>
      <w:r w:rsidRPr="009C68B8">
        <w:rPr>
          <w:rFonts w:ascii="Palatino Linotype" w:hAnsi="Palatino Linotype"/>
          <w:b/>
          <w:bCs/>
          <w:i/>
          <w:iCs/>
          <w:sz w:val="22"/>
          <w:szCs w:val="22"/>
        </w:rPr>
        <w:t xml:space="preserve">DERECHO A LA VIDA PRIVADA. ALCANCE DE SU PROTECCIÓN POR EL ESTADO. </w:t>
      </w:r>
    </w:p>
    <w:p w:rsidR="00DC601E" w:rsidRPr="009C68B8" w:rsidRDefault="00DC601E" w:rsidP="00DC601E">
      <w:pPr>
        <w:pStyle w:val="Prrafodelista"/>
        <w:ind w:left="360" w:right="565"/>
        <w:jc w:val="both"/>
        <w:rPr>
          <w:rFonts w:ascii="Palatino Linotype" w:hAnsi="Palatino Linotype"/>
          <w:b/>
          <w:bCs/>
          <w:i/>
          <w:iCs/>
          <w:sz w:val="22"/>
          <w:szCs w:val="22"/>
        </w:rPr>
      </w:pPr>
    </w:p>
    <w:p w:rsidR="00501AD8" w:rsidRPr="009C68B8" w:rsidRDefault="00501AD8" w:rsidP="00DC601E">
      <w:pPr>
        <w:pStyle w:val="Prrafodelista"/>
        <w:ind w:left="360" w:right="565"/>
        <w:jc w:val="both"/>
        <w:rPr>
          <w:rFonts w:ascii="Palatino Linotype" w:hAnsi="Palatino Linotype"/>
          <w:i/>
          <w:iCs/>
          <w:sz w:val="22"/>
          <w:szCs w:val="22"/>
        </w:rPr>
      </w:pPr>
      <w:r w:rsidRPr="009C68B8">
        <w:rPr>
          <w:rFonts w:ascii="Palatino Linotype" w:hAnsi="Palatino Linotype"/>
          <w:i/>
          <w:iCs/>
          <w:sz w:val="22"/>
          <w:szCs w:val="22"/>
        </w:rPr>
        <w:t>Al igual que otros derechos fundamentales, el derecho a la vida privada no es absoluto, sino que puede restringirse en la medida en que las injerencias en éste no sean abusivas o arbitrarias. Así, la Corte Interamericana de Derechos Humanos ha sostenido que el ámbito de la privacidad se caracteriza por quedar exento e inmune a las invasiones o agresiones abusivas o arbitrarias de terceros o de la autoridad pública, y prohíbe ese tipo de injerencias en la vida privada de las personas, enunciando diversos ámbitos de ésta, como la vida privada de sus familias. Ahora bien, el Estado debe adoptar medidas positivas para impedir que la intimidad personal y familiar se vulnere por personas ajenas, pero no puede impedir a quien decide difundir aspectos de su vida privada que lo haga, so pretexto de proteger a la familia, pues en ese caso, ya no se está frente a la difusión de la información por parte de un tercero, que es ajeno a ésta, sino que se estaría limitando el derecho de una persona de divulgar la información que le es propia. En resumen, lo que la Constitución Política de los Estados Unidos Mexicanos y las convenciones internacionales buscan impedir es que terceros difundan información de la vida privada ajena, sin consentimiento del titular; de ahí que si la injerencia en la vida privada de que se duele el tercero perjudicado, consiste en la difusión que hicieron otros miembros de su familia, sobre hechos que conciernen a la vida privada de ellas, y que involucran a éste, como causante de la afectación sufrida por ellas, entonces no puede considerarse que dicha difusión resulte arbitraria o abusiva, puesto que se realizó en ejercicio del legítimo derecho que les asiste de difundir información que les es propia, en la medida en que sea veraz, y que las expresiones utilizadas estén protegidas constitucionalmente, por no ser absolutamente vejatorias, esto es, ofensivas, oprobiosas o impertinentes, según el contexto.</w:t>
      </w:r>
    </w:p>
    <w:p w:rsidR="00501AD8" w:rsidRPr="009C68B8" w:rsidRDefault="00501AD8" w:rsidP="00DC601E">
      <w:pPr>
        <w:pStyle w:val="Prrafodelista"/>
        <w:ind w:left="360" w:right="565"/>
        <w:jc w:val="both"/>
        <w:rPr>
          <w:rFonts w:ascii="Palatino Linotype" w:hAnsi="Palatino Linotype"/>
          <w:i/>
          <w:iCs/>
          <w:sz w:val="22"/>
          <w:szCs w:val="22"/>
        </w:rPr>
      </w:pPr>
    </w:p>
    <w:p w:rsidR="00501AD8" w:rsidRPr="009C68B8" w:rsidRDefault="00501AD8" w:rsidP="00DC601E">
      <w:pPr>
        <w:pStyle w:val="Prrafodelista"/>
        <w:ind w:left="360" w:right="565"/>
        <w:jc w:val="both"/>
        <w:rPr>
          <w:rFonts w:ascii="Palatino Linotype" w:hAnsi="Palatino Linotype"/>
          <w:b/>
          <w:bCs/>
          <w:i/>
          <w:iCs/>
          <w:sz w:val="22"/>
          <w:szCs w:val="22"/>
        </w:rPr>
      </w:pPr>
      <w:r w:rsidRPr="009C68B8">
        <w:rPr>
          <w:rFonts w:ascii="Palatino Linotype" w:hAnsi="Palatino Linotype"/>
          <w:b/>
          <w:bCs/>
          <w:i/>
          <w:iCs/>
          <w:sz w:val="22"/>
          <w:szCs w:val="22"/>
        </w:rPr>
        <w:lastRenderedPageBreak/>
        <w:t>INFORMACIÓN CONFIDENCIAL. LÍMITE AL DERECHO DE ACCESO A LA INFORMACIÓN (LEY FEDERAL DE TRANSPARENCIA Y ACCESO A LA INFORMACIÓN PÚBLICA GUBERNAMENTAL).</w:t>
      </w:r>
    </w:p>
    <w:p w:rsidR="00DC601E" w:rsidRPr="009C68B8" w:rsidRDefault="00DC601E" w:rsidP="00DC601E">
      <w:pPr>
        <w:pStyle w:val="Prrafodelista"/>
        <w:ind w:left="360" w:right="565"/>
        <w:jc w:val="both"/>
        <w:rPr>
          <w:rFonts w:ascii="Palatino Linotype" w:hAnsi="Palatino Linotype"/>
          <w:b/>
          <w:bCs/>
          <w:i/>
          <w:iCs/>
          <w:sz w:val="22"/>
          <w:szCs w:val="22"/>
        </w:rPr>
      </w:pPr>
    </w:p>
    <w:p w:rsidR="00501AD8" w:rsidRPr="009C68B8" w:rsidRDefault="00501AD8" w:rsidP="00DC601E">
      <w:pPr>
        <w:pStyle w:val="Prrafodelista"/>
        <w:ind w:left="360" w:right="565"/>
        <w:jc w:val="both"/>
        <w:rPr>
          <w:rFonts w:ascii="Palatino Linotype" w:hAnsi="Palatino Linotype"/>
          <w:i/>
          <w:iCs/>
          <w:sz w:val="22"/>
          <w:szCs w:val="22"/>
        </w:rPr>
      </w:pPr>
      <w:r w:rsidRPr="009C68B8">
        <w:rPr>
          <w:rFonts w:ascii="Palatino Linotype" w:hAnsi="Palatino Linotype"/>
          <w:i/>
          <w:iCs/>
          <w:sz w:val="22"/>
          <w:szCs w:val="22"/>
        </w:rPr>
        <w:t xml:space="preserve">Las fracciones I y II del segundo párrafo del artículo 6o. de la Constitución Política de los Estados Unidos Mexicanos, establecen que el derecho de acceso a la información puede limitarse en virtud del interés público y de la vida privada y los datos personales. Dichas fracciones sólo enuncian los fines constitucionalmente válidos o legítimos para establecer limitaciones al citado derecho, sin embargo, ambas remiten a la legislación secundaria para el desarrollo de los supuestos específicos en que procedan las excepciones que busquen proteger los bienes constitucionales enunciados como límites al derecho de acceso a la información. Así, en cumplimiento al mandato constitucional, la Ley Federal de Transparencia y Acceso a la Información Pública Gubernamental establece dos criterios bajo los cuales la información podrá clasificarse y, con ello, limitar el acceso de los particulares a la misma: el de información confidencial y el de información reservada. En lo que respecta al límite previsto en la Constitución, referente a la vida privada y los datos personales, el artículo 18 de la ley estableció como criterio de clasificación el de información confidencial, el cual restringe el acceso a la información que contenga datos personales que requieran el consentimiento de los individuos para su difusión, distribución o comercialización. Lo anterior también tiene un sustento constitucional en lo dispuesto en el segundo párrafo del artículo 16 constitucional, el cual reconoce que el derecho a la protección de datos personales —así como al acceso, rectificación y cancelación de los mismos— debe ser tutelado por regla general, salvo los casos excepcionales que se prevean en la legislación secundaria; así como en la fracción V, del apartado C, del artículo 20 constitucional, que protege la identidad y datos personales de las víctimas y ofendidos que sean parte en procedimientos penales. Así pues, existe un derecho de acceso a la información pública que rige como regla general, aunque limitado, en forma también genérica, por el derecho a la protección de datos personales. Por lo anterior, el acceso público —para todas las personas independientemente del interés que pudieren tener— a los datos personales distintos a los del propio solicitante de información sólo procede en ciertos supuestos, reconocidos expresamente por las leyes respectivas. Adicionalmente, la información confidencial puede dar lugar a la clasificación de un documento en su totalidad o de ciertas partes o pasajes del mismo, pues puede darse el caso de un documento público que sólo en una sección contenga datos confidenciales. Por último, y conforme a lo dispuesto en el artículo 21 de la ley, la restricción de acceso a la información confidencial </w:t>
      </w:r>
      <w:r w:rsidRPr="009C68B8">
        <w:rPr>
          <w:rFonts w:ascii="Palatino Linotype" w:hAnsi="Palatino Linotype"/>
          <w:i/>
          <w:iCs/>
          <w:sz w:val="22"/>
          <w:szCs w:val="22"/>
        </w:rPr>
        <w:lastRenderedPageBreak/>
        <w:t>no es absoluta, pues puede permitirse su difusión, distribución o comercialización si se obtiene el consentimiento expreso de la persona a que haga referencia la información.</w:t>
      </w:r>
    </w:p>
    <w:p w:rsidR="00DC601E" w:rsidRPr="009C68B8" w:rsidRDefault="00DC601E" w:rsidP="00DC601E">
      <w:pPr>
        <w:jc w:val="both"/>
        <w:rPr>
          <w:rFonts w:ascii="Palatino Linotype" w:hAnsi="Palatino Linotype"/>
          <w:i/>
          <w:iCs/>
          <w:sz w:val="22"/>
          <w:szCs w:val="22"/>
        </w:rPr>
      </w:pPr>
    </w:p>
    <w:p w:rsidR="00501AD8" w:rsidRPr="009C68B8" w:rsidRDefault="00501AD8" w:rsidP="00DC601E">
      <w:pPr>
        <w:pStyle w:val="Prrafodelista"/>
        <w:numPr>
          <w:ilvl w:val="0"/>
          <w:numId w:val="1"/>
        </w:numPr>
        <w:tabs>
          <w:tab w:val="left" w:pos="142"/>
        </w:tabs>
        <w:spacing w:before="100" w:beforeAutospacing="1" w:after="100" w:afterAutospacing="1" w:line="360" w:lineRule="auto"/>
        <w:ind w:left="0" w:firstLine="0"/>
        <w:jc w:val="both"/>
        <w:rPr>
          <w:rFonts w:ascii="Palatino Linotype" w:hAnsi="Palatino Linotype"/>
          <w:sz w:val="22"/>
          <w:szCs w:val="22"/>
        </w:rPr>
      </w:pPr>
      <w:r w:rsidRPr="009C68B8">
        <w:rPr>
          <w:rFonts w:ascii="Palatino Linotype" w:hAnsi="Palatino Linotype"/>
          <w:sz w:val="22"/>
          <w:szCs w:val="22"/>
        </w:rPr>
        <w:t>De los conceptos antepuestos, se llega a la conclusión que la clave catastral es una serie de elementos que hacen identificable un inmueble para su localización geográfica y posterior inscripción al padrón catastral de cada Entidad Federativa, existiendo la posibilidad, incluso, de revelar información inherente al patrimonio del propietario de dicho predio o inmueble, lo que no otorga ni certeza jurídica ni abona a la transparencia, ya que no se trata de actos de autoridad que ayuden a hacer público el quehacer de los servidores, por lo cual se considera que no es procedente la entrega de dicho dato.</w:t>
      </w:r>
    </w:p>
    <w:p w:rsidR="00DC601E" w:rsidRPr="009C68B8" w:rsidRDefault="00DC601E" w:rsidP="00DC601E">
      <w:pPr>
        <w:pStyle w:val="Prrafodelista"/>
        <w:tabs>
          <w:tab w:val="left" w:pos="142"/>
        </w:tabs>
        <w:spacing w:before="100" w:beforeAutospacing="1" w:after="100" w:afterAutospacing="1" w:line="360" w:lineRule="auto"/>
        <w:ind w:left="0"/>
        <w:jc w:val="both"/>
        <w:rPr>
          <w:rFonts w:ascii="Palatino Linotype" w:hAnsi="Palatino Linotype"/>
          <w:sz w:val="22"/>
          <w:szCs w:val="22"/>
        </w:rPr>
      </w:pPr>
    </w:p>
    <w:p w:rsidR="00231623" w:rsidRPr="009C68B8" w:rsidRDefault="00501AD8" w:rsidP="00231623">
      <w:pPr>
        <w:pStyle w:val="Prrafodelista"/>
        <w:numPr>
          <w:ilvl w:val="0"/>
          <w:numId w:val="1"/>
        </w:numPr>
        <w:tabs>
          <w:tab w:val="left" w:pos="142"/>
        </w:tabs>
        <w:spacing w:before="100" w:beforeAutospacing="1" w:after="100" w:afterAutospacing="1" w:line="360" w:lineRule="auto"/>
        <w:ind w:left="0" w:firstLine="0"/>
        <w:jc w:val="both"/>
        <w:rPr>
          <w:rFonts w:ascii="Palatino Linotype" w:hAnsi="Palatino Linotype"/>
          <w:b/>
          <w:sz w:val="22"/>
          <w:szCs w:val="22"/>
        </w:rPr>
      </w:pPr>
      <w:r w:rsidRPr="009C68B8">
        <w:rPr>
          <w:rFonts w:ascii="Palatino Linotype" w:hAnsi="Palatino Linotype"/>
          <w:sz w:val="22"/>
          <w:szCs w:val="22"/>
        </w:rPr>
        <w:t xml:space="preserve">Por lo anterior, </w:t>
      </w:r>
      <w:r w:rsidRPr="009C68B8">
        <w:rPr>
          <w:rFonts w:ascii="Palatino Linotype" w:hAnsi="Palatino Linotype"/>
          <w:b/>
          <w:sz w:val="22"/>
          <w:szCs w:val="22"/>
        </w:rPr>
        <w:t>la clave catastral deberá ser suprimida de los documentos, en los que se localice.</w:t>
      </w:r>
    </w:p>
    <w:p w:rsidR="00AE58B7" w:rsidRPr="009C68B8" w:rsidRDefault="00AE58B7" w:rsidP="00AE58B7">
      <w:pPr>
        <w:pStyle w:val="Prrafodelista"/>
        <w:tabs>
          <w:tab w:val="left" w:pos="142"/>
        </w:tabs>
        <w:spacing w:before="100" w:beforeAutospacing="1" w:after="100" w:afterAutospacing="1" w:line="360" w:lineRule="auto"/>
        <w:ind w:left="0"/>
        <w:jc w:val="both"/>
        <w:rPr>
          <w:rFonts w:ascii="Palatino Linotype" w:hAnsi="Palatino Linotype"/>
          <w:b/>
          <w:sz w:val="22"/>
          <w:szCs w:val="22"/>
        </w:rPr>
      </w:pPr>
    </w:p>
    <w:p w:rsidR="00231623" w:rsidRPr="009C68B8" w:rsidRDefault="00231623" w:rsidP="00231623">
      <w:pPr>
        <w:keepNext/>
        <w:keepLines/>
        <w:spacing w:before="240" w:line="360" w:lineRule="auto"/>
        <w:rPr>
          <w:rFonts w:ascii="Palatino Linotype" w:eastAsia="Palatino Linotype" w:hAnsi="Palatino Linotype" w:cs="Palatino Linotype"/>
          <w:b/>
          <w:sz w:val="22"/>
          <w:szCs w:val="22"/>
        </w:rPr>
      </w:pPr>
      <w:r w:rsidRPr="009C68B8">
        <w:rPr>
          <w:rFonts w:ascii="Palatino Linotype" w:eastAsia="Palatino Linotype" w:hAnsi="Palatino Linotype" w:cs="Palatino Linotype"/>
          <w:b/>
          <w:sz w:val="22"/>
          <w:szCs w:val="22"/>
        </w:rPr>
        <w:t>QUINTO. VERSIÓN PÚBLICA.</w:t>
      </w:r>
    </w:p>
    <w:p w:rsidR="00231623" w:rsidRPr="009C68B8" w:rsidRDefault="00231623" w:rsidP="00231623">
      <w:pPr>
        <w:keepNext/>
        <w:keepLines/>
        <w:numPr>
          <w:ilvl w:val="0"/>
          <w:numId w:val="11"/>
        </w:numPr>
        <w:spacing w:line="360" w:lineRule="auto"/>
        <w:ind w:left="284" w:firstLine="0"/>
        <w:rPr>
          <w:rFonts w:ascii="Palatino Linotype" w:eastAsia="Palatino Linotype" w:hAnsi="Palatino Linotype" w:cs="Palatino Linotype"/>
          <w:b/>
          <w:color w:val="000000"/>
          <w:sz w:val="22"/>
          <w:szCs w:val="22"/>
        </w:rPr>
      </w:pPr>
      <w:bookmarkStart w:id="44" w:name="_heading=h.1t3h5sf" w:colFirst="0" w:colLast="0"/>
      <w:bookmarkEnd w:id="44"/>
      <w:r w:rsidRPr="009C68B8">
        <w:rPr>
          <w:rFonts w:ascii="Palatino Linotype" w:eastAsia="Palatino Linotype" w:hAnsi="Palatino Linotype" w:cs="Palatino Linotype"/>
          <w:b/>
          <w:color w:val="000000"/>
          <w:sz w:val="22"/>
          <w:szCs w:val="22"/>
        </w:rPr>
        <w:t xml:space="preserve">Nociones generales. </w:t>
      </w:r>
    </w:p>
    <w:p w:rsidR="00231623" w:rsidRPr="009C68B8" w:rsidRDefault="00231623" w:rsidP="00231623">
      <w:pPr>
        <w:keepNext/>
        <w:keepLines/>
        <w:spacing w:line="360" w:lineRule="auto"/>
        <w:ind w:left="284"/>
        <w:rPr>
          <w:rFonts w:ascii="Palatino Linotype" w:eastAsia="Palatino Linotype" w:hAnsi="Palatino Linotype" w:cs="Palatino Linotype"/>
          <w:b/>
          <w:color w:val="000000"/>
          <w:sz w:val="22"/>
          <w:szCs w:val="22"/>
        </w:rPr>
      </w:pPr>
    </w:p>
    <w:p w:rsidR="00231623" w:rsidRPr="009C68B8" w:rsidRDefault="00231623" w:rsidP="0023162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Palatino Linotype" w:hAnsi="Palatino Linotype" w:cs="Palatino Linotype"/>
          <w:sz w:val="22"/>
          <w:szCs w:val="22"/>
        </w:rPr>
        <w:t xml:space="preserve">Debe </w:t>
      </w:r>
      <w:r w:rsidRPr="009C68B8">
        <w:rPr>
          <w:rFonts w:ascii="Palatino Linotype" w:eastAsia="Palatino Linotype" w:hAnsi="Palatino Linotype" w:cs="Palatino Linotype"/>
          <w:color w:val="000000"/>
          <w:sz w:val="22"/>
          <w:szCs w:val="22"/>
        </w:rPr>
        <w:t>destacarse que, debido a la naturaleza de la información solicitada</w:t>
      </w:r>
      <w:r w:rsidRPr="009C68B8">
        <w:rPr>
          <w:rFonts w:ascii="Palatino Linotype" w:eastAsia="Palatino Linotype" w:hAnsi="Palatino Linotype" w:cs="Palatino Linotype"/>
          <w:b/>
          <w:color w:val="000000"/>
          <w:sz w:val="22"/>
          <w:szCs w:val="22"/>
        </w:rPr>
        <w:t xml:space="preserve">, </w:t>
      </w:r>
      <w:r w:rsidRPr="009C68B8">
        <w:rPr>
          <w:rFonts w:ascii="Palatino Linotype" w:eastAsia="Palatino Linotype" w:hAnsi="Palatino Linotype" w:cs="Palatino Linotype"/>
          <w:color w:val="000000"/>
          <w:sz w:val="22"/>
          <w:szCs w:val="22"/>
        </w:rPr>
        <w:t xml:space="preserve">eventualmente pudiera obrar datos personales susceptibles de protegerse, el </w:t>
      </w:r>
      <w:r w:rsidRPr="009C68B8">
        <w:rPr>
          <w:rFonts w:ascii="Palatino Linotype" w:eastAsia="Palatino Linotype" w:hAnsi="Palatino Linotype" w:cs="Palatino Linotype"/>
          <w:b/>
          <w:color w:val="000000"/>
          <w:sz w:val="22"/>
          <w:szCs w:val="22"/>
        </w:rPr>
        <w:t xml:space="preserve">Sujeto Obligado </w:t>
      </w:r>
      <w:r w:rsidRPr="009C68B8">
        <w:rPr>
          <w:rFonts w:ascii="Palatino Linotype" w:eastAsia="Palatino Linotype" w:hAnsi="Palatino Linotype" w:cs="Palatino Linotype"/>
          <w:color w:val="000000"/>
          <w:sz w:val="22"/>
          <w:szCs w:val="22"/>
        </w:rPr>
        <w:t xml:space="preserve">deberá de hacer la adecuada versión pública, protegiendo los datos que no son susceptibles de ser proporcionados. </w:t>
      </w:r>
    </w:p>
    <w:p w:rsidR="00AE58B7" w:rsidRPr="009C68B8" w:rsidRDefault="00AE58B7" w:rsidP="00AE58B7">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9D2CFE" w:rsidRPr="009C68B8" w:rsidRDefault="00231623" w:rsidP="0023162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Palatino Linotype" w:hAnsi="Palatino Linotype" w:cs="Palatino Linotype"/>
          <w:color w:val="000000"/>
          <w:sz w:val="22"/>
          <w:szCs w:val="22"/>
        </w:rPr>
        <w:t>No pasa desapercibido para este Órgano Garante que los Sujetos Obligados</w:t>
      </w:r>
      <w:r w:rsidRPr="009C68B8">
        <w:rPr>
          <w:rFonts w:ascii="Palatino Linotype" w:eastAsia="Palatino Linotype" w:hAnsi="Palatino Linotype" w:cs="Palatino Linotype"/>
          <w:b/>
          <w:color w:val="000000"/>
          <w:sz w:val="22"/>
          <w:szCs w:val="22"/>
        </w:rPr>
        <w:t xml:space="preserve"> </w:t>
      </w:r>
      <w:r w:rsidRPr="009C68B8">
        <w:rPr>
          <w:rFonts w:ascii="Palatino Linotype" w:eastAsia="Palatino Linotype" w:hAnsi="Palatino Linotype" w:cs="Palatino Linotype"/>
          <w:color w:val="000000"/>
          <w:sz w:val="22"/>
          <w:szCs w:val="22"/>
        </w:rPr>
        <w:t xml:space="preserve">serán responsables de los datos personales en su posesión y que, en caso de localizarse datos </w:t>
      </w:r>
      <w:r w:rsidRPr="009C68B8">
        <w:rPr>
          <w:rFonts w:ascii="Palatino Linotype" w:eastAsia="Palatino Linotype" w:hAnsi="Palatino Linotype" w:cs="Palatino Linotype"/>
          <w:color w:val="000000"/>
          <w:sz w:val="22"/>
          <w:szCs w:val="22"/>
        </w:rPr>
        <w:lastRenderedPageBreak/>
        <w:t>concernientes a terceros, éstos no podrán difundir, distribuir o come</w:t>
      </w:r>
      <w:r w:rsidR="009D2CFE" w:rsidRPr="009C68B8">
        <w:rPr>
          <w:rFonts w:ascii="Palatino Linotype" w:eastAsia="Palatino Linotype" w:hAnsi="Palatino Linotype" w:cs="Palatino Linotype"/>
          <w:color w:val="000000"/>
          <w:sz w:val="22"/>
          <w:szCs w:val="22"/>
        </w:rPr>
        <w:t>rcializar los datos personales.</w:t>
      </w:r>
    </w:p>
    <w:p w:rsidR="009D2CFE" w:rsidRPr="009C68B8" w:rsidRDefault="009D2CFE" w:rsidP="009D2CF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31623" w:rsidRPr="009C68B8" w:rsidRDefault="00231623" w:rsidP="0023162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Palatino Linotype" w:hAnsi="Palatino Linotype" w:cs="Palatino Linotype"/>
          <w:color w:val="000000"/>
          <w:sz w:val="22"/>
          <w:szCs w:val="22"/>
        </w:rPr>
        <w:t>Cabe destacar que, para la realización de la clasificación de la información, se deben seguir una serie de pasos y procedimientos, por lo que es menester reiterar los mismos:</w:t>
      </w:r>
    </w:p>
    <w:p w:rsidR="00231623" w:rsidRPr="009C68B8" w:rsidRDefault="00231623" w:rsidP="00231623">
      <w:pPr>
        <w:spacing w:line="360" w:lineRule="auto"/>
        <w:ind w:right="49"/>
        <w:jc w:val="both"/>
        <w:rPr>
          <w:rFonts w:ascii="Palatino Linotype" w:eastAsia="Palatino Linotype" w:hAnsi="Palatino Linotype" w:cs="Palatino Linotype"/>
          <w:color w:val="000000"/>
          <w:sz w:val="22"/>
          <w:szCs w:val="22"/>
        </w:rPr>
      </w:pPr>
    </w:p>
    <w:tbl>
      <w:tblPr>
        <w:tblW w:w="8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990"/>
      </w:tblGrid>
      <w:tr w:rsidR="00231623" w:rsidRPr="009C68B8" w:rsidTr="003D283E">
        <w:tc>
          <w:tcPr>
            <w:tcW w:w="1838" w:type="dxa"/>
          </w:tcPr>
          <w:p w:rsidR="00231623" w:rsidRPr="009C68B8" w:rsidRDefault="00231623" w:rsidP="003D283E">
            <w:pPr>
              <w:rPr>
                <w:rFonts w:ascii="Palatino Linotype" w:eastAsia="Palatino Linotype" w:hAnsi="Palatino Linotype" w:cs="Palatino Linotype"/>
                <w:sz w:val="22"/>
                <w:szCs w:val="22"/>
              </w:rPr>
            </w:pPr>
            <w:r w:rsidRPr="009C68B8">
              <w:rPr>
                <w:rFonts w:ascii="Palatino Linotype" w:eastAsia="Palatino Linotype" w:hAnsi="Palatino Linotype" w:cs="Palatino Linotype"/>
                <w:sz w:val="22"/>
                <w:szCs w:val="22"/>
              </w:rPr>
              <w:t>a) Requisitos previos.</w:t>
            </w:r>
          </w:p>
        </w:tc>
        <w:tc>
          <w:tcPr>
            <w:tcW w:w="6990" w:type="dxa"/>
          </w:tcPr>
          <w:p w:rsidR="00231623" w:rsidRPr="009C68B8" w:rsidRDefault="00231623" w:rsidP="003D283E">
            <w:pPr>
              <w:ind w:right="49"/>
              <w:jc w:val="both"/>
              <w:rPr>
                <w:rFonts w:ascii="Palatino Linotype" w:eastAsia="Palatino Linotype" w:hAnsi="Palatino Linotype" w:cs="Palatino Linotype"/>
                <w:color w:val="000000"/>
                <w:sz w:val="22"/>
                <w:szCs w:val="22"/>
              </w:rPr>
            </w:pPr>
            <w:r w:rsidRPr="009C68B8">
              <w:rPr>
                <w:rFonts w:ascii="Palatino Linotype" w:eastAsia="Palatino Linotype" w:hAnsi="Palatino Linotype" w:cs="Palatino Linotype"/>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231623" w:rsidRPr="009C68B8" w:rsidRDefault="00231623" w:rsidP="003D283E">
            <w:pPr>
              <w:ind w:right="49"/>
              <w:jc w:val="both"/>
              <w:rPr>
                <w:rFonts w:ascii="Palatino Linotype" w:eastAsia="Palatino Linotype" w:hAnsi="Palatino Linotype" w:cs="Palatino Linotype"/>
                <w:color w:val="000000"/>
                <w:sz w:val="22"/>
                <w:szCs w:val="22"/>
              </w:rPr>
            </w:pPr>
            <w:r w:rsidRPr="009C68B8">
              <w:rPr>
                <w:rFonts w:ascii="Palatino Linotype" w:eastAsia="Palatino Linotype" w:hAnsi="Palatino Linotype" w:cs="Palatino Linotype"/>
                <w:color w:val="000000"/>
                <w:sz w:val="22"/>
                <w:szCs w:val="22"/>
              </w:rPr>
              <w:t>Al hacerlo tienen que precisar de qué información se trata, señalando el supuesto de clasificación (confidencialidad o reserva).</w:t>
            </w:r>
          </w:p>
          <w:p w:rsidR="00231623" w:rsidRPr="009C68B8" w:rsidRDefault="00231623" w:rsidP="003D283E">
            <w:pPr>
              <w:ind w:right="49"/>
              <w:jc w:val="both"/>
              <w:rPr>
                <w:rFonts w:ascii="Palatino Linotype" w:eastAsia="Palatino Linotype" w:hAnsi="Palatino Linotype" w:cs="Palatino Linotype"/>
                <w:color w:val="000000"/>
                <w:sz w:val="22"/>
                <w:szCs w:val="22"/>
              </w:rPr>
            </w:pPr>
            <w:r w:rsidRPr="009C68B8">
              <w:rPr>
                <w:rFonts w:ascii="Palatino Linotype" w:eastAsia="Palatino Linotype" w:hAnsi="Palatino Linotype" w:cs="Palatino Linotype"/>
                <w:color w:val="000000"/>
                <w:sz w:val="22"/>
                <w:szCs w:val="22"/>
              </w:rPr>
              <w:t>Además, se debe señalar el procedimiento, de los tres que establecen los artículos 132 y 106 de la Ley Estatal y General, respectivamente.</w:t>
            </w:r>
          </w:p>
          <w:p w:rsidR="00231623" w:rsidRPr="009C68B8" w:rsidRDefault="00231623" w:rsidP="003D283E">
            <w:pPr>
              <w:jc w:val="both"/>
              <w:rPr>
                <w:rFonts w:ascii="Palatino Linotype" w:eastAsia="Palatino Linotype" w:hAnsi="Palatino Linotype" w:cs="Palatino Linotype"/>
                <w:sz w:val="22"/>
                <w:szCs w:val="22"/>
              </w:rPr>
            </w:pPr>
            <w:r w:rsidRPr="009C68B8">
              <w:rPr>
                <w:rFonts w:ascii="Palatino Linotype" w:eastAsia="Palatino Linotype" w:hAnsi="Palatino Linotype" w:cs="Palatino Linotype"/>
                <w:color w:val="000000"/>
                <w:sz w:val="22"/>
                <w:szCs w:val="22"/>
              </w:rPr>
              <w:t xml:space="preserve">El último de estos requisitos previos consiste en que no se pueden emitir acuerdos de carácter general ni particular, esto es, </w:t>
            </w:r>
            <w:r w:rsidRPr="009C68B8">
              <w:rPr>
                <w:rFonts w:ascii="Palatino Linotype" w:eastAsia="Palatino Linotype" w:hAnsi="Palatino Linotype" w:cs="Palatino Linotype"/>
                <w:color w:val="000000"/>
                <w:sz w:val="22"/>
                <w:szCs w:val="22"/>
                <w:u w:val="single"/>
              </w:rPr>
              <w:t>no se puede hacer un acuerdo para clasificar de manera general todos los documentos de un expediente o área, sin</w:t>
            </w:r>
            <w:r w:rsidRPr="009C68B8">
              <w:rPr>
                <w:rFonts w:ascii="Palatino Linotype" w:eastAsia="Palatino Linotype" w:hAnsi="Palatino Linotype" w:cs="Palatino Linotype"/>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231623" w:rsidRPr="009C68B8" w:rsidTr="003D283E">
        <w:tc>
          <w:tcPr>
            <w:tcW w:w="1838" w:type="dxa"/>
          </w:tcPr>
          <w:p w:rsidR="00231623" w:rsidRPr="009C68B8" w:rsidRDefault="00231623" w:rsidP="003D283E">
            <w:pPr>
              <w:rPr>
                <w:rFonts w:ascii="Palatino Linotype" w:eastAsia="Palatino Linotype" w:hAnsi="Palatino Linotype" w:cs="Palatino Linotype"/>
                <w:sz w:val="22"/>
                <w:szCs w:val="22"/>
              </w:rPr>
            </w:pPr>
            <w:r w:rsidRPr="009C68B8">
              <w:rPr>
                <w:rFonts w:ascii="Palatino Linotype" w:eastAsia="Palatino Linotype" w:hAnsi="Palatino Linotype" w:cs="Palatino Linotype"/>
                <w:sz w:val="22"/>
                <w:szCs w:val="22"/>
              </w:rPr>
              <w:t>b) Supuestos de clasificación.</w:t>
            </w:r>
          </w:p>
        </w:tc>
        <w:tc>
          <w:tcPr>
            <w:tcW w:w="6990" w:type="dxa"/>
          </w:tcPr>
          <w:p w:rsidR="00231623" w:rsidRPr="009C68B8" w:rsidRDefault="00231623" w:rsidP="003D283E">
            <w:pPr>
              <w:ind w:right="49"/>
              <w:jc w:val="both"/>
              <w:rPr>
                <w:rFonts w:ascii="Palatino Linotype" w:eastAsia="Palatino Linotype" w:hAnsi="Palatino Linotype" w:cs="Palatino Linotype"/>
                <w:color w:val="000000"/>
                <w:sz w:val="22"/>
                <w:szCs w:val="22"/>
              </w:rPr>
            </w:pPr>
            <w:r w:rsidRPr="009C68B8">
              <w:rPr>
                <w:rFonts w:ascii="Palatino Linotype" w:eastAsia="Palatino Linotype" w:hAnsi="Palatino Linotype" w:cs="Palatino Linotype"/>
                <w:color w:val="000000"/>
                <w:sz w:val="22"/>
                <w:szCs w:val="22"/>
              </w:rPr>
              <w:t>Las disposiciones constitucionales y legales en la materia establecen los dos supuestos generales para clasificar la información: por reserva y por confidencialidad.</w:t>
            </w:r>
          </w:p>
          <w:p w:rsidR="00231623" w:rsidRPr="009C68B8" w:rsidRDefault="00231623" w:rsidP="003D283E">
            <w:pPr>
              <w:ind w:right="49"/>
              <w:jc w:val="both"/>
              <w:rPr>
                <w:rFonts w:ascii="Palatino Linotype" w:eastAsia="Palatino Linotype" w:hAnsi="Palatino Linotype" w:cs="Palatino Linotype"/>
                <w:color w:val="000000"/>
                <w:sz w:val="22"/>
                <w:szCs w:val="22"/>
              </w:rPr>
            </w:pPr>
            <w:r w:rsidRPr="009C68B8">
              <w:rPr>
                <w:rFonts w:ascii="Palatino Linotype" w:eastAsia="Palatino Linotype" w:hAnsi="Palatino Linotype" w:cs="Palatino Linotype"/>
                <w:color w:val="000000"/>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231623" w:rsidRPr="009C68B8" w:rsidRDefault="00231623" w:rsidP="003D283E">
            <w:pPr>
              <w:jc w:val="both"/>
              <w:rPr>
                <w:rFonts w:ascii="Palatino Linotype" w:eastAsia="Palatino Linotype" w:hAnsi="Palatino Linotype" w:cs="Palatino Linotype"/>
                <w:sz w:val="22"/>
                <w:szCs w:val="22"/>
              </w:rPr>
            </w:pPr>
            <w:r w:rsidRPr="009C68B8">
              <w:rPr>
                <w:rFonts w:ascii="Palatino Linotype" w:eastAsia="Palatino Linotype" w:hAnsi="Palatino Linotype" w:cs="Palatino Linotype"/>
                <w:color w:val="000000"/>
                <w:sz w:val="22"/>
                <w:szCs w:val="22"/>
              </w:rPr>
              <w:lastRenderedPageBreak/>
              <w:t xml:space="preserve">El </w:t>
            </w:r>
            <w:r w:rsidRPr="009C68B8">
              <w:rPr>
                <w:rFonts w:ascii="Palatino Linotype" w:eastAsia="Palatino Linotype" w:hAnsi="Palatino Linotype" w:cs="Palatino Linotype"/>
                <w:b/>
                <w:color w:val="000000"/>
                <w:sz w:val="22"/>
                <w:szCs w:val="22"/>
              </w:rPr>
              <w:t>Sujeto Obligado</w:t>
            </w:r>
            <w:r w:rsidRPr="009C68B8">
              <w:rPr>
                <w:rFonts w:ascii="Palatino Linotype" w:eastAsia="Palatino Linotype" w:hAnsi="Palatino Linotype" w:cs="Palatino Linotype"/>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31623" w:rsidRPr="009C68B8" w:rsidTr="003D283E">
        <w:tc>
          <w:tcPr>
            <w:tcW w:w="1838" w:type="dxa"/>
          </w:tcPr>
          <w:p w:rsidR="00231623" w:rsidRPr="009C68B8" w:rsidRDefault="00231623" w:rsidP="003D283E">
            <w:pPr>
              <w:rPr>
                <w:rFonts w:ascii="Palatino Linotype" w:eastAsia="Palatino Linotype" w:hAnsi="Palatino Linotype" w:cs="Palatino Linotype"/>
                <w:sz w:val="22"/>
                <w:szCs w:val="22"/>
              </w:rPr>
            </w:pPr>
            <w:r w:rsidRPr="009C68B8">
              <w:rPr>
                <w:rFonts w:ascii="Palatino Linotype" w:eastAsia="Palatino Linotype" w:hAnsi="Palatino Linotype" w:cs="Palatino Linotype"/>
                <w:sz w:val="22"/>
                <w:szCs w:val="22"/>
              </w:rPr>
              <w:lastRenderedPageBreak/>
              <w:t>c) Formalidades para emitir el acuerdo de clasificación.</w:t>
            </w:r>
          </w:p>
        </w:tc>
        <w:tc>
          <w:tcPr>
            <w:tcW w:w="6990" w:type="dxa"/>
          </w:tcPr>
          <w:p w:rsidR="00231623" w:rsidRPr="009C68B8" w:rsidRDefault="00231623" w:rsidP="003D283E">
            <w:pPr>
              <w:ind w:right="49"/>
              <w:jc w:val="both"/>
              <w:rPr>
                <w:rFonts w:ascii="Palatino Linotype" w:eastAsia="Palatino Linotype" w:hAnsi="Palatino Linotype" w:cs="Palatino Linotype"/>
                <w:color w:val="000000"/>
                <w:sz w:val="22"/>
                <w:szCs w:val="22"/>
              </w:rPr>
            </w:pPr>
            <w:r w:rsidRPr="009C68B8">
              <w:rPr>
                <w:rFonts w:ascii="Palatino Linotype" w:eastAsia="Palatino Linotype" w:hAnsi="Palatino Linotype" w:cs="Palatino Linotype"/>
                <w:color w:val="000000"/>
                <w:sz w:val="22"/>
                <w:szCs w:val="22"/>
              </w:rPr>
              <w:t xml:space="preserve">El Comité de Transparencia, según lo dispuesto en los artículos cuenta con las facultades para aprobar, modificar o revocar la clasificación de la información que haya propuesto. </w:t>
            </w:r>
          </w:p>
          <w:p w:rsidR="00231623" w:rsidRPr="009C68B8" w:rsidRDefault="00231623" w:rsidP="003D283E">
            <w:pPr>
              <w:ind w:right="49"/>
              <w:jc w:val="both"/>
              <w:rPr>
                <w:rFonts w:ascii="Palatino Linotype" w:eastAsia="Palatino Linotype" w:hAnsi="Palatino Linotype" w:cs="Palatino Linotype"/>
                <w:color w:val="000000"/>
                <w:sz w:val="22"/>
                <w:szCs w:val="22"/>
              </w:rPr>
            </w:pPr>
            <w:r w:rsidRPr="009C68B8">
              <w:rPr>
                <w:rFonts w:ascii="Palatino Linotype" w:eastAsia="Palatino Linotype" w:hAnsi="Palatino Linotype" w:cs="Palatino Linotype"/>
                <w:color w:val="000000"/>
                <w:sz w:val="22"/>
                <w:szCs w:val="22"/>
              </w:rPr>
              <w:t xml:space="preserve">Es necesario que </w:t>
            </w:r>
            <w:r w:rsidRPr="009C68B8">
              <w:rPr>
                <w:rFonts w:ascii="Palatino Linotype" w:eastAsia="Palatino Linotype" w:hAnsi="Palatino Linotype" w:cs="Palatino Linotype"/>
                <w:b/>
                <w:color w:val="000000"/>
                <w:sz w:val="22"/>
                <w:szCs w:val="22"/>
                <w:u w:val="single"/>
              </w:rPr>
              <w:t>el acto reúna con los requisitos elementales</w:t>
            </w:r>
            <w:r w:rsidRPr="009C68B8">
              <w:rPr>
                <w:rFonts w:ascii="Palatino Linotype" w:eastAsia="Palatino Linotype" w:hAnsi="Palatino Linotype" w:cs="Palatino Linotype"/>
                <w:color w:val="000000"/>
                <w:sz w:val="22"/>
                <w:szCs w:val="22"/>
              </w:rPr>
              <w:t>, entre ellos, que la autoridad que va a emitir el acto de autoridad sea la legalmente facultada para ello.</w:t>
            </w:r>
          </w:p>
          <w:p w:rsidR="00231623" w:rsidRPr="009C68B8" w:rsidRDefault="00231623" w:rsidP="003D283E">
            <w:pPr>
              <w:jc w:val="both"/>
              <w:rPr>
                <w:rFonts w:ascii="Palatino Linotype" w:eastAsia="Palatino Linotype" w:hAnsi="Palatino Linotype" w:cs="Palatino Linotype"/>
                <w:sz w:val="22"/>
                <w:szCs w:val="22"/>
              </w:rPr>
            </w:pPr>
            <w:r w:rsidRPr="009C68B8">
              <w:rPr>
                <w:rFonts w:ascii="Palatino Linotype" w:eastAsia="Palatino Linotype" w:hAnsi="Palatino Linotype" w:cs="Palatino Linotype"/>
                <w:color w:val="000000"/>
                <w:sz w:val="22"/>
                <w:szCs w:val="22"/>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231623" w:rsidRPr="009C68B8" w:rsidTr="003D283E">
        <w:tc>
          <w:tcPr>
            <w:tcW w:w="1838" w:type="dxa"/>
          </w:tcPr>
          <w:p w:rsidR="00231623" w:rsidRPr="009C68B8" w:rsidRDefault="00231623" w:rsidP="003D283E">
            <w:pPr>
              <w:rPr>
                <w:rFonts w:ascii="Palatino Linotype" w:eastAsia="Palatino Linotype" w:hAnsi="Palatino Linotype" w:cs="Palatino Linotype"/>
                <w:sz w:val="22"/>
                <w:szCs w:val="22"/>
              </w:rPr>
            </w:pPr>
          </w:p>
          <w:p w:rsidR="00231623" w:rsidRPr="009C68B8" w:rsidRDefault="00231623" w:rsidP="003D283E">
            <w:pPr>
              <w:jc w:val="both"/>
              <w:rPr>
                <w:rFonts w:ascii="Palatino Linotype" w:eastAsia="Palatino Linotype" w:hAnsi="Palatino Linotype" w:cs="Palatino Linotype"/>
                <w:sz w:val="22"/>
                <w:szCs w:val="22"/>
              </w:rPr>
            </w:pPr>
            <w:r w:rsidRPr="009C68B8">
              <w:rPr>
                <w:rFonts w:ascii="Palatino Linotype" w:eastAsia="Palatino Linotype" w:hAnsi="Palatino Linotype" w:cs="Palatino Linotype"/>
                <w:color w:val="000000"/>
                <w:sz w:val="22"/>
                <w:szCs w:val="22"/>
              </w:rPr>
              <w:t xml:space="preserve">d) Requisitos de fondo del acuerdo de clasificación. </w:t>
            </w:r>
          </w:p>
        </w:tc>
        <w:tc>
          <w:tcPr>
            <w:tcW w:w="6990" w:type="dxa"/>
          </w:tcPr>
          <w:p w:rsidR="00231623" w:rsidRPr="009C68B8" w:rsidRDefault="00231623" w:rsidP="003D283E">
            <w:pPr>
              <w:ind w:right="49"/>
              <w:jc w:val="both"/>
              <w:rPr>
                <w:rFonts w:ascii="Palatino Linotype" w:eastAsia="Palatino Linotype" w:hAnsi="Palatino Linotype" w:cs="Palatino Linotype"/>
                <w:color w:val="000000"/>
                <w:sz w:val="22"/>
                <w:szCs w:val="22"/>
              </w:rPr>
            </w:pPr>
            <w:r w:rsidRPr="009C68B8">
              <w:rPr>
                <w:rFonts w:ascii="Palatino Linotype" w:eastAsia="Palatino Linotype" w:hAnsi="Palatino Linotype" w:cs="Palatino Linotype"/>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9C68B8">
              <w:rPr>
                <w:rFonts w:ascii="Palatino Linotype" w:eastAsia="Palatino Linotype" w:hAnsi="Palatino Linotype" w:cs="Palatino Linotype"/>
                <w:b/>
                <w:color w:val="000000"/>
                <w:sz w:val="22"/>
                <w:szCs w:val="22"/>
              </w:rPr>
              <w:t>Sujetos Obligados</w:t>
            </w:r>
            <w:r w:rsidRPr="009C68B8">
              <w:rPr>
                <w:rFonts w:ascii="Palatino Linotype" w:eastAsia="Palatino Linotype" w:hAnsi="Palatino Linotype" w:cs="Palatino Linotype"/>
                <w:color w:val="000000"/>
                <w:sz w:val="22"/>
                <w:szCs w:val="22"/>
              </w:rPr>
              <w:t xml:space="preserve">, por lo que deberán fundar y motivar debidamente la clasificación. </w:t>
            </w:r>
          </w:p>
          <w:p w:rsidR="00231623" w:rsidRPr="009C68B8" w:rsidRDefault="00231623" w:rsidP="003D283E">
            <w:pPr>
              <w:ind w:right="49"/>
              <w:jc w:val="both"/>
              <w:rPr>
                <w:rFonts w:ascii="Palatino Linotype" w:eastAsia="Palatino Linotype" w:hAnsi="Palatino Linotype" w:cs="Palatino Linotype"/>
                <w:color w:val="000000"/>
                <w:sz w:val="22"/>
                <w:szCs w:val="22"/>
              </w:rPr>
            </w:pPr>
            <w:r w:rsidRPr="009C68B8">
              <w:rPr>
                <w:rFonts w:ascii="Palatino Linotype" w:eastAsia="Palatino Linotype" w:hAnsi="Palatino Linotype" w:cs="Palatino Linotype"/>
                <w:color w:val="000000"/>
                <w:sz w:val="22"/>
                <w:szCs w:val="22"/>
              </w:rPr>
              <w:t xml:space="preserve">De lo anterior, se desprende que para una correcta </w:t>
            </w:r>
            <w:r w:rsidRPr="009C68B8">
              <w:rPr>
                <w:rFonts w:ascii="Palatino Linotype" w:eastAsia="Palatino Linotype" w:hAnsi="Palatino Linotype" w:cs="Palatino Linotype"/>
                <w:b/>
                <w:color w:val="000000"/>
                <w:sz w:val="22"/>
                <w:szCs w:val="22"/>
              </w:rPr>
              <w:t>clasificación total o parcial</w:t>
            </w:r>
            <w:r w:rsidRPr="009C68B8">
              <w:rPr>
                <w:rFonts w:ascii="Palatino Linotype" w:eastAsia="Palatino Linotype" w:hAnsi="Palatino Linotype" w:cs="Palatino Linotype"/>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231623" w:rsidRPr="009C68B8" w:rsidRDefault="00231623" w:rsidP="003D283E">
            <w:pPr>
              <w:ind w:right="49"/>
              <w:jc w:val="both"/>
              <w:rPr>
                <w:rFonts w:ascii="Palatino Linotype" w:eastAsia="Palatino Linotype" w:hAnsi="Palatino Linotype" w:cs="Palatino Linotype"/>
                <w:color w:val="000000"/>
                <w:sz w:val="22"/>
                <w:szCs w:val="22"/>
              </w:rPr>
            </w:pPr>
            <w:r w:rsidRPr="009C68B8">
              <w:rPr>
                <w:rFonts w:ascii="Palatino Linotype" w:eastAsia="Palatino Linotype" w:hAnsi="Palatino Linotype" w:cs="Palatino Linotype"/>
                <w:color w:val="000000"/>
                <w:sz w:val="22"/>
                <w:szCs w:val="22"/>
              </w:rPr>
              <w:t xml:space="preserve">Así, en un acto de autoridad se cumple con la debida fundamentación cuando se cita el precepto legal aplicable al caso concreto y la debida motivación cuando se expresan las razones, motivos o circunstancias </w:t>
            </w:r>
            <w:r w:rsidRPr="009C68B8">
              <w:rPr>
                <w:rFonts w:ascii="Palatino Linotype" w:eastAsia="Palatino Linotype" w:hAnsi="Palatino Linotype" w:cs="Palatino Linotype"/>
                <w:color w:val="000000"/>
                <w:sz w:val="22"/>
                <w:szCs w:val="22"/>
              </w:rPr>
              <w:lastRenderedPageBreak/>
              <w:t>que tomó en cuenta la autoridad para adecuar el hecho a los fundamentos de derecho. De este modo, la persona que se sienta afectada pueda impugnar la decisión, permitiéndole una real y auténtica defensa.</w:t>
            </w:r>
          </w:p>
          <w:p w:rsidR="00231623" w:rsidRPr="009C68B8" w:rsidRDefault="00231623" w:rsidP="003D283E">
            <w:pPr>
              <w:ind w:right="49"/>
              <w:jc w:val="both"/>
              <w:rPr>
                <w:rFonts w:ascii="Palatino Linotype" w:eastAsia="Palatino Linotype" w:hAnsi="Palatino Linotype" w:cs="Palatino Linotype"/>
                <w:color w:val="000000"/>
                <w:sz w:val="22"/>
                <w:szCs w:val="22"/>
              </w:rPr>
            </w:pPr>
            <w:r w:rsidRPr="009C68B8">
              <w:rPr>
                <w:rFonts w:ascii="Palatino Linotype" w:eastAsia="Palatino Linotype" w:hAnsi="Palatino Linotype" w:cs="Palatino Linotype"/>
                <w:color w:val="000000"/>
                <w:sz w:val="22"/>
                <w:szCs w:val="22"/>
              </w:rPr>
              <w:t>En ese mismo sentido, el numeral trigésimo tercero fracción V de los Lineamientos Generales, precisa que para motivar la clasificación se deben acreditar las circunstancias de tiempo, modo y lugar.</w:t>
            </w:r>
          </w:p>
          <w:p w:rsidR="00231623" w:rsidRPr="009C68B8" w:rsidRDefault="00231623" w:rsidP="003D283E">
            <w:pPr>
              <w:ind w:right="49"/>
              <w:jc w:val="both"/>
              <w:rPr>
                <w:rFonts w:ascii="Palatino Linotype" w:eastAsia="Palatino Linotype" w:hAnsi="Palatino Linotype" w:cs="Palatino Linotype"/>
                <w:color w:val="000000"/>
                <w:sz w:val="22"/>
                <w:szCs w:val="22"/>
              </w:rPr>
            </w:pPr>
            <w:r w:rsidRPr="009C68B8">
              <w:rPr>
                <w:rFonts w:ascii="Palatino Linotype" w:eastAsia="Palatino Linotype" w:hAnsi="Palatino Linotype" w:cs="Palatino Linotype"/>
                <w:color w:val="000000"/>
                <w:sz w:val="22"/>
                <w:szCs w:val="22"/>
              </w:rPr>
              <w:t xml:space="preserve">Ahora bien, </w:t>
            </w:r>
            <w:r w:rsidRPr="009C68B8">
              <w:rPr>
                <w:rFonts w:ascii="Palatino Linotype" w:eastAsia="Palatino Linotype" w:hAnsi="Palatino Linotype" w:cs="Palatino Linotype"/>
                <w:b/>
                <w:color w:val="000000"/>
                <w:sz w:val="22"/>
                <w:szCs w:val="22"/>
                <w:u w:val="single"/>
              </w:rPr>
              <w:t>para cada caso además de fundar y motivar</w:t>
            </w:r>
            <w:r w:rsidRPr="009C68B8">
              <w:rPr>
                <w:rFonts w:ascii="Palatino Linotype" w:eastAsia="Palatino Linotype" w:hAnsi="Palatino Linotype" w:cs="Palatino Linotype"/>
                <w:color w:val="000000"/>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231623" w:rsidRPr="009C68B8" w:rsidTr="003D283E">
        <w:tc>
          <w:tcPr>
            <w:tcW w:w="1838" w:type="dxa"/>
          </w:tcPr>
          <w:p w:rsidR="00231623" w:rsidRPr="009C68B8" w:rsidRDefault="00231623" w:rsidP="003D283E">
            <w:pPr>
              <w:ind w:right="49"/>
              <w:jc w:val="both"/>
              <w:rPr>
                <w:rFonts w:ascii="Palatino Linotype" w:eastAsia="Palatino Linotype" w:hAnsi="Palatino Linotype" w:cs="Palatino Linotype"/>
                <w:sz w:val="22"/>
                <w:szCs w:val="22"/>
              </w:rPr>
            </w:pPr>
            <w:r w:rsidRPr="009C68B8">
              <w:rPr>
                <w:rFonts w:ascii="Palatino Linotype" w:eastAsia="Palatino Linotype" w:hAnsi="Palatino Linotype" w:cs="Palatino Linotype"/>
                <w:sz w:val="22"/>
                <w:szCs w:val="22"/>
              </w:rPr>
              <w:lastRenderedPageBreak/>
              <w:t xml:space="preserve">e) Condiciones especiales de la clasificación de la información como confidencial. </w:t>
            </w:r>
          </w:p>
        </w:tc>
        <w:tc>
          <w:tcPr>
            <w:tcW w:w="6990" w:type="dxa"/>
          </w:tcPr>
          <w:p w:rsidR="00231623" w:rsidRPr="009C68B8" w:rsidRDefault="00231623" w:rsidP="003D283E">
            <w:pPr>
              <w:ind w:right="49"/>
              <w:jc w:val="both"/>
              <w:rPr>
                <w:rFonts w:ascii="Palatino Linotype" w:eastAsia="Palatino Linotype" w:hAnsi="Palatino Linotype" w:cs="Palatino Linotype"/>
                <w:color w:val="000000"/>
                <w:sz w:val="22"/>
                <w:szCs w:val="22"/>
              </w:rPr>
            </w:pPr>
            <w:r w:rsidRPr="009C68B8">
              <w:rPr>
                <w:rFonts w:ascii="Palatino Linotype" w:eastAsia="Palatino Linotype" w:hAnsi="Palatino Linotype" w:cs="Palatino Linotype"/>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rsidR="00231623" w:rsidRPr="009C68B8" w:rsidRDefault="00231623" w:rsidP="003D283E">
            <w:pPr>
              <w:ind w:right="49"/>
              <w:jc w:val="both"/>
              <w:rPr>
                <w:rFonts w:ascii="Palatino Linotype" w:eastAsia="Palatino Linotype" w:hAnsi="Palatino Linotype" w:cs="Palatino Linotype"/>
                <w:color w:val="000000"/>
                <w:sz w:val="22"/>
                <w:szCs w:val="22"/>
              </w:rPr>
            </w:pPr>
            <w:r w:rsidRPr="009C68B8">
              <w:rPr>
                <w:rFonts w:ascii="Palatino Linotype" w:eastAsia="Palatino Linotype" w:hAnsi="Palatino Linotype" w:cs="Palatino Linotype"/>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231623" w:rsidRPr="009C68B8" w:rsidRDefault="00231623" w:rsidP="003D283E">
            <w:pPr>
              <w:rPr>
                <w:rFonts w:ascii="Palatino Linotype" w:eastAsia="Palatino Linotype" w:hAnsi="Palatino Linotype" w:cs="Palatino Linotype"/>
                <w:sz w:val="22"/>
                <w:szCs w:val="22"/>
              </w:rPr>
            </w:pPr>
            <w:r w:rsidRPr="009C68B8">
              <w:rPr>
                <w:rFonts w:ascii="Palatino Linotype" w:eastAsia="Palatino Linotype" w:hAnsi="Palatino Linotype" w:cs="Palatino Linotype"/>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231623" w:rsidRPr="009C68B8" w:rsidRDefault="00231623" w:rsidP="00606878">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606878" w:rsidRPr="009C68B8" w:rsidRDefault="00231623" w:rsidP="00231623">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9C68B8">
        <w:rPr>
          <w:rFonts w:ascii="Palatino Linotype" w:eastAsia="Palatino Linotype" w:hAnsi="Palatino Linotype" w:cs="Palatino Linotype"/>
          <w:sz w:val="22"/>
          <w:szCs w:val="22"/>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231623" w:rsidRPr="009C68B8" w:rsidRDefault="00231623" w:rsidP="00231623">
      <w:pPr>
        <w:spacing w:line="360" w:lineRule="auto"/>
        <w:ind w:right="1"/>
        <w:jc w:val="both"/>
        <w:rPr>
          <w:rFonts w:ascii="Palatino Linotype" w:eastAsia="Palatino Linotype" w:hAnsi="Palatino Linotype" w:cs="Palatino Linotype"/>
          <w:b/>
          <w:sz w:val="22"/>
          <w:szCs w:val="22"/>
        </w:rPr>
      </w:pPr>
    </w:p>
    <w:p w:rsidR="00874F8E" w:rsidRPr="009C68B8" w:rsidRDefault="00874F8E" w:rsidP="00231623">
      <w:pPr>
        <w:pStyle w:val="Prrafodelista"/>
        <w:numPr>
          <w:ilvl w:val="0"/>
          <w:numId w:val="1"/>
        </w:numPr>
        <w:tabs>
          <w:tab w:val="left" w:pos="426"/>
          <w:tab w:val="left" w:pos="567"/>
        </w:tabs>
        <w:spacing w:line="360" w:lineRule="auto"/>
        <w:ind w:left="0" w:firstLine="0"/>
        <w:jc w:val="both"/>
        <w:rPr>
          <w:rFonts w:ascii="Palatino Linotype" w:eastAsia="Calibri" w:hAnsi="Palatino Linotype" w:cs="Arial"/>
          <w:color w:val="000000" w:themeColor="text1"/>
          <w:sz w:val="22"/>
          <w:szCs w:val="22"/>
          <w:lang w:val="es-ES"/>
        </w:rPr>
      </w:pPr>
      <w:r w:rsidRPr="009C68B8">
        <w:rPr>
          <w:rFonts w:ascii="Palatino Linotype" w:eastAsia="Calibri" w:hAnsi="Palatino Linotype" w:cs="Arial"/>
          <w:color w:val="000000" w:themeColor="text1"/>
          <w:sz w:val="22"/>
          <w:szCs w:val="22"/>
          <w:lang w:val="es-ES"/>
        </w:rPr>
        <w:t xml:space="preserve">Por lo anteriormente expuesto y fundado, este </w:t>
      </w:r>
      <w:r w:rsidRPr="009C68B8">
        <w:rPr>
          <w:rFonts w:ascii="Palatino Linotype" w:eastAsia="Calibri" w:hAnsi="Palatino Linotype" w:cs="Arial"/>
          <w:b/>
          <w:color w:val="000000" w:themeColor="text1"/>
          <w:sz w:val="22"/>
          <w:szCs w:val="22"/>
          <w:lang w:val="es-ES"/>
        </w:rPr>
        <w:t>ÓRGANO GARANTE</w:t>
      </w:r>
      <w:r w:rsidRPr="009C68B8">
        <w:rPr>
          <w:rFonts w:ascii="Palatino Linotype" w:eastAsia="Calibri" w:hAnsi="Palatino Linotype" w:cs="Arial"/>
          <w:color w:val="000000" w:themeColor="text1"/>
          <w:sz w:val="22"/>
          <w:szCs w:val="22"/>
          <w:lang w:val="es-ES"/>
        </w:rPr>
        <w:t xml:space="preserve"> emite los siguientes:</w:t>
      </w:r>
    </w:p>
    <w:p w:rsidR="00924BAB" w:rsidRPr="009C68B8" w:rsidRDefault="00924BAB" w:rsidP="00874F8E">
      <w:pPr>
        <w:pStyle w:val="Prrafodelista"/>
        <w:tabs>
          <w:tab w:val="left" w:pos="426"/>
          <w:tab w:val="left" w:pos="567"/>
        </w:tabs>
        <w:spacing w:line="360" w:lineRule="auto"/>
        <w:ind w:left="0"/>
        <w:jc w:val="both"/>
        <w:rPr>
          <w:rFonts w:ascii="Palatino Linotype" w:eastAsia="Calibri" w:hAnsi="Palatino Linotype" w:cs="Arial"/>
          <w:color w:val="000000" w:themeColor="text1"/>
          <w:sz w:val="22"/>
          <w:szCs w:val="22"/>
          <w:lang w:val="es-ES"/>
        </w:rPr>
      </w:pPr>
    </w:p>
    <w:p w:rsidR="00231623" w:rsidRPr="009C68B8" w:rsidRDefault="00874F8E" w:rsidP="00231623">
      <w:pPr>
        <w:pStyle w:val="Ttulo2"/>
        <w:tabs>
          <w:tab w:val="left" w:pos="0"/>
        </w:tabs>
        <w:spacing w:before="0" w:line="360" w:lineRule="auto"/>
        <w:jc w:val="center"/>
        <w:rPr>
          <w:rFonts w:ascii="Palatino Linotype" w:hAnsi="Palatino Linotype"/>
          <w:b/>
          <w:color w:val="auto"/>
          <w:sz w:val="22"/>
          <w:szCs w:val="22"/>
          <w:lang w:val="es-ES"/>
        </w:rPr>
      </w:pPr>
      <w:bookmarkStart w:id="45" w:name="_Toc88748494"/>
      <w:r w:rsidRPr="009C68B8">
        <w:rPr>
          <w:rFonts w:ascii="Palatino Linotype" w:hAnsi="Palatino Linotype"/>
          <w:b/>
          <w:color w:val="auto"/>
          <w:sz w:val="22"/>
          <w:szCs w:val="22"/>
          <w:lang w:val="es-ES"/>
        </w:rPr>
        <w:t>R E S O L U T I V O S</w:t>
      </w:r>
      <w:bookmarkEnd w:id="45"/>
    </w:p>
    <w:p w:rsidR="00231623" w:rsidRPr="009C68B8" w:rsidRDefault="00231623" w:rsidP="00231623">
      <w:pPr>
        <w:rPr>
          <w:rFonts w:ascii="Palatino Linotype" w:hAnsi="Palatino Linotype"/>
          <w:sz w:val="22"/>
          <w:szCs w:val="22"/>
          <w:lang w:val="es-ES" w:eastAsia="en-US"/>
        </w:rPr>
      </w:pPr>
    </w:p>
    <w:p w:rsidR="00874F8E" w:rsidRPr="009C68B8" w:rsidRDefault="00874F8E" w:rsidP="00874F8E">
      <w:pPr>
        <w:spacing w:line="360" w:lineRule="auto"/>
        <w:jc w:val="both"/>
        <w:rPr>
          <w:rFonts w:ascii="Palatino Linotype" w:hAnsi="Palatino Linotype"/>
          <w:sz w:val="22"/>
          <w:szCs w:val="22"/>
        </w:rPr>
      </w:pPr>
      <w:r w:rsidRPr="009C68B8">
        <w:rPr>
          <w:rFonts w:ascii="Palatino Linotype" w:hAnsi="Palatino Linotype" w:cs="Arial"/>
          <w:b/>
          <w:sz w:val="22"/>
          <w:szCs w:val="22"/>
        </w:rPr>
        <w:t xml:space="preserve">PRIMERO. </w:t>
      </w:r>
      <w:r w:rsidRPr="009C68B8">
        <w:rPr>
          <w:rFonts w:ascii="Palatino Linotype" w:eastAsia="Palatino Linotype" w:hAnsi="Palatino Linotype" w:cs="Palatino Linotype"/>
          <w:sz w:val="22"/>
          <w:szCs w:val="22"/>
        </w:rPr>
        <w:t xml:space="preserve">Resultan fundadas las razones o motivos de inconformidad hechos valer en el Recurso de Revisión </w:t>
      </w:r>
      <w:r w:rsidRPr="009C68B8">
        <w:rPr>
          <w:rFonts w:ascii="Palatino Linotype" w:eastAsia="Palatino Linotype" w:hAnsi="Palatino Linotype" w:cs="Palatino Linotype"/>
          <w:b/>
          <w:sz w:val="22"/>
          <w:szCs w:val="22"/>
        </w:rPr>
        <w:t>0</w:t>
      </w:r>
      <w:r w:rsidR="00231623" w:rsidRPr="009C68B8">
        <w:rPr>
          <w:rFonts w:ascii="Palatino Linotype" w:eastAsia="Palatino Linotype" w:hAnsi="Palatino Linotype" w:cs="Palatino Linotype"/>
          <w:b/>
          <w:sz w:val="22"/>
          <w:szCs w:val="22"/>
        </w:rPr>
        <w:t>7488</w:t>
      </w:r>
      <w:r w:rsidRPr="009C68B8">
        <w:rPr>
          <w:rFonts w:ascii="Palatino Linotype" w:eastAsia="Palatino Linotype" w:hAnsi="Palatino Linotype" w:cs="Palatino Linotype"/>
          <w:b/>
          <w:sz w:val="22"/>
          <w:szCs w:val="22"/>
        </w:rPr>
        <w:t>/INFOEM/IP/RR/2024</w:t>
      </w:r>
      <w:r w:rsidRPr="009C68B8">
        <w:rPr>
          <w:rFonts w:ascii="Palatino Linotype" w:eastAsia="Palatino Linotype" w:hAnsi="Palatino Linotype" w:cs="Palatino Linotype"/>
          <w:sz w:val="22"/>
          <w:szCs w:val="22"/>
        </w:rPr>
        <w:t>,</w:t>
      </w:r>
      <w:r w:rsidRPr="009C68B8">
        <w:rPr>
          <w:rFonts w:ascii="Palatino Linotype" w:eastAsia="Palatino Linotype" w:hAnsi="Palatino Linotype" w:cs="Palatino Linotype"/>
          <w:b/>
          <w:sz w:val="22"/>
          <w:szCs w:val="22"/>
        </w:rPr>
        <w:t xml:space="preserve"> </w:t>
      </w:r>
      <w:r w:rsidRPr="009C68B8">
        <w:rPr>
          <w:rFonts w:ascii="Palatino Linotype" w:eastAsia="Palatino Linotype" w:hAnsi="Palatino Linotype" w:cs="Palatino Linotype"/>
          <w:sz w:val="22"/>
          <w:szCs w:val="22"/>
        </w:rPr>
        <w:t>en términos del Considerando y Quinto</w:t>
      </w:r>
      <w:r w:rsidRPr="009C68B8">
        <w:rPr>
          <w:rFonts w:ascii="Palatino Linotype" w:eastAsia="Palatino Linotype" w:hAnsi="Palatino Linotype" w:cs="Palatino Linotype"/>
          <w:b/>
          <w:sz w:val="22"/>
          <w:szCs w:val="22"/>
        </w:rPr>
        <w:t xml:space="preserve"> </w:t>
      </w:r>
      <w:r w:rsidRPr="009C68B8">
        <w:rPr>
          <w:rFonts w:ascii="Palatino Linotype" w:eastAsia="Palatino Linotype" w:hAnsi="Palatino Linotype" w:cs="Palatino Linotype"/>
          <w:sz w:val="22"/>
          <w:szCs w:val="22"/>
        </w:rPr>
        <w:t>de la presente Resolución.</w:t>
      </w:r>
    </w:p>
    <w:p w:rsidR="00924BAB" w:rsidRPr="009C68B8" w:rsidRDefault="00874F8E" w:rsidP="003D283E">
      <w:pPr>
        <w:shd w:val="clear" w:color="auto" w:fill="FFFFFF"/>
        <w:spacing w:before="240" w:after="360" w:line="360" w:lineRule="auto"/>
        <w:ind w:right="1"/>
        <w:jc w:val="both"/>
        <w:rPr>
          <w:rFonts w:ascii="Palatino Linotype" w:eastAsia="Calibri" w:hAnsi="Palatino Linotype" w:cs="Arial"/>
          <w:bCs/>
          <w:color w:val="000000" w:themeColor="text1"/>
          <w:sz w:val="22"/>
          <w:szCs w:val="22"/>
          <w:lang w:val="es-ES"/>
        </w:rPr>
      </w:pPr>
      <w:bookmarkStart w:id="46" w:name="_heading=h.1fob9te" w:colFirst="0" w:colLast="0"/>
      <w:bookmarkEnd w:id="46"/>
      <w:r w:rsidRPr="009C68B8">
        <w:rPr>
          <w:rFonts w:ascii="Palatino Linotype" w:eastAsia="Palatino Linotype" w:hAnsi="Palatino Linotype" w:cs="Palatino Linotype"/>
          <w:b/>
          <w:sz w:val="22"/>
          <w:szCs w:val="22"/>
        </w:rPr>
        <w:t>SEGUNDO.</w:t>
      </w:r>
      <w:r w:rsidRPr="009C68B8">
        <w:rPr>
          <w:rFonts w:ascii="Palatino Linotype" w:eastAsia="Palatino Linotype" w:hAnsi="Palatino Linotype" w:cs="Palatino Linotype"/>
          <w:b/>
          <w:color w:val="000000"/>
          <w:sz w:val="22"/>
          <w:szCs w:val="22"/>
        </w:rPr>
        <w:t xml:space="preserve"> </w:t>
      </w:r>
      <w:r w:rsidRPr="009C68B8">
        <w:rPr>
          <w:rFonts w:ascii="Palatino Linotype" w:eastAsia="Palatino Linotype" w:hAnsi="Palatino Linotype" w:cs="Palatino Linotype"/>
          <w:color w:val="000000"/>
          <w:sz w:val="22"/>
          <w:szCs w:val="22"/>
        </w:rPr>
        <w:t xml:space="preserve">Se </w:t>
      </w:r>
      <w:r w:rsidR="00606878" w:rsidRPr="009C68B8">
        <w:rPr>
          <w:rFonts w:ascii="Palatino Linotype" w:eastAsia="Palatino Linotype" w:hAnsi="Palatino Linotype" w:cs="Palatino Linotype"/>
          <w:b/>
          <w:bCs/>
          <w:color w:val="000000"/>
          <w:sz w:val="22"/>
          <w:szCs w:val="22"/>
        </w:rPr>
        <w:t>REVOCA</w:t>
      </w:r>
      <w:r w:rsidRPr="009C68B8">
        <w:rPr>
          <w:rFonts w:ascii="Palatino Linotype" w:eastAsia="Palatino Linotype" w:hAnsi="Palatino Linotype" w:cs="Palatino Linotype"/>
          <w:b/>
          <w:color w:val="000000"/>
          <w:sz w:val="22"/>
          <w:szCs w:val="22"/>
        </w:rPr>
        <w:t xml:space="preserve"> </w:t>
      </w:r>
      <w:r w:rsidRPr="009C68B8">
        <w:rPr>
          <w:rFonts w:ascii="Palatino Linotype" w:eastAsia="Palatino Linotype" w:hAnsi="Palatino Linotype" w:cs="Palatino Linotype"/>
          <w:color w:val="000000"/>
          <w:sz w:val="22"/>
          <w:szCs w:val="22"/>
        </w:rPr>
        <w:t xml:space="preserve">la respuesta emitida por el </w:t>
      </w:r>
      <w:r w:rsidR="00231623" w:rsidRPr="009C68B8">
        <w:rPr>
          <w:rFonts w:ascii="Palatino Linotype" w:eastAsia="Palatino Linotype" w:hAnsi="Palatino Linotype" w:cs="Palatino Linotype"/>
          <w:b/>
          <w:color w:val="000000"/>
          <w:sz w:val="22"/>
          <w:szCs w:val="22"/>
        </w:rPr>
        <w:t>Ayuntamiento de Tultitlán</w:t>
      </w:r>
      <w:r w:rsidRPr="009C68B8">
        <w:rPr>
          <w:rFonts w:ascii="Palatino Linotype" w:eastAsia="Palatino Linotype" w:hAnsi="Palatino Linotype" w:cs="Palatino Linotype"/>
          <w:color w:val="000000"/>
          <w:sz w:val="22"/>
          <w:szCs w:val="22"/>
        </w:rPr>
        <w:t xml:space="preserve"> y se </w:t>
      </w:r>
      <w:r w:rsidRPr="009C68B8">
        <w:rPr>
          <w:rFonts w:ascii="Palatino Linotype" w:eastAsia="Palatino Linotype" w:hAnsi="Palatino Linotype" w:cs="Palatino Linotype"/>
          <w:b/>
          <w:color w:val="000000"/>
          <w:sz w:val="22"/>
          <w:szCs w:val="22"/>
        </w:rPr>
        <w:t>ORDENA</w:t>
      </w:r>
      <w:r w:rsidRPr="009C68B8">
        <w:rPr>
          <w:rFonts w:ascii="Palatino Linotype" w:eastAsia="Palatino Linotype" w:hAnsi="Palatino Linotype" w:cs="Palatino Linotype"/>
          <w:color w:val="000000"/>
          <w:sz w:val="22"/>
          <w:szCs w:val="22"/>
        </w:rPr>
        <w:t xml:space="preserve"> </w:t>
      </w:r>
      <w:r w:rsidRPr="009C68B8">
        <w:rPr>
          <w:rFonts w:ascii="Palatino Linotype" w:eastAsia="Palatino Linotype" w:hAnsi="Palatino Linotype" w:cs="Palatino Linotype"/>
          <w:sz w:val="22"/>
          <w:szCs w:val="22"/>
        </w:rPr>
        <w:t xml:space="preserve">entregar vía Sistema de Accesos a la Información Mexiquense </w:t>
      </w:r>
      <w:r w:rsidRPr="009C68B8">
        <w:rPr>
          <w:rFonts w:ascii="Palatino Linotype" w:eastAsia="Palatino Linotype" w:hAnsi="Palatino Linotype" w:cs="Palatino Linotype"/>
          <w:b/>
          <w:sz w:val="22"/>
          <w:szCs w:val="22"/>
        </w:rPr>
        <w:t>(SAIMEX)</w:t>
      </w:r>
      <w:r w:rsidRPr="009C68B8">
        <w:rPr>
          <w:rFonts w:ascii="Palatino Linotype" w:eastAsia="Palatino Linotype" w:hAnsi="Palatino Linotype" w:cs="Palatino Linotype"/>
          <w:sz w:val="22"/>
          <w:szCs w:val="22"/>
        </w:rPr>
        <w:t xml:space="preserve">, </w:t>
      </w:r>
      <w:r w:rsidR="00231623" w:rsidRPr="009C68B8">
        <w:rPr>
          <w:rFonts w:ascii="Palatino Linotype" w:eastAsia="Palatino Linotype" w:hAnsi="Palatino Linotype" w:cs="Palatino Linotype"/>
          <w:sz w:val="22"/>
          <w:szCs w:val="22"/>
        </w:rPr>
        <w:t xml:space="preserve">previa búsqueda exhaustiva y razonable, de ser procedente en versión pública, </w:t>
      </w:r>
      <w:r w:rsidR="003D283E" w:rsidRPr="009C68B8">
        <w:rPr>
          <w:rFonts w:ascii="Palatino Linotype" w:eastAsia="Calibri" w:hAnsi="Palatino Linotype" w:cs="Arial"/>
          <w:b/>
          <w:color w:val="000000" w:themeColor="text1"/>
          <w:sz w:val="22"/>
          <w:szCs w:val="22"/>
          <w:lang w:val="es-ES"/>
        </w:rPr>
        <w:t xml:space="preserve">de la unidad económica referida en la solicitud de información, al 6 de noviembre de 2024, </w:t>
      </w:r>
      <w:r w:rsidR="003D283E" w:rsidRPr="009C68B8">
        <w:rPr>
          <w:rFonts w:ascii="Palatino Linotype" w:eastAsia="Calibri" w:hAnsi="Palatino Linotype" w:cs="Arial"/>
          <w:bCs/>
          <w:color w:val="000000" w:themeColor="text1"/>
          <w:sz w:val="22"/>
          <w:szCs w:val="22"/>
          <w:lang w:val="es-ES"/>
        </w:rPr>
        <w:t>lo siguiente:</w:t>
      </w:r>
    </w:p>
    <w:p w:rsidR="003D283E" w:rsidRPr="009C68B8" w:rsidRDefault="003D283E" w:rsidP="00924BAB">
      <w:pPr>
        <w:pStyle w:val="Prrafodelista"/>
        <w:numPr>
          <w:ilvl w:val="0"/>
          <w:numId w:val="12"/>
        </w:numPr>
        <w:tabs>
          <w:tab w:val="left" w:pos="1276"/>
        </w:tabs>
        <w:spacing w:line="360" w:lineRule="auto"/>
        <w:ind w:right="565"/>
        <w:jc w:val="both"/>
        <w:rPr>
          <w:rFonts w:ascii="Palatino Linotype" w:hAnsi="Palatino Linotype"/>
          <w:b/>
          <w:color w:val="000000"/>
          <w:sz w:val="22"/>
          <w:szCs w:val="22"/>
        </w:rPr>
      </w:pPr>
      <w:r w:rsidRPr="009C68B8">
        <w:rPr>
          <w:rFonts w:ascii="Palatino Linotype" w:hAnsi="Palatino Linotype"/>
          <w:b/>
          <w:color w:val="000000"/>
          <w:sz w:val="22"/>
          <w:szCs w:val="22"/>
        </w:rPr>
        <w:t>Licencia de funcionamiento, y</w:t>
      </w:r>
    </w:p>
    <w:p w:rsidR="003D283E" w:rsidRPr="009C68B8" w:rsidRDefault="003D283E" w:rsidP="00924BAB">
      <w:pPr>
        <w:pStyle w:val="Prrafodelista"/>
        <w:tabs>
          <w:tab w:val="left" w:pos="1276"/>
        </w:tabs>
        <w:spacing w:line="360" w:lineRule="auto"/>
        <w:ind w:right="565"/>
        <w:jc w:val="both"/>
        <w:rPr>
          <w:rFonts w:ascii="Palatino Linotype" w:hAnsi="Palatino Linotype"/>
          <w:b/>
          <w:color w:val="000000"/>
          <w:sz w:val="22"/>
          <w:szCs w:val="22"/>
        </w:rPr>
      </w:pPr>
    </w:p>
    <w:p w:rsidR="00231623" w:rsidRPr="009C68B8" w:rsidRDefault="003D283E" w:rsidP="00924BAB">
      <w:pPr>
        <w:pStyle w:val="Prrafodelista"/>
        <w:numPr>
          <w:ilvl w:val="0"/>
          <w:numId w:val="12"/>
        </w:numPr>
        <w:tabs>
          <w:tab w:val="left" w:pos="1276"/>
        </w:tabs>
        <w:spacing w:line="360" w:lineRule="auto"/>
        <w:ind w:right="565"/>
        <w:jc w:val="both"/>
        <w:rPr>
          <w:rFonts w:ascii="Palatino Linotype" w:hAnsi="Palatino Linotype"/>
          <w:b/>
          <w:color w:val="000000"/>
          <w:sz w:val="22"/>
          <w:szCs w:val="22"/>
        </w:rPr>
      </w:pPr>
      <w:r w:rsidRPr="009C68B8">
        <w:rPr>
          <w:rFonts w:ascii="Palatino Linotype" w:hAnsi="Palatino Linotype"/>
          <w:b/>
          <w:color w:val="000000"/>
          <w:sz w:val="22"/>
          <w:szCs w:val="22"/>
        </w:rPr>
        <w:t>Documentales que avalen el cumplimiento a lo establecido a la Norma Técnica de Protección Civil NTE-001-CGPC-2016, con lo cual, se hizo acreedor al permiso en materia de Protección Civil.</w:t>
      </w:r>
    </w:p>
    <w:p w:rsidR="003D283E" w:rsidRPr="009C68B8" w:rsidRDefault="003D283E" w:rsidP="003D283E">
      <w:pPr>
        <w:tabs>
          <w:tab w:val="left" w:pos="1276"/>
        </w:tabs>
        <w:ind w:right="565"/>
        <w:jc w:val="both"/>
        <w:rPr>
          <w:rFonts w:ascii="Palatino Linotype" w:eastAsiaTheme="minorEastAsia" w:hAnsi="Palatino Linotype"/>
          <w:b/>
          <w:color w:val="000000"/>
          <w:sz w:val="22"/>
          <w:szCs w:val="22"/>
        </w:rPr>
      </w:pPr>
    </w:p>
    <w:p w:rsidR="00231623" w:rsidRPr="009C68B8" w:rsidRDefault="00231623" w:rsidP="00231623">
      <w:pPr>
        <w:spacing w:before="240" w:after="360" w:line="360" w:lineRule="auto"/>
        <w:ind w:right="-2"/>
        <w:jc w:val="both"/>
        <w:rPr>
          <w:rFonts w:ascii="Palatino Linotype" w:eastAsia="Palatino Linotype" w:hAnsi="Palatino Linotype" w:cs="Palatino Linotype"/>
          <w:sz w:val="22"/>
          <w:szCs w:val="22"/>
        </w:rPr>
      </w:pPr>
      <w:r w:rsidRPr="009C68B8">
        <w:rPr>
          <w:rFonts w:ascii="Palatino Linotype" w:eastAsia="Palatino Linotype" w:hAnsi="Palatino Linotype" w:cs="Palatino Linotype"/>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w:t>
      </w:r>
      <w:r w:rsidRPr="009C68B8">
        <w:rPr>
          <w:rFonts w:ascii="Palatino Linotype" w:eastAsia="Palatino Linotype" w:hAnsi="Palatino Linotype" w:cs="Palatino Linotype"/>
          <w:sz w:val="22"/>
          <w:szCs w:val="22"/>
        </w:rPr>
        <w:lastRenderedPageBreak/>
        <w:t>documental respectivo objeto de las versiones públicas que se formulen y se pongan a disposición de la</w:t>
      </w:r>
      <w:r w:rsidRPr="009C68B8">
        <w:rPr>
          <w:rFonts w:ascii="Palatino Linotype" w:eastAsia="Palatino Linotype" w:hAnsi="Palatino Linotype" w:cs="Palatino Linotype"/>
          <w:b/>
          <w:sz w:val="22"/>
          <w:szCs w:val="22"/>
        </w:rPr>
        <w:t xml:space="preserve"> RECURRENTE</w:t>
      </w:r>
      <w:r w:rsidRPr="009C68B8">
        <w:rPr>
          <w:rFonts w:ascii="Palatino Linotype" w:eastAsia="Palatino Linotype" w:hAnsi="Palatino Linotype" w:cs="Palatino Linotype"/>
          <w:sz w:val="22"/>
          <w:szCs w:val="22"/>
        </w:rPr>
        <w:t>.</w:t>
      </w:r>
    </w:p>
    <w:p w:rsidR="00874F8E" w:rsidRPr="009C68B8" w:rsidRDefault="00874F8E" w:rsidP="00874F8E">
      <w:pPr>
        <w:spacing w:line="360" w:lineRule="auto"/>
        <w:ind w:right="1"/>
        <w:jc w:val="both"/>
        <w:rPr>
          <w:rFonts w:ascii="Palatino Linotype" w:eastAsia="Palatino Linotype" w:hAnsi="Palatino Linotype" w:cs="Palatino Linotype"/>
          <w:b/>
          <w:sz w:val="22"/>
          <w:szCs w:val="22"/>
        </w:rPr>
      </w:pPr>
      <w:r w:rsidRPr="009C68B8">
        <w:rPr>
          <w:rFonts w:ascii="Palatino Linotype" w:eastAsia="Palatino Linotype" w:hAnsi="Palatino Linotype" w:cs="Palatino Linotype"/>
          <w:b/>
          <w:sz w:val="22"/>
          <w:szCs w:val="22"/>
        </w:rPr>
        <w:t xml:space="preserve">TERCERO. </w:t>
      </w:r>
      <w:r w:rsidRPr="009C68B8">
        <w:rPr>
          <w:rFonts w:ascii="Palatino Linotype" w:eastAsia="Palatino Linotype" w:hAnsi="Palatino Linotype" w:cs="Palatino Linotype"/>
          <w:b/>
          <w:color w:val="000000"/>
          <w:sz w:val="22"/>
          <w:szCs w:val="22"/>
        </w:rPr>
        <w:t>Notifíquese vía SAIMEX l</w:t>
      </w:r>
      <w:r w:rsidRPr="009C68B8">
        <w:rPr>
          <w:rFonts w:ascii="Palatino Linotype" w:eastAsia="Palatino Linotype" w:hAnsi="Palatino Linotype" w:cs="Palatino Linotype"/>
          <w:sz w:val="22"/>
          <w:szCs w:val="22"/>
        </w:rPr>
        <w:t xml:space="preserve">a presente resolución al Titular de la Unidad de Transparencia del </w:t>
      </w:r>
      <w:r w:rsidRPr="009C68B8">
        <w:rPr>
          <w:rFonts w:ascii="Palatino Linotype" w:eastAsia="Palatino Linotype" w:hAnsi="Palatino Linotype" w:cs="Palatino Linotype"/>
          <w:b/>
          <w:sz w:val="22"/>
          <w:szCs w:val="22"/>
        </w:rPr>
        <w:t>SUJETO OBLIGADO</w:t>
      </w:r>
      <w:r w:rsidRPr="009C68B8">
        <w:rPr>
          <w:rFonts w:ascii="Palatino Linotype" w:eastAsia="Palatino Linotype" w:hAnsi="Palatino Linotype" w:cs="Palatino Linotype"/>
          <w:sz w:val="22"/>
          <w:szCs w:val="22"/>
        </w:rPr>
        <w:t>, para que conforme al artículo 186</w:t>
      </w:r>
      <w:r w:rsidR="005E6DE0" w:rsidRPr="009C68B8">
        <w:rPr>
          <w:rFonts w:ascii="Palatino Linotype" w:eastAsia="Palatino Linotype" w:hAnsi="Palatino Linotype" w:cs="Palatino Linotype"/>
          <w:sz w:val="22"/>
          <w:szCs w:val="22"/>
        </w:rPr>
        <w:t>,</w:t>
      </w:r>
      <w:r w:rsidRPr="009C68B8">
        <w:rPr>
          <w:rFonts w:ascii="Palatino Linotype" w:eastAsia="Palatino Linotype" w:hAnsi="Palatino Linotype" w:cs="Palatino Linotype"/>
          <w:sz w:val="22"/>
          <w:szCs w:val="22"/>
        </w:rPr>
        <w:t xml:space="preserve"> último párrafo, 189</w:t>
      </w:r>
      <w:r w:rsidR="005E6DE0" w:rsidRPr="009C68B8">
        <w:rPr>
          <w:rFonts w:ascii="Palatino Linotype" w:eastAsia="Palatino Linotype" w:hAnsi="Palatino Linotype" w:cs="Palatino Linotype"/>
          <w:sz w:val="22"/>
          <w:szCs w:val="22"/>
        </w:rPr>
        <w:t>,</w:t>
      </w:r>
      <w:r w:rsidRPr="009C68B8">
        <w:rPr>
          <w:rFonts w:ascii="Palatino Linotype" w:eastAsia="Palatino Linotype" w:hAnsi="Palatino Linotype" w:cs="Palatino Linotype"/>
          <w:sz w:val="22"/>
          <w:szCs w:val="22"/>
        </w:rPr>
        <w:t xml:space="preserve"> segundo párrafo y 194 de la Ley de Transparencia y Acceso a la Información Pública del Estado de México y Municipios; </w:t>
      </w:r>
      <w:r w:rsidRPr="009C68B8">
        <w:rPr>
          <w:rFonts w:ascii="Palatino Linotype" w:eastAsia="Palatino Linotype" w:hAnsi="Palatino Linotype" w:cs="Palatino Linotype"/>
          <w:b/>
          <w:sz w:val="22"/>
          <w:szCs w:val="22"/>
        </w:rPr>
        <w:t>dé cumplimiento a lo ordenado dentro del plazo de diez días hábiles</w:t>
      </w:r>
      <w:r w:rsidRPr="009C68B8">
        <w:rPr>
          <w:rFonts w:ascii="Palatino Linotype" w:eastAsia="Palatino Linotype" w:hAnsi="Palatino Linotype" w:cs="Palatino Linotype"/>
          <w:sz w:val="22"/>
          <w:szCs w:val="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874F8E" w:rsidRPr="009C68B8" w:rsidRDefault="00874F8E" w:rsidP="00874F8E">
      <w:pPr>
        <w:tabs>
          <w:tab w:val="left" w:pos="8080"/>
        </w:tabs>
        <w:spacing w:line="360" w:lineRule="auto"/>
        <w:ind w:right="1"/>
        <w:jc w:val="both"/>
        <w:rPr>
          <w:rFonts w:ascii="Palatino Linotype" w:eastAsia="Palatino Linotype" w:hAnsi="Palatino Linotype" w:cs="Palatino Linotype"/>
          <w:color w:val="222222"/>
          <w:sz w:val="22"/>
          <w:szCs w:val="22"/>
        </w:rPr>
      </w:pPr>
    </w:p>
    <w:p w:rsidR="00874F8E" w:rsidRPr="009C68B8" w:rsidRDefault="00874F8E" w:rsidP="00874F8E">
      <w:pPr>
        <w:shd w:val="clear" w:color="auto" w:fill="FFFFFF"/>
        <w:spacing w:after="240" w:line="360" w:lineRule="auto"/>
        <w:ind w:right="1"/>
        <w:jc w:val="both"/>
        <w:rPr>
          <w:rFonts w:ascii="Palatino Linotype" w:eastAsia="Palatino Linotype" w:hAnsi="Palatino Linotype" w:cs="Palatino Linotype"/>
          <w:b/>
          <w:sz w:val="22"/>
          <w:szCs w:val="22"/>
        </w:rPr>
      </w:pPr>
      <w:r w:rsidRPr="009C68B8">
        <w:rPr>
          <w:rFonts w:ascii="Palatino Linotype" w:eastAsia="Palatino Linotype" w:hAnsi="Palatino Linotype" w:cs="Palatino Linotype"/>
          <w:b/>
          <w:sz w:val="22"/>
          <w:szCs w:val="22"/>
        </w:rPr>
        <w:t>CUARTO. Notifíquese al RECURRENTE</w:t>
      </w:r>
      <w:r w:rsidRPr="009C68B8">
        <w:rPr>
          <w:rFonts w:ascii="Palatino Linotype" w:eastAsia="Palatino Linotype" w:hAnsi="Palatino Linotype" w:cs="Palatino Linotype"/>
          <w:sz w:val="22"/>
          <w:szCs w:val="22"/>
        </w:rPr>
        <w:t xml:space="preserve"> la presente resolución vía </w:t>
      </w:r>
      <w:r w:rsidRPr="009C68B8">
        <w:rPr>
          <w:rFonts w:ascii="Palatino Linotype" w:eastAsia="Palatino Linotype" w:hAnsi="Palatino Linotype" w:cs="Palatino Linotype"/>
          <w:b/>
          <w:sz w:val="22"/>
          <w:szCs w:val="22"/>
        </w:rPr>
        <w:t>SAIMEX.</w:t>
      </w:r>
    </w:p>
    <w:p w:rsidR="00874F8E" w:rsidRPr="009C68B8" w:rsidRDefault="00874F8E" w:rsidP="00874F8E">
      <w:pPr>
        <w:spacing w:before="240" w:after="240" w:line="360" w:lineRule="auto"/>
        <w:ind w:right="1"/>
        <w:jc w:val="both"/>
        <w:rPr>
          <w:rFonts w:ascii="Palatino Linotype" w:eastAsia="Palatino Linotype" w:hAnsi="Palatino Linotype" w:cs="Palatino Linotype"/>
          <w:sz w:val="22"/>
          <w:szCs w:val="22"/>
        </w:rPr>
      </w:pPr>
      <w:r w:rsidRPr="009C68B8">
        <w:rPr>
          <w:rFonts w:ascii="Palatino Linotype" w:eastAsia="Palatino Linotype" w:hAnsi="Palatino Linotype" w:cs="Palatino Linotype"/>
          <w:b/>
          <w:sz w:val="22"/>
          <w:szCs w:val="22"/>
        </w:rPr>
        <w:t>QUINTO.</w:t>
      </w:r>
      <w:r w:rsidRPr="009C68B8">
        <w:rPr>
          <w:rFonts w:ascii="Palatino Linotype" w:eastAsia="Palatino Linotype" w:hAnsi="Palatino Linotype" w:cs="Palatino Linotype"/>
          <w:sz w:val="22"/>
          <w:szCs w:val="22"/>
        </w:rPr>
        <w:t xml:space="preserve"> Se hace del conocimiento del </w:t>
      </w:r>
      <w:r w:rsidRPr="009C68B8">
        <w:rPr>
          <w:rFonts w:ascii="Palatino Linotype" w:eastAsia="Palatino Linotype" w:hAnsi="Palatino Linotype" w:cs="Palatino Linotype"/>
          <w:b/>
          <w:sz w:val="22"/>
          <w:szCs w:val="22"/>
        </w:rPr>
        <w:t>RECURRENTE</w:t>
      </w:r>
      <w:r w:rsidRPr="009C68B8">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874F8E" w:rsidRPr="009C68B8" w:rsidRDefault="00874F8E" w:rsidP="00874F8E">
      <w:pPr>
        <w:spacing w:before="240" w:after="240" w:line="360" w:lineRule="auto"/>
        <w:ind w:right="1"/>
        <w:jc w:val="both"/>
        <w:rPr>
          <w:rFonts w:ascii="Palatino Linotype" w:eastAsia="Palatino Linotype" w:hAnsi="Palatino Linotype" w:cs="Palatino Linotype"/>
          <w:sz w:val="22"/>
          <w:szCs w:val="22"/>
        </w:rPr>
      </w:pPr>
      <w:r w:rsidRPr="009C68B8">
        <w:rPr>
          <w:rFonts w:ascii="Palatino Linotype" w:eastAsia="Palatino Linotype" w:hAnsi="Palatino Linotype" w:cs="Palatino Linotype"/>
          <w:b/>
          <w:color w:val="000000"/>
          <w:sz w:val="22"/>
          <w:szCs w:val="22"/>
        </w:rPr>
        <w:t xml:space="preserve">SEXTO. </w:t>
      </w:r>
      <w:r w:rsidRPr="009C68B8">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874F8E" w:rsidRPr="009C68B8" w:rsidRDefault="00874F8E" w:rsidP="00874F8E">
      <w:pPr>
        <w:spacing w:line="360" w:lineRule="auto"/>
        <w:jc w:val="both"/>
        <w:rPr>
          <w:rFonts w:ascii="Palatino Linotype" w:eastAsia="MS Mincho" w:hAnsi="Palatino Linotype"/>
          <w:sz w:val="22"/>
          <w:szCs w:val="22"/>
          <w:lang w:val="es-ES"/>
        </w:rPr>
      </w:pPr>
    </w:p>
    <w:bookmarkEnd w:id="28"/>
    <w:bookmarkEnd w:id="29"/>
    <w:bookmarkEnd w:id="30"/>
    <w:p w:rsidR="005E6DE0" w:rsidRPr="003C7186" w:rsidRDefault="005E6DE0" w:rsidP="005E6DE0">
      <w:pPr>
        <w:spacing w:line="360" w:lineRule="auto"/>
        <w:ind w:left="-142" w:right="-234" w:firstLine="1"/>
        <w:jc w:val="both"/>
        <w:rPr>
          <w:rFonts w:ascii="Palatino Linotype" w:hAnsi="Palatino Linotype"/>
        </w:rPr>
      </w:pPr>
      <w:r w:rsidRPr="009C68B8">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3952E3" w:rsidRPr="009C68B8">
        <w:rPr>
          <w:rFonts w:ascii="Palatino Linotype" w:hAnsi="Palatino Linotype"/>
        </w:rPr>
        <w:t xml:space="preserve"> EMITIENDO VOTO PARTICULAR</w:t>
      </w:r>
      <w:r w:rsidRPr="009C68B8">
        <w:rPr>
          <w:rFonts w:ascii="Palatino Linotype" w:hAnsi="Palatino Linotype"/>
        </w:rPr>
        <w:t xml:space="preserve"> Y GUADALUPE RAMÍREZ PEÑA; EN LA CUARTA SESIÓN ORDINARIA CELEBRADA EL SEIS (06) DE FEBRERO DE DOS MIL VEINTICINCO, ANTE EL SECRETARIO TÉCNICO DEL PLENO ALEXIS TAPIA RAMÍREZ.</w:t>
      </w:r>
      <w:r w:rsidRPr="003C7186">
        <w:rPr>
          <w:rFonts w:ascii="Palatino Linotype" w:hAnsi="Palatino Linotype"/>
        </w:rPr>
        <w:t xml:space="preserve"> </w:t>
      </w:r>
    </w:p>
    <w:p w:rsidR="00874F8E" w:rsidRPr="007E42C0" w:rsidRDefault="00874F8E" w:rsidP="00874F8E">
      <w:pPr>
        <w:spacing w:line="360" w:lineRule="auto"/>
        <w:jc w:val="both"/>
        <w:rPr>
          <w:rFonts w:ascii="Palatino Linotype" w:hAnsi="Palatino Linotype" w:cs="Tahoma"/>
          <w:sz w:val="22"/>
          <w:szCs w:val="22"/>
        </w:rPr>
      </w:pPr>
    </w:p>
    <w:p w:rsidR="00874F8E" w:rsidRPr="007E42C0" w:rsidRDefault="00874F8E" w:rsidP="00874F8E">
      <w:pPr>
        <w:spacing w:line="360" w:lineRule="auto"/>
        <w:jc w:val="both"/>
        <w:rPr>
          <w:rFonts w:ascii="Palatino Linotype" w:hAnsi="Palatino Linotype" w:cs="Tahoma"/>
          <w:sz w:val="22"/>
          <w:szCs w:val="22"/>
        </w:rPr>
      </w:pPr>
    </w:p>
    <w:p w:rsidR="00874F8E" w:rsidRPr="007E42C0" w:rsidRDefault="00874F8E" w:rsidP="00874F8E">
      <w:pPr>
        <w:spacing w:line="360" w:lineRule="auto"/>
        <w:jc w:val="both"/>
        <w:rPr>
          <w:rFonts w:ascii="Palatino Linotype" w:hAnsi="Palatino Linotype" w:cs="Tahoma"/>
          <w:sz w:val="22"/>
          <w:szCs w:val="22"/>
        </w:rPr>
      </w:pPr>
    </w:p>
    <w:p w:rsidR="00874F8E" w:rsidRPr="007E42C0" w:rsidRDefault="00874F8E" w:rsidP="00874F8E">
      <w:pPr>
        <w:spacing w:line="360" w:lineRule="auto"/>
        <w:jc w:val="both"/>
        <w:rPr>
          <w:rFonts w:ascii="Palatino Linotype" w:hAnsi="Palatino Linotype" w:cs="Tahoma"/>
          <w:sz w:val="22"/>
          <w:szCs w:val="22"/>
        </w:rPr>
      </w:pPr>
    </w:p>
    <w:p w:rsidR="00765CD4" w:rsidRPr="007E42C0" w:rsidRDefault="00765CD4">
      <w:pPr>
        <w:rPr>
          <w:rFonts w:ascii="Palatino Linotype" w:hAnsi="Palatino Linotype"/>
          <w:sz w:val="22"/>
          <w:szCs w:val="22"/>
        </w:rPr>
      </w:pPr>
    </w:p>
    <w:p w:rsidR="009D2CFE" w:rsidRDefault="009D2CFE">
      <w:pPr>
        <w:rPr>
          <w:rFonts w:ascii="Palatino Linotype" w:hAnsi="Palatino Linotype"/>
          <w:sz w:val="22"/>
          <w:szCs w:val="22"/>
        </w:rPr>
      </w:pPr>
    </w:p>
    <w:p w:rsidR="009C68B8" w:rsidRDefault="009C68B8">
      <w:pPr>
        <w:rPr>
          <w:rFonts w:ascii="Palatino Linotype" w:hAnsi="Palatino Linotype"/>
          <w:sz w:val="22"/>
          <w:szCs w:val="22"/>
        </w:rPr>
      </w:pPr>
    </w:p>
    <w:p w:rsidR="009C68B8" w:rsidRDefault="009C68B8">
      <w:pPr>
        <w:rPr>
          <w:rFonts w:ascii="Palatino Linotype" w:hAnsi="Palatino Linotype"/>
          <w:sz w:val="22"/>
          <w:szCs w:val="22"/>
        </w:rPr>
      </w:pPr>
    </w:p>
    <w:p w:rsidR="009C68B8" w:rsidRDefault="009C68B8">
      <w:pPr>
        <w:rPr>
          <w:rFonts w:ascii="Palatino Linotype" w:hAnsi="Palatino Linotype"/>
          <w:sz w:val="22"/>
          <w:szCs w:val="22"/>
        </w:rPr>
      </w:pPr>
    </w:p>
    <w:p w:rsidR="009C68B8" w:rsidRDefault="009C68B8">
      <w:pPr>
        <w:rPr>
          <w:rFonts w:ascii="Palatino Linotype" w:hAnsi="Palatino Linotype"/>
          <w:sz w:val="22"/>
          <w:szCs w:val="22"/>
        </w:rPr>
      </w:pPr>
    </w:p>
    <w:p w:rsidR="009C68B8" w:rsidRDefault="009C68B8">
      <w:pPr>
        <w:rPr>
          <w:rFonts w:ascii="Palatino Linotype" w:hAnsi="Palatino Linotype"/>
          <w:sz w:val="22"/>
          <w:szCs w:val="22"/>
        </w:rPr>
      </w:pPr>
    </w:p>
    <w:p w:rsidR="009C68B8" w:rsidRDefault="009C68B8">
      <w:pPr>
        <w:rPr>
          <w:rFonts w:ascii="Palatino Linotype" w:hAnsi="Palatino Linotype"/>
          <w:sz w:val="22"/>
          <w:szCs w:val="22"/>
        </w:rPr>
      </w:pPr>
    </w:p>
    <w:p w:rsidR="009C68B8" w:rsidRDefault="009C68B8">
      <w:pPr>
        <w:rPr>
          <w:rFonts w:ascii="Palatino Linotype" w:hAnsi="Palatino Linotype"/>
          <w:sz w:val="22"/>
          <w:szCs w:val="22"/>
        </w:rPr>
      </w:pPr>
    </w:p>
    <w:p w:rsidR="009C68B8" w:rsidRDefault="009C68B8">
      <w:pPr>
        <w:rPr>
          <w:rFonts w:ascii="Palatino Linotype" w:hAnsi="Palatino Linotype"/>
          <w:sz w:val="22"/>
          <w:szCs w:val="22"/>
        </w:rPr>
      </w:pPr>
    </w:p>
    <w:p w:rsidR="009C68B8" w:rsidRDefault="009C68B8">
      <w:pPr>
        <w:rPr>
          <w:rFonts w:ascii="Palatino Linotype" w:hAnsi="Palatino Linotype"/>
          <w:sz w:val="22"/>
          <w:szCs w:val="22"/>
        </w:rPr>
      </w:pPr>
    </w:p>
    <w:p w:rsidR="009C68B8" w:rsidRDefault="009C68B8">
      <w:pPr>
        <w:rPr>
          <w:rFonts w:ascii="Palatino Linotype" w:hAnsi="Palatino Linotype"/>
          <w:sz w:val="22"/>
          <w:szCs w:val="22"/>
        </w:rPr>
      </w:pPr>
    </w:p>
    <w:p w:rsidR="009C68B8" w:rsidRDefault="009C68B8">
      <w:pPr>
        <w:rPr>
          <w:rFonts w:ascii="Palatino Linotype" w:hAnsi="Palatino Linotype"/>
          <w:sz w:val="22"/>
          <w:szCs w:val="22"/>
        </w:rPr>
      </w:pPr>
    </w:p>
    <w:p w:rsidR="009C68B8" w:rsidRDefault="009C68B8">
      <w:pPr>
        <w:rPr>
          <w:rFonts w:ascii="Palatino Linotype" w:hAnsi="Palatino Linotype"/>
          <w:sz w:val="22"/>
          <w:szCs w:val="22"/>
        </w:rPr>
      </w:pPr>
    </w:p>
    <w:p w:rsidR="009C68B8" w:rsidRDefault="009C68B8">
      <w:pPr>
        <w:rPr>
          <w:rFonts w:ascii="Palatino Linotype" w:hAnsi="Palatino Linotype"/>
          <w:sz w:val="22"/>
          <w:szCs w:val="22"/>
        </w:rPr>
      </w:pPr>
    </w:p>
    <w:p w:rsidR="009C68B8" w:rsidRDefault="009C68B8">
      <w:pPr>
        <w:rPr>
          <w:rFonts w:ascii="Palatino Linotype" w:hAnsi="Palatino Linotype"/>
          <w:sz w:val="22"/>
          <w:szCs w:val="22"/>
        </w:rPr>
      </w:pPr>
    </w:p>
    <w:p w:rsidR="009C68B8" w:rsidRPr="007E42C0" w:rsidRDefault="009C68B8">
      <w:pPr>
        <w:rPr>
          <w:rFonts w:ascii="Palatino Linotype" w:hAnsi="Palatino Linotype"/>
          <w:sz w:val="22"/>
          <w:szCs w:val="22"/>
        </w:rPr>
      </w:pPr>
    </w:p>
    <w:sectPr w:rsidR="009C68B8" w:rsidRPr="007E42C0" w:rsidSect="0080657C">
      <w:headerReference w:type="default" r:id="rId16"/>
      <w:footerReference w:type="default" r:id="rId17"/>
      <w:headerReference w:type="first" r:id="rId18"/>
      <w:footerReference w:type="first" r:id="rId19"/>
      <w:pgSz w:w="12240" w:h="15840"/>
      <w:pgMar w:top="2552"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43A" w:rsidRDefault="0048643A" w:rsidP="00874F8E">
      <w:r>
        <w:separator/>
      </w:r>
    </w:p>
  </w:endnote>
  <w:endnote w:type="continuationSeparator" w:id="0">
    <w:p w:rsidR="0048643A" w:rsidRDefault="0048643A" w:rsidP="0087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8"/>
      </w:rPr>
      <w:id w:val="567458736"/>
      <w:docPartObj>
        <w:docPartGallery w:val="Page Numbers (Bottom of Page)"/>
        <w:docPartUnique/>
      </w:docPartObj>
    </w:sdtPr>
    <w:sdtEndPr/>
    <w:sdtContent>
      <w:sdt>
        <w:sdtPr>
          <w:rPr>
            <w:rFonts w:ascii="Palatino Linotype" w:hAnsi="Palatino Linotype"/>
            <w:sz w:val="28"/>
          </w:rPr>
          <w:id w:val="-1215120301"/>
          <w:docPartObj>
            <w:docPartGallery w:val="Page Numbers (Top of Page)"/>
            <w:docPartUnique/>
          </w:docPartObj>
        </w:sdtPr>
        <w:sdtEndPr/>
        <w:sdtContent>
          <w:p w:rsidR="00DC601E" w:rsidRPr="00883450" w:rsidRDefault="00DC601E">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D8218A">
              <w:rPr>
                <w:rFonts w:ascii="Palatino Linotype" w:hAnsi="Palatino Linotype"/>
                <w:b/>
                <w:bCs/>
                <w:noProof/>
                <w:sz w:val="22"/>
                <w:szCs w:val="20"/>
              </w:rPr>
              <w:t>50</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D8218A">
              <w:rPr>
                <w:rFonts w:ascii="Palatino Linotype" w:hAnsi="Palatino Linotype"/>
                <w:b/>
                <w:bCs/>
                <w:noProof/>
                <w:sz w:val="22"/>
                <w:szCs w:val="20"/>
              </w:rPr>
              <w:t>55</w:t>
            </w:r>
            <w:r w:rsidRPr="00883450">
              <w:rPr>
                <w:rFonts w:ascii="Palatino Linotype" w:hAnsi="Palatino Linotype"/>
                <w:b/>
                <w:bCs/>
                <w:sz w:val="22"/>
                <w:szCs w:val="20"/>
              </w:rPr>
              <w:fldChar w:fldCharType="end"/>
            </w:r>
          </w:p>
        </w:sdtContent>
      </w:sdt>
    </w:sdtContent>
  </w:sdt>
  <w:p w:rsidR="00DC601E" w:rsidRDefault="00DC60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01E" w:rsidRPr="00883450" w:rsidRDefault="00DC601E" w:rsidP="0080657C">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D8218A" w:rsidRPr="00D8218A">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D8218A" w:rsidRPr="00D8218A">
      <w:rPr>
        <w:rFonts w:ascii="Palatino Linotype" w:hAnsi="Palatino Linotype"/>
        <w:noProof/>
        <w:sz w:val="22"/>
        <w:szCs w:val="22"/>
        <w:lang w:val="es-ES"/>
      </w:rPr>
      <w:t>55</w:t>
    </w:r>
    <w:r w:rsidRPr="00883450">
      <w:rPr>
        <w:rFonts w:ascii="Palatino Linotype" w:hAnsi="Palatino Linotype"/>
        <w:sz w:val="22"/>
        <w:szCs w:val="22"/>
      </w:rPr>
      <w:fldChar w:fldCharType="end"/>
    </w:r>
  </w:p>
  <w:p w:rsidR="00DC601E" w:rsidRPr="00883450" w:rsidRDefault="00DC601E">
    <w:pPr>
      <w:pStyle w:val="Piedepgina"/>
      <w:rPr>
        <w:rFonts w:ascii="Palatino Linotype" w:hAnsi="Palatino Linotype"/>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43A" w:rsidRDefault="0048643A" w:rsidP="00874F8E">
      <w:r>
        <w:separator/>
      </w:r>
    </w:p>
  </w:footnote>
  <w:footnote w:type="continuationSeparator" w:id="0">
    <w:p w:rsidR="0048643A" w:rsidRDefault="0048643A" w:rsidP="00874F8E">
      <w:r>
        <w:continuationSeparator/>
      </w:r>
    </w:p>
  </w:footnote>
  <w:footnote w:id="1">
    <w:p w:rsidR="00DC601E" w:rsidRDefault="00DC601E" w:rsidP="00874F8E">
      <w:pPr>
        <w:pStyle w:val="Textonotapie"/>
      </w:pPr>
      <w:r>
        <w:rPr>
          <w:rStyle w:val="Refdenotaalpie"/>
        </w:rPr>
        <w:footnoteRef/>
      </w:r>
      <w:r>
        <w:t xml:space="preserve"> Convención Americana sobre Derechos Humanos. Artículo 13.</w:t>
      </w:r>
    </w:p>
  </w:footnote>
  <w:footnote w:id="2">
    <w:p w:rsidR="00DC601E" w:rsidRDefault="00DC601E" w:rsidP="00874F8E">
      <w:pPr>
        <w:pStyle w:val="Textonotapie"/>
      </w:pPr>
      <w:r>
        <w:rPr>
          <w:rStyle w:val="Refdenotaalpie"/>
        </w:rPr>
        <w:footnoteRef/>
      </w:r>
      <w:r>
        <w:t xml:space="preserve"> Constitución Política de los Estados Unidos Mexicanos. Artículo sexto, sección A, fracción I.</w:t>
      </w:r>
    </w:p>
  </w:footnote>
  <w:footnote w:id="3">
    <w:p w:rsidR="00DC601E" w:rsidRDefault="00DC601E" w:rsidP="00874F8E">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rsidR="00DC601E" w:rsidRDefault="00DC601E" w:rsidP="00874F8E">
      <w:pPr>
        <w:pStyle w:val="Textonotapie"/>
      </w:pPr>
      <w:r>
        <w:rPr>
          <w:rStyle w:val="Refdenotaalpie"/>
        </w:rPr>
        <w:footnoteRef/>
      </w:r>
      <w:r>
        <w:t xml:space="preserve"> Ibídem. </w:t>
      </w:r>
      <w:proofErr w:type="spellStart"/>
      <w:r>
        <w:t>Parr</w:t>
      </w:r>
      <w:proofErr w:type="spellEnd"/>
      <w:r>
        <w:t>. 87.</w:t>
      </w:r>
    </w:p>
  </w:footnote>
  <w:footnote w:id="5">
    <w:p w:rsidR="00DC601E" w:rsidRDefault="00DC601E" w:rsidP="00874F8E">
      <w:pPr>
        <w:pStyle w:val="Textonotapie"/>
      </w:pPr>
      <w:r>
        <w:rPr>
          <w:rStyle w:val="Refdenotaalpie"/>
        </w:rPr>
        <w:footnoteRef/>
      </w:r>
      <w:r>
        <w:t xml:space="preserve"> Artículo 50, Ley de Transparencia y Acceso a la Información Pública del Estado de México y Municipios.</w:t>
      </w:r>
    </w:p>
  </w:footnote>
  <w:footnote w:id="6">
    <w:p w:rsidR="00DC601E" w:rsidRDefault="00DC601E" w:rsidP="00874F8E">
      <w:pPr>
        <w:pStyle w:val="Textonotapie"/>
      </w:pPr>
      <w:r>
        <w:rPr>
          <w:rStyle w:val="Refdenotaalpie"/>
        </w:rPr>
        <w:footnoteRef/>
      </w:r>
      <w:r>
        <w:t xml:space="preserve"> Artículo 51, Ídem.</w:t>
      </w:r>
    </w:p>
  </w:footnote>
  <w:footnote w:id="7">
    <w:p w:rsidR="00DC601E" w:rsidRDefault="00DC601E" w:rsidP="00874F8E">
      <w:pPr>
        <w:pStyle w:val="Textonotapie"/>
      </w:pPr>
      <w:r>
        <w:rPr>
          <w:rStyle w:val="Refdenotaalpie"/>
        </w:rPr>
        <w:footnoteRef/>
      </w:r>
      <w:r>
        <w:t xml:space="preserve"> Artículo 58, Ley de Transparencia y Acceso a la Información Pública del Estado de México y Municipios.</w:t>
      </w:r>
    </w:p>
  </w:footnote>
  <w:footnote w:id="8">
    <w:p w:rsidR="00DC601E" w:rsidRDefault="00DC601E" w:rsidP="00874F8E">
      <w:pPr>
        <w:pStyle w:val="Textonotapie"/>
      </w:pPr>
      <w:r>
        <w:rPr>
          <w:rStyle w:val="Refdenotaalpie"/>
        </w:rPr>
        <w:footnoteRef/>
      </w:r>
      <w:r>
        <w:t xml:space="preserve"> Artículo 59,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01E" w:rsidRDefault="00DC601E" w:rsidP="0080657C">
    <w:pPr>
      <w:pStyle w:val="Encabezado"/>
      <w:tabs>
        <w:tab w:val="clear" w:pos="4252"/>
        <w:tab w:val="clear" w:pos="8504"/>
        <w:tab w:val="left" w:pos="8460"/>
      </w:tabs>
    </w:pPr>
    <w:r>
      <w:rPr>
        <w:noProof/>
        <w:lang w:val="es-MX" w:eastAsia="es-MX"/>
      </w:rPr>
      <w:drawing>
        <wp:anchor distT="0" distB="0" distL="114300" distR="114300" simplePos="0" relativeHeight="251657216" behindDoc="1" locked="0" layoutInCell="0" allowOverlap="1">
          <wp:simplePos x="0" y="0"/>
          <wp:positionH relativeFrom="margin">
            <wp:posOffset>-1217295</wp:posOffset>
          </wp:positionH>
          <wp:positionV relativeFrom="margin">
            <wp:posOffset>-1468120</wp:posOffset>
          </wp:positionV>
          <wp:extent cx="7490460" cy="9753600"/>
          <wp:effectExtent l="0" t="0" r="0" b="0"/>
          <wp:wrapNone/>
          <wp:docPr id="1" name="Imagen 1" descr="resolución infoem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lución infoem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0460" cy="9753600"/>
                  </a:xfrm>
                  <a:prstGeom prst="rect">
                    <a:avLst/>
                  </a:prstGeom>
                  <a:noFill/>
                </pic:spPr>
              </pic:pic>
            </a:graphicData>
          </a:graphic>
          <wp14:sizeRelH relativeFrom="page">
            <wp14:pctWidth>0</wp14:pctWidth>
          </wp14:sizeRelH>
          <wp14:sizeRelV relativeFrom="page">
            <wp14:pctHeight>0</wp14:pctHeight>
          </wp14:sizeRelV>
        </wp:anchor>
      </w:drawing>
    </w:r>
    <w:r>
      <w:tab/>
    </w:r>
  </w:p>
  <w:p w:rsidR="00DC601E" w:rsidRDefault="00DC601E">
    <w:pPr>
      <w:pStyle w:val="Encabezado"/>
    </w:pPr>
  </w:p>
  <w:tbl>
    <w:tblPr>
      <w:tblStyle w:val="Tablaconcuadrcula"/>
      <w:tblW w:w="7796" w:type="dxa"/>
      <w:tblInd w:w="1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2"/>
    </w:tblGrid>
    <w:tr w:rsidR="00DC601E" w:rsidRPr="00674A46" w:rsidTr="0080657C">
      <w:trPr>
        <w:trHeight w:val="138"/>
      </w:trPr>
      <w:tc>
        <w:tcPr>
          <w:tcW w:w="3544" w:type="dxa"/>
          <w:vAlign w:val="center"/>
        </w:tcPr>
        <w:p w:rsidR="00DC601E" w:rsidRPr="00620589" w:rsidRDefault="00DC601E" w:rsidP="0080657C">
          <w:pPr>
            <w:ind w:right="34"/>
            <w:jc w:val="right"/>
            <w:rPr>
              <w:rFonts w:ascii="Palatino Linotype" w:hAnsi="Palatino Linotype"/>
              <w:b/>
              <w:sz w:val="20"/>
              <w:szCs w:val="22"/>
            </w:rPr>
          </w:pPr>
          <w:r w:rsidRPr="00620589">
            <w:rPr>
              <w:rFonts w:ascii="Palatino Linotype" w:hAnsi="Palatino Linotype"/>
              <w:b/>
              <w:sz w:val="20"/>
              <w:szCs w:val="22"/>
            </w:rPr>
            <w:t>RECURSO DE REVISIÓN:</w:t>
          </w:r>
        </w:p>
      </w:tc>
      <w:tc>
        <w:tcPr>
          <w:tcW w:w="4252" w:type="dxa"/>
          <w:vAlign w:val="center"/>
        </w:tcPr>
        <w:p w:rsidR="00DC601E" w:rsidRPr="00B465F0" w:rsidRDefault="00DC601E" w:rsidP="0080657C">
          <w:pPr>
            <w:pStyle w:val="Encabezado"/>
            <w:rPr>
              <w:rFonts w:ascii="Palatino Linotype" w:hAnsi="Palatino Linotype" w:cs="Arial"/>
              <w:b/>
              <w:bCs/>
              <w:sz w:val="20"/>
              <w:szCs w:val="20"/>
              <w:lang w:eastAsia="es-MX"/>
            </w:rPr>
          </w:pPr>
          <w:r w:rsidRPr="00B465F0">
            <w:rPr>
              <w:rFonts w:ascii="Palatino Linotype" w:hAnsi="Palatino Linotype" w:cs="Arial"/>
              <w:b/>
              <w:bCs/>
              <w:sz w:val="20"/>
              <w:szCs w:val="20"/>
              <w:lang w:eastAsia="es-MX"/>
            </w:rPr>
            <w:t>0</w:t>
          </w:r>
          <w:r>
            <w:rPr>
              <w:rFonts w:ascii="Palatino Linotype" w:hAnsi="Palatino Linotype" w:cs="Arial"/>
              <w:b/>
              <w:bCs/>
              <w:sz w:val="20"/>
              <w:szCs w:val="20"/>
              <w:lang w:eastAsia="es-MX"/>
            </w:rPr>
            <w:t>7488</w:t>
          </w:r>
          <w:r w:rsidRPr="00B465F0">
            <w:rPr>
              <w:rFonts w:ascii="Palatino Linotype" w:hAnsi="Palatino Linotype" w:cs="Arial"/>
              <w:b/>
              <w:bCs/>
              <w:sz w:val="20"/>
              <w:szCs w:val="20"/>
              <w:lang w:eastAsia="es-MX"/>
            </w:rPr>
            <w:t>/INFOEM/IP/RR/202</w:t>
          </w:r>
          <w:r>
            <w:rPr>
              <w:rFonts w:ascii="Palatino Linotype" w:hAnsi="Palatino Linotype" w:cs="Arial"/>
              <w:b/>
              <w:bCs/>
              <w:sz w:val="20"/>
              <w:szCs w:val="20"/>
              <w:lang w:eastAsia="es-MX"/>
            </w:rPr>
            <w:t>4</w:t>
          </w:r>
        </w:p>
      </w:tc>
    </w:tr>
    <w:tr w:rsidR="00DC601E" w:rsidRPr="00674A46" w:rsidTr="0080657C">
      <w:trPr>
        <w:trHeight w:val="233"/>
      </w:trPr>
      <w:tc>
        <w:tcPr>
          <w:tcW w:w="3544" w:type="dxa"/>
          <w:vAlign w:val="center"/>
        </w:tcPr>
        <w:p w:rsidR="00DC601E" w:rsidRPr="00620589" w:rsidRDefault="00DC601E" w:rsidP="0080657C">
          <w:pPr>
            <w:ind w:right="34"/>
            <w:jc w:val="right"/>
            <w:rPr>
              <w:rFonts w:ascii="Palatino Linotype" w:hAnsi="Palatino Linotype"/>
              <w:b/>
              <w:sz w:val="20"/>
              <w:szCs w:val="22"/>
            </w:rPr>
          </w:pPr>
          <w:r w:rsidRPr="00620589">
            <w:rPr>
              <w:rFonts w:ascii="Palatino Linotype" w:hAnsi="Palatino Linotype"/>
              <w:b/>
              <w:sz w:val="20"/>
              <w:szCs w:val="22"/>
            </w:rPr>
            <w:t>SUJETO OBLIGADO:</w:t>
          </w:r>
        </w:p>
      </w:tc>
      <w:tc>
        <w:tcPr>
          <w:tcW w:w="4252" w:type="dxa"/>
          <w:vAlign w:val="center"/>
        </w:tcPr>
        <w:p w:rsidR="00DC601E" w:rsidRPr="00B465F0" w:rsidRDefault="00DC601E" w:rsidP="0080657C">
          <w:pPr>
            <w:pStyle w:val="Encabezado"/>
            <w:rPr>
              <w:rFonts w:ascii="Palatino Linotype" w:hAnsi="Palatino Linotype"/>
              <w:b/>
              <w:sz w:val="20"/>
              <w:szCs w:val="20"/>
            </w:rPr>
          </w:pPr>
          <w:r>
            <w:rPr>
              <w:rFonts w:ascii="Palatino Linotype" w:hAnsi="Palatino Linotype"/>
              <w:b/>
              <w:bCs/>
              <w:color w:val="000000"/>
              <w:sz w:val="20"/>
              <w:szCs w:val="20"/>
            </w:rPr>
            <w:t xml:space="preserve">Ayuntamiento de Tultitlán </w:t>
          </w:r>
        </w:p>
      </w:tc>
    </w:tr>
    <w:tr w:rsidR="00DC601E" w:rsidRPr="00674A46" w:rsidTr="0080657C">
      <w:trPr>
        <w:trHeight w:val="321"/>
      </w:trPr>
      <w:tc>
        <w:tcPr>
          <w:tcW w:w="3544" w:type="dxa"/>
          <w:vAlign w:val="center"/>
        </w:tcPr>
        <w:p w:rsidR="00DC601E" w:rsidRPr="00620589" w:rsidRDefault="00DC601E" w:rsidP="0080657C">
          <w:pPr>
            <w:ind w:right="34"/>
            <w:jc w:val="right"/>
            <w:rPr>
              <w:rFonts w:ascii="Palatino Linotype" w:hAnsi="Palatino Linotype"/>
              <w:b/>
              <w:sz w:val="20"/>
              <w:szCs w:val="22"/>
            </w:rPr>
          </w:pPr>
          <w:r w:rsidRPr="00620589">
            <w:rPr>
              <w:rFonts w:ascii="Palatino Linotype" w:hAnsi="Palatino Linotype"/>
              <w:b/>
              <w:sz w:val="20"/>
              <w:szCs w:val="22"/>
            </w:rPr>
            <w:t>COMISIONADA PONENTE:</w:t>
          </w:r>
        </w:p>
      </w:tc>
      <w:tc>
        <w:tcPr>
          <w:tcW w:w="4252" w:type="dxa"/>
          <w:vAlign w:val="center"/>
        </w:tcPr>
        <w:p w:rsidR="00DC601E" w:rsidRPr="00B465F0" w:rsidRDefault="00DC601E" w:rsidP="0080657C">
          <w:pPr>
            <w:pStyle w:val="Encabezado"/>
            <w:rPr>
              <w:rFonts w:ascii="Palatino Linotype" w:hAnsi="Palatino Linotype"/>
              <w:b/>
              <w:sz w:val="20"/>
              <w:szCs w:val="20"/>
            </w:rPr>
          </w:pPr>
          <w:r w:rsidRPr="00B465F0">
            <w:rPr>
              <w:rFonts w:ascii="Palatino Linotype" w:hAnsi="Palatino Linotype"/>
              <w:b/>
              <w:sz w:val="20"/>
              <w:szCs w:val="20"/>
            </w:rPr>
            <w:t>María del Rosario Mejía Ayala</w:t>
          </w:r>
        </w:p>
      </w:tc>
    </w:tr>
  </w:tbl>
  <w:p w:rsidR="00DC601E" w:rsidRDefault="00DC601E" w:rsidP="0080657C">
    <w:pPr>
      <w:pStyle w:val="Encabezado"/>
      <w:tabs>
        <w:tab w:val="clear" w:pos="4252"/>
        <w:tab w:val="clear" w:pos="8504"/>
        <w:tab w:val="left" w:pos="160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01E" w:rsidRDefault="0048643A" w:rsidP="0080657C">
    <w:pPr>
      <w:pStyle w:val="Encabezado"/>
      <w:tabs>
        <w:tab w:val="clear" w:pos="4252"/>
        <w:tab w:val="clear" w:pos="8504"/>
        <w:tab w:val="left" w:pos="3103"/>
      </w:tabs>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49" type="#_x0000_t75" alt="resolución infoem imagen" style="position:absolute;margin-left:-85.35pt;margin-top:-131.95pt;width:589.8pt;height:768pt;z-index:-251658240;mso-wrap-edited:f;mso-width-percent:0;mso-height-percent:0;mso-position-horizontal-relative:margin;mso-position-vertical-relative:margin;mso-width-percent:0;mso-height-percent:0" o:allowincell="f">
          <v:imagedata r:id="rId1" o:title="resolución infoem imagen"/>
          <w10:wrap anchorx="margin" anchory="margin"/>
        </v:shape>
      </w:pict>
    </w:r>
    <w:r w:rsidR="00DC601E">
      <w:tab/>
    </w:r>
  </w:p>
  <w:tbl>
    <w:tblPr>
      <w:tblStyle w:val="Tablaconcuadrcula"/>
      <w:tblW w:w="7372" w:type="dxa"/>
      <w:tblInd w:w="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DC601E" w:rsidRPr="00674A46" w:rsidTr="0080657C">
      <w:trPr>
        <w:trHeight w:val="138"/>
      </w:trPr>
      <w:tc>
        <w:tcPr>
          <w:tcW w:w="3261" w:type="dxa"/>
          <w:shd w:val="clear" w:color="auto" w:fill="auto"/>
          <w:vAlign w:val="center"/>
        </w:tcPr>
        <w:p w:rsidR="00DC601E" w:rsidRPr="00B465F0" w:rsidRDefault="00DC601E" w:rsidP="0080657C">
          <w:pPr>
            <w:jc w:val="right"/>
            <w:rPr>
              <w:rFonts w:ascii="Palatino Linotype" w:hAnsi="Palatino Linotype"/>
              <w:b/>
              <w:sz w:val="20"/>
              <w:szCs w:val="20"/>
            </w:rPr>
          </w:pPr>
          <w:r w:rsidRPr="00B465F0">
            <w:rPr>
              <w:rFonts w:ascii="Palatino Linotype" w:hAnsi="Palatino Linotype"/>
              <w:b/>
              <w:sz w:val="20"/>
              <w:szCs w:val="20"/>
            </w:rPr>
            <w:t>RECURSO DE REVISIÓN:</w:t>
          </w:r>
        </w:p>
      </w:tc>
      <w:tc>
        <w:tcPr>
          <w:tcW w:w="4111" w:type="dxa"/>
          <w:shd w:val="clear" w:color="auto" w:fill="auto"/>
          <w:vAlign w:val="center"/>
        </w:tcPr>
        <w:p w:rsidR="00DC601E" w:rsidRPr="00B465F0" w:rsidRDefault="00DC601E" w:rsidP="0080657C">
          <w:pPr>
            <w:pStyle w:val="Encabezado"/>
            <w:jc w:val="both"/>
            <w:rPr>
              <w:rFonts w:ascii="Palatino Linotype" w:hAnsi="Palatino Linotype"/>
              <w:b/>
              <w:sz w:val="20"/>
              <w:szCs w:val="20"/>
            </w:rPr>
          </w:pPr>
          <w:r w:rsidRPr="00B465F0">
            <w:rPr>
              <w:rFonts w:ascii="Palatino Linotype" w:hAnsi="Palatino Linotype" w:cs="Arial"/>
              <w:b/>
              <w:bCs/>
              <w:sz w:val="20"/>
              <w:szCs w:val="20"/>
              <w:lang w:eastAsia="es-MX"/>
            </w:rPr>
            <w:t>0</w:t>
          </w:r>
          <w:r>
            <w:rPr>
              <w:rFonts w:ascii="Palatino Linotype" w:hAnsi="Palatino Linotype" w:cs="Arial"/>
              <w:b/>
              <w:bCs/>
              <w:sz w:val="20"/>
              <w:szCs w:val="20"/>
              <w:lang w:eastAsia="es-MX"/>
            </w:rPr>
            <w:t>7488/INFOEM/IP/RR/2024</w:t>
          </w:r>
        </w:p>
      </w:tc>
    </w:tr>
    <w:tr w:rsidR="00DC601E" w:rsidRPr="00B75F20" w:rsidTr="0080657C">
      <w:trPr>
        <w:trHeight w:val="233"/>
      </w:trPr>
      <w:tc>
        <w:tcPr>
          <w:tcW w:w="3261" w:type="dxa"/>
          <w:shd w:val="clear" w:color="auto" w:fill="auto"/>
          <w:vAlign w:val="center"/>
        </w:tcPr>
        <w:p w:rsidR="00DC601E" w:rsidRPr="00B465F0" w:rsidRDefault="00DC601E" w:rsidP="0080657C">
          <w:pPr>
            <w:jc w:val="right"/>
            <w:rPr>
              <w:rFonts w:ascii="Palatino Linotype" w:hAnsi="Palatino Linotype"/>
              <w:b/>
              <w:sz w:val="20"/>
              <w:szCs w:val="20"/>
            </w:rPr>
          </w:pPr>
          <w:r w:rsidRPr="00B465F0">
            <w:rPr>
              <w:rFonts w:ascii="Palatino Linotype" w:hAnsi="Palatino Linotype"/>
              <w:b/>
              <w:sz w:val="20"/>
              <w:szCs w:val="20"/>
            </w:rPr>
            <w:t>RECURRENTE:</w:t>
          </w:r>
        </w:p>
      </w:tc>
      <w:tc>
        <w:tcPr>
          <w:tcW w:w="4111" w:type="dxa"/>
          <w:shd w:val="clear" w:color="auto" w:fill="auto"/>
        </w:tcPr>
        <w:p w:rsidR="00DC601E" w:rsidRPr="00B465F0" w:rsidRDefault="00D8218A" w:rsidP="0080657C">
          <w:pPr>
            <w:pStyle w:val="Encabezado"/>
            <w:ind w:right="234"/>
            <w:jc w:val="both"/>
            <w:rPr>
              <w:rFonts w:ascii="Palatino Linotype" w:hAnsi="Palatino Linotype"/>
              <w:b/>
              <w:sz w:val="20"/>
              <w:szCs w:val="20"/>
            </w:rPr>
          </w:pPr>
          <w:r>
            <w:rPr>
              <w:rFonts w:ascii="Palatino Linotype" w:hAnsi="Palatino Linotype"/>
              <w:b/>
              <w:sz w:val="20"/>
              <w:szCs w:val="20"/>
            </w:rPr>
            <w:t xml:space="preserve">XXXXXXX </w:t>
          </w:r>
        </w:p>
      </w:tc>
    </w:tr>
    <w:tr w:rsidR="00DC601E" w:rsidRPr="00674A46" w:rsidTr="0080657C">
      <w:trPr>
        <w:trHeight w:val="321"/>
      </w:trPr>
      <w:tc>
        <w:tcPr>
          <w:tcW w:w="3261" w:type="dxa"/>
          <w:shd w:val="clear" w:color="auto" w:fill="auto"/>
          <w:vAlign w:val="center"/>
        </w:tcPr>
        <w:p w:rsidR="00DC601E" w:rsidRPr="00B465F0" w:rsidRDefault="00DC601E" w:rsidP="0080657C">
          <w:pPr>
            <w:jc w:val="right"/>
            <w:rPr>
              <w:rFonts w:ascii="Palatino Linotype" w:hAnsi="Palatino Linotype"/>
              <w:b/>
              <w:sz w:val="20"/>
              <w:szCs w:val="20"/>
            </w:rPr>
          </w:pPr>
          <w:r w:rsidRPr="00B465F0">
            <w:rPr>
              <w:rFonts w:ascii="Palatino Linotype" w:hAnsi="Palatino Linotype"/>
              <w:b/>
              <w:sz w:val="20"/>
              <w:szCs w:val="20"/>
            </w:rPr>
            <w:t>SUJETO OBLIGADO:</w:t>
          </w:r>
        </w:p>
      </w:tc>
      <w:tc>
        <w:tcPr>
          <w:tcW w:w="4111" w:type="dxa"/>
          <w:shd w:val="clear" w:color="auto" w:fill="auto"/>
          <w:vAlign w:val="center"/>
        </w:tcPr>
        <w:p w:rsidR="00DC601E" w:rsidRPr="00B465F0" w:rsidRDefault="00DC601E" w:rsidP="0080657C">
          <w:pPr>
            <w:pStyle w:val="Encabezado"/>
            <w:jc w:val="both"/>
            <w:rPr>
              <w:rFonts w:ascii="Palatino Linotype" w:hAnsi="Palatino Linotype"/>
              <w:b/>
              <w:sz w:val="20"/>
              <w:szCs w:val="20"/>
            </w:rPr>
          </w:pPr>
          <w:r>
            <w:rPr>
              <w:rFonts w:ascii="Palatino Linotype" w:hAnsi="Palatino Linotype"/>
              <w:b/>
              <w:bCs/>
              <w:color w:val="000000"/>
              <w:sz w:val="20"/>
              <w:szCs w:val="20"/>
            </w:rPr>
            <w:t>Ayuntamiento de Tultitlán</w:t>
          </w:r>
        </w:p>
      </w:tc>
    </w:tr>
    <w:tr w:rsidR="00DC601E" w:rsidRPr="00674A46" w:rsidTr="0080657C">
      <w:trPr>
        <w:trHeight w:val="321"/>
      </w:trPr>
      <w:tc>
        <w:tcPr>
          <w:tcW w:w="3261" w:type="dxa"/>
          <w:shd w:val="clear" w:color="auto" w:fill="auto"/>
          <w:vAlign w:val="center"/>
        </w:tcPr>
        <w:p w:rsidR="00DC601E" w:rsidRPr="00B465F0" w:rsidRDefault="00DC601E" w:rsidP="0080657C">
          <w:pPr>
            <w:jc w:val="right"/>
            <w:rPr>
              <w:rFonts w:ascii="Palatino Linotype" w:hAnsi="Palatino Linotype"/>
              <w:b/>
              <w:sz w:val="20"/>
              <w:szCs w:val="20"/>
            </w:rPr>
          </w:pPr>
          <w:r w:rsidRPr="00B465F0">
            <w:rPr>
              <w:rFonts w:ascii="Palatino Linotype" w:hAnsi="Palatino Linotype"/>
              <w:b/>
              <w:sz w:val="20"/>
              <w:szCs w:val="20"/>
            </w:rPr>
            <w:t>COMISIONADA PONENTE:</w:t>
          </w:r>
        </w:p>
      </w:tc>
      <w:tc>
        <w:tcPr>
          <w:tcW w:w="4111" w:type="dxa"/>
          <w:shd w:val="clear" w:color="auto" w:fill="auto"/>
          <w:vAlign w:val="center"/>
        </w:tcPr>
        <w:p w:rsidR="00DC601E" w:rsidRPr="00B465F0" w:rsidRDefault="00DC601E" w:rsidP="0080657C">
          <w:pPr>
            <w:pStyle w:val="Encabezado"/>
            <w:jc w:val="both"/>
            <w:rPr>
              <w:rFonts w:ascii="Palatino Linotype" w:hAnsi="Palatino Linotype"/>
              <w:b/>
              <w:sz w:val="20"/>
              <w:szCs w:val="20"/>
            </w:rPr>
          </w:pPr>
          <w:r w:rsidRPr="00B465F0">
            <w:rPr>
              <w:rFonts w:ascii="Palatino Linotype" w:hAnsi="Palatino Linotype"/>
              <w:b/>
              <w:sz w:val="20"/>
              <w:szCs w:val="20"/>
            </w:rPr>
            <w:t>María del Rosario Mejía Ayala</w:t>
          </w:r>
        </w:p>
      </w:tc>
    </w:tr>
  </w:tbl>
  <w:p w:rsidR="00DC601E" w:rsidRDefault="00DC601E" w:rsidP="0080657C">
    <w:pPr>
      <w:pStyle w:val="Encabezado"/>
      <w:tabs>
        <w:tab w:val="clear" w:pos="4252"/>
        <w:tab w:val="clear" w:pos="8504"/>
        <w:tab w:val="left" w:pos="31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29CB"/>
    <w:multiLevelType w:val="multilevel"/>
    <w:tmpl w:val="0BDC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F146E"/>
    <w:multiLevelType w:val="hybridMultilevel"/>
    <w:tmpl w:val="F2B0F8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316758"/>
    <w:multiLevelType w:val="hybridMultilevel"/>
    <w:tmpl w:val="484CEC70"/>
    <w:lvl w:ilvl="0" w:tplc="494A33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C1274E"/>
    <w:multiLevelType w:val="multilevel"/>
    <w:tmpl w:val="1388BC6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977AE5"/>
    <w:multiLevelType w:val="multilevel"/>
    <w:tmpl w:val="0E7AA73C"/>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lowerLetter"/>
      <w:lvlText w:val="%4)"/>
      <w:lvlJc w:val="left"/>
      <w:pPr>
        <w:ind w:left="2880" w:hanging="360"/>
      </w:pPr>
      <w:rPr>
        <w:b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DA0C7B"/>
    <w:multiLevelType w:val="hybridMultilevel"/>
    <w:tmpl w:val="484CEC70"/>
    <w:lvl w:ilvl="0" w:tplc="494A33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384755"/>
    <w:multiLevelType w:val="multilevel"/>
    <w:tmpl w:val="9BFE07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856966"/>
    <w:multiLevelType w:val="hybridMultilevel"/>
    <w:tmpl w:val="8F0ADF54"/>
    <w:lvl w:ilvl="0" w:tplc="1BC82DE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317490"/>
    <w:multiLevelType w:val="hybridMultilevel"/>
    <w:tmpl w:val="FD30DC42"/>
    <w:lvl w:ilvl="0" w:tplc="92BE0B36">
      <w:start w:val="1"/>
      <w:numFmt w:val="decimal"/>
      <w:lvlText w:val="%1."/>
      <w:lvlJc w:val="left"/>
      <w:pPr>
        <w:ind w:left="4330"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D44ADA"/>
    <w:multiLevelType w:val="hybridMultilevel"/>
    <w:tmpl w:val="484CEC70"/>
    <w:lvl w:ilvl="0" w:tplc="494A33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8C342F"/>
    <w:multiLevelType w:val="hybridMultilevel"/>
    <w:tmpl w:val="6972D054"/>
    <w:lvl w:ilvl="0" w:tplc="080A000B">
      <w:start w:val="1"/>
      <w:numFmt w:val="bullet"/>
      <w:lvlText w:val=""/>
      <w:lvlJc w:val="left"/>
      <w:pPr>
        <w:ind w:left="720" w:hanging="360"/>
      </w:pPr>
      <w:rPr>
        <w:rFonts w:ascii="Wingdings" w:hAnsi="Wingdings"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F7D39D5"/>
    <w:multiLevelType w:val="hybridMultilevel"/>
    <w:tmpl w:val="7FA2D46C"/>
    <w:lvl w:ilvl="0" w:tplc="2662003C">
      <w:start w:val="1"/>
      <w:numFmt w:val="upperRoman"/>
      <w:lvlText w:val="%1."/>
      <w:lvlJc w:val="left"/>
      <w:pPr>
        <w:ind w:left="1287" w:hanging="720"/>
      </w:pPr>
      <w:rPr>
        <w:rFonts w:hint="default"/>
        <w:b/>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2" w15:restartNumberingAfterBreak="0">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357048"/>
    <w:multiLevelType w:val="hybridMultilevel"/>
    <w:tmpl w:val="9BBAB72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717C63D8"/>
    <w:multiLevelType w:val="hybridMultilevel"/>
    <w:tmpl w:val="54A469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70136A0"/>
    <w:multiLevelType w:val="hybridMultilevel"/>
    <w:tmpl w:val="F072DB56"/>
    <w:lvl w:ilvl="0" w:tplc="080A000F">
      <w:start w:val="1"/>
      <w:numFmt w:val="decimal"/>
      <w:lvlText w:val="%1."/>
      <w:lvlJc w:val="left"/>
      <w:pPr>
        <w:ind w:left="360"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164235"/>
    <w:multiLevelType w:val="multilevel"/>
    <w:tmpl w:val="5616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602842"/>
    <w:multiLevelType w:val="hybridMultilevel"/>
    <w:tmpl w:val="993059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2"/>
  </w:num>
  <w:num w:numId="4">
    <w:abstractNumId w:val="13"/>
  </w:num>
  <w:num w:numId="5">
    <w:abstractNumId w:val="14"/>
  </w:num>
  <w:num w:numId="6">
    <w:abstractNumId w:val="4"/>
  </w:num>
  <w:num w:numId="7">
    <w:abstractNumId w:val="0"/>
  </w:num>
  <w:num w:numId="8">
    <w:abstractNumId w:val="18"/>
  </w:num>
  <w:num w:numId="9">
    <w:abstractNumId w:val="15"/>
  </w:num>
  <w:num w:numId="10">
    <w:abstractNumId w:val="3"/>
  </w:num>
  <w:num w:numId="11">
    <w:abstractNumId w:val="6"/>
  </w:num>
  <w:num w:numId="12">
    <w:abstractNumId w:val="1"/>
  </w:num>
  <w:num w:numId="13">
    <w:abstractNumId w:val="8"/>
  </w:num>
  <w:num w:numId="14">
    <w:abstractNumId w:val="7"/>
  </w:num>
  <w:num w:numId="15">
    <w:abstractNumId w:val="10"/>
  </w:num>
  <w:num w:numId="16">
    <w:abstractNumId w:val="9"/>
  </w:num>
  <w:num w:numId="17">
    <w:abstractNumId w:val="16"/>
  </w:num>
  <w:num w:numId="18">
    <w:abstractNumId w:val="19"/>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F8E"/>
    <w:rsid w:val="0000704A"/>
    <w:rsid w:val="00187275"/>
    <w:rsid w:val="001B2D3C"/>
    <w:rsid w:val="001D0D1D"/>
    <w:rsid w:val="001E1B61"/>
    <w:rsid w:val="00231623"/>
    <w:rsid w:val="00390051"/>
    <w:rsid w:val="003952E3"/>
    <w:rsid w:val="003D283E"/>
    <w:rsid w:val="0048643A"/>
    <w:rsid w:val="004D1B03"/>
    <w:rsid w:val="004E267D"/>
    <w:rsid w:val="00501AD8"/>
    <w:rsid w:val="005309F6"/>
    <w:rsid w:val="00552072"/>
    <w:rsid w:val="005709AE"/>
    <w:rsid w:val="005722BA"/>
    <w:rsid w:val="005E6DE0"/>
    <w:rsid w:val="00606878"/>
    <w:rsid w:val="00721E67"/>
    <w:rsid w:val="00765CD4"/>
    <w:rsid w:val="007A55AF"/>
    <w:rsid w:val="007C2D36"/>
    <w:rsid w:val="007E42C0"/>
    <w:rsid w:val="0080657C"/>
    <w:rsid w:val="00874F8E"/>
    <w:rsid w:val="00924BAB"/>
    <w:rsid w:val="00965917"/>
    <w:rsid w:val="009869F6"/>
    <w:rsid w:val="009C68B8"/>
    <w:rsid w:val="009D2CFE"/>
    <w:rsid w:val="00A40DAF"/>
    <w:rsid w:val="00AB52FD"/>
    <w:rsid w:val="00AE58B7"/>
    <w:rsid w:val="00B42540"/>
    <w:rsid w:val="00B61819"/>
    <w:rsid w:val="00D8136B"/>
    <w:rsid w:val="00D8218A"/>
    <w:rsid w:val="00DC601E"/>
    <w:rsid w:val="00FC14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A7BB369-5770-4B25-A2FD-E60AA70D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F8E"/>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874F8E"/>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ES_tradnl" w:eastAsia="en-US"/>
    </w:rPr>
  </w:style>
  <w:style w:type="paragraph" w:styleId="Ttulo3">
    <w:name w:val="heading 3"/>
    <w:basedOn w:val="Normal"/>
    <w:next w:val="Normal"/>
    <w:link w:val="Ttulo3Car"/>
    <w:uiPriority w:val="9"/>
    <w:unhideWhenUsed/>
    <w:qFormat/>
    <w:rsid w:val="00501AD8"/>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74F8E"/>
    <w:rPr>
      <w:rFonts w:asciiTheme="majorHAnsi" w:eastAsiaTheme="majorEastAsia" w:hAnsiTheme="majorHAnsi" w:cstheme="majorBidi"/>
      <w:color w:val="2E74B5" w:themeColor="accent1" w:themeShade="BF"/>
      <w:sz w:val="26"/>
      <w:szCs w:val="26"/>
      <w:lang w:val="es-ES_tradnl"/>
    </w:rPr>
  </w:style>
  <w:style w:type="paragraph" w:styleId="Encabezado">
    <w:name w:val="header"/>
    <w:basedOn w:val="Normal"/>
    <w:link w:val="EncabezadoCar"/>
    <w:uiPriority w:val="99"/>
    <w:unhideWhenUsed/>
    <w:rsid w:val="00874F8E"/>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874F8E"/>
    <w:rPr>
      <w:rFonts w:eastAsiaTheme="minorEastAsia"/>
      <w:sz w:val="24"/>
      <w:szCs w:val="24"/>
      <w:lang w:val="es-ES_tradnl" w:eastAsia="es-ES"/>
    </w:rPr>
  </w:style>
  <w:style w:type="paragraph" w:styleId="Piedepgina">
    <w:name w:val="footer"/>
    <w:basedOn w:val="Normal"/>
    <w:link w:val="PiedepginaCar"/>
    <w:uiPriority w:val="99"/>
    <w:unhideWhenUsed/>
    <w:rsid w:val="00874F8E"/>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874F8E"/>
    <w:rPr>
      <w:rFonts w:eastAsiaTheme="minorEastAsia"/>
      <w:sz w:val="24"/>
      <w:szCs w:val="24"/>
      <w:lang w:val="es-ES_tradnl" w:eastAsia="es-ES"/>
    </w:rPr>
  </w:style>
  <w:style w:type="table" w:styleId="Tablaconcuadrcula">
    <w:name w:val="Table Grid"/>
    <w:basedOn w:val="Tablanormal"/>
    <w:uiPriority w:val="39"/>
    <w:rsid w:val="00874F8E"/>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74F8E"/>
    <w:pPr>
      <w:ind w:left="720"/>
      <w:contextualSpacing/>
    </w:pPr>
    <w:rPr>
      <w:rFonts w:asciiTheme="minorHAnsi" w:eastAsiaTheme="minorEastAsia" w:hAnsiTheme="minorHAnsi" w:cstheme="minorBidi"/>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74F8E"/>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874F8E"/>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74F8E"/>
    <w:rPr>
      <w:rFonts w:asciiTheme="minorHAnsi" w:eastAsiaTheme="minorHAnsi" w:hAnsiTheme="minorHAnsi" w:cstheme="minorBidi"/>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74F8E"/>
    <w:rPr>
      <w:sz w:val="20"/>
      <w:szCs w:val="20"/>
      <w:lang w:val="es-ES_tradnl"/>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74F8E"/>
    <w:rPr>
      <w:vertAlign w:val="superscript"/>
    </w:rPr>
  </w:style>
  <w:style w:type="character" w:customStyle="1" w:styleId="Ttulo3Car">
    <w:name w:val="Título 3 Car"/>
    <w:basedOn w:val="Fuentedeprrafopredeter"/>
    <w:link w:val="Ttulo3"/>
    <w:uiPriority w:val="9"/>
    <w:rsid w:val="00501AD8"/>
    <w:rPr>
      <w:rFonts w:asciiTheme="majorHAnsi" w:eastAsiaTheme="majorEastAsia" w:hAnsiTheme="majorHAnsi" w:cstheme="majorBidi"/>
      <w:color w:val="1F4D78" w:themeColor="accent1" w:themeShade="7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806593">
      <w:bodyDiv w:val="1"/>
      <w:marLeft w:val="0"/>
      <w:marRight w:val="0"/>
      <w:marTop w:val="0"/>
      <w:marBottom w:val="0"/>
      <w:divBdr>
        <w:top w:val="none" w:sz="0" w:space="0" w:color="auto"/>
        <w:left w:val="none" w:sz="0" w:space="0" w:color="auto"/>
        <w:bottom w:val="none" w:sz="0" w:space="0" w:color="auto"/>
        <w:right w:val="none" w:sz="0" w:space="0" w:color="auto"/>
      </w:divBdr>
    </w:div>
    <w:div w:id="172884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72084.page" TargetMode="External"/><Relationship Id="rId13" Type="http://schemas.openxmlformats.org/officeDocument/2006/relationships/hyperlink" Target="https://saimex.org.mx/saimex/solicitud/downloadAttach/2303905.pag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aimex.org.mx/saimex/solicitud/downloadAttach/2272083.page" TargetMode="External"/><Relationship Id="rId12" Type="http://schemas.openxmlformats.org/officeDocument/2006/relationships/hyperlink" Target="https://saimex.org.mx/saimex/solicitud/downloadAttach/2303904.pag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imex.org.mx/saimex/solicitud/downloadAttach/2303903.page"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saimex.org.mx/saimex/solicitud/downloadAttach/2303902.pag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aimex.org.mx/saimex/solicitud/downloadAttach/2299799.page"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55</Pages>
  <Words>15021</Words>
  <Characters>82620</Characters>
  <Application>Microsoft Office Word</Application>
  <DocSecurity>0</DocSecurity>
  <Lines>688</Lines>
  <Paragraphs>194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INFOEM521</dc:creator>
  <cp:keywords/>
  <dc:description/>
  <cp:lastModifiedBy>INFOEM403</cp:lastModifiedBy>
  <cp:revision>11</cp:revision>
  <cp:lastPrinted>2025-02-07T15:59:00Z</cp:lastPrinted>
  <dcterms:created xsi:type="dcterms:W3CDTF">2025-02-04T23:39:00Z</dcterms:created>
  <dcterms:modified xsi:type="dcterms:W3CDTF">2025-03-25T01:01:00Z</dcterms:modified>
</cp:coreProperties>
</file>