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37E" w:rsidRPr="002413EA" w:rsidRDefault="0013237E" w:rsidP="002413EA">
      <w:pPr>
        <w:spacing w:line="360" w:lineRule="auto"/>
        <w:jc w:val="both"/>
        <w:rPr>
          <w:rFonts w:ascii="Palatino Linotype" w:eastAsia="Palatino Linotype" w:hAnsi="Palatino Linotype" w:cs="Palatino Linotype"/>
          <w:color w:val="000000" w:themeColor="text1"/>
        </w:rPr>
      </w:pPr>
      <w:bookmarkStart w:id="0" w:name="_GoBack"/>
      <w:bookmarkEnd w:id="0"/>
      <w:r w:rsidRPr="002413EA">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2413EA">
        <w:rPr>
          <w:rFonts w:ascii="Palatino Linotype" w:eastAsia="Palatino Linotype" w:hAnsi="Palatino Linotype" w:cs="Palatino Linotype"/>
          <w:b/>
          <w:color w:val="000000" w:themeColor="text1"/>
        </w:rPr>
        <w:t xml:space="preserve">de fecha veinte (20) </w:t>
      </w:r>
      <w:r w:rsidR="002413EA" w:rsidRPr="00157555">
        <w:rPr>
          <w:rFonts w:ascii="Palatino Linotype" w:eastAsia="Palatino Linotype" w:hAnsi="Palatino Linotype" w:cs="Palatino Linotype"/>
          <w:b/>
          <w:color w:val="000000" w:themeColor="text1"/>
        </w:rPr>
        <w:t xml:space="preserve">de </w:t>
      </w:r>
      <w:r w:rsidR="002413EA">
        <w:rPr>
          <w:rFonts w:ascii="Palatino Linotype" w:eastAsia="Palatino Linotype" w:hAnsi="Palatino Linotype" w:cs="Palatino Linotype"/>
          <w:b/>
          <w:color w:val="000000" w:themeColor="text1"/>
        </w:rPr>
        <w:t xml:space="preserve">noviembre </w:t>
      </w:r>
      <w:r w:rsidR="002413EA" w:rsidRPr="00157555">
        <w:rPr>
          <w:rFonts w:ascii="Palatino Linotype" w:eastAsia="Palatino Linotype" w:hAnsi="Palatino Linotype" w:cs="Palatino Linotype"/>
          <w:b/>
          <w:color w:val="000000" w:themeColor="text1"/>
        </w:rPr>
        <w:t>de dos mil veinticinco</w:t>
      </w:r>
      <w:r w:rsidRPr="002413EA">
        <w:rPr>
          <w:rFonts w:ascii="Palatino Linotype" w:eastAsia="Palatino Linotype" w:hAnsi="Palatino Linotype" w:cs="Palatino Linotype"/>
          <w:color w:val="000000" w:themeColor="text1"/>
        </w:rPr>
        <w:t>.</w:t>
      </w:r>
    </w:p>
    <w:p w:rsidR="0013237E" w:rsidRPr="002413EA" w:rsidRDefault="0013237E" w:rsidP="002413EA">
      <w:pPr>
        <w:spacing w:line="360" w:lineRule="auto"/>
        <w:jc w:val="both"/>
        <w:rPr>
          <w:rFonts w:ascii="Palatino Linotype" w:eastAsia="Palatino Linotype" w:hAnsi="Palatino Linotype" w:cs="Palatino Linotype"/>
          <w:color w:val="000000" w:themeColor="text1"/>
        </w:rPr>
      </w:pPr>
    </w:p>
    <w:p w:rsidR="0013237E" w:rsidRPr="002413EA" w:rsidRDefault="0013237E" w:rsidP="002413EA">
      <w:pPr>
        <w:spacing w:line="360" w:lineRule="auto"/>
        <w:jc w:val="both"/>
        <w:rPr>
          <w:rFonts w:ascii="Palatino Linotype" w:eastAsia="Palatino Linotype" w:hAnsi="Palatino Linotype" w:cs="Palatino Linotype"/>
          <w:color w:val="000000" w:themeColor="text1"/>
        </w:rPr>
      </w:pPr>
      <w:r w:rsidRPr="002413EA">
        <w:rPr>
          <w:rFonts w:ascii="Palatino Linotype" w:eastAsia="Palatino Linotype" w:hAnsi="Palatino Linotype" w:cs="Palatino Linotype"/>
          <w:b/>
          <w:color w:val="000000" w:themeColor="text1"/>
        </w:rPr>
        <w:t>VISTO</w:t>
      </w:r>
      <w:r w:rsidRPr="002413EA">
        <w:rPr>
          <w:rFonts w:ascii="Palatino Linotype" w:eastAsia="Palatino Linotype" w:hAnsi="Palatino Linotype" w:cs="Palatino Linotype"/>
          <w:color w:val="000000" w:themeColor="text1"/>
        </w:rPr>
        <w:t xml:space="preserve"> el expediente electrónico formado con motivo del recurso de revisión </w:t>
      </w:r>
      <w:r w:rsidRPr="002413EA">
        <w:rPr>
          <w:rFonts w:ascii="Palatino Linotype" w:eastAsia="Palatino Linotype" w:hAnsi="Palatino Linotype" w:cs="Palatino Linotype"/>
          <w:b/>
          <w:color w:val="000000" w:themeColor="text1"/>
        </w:rPr>
        <w:t xml:space="preserve">11953/INFOEM/IP/RR/2025, </w:t>
      </w:r>
      <w:r w:rsidRPr="002413EA">
        <w:rPr>
          <w:rFonts w:ascii="Palatino Linotype" w:eastAsia="Palatino Linotype" w:hAnsi="Palatino Linotype" w:cs="Palatino Linotype"/>
          <w:color w:val="000000" w:themeColor="text1"/>
        </w:rPr>
        <w:t xml:space="preserve">promovido por </w:t>
      </w:r>
      <w:r w:rsidR="002413EA">
        <w:rPr>
          <w:rFonts w:ascii="Palatino Linotype" w:eastAsia="Palatino Linotype" w:hAnsi="Palatino Linotype" w:cs="Palatino Linotype"/>
          <w:b/>
          <w:color w:val="000000" w:themeColor="text1"/>
        </w:rPr>
        <w:t xml:space="preserve">una persona que no proporcionó datos de identificación, </w:t>
      </w:r>
      <w:r w:rsidR="002413EA">
        <w:rPr>
          <w:rFonts w:ascii="Palatino Linotype" w:eastAsia="Palatino Linotype" w:hAnsi="Palatino Linotype" w:cs="Palatino Linotype"/>
          <w:color w:val="000000" w:themeColor="text1"/>
        </w:rPr>
        <w:t>a</w:t>
      </w:r>
      <w:r w:rsidRPr="002413EA">
        <w:rPr>
          <w:rFonts w:ascii="Palatino Linotype" w:eastAsia="Palatino Linotype" w:hAnsi="Palatino Linotype" w:cs="Palatino Linotype"/>
          <w:color w:val="000000" w:themeColor="text1"/>
        </w:rPr>
        <w:t xml:space="preserve"> quien en lo sucesivo se identificará como </w:t>
      </w:r>
      <w:r w:rsidRPr="002413EA">
        <w:rPr>
          <w:rFonts w:ascii="Palatino Linotype" w:eastAsia="Palatino Linotype" w:hAnsi="Palatino Linotype" w:cs="Palatino Linotype"/>
          <w:b/>
          <w:color w:val="000000" w:themeColor="text1"/>
        </w:rPr>
        <w:t>EL RECURRENTE</w:t>
      </w:r>
      <w:r w:rsidRPr="002413EA">
        <w:rPr>
          <w:rFonts w:ascii="Palatino Linotype" w:eastAsia="Palatino Linotype" w:hAnsi="Palatino Linotype" w:cs="Palatino Linotype"/>
          <w:color w:val="000000" w:themeColor="text1"/>
        </w:rPr>
        <w:t xml:space="preserve">, en contra de la respuesta de la </w:t>
      </w:r>
      <w:r w:rsidRPr="002413EA">
        <w:rPr>
          <w:rFonts w:ascii="Palatino Linotype" w:eastAsia="Palatino Linotype" w:hAnsi="Palatino Linotype" w:cs="Palatino Linotype"/>
          <w:b/>
          <w:color w:val="000000" w:themeColor="text1"/>
        </w:rPr>
        <w:t xml:space="preserve">Secretaría de Seguridad, </w:t>
      </w:r>
      <w:r w:rsidRPr="002413EA">
        <w:rPr>
          <w:rFonts w:ascii="Palatino Linotype" w:eastAsia="Palatino Linotype" w:hAnsi="Palatino Linotype" w:cs="Palatino Linotype"/>
          <w:color w:val="000000" w:themeColor="text1"/>
        </w:rPr>
        <w:t>en adelante el</w:t>
      </w:r>
      <w:r w:rsidRPr="002413EA">
        <w:rPr>
          <w:rFonts w:ascii="Palatino Linotype" w:eastAsia="Palatino Linotype" w:hAnsi="Palatino Linotype" w:cs="Palatino Linotype"/>
          <w:b/>
          <w:color w:val="000000" w:themeColor="text1"/>
        </w:rPr>
        <w:t xml:space="preserve"> SUJETO OBLIGADO</w:t>
      </w:r>
      <w:r w:rsidRPr="002413EA">
        <w:rPr>
          <w:rFonts w:ascii="Palatino Linotype" w:eastAsia="Palatino Linotype" w:hAnsi="Palatino Linotype" w:cs="Palatino Linotype"/>
          <w:color w:val="000000" w:themeColor="text1"/>
        </w:rPr>
        <w:t>, por lo que se procede a dictar la presente resolución, con base en los siguientes:</w:t>
      </w:r>
    </w:p>
    <w:p w:rsidR="0013237E" w:rsidRPr="002413EA" w:rsidRDefault="0013237E" w:rsidP="002413EA">
      <w:pPr>
        <w:spacing w:line="360" w:lineRule="auto"/>
        <w:jc w:val="both"/>
        <w:rPr>
          <w:rFonts w:ascii="Palatino Linotype" w:eastAsia="Palatino Linotype" w:hAnsi="Palatino Linotype" w:cs="Palatino Linotype"/>
          <w:b/>
          <w:color w:val="000000" w:themeColor="text1"/>
        </w:rPr>
      </w:pPr>
    </w:p>
    <w:p w:rsidR="0013237E" w:rsidRPr="002413EA" w:rsidRDefault="0013237E" w:rsidP="002413EA">
      <w:pPr>
        <w:keepNext/>
        <w:keepLines/>
        <w:spacing w:line="360" w:lineRule="auto"/>
        <w:jc w:val="center"/>
        <w:rPr>
          <w:rFonts w:ascii="Palatino Linotype" w:eastAsia="Palatino Linotype" w:hAnsi="Palatino Linotype" w:cs="Palatino Linotype"/>
          <w:b/>
          <w:color w:val="000000" w:themeColor="text1"/>
        </w:rPr>
      </w:pPr>
      <w:bookmarkStart w:id="1" w:name="_heading=h.gjdgxs" w:colFirst="0" w:colLast="0"/>
      <w:bookmarkEnd w:id="1"/>
      <w:r w:rsidRPr="002413EA">
        <w:rPr>
          <w:rFonts w:ascii="Palatino Linotype" w:eastAsia="Palatino Linotype" w:hAnsi="Palatino Linotype" w:cs="Palatino Linotype"/>
          <w:b/>
          <w:color w:val="000000" w:themeColor="text1"/>
        </w:rPr>
        <w:t>A N T E C E D E N T E S</w:t>
      </w:r>
    </w:p>
    <w:p w:rsidR="0013237E" w:rsidRPr="002413EA" w:rsidRDefault="0013237E" w:rsidP="002413EA">
      <w:pPr>
        <w:spacing w:line="360" w:lineRule="auto"/>
        <w:rPr>
          <w:rFonts w:ascii="Palatino Linotype" w:eastAsia="Palatino Linotype" w:hAnsi="Palatino Linotype" w:cs="Palatino Linotype"/>
          <w:color w:val="000000" w:themeColor="text1"/>
        </w:rPr>
      </w:pPr>
    </w:p>
    <w:p w:rsidR="0013237E" w:rsidRPr="002413EA" w:rsidRDefault="0013237E" w:rsidP="002413EA">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413EA">
        <w:rPr>
          <w:rFonts w:ascii="Palatino Linotype" w:eastAsia="Palatino Linotype" w:hAnsi="Palatino Linotype" w:cs="Palatino Linotype"/>
          <w:color w:val="000000" w:themeColor="text1"/>
        </w:rPr>
        <w:t xml:space="preserve">El </w:t>
      </w:r>
      <w:r w:rsidRPr="002413EA">
        <w:rPr>
          <w:rFonts w:ascii="Palatino Linotype" w:eastAsia="Palatino Linotype" w:hAnsi="Palatino Linotype" w:cs="Palatino Linotype"/>
          <w:b/>
          <w:color w:val="000000" w:themeColor="text1"/>
        </w:rPr>
        <w:t>dos de septiembre de dos mil veinticinco</w:t>
      </w:r>
      <w:r w:rsidRPr="002413EA">
        <w:rPr>
          <w:rFonts w:ascii="Palatino Linotype" w:eastAsia="Palatino Linotype" w:hAnsi="Palatino Linotype" w:cs="Palatino Linotype"/>
          <w:color w:val="000000" w:themeColor="text1"/>
        </w:rPr>
        <w:t xml:space="preserve">, </w:t>
      </w:r>
      <w:r w:rsidRPr="002413EA">
        <w:rPr>
          <w:rFonts w:ascii="Palatino Linotype" w:eastAsia="Palatino Linotype" w:hAnsi="Palatino Linotype" w:cs="Palatino Linotype"/>
          <w:b/>
          <w:color w:val="000000" w:themeColor="text1"/>
        </w:rPr>
        <w:t>EL RECURRENTE,</w:t>
      </w:r>
      <w:r w:rsidRPr="002413EA">
        <w:rPr>
          <w:rFonts w:ascii="Palatino Linotype" w:eastAsia="Palatino Linotype" w:hAnsi="Palatino Linotype" w:cs="Palatino Linotype"/>
          <w:color w:val="000000" w:themeColor="text1"/>
        </w:rPr>
        <w:t xml:space="preserve"> ante el </w:t>
      </w:r>
      <w:r w:rsidRPr="002413EA">
        <w:rPr>
          <w:rFonts w:ascii="Palatino Linotype" w:eastAsia="Palatino Linotype" w:hAnsi="Palatino Linotype" w:cs="Palatino Linotype"/>
          <w:b/>
          <w:color w:val="000000" w:themeColor="text1"/>
        </w:rPr>
        <w:t>SUJETO OBLIGADO</w:t>
      </w:r>
      <w:r w:rsidRPr="002413EA">
        <w:rPr>
          <w:rFonts w:ascii="Palatino Linotype" w:eastAsia="Palatino Linotype" w:hAnsi="Palatino Linotype" w:cs="Palatino Linotype"/>
          <w:color w:val="000000" w:themeColor="text1"/>
        </w:rPr>
        <w:t xml:space="preserve"> a través del Sistema de Acceso a la Información Mexiquense (SAIMEX), presentó una solicitud de información registrada con el número </w:t>
      </w:r>
      <w:r w:rsidRPr="002413EA">
        <w:rPr>
          <w:rFonts w:ascii="Palatino Linotype" w:eastAsia="Palatino Linotype" w:hAnsi="Palatino Linotype" w:cs="Palatino Linotype"/>
          <w:b/>
          <w:bCs/>
          <w:color w:val="000000" w:themeColor="text1"/>
        </w:rPr>
        <w:t> 00366/SSEM/IP/2025</w:t>
      </w:r>
      <w:r w:rsidRPr="002413EA">
        <w:rPr>
          <w:rFonts w:ascii="Palatino Linotype" w:eastAsia="Palatino Linotype" w:hAnsi="Palatino Linotype" w:cs="Palatino Linotype"/>
          <w:b/>
          <w:color w:val="000000" w:themeColor="text1"/>
        </w:rPr>
        <w:t xml:space="preserve">, </w:t>
      </w:r>
      <w:r w:rsidRPr="002413EA">
        <w:rPr>
          <w:rFonts w:ascii="Palatino Linotype" w:eastAsia="Palatino Linotype" w:hAnsi="Palatino Linotype" w:cs="Palatino Linotype"/>
          <w:color w:val="000000" w:themeColor="text1"/>
        </w:rPr>
        <w:t>en la que se solicitó lo siguiente:</w:t>
      </w:r>
    </w:p>
    <w:p w:rsidR="0013237E" w:rsidRPr="002413EA" w:rsidRDefault="0013237E" w:rsidP="002413E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3237E" w:rsidRPr="002413EA" w:rsidRDefault="0013237E" w:rsidP="002413EA">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2413EA">
        <w:rPr>
          <w:rFonts w:ascii="Palatino Linotype" w:eastAsia="Palatino Linotype" w:hAnsi="Palatino Linotype" w:cs="Palatino Linotype"/>
          <w:i/>
          <w:color w:val="000000" w:themeColor="text1"/>
        </w:rPr>
        <w:t xml:space="preserve">“Contrataciones de servicios profesionales por honorarios” (Sic) </w:t>
      </w:r>
    </w:p>
    <w:p w:rsidR="0013237E" w:rsidRDefault="0013237E" w:rsidP="002413E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3237E" w:rsidRPr="002413EA" w:rsidRDefault="0013237E" w:rsidP="002413EA">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413EA">
        <w:rPr>
          <w:rFonts w:ascii="Palatino Linotype" w:eastAsia="Palatino Linotype" w:hAnsi="Palatino Linotype" w:cs="Palatino Linotype"/>
          <w:color w:val="000000" w:themeColor="text1"/>
        </w:rPr>
        <w:t xml:space="preserve">Se señaló como modalidad de entrega a través de SAIMEX.  </w:t>
      </w:r>
    </w:p>
    <w:p w:rsidR="0013237E" w:rsidRPr="002413EA" w:rsidRDefault="0013237E" w:rsidP="002413E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3237E" w:rsidRPr="002413EA" w:rsidRDefault="0013237E" w:rsidP="002413EA">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413EA">
        <w:rPr>
          <w:rFonts w:ascii="Palatino Linotype" w:eastAsia="Palatino Linotype" w:hAnsi="Palatino Linotype" w:cs="Palatino Linotype"/>
          <w:color w:val="000000" w:themeColor="text1"/>
        </w:rPr>
        <w:t xml:space="preserve">El </w:t>
      </w:r>
      <w:r w:rsidRPr="002413EA">
        <w:rPr>
          <w:rFonts w:ascii="Palatino Linotype" w:eastAsia="Palatino Linotype" w:hAnsi="Palatino Linotype" w:cs="Palatino Linotype"/>
          <w:b/>
          <w:color w:val="000000" w:themeColor="text1"/>
        </w:rPr>
        <w:t>veinticuatro de septiembre de dos mil veinticinco</w:t>
      </w:r>
      <w:r w:rsidRPr="002413EA">
        <w:rPr>
          <w:rFonts w:ascii="Palatino Linotype" w:eastAsia="Palatino Linotype" w:hAnsi="Palatino Linotype" w:cs="Palatino Linotype"/>
          <w:color w:val="000000" w:themeColor="text1"/>
        </w:rPr>
        <w:t xml:space="preserve">, se realizó un requerimiento de información al servidor público habilitado. </w:t>
      </w:r>
    </w:p>
    <w:p w:rsidR="0013237E" w:rsidRPr="002413EA" w:rsidRDefault="0013237E" w:rsidP="002413EA">
      <w:pPr>
        <w:pStyle w:val="Prrafodelista"/>
        <w:ind w:left="0"/>
        <w:rPr>
          <w:rFonts w:ascii="Palatino Linotype" w:eastAsia="Palatino Linotype" w:hAnsi="Palatino Linotype" w:cs="Palatino Linotype"/>
          <w:color w:val="000000" w:themeColor="text1"/>
        </w:rPr>
      </w:pPr>
    </w:p>
    <w:p w:rsidR="0013237E" w:rsidRPr="002413EA" w:rsidRDefault="0013237E" w:rsidP="002413EA">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413EA">
        <w:rPr>
          <w:rFonts w:ascii="Palatino Linotype" w:eastAsia="Palatino Linotype" w:hAnsi="Palatino Linotype" w:cs="Palatino Linotype"/>
          <w:color w:val="000000" w:themeColor="text1"/>
        </w:rPr>
        <w:lastRenderedPageBreak/>
        <w:t xml:space="preserve">El </w:t>
      </w:r>
      <w:r w:rsidRPr="002413EA">
        <w:rPr>
          <w:rFonts w:ascii="Palatino Linotype" w:eastAsia="Palatino Linotype" w:hAnsi="Palatino Linotype" w:cs="Palatino Linotype"/>
          <w:b/>
          <w:color w:val="000000" w:themeColor="text1"/>
        </w:rPr>
        <w:t>veinticuatro de septiembre de dos mil veinticinco</w:t>
      </w:r>
      <w:r w:rsidRPr="002413EA">
        <w:rPr>
          <w:rFonts w:ascii="Palatino Linotype" w:eastAsia="Palatino Linotype" w:hAnsi="Palatino Linotype" w:cs="Palatino Linotype"/>
          <w:color w:val="000000" w:themeColor="text1"/>
        </w:rPr>
        <w:t>, el Sujeto Obligado notificó una prórroga para emitir respuesta</w:t>
      </w:r>
      <w:r w:rsidR="00C3277E" w:rsidRPr="002413EA">
        <w:rPr>
          <w:rFonts w:ascii="Palatino Linotype" w:eastAsia="Palatino Linotype" w:hAnsi="Palatino Linotype" w:cs="Palatino Linotype"/>
          <w:color w:val="000000" w:themeColor="text1"/>
        </w:rPr>
        <w:t xml:space="preserve"> en el siguiente sentido:</w:t>
      </w:r>
    </w:p>
    <w:p w:rsidR="00C3277E" w:rsidRPr="002413EA" w:rsidRDefault="00C3277E" w:rsidP="002413EA">
      <w:pPr>
        <w:pStyle w:val="Prrafodelista"/>
        <w:ind w:left="0"/>
        <w:rPr>
          <w:rFonts w:ascii="Palatino Linotype" w:eastAsia="Palatino Linotype" w:hAnsi="Palatino Linotype" w:cs="Palatino Linotype"/>
          <w:color w:val="000000" w:themeColor="text1"/>
        </w:rPr>
      </w:pPr>
    </w:p>
    <w:tbl>
      <w:tblPr>
        <w:tblW w:w="7595" w:type="dxa"/>
        <w:jc w:val="center"/>
        <w:tblCellSpacing w:w="0" w:type="dxa"/>
        <w:tblCellMar>
          <w:left w:w="0" w:type="dxa"/>
          <w:right w:w="0" w:type="dxa"/>
        </w:tblCellMar>
        <w:tblLook w:val="04A0" w:firstRow="1" w:lastRow="0" w:firstColumn="1" w:lastColumn="0" w:noHBand="0" w:noVBand="1"/>
      </w:tblPr>
      <w:tblGrid>
        <w:gridCol w:w="7595"/>
      </w:tblGrid>
      <w:tr w:rsidR="002413EA" w:rsidRPr="002413EA" w:rsidTr="00C3277E">
        <w:trPr>
          <w:trHeight w:val="288"/>
          <w:tblCellSpacing w:w="0" w:type="dxa"/>
          <w:jc w:val="center"/>
        </w:trPr>
        <w:tc>
          <w:tcPr>
            <w:tcW w:w="0" w:type="auto"/>
            <w:vAlign w:val="center"/>
            <w:hideMark/>
          </w:tcPr>
          <w:p w:rsidR="00C3277E" w:rsidRPr="002413EA" w:rsidRDefault="00C3277E" w:rsidP="002413EA">
            <w:pPr>
              <w:jc w:val="right"/>
              <w:rPr>
                <w:rFonts w:ascii="Palatino Linotype" w:hAnsi="Palatino Linotype"/>
                <w:i/>
                <w:color w:val="000000" w:themeColor="text1"/>
              </w:rPr>
            </w:pPr>
            <w:r w:rsidRPr="002413EA">
              <w:rPr>
                <w:rFonts w:ascii="Palatino Linotype" w:hAnsi="Palatino Linotype"/>
                <w:i/>
                <w:color w:val="000000" w:themeColor="text1"/>
              </w:rPr>
              <w:t>“Metepec, México a 24 de Septiembre de 2025</w:t>
            </w:r>
          </w:p>
        </w:tc>
      </w:tr>
      <w:tr w:rsidR="002413EA" w:rsidRPr="002413EA" w:rsidTr="00C3277E">
        <w:trPr>
          <w:trHeight w:val="288"/>
          <w:tblCellSpacing w:w="0" w:type="dxa"/>
          <w:jc w:val="center"/>
        </w:trPr>
        <w:tc>
          <w:tcPr>
            <w:tcW w:w="0" w:type="auto"/>
            <w:vAlign w:val="center"/>
            <w:hideMark/>
          </w:tcPr>
          <w:p w:rsidR="00C3277E" w:rsidRPr="002413EA" w:rsidRDefault="00C3277E" w:rsidP="002413EA">
            <w:pPr>
              <w:jc w:val="right"/>
              <w:rPr>
                <w:rFonts w:ascii="Palatino Linotype" w:hAnsi="Palatino Linotype"/>
                <w:i/>
                <w:color w:val="000000" w:themeColor="text1"/>
              </w:rPr>
            </w:pPr>
            <w:r w:rsidRPr="002413EA">
              <w:rPr>
                <w:rFonts w:ascii="Palatino Linotype" w:hAnsi="Palatino Linotype"/>
                <w:i/>
                <w:color w:val="000000" w:themeColor="text1"/>
              </w:rPr>
              <w:t>Nombre del solicitante: C. Solicitante</w:t>
            </w:r>
          </w:p>
        </w:tc>
      </w:tr>
      <w:tr w:rsidR="002413EA" w:rsidRPr="002413EA" w:rsidTr="00C3277E">
        <w:trPr>
          <w:trHeight w:val="288"/>
          <w:tblCellSpacing w:w="0" w:type="dxa"/>
          <w:jc w:val="center"/>
        </w:trPr>
        <w:tc>
          <w:tcPr>
            <w:tcW w:w="0" w:type="auto"/>
            <w:vAlign w:val="center"/>
            <w:hideMark/>
          </w:tcPr>
          <w:p w:rsidR="00C3277E" w:rsidRPr="002413EA" w:rsidRDefault="00C3277E" w:rsidP="002413EA">
            <w:pPr>
              <w:jc w:val="right"/>
              <w:rPr>
                <w:rFonts w:ascii="Palatino Linotype" w:hAnsi="Palatino Linotype"/>
                <w:i/>
                <w:color w:val="000000" w:themeColor="text1"/>
              </w:rPr>
            </w:pPr>
            <w:r w:rsidRPr="002413EA">
              <w:rPr>
                <w:rFonts w:ascii="Palatino Linotype" w:hAnsi="Palatino Linotype"/>
                <w:i/>
                <w:color w:val="000000" w:themeColor="text1"/>
              </w:rPr>
              <w:t>Folio de la solicitud: 00366/SSEM/IP/2025</w:t>
            </w:r>
          </w:p>
        </w:tc>
      </w:tr>
      <w:tr w:rsidR="002413EA" w:rsidRPr="002413EA" w:rsidTr="00C3277E">
        <w:trPr>
          <w:trHeight w:val="432"/>
          <w:tblCellSpacing w:w="0" w:type="dxa"/>
          <w:jc w:val="center"/>
        </w:trPr>
        <w:tc>
          <w:tcPr>
            <w:tcW w:w="0" w:type="auto"/>
            <w:vAlign w:val="center"/>
            <w:hideMark/>
          </w:tcPr>
          <w:p w:rsidR="00C3277E" w:rsidRPr="002413EA" w:rsidRDefault="00C3277E" w:rsidP="002413EA">
            <w:pPr>
              <w:jc w:val="right"/>
              <w:rPr>
                <w:rFonts w:ascii="Palatino Linotype" w:hAnsi="Palatino Linotype"/>
                <w:i/>
                <w:color w:val="000000" w:themeColor="text1"/>
              </w:rPr>
            </w:pPr>
          </w:p>
        </w:tc>
      </w:tr>
      <w:tr w:rsidR="002413EA" w:rsidRPr="002413EA" w:rsidTr="00C3277E">
        <w:trPr>
          <w:trHeight w:val="144"/>
          <w:tblCellSpacing w:w="0" w:type="dxa"/>
          <w:jc w:val="center"/>
        </w:trPr>
        <w:tc>
          <w:tcPr>
            <w:tcW w:w="0" w:type="auto"/>
            <w:vAlign w:val="center"/>
            <w:hideMark/>
          </w:tcPr>
          <w:p w:rsidR="00C3277E" w:rsidRPr="002413EA" w:rsidRDefault="00C3277E" w:rsidP="002413EA">
            <w:pPr>
              <w:rPr>
                <w:rFonts w:ascii="Palatino Linotype" w:hAnsi="Palatino Linotype"/>
                <w:i/>
                <w:color w:val="000000" w:themeColor="text1"/>
              </w:rPr>
            </w:pPr>
            <w:r w:rsidRPr="002413EA">
              <w:rPr>
                <w:rFonts w:ascii="Palatino Linotype" w:hAnsi="Palatino Linotype"/>
                <w:i/>
                <w:color w:val="000000" w:themeColor="text1"/>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tc>
      </w:tr>
      <w:tr w:rsidR="002413EA" w:rsidRPr="002413EA" w:rsidTr="00C3277E">
        <w:trPr>
          <w:trHeight w:val="360"/>
          <w:tblCellSpacing w:w="0" w:type="dxa"/>
          <w:jc w:val="center"/>
        </w:trPr>
        <w:tc>
          <w:tcPr>
            <w:tcW w:w="0" w:type="auto"/>
            <w:vAlign w:val="center"/>
            <w:hideMark/>
          </w:tcPr>
          <w:p w:rsidR="00C3277E" w:rsidRPr="002413EA" w:rsidRDefault="00C3277E" w:rsidP="002413EA">
            <w:pPr>
              <w:rPr>
                <w:rFonts w:ascii="Palatino Linotype" w:hAnsi="Palatino Linotype"/>
                <w:i/>
                <w:color w:val="000000" w:themeColor="text1"/>
              </w:rPr>
            </w:pPr>
          </w:p>
        </w:tc>
      </w:tr>
      <w:tr w:rsidR="002413EA" w:rsidRPr="002413EA" w:rsidTr="00C3277E">
        <w:trPr>
          <w:trHeight w:val="144"/>
          <w:tblCellSpacing w:w="0" w:type="dxa"/>
          <w:jc w:val="center"/>
        </w:trPr>
        <w:tc>
          <w:tcPr>
            <w:tcW w:w="0" w:type="auto"/>
            <w:vAlign w:val="center"/>
            <w:hideMark/>
          </w:tcPr>
          <w:p w:rsidR="00C3277E" w:rsidRPr="002413EA" w:rsidRDefault="00C3277E" w:rsidP="002413EA">
            <w:pPr>
              <w:rPr>
                <w:rFonts w:ascii="Palatino Linotype" w:hAnsi="Palatino Linotype"/>
                <w:i/>
                <w:color w:val="000000" w:themeColor="text1"/>
              </w:rPr>
            </w:pPr>
            <w:r w:rsidRPr="002413EA">
              <w:rPr>
                <w:rFonts w:ascii="Palatino Linotype" w:hAnsi="Palatino Linotype"/>
                <w:i/>
                <w:color w:val="000000" w:themeColor="text1"/>
              </w:rPr>
              <w:t>SE ANEXA ACUERDO DE AMPLIACIÓN DEL PLAZO PARA DAR RESPUESTA A LA SOLICITUD DE INFORMACIÓN EN FORMATO PDF, EN CASO DE PRESENTAR PROBLEMAS CON LA RECEPCIÓN DE LA MISMA, LE PEDIMOS SE COMUNIQUE A LA UNIDAD DE TRANSPARENCIA DE LA SECRETARÍA DE SEGURIDAD DEL ESTADO DE MÉXICO, AL TELÉFONO 722 2 79 62 00 EXT. 4187, DE LUNES A VIERNES, EN UN HORARIO DE 9:00 A 18:00 HRS.</w:t>
            </w:r>
          </w:p>
        </w:tc>
      </w:tr>
      <w:tr w:rsidR="002413EA" w:rsidRPr="002413EA" w:rsidTr="00C3277E">
        <w:trPr>
          <w:trHeight w:val="360"/>
          <w:tblCellSpacing w:w="0" w:type="dxa"/>
          <w:jc w:val="center"/>
        </w:trPr>
        <w:tc>
          <w:tcPr>
            <w:tcW w:w="0" w:type="auto"/>
            <w:vAlign w:val="center"/>
            <w:hideMark/>
          </w:tcPr>
          <w:p w:rsidR="00C3277E" w:rsidRPr="002413EA" w:rsidRDefault="00C3277E" w:rsidP="002413EA">
            <w:pPr>
              <w:rPr>
                <w:rFonts w:ascii="Palatino Linotype" w:hAnsi="Palatino Linotype"/>
                <w:i/>
                <w:color w:val="000000" w:themeColor="text1"/>
              </w:rPr>
            </w:pPr>
          </w:p>
        </w:tc>
      </w:tr>
      <w:tr w:rsidR="002413EA" w:rsidRPr="002413EA" w:rsidTr="00C3277E">
        <w:trPr>
          <w:trHeight w:val="144"/>
          <w:tblCellSpacing w:w="0" w:type="dxa"/>
          <w:jc w:val="center"/>
        </w:trPr>
        <w:tc>
          <w:tcPr>
            <w:tcW w:w="0" w:type="auto"/>
            <w:vAlign w:val="center"/>
            <w:hideMark/>
          </w:tcPr>
          <w:p w:rsidR="00C3277E" w:rsidRPr="002413EA" w:rsidRDefault="00C3277E" w:rsidP="002413EA">
            <w:pPr>
              <w:jc w:val="center"/>
              <w:rPr>
                <w:rFonts w:ascii="Palatino Linotype" w:hAnsi="Palatino Linotype"/>
                <w:i/>
                <w:color w:val="000000" w:themeColor="text1"/>
              </w:rPr>
            </w:pPr>
          </w:p>
        </w:tc>
      </w:tr>
      <w:tr w:rsidR="002413EA" w:rsidRPr="002413EA" w:rsidTr="00C3277E">
        <w:trPr>
          <w:trHeight w:val="144"/>
          <w:tblCellSpacing w:w="0" w:type="dxa"/>
          <w:jc w:val="center"/>
        </w:trPr>
        <w:tc>
          <w:tcPr>
            <w:tcW w:w="0" w:type="auto"/>
            <w:vAlign w:val="center"/>
            <w:hideMark/>
          </w:tcPr>
          <w:p w:rsidR="00C3277E" w:rsidRPr="002413EA" w:rsidRDefault="00C3277E" w:rsidP="002413EA">
            <w:pPr>
              <w:rPr>
                <w:rFonts w:ascii="Palatino Linotype" w:hAnsi="Palatino Linotype"/>
                <w:i/>
                <w:color w:val="000000" w:themeColor="text1"/>
              </w:rPr>
            </w:pPr>
            <w:r w:rsidRPr="002413EA">
              <w:rPr>
                <w:rFonts w:ascii="Palatino Linotype" w:hAnsi="Palatino Linotype"/>
                <w:i/>
                <w:color w:val="000000" w:themeColor="text1"/>
              </w:rPr>
              <w:t>Mtro. GUILLERMO JUAN DE DIOS SANCHEZ AGUIRRE</w:t>
            </w:r>
          </w:p>
        </w:tc>
      </w:tr>
      <w:tr w:rsidR="00C3277E" w:rsidRPr="002413EA" w:rsidTr="00C3277E">
        <w:trPr>
          <w:trHeight w:val="144"/>
          <w:tblCellSpacing w:w="0" w:type="dxa"/>
          <w:jc w:val="center"/>
        </w:trPr>
        <w:tc>
          <w:tcPr>
            <w:tcW w:w="0" w:type="auto"/>
            <w:vAlign w:val="center"/>
            <w:hideMark/>
          </w:tcPr>
          <w:p w:rsidR="00C3277E" w:rsidRPr="002413EA" w:rsidRDefault="00C3277E" w:rsidP="002413EA">
            <w:pPr>
              <w:rPr>
                <w:rFonts w:ascii="Palatino Linotype" w:hAnsi="Palatino Linotype"/>
                <w:i/>
                <w:color w:val="000000" w:themeColor="text1"/>
              </w:rPr>
            </w:pPr>
            <w:r w:rsidRPr="002413EA">
              <w:rPr>
                <w:rFonts w:ascii="Palatino Linotype" w:hAnsi="Palatino Linotype"/>
                <w:b/>
                <w:bCs/>
                <w:i/>
                <w:color w:val="000000" w:themeColor="text1"/>
              </w:rPr>
              <w:t>Responsable de la Unidad de Transparencia”</w:t>
            </w:r>
          </w:p>
        </w:tc>
      </w:tr>
    </w:tbl>
    <w:p w:rsidR="0013237E" w:rsidRDefault="0013237E" w:rsidP="002413EA">
      <w:pPr>
        <w:rPr>
          <w:rFonts w:ascii="Palatino Linotype" w:eastAsia="Palatino Linotype" w:hAnsi="Palatino Linotype" w:cs="Palatino Linotype"/>
          <w:color w:val="000000" w:themeColor="text1"/>
        </w:rPr>
      </w:pPr>
    </w:p>
    <w:p w:rsidR="00FD374D" w:rsidRPr="002413EA" w:rsidRDefault="00FD374D" w:rsidP="002413EA">
      <w:pPr>
        <w:rPr>
          <w:rFonts w:ascii="Palatino Linotype" w:eastAsia="Palatino Linotype" w:hAnsi="Palatino Linotype" w:cs="Palatino Linotype"/>
          <w:color w:val="000000" w:themeColor="text1"/>
        </w:rPr>
      </w:pPr>
    </w:p>
    <w:p w:rsidR="00C3277E" w:rsidRPr="002413EA" w:rsidRDefault="00C3277E" w:rsidP="00F05CA8">
      <w:pPr>
        <w:pStyle w:val="Prrafodelista"/>
        <w:numPr>
          <w:ilvl w:val="0"/>
          <w:numId w:val="5"/>
        </w:numPr>
        <w:spacing w:line="360" w:lineRule="auto"/>
        <w:ind w:left="0" w:firstLine="0"/>
        <w:rPr>
          <w:rFonts w:ascii="Palatino Linotype" w:eastAsia="Palatino Linotype" w:hAnsi="Palatino Linotype" w:cs="Palatino Linotype"/>
          <w:color w:val="000000" w:themeColor="text1"/>
        </w:rPr>
      </w:pPr>
      <w:r w:rsidRPr="002413EA">
        <w:rPr>
          <w:rFonts w:ascii="Palatino Linotype" w:eastAsia="Palatino Linotype" w:hAnsi="Palatino Linotype" w:cs="Palatino Linotype"/>
          <w:color w:val="000000" w:themeColor="text1"/>
        </w:rPr>
        <w:t xml:space="preserve">Se adjuntó el archivo </w:t>
      </w:r>
      <w:hyperlink r:id="rId7" w:tgtFrame="_blank" w:history="1">
        <w:r w:rsidRPr="002413EA">
          <w:rPr>
            <w:rStyle w:val="Hipervnculo"/>
            <w:rFonts w:ascii="Palatino Linotype" w:eastAsia="Palatino Linotype" w:hAnsi="Palatino Linotype" w:cs="Palatino Linotype"/>
            <w:b/>
            <w:bCs/>
            <w:color w:val="000000" w:themeColor="text1"/>
          </w:rPr>
          <w:t>PRORROGA 361 A 516.pdf</w:t>
        </w:r>
      </w:hyperlink>
      <w:r w:rsidRPr="002413EA">
        <w:rPr>
          <w:rFonts w:ascii="Palatino Linotype" w:eastAsia="Palatino Linotype" w:hAnsi="Palatino Linotype" w:cs="Palatino Linotype"/>
          <w:color w:val="000000" w:themeColor="text1"/>
        </w:rPr>
        <w:t xml:space="preserve">, en el que se un acuerdo </w:t>
      </w:r>
      <w:r w:rsidR="007254EC" w:rsidRPr="002413EA">
        <w:rPr>
          <w:rFonts w:ascii="Palatino Linotype" w:eastAsia="Palatino Linotype" w:hAnsi="Palatino Linotype" w:cs="Palatino Linotype"/>
          <w:color w:val="000000" w:themeColor="text1"/>
        </w:rPr>
        <w:t xml:space="preserve">en el que se aprobó la prórroga para emitir respuesta a diversas solicitudes de información. </w:t>
      </w:r>
    </w:p>
    <w:p w:rsidR="00C3277E" w:rsidRDefault="00C3277E" w:rsidP="002413EA">
      <w:pPr>
        <w:pStyle w:val="Prrafodelista"/>
        <w:ind w:left="0"/>
        <w:rPr>
          <w:rFonts w:ascii="Palatino Linotype" w:eastAsia="Palatino Linotype" w:hAnsi="Palatino Linotype" w:cs="Palatino Linotype"/>
          <w:color w:val="000000" w:themeColor="text1"/>
        </w:rPr>
      </w:pPr>
    </w:p>
    <w:p w:rsidR="00FD374D" w:rsidRPr="002413EA" w:rsidRDefault="00FD374D" w:rsidP="002413EA">
      <w:pPr>
        <w:pStyle w:val="Prrafodelista"/>
        <w:ind w:left="0"/>
        <w:rPr>
          <w:rFonts w:ascii="Palatino Linotype" w:eastAsia="Palatino Linotype" w:hAnsi="Palatino Linotype" w:cs="Palatino Linotype"/>
          <w:color w:val="000000" w:themeColor="text1"/>
        </w:rPr>
      </w:pPr>
    </w:p>
    <w:p w:rsidR="0013237E" w:rsidRPr="002413EA" w:rsidRDefault="0013237E" w:rsidP="002413EA">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413EA">
        <w:rPr>
          <w:rFonts w:ascii="Palatino Linotype" w:eastAsia="Palatino Linotype" w:hAnsi="Palatino Linotype" w:cs="Palatino Linotype"/>
          <w:color w:val="000000" w:themeColor="text1"/>
        </w:rPr>
        <w:t xml:space="preserve">El </w:t>
      </w:r>
      <w:r w:rsidRPr="002413EA">
        <w:rPr>
          <w:rFonts w:ascii="Palatino Linotype" w:eastAsia="Palatino Linotype" w:hAnsi="Palatino Linotype" w:cs="Palatino Linotype"/>
          <w:b/>
          <w:color w:val="000000" w:themeColor="text1"/>
        </w:rPr>
        <w:t>tres de octubre de dos mil veinticinco</w:t>
      </w:r>
      <w:r w:rsidRPr="002413EA">
        <w:rPr>
          <w:rFonts w:ascii="Palatino Linotype" w:eastAsia="Palatino Linotype" w:hAnsi="Palatino Linotype" w:cs="Palatino Linotype"/>
          <w:color w:val="000000" w:themeColor="text1"/>
        </w:rPr>
        <w:t>, el Sujeto Obligado dio respuesta a la solicitud de información en los siguientes términos:</w:t>
      </w:r>
    </w:p>
    <w:p w:rsidR="0013237E" w:rsidRDefault="0013237E" w:rsidP="002413E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FD374D" w:rsidRPr="002413EA" w:rsidRDefault="00FD374D" w:rsidP="002413E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tbl>
      <w:tblPr>
        <w:tblW w:w="7530" w:type="dxa"/>
        <w:jc w:val="center"/>
        <w:tblCellSpacing w:w="0" w:type="dxa"/>
        <w:tblCellMar>
          <w:left w:w="0" w:type="dxa"/>
          <w:right w:w="0" w:type="dxa"/>
        </w:tblCellMar>
        <w:tblLook w:val="04A0" w:firstRow="1" w:lastRow="0" w:firstColumn="1" w:lastColumn="0" w:noHBand="0" w:noVBand="1"/>
      </w:tblPr>
      <w:tblGrid>
        <w:gridCol w:w="7530"/>
      </w:tblGrid>
      <w:tr w:rsidR="002413EA" w:rsidRPr="002413EA" w:rsidTr="00E4559A">
        <w:trPr>
          <w:trHeight w:val="316"/>
          <w:tblCellSpacing w:w="0" w:type="dxa"/>
          <w:jc w:val="center"/>
        </w:trPr>
        <w:tc>
          <w:tcPr>
            <w:tcW w:w="0" w:type="auto"/>
            <w:vAlign w:val="center"/>
            <w:hideMark/>
          </w:tcPr>
          <w:p w:rsidR="00E4559A" w:rsidRPr="002413EA" w:rsidRDefault="00E4559A" w:rsidP="002413EA">
            <w:pPr>
              <w:jc w:val="right"/>
              <w:rPr>
                <w:rFonts w:ascii="Palatino Linotype" w:hAnsi="Palatino Linotype"/>
                <w:i/>
                <w:color w:val="000000" w:themeColor="text1"/>
              </w:rPr>
            </w:pPr>
            <w:r w:rsidRPr="002413EA">
              <w:rPr>
                <w:rFonts w:ascii="Palatino Linotype" w:hAnsi="Palatino Linotype"/>
                <w:i/>
                <w:color w:val="000000" w:themeColor="text1"/>
              </w:rPr>
              <w:lastRenderedPageBreak/>
              <w:t>“Metepec, México a 03 de Octubre de 2025</w:t>
            </w:r>
          </w:p>
        </w:tc>
      </w:tr>
      <w:tr w:rsidR="002413EA" w:rsidRPr="002413EA" w:rsidTr="00E4559A">
        <w:trPr>
          <w:trHeight w:val="316"/>
          <w:tblCellSpacing w:w="0" w:type="dxa"/>
          <w:jc w:val="center"/>
        </w:trPr>
        <w:tc>
          <w:tcPr>
            <w:tcW w:w="0" w:type="auto"/>
            <w:vAlign w:val="center"/>
            <w:hideMark/>
          </w:tcPr>
          <w:p w:rsidR="00E4559A" w:rsidRPr="002413EA" w:rsidRDefault="00E4559A" w:rsidP="002413EA">
            <w:pPr>
              <w:jc w:val="right"/>
              <w:rPr>
                <w:rFonts w:ascii="Palatino Linotype" w:hAnsi="Palatino Linotype"/>
                <w:i/>
                <w:color w:val="000000" w:themeColor="text1"/>
              </w:rPr>
            </w:pPr>
            <w:r w:rsidRPr="002413EA">
              <w:rPr>
                <w:rFonts w:ascii="Palatino Linotype" w:hAnsi="Palatino Linotype"/>
                <w:i/>
                <w:color w:val="000000" w:themeColor="text1"/>
              </w:rPr>
              <w:t>Nombre del solicitante: C. Solicitante</w:t>
            </w:r>
          </w:p>
        </w:tc>
      </w:tr>
      <w:tr w:rsidR="002413EA" w:rsidRPr="002413EA" w:rsidTr="00E4559A">
        <w:trPr>
          <w:trHeight w:val="316"/>
          <w:tblCellSpacing w:w="0" w:type="dxa"/>
          <w:jc w:val="center"/>
        </w:trPr>
        <w:tc>
          <w:tcPr>
            <w:tcW w:w="0" w:type="auto"/>
            <w:vAlign w:val="center"/>
            <w:hideMark/>
          </w:tcPr>
          <w:p w:rsidR="00E4559A" w:rsidRPr="002413EA" w:rsidRDefault="00E4559A" w:rsidP="002413EA">
            <w:pPr>
              <w:jc w:val="right"/>
              <w:rPr>
                <w:rFonts w:ascii="Palatino Linotype" w:hAnsi="Palatino Linotype"/>
                <w:i/>
                <w:color w:val="000000" w:themeColor="text1"/>
              </w:rPr>
            </w:pPr>
            <w:r w:rsidRPr="002413EA">
              <w:rPr>
                <w:rFonts w:ascii="Palatino Linotype" w:hAnsi="Palatino Linotype"/>
                <w:i/>
                <w:color w:val="000000" w:themeColor="text1"/>
              </w:rPr>
              <w:t>Folio de la solicitud: 00366/SSEM/IP/2025</w:t>
            </w:r>
          </w:p>
        </w:tc>
      </w:tr>
      <w:tr w:rsidR="002413EA" w:rsidRPr="002413EA" w:rsidTr="00E4559A">
        <w:trPr>
          <w:trHeight w:val="475"/>
          <w:tblCellSpacing w:w="0" w:type="dxa"/>
          <w:jc w:val="center"/>
        </w:trPr>
        <w:tc>
          <w:tcPr>
            <w:tcW w:w="0" w:type="auto"/>
            <w:vAlign w:val="center"/>
            <w:hideMark/>
          </w:tcPr>
          <w:p w:rsidR="00E4559A" w:rsidRPr="002413EA" w:rsidRDefault="00E4559A" w:rsidP="002413EA">
            <w:pPr>
              <w:jc w:val="right"/>
              <w:rPr>
                <w:rFonts w:ascii="Palatino Linotype" w:hAnsi="Palatino Linotype"/>
                <w:i/>
                <w:color w:val="000000" w:themeColor="text1"/>
              </w:rPr>
            </w:pPr>
          </w:p>
        </w:tc>
      </w:tr>
      <w:tr w:rsidR="002413EA" w:rsidRPr="002413EA" w:rsidTr="00E4559A">
        <w:trPr>
          <w:trHeight w:val="158"/>
          <w:tblCellSpacing w:w="0" w:type="dxa"/>
          <w:jc w:val="center"/>
        </w:trPr>
        <w:tc>
          <w:tcPr>
            <w:tcW w:w="0" w:type="auto"/>
            <w:vAlign w:val="center"/>
            <w:hideMark/>
          </w:tcPr>
          <w:p w:rsidR="00E4559A" w:rsidRPr="002413EA" w:rsidRDefault="00E4559A" w:rsidP="002413EA">
            <w:pPr>
              <w:jc w:val="both"/>
              <w:rPr>
                <w:rFonts w:ascii="Palatino Linotype" w:hAnsi="Palatino Linotype"/>
                <w:i/>
                <w:color w:val="000000" w:themeColor="text1"/>
              </w:rPr>
            </w:pPr>
            <w:r w:rsidRPr="002413EA">
              <w:rPr>
                <w:rFonts w:ascii="Palatino Linotype" w:hAnsi="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2413EA" w:rsidRPr="002413EA" w:rsidTr="00E4559A">
        <w:trPr>
          <w:trHeight w:val="396"/>
          <w:tblCellSpacing w:w="0" w:type="dxa"/>
          <w:jc w:val="center"/>
        </w:trPr>
        <w:tc>
          <w:tcPr>
            <w:tcW w:w="0" w:type="auto"/>
            <w:vAlign w:val="center"/>
            <w:hideMark/>
          </w:tcPr>
          <w:p w:rsidR="00E4559A" w:rsidRPr="002413EA" w:rsidRDefault="00E4559A" w:rsidP="002413EA">
            <w:pPr>
              <w:jc w:val="both"/>
              <w:rPr>
                <w:rFonts w:ascii="Palatino Linotype" w:hAnsi="Palatino Linotype"/>
                <w:i/>
                <w:color w:val="000000" w:themeColor="text1"/>
              </w:rPr>
            </w:pPr>
          </w:p>
        </w:tc>
      </w:tr>
      <w:tr w:rsidR="002413EA" w:rsidRPr="002413EA" w:rsidTr="00E4559A">
        <w:trPr>
          <w:trHeight w:val="158"/>
          <w:tblCellSpacing w:w="0" w:type="dxa"/>
          <w:jc w:val="center"/>
        </w:trPr>
        <w:tc>
          <w:tcPr>
            <w:tcW w:w="0" w:type="auto"/>
            <w:vAlign w:val="center"/>
            <w:hideMark/>
          </w:tcPr>
          <w:p w:rsidR="00E4559A" w:rsidRPr="002413EA" w:rsidRDefault="00E4559A" w:rsidP="002413EA">
            <w:pPr>
              <w:jc w:val="both"/>
              <w:rPr>
                <w:rFonts w:ascii="Palatino Linotype" w:hAnsi="Palatino Linotype"/>
                <w:i/>
                <w:color w:val="000000" w:themeColor="text1"/>
              </w:rPr>
            </w:pPr>
            <w:r w:rsidRPr="002413EA">
              <w:rPr>
                <w:rFonts w:ascii="Palatino Linotype" w:hAnsi="Palatino Linotype"/>
                <w:i/>
                <w:color w:val="000000" w:themeColor="text1"/>
              </w:rPr>
              <w:t>SE ANEXA RESPUESTA EN FORMATO PDF, EN CASO DE PRESENTAR PROBLEMAS CON LA RECEPCIÓN DE LA MISMA, LE PEDIMOS SE COMUNIQUE A LA UNIDAD DE TRANSPARENCIA DE LA SECRETARÍA DE SEGURIDAD DEL ESTADO DE MÉXICO, AL TELÉFONO 722 2 79 62 00 EXT. 4108, DE LUNES A VIERNES, EN UN HORARIO DE 9:00 A 18:00 HRS.</w:t>
            </w:r>
          </w:p>
        </w:tc>
      </w:tr>
      <w:tr w:rsidR="002413EA" w:rsidRPr="002413EA" w:rsidTr="00E4559A">
        <w:trPr>
          <w:trHeight w:val="396"/>
          <w:tblCellSpacing w:w="0" w:type="dxa"/>
          <w:jc w:val="center"/>
        </w:trPr>
        <w:tc>
          <w:tcPr>
            <w:tcW w:w="0" w:type="auto"/>
            <w:vAlign w:val="center"/>
            <w:hideMark/>
          </w:tcPr>
          <w:p w:rsidR="00E4559A" w:rsidRPr="002413EA" w:rsidRDefault="00E4559A" w:rsidP="002413EA">
            <w:pPr>
              <w:rPr>
                <w:rFonts w:ascii="Palatino Linotype" w:hAnsi="Palatino Linotype"/>
                <w:i/>
                <w:color w:val="000000" w:themeColor="text1"/>
              </w:rPr>
            </w:pPr>
          </w:p>
        </w:tc>
      </w:tr>
      <w:tr w:rsidR="002413EA" w:rsidRPr="002413EA" w:rsidTr="00E4559A">
        <w:trPr>
          <w:trHeight w:val="158"/>
          <w:tblCellSpacing w:w="0" w:type="dxa"/>
          <w:jc w:val="center"/>
        </w:trPr>
        <w:tc>
          <w:tcPr>
            <w:tcW w:w="0" w:type="auto"/>
            <w:vAlign w:val="center"/>
            <w:hideMark/>
          </w:tcPr>
          <w:p w:rsidR="00E4559A" w:rsidRPr="002413EA" w:rsidRDefault="00E4559A" w:rsidP="002413EA">
            <w:pPr>
              <w:jc w:val="center"/>
              <w:rPr>
                <w:rFonts w:ascii="Palatino Linotype" w:hAnsi="Palatino Linotype"/>
                <w:i/>
                <w:color w:val="000000" w:themeColor="text1"/>
              </w:rPr>
            </w:pPr>
          </w:p>
        </w:tc>
      </w:tr>
      <w:tr w:rsidR="002413EA" w:rsidRPr="002413EA" w:rsidTr="00E4559A">
        <w:trPr>
          <w:trHeight w:val="158"/>
          <w:tblCellSpacing w:w="0" w:type="dxa"/>
          <w:jc w:val="center"/>
        </w:trPr>
        <w:tc>
          <w:tcPr>
            <w:tcW w:w="0" w:type="auto"/>
            <w:vAlign w:val="center"/>
            <w:hideMark/>
          </w:tcPr>
          <w:p w:rsidR="00E4559A" w:rsidRPr="002413EA" w:rsidRDefault="00E4559A" w:rsidP="002413EA">
            <w:pPr>
              <w:rPr>
                <w:rFonts w:ascii="Palatino Linotype" w:hAnsi="Palatino Linotype"/>
                <w:i/>
                <w:color w:val="000000" w:themeColor="text1"/>
              </w:rPr>
            </w:pPr>
          </w:p>
        </w:tc>
      </w:tr>
      <w:tr w:rsidR="002413EA" w:rsidRPr="002413EA" w:rsidTr="00E4559A">
        <w:trPr>
          <w:trHeight w:val="158"/>
          <w:tblCellSpacing w:w="0" w:type="dxa"/>
          <w:jc w:val="center"/>
        </w:trPr>
        <w:tc>
          <w:tcPr>
            <w:tcW w:w="0" w:type="auto"/>
            <w:vAlign w:val="center"/>
            <w:hideMark/>
          </w:tcPr>
          <w:p w:rsidR="00E4559A" w:rsidRPr="002413EA" w:rsidRDefault="00E4559A" w:rsidP="002413EA">
            <w:pPr>
              <w:rPr>
                <w:rFonts w:ascii="Palatino Linotype" w:hAnsi="Palatino Linotype"/>
                <w:i/>
                <w:color w:val="000000" w:themeColor="text1"/>
              </w:rPr>
            </w:pPr>
            <w:r w:rsidRPr="002413EA">
              <w:rPr>
                <w:rFonts w:ascii="Palatino Linotype" w:hAnsi="Palatino Linotype"/>
                <w:i/>
                <w:color w:val="000000" w:themeColor="text1"/>
              </w:rPr>
              <w:t>ATENTAMENTE</w:t>
            </w:r>
          </w:p>
        </w:tc>
      </w:tr>
      <w:tr w:rsidR="002413EA" w:rsidRPr="002413EA" w:rsidTr="00E4559A">
        <w:trPr>
          <w:trHeight w:val="237"/>
          <w:tblCellSpacing w:w="0" w:type="dxa"/>
          <w:jc w:val="center"/>
        </w:trPr>
        <w:tc>
          <w:tcPr>
            <w:tcW w:w="0" w:type="auto"/>
            <w:vAlign w:val="center"/>
            <w:hideMark/>
          </w:tcPr>
          <w:p w:rsidR="00E4559A" w:rsidRPr="002413EA" w:rsidRDefault="00E4559A" w:rsidP="002413EA">
            <w:pPr>
              <w:rPr>
                <w:rFonts w:ascii="Palatino Linotype" w:hAnsi="Palatino Linotype"/>
                <w:i/>
                <w:color w:val="000000" w:themeColor="text1"/>
              </w:rPr>
            </w:pPr>
          </w:p>
        </w:tc>
      </w:tr>
      <w:tr w:rsidR="00E4559A" w:rsidRPr="002413EA" w:rsidTr="00E4559A">
        <w:trPr>
          <w:trHeight w:val="158"/>
          <w:tblCellSpacing w:w="0" w:type="dxa"/>
          <w:jc w:val="center"/>
        </w:trPr>
        <w:tc>
          <w:tcPr>
            <w:tcW w:w="0" w:type="auto"/>
            <w:vAlign w:val="center"/>
            <w:hideMark/>
          </w:tcPr>
          <w:p w:rsidR="00E4559A" w:rsidRPr="002413EA" w:rsidRDefault="00E4559A" w:rsidP="002413EA">
            <w:pPr>
              <w:rPr>
                <w:rFonts w:ascii="Palatino Linotype" w:hAnsi="Palatino Linotype"/>
                <w:i/>
                <w:color w:val="000000" w:themeColor="text1"/>
              </w:rPr>
            </w:pPr>
            <w:r w:rsidRPr="002413EA">
              <w:rPr>
                <w:rFonts w:ascii="Palatino Linotype" w:hAnsi="Palatino Linotype"/>
                <w:i/>
                <w:color w:val="000000" w:themeColor="text1"/>
              </w:rPr>
              <w:t>Mtro. GUILLERMO JUAN DE DIOS SANCHEZ AGUIRRE”</w:t>
            </w:r>
          </w:p>
        </w:tc>
      </w:tr>
    </w:tbl>
    <w:p w:rsidR="0013237E" w:rsidRPr="002413EA" w:rsidRDefault="0013237E" w:rsidP="002413EA">
      <w:pPr>
        <w:spacing w:line="360" w:lineRule="auto"/>
        <w:jc w:val="both"/>
        <w:rPr>
          <w:rFonts w:ascii="Palatino Linotype" w:eastAsia="Palatino Linotype" w:hAnsi="Palatino Linotype" w:cs="Palatino Linotype"/>
          <w:color w:val="000000" w:themeColor="text1"/>
        </w:rPr>
      </w:pPr>
    </w:p>
    <w:p w:rsidR="00E4559A" w:rsidRPr="002413EA" w:rsidRDefault="0013237E" w:rsidP="00F05CA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2413EA">
        <w:rPr>
          <w:rFonts w:ascii="Palatino Linotype" w:eastAsia="Palatino Linotype" w:hAnsi="Palatino Linotype" w:cs="Palatino Linotype"/>
          <w:color w:val="000000" w:themeColor="text1"/>
        </w:rPr>
        <w:t xml:space="preserve">A la respuesta se </w:t>
      </w:r>
      <w:r w:rsidR="00E4559A" w:rsidRPr="002413EA">
        <w:rPr>
          <w:rFonts w:ascii="Palatino Linotype" w:eastAsia="Palatino Linotype" w:hAnsi="Palatino Linotype" w:cs="Palatino Linotype"/>
          <w:color w:val="000000" w:themeColor="text1"/>
        </w:rPr>
        <w:t xml:space="preserve">adjuntó el archivo denominado </w:t>
      </w:r>
      <w:hyperlink r:id="rId8" w:tgtFrame="_blank" w:history="1">
        <w:r w:rsidR="00E4559A" w:rsidRPr="002413EA">
          <w:rPr>
            <w:rStyle w:val="Hipervnculo"/>
            <w:rFonts w:ascii="Palatino Linotype" w:eastAsiaTheme="majorEastAsia" w:hAnsi="Palatino Linotype" w:cs="Arial"/>
            <w:b/>
            <w:bCs/>
            <w:color w:val="000000" w:themeColor="text1"/>
          </w:rPr>
          <w:t>sol 366.pdf</w:t>
        </w:r>
      </w:hyperlink>
      <w:r w:rsidR="00E4559A" w:rsidRPr="002413EA">
        <w:rPr>
          <w:rFonts w:ascii="Palatino Linotype" w:hAnsi="Palatino Linotype"/>
          <w:color w:val="000000" w:themeColor="text1"/>
        </w:rPr>
        <w:t>, en el que se advierte un oficio suscrito por el Encargado de la Unidad de Información, Planeación, “Programación y Evaluación y de la Unidad de Transparencia, en el que señaló:</w:t>
      </w:r>
    </w:p>
    <w:p w:rsidR="00E4559A" w:rsidRPr="002413EA" w:rsidRDefault="00E4559A" w:rsidP="002413EA">
      <w:pPr>
        <w:pBdr>
          <w:top w:val="nil"/>
          <w:left w:val="nil"/>
          <w:bottom w:val="nil"/>
          <w:right w:val="nil"/>
          <w:between w:val="nil"/>
        </w:pBdr>
        <w:spacing w:line="360" w:lineRule="auto"/>
        <w:jc w:val="both"/>
        <w:rPr>
          <w:rFonts w:ascii="Palatino Linotype" w:hAnsi="Palatino Linotype"/>
          <w:i/>
          <w:color w:val="000000" w:themeColor="text1"/>
        </w:rPr>
      </w:pPr>
      <w:r w:rsidRPr="002413EA">
        <w:rPr>
          <w:rFonts w:ascii="Palatino Linotype" w:hAnsi="Palatino Linotype"/>
          <w:i/>
          <w:color w:val="000000" w:themeColor="text1"/>
        </w:rPr>
        <w:t xml:space="preserve">Con fundamento en los artículos 1, 2, 7, 8, 11, 12, 24, penúltimo párrafo, 50, 52, 53 fracciones II, V, VI y XII, 58, 59 fracción I, 101, fracción VI, 160, 161, 162 y 163 de la Ley de Transparencia y Acceso a la Información Pública del Estado de México y Municipios, se hace de su conocimiento que, la información de su interés, corresponde a una obligación de transparencia que ésta Secretaría de Seguridad debe mantener de manera actualizada y permanente en el Portal de Información Pública de Oficio Mexiquense (IPOMEX), conforme a lo estipulado en la fracción XI, del artículo 92, de la Ley antes referida, por ello, usted podrá realizar la consulta de la información generada, administrada </w:t>
      </w:r>
      <w:r w:rsidRPr="002413EA">
        <w:rPr>
          <w:rFonts w:ascii="Palatino Linotype" w:hAnsi="Palatino Linotype"/>
          <w:i/>
          <w:color w:val="000000" w:themeColor="text1"/>
        </w:rPr>
        <w:lastRenderedPageBreak/>
        <w:t xml:space="preserve">y/o poseída por este Sujeto Obligado a la fecha de su requerimiento de información, a través de la siguiente dirección electrónica: </w:t>
      </w:r>
    </w:p>
    <w:p w:rsidR="00E4559A" w:rsidRPr="002413EA" w:rsidRDefault="00C04890" w:rsidP="002413EA">
      <w:pPr>
        <w:pBdr>
          <w:top w:val="nil"/>
          <w:left w:val="nil"/>
          <w:bottom w:val="nil"/>
          <w:right w:val="nil"/>
          <w:between w:val="nil"/>
        </w:pBdr>
        <w:spacing w:line="360" w:lineRule="auto"/>
        <w:jc w:val="both"/>
        <w:rPr>
          <w:rFonts w:ascii="Palatino Linotype" w:hAnsi="Palatino Linotype"/>
          <w:i/>
          <w:color w:val="000000" w:themeColor="text1"/>
        </w:rPr>
      </w:pPr>
      <w:hyperlink r:id="rId9" w:anchor="/info-fraccion/16/353/1" w:history="1">
        <w:r w:rsidR="00E4559A" w:rsidRPr="002413EA">
          <w:rPr>
            <w:rStyle w:val="Hipervnculo"/>
            <w:rFonts w:ascii="Palatino Linotype" w:hAnsi="Palatino Linotype"/>
            <w:i/>
            <w:color w:val="000000" w:themeColor="text1"/>
          </w:rPr>
          <w:t>https://ipomex.org.mx/ipomex/#/info-fraccion/16/353/1</w:t>
        </w:r>
      </w:hyperlink>
      <w:r w:rsidR="00E4559A" w:rsidRPr="002413EA">
        <w:rPr>
          <w:rFonts w:ascii="Palatino Linotype" w:hAnsi="Palatino Linotype"/>
          <w:i/>
          <w:color w:val="000000" w:themeColor="text1"/>
        </w:rPr>
        <w:t xml:space="preserve"> </w:t>
      </w:r>
    </w:p>
    <w:p w:rsidR="00E4559A" w:rsidRPr="002413EA" w:rsidRDefault="00E4559A" w:rsidP="002413EA">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2413EA">
        <w:rPr>
          <w:rFonts w:ascii="Palatino Linotype" w:hAnsi="Palatino Linotype"/>
          <w:i/>
          <w:color w:val="000000" w:themeColor="text1"/>
        </w:rPr>
        <w:t>No se omite precisar que, el artículo 161 de la Ley en cita, faculta a este Sujeto Obligado para llevar a cabo la entrega de lo solicitado, a través de la dirección electrónica listada. pues dicho precepto legal dispone que, cuando la información requerida por el solicitante ya esté disponible al público en -entre otros- formatos electrónicos disponibles en Internet o en cualquier otro medio, se le hará saber por el medio requerido por el solicitante la fuente, el lugar y la forma en que puede consultar, reproducir o adquirir dicha información, para lo cual, la fuente deberá ser precisa y concreta y no debe implicar que el solicitante realice una búsqueda en toda la información que se encuentre disponible, por lo tanto, bastara que en el teclado de su computadora presione la tecla identificada con "Ctrl" y al mismo tiempo con el cursor seleccione el enlace electrónico, o bien, copie y pegue la nomenclatura referida en el buscador electrónico de su preferencia, a fin de que se le redireccione…”</w:t>
      </w:r>
    </w:p>
    <w:p w:rsidR="00E4559A" w:rsidRPr="002413EA" w:rsidRDefault="00E4559A" w:rsidP="002413E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3237E" w:rsidRPr="002413EA" w:rsidRDefault="0013237E" w:rsidP="002413EA">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413EA">
        <w:rPr>
          <w:rFonts w:ascii="Palatino Linotype" w:eastAsia="Palatino Linotype" w:hAnsi="Palatino Linotype" w:cs="Palatino Linotype"/>
          <w:color w:val="000000" w:themeColor="text1"/>
        </w:rPr>
        <w:t xml:space="preserve">El </w:t>
      </w:r>
      <w:r w:rsidR="00E4559A" w:rsidRPr="002413EA">
        <w:rPr>
          <w:rFonts w:ascii="Palatino Linotype" w:eastAsia="Palatino Linotype" w:hAnsi="Palatino Linotype" w:cs="Palatino Linotype"/>
          <w:b/>
          <w:color w:val="000000" w:themeColor="text1"/>
        </w:rPr>
        <w:t>catorce de octubre</w:t>
      </w:r>
      <w:r w:rsidRPr="002413EA">
        <w:rPr>
          <w:rFonts w:ascii="Palatino Linotype" w:eastAsia="Palatino Linotype" w:hAnsi="Palatino Linotype" w:cs="Palatino Linotype"/>
          <w:b/>
          <w:color w:val="000000" w:themeColor="text1"/>
        </w:rPr>
        <w:t xml:space="preserve"> de dos mil veinticinco</w:t>
      </w:r>
      <w:r w:rsidRPr="002413EA">
        <w:rPr>
          <w:rFonts w:ascii="Palatino Linotype" w:eastAsia="Palatino Linotype" w:hAnsi="Palatino Linotype" w:cs="Palatino Linotype"/>
          <w:color w:val="000000" w:themeColor="text1"/>
        </w:rPr>
        <w:t xml:space="preserve">, </w:t>
      </w:r>
      <w:r w:rsidRPr="002413EA">
        <w:rPr>
          <w:rFonts w:ascii="Palatino Linotype" w:eastAsia="Palatino Linotype" w:hAnsi="Palatino Linotype" w:cs="Palatino Linotype"/>
          <w:b/>
          <w:color w:val="000000" w:themeColor="text1"/>
        </w:rPr>
        <w:t>El Recurrente</w:t>
      </w:r>
      <w:r w:rsidRPr="002413EA">
        <w:rPr>
          <w:rFonts w:ascii="Palatino Linotype" w:eastAsia="Palatino Linotype" w:hAnsi="Palatino Linotype" w:cs="Palatino Linotype"/>
          <w:color w:val="000000" w:themeColor="text1"/>
        </w:rPr>
        <w:t xml:space="preserve"> interpuso el recurso de revisión, en contra de la respuesta, señalando como:</w:t>
      </w:r>
    </w:p>
    <w:p w:rsidR="0013237E" w:rsidRPr="002413EA" w:rsidRDefault="0013237E" w:rsidP="002413E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3237E" w:rsidRPr="002413EA" w:rsidRDefault="0013237E" w:rsidP="002413EA">
      <w:pPr>
        <w:numPr>
          <w:ilvl w:val="0"/>
          <w:numId w:val="1"/>
        </w:numPr>
        <w:spacing w:line="360" w:lineRule="auto"/>
        <w:ind w:left="0" w:firstLine="0"/>
        <w:jc w:val="both"/>
        <w:rPr>
          <w:rFonts w:ascii="Palatino Linotype" w:hAnsi="Palatino Linotype"/>
          <w:color w:val="000000" w:themeColor="text1"/>
        </w:rPr>
      </w:pPr>
      <w:r w:rsidRPr="002413EA">
        <w:rPr>
          <w:rFonts w:ascii="Palatino Linotype" w:eastAsia="Palatino Linotype" w:hAnsi="Palatino Linotype" w:cs="Palatino Linotype"/>
          <w:b/>
          <w:color w:val="000000" w:themeColor="text1"/>
        </w:rPr>
        <w:t>Acto impugnado</w:t>
      </w:r>
      <w:r w:rsidRPr="002413EA">
        <w:rPr>
          <w:rFonts w:ascii="Palatino Linotype" w:eastAsia="Palatino Linotype" w:hAnsi="Palatino Linotype" w:cs="Palatino Linotype"/>
          <w:b/>
          <w:i/>
          <w:color w:val="000000" w:themeColor="text1"/>
        </w:rPr>
        <w:t>:</w:t>
      </w:r>
      <w:r w:rsidRPr="002413EA">
        <w:rPr>
          <w:rFonts w:ascii="Palatino Linotype" w:eastAsia="Palatino Linotype" w:hAnsi="Palatino Linotype" w:cs="Palatino Linotype"/>
          <w:i/>
          <w:color w:val="000000" w:themeColor="text1"/>
        </w:rPr>
        <w:t xml:space="preserve"> "</w:t>
      </w:r>
      <w:r w:rsidR="00E4559A" w:rsidRPr="002413EA">
        <w:rPr>
          <w:rFonts w:ascii="Palatino Linotype" w:eastAsia="Palatino Linotype" w:hAnsi="Palatino Linotype" w:cs="Palatino Linotype"/>
          <w:i/>
          <w:color w:val="000000" w:themeColor="text1"/>
        </w:rPr>
        <w:t>informacion incompleta</w:t>
      </w:r>
      <w:r w:rsidRPr="002413EA">
        <w:rPr>
          <w:rFonts w:ascii="Palatino Linotype" w:eastAsia="Palatino Linotype" w:hAnsi="Palatino Linotype" w:cs="Palatino Linotype"/>
          <w:i/>
          <w:color w:val="000000" w:themeColor="text1"/>
        </w:rPr>
        <w:t>" (Sic)</w:t>
      </w:r>
    </w:p>
    <w:p w:rsidR="0013237E" w:rsidRPr="002413EA" w:rsidRDefault="0013237E" w:rsidP="002413EA">
      <w:pPr>
        <w:spacing w:line="360" w:lineRule="auto"/>
        <w:jc w:val="both"/>
        <w:rPr>
          <w:rFonts w:ascii="Palatino Linotype" w:hAnsi="Palatino Linotype"/>
          <w:color w:val="000000" w:themeColor="text1"/>
        </w:rPr>
      </w:pPr>
    </w:p>
    <w:p w:rsidR="0013237E" w:rsidRPr="002413EA" w:rsidRDefault="0013237E" w:rsidP="002413EA">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2413EA">
        <w:rPr>
          <w:rFonts w:ascii="Palatino Linotype" w:eastAsia="Palatino Linotype" w:hAnsi="Palatino Linotype" w:cs="Palatino Linotype"/>
          <w:b/>
          <w:color w:val="000000" w:themeColor="text1"/>
        </w:rPr>
        <w:t xml:space="preserve">Razones o Motivos de inconformidad: </w:t>
      </w:r>
      <w:r w:rsidRPr="002413EA">
        <w:rPr>
          <w:rFonts w:ascii="Palatino Linotype" w:eastAsia="Palatino Linotype" w:hAnsi="Palatino Linotype" w:cs="Palatino Linotype"/>
          <w:i/>
          <w:color w:val="000000" w:themeColor="text1"/>
        </w:rPr>
        <w:t>"</w:t>
      </w:r>
      <w:r w:rsidR="00E4559A" w:rsidRPr="002413EA">
        <w:rPr>
          <w:rFonts w:ascii="Palatino Linotype" w:eastAsia="Palatino Linotype" w:hAnsi="Palatino Linotype" w:cs="Palatino Linotype"/>
          <w:i/>
          <w:color w:val="000000" w:themeColor="text1"/>
        </w:rPr>
        <w:t>informacion incompleta</w:t>
      </w:r>
      <w:r w:rsidRPr="002413EA">
        <w:rPr>
          <w:rFonts w:ascii="Palatino Linotype" w:eastAsia="Palatino Linotype" w:hAnsi="Palatino Linotype" w:cs="Palatino Linotype"/>
          <w:i/>
          <w:color w:val="000000" w:themeColor="text1"/>
        </w:rPr>
        <w:t>" (Sic)</w:t>
      </w:r>
    </w:p>
    <w:p w:rsidR="0013237E" w:rsidRPr="002413EA" w:rsidRDefault="0013237E" w:rsidP="002413EA">
      <w:pPr>
        <w:spacing w:line="360" w:lineRule="auto"/>
        <w:jc w:val="both"/>
        <w:rPr>
          <w:rFonts w:ascii="Palatino Linotype" w:eastAsia="Palatino Linotype" w:hAnsi="Palatino Linotype" w:cs="Palatino Linotype"/>
          <w:color w:val="000000" w:themeColor="text1"/>
        </w:rPr>
      </w:pPr>
    </w:p>
    <w:p w:rsidR="0013237E" w:rsidRPr="002413EA" w:rsidRDefault="0013237E" w:rsidP="002413EA">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413EA">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el artículo 185 fracción I de la </w:t>
      </w:r>
      <w:r w:rsidRPr="002413EA">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2413EA">
        <w:rPr>
          <w:rFonts w:ascii="Palatino Linotype" w:eastAsia="Palatino Linotype" w:hAnsi="Palatino Linotype" w:cs="Palatino Linotype"/>
          <w:color w:val="000000" w:themeColor="text1"/>
        </w:rPr>
        <w:t xml:space="preserve">se turna a la </w:t>
      </w:r>
      <w:r w:rsidRPr="002413EA">
        <w:rPr>
          <w:rFonts w:ascii="Palatino Linotype" w:eastAsia="Palatino Linotype" w:hAnsi="Palatino Linotype" w:cs="Palatino Linotype"/>
          <w:b/>
          <w:color w:val="000000" w:themeColor="text1"/>
        </w:rPr>
        <w:t xml:space="preserve">Comisionada María del Rosario Mejía Ayala, </w:t>
      </w:r>
      <w:r w:rsidRPr="002413EA">
        <w:rPr>
          <w:rFonts w:ascii="Palatino Linotype" w:eastAsia="Palatino Linotype" w:hAnsi="Palatino Linotype" w:cs="Palatino Linotype"/>
          <w:color w:val="000000" w:themeColor="text1"/>
        </w:rPr>
        <w:t xml:space="preserve">para su análisis. </w:t>
      </w:r>
    </w:p>
    <w:p w:rsidR="0013237E" w:rsidRPr="002413EA" w:rsidRDefault="00F05CA8" w:rsidP="002413EA">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lastRenderedPageBreak/>
        <w:t>La Comisionada p</w:t>
      </w:r>
      <w:r w:rsidR="0013237E" w:rsidRPr="002413EA">
        <w:rPr>
          <w:rFonts w:ascii="Palatino Linotype" w:eastAsia="Palatino Linotype" w:hAnsi="Palatino Linotype" w:cs="Palatino Linotype"/>
          <w:color w:val="000000" w:themeColor="text1"/>
        </w:rPr>
        <w:t xml:space="preserve">onente con fundamento en lo dispuesto por el artículo 185 fracción II de la ley de la materia, a través del acuerdo de admisión del </w:t>
      </w:r>
      <w:r w:rsidR="00E4559A" w:rsidRPr="002413EA">
        <w:rPr>
          <w:rFonts w:ascii="Palatino Linotype" w:eastAsia="Palatino Linotype" w:hAnsi="Palatino Linotype" w:cs="Palatino Linotype"/>
          <w:b/>
          <w:color w:val="000000" w:themeColor="text1"/>
        </w:rPr>
        <w:t>veinte de octubre</w:t>
      </w:r>
      <w:r w:rsidR="0013237E" w:rsidRPr="002413EA">
        <w:rPr>
          <w:rFonts w:ascii="Palatino Linotype" w:eastAsia="Palatino Linotype" w:hAnsi="Palatino Linotype" w:cs="Palatino Linotype"/>
          <w:b/>
          <w:color w:val="000000" w:themeColor="text1"/>
        </w:rPr>
        <w:t xml:space="preserve"> de dos mil veinticinco</w:t>
      </w:r>
      <w:r w:rsidR="0013237E" w:rsidRPr="002413EA">
        <w:rPr>
          <w:rFonts w:ascii="Palatino Linotype" w:eastAsia="Palatino Linotype" w:hAnsi="Palatino Linotype" w:cs="Palatino Linotype"/>
          <w:color w:val="000000" w:themeColor="text1"/>
        </w:rPr>
        <w:t xml:space="preserve">, puso a disposición de las partes el expediente electrónico vía </w:t>
      </w:r>
      <w:r w:rsidR="0013237E" w:rsidRPr="002413EA">
        <w:rPr>
          <w:rFonts w:ascii="Palatino Linotype" w:eastAsia="Palatino Linotype" w:hAnsi="Palatino Linotype" w:cs="Palatino Linotype"/>
          <w:b/>
          <w:color w:val="000000" w:themeColor="text1"/>
        </w:rPr>
        <w:t xml:space="preserve">SAIMEX </w:t>
      </w:r>
      <w:r w:rsidR="0013237E" w:rsidRPr="002413EA">
        <w:rPr>
          <w:rFonts w:ascii="Palatino Linotype" w:eastAsia="Palatino Linotype" w:hAnsi="Palatino Linotype" w:cs="Palatino Linotype"/>
          <w:color w:val="000000" w:themeColor="text1"/>
        </w:rPr>
        <w:t xml:space="preserve">a efecto de que en un plazo máximo de siete días manifestara lo que a derecho conviniera, ofreciera pruebas y alegatos según corresponda al caso concreto, de esta forma para que el </w:t>
      </w:r>
      <w:r w:rsidR="0013237E" w:rsidRPr="002413EA">
        <w:rPr>
          <w:rFonts w:ascii="Palatino Linotype" w:eastAsia="Palatino Linotype" w:hAnsi="Palatino Linotype" w:cs="Palatino Linotype"/>
          <w:b/>
          <w:color w:val="000000" w:themeColor="text1"/>
        </w:rPr>
        <w:t>SUJETO OBLIGADO</w:t>
      </w:r>
      <w:r w:rsidR="0013237E" w:rsidRPr="002413EA">
        <w:rPr>
          <w:rFonts w:ascii="Palatino Linotype" w:eastAsia="Palatino Linotype" w:hAnsi="Palatino Linotype" w:cs="Palatino Linotype"/>
          <w:color w:val="000000" w:themeColor="text1"/>
        </w:rPr>
        <w:t xml:space="preserve"> presentará el informe justificado procedente. </w:t>
      </w:r>
    </w:p>
    <w:p w:rsidR="0013237E" w:rsidRPr="002413EA" w:rsidRDefault="0013237E" w:rsidP="002413EA">
      <w:pPr>
        <w:pBdr>
          <w:top w:val="nil"/>
          <w:left w:val="nil"/>
          <w:bottom w:val="nil"/>
          <w:right w:val="nil"/>
          <w:between w:val="nil"/>
        </w:pBdr>
        <w:rPr>
          <w:rFonts w:ascii="Palatino Linotype" w:eastAsia="Palatino Linotype" w:hAnsi="Palatino Linotype" w:cs="Palatino Linotype"/>
          <w:color w:val="000000" w:themeColor="text1"/>
        </w:rPr>
      </w:pPr>
    </w:p>
    <w:p w:rsidR="0013237E" w:rsidRPr="002413EA" w:rsidRDefault="0013237E" w:rsidP="002413EA">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color w:val="000000" w:themeColor="text1"/>
        </w:rPr>
      </w:pPr>
      <w:r w:rsidRPr="002413EA">
        <w:rPr>
          <w:rFonts w:ascii="Palatino Linotype" w:eastAsia="Palatino Linotype" w:hAnsi="Palatino Linotype" w:cs="Palatino Linotype"/>
          <w:color w:val="000000" w:themeColor="text1"/>
        </w:rPr>
        <w:t xml:space="preserve">De las constancias del expediente electrónico SAIMEX se advierte que el Recurrente no realizó manifestaciones; por su parte, el Sujeto Obligado entregó informe justificado el </w:t>
      </w:r>
      <w:r w:rsidR="00E4559A" w:rsidRPr="002413EA">
        <w:rPr>
          <w:rFonts w:ascii="Palatino Linotype" w:eastAsia="Palatino Linotype" w:hAnsi="Palatino Linotype" w:cs="Palatino Linotype"/>
          <w:b/>
          <w:color w:val="000000" w:themeColor="text1"/>
        </w:rPr>
        <w:t>veinticuatro de octubre y cinco de noviembre</w:t>
      </w:r>
      <w:r w:rsidRPr="002413EA">
        <w:rPr>
          <w:rFonts w:ascii="Palatino Linotype" w:eastAsia="Palatino Linotype" w:hAnsi="Palatino Linotype" w:cs="Palatino Linotype"/>
          <w:b/>
          <w:color w:val="000000" w:themeColor="text1"/>
        </w:rPr>
        <w:t xml:space="preserve"> de dos mil veinticinco</w:t>
      </w:r>
      <w:r w:rsidRPr="002413EA">
        <w:rPr>
          <w:rFonts w:ascii="Palatino Linotype" w:eastAsia="Palatino Linotype" w:hAnsi="Palatino Linotype" w:cs="Palatino Linotype"/>
          <w:color w:val="000000" w:themeColor="text1"/>
        </w:rPr>
        <w:t xml:space="preserve">, el cual se puso a la vista del particular el </w:t>
      </w:r>
      <w:r w:rsidR="00E4559A" w:rsidRPr="002413EA">
        <w:rPr>
          <w:rFonts w:ascii="Palatino Linotype" w:eastAsia="Palatino Linotype" w:hAnsi="Palatino Linotype" w:cs="Palatino Linotype"/>
          <w:b/>
          <w:color w:val="000000" w:themeColor="text1"/>
        </w:rPr>
        <w:t>cinco de noviembre</w:t>
      </w:r>
      <w:r w:rsidRPr="002413EA">
        <w:rPr>
          <w:rFonts w:ascii="Palatino Linotype" w:eastAsia="Palatino Linotype" w:hAnsi="Palatino Linotype" w:cs="Palatino Linotype"/>
          <w:b/>
          <w:color w:val="000000" w:themeColor="text1"/>
        </w:rPr>
        <w:t xml:space="preserve"> del mismo año</w:t>
      </w:r>
      <w:r w:rsidRPr="002413EA">
        <w:rPr>
          <w:rFonts w:ascii="Palatino Linotype" w:eastAsia="Palatino Linotype" w:hAnsi="Palatino Linotype" w:cs="Palatino Linotype"/>
          <w:color w:val="000000" w:themeColor="text1"/>
        </w:rPr>
        <w:t>, y que consta de los archivo</w:t>
      </w:r>
      <w:r w:rsidR="00E4559A" w:rsidRPr="002413EA">
        <w:rPr>
          <w:rFonts w:ascii="Palatino Linotype" w:eastAsia="Palatino Linotype" w:hAnsi="Palatino Linotype" w:cs="Palatino Linotype"/>
          <w:color w:val="000000" w:themeColor="text1"/>
        </w:rPr>
        <w:t>s</w:t>
      </w:r>
      <w:r w:rsidRPr="002413EA">
        <w:rPr>
          <w:rFonts w:ascii="Palatino Linotype" w:eastAsia="Palatino Linotype" w:hAnsi="Palatino Linotype" w:cs="Palatino Linotype"/>
          <w:color w:val="000000" w:themeColor="text1"/>
        </w:rPr>
        <w:t xml:space="preserve"> electrónico</w:t>
      </w:r>
      <w:r w:rsidR="00E4559A" w:rsidRPr="002413EA">
        <w:rPr>
          <w:rFonts w:ascii="Palatino Linotype" w:eastAsia="Palatino Linotype" w:hAnsi="Palatino Linotype" w:cs="Palatino Linotype"/>
          <w:color w:val="000000" w:themeColor="text1"/>
        </w:rPr>
        <w:t>s</w:t>
      </w:r>
      <w:r w:rsidRPr="002413EA">
        <w:rPr>
          <w:rFonts w:ascii="Palatino Linotype" w:eastAsia="Palatino Linotype" w:hAnsi="Palatino Linotype" w:cs="Palatino Linotype"/>
          <w:color w:val="000000" w:themeColor="text1"/>
        </w:rPr>
        <w:t xml:space="preserve"> </w:t>
      </w:r>
      <w:hyperlink r:id="rId10" w:history="1">
        <w:r w:rsidR="00E4559A" w:rsidRPr="002413EA">
          <w:rPr>
            <w:rStyle w:val="Hipervnculo"/>
            <w:rFonts w:ascii="Palatino Linotype" w:eastAsia="Palatino Linotype" w:hAnsi="Palatino Linotype" w:cs="Palatino Linotype"/>
            <w:b/>
            <w:bCs/>
            <w:color w:val="000000" w:themeColor="text1"/>
          </w:rPr>
          <w:t>RR11953.pdf</w:t>
        </w:r>
      </w:hyperlink>
      <w:r w:rsidR="00E4559A" w:rsidRPr="002413EA">
        <w:rPr>
          <w:rFonts w:ascii="Palatino Linotype" w:eastAsia="Palatino Linotype" w:hAnsi="Palatino Linotype" w:cs="Palatino Linotype"/>
          <w:bCs/>
          <w:color w:val="000000" w:themeColor="text1"/>
        </w:rPr>
        <w:t xml:space="preserve"> y</w:t>
      </w:r>
      <w:r w:rsidR="00E4559A" w:rsidRPr="002413EA">
        <w:rPr>
          <w:rFonts w:ascii="Palatino Linotype" w:hAnsi="Palatino Linotype"/>
          <w:color w:val="000000" w:themeColor="text1"/>
        </w:rPr>
        <w:t xml:space="preserve"> </w:t>
      </w:r>
      <w:hyperlink r:id="rId11" w:history="1">
        <w:r w:rsidR="00E4559A" w:rsidRPr="002413EA">
          <w:rPr>
            <w:rStyle w:val="Hipervnculo"/>
            <w:rFonts w:ascii="Palatino Linotype" w:eastAsia="Palatino Linotype" w:hAnsi="Palatino Linotype" w:cs="Palatino Linotype"/>
            <w:b/>
            <w:bCs/>
            <w:color w:val="000000" w:themeColor="text1"/>
          </w:rPr>
          <w:t>RR 11953.doc</w:t>
        </w:r>
      </w:hyperlink>
      <w:r w:rsidR="00E4559A" w:rsidRPr="002413EA">
        <w:rPr>
          <w:rFonts w:ascii="Palatino Linotype" w:eastAsia="Palatino Linotype" w:hAnsi="Palatino Linotype" w:cs="Palatino Linotype"/>
          <w:color w:val="000000" w:themeColor="text1"/>
        </w:rPr>
        <w:t>, en los</w:t>
      </w:r>
      <w:r w:rsidRPr="002413EA">
        <w:rPr>
          <w:rFonts w:ascii="Palatino Linotype" w:eastAsia="Palatino Linotype" w:hAnsi="Palatino Linotype" w:cs="Palatino Linotype"/>
          <w:color w:val="000000" w:themeColor="text1"/>
        </w:rPr>
        <w:t xml:space="preserve"> que ratificó su respuesta. </w:t>
      </w:r>
    </w:p>
    <w:p w:rsidR="0013237E" w:rsidRPr="002413EA" w:rsidRDefault="0013237E" w:rsidP="002413EA">
      <w:pPr>
        <w:rPr>
          <w:rFonts w:ascii="Palatino Linotype" w:eastAsia="Palatino Linotype" w:hAnsi="Palatino Linotype" w:cs="Palatino Linotype"/>
          <w:color w:val="000000" w:themeColor="text1"/>
        </w:rPr>
      </w:pPr>
    </w:p>
    <w:p w:rsidR="0013237E" w:rsidRPr="002413EA" w:rsidRDefault="0013237E" w:rsidP="002413EA">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413EA">
        <w:rPr>
          <w:rFonts w:ascii="Palatino Linotype" w:eastAsia="Palatino Linotype" w:hAnsi="Palatino Linotype" w:cs="Palatino Linotype"/>
          <w:color w:val="000000" w:themeColor="text1"/>
        </w:rPr>
        <w:t xml:space="preserve">El </w:t>
      </w:r>
      <w:r w:rsidR="00E4559A" w:rsidRPr="002413EA">
        <w:rPr>
          <w:rFonts w:ascii="Palatino Linotype" w:eastAsia="Palatino Linotype" w:hAnsi="Palatino Linotype" w:cs="Palatino Linotype"/>
          <w:b/>
          <w:color w:val="000000" w:themeColor="text1"/>
        </w:rPr>
        <w:t>once de noviembre</w:t>
      </w:r>
      <w:r w:rsidRPr="002413EA">
        <w:rPr>
          <w:rFonts w:ascii="Palatino Linotype" w:eastAsia="Palatino Linotype" w:hAnsi="Palatino Linotype" w:cs="Palatino Linotype"/>
          <w:b/>
          <w:color w:val="000000" w:themeColor="text1"/>
        </w:rPr>
        <w:t xml:space="preserve"> de dos mil veinticinco</w:t>
      </w:r>
      <w:r w:rsidRPr="002413EA">
        <w:rPr>
          <w:rFonts w:ascii="Palatino Linotype" w:eastAsia="Palatino Linotype" w:hAnsi="Palatino Linotype" w:cs="Palatino Linotype"/>
          <w:color w:val="000000" w:themeColor="text1"/>
        </w:rPr>
        <w:t xml:space="preserve">, se notificó el acuerdo mediante el cual se decretó el cierre de instrucción. </w:t>
      </w:r>
    </w:p>
    <w:p w:rsidR="0013237E" w:rsidRPr="002413EA" w:rsidRDefault="0013237E" w:rsidP="002413EA">
      <w:pPr>
        <w:spacing w:line="360" w:lineRule="auto"/>
        <w:rPr>
          <w:rFonts w:ascii="Palatino Linotype" w:eastAsia="Palatino Linotype" w:hAnsi="Palatino Linotype" w:cs="Palatino Linotype"/>
          <w:color w:val="000000" w:themeColor="text1"/>
        </w:rPr>
      </w:pPr>
    </w:p>
    <w:p w:rsidR="0013237E" w:rsidRPr="002413EA" w:rsidRDefault="0013237E" w:rsidP="002413EA">
      <w:pPr>
        <w:spacing w:line="360" w:lineRule="auto"/>
        <w:jc w:val="center"/>
        <w:rPr>
          <w:rFonts w:ascii="Palatino Linotype" w:eastAsia="Palatino Linotype" w:hAnsi="Palatino Linotype" w:cs="Palatino Linotype"/>
          <w:color w:val="000000" w:themeColor="text1"/>
        </w:rPr>
      </w:pPr>
      <w:bookmarkStart w:id="2" w:name="_heading=h.1fob9te" w:colFirst="0" w:colLast="0"/>
      <w:bookmarkEnd w:id="2"/>
      <w:r w:rsidRPr="002413EA">
        <w:rPr>
          <w:rFonts w:ascii="Palatino Linotype" w:eastAsia="Palatino Linotype" w:hAnsi="Palatino Linotype" w:cs="Palatino Linotype"/>
          <w:b/>
          <w:color w:val="000000" w:themeColor="text1"/>
        </w:rPr>
        <w:t>C O N S I D E R A N D O</w:t>
      </w:r>
    </w:p>
    <w:p w:rsidR="0013237E" w:rsidRPr="002413EA" w:rsidRDefault="0013237E" w:rsidP="002413EA">
      <w:pPr>
        <w:spacing w:line="360" w:lineRule="auto"/>
        <w:jc w:val="center"/>
        <w:rPr>
          <w:rFonts w:ascii="Palatino Linotype" w:eastAsia="Palatino Linotype" w:hAnsi="Palatino Linotype" w:cs="Palatino Linotype"/>
          <w:color w:val="000000" w:themeColor="text1"/>
        </w:rPr>
      </w:pPr>
    </w:p>
    <w:p w:rsidR="0013237E" w:rsidRPr="002413EA" w:rsidRDefault="0013237E" w:rsidP="002413EA">
      <w:pPr>
        <w:spacing w:line="360" w:lineRule="auto"/>
        <w:jc w:val="both"/>
        <w:rPr>
          <w:rFonts w:ascii="Palatino Linotype" w:eastAsia="Palatino Linotype" w:hAnsi="Palatino Linotype" w:cs="Palatino Linotype"/>
          <w:b/>
          <w:color w:val="000000" w:themeColor="text1"/>
        </w:rPr>
      </w:pPr>
      <w:bookmarkStart w:id="3" w:name="_heading=h.3znysh7" w:colFirst="0" w:colLast="0"/>
      <w:bookmarkEnd w:id="3"/>
      <w:r w:rsidRPr="002413EA">
        <w:rPr>
          <w:rFonts w:ascii="Palatino Linotype" w:eastAsia="Palatino Linotype" w:hAnsi="Palatino Linotype" w:cs="Palatino Linotype"/>
          <w:b/>
          <w:color w:val="000000" w:themeColor="text1"/>
        </w:rPr>
        <w:t>PRIMERO. De la competencia</w:t>
      </w:r>
    </w:p>
    <w:p w:rsidR="00E4559A" w:rsidRPr="002413EA" w:rsidRDefault="0013237E" w:rsidP="002413EA">
      <w:pPr>
        <w:numPr>
          <w:ilvl w:val="0"/>
          <w:numId w:val="2"/>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color w:val="000000" w:themeColor="text1"/>
        </w:rPr>
      </w:pPr>
      <w:r w:rsidRPr="002413EA">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noveno, cuadragésimo y cuadragésimo primero fracciones IV y V, de la Constitución Política del Estado Libre y Soberano de México; artículos 1, 2 fracción II, 13, 29, 36 fracciones I y II, 176, </w:t>
      </w:r>
      <w:r w:rsidRPr="002413EA">
        <w:rPr>
          <w:rFonts w:ascii="Palatino Linotype" w:eastAsia="Palatino Linotype" w:hAnsi="Palatino Linotype" w:cs="Palatino Linotype"/>
          <w:color w:val="000000" w:themeColor="text1"/>
        </w:rPr>
        <w:lastRenderedPageBreak/>
        <w:t>178, 179, 181 párrafo tercero y 185 de la Ley de Transparencia y Acceso a la Información Pública del Estado de México y Municipios; y 7, 9 fracciones I y XXIII, y 11 del Reglamento Interior del Instituto de Transparencia, Acceso a la Información Pública y Protección de Datos Personales del Estado de México y Municipios.</w:t>
      </w:r>
    </w:p>
    <w:p w:rsidR="00E4559A" w:rsidRPr="002413EA" w:rsidRDefault="00E4559A" w:rsidP="002413EA">
      <w:pPr>
        <w:pBdr>
          <w:top w:val="nil"/>
          <w:left w:val="nil"/>
          <w:bottom w:val="nil"/>
          <w:right w:val="nil"/>
          <w:between w:val="nil"/>
        </w:pBdr>
        <w:spacing w:before="240" w:line="360" w:lineRule="auto"/>
        <w:jc w:val="both"/>
        <w:rPr>
          <w:rFonts w:ascii="Palatino Linotype" w:eastAsia="Palatino Linotype" w:hAnsi="Palatino Linotype" w:cs="Palatino Linotype"/>
          <w:color w:val="000000" w:themeColor="text1"/>
        </w:rPr>
      </w:pPr>
    </w:p>
    <w:p w:rsidR="0013237E" w:rsidRPr="002413EA" w:rsidRDefault="0013237E" w:rsidP="002413EA">
      <w:pPr>
        <w:keepNext/>
        <w:keepLines/>
        <w:spacing w:line="360" w:lineRule="auto"/>
        <w:rPr>
          <w:rFonts w:ascii="Palatino Linotype" w:eastAsia="Palatino Linotype" w:hAnsi="Palatino Linotype" w:cs="Palatino Linotype"/>
          <w:b/>
          <w:color w:val="000000" w:themeColor="text1"/>
        </w:rPr>
      </w:pPr>
      <w:bookmarkStart w:id="4" w:name="_heading=h.2et92p0" w:colFirst="0" w:colLast="0"/>
      <w:bookmarkEnd w:id="4"/>
      <w:r w:rsidRPr="002413EA">
        <w:rPr>
          <w:rFonts w:ascii="Palatino Linotype" w:eastAsia="Palatino Linotype" w:hAnsi="Palatino Linotype" w:cs="Palatino Linotype"/>
          <w:b/>
          <w:color w:val="000000" w:themeColor="text1"/>
        </w:rPr>
        <w:t>SEGUNDO. De la oportunidad y procedencia.</w:t>
      </w:r>
    </w:p>
    <w:p w:rsidR="0013237E" w:rsidRPr="002413EA" w:rsidRDefault="0013237E" w:rsidP="002413EA">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413EA">
        <w:rPr>
          <w:rFonts w:ascii="Palatino Linotype" w:eastAsia="Palatino Linotype" w:hAnsi="Palatino Linotype" w:cs="Palatino Linotype"/>
          <w:color w:val="000000" w:themeColor="text1"/>
        </w:rPr>
        <w:t xml:space="preserve">El medio de impugnación fue presentado a través del </w:t>
      </w:r>
      <w:r w:rsidRPr="002413EA">
        <w:rPr>
          <w:rFonts w:ascii="Palatino Linotype" w:eastAsia="Palatino Linotype" w:hAnsi="Palatino Linotype" w:cs="Palatino Linotype"/>
          <w:b/>
          <w:color w:val="000000" w:themeColor="text1"/>
        </w:rPr>
        <w:t>SAIMEX,</w:t>
      </w:r>
      <w:r w:rsidRPr="002413EA">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siendo así que el </w:t>
      </w:r>
      <w:r w:rsidRPr="002413EA">
        <w:rPr>
          <w:rFonts w:ascii="Palatino Linotype" w:eastAsia="Palatino Linotype" w:hAnsi="Palatino Linotype" w:cs="Palatino Linotype"/>
          <w:b/>
          <w:color w:val="000000" w:themeColor="text1"/>
        </w:rPr>
        <w:t>SUJETO OBLIGADO</w:t>
      </w:r>
      <w:r w:rsidRPr="002413EA">
        <w:rPr>
          <w:rFonts w:ascii="Palatino Linotype" w:eastAsia="Palatino Linotype" w:hAnsi="Palatino Linotype" w:cs="Palatino Linotype"/>
          <w:color w:val="000000" w:themeColor="text1"/>
        </w:rPr>
        <w:t xml:space="preserve"> entregó respuesta a la solicitud el día </w:t>
      </w:r>
      <w:r w:rsidR="00E4559A" w:rsidRPr="002413EA">
        <w:rPr>
          <w:rFonts w:ascii="Palatino Linotype" w:eastAsia="Palatino Linotype" w:hAnsi="Palatino Linotype" w:cs="Palatino Linotype"/>
          <w:b/>
          <w:color w:val="000000" w:themeColor="text1"/>
        </w:rPr>
        <w:t>tres de octubre</w:t>
      </w:r>
      <w:r w:rsidRPr="002413EA">
        <w:rPr>
          <w:rFonts w:ascii="Palatino Linotype" w:eastAsia="Palatino Linotype" w:hAnsi="Palatino Linotype" w:cs="Palatino Linotype"/>
          <w:b/>
          <w:color w:val="000000" w:themeColor="text1"/>
        </w:rPr>
        <w:t xml:space="preserve"> de dos mil veinticinco</w:t>
      </w:r>
      <w:r w:rsidRPr="002413EA">
        <w:rPr>
          <w:rFonts w:ascii="Palatino Linotype" w:eastAsia="Palatino Linotype" w:hAnsi="Palatino Linotype" w:cs="Palatino Linotype"/>
          <w:color w:val="000000" w:themeColor="text1"/>
        </w:rPr>
        <w:t>, de tal forma que el plazo para interponer el recurso de revisión transcurrió del</w:t>
      </w:r>
      <w:r w:rsidRPr="002413EA">
        <w:rPr>
          <w:rFonts w:ascii="Palatino Linotype" w:eastAsia="Palatino Linotype" w:hAnsi="Palatino Linotype" w:cs="Palatino Linotype"/>
          <w:b/>
          <w:color w:val="000000" w:themeColor="text1"/>
        </w:rPr>
        <w:t xml:space="preserve"> </w:t>
      </w:r>
      <w:r w:rsidR="00E4559A" w:rsidRPr="002413EA">
        <w:rPr>
          <w:rFonts w:ascii="Palatino Linotype" w:eastAsia="Palatino Linotype" w:hAnsi="Palatino Linotype" w:cs="Palatino Linotype"/>
          <w:b/>
          <w:color w:val="000000" w:themeColor="text1"/>
        </w:rPr>
        <w:t>seis al veinticuatro de octubre</w:t>
      </w:r>
      <w:r w:rsidRPr="002413EA">
        <w:rPr>
          <w:rFonts w:ascii="Palatino Linotype" w:eastAsia="Palatino Linotype" w:hAnsi="Palatino Linotype" w:cs="Palatino Linotype"/>
          <w:b/>
          <w:color w:val="000000" w:themeColor="text1"/>
        </w:rPr>
        <w:t xml:space="preserve"> de dos mil veinticinco</w:t>
      </w:r>
      <w:r w:rsidRPr="002413EA">
        <w:rPr>
          <w:rFonts w:ascii="Palatino Linotype" w:eastAsia="Palatino Linotype" w:hAnsi="Palatino Linotype" w:cs="Palatino Linotype"/>
          <w:color w:val="000000" w:themeColor="text1"/>
        </w:rPr>
        <w:t xml:space="preserve">; en consecuencia, presentó su inconformidad el día </w:t>
      </w:r>
      <w:r w:rsidR="00E4559A" w:rsidRPr="002413EA">
        <w:rPr>
          <w:rFonts w:ascii="Palatino Linotype" w:eastAsia="Palatino Linotype" w:hAnsi="Palatino Linotype" w:cs="Palatino Linotype"/>
          <w:b/>
          <w:color w:val="000000" w:themeColor="text1"/>
        </w:rPr>
        <w:t>catorce de octubre</w:t>
      </w:r>
      <w:r w:rsidRPr="002413EA">
        <w:rPr>
          <w:rFonts w:ascii="Palatino Linotype" w:eastAsia="Palatino Linotype" w:hAnsi="Palatino Linotype" w:cs="Palatino Linotype"/>
          <w:b/>
          <w:color w:val="000000" w:themeColor="text1"/>
        </w:rPr>
        <w:t xml:space="preserve"> de dos mil veinticinco</w:t>
      </w:r>
      <w:r w:rsidRPr="002413EA">
        <w:rPr>
          <w:rFonts w:ascii="Palatino Linotype" w:eastAsia="Palatino Linotype" w:hAnsi="Palatino Linotype" w:cs="Palatino Linotype"/>
          <w:color w:val="000000" w:themeColor="text1"/>
        </w:rPr>
        <w:t xml:space="preserve">, por lo que se encuentra dentro de los márgenes temporales previstos en el artículo 178 de la </w:t>
      </w:r>
      <w:r w:rsidRPr="002413EA">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2413EA">
        <w:rPr>
          <w:rFonts w:ascii="Palatino Linotype" w:eastAsia="Palatino Linotype" w:hAnsi="Palatino Linotype" w:cs="Palatino Linotype"/>
          <w:color w:val="000000" w:themeColor="text1"/>
        </w:rPr>
        <w:t>vigente.</w:t>
      </w:r>
    </w:p>
    <w:p w:rsidR="0013237E" w:rsidRPr="002413EA" w:rsidRDefault="0013237E" w:rsidP="002413E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3237E" w:rsidRPr="002413EA" w:rsidRDefault="0013237E" w:rsidP="002413EA">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413EA">
        <w:rPr>
          <w:rFonts w:ascii="Palatino Linotype" w:eastAsia="Palatino Linotype" w:hAnsi="Palatino Linotype" w:cs="Palatino Linotype"/>
          <w:color w:val="000000" w:themeColor="text1"/>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13237E" w:rsidRPr="002413EA" w:rsidRDefault="0013237E" w:rsidP="002413EA">
      <w:pPr>
        <w:pBdr>
          <w:top w:val="nil"/>
          <w:left w:val="nil"/>
          <w:bottom w:val="nil"/>
          <w:right w:val="nil"/>
          <w:between w:val="nil"/>
        </w:pBdr>
        <w:rPr>
          <w:rFonts w:ascii="Palatino Linotype" w:eastAsia="Palatino Linotype" w:hAnsi="Palatino Linotype" w:cs="Palatino Linotype"/>
          <w:color w:val="000000" w:themeColor="text1"/>
        </w:rPr>
      </w:pPr>
    </w:p>
    <w:p w:rsidR="0013237E" w:rsidRPr="002413EA" w:rsidRDefault="0013237E" w:rsidP="002413EA">
      <w:pPr>
        <w:pStyle w:val="Ttulo1"/>
        <w:rPr>
          <w:rFonts w:ascii="Palatino Linotype" w:eastAsia="MS Mincho" w:hAnsi="Palatino Linotype" w:cs="Times New Roman"/>
          <w:b/>
          <w:color w:val="000000" w:themeColor="text1"/>
          <w:sz w:val="24"/>
          <w:szCs w:val="24"/>
        </w:rPr>
      </w:pPr>
      <w:r w:rsidRPr="002413EA">
        <w:rPr>
          <w:rFonts w:ascii="Palatino Linotype" w:hAnsi="Palatino Linotype"/>
          <w:b/>
          <w:color w:val="000000" w:themeColor="text1"/>
          <w:sz w:val="24"/>
          <w:szCs w:val="24"/>
        </w:rPr>
        <w:t xml:space="preserve">TERCERO. Planteamiento de la Litis </w:t>
      </w:r>
    </w:p>
    <w:p w:rsidR="0013237E" w:rsidRPr="002413EA" w:rsidRDefault="0013237E" w:rsidP="002413EA">
      <w:pPr>
        <w:pStyle w:val="Prrafodelista"/>
        <w:numPr>
          <w:ilvl w:val="0"/>
          <w:numId w:val="2"/>
        </w:numPr>
        <w:spacing w:before="240" w:after="240" w:line="360" w:lineRule="auto"/>
        <w:ind w:left="0" w:firstLine="0"/>
        <w:jc w:val="both"/>
        <w:rPr>
          <w:rFonts w:ascii="Palatino Linotype" w:hAnsi="Palatino Linotype"/>
          <w:i/>
          <w:color w:val="000000" w:themeColor="text1"/>
        </w:rPr>
      </w:pPr>
      <w:r w:rsidRPr="002413EA">
        <w:rPr>
          <w:rFonts w:ascii="Palatino Linotype" w:hAnsi="Palatino Linotype"/>
          <w:bCs/>
          <w:color w:val="000000" w:themeColor="text1"/>
        </w:rPr>
        <w:t xml:space="preserve">El recurrente solicitó </w:t>
      </w:r>
      <w:r w:rsidR="00E4559A" w:rsidRPr="002413EA">
        <w:rPr>
          <w:rFonts w:ascii="Palatino Linotype" w:eastAsia="Palatino Linotype" w:hAnsi="Palatino Linotype" w:cs="Palatino Linotype"/>
          <w:color w:val="000000" w:themeColor="text1"/>
        </w:rPr>
        <w:t>las c</w:t>
      </w:r>
      <w:r w:rsidR="00C3277E" w:rsidRPr="002413EA">
        <w:rPr>
          <w:rFonts w:ascii="Palatino Linotype" w:eastAsia="Palatino Linotype" w:hAnsi="Palatino Linotype" w:cs="Palatino Linotype"/>
          <w:color w:val="000000" w:themeColor="text1"/>
        </w:rPr>
        <w:t>o</w:t>
      </w:r>
      <w:r w:rsidR="00E4559A" w:rsidRPr="002413EA">
        <w:rPr>
          <w:rFonts w:ascii="Palatino Linotype" w:eastAsia="Palatino Linotype" w:hAnsi="Palatino Linotype" w:cs="Palatino Linotype"/>
          <w:color w:val="000000" w:themeColor="text1"/>
        </w:rPr>
        <w:t xml:space="preserve">ntrataciones de servicios profesionales por honorarios. </w:t>
      </w:r>
      <w:r w:rsidRPr="002413EA">
        <w:rPr>
          <w:rFonts w:ascii="Palatino Linotype" w:eastAsia="Palatino Linotype" w:hAnsi="Palatino Linotype" w:cs="Palatino Linotype"/>
          <w:color w:val="000000" w:themeColor="text1"/>
        </w:rPr>
        <w:t xml:space="preserve"> </w:t>
      </w:r>
    </w:p>
    <w:p w:rsidR="0013237E" w:rsidRPr="002413EA" w:rsidRDefault="0013237E" w:rsidP="002413EA">
      <w:pPr>
        <w:pStyle w:val="Prrafodelista"/>
        <w:spacing w:before="240" w:after="240" w:line="360" w:lineRule="auto"/>
        <w:ind w:left="0"/>
        <w:jc w:val="both"/>
        <w:rPr>
          <w:rFonts w:ascii="Palatino Linotype" w:hAnsi="Palatino Linotype"/>
          <w:i/>
          <w:color w:val="000000" w:themeColor="text1"/>
        </w:rPr>
      </w:pPr>
    </w:p>
    <w:p w:rsidR="0013237E" w:rsidRPr="002413EA" w:rsidRDefault="0013237E" w:rsidP="002413EA">
      <w:pPr>
        <w:pStyle w:val="Prrafodelista"/>
        <w:numPr>
          <w:ilvl w:val="0"/>
          <w:numId w:val="2"/>
        </w:numPr>
        <w:spacing w:before="240" w:after="240" w:line="360" w:lineRule="auto"/>
        <w:ind w:left="0" w:firstLine="0"/>
        <w:jc w:val="both"/>
        <w:rPr>
          <w:rFonts w:ascii="Palatino Linotype" w:hAnsi="Palatino Linotype"/>
          <w:i/>
          <w:color w:val="000000" w:themeColor="text1"/>
        </w:rPr>
      </w:pPr>
      <w:r w:rsidRPr="002413EA">
        <w:rPr>
          <w:rFonts w:ascii="Palatino Linotype" w:eastAsia="Palatino Linotype" w:hAnsi="Palatino Linotype" w:cs="Palatino Linotype"/>
          <w:color w:val="000000" w:themeColor="text1"/>
        </w:rPr>
        <w:lastRenderedPageBreak/>
        <w:t xml:space="preserve">En respuesta, el Sujeto Obligado </w:t>
      </w:r>
      <w:r w:rsidR="00C3277E" w:rsidRPr="002413EA">
        <w:rPr>
          <w:rFonts w:ascii="Palatino Linotype" w:eastAsia="Palatino Linotype" w:hAnsi="Palatino Linotype" w:cs="Palatino Linotype"/>
          <w:color w:val="000000" w:themeColor="text1"/>
        </w:rPr>
        <w:t>señaló una liga electrónica en la que refirió se localizaba la información solicitada por ser una obligación de transparencia común. Posteriormente, el Recurrente se inconformó por la entrega de información incompleta.</w:t>
      </w:r>
    </w:p>
    <w:p w:rsidR="0013237E" w:rsidRPr="002413EA" w:rsidRDefault="0013237E" w:rsidP="002413EA">
      <w:pPr>
        <w:pStyle w:val="Prrafodelista"/>
        <w:spacing w:before="240" w:after="240" w:line="360" w:lineRule="auto"/>
        <w:ind w:left="0"/>
        <w:jc w:val="both"/>
        <w:rPr>
          <w:rFonts w:ascii="Palatino Linotype" w:hAnsi="Palatino Linotype"/>
          <w:i/>
          <w:color w:val="000000" w:themeColor="text1"/>
        </w:rPr>
      </w:pPr>
    </w:p>
    <w:p w:rsidR="0013237E" w:rsidRPr="002413EA" w:rsidRDefault="0013237E" w:rsidP="002413EA">
      <w:pPr>
        <w:pStyle w:val="Prrafodelista"/>
        <w:numPr>
          <w:ilvl w:val="0"/>
          <w:numId w:val="2"/>
        </w:numPr>
        <w:spacing w:before="240" w:after="240" w:line="360" w:lineRule="auto"/>
        <w:ind w:left="0" w:firstLine="0"/>
        <w:jc w:val="both"/>
        <w:rPr>
          <w:rFonts w:ascii="Palatino Linotype" w:hAnsi="Palatino Linotype"/>
          <w:i/>
          <w:color w:val="000000" w:themeColor="text1"/>
        </w:rPr>
      </w:pPr>
      <w:r w:rsidRPr="002413EA">
        <w:rPr>
          <w:rFonts w:ascii="Palatino Linotype" w:eastAsiaTheme="minorEastAsia" w:hAnsi="Palatino Linotype" w:cs="Arial"/>
          <w:color w:val="000000" w:themeColor="text1"/>
          <w:lang w:val="es-ES_tradnl"/>
        </w:rPr>
        <w:t xml:space="preserve">Por lo tanto, el presente recurso de revisión se circunscribe en determinar si se </w:t>
      </w:r>
      <w:r w:rsidRPr="002413EA">
        <w:rPr>
          <w:rFonts w:ascii="Palatino Linotype" w:hAnsi="Palatino Linotype"/>
          <w:color w:val="000000" w:themeColor="text1"/>
          <w:lang w:val="es-ES_tradnl"/>
        </w:rPr>
        <w:t>actualiza la causal de procedencia</w:t>
      </w:r>
      <w:r w:rsidRPr="002413EA">
        <w:rPr>
          <w:rFonts w:ascii="Palatino Linotype" w:hAnsi="Palatino Linotype"/>
          <w:b/>
          <w:color w:val="000000" w:themeColor="text1"/>
          <w:lang w:val="es-ES_tradnl"/>
        </w:rPr>
        <w:t xml:space="preserve"> </w:t>
      </w:r>
      <w:r w:rsidRPr="002413EA">
        <w:rPr>
          <w:rFonts w:ascii="Palatino Linotype" w:hAnsi="Palatino Linotype" w:cs="Arial"/>
          <w:color w:val="000000" w:themeColor="text1"/>
          <w:lang w:val="es-ES_tradnl"/>
        </w:rPr>
        <w:t xml:space="preserve">contenida en </w:t>
      </w:r>
      <w:r w:rsidR="00C3277E" w:rsidRPr="002413EA">
        <w:rPr>
          <w:rFonts w:ascii="Palatino Linotype" w:hAnsi="Palatino Linotype" w:cs="Arial"/>
          <w:color w:val="000000" w:themeColor="text1"/>
          <w:lang w:val="es-ES"/>
        </w:rPr>
        <w:t>el artículo 179 fracción V</w:t>
      </w:r>
      <w:r w:rsidRPr="002413EA">
        <w:rPr>
          <w:rFonts w:ascii="Palatino Linotype" w:hAnsi="Palatino Linotype" w:cs="Arial"/>
          <w:color w:val="000000" w:themeColor="text1"/>
          <w:lang w:val="es-ES"/>
        </w:rPr>
        <w:t xml:space="preserve">, de la </w:t>
      </w:r>
      <w:r w:rsidRPr="002413EA">
        <w:rPr>
          <w:rFonts w:ascii="Palatino Linotype" w:eastAsia="Calibri" w:hAnsi="Palatino Linotype" w:cs="Arial"/>
          <w:b/>
          <w:color w:val="000000" w:themeColor="text1"/>
          <w:lang w:val="es-ES"/>
        </w:rPr>
        <w:t>Ley de Transparencia y Acceso a la Información Pública del Estado de México y Municipios</w:t>
      </w:r>
      <w:r w:rsidRPr="002413EA">
        <w:rPr>
          <w:rFonts w:ascii="Palatino Linotype" w:hAnsi="Palatino Linotype" w:cs="Arial"/>
          <w:color w:val="000000" w:themeColor="text1"/>
          <w:lang w:val="es-ES"/>
        </w:rPr>
        <w:t xml:space="preserve">, relativo a la </w:t>
      </w:r>
      <w:r w:rsidR="00C3277E" w:rsidRPr="002413EA">
        <w:rPr>
          <w:rFonts w:ascii="Palatino Linotype" w:hAnsi="Palatino Linotype" w:cs="Arial"/>
          <w:color w:val="000000" w:themeColor="text1"/>
          <w:lang w:val="es-ES"/>
        </w:rPr>
        <w:t xml:space="preserve">entrega de información incompleta. </w:t>
      </w:r>
    </w:p>
    <w:p w:rsidR="0013237E" w:rsidRPr="002413EA" w:rsidRDefault="0013237E" w:rsidP="002413EA">
      <w:pPr>
        <w:pStyle w:val="Ttulo2"/>
        <w:tabs>
          <w:tab w:val="left" w:pos="426"/>
        </w:tabs>
        <w:rPr>
          <w:rFonts w:ascii="Palatino Linotype" w:hAnsi="Palatino Linotype" w:cs="Arial"/>
          <w:b/>
          <w:color w:val="000000" w:themeColor="text1"/>
          <w:sz w:val="24"/>
          <w:szCs w:val="24"/>
        </w:rPr>
      </w:pPr>
      <w:bookmarkStart w:id="5" w:name="_Toc87456489"/>
      <w:r w:rsidRPr="002413EA">
        <w:rPr>
          <w:rFonts w:ascii="Palatino Linotype" w:hAnsi="Palatino Linotype" w:cs="Arial"/>
          <w:b/>
          <w:color w:val="000000" w:themeColor="text1"/>
          <w:sz w:val="24"/>
          <w:szCs w:val="24"/>
        </w:rPr>
        <w:t>CUARTO. Estudio y Resolución del asunto.</w:t>
      </w:r>
      <w:bookmarkEnd w:id="5"/>
    </w:p>
    <w:p w:rsidR="0013237E" w:rsidRPr="002413EA" w:rsidRDefault="0013237E" w:rsidP="002413EA">
      <w:pPr>
        <w:pStyle w:val="Prrafodelista"/>
        <w:numPr>
          <w:ilvl w:val="0"/>
          <w:numId w:val="2"/>
        </w:numPr>
        <w:spacing w:line="360" w:lineRule="auto"/>
        <w:ind w:left="0" w:firstLine="0"/>
        <w:jc w:val="both"/>
        <w:rPr>
          <w:rFonts w:ascii="Palatino Linotype" w:eastAsia="Calibri" w:hAnsi="Palatino Linotype" w:cs="Arial"/>
          <w:color w:val="000000" w:themeColor="text1"/>
        </w:rPr>
      </w:pPr>
      <w:r w:rsidRPr="002413EA">
        <w:rPr>
          <w:rFonts w:ascii="Palatino Linotype" w:eastAsia="Calibri" w:hAnsi="Palatino Linotype" w:cs="Arial"/>
          <w:color w:val="000000" w:themeColor="text1"/>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13237E" w:rsidRPr="002413EA" w:rsidRDefault="0013237E" w:rsidP="002413EA">
      <w:pPr>
        <w:pBdr>
          <w:top w:val="nil"/>
          <w:left w:val="nil"/>
          <w:bottom w:val="nil"/>
          <w:right w:val="nil"/>
          <w:between w:val="nil"/>
        </w:pBdr>
        <w:tabs>
          <w:tab w:val="left" w:pos="284"/>
          <w:tab w:val="left" w:pos="567"/>
        </w:tabs>
        <w:spacing w:line="360" w:lineRule="auto"/>
        <w:jc w:val="both"/>
        <w:rPr>
          <w:rFonts w:ascii="Palatino Linotype" w:eastAsia="Palatino Linotype" w:hAnsi="Palatino Linotype" w:cs="Palatino Linotype"/>
          <w:b/>
          <w:color w:val="000000" w:themeColor="text1"/>
        </w:rPr>
      </w:pPr>
    </w:p>
    <w:p w:rsidR="0013237E" w:rsidRPr="002413EA" w:rsidRDefault="0013237E" w:rsidP="002413EA">
      <w:pPr>
        <w:numPr>
          <w:ilvl w:val="0"/>
          <w:numId w:val="2"/>
        </w:numPr>
        <w:pBdr>
          <w:top w:val="nil"/>
          <w:left w:val="nil"/>
          <w:bottom w:val="nil"/>
          <w:right w:val="nil"/>
          <w:between w:val="nil"/>
        </w:pBdr>
        <w:tabs>
          <w:tab w:val="left" w:pos="284"/>
          <w:tab w:val="left" w:pos="567"/>
        </w:tabs>
        <w:spacing w:line="360" w:lineRule="auto"/>
        <w:ind w:left="0" w:firstLine="0"/>
        <w:jc w:val="both"/>
        <w:rPr>
          <w:rFonts w:ascii="Palatino Linotype" w:eastAsia="Palatino Linotype" w:hAnsi="Palatino Linotype" w:cs="Palatino Linotype"/>
          <w:b/>
          <w:color w:val="000000" w:themeColor="text1"/>
        </w:rPr>
      </w:pPr>
      <w:r w:rsidRPr="002413EA">
        <w:rPr>
          <w:rFonts w:ascii="Palatino Linotype" w:eastAsia="Palatino Linotype" w:hAnsi="Palatino Linotype" w:cs="Palatino Linotype"/>
          <w:color w:val="000000" w:themeColor="text1"/>
        </w:rPr>
        <w:t xml:space="preserve">En el presente caso, el Recurrente solicitó </w:t>
      </w:r>
      <w:r w:rsidR="00C3277E" w:rsidRPr="002413EA">
        <w:rPr>
          <w:rFonts w:ascii="Palatino Linotype" w:eastAsia="Palatino Linotype" w:hAnsi="Palatino Linotype" w:cs="Palatino Linotype"/>
          <w:color w:val="000000" w:themeColor="text1"/>
        </w:rPr>
        <w:t xml:space="preserve">las contrataciones de servicios profesionales por honorarios.  </w:t>
      </w:r>
    </w:p>
    <w:p w:rsidR="0013237E" w:rsidRPr="002413EA" w:rsidRDefault="0013237E" w:rsidP="002413EA">
      <w:pPr>
        <w:pStyle w:val="Prrafodelista"/>
        <w:ind w:left="0"/>
        <w:rPr>
          <w:rFonts w:ascii="Palatino Linotype" w:eastAsia="Palatino Linotype" w:hAnsi="Palatino Linotype" w:cs="Palatino Linotype"/>
          <w:b/>
          <w:color w:val="000000" w:themeColor="text1"/>
        </w:rPr>
      </w:pPr>
    </w:p>
    <w:p w:rsidR="00006831" w:rsidRPr="002413EA" w:rsidRDefault="00006831" w:rsidP="002413EA">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2413EA">
        <w:rPr>
          <w:rFonts w:ascii="Palatino Linotype" w:eastAsia="Palatino Linotype" w:hAnsi="Palatino Linotype" w:cs="Palatino Linotype"/>
          <w:color w:val="000000" w:themeColor="text1"/>
        </w:rPr>
        <w:t>En cuanto al derecho de acceso a la información, la Ley de Transparencia y Acceso a la Información Pública del Estado de México y Municipios prevé establece que</w:t>
      </w:r>
      <w:r w:rsidRPr="002413EA">
        <w:rPr>
          <w:rFonts w:ascii="Palatino Linotype" w:eastAsia="Palatino Linotype" w:hAnsi="Palatino Linotype" w:cs="Palatino Linotype"/>
          <w:b/>
          <w:i/>
          <w:color w:val="000000" w:themeColor="text1"/>
        </w:rPr>
        <w:t xml:space="preserve"> e</w:t>
      </w:r>
      <w:r w:rsidRPr="002413EA">
        <w:rPr>
          <w:rFonts w:ascii="Palatino Linotype" w:eastAsia="Palatino Linotype" w:hAnsi="Palatino Linotype" w:cs="Palatino Linotype"/>
          <w:i/>
          <w:color w:val="000000" w:themeColor="text1"/>
        </w:rPr>
        <w:t>l procedimiento de acceso a la información es la garantía primaria del derecho en cuestión y se rige por los principios de simplicidad, rapidez y gratuidad del procedimiento, auxilio y orientación a los particulares</w:t>
      </w:r>
      <w:r w:rsidRPr="002413EA">
        <w:rPr>
          <w:rFonts w:ascii="Palatino Linotype" w:eastAsia="Palatino Linotype" w:hAnsi="Palatino Linotype" w:cs="Palatino Linotype"/>
          <w:i/>
          <w:color w:val="000000" w:themeColor="text1"/>
          <w:vertAlign w:val="superscript"/>
        </w:rPr>
        <w:footnoteReference w:id="1"/>
      </w:r>
      <w:r w:rsidRPr="002413EA">
        <w:rPr>
          <w:rFonts w:ascii="Palatino Linotype" w:eastAsia="Palatino Linotype" w:hAnsi="Palatino Linotype" w:cs="Palatino Linotype"/>
          <w:i/>
          <w:color w:val="000000" w:themeColor="text1"/>
        </w:rPr>
        <w:t xml:space="preserve">, </w:t>
      </w:r>
      <w:r w:rsidRPr="002413EA">
        <w:rPr>
          <w:rFonts w:ascii="Palatino Linotype" w:eastAsia="Palatino Linotype" w:hAnsi="Palatino Linotype" w:cs="Palatino Linotype"/>
          <w:color w:val="000000" w:themeColor="text1"/>
        </w:rPr>
        <w:lastRenderedPageBreak/>
        <w:t>asimismo establece</w:t>
      </w:r>
      <w:r w:rsidRPr="002413EA">
        <w:rPr>
          <w:rFonts w:ascii="Palatino Linotype" w:eastAsia="Palatino Linotype" w:hAnsi="Palatino Linotype" w:cs="Palatino Linotype"/>
          <w:i/>
          <w:color w:val="000000" w:themeColor="text1"/>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006831" w:rsidRPr="002413EA" w:rsidRDefault="00006831" w:rsidP="002413EA">
      <w:pPr>
        <w:pStyle w:val="Prrafodelista"/>
        <w:ind w:left="0"/>
        <w:rPr>
          <w:rFonts w:ascii="Palatino Linotype" w:eastAsia="Palatino Linotype" w:hAnsi="Palatino Linotype" w:cs="Palatino Linotype"/>
          <w:color w:val="000000" w:themeColor="text1"/>
        </w:rPr>
      </w:pPr>
    </w:p>
    <w:p w:rsidR="00006831" w:rsidRPr="002413EA" w:rsidRDefault="00006831" w:rsidP="002413EA">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2413EA">
        <w:rPr>
          <w:rFonts w:ascii="Palatino Linotype" w:eastAsia="Palatino Linotype" w:hAnsi="Palatino Linotype" w:cs="Palatino Linotype"/>
          <w:color w:val="000000" w:themeColor="text1"/>
        </w:rPr>
        <w:t xml:space="preserve">Resulta necesario referir que, el 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2413EA">
        <w:rPr>
          <w:rFonts w:ascii="Palatino Linotype" w:eastAsia="Palatino Linotype" w:hAnsi="Palatino Linotype" w:cs="Palatino Linotype"/>
          <w:b/>
          <w:color w:val="000000" w:themeColor="text1"/>
        </w:rPr>
        <w:t>los Sujetos Obligados deberán documentar todo acto que se derive del ejercicio de sus facultades, competencias o funciones,</w:t>
      </w:r>
      <w:r w:rsidRPr="002413EA">
        <w:rPr>
          <w:rFonts w:ascii="Palatino Linotype" w:eastAsia="Palatino Linotype" w:hAnsi="Palatino Linotype" w:cs="Palatino Linotype"/>
          <w:color w:val="000000" w:themeColor="text1"/>
        </w:rPr>
        <w:t xml:space="preserve"> considerando desde su origen la eventual publicidad y reutilización de la información que generen, posean o administren.</w:t>
      </w:r>
    </w:p>
    <w:p w:rsidR="00006831" w:rsidRPr="002413EA" w:rsidRDefault="00006831" w:rsidP="002413EA">
      <w:pPr>
        <w:pStyle w:val="Prrafodelista"/>
        <w:ind w:left="0"/>
        <w:rPr>
          <w:rFonts w:ascii="Palatino Linotype" w:eastAsia="Palatino Linotype" w:hAnsi="Palatino Linotype" w:cs="Palatino Linotype"/>
          <w:color w:val="000000" w:themeColor="text1"/>
        </w:rPr>
      </w:pPr>
    </w:p>
    <w:p w:rsidR="00006831" w:rsidRPr="002413EA" w:rsidRDefault="00006831" w:rsidP="002413EA">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2413EA">
        <w:rPr>
          <w:rFonts w:ascii="Palatino Linotype" w:eastAsia="Palatino Linotype" w:hAnsi="Palatino Linotype" w:cs="Palatino Linotype"/>
          <w:color w:val="000000" w:themeColor="text1"/>
        </w:rPr>
        <w:t>Además, debemos tomar en cuenta los artículos 4 y 12, de la Ley de Transparencia y Acceso a la Información Pública del Estado de México y Municipios, los cuales establecen lo siguiente:</w:t>
      </w:r>
    </w:p>
    <w:p w:rsidR="00006831" w:rsidRPr="002413EA" w:rsidRDefault="00006831" w:rsidP="002413EA">
      <w:pPr>
        <w:spacing w:line="360" w:lineRule="auto"/>
        <w:jc w:val="both"/>
        <w:rPr>
          <w:rFonts w:ascii="Palatino Linotype" w:eastAsia="Palatino Linotype" w:hAnsi="Palatino Linotype" w:cs="Palatino Linotype"/>
          <w:i/>
          <w:color w:val="000000" w:themeColor="text1"/>
        </w:rPr>
      </w:pPr>
      <w:r w:rsidRPr="002413EA">
        <w:rPr>
          <w:rFonts w:ascii="Palatino Linotype" w:eastAsia="Palatino Linotype" w:hAnsi="Palatino Linotype" w:cs="Palatino Linotype"/>
          <w:b/>
          <w:i/>
          <w:color w:val="000000" w:themeColor="text1"/>
        </w:rPr>
        <w:t xml:space="preserve">Artículo 4. </w:t>
      </w:r>
      <w:r w:rsidRPr="002413EA">
        <w:rPr>
          <w:rFonts w:ascii="Palatino Linotype" w:eastAsia="Palatino Linotype" w:hAnsi="Palatino Linotype" w:cs="Palatino Linotype"/>
          <w:i/>
          <w:color w:val="000000" w:themeColor="text1"/>
        </w:rPr>
        <w:t>El derecho humano de acceso a la información pública es la prerrogativa de las personas para buscar, difundir, investigar, recabar, recibir y solicitar información pública, sin necesidad de acreditar personalidad ni interés jurídico.</w:t>
      </w:r>
    </w:p>
    <w:p w:rsidR="00006831" w:rsidRPr="002413EA" w:rsidRDefault="00006831" w:rsidP="002413EA">
      <w:pPr>
        <w:spacing w:line="360" w:lineRule="auto"/>
        <w:jc w:val="both"/>
        <w:rPr>
          <w:rFonts w:ascii="Palatino Linotype" w:eastAsia="Palatino Linotype" w:hAnsi="Palatino Linotype" w:cs="Palatino Linotype"/>
          <w:i/>
          <w:color w:val="000000" w:themeColor="text1"/>
        </w:rPr>
      </w:pPr>
    </w:p>
    <w:p w:rsidR="00006831" w:rsidRPr="002413EA" w:rsidRDefault="00006831" w:rsidP="002413EA">
      <w:pPr>
        <w:spacing w:line="360" w:lineRule="auto"/>
        <w:jc w:val="both"/>
        <w:rPr>
          <w:rFonts w:ascii="Palatino Linotype" w:eastAsia="Palatino Linotype" w:hAnsi="Palatino Linotype" w:cs="Palatino Linotype"/>
          <w:i/>
          <w:color w:val="000000" w:themeColor="text1"/>
        </w:rPr>
      </w:pPr>
      <w:r w:rsidRPr="002413EA">
        <w:rPr>
          <w:rFonts w:ascii="Palatino Linotype" w:eastAsia="Palatino Linotype" w:hAnsi="Palatino Linotype" w:cs="Palatino Linotype"/>
          <w:i/>
          <w:color w:val="000000" w:themeColor="text1"/>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w:t>
      </w:r>
      <w:r w:rsidRPr="002413EA">
        <w:rPr>
          <w:rFonts w:ascii="Palatino Linotype" w:eastAsia="Palatino Linotype" w:hAnsi="Palatino Linotype" w:cs="Palatino Linotype"/>
          <w:i/>
          <w:color w:val="000000" w:themeColor="text1"/>
        </w:rPr>
        <w:lastRenderedPageBreak/>
        <w:t>máxima publicidad de la información. Solo podrá ser clasificada excepcionalmente como reservada temporalmente por razones de interés público, en los términos de las causas legítimas y estrictamente necesarias previstas por esta Ley.</w:t>
      </w:r>
    </w:p>
    <w:p w:rsidR="00006831" w:rsidRPr="002413EA" w:rsidRDefault="00006831" w:rsidP="002413EA">
      <w:pPr>
        <w:spacing w:line="360" w:lineRule="auto"/>
        <w:jc w:val="both"/>
        <w:rPr>
          <w:rFonts w:ascii="Palatino Linotype" w:eastAsia="Palatino Linotype" w:hAnsi="Palatino Linotype" w:cs="Palatino Linotype"/>
          <w:i/>
          <w:color w:val="000000" w:themeColor="text1"/>
        </w:rPr>
      </w:pPr>
    </w:p>
    <w:p w:rsidR="00006831" w:rsidRPr="002413EA" w:rsidRDefault="00006831" w:rsidP="002413EA">
      <w:pPr>
        <w:spacing w:line="360" w:lineRule="auto"/>
        <w:jc w:val="both"/>
        <w:rPr>
          <w:rFonts w:ascii="Palatino Linotype" w:eastAsia="Palatino Linotype" w:hAnsi="Palatino Linotype" w:cs="Palatino Linotype"/>
          <w:i/>
          <w:color w:val="000000" w:themeColor="text1"/>
        </w:rPr>
      </w:pPr>
      <w:r w:rsidRPr="002413EA">
        <w:rPr>
          <w:rFonts w:ascii="Palatino Linotype" w:eastAsia="Palatino Linotype" w:hAnsi="Palatino Linotype" w:cs="Palatino Linotype"/>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006831" w:rsidRPr="002413EA" w:rsidRDefault="00006831" w:rsidP="002413EA">
      <w:pPr>
        <w:spacing w:line="360" w:lineRule="auto"/>
        <w:jc w:val="both"/>
        <w:rPr>
          <w:rFonts w:ascii="Palatino Linotype" w:eastAsia="Palatino Linotype" w:hAnsi="Palatino Linotype" w:cs="Palatino Linotype"/>
          <w:i/>
          <w:color w:val="000000" w:themeColor="text1"/>
        </w:rPr>
      </w:pPr>
    </w:p>
    <w:p w:rsidR="00006831" w:rsidRPr="002413EA" w:rsidRDefault="00006831" w:rsidP="002413EA">
      <w:pPr>
        <w:spacing w:line="360" w:lineRule="auto"/>
        <w:jc w:val="both"/>
        <w:rPr>
          <w:rFonts w:ascii="Palatino Linotype" w:eastAsia="Palatino Linotype" w:hAnsi="Palatino Linotype" w:cs="Palatino Linotype"/>
          <w:i/>
          <w:color w:val="000000" w:themeColor="text1"/>
        </w:rPr>
      </w:pPr>
      <w:r w:rsidRPr="002413EA">
        <w:rPr>
          <w:rFonts w:ascii="Palatino Linotype" w:eastAsia="Palatino Linotype" w:hAnsi="Palatino Linotype" w:cs="Palatino Linotype"/>
          <w:b/>
          <w:i/>
          <w:color w:val="000000" w:themeColor="text1"/>
        </w:rPr>
        <w:t xml:space="preserve">Artículo 12. </w:t>
      </w:r>
      <w:r w:rsidRPr="002413EA">
        <w:rPr>
          <w:rFonts w:ascii="Palatino Linotype" w:eastAsia="Palatino Linotype" w:hAnsi="Palatino Linotype" w:cs="Palatino Linotype"/>
          <w:i/>
          <w:color w:val="000000" w:themeColor="text1"/>
        </w:rPr>
        <w:t xml:space="preserve">Quienes generen, recopilen, administren, manejen, procesen, archiven o conserven información pública serán responsables de la misma en los términos de las disposiciones jurídicas aplicables. </w:t>
      </w:r>
    </w:p>
    <w:p w:rsidR="00006831" w:rsidRPr="002413EA" w:rsidRDefault="00006831" w:rsidP="002413EA">
      <w:pPr>
        <w:spacing w:line="360" w:lineRule="auto"/>
        <w:jc w:val="both"/>
        <w:rPr>
          <w:rFonts w:ascii="Palatino Linotype" w:eastAsia="Palatino Linotype" w:hAnsi="Palatino Linotype" w:cs="Palatino Linotype"/>
          <w:i/>
          <w:color w:val="000000" w:themeColor="text1"/>
        </w:rPr>
      </w:pPr>
    </w:p>
    <w:p w:rsidR="00006831" w:rsidRPr="002413EA" w:rsidRDefault="00006831" w:rsidP="002413EA">
      <w:pPr>
        <w:spacing w:line="360" w:lineRule="auto"/>
        <w:jc w:val="both"/>
        <w:rPr>
          <w:rFonts w:ascii="Palatino Linotype" w:eastAsia="Palatino Linotype" w:hAnsi="Palatino Linotype" w:cs="Palatino Linotype"/>
          <w:b/>
          <w:i/>
          <w:color w:val="000000" w:themeColor="text1"/>
        </w:rPr>
      </w:pPr>
      <w:r w:rsidRPr="002413EA">
        <w:rPr>
          <w:rFonts w:ascii="Palatino Linotype" w:eastAsia="Palatino Linotype" w:hAnsi="Palatino Linotype" w:cs="Palatino Linotype"/>
          <w:i/>
          <w:color w:val="000000" w:themeColor="text1"/>
        </w:rPr>
        <w:t xml:space="preserve">Los sujetos obligados sólo proporcionarán la información pública que se les requiera y que obre en sus archivos y en el estado en que ésta se encuentre. </w:t>
      </w:r>
      <w:r w:rsidRPr="002413EA">
        <w:rPr>
          <w:rFonts w:ascii="Palatino Linotype" w:eastAsia="Palatino Linotype" w:hAnsi="Palatino Linotype" w:cs="Palatino Linotype"/>
          <w:b/>
          <w:i/>
          <w:color w:val="000000" w:themeColor="text1"/>
        </w:rPr>
        <w:t>La obligación de proporcionar información no comprende el procesamiento de la misma, ni el presentarla conforme al interés del solicitante; no estarán obligados a generarla, resumirla, efectuar cálculos o practicar investigaciones.</w:t>
      </w:r>
    </w:p>
    <w:p w:rsidR="00006831" w:rsidRPr="002413EA" w:rsidRDefault="00006831" w:rsidP="002413EA">
      <w:pPr>
        <w:spacing w:line="360" w:lineRule="auto"/>
        <w:jc w:val="both"/>
        <w:rPr>
          <w:rFonts w:ascii="Palatino Linotype" w:eastAsia="Palatino Linotype" w:hAnsi="Palatino Linotype" w:cs="Palatino Linotype"/>
          <w:b/>
          <w:i/>
          <w:color w:val="000000" w:themeColor="text1"/>
        </w:rPr>
      </w:pPr>
    </w:p>
    <w:p w:rsidR="00006831" w:rsidRPr="002413EA" w:rsidRDefault="00006831" w:rsidP="002413EA">
      <w:pPr>
        <w:numPr>
          <w:ilvl w:val="0"/>
          <w:numId w:val="2"/>
        </w:numPr>
        <w:pBdr>
          <w:top w:val="nil"/>
          <w:left w:val="nil"/>
          <w:bottom w:val="nil"/>
          <w:right w:val="nil"/>
          <w:between w:val="nil"/>
        </w:pBdr>
        <w:tabs>
          <w:tab w:val="left" w:pos="851"/>
        </w:tabs>
        <w:spacing w:line="360" w:lineRule="auto"/>
        <w:ind w:left="0" w:firstLine="0"/>
        <w:jc w:val="both"/>
        <w:rPr>
          <w:rFonts w:ascii="Palatino Linotype" w:hAnsi="Palatino Linotype"/>
          <w:color w:val="000000" w:themeColor="text1"/>
        </w:rPr>
      </w:pPr>
      <w:r w:rsidRPr="002413EA">
        <w:rPr>
          <w:rFonts w:ascii="Palatino Linotype" w:eastAsia="Palatino Linotype" w:hAnsi="Palatino Linotype" w:cs="Palatino Linotype"/>
          <w:color w:val="000000" w:themeColor="text1"/>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2413EA">
        <w:rPr>
          <w:rFonts w:ascii="Palatino Linotype" w:eastAsia="Palatino Linotype" w:hAnsi="Palatino Linotype" w:cs="Palatino Linotype"/>
          <w:color w:val="000000" w:themeColor="text1"/>
          <w:vertAlign w:val="superscript"/>
        </w:rPr>
        <w:footnoteReference w:id="2"/>
      </w:r>
      <w:r w:rsidRPr="002413EA">
        <w:rPr>
          <w:rFonts w:ascii="Palatino Linotype" w:eastAsia="Palatino Linotype" w:hAnsi="Palatino Linotype" w:cs="Palatino Linotype"/>
          <w:color w:val="000000" w:themeColor="text1"/>
        </w:rPr>
        <w:t xml:space="preserve"> y máxima publicidad, </w:t>
      </w:r>
      <w:r w:rsidRPr="002413EA">
        <w:rPr>
          <w:rFonts w:ascii="Palatino Linotype" w:eastAsia="Palatino Linotype" w:hAnsi="Palatino Linotype" w:cs="Palatino Linotype"/>
          <w:color w:val="000000" w:themeColor="text1"/>
        </w:rPr>
        <w:lastRenderedPageBreak/>
        <w:t>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006831" w:rsidRPr="002413EA" w:rsidRDefault="00006831" w:rsidP="002413EA">
      <w:pPr>
        <w:pBdr>
          <w:top w:val="nil"/>
          <w:left w:val="nil"/>
          <w:bottom w:val="nil"/>
          <w:right w:val="nil"/>
          <w:between w:val="nil"/>
        </w:pBdr>
        <w:tabs>
          <w:tab w:val="left" w:pos="851"/>
        </w:tabs>
        <w:spacing w:line="360" w:lineRule="auto"/>
        <w:jc w:val="both"/>
        <w:rPr>
          <w:rFonts w:ascii="Palatino Linotype" w:hAnsi="Palatino Linotype"/>
          <w:color w:val="000000" w:themeColor="text1"/>
        </w:rPr>
      </w:pPr>
    </w:p>
    <w:p w:rsidR="00006831" w:rsidRPr="002413EA" w:rsidRDefault="00006831" w:rsidP="002413EA">
      <w:pPr>
        <w:numPr>
          <w:ilvl w:val="0"/>
          <w:numId w:val="2"/>
        </w:numPr>
        <w:pBdr>
          <w:top w:val="nil"/>
          <w:left w:val="nil"/>
          <w:bottom w:val="nil"/>
          <w:right w:val="nil"/>
          <w:between w:val="nil"/>
        </w:pBdr>
        <w:tabs>
          <w:tab w:val="left" w:pos="851"/>
        </w:tabs>
        <w:spacing w:line="360" w:lineRule="auto"/>
        <w:ind w:left="0" w:firstLine="0"/>
        <w:jc w:val="both"/>
        <w:rPr>
          <w:rFonts w:ascii="Palatino Linotype" w:hAnsi="Palatino Linotype"/>
          <w:color w:val="000000" w:themeColor="text1"/>
        </w:rPr>
      </w:pPr>
      <w:r w:rsidRPr="002413EA">
        <w:rPr>
          <w:rFonts w:ascii="Palatino Linotype" w:eastAsia="Palatino Linotype" w:hAnsi="Palatino Linotype" w:cs="Palatino Linotype"/>
          <w:color w:val="000000" w:themeColor="text1"/>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006831" w:rsidRPr="002413EA" w:rsidRDefault="00006831" w:rsidP="002413EA">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r w:rsidRPr="002413EA">
        <w:rPr>
          <w:rFonts w:ascii="Palatino Linotype" w:eastAsia="Palatino Linotype" w:hAnsi="Palatino Linotype" w:cs="Palatino Linotype"/>
          <w:b/>
          <w:i/>
          <w:color w:val="000000" w:themeColor="text1"/>
        </w:rPr>
        <w:t>ACCESO A LA INFORMACIÓN. IMPLICACIÓN DEL PRINCIPIO DE MÁXIMA PUBLICIDAD EN EL DERECHO FUNDAMENTAL RELATIVO.</w:t>
      </w:r>
      <w:r w:rsidRPr="002413EA">
        <w:rPr>
          <w:rFonts w:ascii="Palatino Linotype" w:eastAsia="Palatino Linotype" w:hAnsi="Palatino Linotype" w:cs="Palatino Linotype"/>
          <w:i/>
          <w:color w:val="000000" w:themeColor="text1"/>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w:t>
      </w:r>
      <w:r w:rsidRPr="002413EA">
        <w:rPr>
          <w:rFonts w:ascii="Palatino Linotype" w:eastAsia="Palatino Linotype" w:hAnsi="Palatino Linotype" w:cs="Palatino Linotype"/>
          <w:i/>
          <w:color w:val="000000" w:themeColor="text1"/>
        </w:rPr>
        <w:lastRenderedPageBreak/>
        <w:t xml:space="preserve">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006831" w:rsidRPr="002413EA" w:rsidRDefault="00006831" w:rsidP="002413EA">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p>
    <w:p w:rsidR="00006831" w:rsidRPr="002413EA" w:rsidRDefault="00006831" w:rsidP="002413EA">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r w:rsidRPr="002413EA">
        <w:rPr>
          <w:rFonts w:ascii="Palatino Linotype" w:eastAsia="Palatino Linotype" w:hAnsi="Palatino Linotype" w:cs="Palatino Linotype"/>
          <w:i/>
          <w:color w:val="000000" w:themeColor="text1"/>
        </w:rPr>
        <w:t xml:space="preserve">CUARTO TRIBUNAL COLEGIADO EN MATERIA ADMINISTRATIVA DEL PRIMER CIRCUITO. </w:t>
      </w:r>
    </w:p>
    <w:p w:rsidR="00006831" w:rsidRPr="002413EA" w:rsidRDefault="00006831" w:rsidP="002413EA">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p>
    <w:p w:rsidR="00006831" w:rsidRPr="002413EA" w:rsidRDefault="00006831" w:rsidP="002413EA">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r w:rsidRPr="002413EA">
        <w:rPr>
          <w:rFonts w:ascii="Palatino Linotype" w:eastAsia="Palatino Linotype" w:hAnsi="Palatino Linotype" w:cs="Palatino Linotype"/>
          <w:i/>
          <w:color w:val="000000" w:themeColor="text1"/>
        </w:rPr>
        <w:t>Amparo en revisión 257/2012. Ruth Corona Muñoz. 6 de diciembre de 2012. Unanimidad de votos. Ponente: Jean Claude Tron Petit. Secretaria: Mayra Susana Martínez López.</w:t>
      </w:r>
    </w:p>
    <w:p w:rsidR="00006831" w:rsidRPr="002413EA" w:rsidRDefault="00006831" w:rsidP="002413EA">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006831" w:rsidRPr="002413EA" w:rsidRDefault="00006831" w:rsidP="002413EA">
      <w:pPr>
        <w:numPr>
          <w:ilvl w:val="0"/>
          <w:numId w:val="2"/>
        </w:numPr>
        <w:pBdr>
          <w:top w:val="nil"/>
          <w:left w:val="nil"/>
          <w:bottom w:val="nil"/>
          <w:right w:val="nil"/>
          <w:between w:val="nil"/>
        </w:pBdr>
        <w:tabs>
          <w:tab w:val="left" w:pos="851"/>
        </w:tabs>
        <w:spacing w:after="240" w:line="360" w:lineRule="auto"/>
        <w:ind w:left="0" w:firstLine="0"/>
        <w:jc w:val="both"/>
        <w:rPr>
          <w:rFonts w:ascii="Palatino Linotype" w:hAnsi="Palatino Linotype"/>
          <w:color w:val="000000" w:themeColor="text1"/>
        </w:rPr>
      </w:pPr>
      <w:r w:rsidRPr="002413EA">
        <w:rPr>
          <w:rFonts w:ascii="Palatino Linotype" w:eastAsia="Palatino Linotype" w:hAnsi="Palatino Linotype" w:cs="Palatino Linotype"/>
          <w:color w:val="000000" w:themeColor="text1"/>
        </w:rPr>
        <w:t>El derecho de acceso a la información encuentra su materia elemental en los documentos, y la Ley de Transparencia local  nos brinda el siguiente concepto, para darnos un mejor panorama:</w:t>
      </w:r>
    </w:p>
    <w:p w:rsidR="00006831" w:rsidRPr="002413EA" w:rsidRDefault="00006831" w:rsidP="002413EA">
      <w:pPr>
        <w:spacing w:line="360" w:lineRule="auto"/>
        <w:jc w:val="both"/>
        <w:rPr>
          <w:rFonts w:ascii="Palatino Linotype" w:eastAsia="Palatino Linotype" w:hAnsi="Palatino Linotype" w:cs="Palatino Linotype"/>
          <w:i/>
          <w:color w:val="000000" w:themeColor="text1"/>
        </w:rPr>
      </w:pPr>
      <w:r w:rsidRPr="002413EA">
        <w:rPr>
          <w:rFonts w:ascii="Palatino Linotype" w:eastAsia="Palatino Linotype" w:hAnsi="Palatino Linotype" w:cs="Palatino Linotype"/>
          <w:b/>
          <w:i/>
          <w:color w:val="000000" w:themeColor="text1"/>
        </w:rPr>
        <w:t xml:space="preserve">XI. Documento: </w:t>
      </w:r>
      <w:r w:rsidRPr="002413EA">
        <w:rPr>
          <w:rFonts w:ascii="Palatino Linotype" w:eastAsia="Palatino Linotype" w:hAnsi="Palatino Linotype" w:cs="Palatino Linotype"/>
          <w:i/>
          <w:color w:val="000000" w:themeColor="text1"/>
        </w:rPr>
        <w:t xml:space="preserve">Los expedientes, reportes, estudios, actas, resoluciones, oficios, correspondencia, acuerdos, directivas, directrices, circulares, contratos, convenios, instructivos, notas, memorandos, estadísticas o bien, </w:t>
      </w:r>
      <w:r w:rsidRPr="002413EA">
        <w:rPr>
          <w:rFonts w:ascii="Palatino Linotype" w:eastAsia="Palatino Linotype" w:hAnsi="Palatino Linotype" w:cs="Palatino Linotype"/>
          <w:b/>
          <w:i/>
          <w:color w:val="000000" w:themeColor="text1"/>
        </w:rPr>
        <w:t>cualquier otro registro</w:t>
      </w:r>
      <w:r w:rsidRPr="002413EA">
        <w:rPr>
          <w:rFonts w:ascii="Palatino Linotype" w:eastAsia="Palatino Linotype" w:hAnsi="Palatino Linotype" w:cs="Palatino Linotype"/>
          <w:i/>
          <w:color w:val="000000" w:themeColor="text1"/>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006831" w:rsidRPr="002413EA" w:rsidRDefault="00006831" w:rsidP="002413EA">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themeColor="text1"/>
        </w:rPr>
      </w:pPr>
    </w:p>
    <w:p w:rsidR="00006831" w:rsidRPr="002413EA" w:rsidRDefault="00006831" w:rsidP="002413EA">
      <w:pPr>
        <w:numPr>
          <w:ilvl w:val="0"/>
          <w:numId w:val="2"/>
        </w:numPr>
        <w:pBdr>
          <w:top w:val="nil"/>
          <w:left w:val="nil"/>
          <w:bottom w:val="nil"/>
          <w:right w:val="nil"/>
          <w:between w:val="nil"/>
        </w:pBdr>
        <w:tabs>
          <w:tab w:val="left" w:pos="851"/>
        </w:tabs>
        <w:spacing w:line="360" w:lineRule="auto"/>
        <w:ind w:left="0" w:firstLine="0"/>
        <w:jc w:val="both"/>
        <w:rPr>
          <w:rFonts w:ascii="Palatino Linotype" w:hAnsi="Palatino Linotype"/>
          <w:color w:val="000000" w:themeColor="text1"/>
        </w:rPr>
      </w:pPr>
      <w:r w:rsidRPr="002413EA">
        <w:rPr>
          <w:rFonts w:ascii="Palatino Linotype" w:eastAsia="Palatino Linotype" w:hAnsi="Palatino Linotype" w:cs="Palatino Linotype"/>
          <w:color w:val="000000" w:themeColor="text1"/>
        </w:rPr>
        <w:t xml:space="preserve">Es así que, todos los actos de autoridad que realicen los Sujetos </w:t>
      </w:r>
      <w:r w:rsidRPr="002413EA">
        <w:rPr>
          <w:rFonts w:ascii="Palatino Linotype" w:eastAsia="Palatino Linotype" w:hAnsi="Palatino Linotype" w:cs="Palatino Linotype"/>
          <w:b/>
          <w:color w:val="000000" w:themeColor="text1"/>
        </w:rPr>
        <w:t>Obligados deben estar documentados y, bajo el más alto estándar de transparencia</w:t>
      </w:r>
      <w:r w:rsidRPr="002413EA">
        <w:rPr>
          <w:rFonts w:ascii="Palatino Linotype" w:eastAsia="Palatino Linotype" w:hAnsi="Palatino Linotype" w:cs="Palatino Linotype"/>
          <w:color w:val="000000" w:themeColor="text1"/>
        </w:rPr>
        <w:t xml:space="preserve"> deberán poner toda la información que se encuentre en su posesión, a disposición de los particulares que la soliciten.</w:t>
      </w:r>
    </w:p>
    <w:p w:rsidR="00006831" w:rsidRPr="002413EA" w:rsidRDefault="00006831" w:rsidP="002413EA">
      <w:pPr>
        <w:numPr>
          <w:ilvl w:val="0"/>
          <w:numId w:val="2"/>
        </w:numPr>
        <w:pBdr>
          <w:top w:val="nil"/>
          <w:left w:val="nil"/>
          <w:bottom w:val="nil"/>
          <w:right w:val="nil"/>
          <w:between w:val="nil"/>
        </w:pBdr>
        <w:tabs>
          <w:tab w:val="left" w:pos="851"/>
        </w:tabs>
        <w:spacing w:line="360" w:lineRule="auto"/>
        <w:ind w:left="0" w:firstLine="0"/>
        <w:jc w:val="both"/>
        <w:rPr>
          <w:rFonts w:ascii="Palatino Linotype" w:hAnsi="Palatino Linotype"/>
          <w:color w:val="000000" w:themeColor="text1"/>
        </w:rPr>
      </w:pPr>
      <w:r w:rsidRPr="002413EA">
        <w:rPr>
          <w:rFonts w:ascii="Palatino Linotype" w:hAnsi="Palatino Linotype" w:cs="Arial"/>
          <w:color w:val="000000" w:themeColor="text1"/>
        </w:rPr>
        <w:lastRenderedPageBreak/>
        <w:t xml:space="preserve">En ese sentido, toda vez que la pretensión del ahora Recurrente es acceder a las contrataciones de servicios profesionales por honorarios, resulta oportuno traer a colación lo establecido en </w:t>
      </w:r>
      <w:r w:rsidRPr="002413EA">
        <w:rPr>
          <w:rFonts w:ascii="Palatino Linotype" w:eastAsia="Calibri" w:hAnsi="Palatino Linotype" w:cs="Tahoma"/>
          <w:bCs/>
          <w:color w:val="000000" w:themeColor="text1"/>
        </w:rPr>
        <w:t>la Ley del Trabajo de los Servidores Públicos del Estado y Municipios, cuyo objeto es regular las relaciones de trabajo, comprendidas entre los poderes públicos del Estado y los Municipios, con sus servidores públicos, además de establecer lo referente a los nombramientos como se muestra a continuación:</w:t>
      </w:r>
    </w:p>
    <w:p w:rsidR="00006831" w:rsidRPr="002413EA" w:rsidRDefault="00006831" w:rsidP="002413EA">
      <w:pPr>
        <w:pStyle w:val="Sinespaciado"/>
        <w:rPr>
          <w:rFonts w:ascii="Palatino Linotype" w:eastAsia="Calibri" w:hAnsi="Palatino Linotype"/>
          <w:color w:val="000000" w:themeColor="text1"/>
        </w:rPr>
      </w:pPr>
    </w:p>
    <w:p w:rsidR="00006831" w:rsidRPr="002413EA" w:rsidRDefault="00006831" w:rsidP="002413EA">
      <w:pPr>
        <w:jc w:val="both"/>
        <w:rPr>
          <w:rFonts w:ascii="Palatino Linotype" w:eastAsia="Calibri" w:hAnsi="Palatino Linotype" w:cs="Tahoma"/>
          <w:bCs/>
          <w:i/>
          <w:color w:val="000000" w:themeColor="text1"/>
        </w:rPr>
      </w:pPr>
      <w:r w:rsidRPr="002413EA">
        <w:rPr>
          <w:rFonts w:ascii="Palatino Linotype" w:eastAsia="Calibri" w:hAnsi="Palatino Linotype" w:cs="Tahoma"/>
          <w:b/>
          <w:bCs/>
          <w:i/>
          <w:color w:val="000000" w:themeColor="text1"/>
        </w:rPr>
        <w:t>ARTÍCULO 5.-</w:t>
      </w:r>
      <w:r w:rsidRPr="002413EA">
        <w:rPr>
          <w:rFonts w:ascii="Palatino Linotype" w:eastAsia="Calibri" w:hAnsi="Palatino Linotype" w:cs="Tahoma"/>
          <w:bCs/>
          <w:i/>
          <w:color w:val="000000" w:themeColor="text1"/>
        </w:rPr>
        <w:t xml:space="preserve"> </w:t>
      </w:r>
      <w:r w:rsidRPr="002413EA">
        <w:rPr>
          <w:rFonts w:ascii="Palatino Linotype" w:eastAsia="Calibri" w:hAnsi="Palatino Linotype" w:cs="Tahoma"/>
          <w:b/>
          <w:bCs/>
          <w:i/>
          <w:color w:val="000000" w:themeColor="text1"/>
        </w:rPr>
        <w:t xml:space="preserve">La relación de trabajo entre las instituciones públicas y sus servidores públicos se entiende establecida mediante </w:t>
      </w:r>
      <w:r w:rsidRPr="002413EA">
        <w:rPr>
          <w:rFonts w:ascii="Palatino Linotype" w:eastAsia="Calibri" w:hAnsi="Palatino Linotype" w:cs="Tahoma"/>
          <w:i/>
          <w:color w:val="000000" w:themeColor="text1"/>
        </w:rPr>
        <w:t>nombramiento</w:t>
      </w:r>
      <w:r w:rsidRPr="002413EA">
        <w:rPr>
          <w:rFonts w:ascii="Palatino Linotype" w:eastAsia="Calibri" w:hAnsi="Palatino Linotype" w:cs="Tahoma"/>
          <w:bCs/>
          <w:i/>
          <w:color w:val="000000" w:themeColor="text1"/>
        </w:rPr>
        <w:t xml:space="preserve">, formato único de movimiento de personal, </w:t>
      </w:r>
      <w:r w:rsidRPr="002413EA">
        <w:rPr>
          <w:rFonts w:ascii="Palatino Linotype" w:eastAsia="Calibri" w:hAnsi="Palatino Linotype" w:cs="Tahoma"/>
          <w:b/>
          <w:i/>
          <w:color w:val="000000" w:themeColor="text1"/>
          <w:u w:val="single"/>
        </w:rPr>
        <w:t>contrato o por cualquier otro acto que tenga como consecuencia la prestación personal subordinada del servicio y la percepción de un sueldo</w:t>
      </w:r>
      <w:r w:rsidRPr="002413EA">
        <w:rPr>
          <w:rFonts w:ascii="Palatino Linotype" w:eastAsia="Calibri" w:hAnsi="Palatino Linotype" w:cs="Tahoma"/>
          <w:bCs/>
          <w:i/>
          <w:color w:val="000000" w:themeColor="text1"/>
        </w:rPr>
        <w:t>.</w:t>
      </w:r>
    </w:p>
    <w:p w:rsidR="00006831" w:rsidRPr="002413EA" w:rsidRDefault="00006831" w:rsidP="002413EA">
      <w:pPr>
        <w:jc w:val="both"/>
        <w:rPr>
          <w:rFonts w:ascii="Palatino Linotype" w:eastAsia="Calibri" w:hAnsi="Palatino Linotype" w:cs="Tahoma"/>
          <w:bCs/>
          <w:i/>
          <w:color w:val="000000" w:themeColor="text1"/>
        </w:rPr>
      </w:pPr>
    </w:p>
    <w:p w:rsidR="00006831" w:rsidRPr="002413EA" w:rsidRDefault="00006831" w:rsidP="002413EA">
      <w:pPr>
        <w:jc w:val="both"/>
        <w:rPr>
          <w:rFonts w:ascii="Palatino Linotype" w:hAnsi="Palatino Linotype" w:cs="Tahoma"/>
          <w:i/>
          <w:color w:val="000000" w:themeColor="text1"/>
        </w:rPr>
      </w:pPr>
      <w:r w:rsidRPr="002413EA">
        <w:rPr>
          <w:rFonts w:ascii="Palatino Linotype" w:eastAsia="Calibri" w:hAnsi="Palatino Linotype" w:cs="Tahoma"/>
          <w:bCs/>
          <w:i/>
          <w:color w:val="000000" w:themeColor="text1"/>
        </w:rPr>
        <w:t>Para los efectos de esta ley, las instituciones públicas estarán representadas por sus titulares.</w:t>
      </w:r>
      <w:r w:rsidRPr="002413EA">
        <w:rPr>
          <w:rFonts w:ascii="Palatino Linotype" w:eastAsia="Calibri" w:hAnsi="Palatino Linotype" w:cs="Tahoma"/>
          <w:bCs/>
          <w:i/>
          <w:color w:val="000000" w:themeColor="text1"/>
        </w:rPr>
        <w:cr/>
        <w:t>(</w:t>
      </w:r>
      <w:r w:rsidRPr="002413EA">
        <w:rPr>
          <w:rFonts w:ascii="Palatino Linotype" w:hAnsi="Palatino Linotype" w:cs="Tahoma"/>
          <w:i/>
          <w:color w:val="000000" w:themeColor="text1"/>
        </w:rPr>
        <w:t xml:space="preserve">…) </w:t>
      </w:r>
    </w:p>
    <w:p w:rsidR="00006831" w:rsidRPr="002413EA" w:rsidRDefault="00006831" w:rsidP="002413EA">
      <w:pPr>
        <w:jc w:val="center"/>
        <w:rPr>
          <w:rFonts w:ascii="Palatino Linotype" w:hAnsi="Palatino Linotype" w:cs="Tahoma"/>
          <w:b/>
          <w:i/>
          <w:color w:val="000000" w:themeColor="text1"/>
        </w:rPr>
      </w:pPr>
      <w:r w:rsidRPr="002413EA">
        <w:rPr>
          <w:rFonts w:ascii="Palatino Linotype" w:hAnsi="Palatino Linotype" w:cs="Tahoma"/>
          <w:b/>
          <w:i/>
          <w:color w:val="000000" w:themeColor="text1"/>
        </w:rPr>
        <w:t>CAPITULO II</w:t>
      </w:r>
    </w:p>
    <w:p w:rsidR="00006831" w:rsidRPr="002413EA" w:rsidRDefault="00006831" w:rsidP="002413EA">
      <w:pPr>
        <w:jc w:val="center"/>
        <w:rPr>
          <w:rFonts w:ascii="Palatino Linotype" w:hAnsi="Palatino Linotype" w:cs="Tahoma"/>
          <w:b/>
          <w:i/>
          <w:color w:val="000000" w:themeColor="text1"/>
        </w:rPr>
      </w:pPr>
      <w:r w:rsidRPr="002413EA">
        <w:rPr>
          <w:rFonts w:ascii="Palatino Linotype" w:hAnsi="Palatino Linotype" w:cs="Tahoma"/>
          <w:b/>
          <w:i/>
          <w:color w:val="000000" w:themeColor="text1"/>
        </w:rPr>
        <w:t>De los Nombramientos</w:t>
      </w:r>
    </w:p>
    <w:p w:rsidR="00006831" w:rsidRPr="002413EA" w:rsidRDefault="00006831" w:rsidP="002413EA">
      <w:pPr>
        <w:jc w:val="both"/>
        <w:rPr>
          <w:rFonts w:ascii="Palatino Linotype" w:hAnsi="Palatino Linotype" w:cs="Tahoma"/>
          <w:b/>
          <w:i/>
          <w:color w:val="000000" w:themeColor="text1"/>
        </w:rPr>
      </w:pPr>
    </w:p>
    <w:p w:rsidR="00006831" w:rsidRPr="002413EA" w:rsidRDefault="00006831" w:rsidP="002413EA">
      <w:pPr>
        <w:jc w:val="both"/>
        <w:rPr>
          <w:rFonts w:ascii="Palatino Linotype" w:hAnsi="Palatino Linotype" w:cs="Tahoma"/>
          <w:bCs/>
          <w:i/>
          <w:color w:val="000000" w:themeColor="text1"/>
        </w:rPr>
      </w:pPr>
      <w:r w:rsidRPr="002413EA">
        <w:rPr>
          <w:rFonts w:ascii="Palatino Linotype" w:hAnsi="Palatino Linotype" w:cs="Tahoma"/>
          <w:b/>
          <w:i/>
          <w:color w:val="000000" w:themeColor="text1"/>
        </w:rPr>
        <w:t>ARTÍCULO 49.-</w:t>
      </w:r>
      <w:r w:rsidRPr="002413EA">
        <w:rPr>
          <w:rFonts w:ascii="Palatino Linotype" w:hAnsi="Palatino Linotype" w:cs="Tahoma"/>
          <w:i/>
          <w:color w:val="000000" w:themeColor="text1"/>
        </w:rPr>
        <w:t xml:space="preserve"> </w:t>
      </w:r>
      <w:r w:rsidRPr="002413EA">
        <w:rPr>
          <w:rFonts w:ascii="Palatino Linotype" w:hAnsi="Palatino Linotype" w:cs="Tahoma"/>
          <w:bCs/>
          <w:i/>
          <w:color w:val="000000" w:themeColor="text1"/>
        </w:rPr>
        <w:t xml:space="preserve">Los nombramientos, </w:t>
      </w:r>
      <w:r w:rsidRPr="002413EA">
        <w:rPr>
          <w:rFonts w:ascii="Palatino Linotype" w:hAnsi="Palatino Linotype" w:cs="Tahoma"/>
          <w:b/>
          <w:i/>
          <w:color w:val="000000" w:themeColor="text1"/>
          <w:u w:val="single"/>
        </w:rPr>
        <w:t>contratos</w:t>
      </w:r>
      <w:r w:rsidRPr="002413EA">
        <w:rPr>
          <w:rFonts w:ascii="Palatino Linotype" w:hAnsi="Palatino Linotype" w:cs="Tahoma"/>
          <w:bCs/>
          <w:i/>
          <w:color w:val="000000" w:themeColor="text1"/>
        </w:rPr>
        <w:t xml:space="preserve"> o formato único de Movimientos de Personal </w:t>
      </w:r>
      <w:r w:rsidRPr="002413EA">
        <w:rPr>
          <w:rFonts w:ascii="Palatino Linotype" w:hAnsi="Palatino Linotype" w:cs="Tahoma"/>
          <w:b/>
          <w:i/>
          <w:color w:val="000000" w:themeColor="text1"/>
          <w:u w:val="single"/>
        </w:rPr>
        <w:t>de los servidores públicos deberán contener</w:t>
      </w:r>
      <w:r w:rsidRPr="002413EA">
        <w:rPr>
          <w:rFonts w:ascii="Palatino Linotype" w:hAnsi="Palatino Linotype" w:cs="Tahoma"/>
          <w:bCs/>
          <w:i/>
          <w:color w:val="000000" w:themeColor="text1"/>
        </w:rPr>
        <w:t>:</w:t>
      </w:r>
    </w:p>
    <w:p w:rsidR="00006831" w:rsidRPr="002413EA" w:rsidRDefault="00006831" w:rsidP="002413EA">
      <w:pPr>
        <w:jc w:val="both"/>
        <w:rPr>
          <w:rFonts w:ascii="Palatino Linotype" w:hAnsi="Palatino Linotype" w:cs="Tahoma"/>
          <w:i/>
          <w:color w:val="000000" w:themeColor="text1"/>
        </w:rPr>
      </w:pPr>
    </w:p>
    <w:p w:rsidR="00006831" w:rsidRPr="002413EA" w:rsidRDefault="00006831" w:rsidP="002413EA">
      <w:pPr>
        <w:jc w:val="both"/>
        <w:rPr>
          <w:rFonts w:ascii="Palatino Linotype" w:hAnsi="Palatino Linotype" w:cs="Tahoma"/>
          <w:i/>
          <w:color w:val="000000" w:themeColor="text1"/>
        </w:rPr>
      </w:pPr>
      <w:r w:rsidRPr="002413EA">
        <w:rPr>
          <w:rFonts w:ascii="Palatino Linotype" w:hAnsi="Palatino Linotype" w:cs="Tahoma"/>
          <w:i/>
          <w:color w:val="000000" w:themeColor="text1"/>
        </w:rPr>
        <w:t>I. Nombre completo del servidor público;</w:t>
      </w:r>
    </w:p>
    <w:p w:rsidR="00006831" w:rsidRPr="002413EA" w:rsidRDefault="00006831" w:rsidP="002413EA">
      <w:pPr>
        <w:jc w:val="both"/>
        <w:rPr>
          <w:rFonts w:ascii="Palatino Linotype" w:hAnsi="Palatino Linotype" w:cs="Tahoma"/>
          <w:i/>
          <w:color w:val="000000" w:themeColor="text1"/>
        </w:rPr>
      </w:pPr>
      <w:r w:rsidRPr="002413EA">
        <w:rPr>
          <w:rFonts w:ascii="Palatino Linotype" w:hAnsi="Palatino Linotype" w:cs="Tahoma"/>
          <w:i/>
          <w:color w:val="000000" w:themeColor="text1"/>
        </w:rPr>
        <w:t>II. Cargo para el que es designado, fecha de inicio de sus servicios y lugar de adscripción;</w:t>
      </w:r>
    </w:p>
    <w:p w:rsidR="00006831" w:rsidRPr="002413EA" w:rsidRDefault="00006831" w:rsidP="002413EA">
      <w:pPr>
        <w:jc w:val="both"/>
        <w:rPr>
          <w:rFonts w:ascii="Palatino Linotype" w:hAnsi="Palatino Linotype" w:cs="Tahoma"/>
          <w:i/>
          <w:color w:val="000000" w:themeColor="text1"/>
        </w:rPr>
      </w:pPr>
      <w:r w:rsidRPr="002413EA">
        <w:rPr>
          <w:rFonts w:ascii="Palatino Linotype" w:hAnsi="Palatino Linotype" w:cs="Tahoma"/>
          <w:i/>
          <w:color w:val="000000" w:themeColor="text1"/>
        </w:rPr>
        <w:t>III. Carácter del nombramiento, ya sea de servidores públicos generales o de confianza, así como la temporalidad del mismo;</w:t>
      </w:r>
    </w:p>
    <w:p w:rsidR="00006831" w:rsidRPr="002413EA" w:rsidRDefault="00006831" w:rsidP="002413EA">
      <w:pPr>
        <w:jc w:val="both"/>
        <w:rPr>
          <w:rFonts w:ascii="Palatino Linotype" w:hAnsi="Palatino Linotype" w:cs="Tahoma"/>
          <w:i/>
          <w:color w:val="000000" w:themeColor="text1"/>
        </w:rPr>
      </w:pPr>
      <w:r w:rsidRPr="002413EA">
        <w:rPr>
          <w:rFonts w:ascii="Palatino Linotype" w:hAnsi="Palatino Linotype" w:cs="Tahoma"/>
          <w:i/>
          <w:color w:val="000000" w:themeColor="text1"/>
        </w:rPr>
        <w:t>IV. Remuneración correspondiente al puesto;</w:t>
      </w:r>
    </w:p>
    <w:p w:rsidR="00006831" w:rsidRPr="002413EA" w:rsidRDefault="00006831" w:rsidP="002413EA">
      <w:pPr>
        <w:jc w:val="both"/>
        <w:rPr>
          <w:rFonts w:ascii="Palatino Linotype" w:hAnsi="Palatino Linotype" w:cs="Tahoma"/>
          <w:i/>
          <w:color w:val="000000" w:themeColor="text1"/>
        </w:rPr>
      </w:pPr>
      <w:r w:rsidRPr="002413EA">
        <w:rPr>
          <w:rFonts w:ascii="Palatino Linotype" w:hAnsi="Palatino Linotype" w:cs="Tahoma"/>
          <w:i/>
          <w:color w:val="000000" w:themeColor="text1"/>
        </w:rPr>
        <w:t>V. Jornada de trabajo;</w:t>
      </w:r>
    </w:p>
    <w:p w:rsidR="00006831" w:rsidRPr="002413EA" w:rsidRDefault="00006831" w:rsidP="002413EA">
      <w:pPr>
        <w:jc w:val="both"/>
        <w:rPr>
          <w:rFonts w:ascii="Palatino Linotype" w:hAnsi="Palatino Linotype" w:cs="Tahoma"/>
          <w:i/>
          <w:color w:val="000000" w:themeColor="text1"/>
        </w:rPr>
      </w:pPr>
      <w:r w:rsidRPr="002413EA">
        <w:rPr>
          <w:rFonts w:ascii="Palatino Linotype" w:hAnsi="Palatino Linotype" w:cs="Tahoma"/>
          <w:i/>
          <w:color w:val="000000" w:themeColor="text1"/>
        </w:rPr>
        <w:t>VI. Derogada;</w:t>
      </w:r>
    </w:p>
    <w:p w:rsidR="00006831" w:rsidRPr="002413EA" w:rsidRDefault="00006831" w:rsidP="002413EA">
      <w:pPr>
        <w:jc w:val="both"/>
        <w:rPr>
          <w:rFonts w:ascii="Palatino Linotype" w:hAnsi="Palatino Linotype" w:cs="Tahoma"/>
          <w:i/>
          <w:color w:val="000000" w:themeColor="text1"/>
        </w:rPr>
      </w:pPr>
      <w:r w:rsidRPr="002413EA">
        <w:rPr>
          <w:rFonts w:ascii="Palatino Linotype" w:hAnsi="Palatino Linotype" w:cs="Tahoma"/>
          <w:i/>
          <w:color w:val="000000" w:themeColor="text1"/>
        </w:rPr>
        <w:t>VII. Firma del servidor público autorizado para emitir el nombramiento, contrato o formato único de Movimientos de Personal, así como el fundamento legal de esa atribución.</w:t>
      </w:r>
    </w:p>
    <w:p w:rsidR="00006831" w:rsidRPr="002413EA" w:rsidRDefault="00006831" w:rsidP="002413EA">
      <w:pPr>
        <w:jc w:val="both"/>
        <w:rPr>
          <w:rFonts w:ascii="Palatino Linotype" w:hAnsi="Palatino Linotype" w:cs="Tahoma"/>
          <w:b/>
          <w:i/>
          <w:color w:val="000000" w:themeColor="text1"/>
        </w:rPr>
      </w:pPr>
    </w:p>
    <w:p w:rsidR="00006831" w:rsidRPr="002413EA" w:rsidRDefault="00006831" w:rsidP="002413EA">
      <w:pPr>
        <w:jc w:val="both"/>
        <w:rPr>
          <w:rFonts w:ascii="Palatino Linotype" w:hAnsi="Palatino Linotype" w:cs="Tahoma"/>
          <w:i/>
          <w:color w:val="000000" w:themeColor="text1"/>
        </w:rPr>
      </w:pPr>
      <w:r w:rsidRPr="002413EA">
        <w:rPr>
          <w:rFonts w:ascii="Palatino Linotype" w:hAnsi="Palatino Linotype" w:cs="Tahoma"/>
          <w:b/>
          <w:i/>
          <w:color w:val="000000" w:themeColor="text1"/>
        </w:rPr>
        <w:t>ARTÍCULO 50</w:t>
      </w:r>
      <w:r w:rsidRPr="002413EA">
        <w:rPr>
          <w:rFonts w:ascii="Palatino Linotype" w:hAnsi="Palatino Linotype" w:cs="Tahoma"/>
          <w:i/>
          <w:color w:val="000000" w:themeColor="text1"/>
        </w:rPr>
        <w:t xml:space="preserve">.- </w:t>
      </w:r>
      <w:r w:rsidRPr="002413EA">
        <w:rPr>
          <w:rFonts w:ascii="Palatino Linotype" w:hAnsi="Palatino Linotype" w:cs="Tahoma"/>
          <w:bCs/>
          <w:i/>
          <w:color w:val="000000" w:themeColor="text1"/>
        </w:rPr>
        <w:t>El nombramiento</w:t>
      </w:r>
      <w:r w:rsidRPr="002413EA">
        <w:rPr>
          <w:rFonts w:ascii="Palatino Linotype" w:hAnsi="Palatino Linotype" w:cs="Tahoma"/>
          <w:i/>
          <w:color w:val="000000" w:themeColor="text1"/>
        </w:rPr>
        <w:t xml:space="preserve">, </w:t>
      </w:r>
      <w:r w:rsidRPr="002413EA">
        <w:rPr>
          <w:rFonts w:ascii="Palatino Linotype" w:hAnsi="Palatino Linotype" w:cs="Tahoma"/>
          <w:b/>
          <w:bCs/>
          <w:i/>
          <w:color w:val="000000" w:themeColor="text1"/>
          <w:u w:val="single"/>
        </w:rPr>
        <w:t xml:space="preserve">contrato </w:t>
      </w:r>
      <w:r w:rsidRPr="002413EA">
        <w:rPr>
          <w:rFonts w:ascii="Palatino Linotype" w:hAnsi="Palatino Linotype" w:cs="Tahoma"/>
          <w:i/>
          <w:color w:val="000000" w:themeColor="text1"/>
        </w:rPr>
        <w:t xml:space="preserve">o </w:t>
      </w:r>
      <w:r w:rsidRPr="002413EA">
        <w:rPr>
          <w:rFonts w:ascii="Palatino Linotype" w:hAnsi="Palatino Linotype" w:cs="Tahoma"/>
          <w:bCs/>
          <w:i/>
          <w:color w:val="000000" w:themeColor="text1"/>
        </w:rPr>
        <w:t xml:space="preserve">formato único de Movimientos de Personal aceptado </w:t>
      </w:r>
      <w:r w:rsidRPr="002413EA">
        <w:rPr>
          <w:rFonts w:ascii="Palatino Linotype" w:hAnsi="Palatino Linotype" w:cs="Tahoma"/>
          <w:b/>
          <w:i/>
          <w:color w:val="000000" w:themeColor="text1"/>
          <w:u w:val="single"/>
        </w:rPr>
        <w:t>obliga al servidor público a cumplir con los deberes inherentes al puesto especificado en el mismo y a las consecuencias que sean conforme a la ley, al uso y a la buena fe</w:t>
      </w:r>
      <w:r w:rsidRPr="002413EA">
        <w:rPr>
          <w:rFonts w:ascii="Palatino Linotype" w:hAnsi="Palatino Linotype" w:cs="Tahoma"/>
          <w:i/>
          <w:color w:val="000000" w:themeColor="text1"/>
        </w:rPr>
        <w:t>.</w:t>
      </w:r>
    </w:p>
    <w:p w:rsidR="00006831" w:rsidRPr="002413EA" w:rsidRDefault="00006831" w:rsidP="002413EA">
      <w:pPr>
        <w:jc w:val="both"/>
        <w:rPr>
          <w:rFonts w:ascii="Palatino Linotype" w:hAnsi="Palatino Linotype" w:cs="Tahoma"/>
          <w:i/>
          <w:color w:val="000000" w:themeColor="text1"/>
        </w:rPr>
      </w:pPr>
    </w:p>
    <w:p w:rsidR="00006831" w:rsidRPr="002413EA" w:rsidRDefault="00006831" w:rsidP="002413EA">
      <w:pPr>
        <w:jc w:val="both"/>
        <w:rPr>
          <w:rFonts w:ascii="Palatino Linotype" w:hAnsi="Palatino Linotype" w:cs="Tahoma"/>
          <w:i/>
          <w:color w:val="000000" w:themeColor="text1"/>
        </w:rPr>
      </w:pPr>
      <w:r w:rsidRPr="002413EA">
        <w:rPr>
          <w:rFonts w:ascii="Palatino Linotype" w:hAnsi="Palatino Linotype" w:cs="Tahoma"/>
          <w:b/>
          <w:bCs/>
          <w:i/>
          <w:color w:val="000000" w:themeColor="text1"/>
          <w:u w:val="single"/>
        </w:rPr>
        <w:lastRenderedPageBreak/>
        <w:t>Iguales consecuencias se generarán para todos los servidores públicos, cuando la relación de trabajo se formalice mediante un contrato o por encontrarse en lista de raya</w:t>
      </w:r>
      <w:r w:rsidRPr="002413EA">
        <w:rPr>
          <w:rFonts w:ascii="Palatino Linotype" w:hAnsi="Palatino Linotype" w:cs="Tahoma"/>
          <w:i/>
          <w:color w:val="000000" w:themeColor="text1"/>
        </w:rPr>
        <w:t>.</w:t>
      </w:r>
      <w:r w:rsidRPr="002413EA">
        <w:rPr>
          <w:rFonts w:ascii="Palatino Linotype" w:hAnsi="Palatino Linotype" w:cs="Tahoma"/>
          <w:i/>
          <w:color w:val="000000" w:themeColor="text1"/>
        </w:rPr>
        <w:cr/>
      </w:r>
    </w:p>
    <w:p w:rsidR="00006831" w:rsidRPr="002413EA" w:rsidRDefault="00006831" w:rsidP="002413EA">
      <w:pPr>
        <w:pStyle w:val="Prrafodelista"/>
        <w:numPr>
          <w:ilvl w:val="0"/>
          <w:numId w:val="2"/>
        </w:numPr>
        <w:spacing w:line="360" w:lineRule="auto"/>
        <w:ind w:left="0" w:firstLine="0"/>
        <w:jc w:val="both"/>
        <w:rPr>
          <w:rFonts w:ascii="Palatino Linotype" w:hAnsi="Palatino Linotype" w:cs="Tahoma"/>
          <w:color w:val="000000" w:themeColor="text1"/>
        </w:rPr>
      </w:pPr>
      <w:r w:rsidRPr="002413EA">
        <w:rPr>
          <w:rFonts w:ascii="Palatino Linotype" w:hAnsi="Palatino Linotype" w:cs="Tahoma"/>
          <w:color w:val="000000" w:themeColor="text1"/>
        </w:rPr>
        <w:t>Asimismo, es de destacar que dicha información, forma parte de las obligaciones comunes de transparencia, que, de conformidad con el artículo 92, fracción XX, de la a Ley de Transparencia y Acceso a la Información Pública del Estado de México y Municipios; establece que deben estar publicados y actualizados, en la página del IPOMEX de los Sujetos Obligados, de conformidad con lo siguiente:</w:t>
      </w:r>
    </w:p>
    <w:p w:rsidR="00006831" w:rsidRPr="002413EA" w:rsidRDefault="00006831" w:rsidP="002413EA">
      <w:pPr>
        <w:spacing w:line="276" w:lineRule="auto"/>
        <w:jc w:val="both"/>
        <w:rPr>
          <w:rFonts w:ascii="Palatino Linotype" w:hAnsi="Palatino Linotype"/>
          <w:i/>
          <w:iCs/>
          <w:color w:val="000000" w:themeColor="text1"/>
        </w:rPr>
      </w:pPr>
      <w:r w:rsidRPr="002413EA">
        <w:rPr>
          <w:rFonts w:ascii="Palatino Linotype" w:hAnsi="Palatino Linotype"/>
          <w:b/>
          <w:bCs/>
          <w:i/>
          <w:iCs/>
          <w:color w:val="000000" w:themeColor="text1"/>
        </w:rPr>
        <w:t>Artículo 92.</w:t>
      </w:r>
      <w:r w:rsidRPr="002413EA">
        <w:rPr>
          <w:rFonts w:ascii="Palatino Linotype" w:hAnsi="Palatino Linotype"/>
          <w:i/>
          <w:iCs/>
          <w:color w:val="000000" w:themeColor="text1"/>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006831" w:rsidRPr="002413EA" w:rsidRDefault="00006831" w:rsidP="002413EA">
      <w:pPr>
        <w:spacing w:line="276" w:lineRule="auto"/>
        <w:jc w:val="both"/>
        <w:rPr>
          <w:rFonts w:ascii="Palatino Linotype" w:hAnsi="Palatino Linotype"/>
          <w:i/>
          <w:iCs/>
          <w:color w:val="000000" w:themeColor="text1"/>
        </w:rPr>
      </w:pPr>
      <w:r w:rsidRPr="002413EA">
        <w:rPr>
          <w:rFonts w:ascii="Palatino Linotype" w:hAnsi="Palatino Linotype"/>
          <w:i/>
          <w:iCs/>
          <w:color w:val="000000" w:themeColor="text1"/>
        </w:rPr>
        <w:t>(…)</w:t>
      </w:r>
    </w:p>
    <w:p w:rsidR="00006831" w:rsidRPr="002413EA" w:rsidRDefault="00006831" w:rsidP="002413EA">
      <w:pPr>
        <w:spacing w:line="276" w:lineRule="auto"/>
        <w:jc w:val="both"/>
        <w:rPr>
          <w:rFonts w:ascii="Palatino Linotype" w:hAnsi="Palatino Linotype"/>
          <w:b/>
          <w:bCs/>
          <w:i/>
          <w:iCs/>
          <w:color w:val="000000" w:themeColor="text1"/>
        </w:rPr>
      </w:pPr>
      <w:r w:rsidRPr="002413EA">
        <w:rPr>
          <w:rFonts w:ascii="Palatino Linotype" w:hAnsi="Palatino Linotype"/>
          <w:b/>
          <w:bCs/>
          <w:i/>
          <w:iCs/>
          <w:color w:val="000000" w:themeColor="text1"/>
        </w:rPr>
        <w:t>XI. Las contrataciones de servicios profesionales por honorarios, señalando los nombres de los prestadores de servicios, los servicios contratados, el monto de los honorarios y el periodo de contratación;</w:t>
      </w:r>
    </w:p>
    <w:p w:rsidR="00006831" w:rsidRPr="002413EA" w:rsidRDefault="00006831" w:rsidP="002413EA">
      <w:pPr>
        <w:spacing w:line="276" w:lineRule="auto"/>
        <w:jc w:val="both"/>
        <w:rPr>
          <w:rFonts w:ascii="Palatino Linotype" w:hAnsi="Palatino Linotype"/>
          <w:b/>
          <w:bCs/>
          <w:i/>
          <w:iCs/>
          <w:color w:val="000000" w:themeColor="text1"/>
        </w:rPr>
      </w:pPr>
      <w:r w:rsidRPr="002413EA">
        <w:rPr>
          <w:rFonts w:ascii="Palatino Linotype" w:hAnsi="Palatino Linotype"/>
          <w:b/>
          <w:bCs/>
          <w:i/>
          <w:iCs/>
          <w:color w:val="000000" w:themeColor="text1"/>
        </w:rPr>
        <w:t>(…)</w:t>
      </w:r>
    </w:p>
    <w:p w:rsidR="00006831" w:rsidRPr="002413EA" w:rsidRDefault="00006831" w:rsidP="002413EA">
      <w:pPr>
        <w:spacing w:line="276" w:lineRule="auto"/>
        <w:jc w:val="both"/>
        <w:rPr>
          <w:rFonts w:ascii="Palatino Linotype" w:hAnsi="Palatino Linotype"/>
          <w:i/>
          <w:iCs/>
          <w:color w:val="000000" w:themeColor="text1"/>
        </w:rPr>
      </w:pPr>
      <w:r w:rsidRPr="002413EA">
        <w:rPr>
          <w:rFonts w:ascii="Palatino Linotype" w:hAnsi="Palatino Linotype"/>
          <w:b/>
          <w:bCs/>
          <w:i/>
          <w:iCs/>
          <w:color w:val="000000" w:themeColor="text1"/>
        </w:rPr>
        <w:t>XX.</w:t>
      </w:r>
      <w:r w:rsidRPr="002413EA">
        <w:rPr>
          <w:rFonts w:ascii="Palatino Linotype" w:hAnsi="Palatino Linotype"/>
          <w:i/>
          <w:iCs/>
          <w:color w:val="000000" w:themeColor="text1"/>
        </w:rPr>
        <w:t xml:space="preserve"> Las condiciones generales de trabajo, contratos o convenios que regulen las relaciones laborales del personal de base o de confianza, así como los recursos públicos económicos, en especie o donativos, que sean entregados a los Sindicatos y ejerzan como recursos públicos;</w:t>
      </w:r>
    </w:p>
    <w:p w:rsidR="00006831" w:rsidRPr="002413EA" w:rsidRDefault="00006831" w:rsidP="002413EA">
      <w:pPr>
        <w:spacing w:line="276" w:lineRule="auto"/>
        <w:jc w:val="both"/>
        <w:rPr>
          <w:rFonts w:ascii="Palatino Linotype" w:hAnsi="Palatino Linotype" w:cs="Tahoma"/>
          <w:i/>
          <w:iCs/>
          <w:color w:val="000000" w:themeColor="text1"/>
        </w:rPr>
      </w:pPr>
      <w:r w:rsidRPr="002413EA">
        <w:rPr>
          <w:rFonts w:ascii="Palatino Linotype" w:hAnsi="Palatino Linotype"/>
          <w:i/>
          <w:iCs/>
          <w:color w:val="000000" w:themeColor="text1"/>
        </w:rPr>
        <w:t>(…)</w:t>
      </w:r>
    </w:p>
    <w:p w:rsidR="00006831" w:rsidRPr="002413EA" w:rsidRDefault="00006831" w:rsidP="002413EA">
      <w:pPr>
        <w:spacing w:line="360" w:lineRule="auto"/>
        <w:jc w:val="both"/>
        <w:rPr>
          <w:rFonts w:ascii="Palatino Linotype" w:hAnsi="Palatino Linotype" w:cs="Tahoma"/>
          <w:color w:val="000000" w:themeColor="text1"/>
        </w:rPr>
      </w:pPr>
    </w:p>
    <w:p w:rsidR="00097297" w:rsidRPr="002413EA" w:rsidRDefault="00097297" w:rsidP="002413EA">
      <w:pPr>
        <w:pStyle w:val="Prrafodelista"/>
        <w:numPr>
          <w:ilvl w:val="0"/>
          <w:numId w:val="2"/>
        </w:numPr>
        <w:spacing w:line="360" w:lineRule="auto"/>
        <w:ind w:left="0" w:firstLine="0"/>
        <w:jc w:val="both"/>
        <w:rPr>
          <w:rFonts w:ascii="Palatino Linotype" w:hAnsi="Palatino Linotype" w:cs="Arial"/>
          <w:color w:val="000000" w:themeColor="text1"/>
        </w:rPr>
      </w:pPr>
      <w:r w:rsidRPr="002413EA">
        <w:rPr>
          <w:rFonts w:ascii="Palatino Linotype" w:hAnsi="Palatino Linotype" w:cs="Tahoma"/>
          <w:color w:val="000000" w:themeColor="text1"/>
        </w:rPr>
        <w:t>No obstante lo anterior, es necesario señalar que el Sujeto Obligado no negó contar con la información solicitada, por el contrario, asumió que cuenta con ella, tan es así que señaló la liga electrónica en la que puede localizarse, así como el procedimiento para acceder a ella.</w:t>
      </w:r>
    </w:p>
    <w:p w:rsidR="00097297" w:rsidRPr="002413EA" w:rsidRDefault="00097297" w:rsidP="002413EA">
      <w:pPr>
        <w:pStyle w:val="Prrafodelista"/>
        <w:spacing w:line="360" w:lineRule="auto"/>
        <w:ind w:left="0"/>
        <w:jc w:val="both"/>
        <w:rPr>
          <w:rFonts w:ascii="Palatino Linotype" w:hAnsi="Palatino Linotype" w:cs="Arial"/>
          <w:color w:val="000000" w:themeColor="text1"/>
        </w:rPr>
      </w:pPr>
    </w:p>
    <w:p w:rsidR="00097297" w:rsidRPr="002413EA" w:rsidRDefault="00097297" w:rsidP="002413EA">
      <w:pPr>
        <w:pStyle w:val="Prrafodelista"/>
        <w:numPr>
          <w:ilvl w:val="0"/>
          <w:numId w:val="2"/>
        </w:numPr>
        <w:spacing w:line="360" w:lineRule="auto"/>
        <w:ind w:left="0" w:firstLine="0"/>
        <w:jc w:val="both"/>
        <w:rPr>
          <w:rFonts w:ascii="Palatino Linotype" w:hAnsi="Palatino Linotype" w:cs="Arial"/>
          <w:color w:val="000000" w:themeColor="text1"/>
        </w:rPr>
      </w:pPr>
      <w:r w:rsidRPr="002413EA">
        <w:rPr>
          <w:rFonts w:ascii="Palatino Linotype" w:eastAsia="MS Mincho" w:hAnsi="Palatino Linotype"/>
          <w:color w:val="000000" w:themeColor="text1"/>
          <w:lang w:val="es-ES_tradnl" w:eastAsia="es-ES"/>
        </w:rPr>
        <w:t xml:space="preserve">Ahora bien,  la Ley en la materia en términos generales, establece que como uno de los objetivos con el que cuenta es el de garantizar a toda persona el derecho de acceso a la </w:t>
      </w:r>
      <w:r w:rsidRPr="002413EA">
        <w:rPr>
          <w:rFonts w:ascii="Palatino Linotype" w:eastAsia="MS Mincho" w:hAnsi="Palatino Linotype"/>
          <w:color w:val="000000" w:themeColor="text1"/>
          <w:lang w:val="es-ES_tradnl" w:eastAsia="es-ES"/>
        </w:rPr>
        <w:lastRenderedPageBreak/>
        <w:t xml:space="preserve">información pública, mediante los procedimientos establecidos de forma </w:t>
      </w:r>
      <w:r w:rsidRPr="002413EA">
        <w:rPr>
          <w:rFonts w:ascii="Palatino Linotype" w:eastAsia="MS Mincho" w:hAnsi="Palatino Linotype"/>
          <w:b/>
          <w:color w:val="000000" w:themeColor="text1"/>
          <w:lang w:val="es-ES_tradnl" w:eastAsia="es-ES"/>
        </w:rPr>
        <w:t>sencilla</w:t>
      </w:r>
      <w:r w:rsidRPr="002413EA">
        <w:rPr>
          <w:rFonts w:ascii="Palatino Linotype" w:eastAsia="MS Mincho" w:hAnsi="Palatino Linotype"/>
          <w:color w:val="000000" w:themeColor="text1"/>
          <w:lang w:val="es-ES_tradnl" w:eastAsia="es-ES"/>
        </w:rPr>
        <w:t xml:space="preserve">, expeditos, </w:t>
      </w:r>
      <w:r w:rsidRPr="002413EA">
        <w:rPr>
          <w:rFonts w:ascii="Palatino Linotype" w:eastAsia="MS Mincho" w:hAnsi="Palatino Linotype"/>
          <w:b/>
          <w:color w:val="000000" w:themeColor="text1"/>
          <w:lang w:val="es-ES_tradnl" w:eastAsia="es-ES"/>
        </w:rPr>
        <w:t>oportunos</w:t>
      </w:r>
      <w:r w:rsidRPr="002413EA">
        <w:rPr>
          <w:rFonts w:ascii="Palatino Linotype" w:eastAsia="MS Mincho" w:hAnsi="Palatino Linotype"/>
          <w:color w:val="000000" w:themeColor="text1"/>
          <w:lang w:val="es-ES_tradnl" w:eastAsia="es-ES"/>
        </w:rPr>
        <w:t xml:space="preserve"> y gratuitos, y con ello contribuir a la mejora de procedimientos y mecanismos que permitan trasparentar la gestión pública y mejora la toma decisiones, a través de la difusión de la información que obra en poder de los sujeto obligados.</w:t>
      </w:r>
    </w:p>
    <w:p w:rsidR="00097297" w:rsidRPr="002413EA" w:rsidRDefault="00097297" w:rsidP="002413EA">
      <w:pPr>
        <w:pStyle w:val="Prrafodelista"/>
        <w:ind w:left="0"/>
        <w:rPr>
          <w:rFonts w:ascii="Palatino Linotype" w:hAnsi="Palatino Linotype"/>
          <w:color w:val="000000" w:themeColor="text1"/>
          <w:lang w:val="es-ES"/>
        </w:rPr>
      </w:pPr>
    </w:p>
    <w:p w:rsidR="00097297" w:rsidRPr="002413EA" w:rsidRDefault="00097297" w:rsidP="002413EA">
      <w:pPr>
        <w:pStyle w:val="Prrafodelista"/>
        <w:numPr>
          <w:ilvl w:val="0"/>
          <w:numId w:val="2"/>
        </w:numPr>
        <w:spacing w:line="360" w:lineRule="auto"/>
        <w:ind w:left="0" w:firstLine="0"/>
        <w:jc w:val="both"/>
        <w:rPr>
          <w:rFonts w:ascii="Palatino Linotype" w:hAnsi="Palatino Linotype" w:cs="Arial"/>
          <w:color w:val="000000" w:themeColor="text1"/>
        </w:rPr>
      </w:pPr>
      <w:r w:rsidRPr="002413EA">
        <w:rPr>
          <w:rFonts w:ascii="Palatino Linotype" w:hAnsi="Palatino Linotype"/>
          <w:color w:val="000000" w:themeColor="text1"/>
          <w:lang w:val="es-ES"/>
        </w:rPr>
        <w:t>El formato prediseñado para que los particulares formulen su solicitud de acceso a la información contiene opciones para seleccionar la modalidad de entrega de la información. En el presente asunto en particular, se solicitó la información a través del SAIMEX. En consecuencia, lo idóneo es que, los Sujetos Obligados proporcionen la información por el medio solicitado; no obstante, la Ley de Transparencia y Acceso</w:t>
      </w:r>
      <w:r w:rsidRPr="002413EA">
        <w:rPr>
          <w:rFonts w:ascii="Palatino Linotype" w:hAnsi="Palatino Linotype"/>
          <w:b/>
          <w:color w:val="000000" w:themeColor="text1"/>
          <w:lang w:val="es-ES"/>
        </w:rPr>
        <w:t xml:space="preserve"> </w:t>
      </w:r>
      <w:r w:rsidRPr="002413EA">
        <w:rPr>
          <w:rFonts w:ascii="Palatino Linotype" w:hAnsi="Palatino Linotype"/>
          <w:color w:val="000000" w:themeColor="text1"/>
          <w:lang w:val="es-ES"/>
        </w:rPr>
        <w:t>a la Información Pública del Estado de México y Municipios establece dos puntos importantes que impactan sobre la modalidad de entrega de la información.</w:t>
      </w:r>
    </w:p>
    <w:p w:rsidR="00097297" w:rsidRPr="002413EA" w:rsidRDefault="00097297" w:rsidP="002413EA">
      <w:pPr>
        <w:pStyle w:val="Prrafodelista"/>
        <w:ind w:left="0"/>
        <w:rPr>
          <w:rFonts w:ascii="Palatino Linotype" w:hAnsi="Palatino Linotype"/>
          <w:color w:val="000000" w:themeColor="text1"/>
          <w:lang w:val="es-ES"/>
        </w:rPr>
      </w:pPr>
    </w:p>
    <w:p w:rsidR="00097297" w:rsidRPr="002413EA" w:rsidRDefault="00097297" w:rsidP="002413EA">
      <w:pPr>
        <w:pStyle w:val="Prrafodelista"/>
        <w:numPr>
          <w:ilvl w:val="0"/>
          <w:numId w:val="2"/>
        </w:numPr>
        <w:spacing w:line="360" w:lineRule="auto"/>
        <w:ind w:left="0" w:firstLine="0"/>
        <w:jc w:val="both"/>
        <w:rPr>
          <w:rFonts w:ascii="Palatino Linotype" w:hAnsi="Palatino Linotype" w:cs="Arial"/>
          <w:color w:val="000000" w:themeColor="text1"/>
        </w:rPr>
      </w:pPr>
      <w:r w:rsidRPr="002413EA">
        <w:rPr>
          <w:rFonts w:ascii="Palatino Linotype" w:hAnsi="Palatino Linotype"/>
          <w:color w:val="000000" w:themeColor="text1"/>
          <w:lang w:val="es-ES"/>
        </w:rPr>
        <w:t xml:space="preserve">El primer punto a analizar es que la ley en materia contempla </w:t>
      </w:r>
      <w:r w:rsidRPr="002413EA">
        <w:rPr>
          <w:rFonts w:ascii="Palatino Linotype" w:hAnsi="Palatino Linotype"/>
          <w:b/>
          <w:color w:val="000000" w:themeColor="text1"/>
          <w:lang w:val="es-ES"/>
        </w:rPr>
        <w:t>información pública de oficio</w:t>
      </w:r>
      <w:r w:rsidRPr="002413EA">
        <w:rPr>
          <w:rFonts w:ascii="Palatino Linotype" w:hAnsi="Palatino Linotype"/>
          <w:color w:val="000000" w:themeColor="text1"/>
          <w:lang w:val="es-ES"/>
        </w:rPr>
        <w:t xml:space="preserve"> que los Sujetos Obligados deben poner a disposición del público de manera permanente y actualizada de forma sencilla, precisa y entendible, en los respectivos medios electrónicos la información pública que generen, administren o posean. El segundo punto a analizar y que guarda estricta relación con el punto anterior, se encuentra en el artículo 161 de la citada Ley de Transparencia Local:</w:t>
      </w:r>
    </w:p>
    <w:p w:rsidR="00097297" w:rsidRPr="002413EA" w:rsidRDefault="00097297" w:rsidP="002413EA">
      <w:pPr>
        <w:autoSpaceDE w:val="0"/>
        <w:autoSpaceDN w:val="0"/>
        <w:adjustRightInd w:val="0"/>
        <w:spacing w:line="360" w:lineRule="auto"/>
        <w:jc w:val="both"/>
        <w:rPr>
          <w:rFonts w:ascii="Palatino Linotype" w:hAnsi="Palatino Linotype"/>
          <w:i/>
          <w:color w:val="000000" w:themeColor="text1"/>
          <w:lang w:val="es-ES"/>
        </w:rPr>
      </w:pPr>
      <w:r w:rsidRPr="002413EA">
        <w:rPr>
          <w:rFonts w:ascii="Palatino Linotype" w:hAnsi="Palatino Linotype" w:cs="Bookman Old Style,Bold"/>
          <w:b/>
          <w:bCs/>
          <w:i/>
          <w:color w:val="000000" w:themeColor="text1"/>
        </w:rPr>
        <w:t xml:space="preserve">Artículo 161. </w:t>
      </w:r>
      <w:r w:rsidRPr="002413EA">
        <w:rPr>
          <w:rFonts w:ascii="Palatino Linotype" w:hAnsi="Palatino Linotype" w:cs="Bookman Old Style"/>
          <w:b/>
          <w:i/>
          <w:color w:val="000000" w:themeColor="text1"/>
        </w:rPr>
        <w:t>Cuando la información requerida por el solicitante ya esté disponible</w:t>
      </w:r>
      <w:r w:rsidRPr="002413EA">
        <w:rPr>
          <w:rFonts w:ascii="Palatino Linotype" w:hAnsi="Palatino Linotype" w:cs="Bookman Old Style"/>
          <w:i/>
          <w:color w:val="000000" w:themeColor="text1"/>
        </w:rPr>
        <w:t xml:space="preserve"> al público en medios impresos, tales como libros, compendios, trípticos, registros públicos, </w:t>
      </w:r>
      <w:r w:rsidRPr="002413EA">
        <w:rPr>
          <w:rFonts w:ascii="Palatino Linotype" w:hAnsi="Palatino Linotype" w:cs="Bookman Old Style"/>
          <w:b/>
          <w:i/>
          <w:color w:val="000000" w:themeColor="text1"/>
        </w:rPr>
        <w:t xml:space="preserve">en formatos electrónicos disponibles en Internet </w:t>
      </w:r>
      <w:r w:rsidRPr="002413EA">
        <w:rPr>
          <w:rFonts w:ascii="Palatino Linotype" w:hAnsi="Palatino Linotype" w:cs="Bookman Old Style"/>
          <w:i/>
          <w:color w:val="000000" w:themeColor="text1"/>
        </w:rPr>
        <w:t xml:space="preserve">o en cualquier otro medio, se le hará saber por el medio requerido por el solicitante la fuente, el lugar y la forma en que puede consultar, reproducir o adquirir dicha información </w:t>
      </w:r>
      <w:r w:rsidRPr="002413EA">
        <w:rPr>
          <w:rFonts w:ascii="Palatino Linotype" w:hAnsi="Palatino Linotype" w:cs="Bookman Old Style"/>
          <w:b/>
          <w:i/>
          <w:color w:val="000000" w:themeColor="text1"/>
        </w:rPr>
        <w:t>en un plazo no mayor a cinco días hábiles</w:t>
      </w:r>
      <w:r w:rsidRPr="002413EA">
        <w:rPr>
          <w:rFonts w:ascii="Palatino Linotype" w:hAnsi="Palatino Linotype" w:cs="Bookman Old Style"/>
          <w:i/>
          <w:color w:val="000000" w:themeColor="text1"/>
        </w:rPr>
        <w:t xml:space="preserve">. </w:t>
      </w:r>
      <w:r w:rsidRPr="002413EA">
        <w:rPr>
          <w:rFonts w:ascii="Palatino Linotype" w:hAnsi="Palatino Linotype" w:cs="Bookman Old Style"/>
          <w:b/>
          <w:i/>
          <w:color w:val="000000" w:themeColor="text1"/>
        </w:rPr>
        <w:t xml:space="preserve">La fuente deberá ser precisa y </w:t>
      </w:r>
      <w:r w:rsidRPr="002413EA">
        <w:rPr>
          <w:rFonts w:ascii="Palatino Linotype" w:hAnsi="Palatino Linotype" w:cs="Bookman Old Style"/>
          <w:b/>
          <w:i/>
          <w:color w:val="000000" w:themeColor="text1"/>
        </w:rPr>
        <w:lastRenderedPageBreak/>
        <w:t>concreta y no debe implicar que el solicitante realice una búsqueda en toda la información que se encuentre disponible</w:t>
      </w:r>
      <w:r w:rsidRPr="002413EA">
        <w:rPr>
          <w:rFonts w:ascii="Palatino Linotype" w:hAnsi="Palatino Linotype" w:cs="Bookman Old Style"/>
          <w:i/>
          <w:color w:val="000000" w:themeColor="text1"/>
        </w:rPr>
        <w:t>.</w:t>
      </w:r>
    </w:p>
    <w:p w:rsidR="00097297" w:rsidRPr="002413EA" w:rsidRDefault="00097297" w:rsidP="002413EA">
      <w:pPr>
        <w:pStyle w:val="Prrafodelista"/>
        <w:numPr>
          <w:ilvl w:val="0"/>
          <w:numId w:val="2"/>
        </w:numPr>
        <w:tabs>
          <w:tab w:val="left" w:pos="851"/>
        </w:tabs>
        <w:spacing w:before="240" w:after="240" w:line="360" w:lineRule="auto"/>
        <w:ind w:left="0" w:firstLine="0"/>
        <w:jc w:val="both"/>
        <w:rPr>
          <w:rFonts w:ascii="Palatino Linotype" w:hAnsi="Palatino Linotype"/>
          <w:i/>
          <w:color w:val="000000" w:themeColor="text1"/>
          <w:lang w:val="es-ES"/>
        </w:rPr>
      </w:pPr>
      <w:r w:rsidRPr="002413EA">
        <w:rPr>
          <w:rFonts w:ascii="Palatino Linotype" w:hAnsi="Palatino Linotype"/>
          <w:color w:val="000000" w:themeColor="text1"/>
          <w:lang w:val="es-ES"/>
        </w:rPr>
        <w:t>Es así que, toda aquella información que sea requerida por los particulares pero que, previamente se encuentre disponible en sitios electrónicos, como puede ser de manera enunciativa más no limitativa, el sitio oficial del Sujeto Obligado o el portal IPOMEX o las páginas institucionales. Los Sujetos Obligado pueden indicar la dirección electrónica donde obra la información solicitada. Esta dirección electrónica debe ser precisa, de tal modo que no implique realizar una búsqueda en toda la información que ahí se encuentre. Además, debe ir acompañada del procedimiento a seguir, en caso de que la información se encuentre en distintos puntos del sitio electrónico referido.</w:t>
      </w:r>
    </w:p>
    <w:p w:rsidR="00097297" w:rsidRPr="002413EA" w:rsidRDefault="00097297" w:rsidP="002413EA">
      <w:pPr>
        <w:pStyle w:val="Prrafodelista"/>
        <w:tabs>
          <w:tab w:val="left" w:pos="851"/>
        </w:tabs>
        <w:spacing w:before="240" w:after="240" w:line="360" w:lineRule="auto"/>
        <w:ind w:left="0"/>
        <w:jc w:val="both"/>
        <w:rPr>
          <w:rFonts w:ascii="Palatino Linotype" w:hAnsi="Palatino Linotype"/>
          <w:i/>
          <w:color w:val="000000" w:themeColor="text1"/>
          <w:lang w:val="es-ES"/>
        </w:rPr>
      </w:pPr>
    </w:p>
    <w:p w:rsidR="00097297" w:rsidRPr="002413EA" w:rsidRDefault="00097297" w:rsidP="002413EA">
      <w:pPr>
        <w:pStyle w:val="Prrafodelista"/>
        <w:numPr>
          <w:ilvl w:val="0"/>
          <w:numId w:val="2"/>
        </w:numPr>
        <w:tabs>
          <w:tab w:val="left" w:pos="851"/>
        </w:tabs>
        <w:spacing w:before="240" w:after="240" w:line="360" w:lineRule="auto"/>
        <w:ind w:left="0" w:firstLine="0"/>
        <w:jc w:val="both"/>
        <w:rPr>
          <w:rFonts w:ascii="Palatino Linotype" w:hAnsi="Palatino Linotype"/>
          <w:i/>
          <w:color w:val="000000" w:themeColor="text1"/>
          <w:lang w:val="es-ES"/>
        </w:rPr>
      </w:pPr>
      <w:r w:rsidRPr="002413EA">
        <w:rPr>
          <w:rFonts w:ascii="Palatino Linotype" w:hAnsi="Palatino Linotype"/>
          <w:b/>
          <w:color w:val="000000" w:themeColor="text1"/>
          <w:lang w:val="es-ES"/>
        </w:rPr>
        <w:t>La orientación</w:t>
      </w:r>
      <w:r w:rsidRPr="002413EA">
        <w:rPr>
          <w:rFonts w:ascii="Palatino Linotype" w:hAnsi="Palatino Linotype"/>
          <w:color w:val="000000" w:themeColor="text1"/>
          <w:lang w:val="es-ES"/>
        </w:rPr>
        <w:t xml:space="preserve"> que realicen los Sujetos Obligados a los sitios electrónicos para la consulta de la información </w:t>
      </w:r>
      <w:r w:rsidRPr="002413EA">
        <w:rPr>
          <w:rFonts w:ascii="Palatino Linotype" w:hAnsi="Palatino Linotype"/>
          <w:b/>
          <w:color w:val="000000" w:themeColor="text1"/>
          <w:lang w:val="es-ES"/>
        </w:rPr>
        <w:t xml:space="preserve">debe cumplir con las características de tiempo y forma. </w:t>
      </w:r>
      <w:r w:rsidRPr="002413EA">
        <w:rPr>
          <w:rFonts w:ascii="Palatino Linotype" w:hAnsi="Palatino Linotype"/>
          <w:color w:val="000000" w:themeColor="text1"/>
          <w:lang w:val="es-ES"/>
        </w:rPr>
        <w:t xml:space="preserve">Ahora bien, en el presente caso, se advierte que el Recurrente si pudo acceder la liga electrónica, ya que indico que la información está incompleta. </w:t>
      </w:r>
    </w:p>
    <w:p w:rsidR="00097297" w:rsidRPr="002413EA" w:rsidRDefault="00097297" w:rsidP="002413EA">
      <w:pPr>
        <w:pStyle w:val="Prrafodelista"/>
        <w:ind w:left="0"/>
        <w:rPr>
          <w:rFonts w:ascii="Palatino Linotype" w:hAnsi="Palatino Linotype"/>
          <w:i/>
          <w:color w:val="000000" w:themeColor="text1"/>
          <w:lang w:val="es-ES"/>
        </w:rPr>
      </w:pPr>
    </w:p>
    <w:p w:rsidR="00006831" w:rsidRPr="002413EA" w:rsidRDefault="00910213" w:rsidP="002413EA">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2413EA">
        <w:rPr>
          <w:rFonts w:ascii="Palatino Linotype" w:eastAsia="Palatino Linotype" w:hAnsi="Palatino Linotype" w:cs="Palatino Linotype"/>
          <w:color w:val="000000" w:themeColor="text1"/>
        </w:rPr>
        <w:t>Ahora bien, de la revisión a la liga electrónica, se advierte los siguiente:</w:t>
      </w:r>
    </w:p>
    <w:p w:rsidR="00910213" w:rsidRPr="002413EA" w:rsidRDefault="00910213" w:rsidP="002413EA">
      <w:pPr>
        <w:pStyle w:val="Prrafodelista"/>
        <w:ind w:left="0"/>
        <w:rPr>
          <w:rFonts w:ascii="Palatino Linotype" w:eastAsia="Palatino Linotype" w:hAnsi="Palatino Linotype" w:cs="Palatino Linotype"/>
          <w:color w:val="000000" w:themeColor="text1"/>
        </w:rPr>
      </w:pPr>
    </w:p>
    <w:p w:rsidR="00910213" w:rsidRPr="002413EA" w:rsidRDefault="00910213" w:rsidP="002413EA">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r w:rsidRPr="002413EA">
        <w:rPr>
          <w:rFonts w:ascii="Palatino Linotype" w:eastAsia="Palatino Linotype" w:hAnsi="Palatino Linotype" w:cs="Palatino Linotype"/>
          <w:noProof/>
          <w:color w:val="000000" w:themeColor="text1"/>
        </w:rPr>
        <w:lastRenderedPageBreak/>
        <w:drawing>
          <wp:inline distT="0" distB="0" distL="0" distR="0" wp14:anchorId="3265900E" wp14:editId="559DA27C">
            <wp:extent cx="5742940" cy="3289935"/>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42940" cy="3289935"/>
                    </a:xfrm>
                    <a:prstGeom prst="rect">
                      <a:avLst/>
                    </a:prstGeom>
                  </pic:spPr>
                </pic:pic>
              </a:graphicData>
            </a:graphic>
          </wp:inline>
        </w:drawing>
      </w:r>
    </w:p>
    <w:p w:rsidR="00910213" w:rsidRPr="002413EA" w:rsidRDefault="00910213" w:rsidP="002413EA">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910213" w:rsidRPr="002413EA" w:rsidRDefault="00910213" w:rsidP="002413EA">
      <w:pPr>
        <w:pBdr>
          <w:top w:val="nil"/>
          <w:left w:val="nil"/>
          <w:bottom w:val="nil"/>
          <w:right w:val="nil"/>
          <w:between w:val="nil"/>
        </w:pBdr>
        <w:tabs>
          <w:tab w:val="left" w:pos="426"/>
          <w:tab w:val="left" w:pos="567"/>
        </w:tabs>
        <w:spacing w:line="360" w:lineRule="auto"/>
        <w:jc w:val="center"/>
        <w:rPr>
          <w:rFonts w:ascii="Palatino Linotype" w:eastAsia="Palatino Linotype" w:hAnsi="Palatino Linotype" w:cs="Palatino Linotype"/>
          <w:color w:val="000000" w:themeColor="text1"/>
        </w:rPr>
      </w:pPr>
      <w:r w:rsidRPr="002413EA">
        <w:rPr>
          <w:rFonts w:ascii="Palatino Linotype" w:eastAsia="Palatino Linotype" w:hAnsi="Palatino Linotype" w:cs="Palatino Linotype"/>
          <w:noProof/>
          <w:color w:val="000000" w:themeColor="text1"/>
        </w:rPr>
        <w:drawing>
          <wp:inline distT="0" distB="0" distL="0" distR="0" wp14:anchorId="2ECC89CE" wp14:editId="118B363C">
            <wp:extent cx="4531057" cy="3943382"/>
            <wp:effectExtent l="0" t="0" r="317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535496" cy="3947246"/>
                    </a:xfrm>
                    <a:prstGeom prst="rect">
                      <a:avLst/>
                    </a:prstGeom>
                  </pic:spPr>
                </pic:pic>
              </a:graphicData>
            </a:graphic>
          </wp:inline>
        </w:drawing>
      </w:r>
    </w:p>
    <w:p w:rsidR="00006831" w:rsidRPr="002413EA" w:rsidRDefault="00910213" w:rsidP="002413EA">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2413EA">
        <w:rPr>
          <w:rFonts w:ascii="Palatino Linotype" w:eastAsia="Palatino Linotype" w:hAnsi="Palatino Linotype" w:cs="Palatino Linotype"/>
          <w:color w:val="000000" w:themeColor="text1"/>
        </w:rPr>
        <w:lastRenderedPageBreak/>
        <w:t xml:space="preserve">Como se observa en la imagen anterior, así como de los trimestres anteriores y de los del año 2024, se informa que no se generó la información, derivado de que la Secretaria no cuenta con personal contratado bajo el régimen de servicios profesionales por honorarios, ni profesionales por honorarios asimilados a salarios, información de la que este Órgano Garante no puede dudar por no estar dentro de sus atribuciones.  </w:t>
      </w:r>
    </w:p>
    <w:p w:rsidR="00006831" w:rsidRPr="002413EA" w:rsidRDefault="00006831" w:rsidP="002413EA">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13237E" w:rsidRPr="002413EA" w:rsidRDefault="0013237E" w:rsidP="002413EA">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2413EA">
        <w:rPr>
          <w:rFonts w:ascii="Palatino Linotype" w:hAnsi="Palatino Linotype"/>
          <w:color w:val="000000" w:themeColor="text1"/>
        </w:rPr>
        <w:t xml:space="preserve">Asimismo, la </w:t>
      </w:r>
      <w:r w:rsidRPr="002413EA">
        <w:rPr>
          <w:rFonts w:ascii="Palatino Linotype" w:hAnsi="Palatino Linotype"/>
          <w:b/>
          <w:color w:val="000000" w:themeColor="text1"/>
        </w:rPr>
        <w:t>Ley de Transparencia y Acceso a la Información Pública del Estado de México y Municipios</w:t>
      </w:r>
      <w:r w:rsidRPr="002413EA">
        <w:rPr>
          <w:rFonts w:ascii="Palatino Linotype" w:hAnsi="Palatino Linotype"/>
          <w:color w:val="000000" w:themeColor="text1"/>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w:t>
      </w:r>
      <w:r w:rsidRPr="002413EA">
        <w:rPr>
          <w:rFonts w:ascii="Palatino Linotype" w:hAnsi="Palatino Linotype"/>
          <w:b/>
          <w:color w:val="000000" w:themeColor="text1"/>
        </w:rPr>
        <w:t>veracidad</w:t>
      </w:r>
      <w:r w:rsidRPr="002413EA">
        <w:rPr>
          <w:rFonts w:ascii="Palatino Linotype" w:hAnsi="Palatino Linotype"/>
          <w:color w:val="000000" w:themeColor="text1"/>
        </w:rPr>
        <w:t>, oportunidad entre otros, numeral en comento que a la letra señala:</w:t>
      </w:r>
    </w:p>
    <w:p w:rsidR="0013237E" w:rsidRPr="002413EA" w:rsidRDefault="0013237E" w:rsidP="002413EA">
      <w:pPr>
        <w:pStyle w:val="Prrafodelista"/>
        <w:spacing w:line="276" w:lineRule="auto"/>
        <w:ind w:left="0"/>
        <w:jc w:val="both"/>
        <w:rPr>
          <w:rFonts w:ascii="Palatino Linotype" w:hAnsi="Palatino Linotype" w:cs="Arial"/>
          <w:i/>
          <w:color w:val="000000" w:themeColor="text1"/>
        </w:rPr>
      </w:pPr>
      <w:r w:rsidRPr="002413EA">
        <w:rPr>
          <w:rFonts w:ascii="Palatino Linotype" w:hAnsi="Palatino Linotype" w:cs="Arial"/>
          <w:i/>
          <w:color w:val="000000" w:themeColor="text1"/>
        </w:rPr>
        <w:t xml:space="preserve">“Artículo 4.- </w:t>
      </w:r>
    </w:p>
    <w:p w:rsidR="0013237E" w:rsidRPr="002413EA" w:rsidRDefault="0013237E" w:rsidP="002413EA">
      <w:pPr>
        <w:pStyle w:val="Prrafodelista"/>
        <w:spacing w:line="276" w:lineRule="auto"/>
        <w:ind w:left="0"/>
        <w:jc w:val="both"/>
        <w:rPr>
          <w:rFonts w:ascii="Palatino Linotype" w:hAnsi="Palatino Linotype" w:cs="Arial"/>
          <w:i/>
          <w:color w:val="000000" w:themeColor="text1"/>
        </w:rPr>
      </w:pPr>
      <w:r w:rsidRPr="002413EA">
        <w:rPr>
          <w:rFonts w:ascii="Palatino Linotype" w:hAnsi="Palatino Linotype" w:cs="Arial"/>
          <w:i/>
          <w:color w:val="000000" w:themeColor="text1"/>
        </w:rPr>
        <w:t>..</w:t>
      </w:r>
    </w:p>
    <w:p w:rsidR="0013237E" w:rsidRPr="002413EA" w:rsidRDefault="0013237E" w:rsidP="002413EA">
      <w:pPr>
        <w:pStyle w:val="Prrafodelista"/>
        <w:spacing w:line="276" w:lineRule="auto"/>
        <w:ind w:left="0"/>
        <w:jc w:val="both"/>
        <w:rPr>
          <w:rFonts w:ascii="Palatino Linotype" w:hAnsi="Palatino Linotype" w:cs="Arial"/>
          <w:i/>
          <w:color w:val="000000" w:themeColor="text1"/>
        </w:rPr>
      </w:pPr>
      <w:r w:rsidRPr="002413EA">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13237E" w:rsidRPr="002413EA" w:rsidRDefault="0013237E" w:rsidP="002413EA">
      <w:pPr>
        <w:pStyle w:val="Prrafodelista"/>
        <w:spacing w:line="276" w:lineRule="auto"/>
        <w:ind w:left="0"/>
        <w:jc w:val="both"/>
        <w:rPr>
          <w:rFonts w:ascii="Palatino Linotype" w:hAnsi="Palatino Linotype" w:cs="Arial"/>
          <w:b/>
          <w:i/>
          <w:color w:val="000000" w:themeColor="text1"/>
        </w:rPr>
      </w:pPr>
      <w:r w:rsidRPr="002413EA">
        <w:rPr>
          <w:rFonts w:ascii="Palatino Linotype" w:hAnsi="Palatino Linotype" w:cs="Arial"/>
          <w:i/>
          <w:color w:val="000000" w:themeColor="text1"/>
        </w:rPr>
        <w:t>…”</w:t>
      </w:r>
    </w:p>
    <w:p w:rsidR="0013237E" w:rsidRPr="002413EA" w:rsidRDefault="0013237E" w:rsidP="002413EA">
      <w:pPr>
        <w:pStyle w:val="Prrafodelista"/>
        <w:tabs>
          <w:tab w:val="left" w:pos="709"/>
        </w:tabs>
        <w:spacing w:line="360" w:lineRule="auto"/>
        <w:ind w:left="0"/>
        <w:jc w:val="both"/>
        <w:rPr>
          <w:rFonts w:ascii="Palatino Linotype" w:hAnsi="Palatino Linotype" w:cs="Arial"/>
          <w:noProof/>
          <w:color w:val="000000" w:themeColor="text1"/>
        </w:rPr>
      </w:pPr>
    </w:p>
    <w:p w:rsidR="0013237E" w:rsidRPr="002413EA" w:rsidRDefault="0013237E" w:rsidP="002413EA">
      <w:pPr>
        <w:pStyle w:val="Prrafodelista"/>
        <w:numPr>
          <w:ilvl w:val="0"/>
          <w:numId w:val="2"/>
        </w:numPr>
        <w:tabs>
          <w:tab w:val="left" w:pos="0"/>
        </w:tabs>
        <w:spacing w:line="360" w:lineRule="auto"/>
        <w:ind w:left="0" w:firstLine="0"/>
        <w:jc w:val="both"/>
        <w:rPr>
          <w:rFonts w:ascii="Palatino Linotype" w:hAnsi="Palatino Linotype" w:cs="Arial"/>
          <w:noProof/>
          <w:color w:val="000000" w:themeColor="text1"/>
        </w:rPr>
      </w:pPr>
      <w:r w:rsidRPr="002413EA">
        <w:rPr>
          <w:rFonts w:ascii="Palatino Linotype" w:hAnsi="Palatino Linotype" w:cs="Arial"/>
          <w:noProof/>
          <w:color w:val="000000" w:themeColor="text1"/>
        </w:rPr>
        <w:t xml:space="preserve">Numerales que compelen al </w:t>
      </w:r>
      <w:r w:rsidRPr="002413EA">
        <w:rPr>
          <w:rFonts w:ascii="Palatino Linotype" w:hAnsi="Palatino Linotype" w:cs="Arial"/>
          <w:b/>
          <w:noProof/>
          <w:color w:val="000000" w:themeColor="text1"/>
        </w:rPr>
        <w:t>SUJETO OBLIGADO</w:t>
      </w:r>
      <w:r w:rsidRPr="002413EA">
        <w:rPr>
          <w:rFonts w:ascii="Palatino Linotype" w:hAnsi="Palatino Linotype" w:cs="Arial"/>
          <w:noProof/>
          <w:color w:val="000000" w:themeColor="text1"/>
        </w:rPr>
        <w:t xml:space="preserve"> a apegarse en todo momento a los criterios ya expuestos, imipidiendo a este Órgano Colegiado cuestionar la veracidad de la información.</w:t>
      </w:r>
    </w:p>
    <w:p w:rsidR="0013237E" w:rsidRPr="002413EA" w:rsidRDefault="0013237E" w:rsidP="002413EA">
      <w:pPr>
        <w:pStyle w:val="Prrafodelista"/>
        <w:tabs>
          <w:tab w:val="left" w:pos="0"/>
        </w:tabs>
        <w:spacing w:line="360" w:lineRule="auto"/>
        <w:ind w:left="0"/>
        <w:jc w:val="both"/>
        <w:rPr>
          <w:rFonts w:ascii="Palatino Linotype" w:hAnsi="Palatino Linotype" w:cs="Arial"/>
          <w:noProof/>
          <w:color w:val="000000" w:themeColor="text1"/>
        </w:rPr>
      </w:pPr>
    </w:p>
    <w:p w:rsidR="0013237E" w:rsidRPr="002413EA" w:rsidRDefault="0013237E" w:rsidP="002413EA">
      <w:pPr>
        <w:pStyle w:val="Prrafodelista"/>
        <w:numPr>
          <w:ilvl w:val="0"/>
          <w:numId w:val="2"/>
        </w:numPr>
        <w:tabs>
          <w:tab w:val="left" w:pos="0"/>
        </w:tabs>
        <w:spacing w:line="360" w:lineRule="auto"/>
        <w:ind w:left="0" w:firstLine="0"/>
        <w:jc w:val="both"/>
        <w:rPr>
          <w:rFonts w:ascii="Palatino Linotype" w:hAnsi="Palatino Linotype" w:cs="Arial"/>
          <w:noProof/>
          <w:color w:val="000000" w:themeColor="text1"/>
        </w:rPr>
      </w:pPr>
      <w:r w:rsidRPr="002413EA">
        <w:rPr>
          <w:rFonts w:ascii="Palatino Linotype" w:hAnsi="Palatino Linotype" w:cs="Arial"/>
          <w:color w:val="000000" w:themeColor="text1"/>
        </w:rPr>
        <w:t xml:space="preserve">En conclusión, el </w:t>
      </w:r>
      <w:r w:rsidRPr="002413EA">
        <w:rPr>
          <w:rFonts w:ascii="Palatino Linotype" w:hAnsi="Palatino Linotype" w:cs="Arial"/>
          <w:b/>
          <w:color w:val="000000" w:themeColor="text1"/>
        </w:rPr>
        <w:t xml:space="preserve">SUJETO OBLIGADO </w:t>
      </w:r>
      <w:r w:rsidRPr="002413EA">
        <w:rPr>
          <w:rFonts w:ascii="Palatino Linotype" w:hAnsi="Palatino Linotype" w:cs="Arial"/>
          <w:color w:val="000000" w:themeColor="text1"/>
        </w:rPr>
        <w:t>emitió</w:t>
      </w:r>
      <w:r w:rsidRPr="002413EA">
        <w:rPr>
          <w:rFonts w:ascii="Palatino Linotype" w:hAnsi="Palatino Linotype" w:cs="Arial"/>
          <w:b/>
          <w:color w:val="000000" w:themeColor="text1"/>
        </w:rPr>
        <w:t xml:space="preserve"> </w:t>
      </w:r>
      <w:r w:rsidRPr="002413EA">
        <w:rPr>
          <w:rFonts w:ascii="Palatino Linotype" w:hAnsi="Palatino Linotype" w:cs="Arial"/>
          <w:color w:val="000000" w:themeColor="text1"/>
        </w:rPr>
        <w:t xml:space="preserve">la respuesta correspondiente en tiempo y forma, por lo que la información remitida satisface el derecho de acceso a la información pública y lo procedente es </w:t>
      </w:r>
      <w:r w:rsidRPr="002413EA">
        <w:rPr>
          <w:rFonts w:ascii="Palatino Linotype" w:hAnsi="Palatino Linotype" w:cs="Arial"/>
          <w:b/>
          <w:color w:val="000000" w:themeColor="text1"/>
        </w:rPr>
        <w:t xml:space="preserve">CONFIRMAR </w:t>
      </w:r>
      <w:r w:rsidRPr="002413EA">
        <w:rPr>
          <w:rFonts w:ascii="Palatino Linotype" w:hAnsi="Palatino Linotype" w:cs="Arial"/>
          <w:color w:val="000000" w:themeColor="text1"/>
        </w:rPr>
        <w:t>la respuesta.</w:t>
      </w:r>
    </w:p>
    <w:p w:rsidR="0013237E" w:rsidRPr="002413EA" w:rsidRDefault="0013237E" w:rsidP="002413EA">
      <w:pPr>
        <w:pStyle w:val="Prrafodelista"/>
        <w:numPr>
          <w:ilvl w:val="0"/>
          <w:numId w:val="2"/>
        </w:numPr>
        <w:tabs>
          <w:tab w:val="left" w:pos="0"/>
        </w:tabs>
        <w:spacing w:line="360" w:lineRule="auto"/>
        <w:ind w:left="0" w:firstLine="0"/>
        <w:jc w:val="both"/>
        <w:rPr>
          <w:rFonts w:ascii="Palatino Linotype" w:hAnsi="Palatino Linotype" w:cs="Arial"/>
          <w:noProof/>
          <w:color w:val="000000" w:themeColor="text1"/>
        </w:rPr>
      </w:pPr>
      <w:r w:rsidRPr="002413EA">
        <w:rPr>
          <w:rFonts w:ascii="Palatino Linotype" w:hAnsi="Palatino Linotype" w:cs="Arial"/>
          <w:color w:val="000000" w:themeColor="text1"/>
        </w:rPr>
        <w:lastRenderedPageBreak/>
        <w:t xml:space="preserve">Por lo anteriormente expuesto y fundado, este </w:t>
      </w:r>
      <w:r w:rsidRPr="002413EA">
        <w:rPr>
          <w:rFonts w:ascii="Palatino Linotype" w:hAnsi="Palatino Linotype" w:cs="Arial"/>
          <w:b/>
          <w:bCs/>
          <w:color w:val="000000" w:themeColor="text1"/>
        </w:rPr>
        <w:t>ÓRGANO GARANTE</w:t>
      </w:r>
      <w:r w:rsidRPr="002413EA">
        <w:rPr>
          <w:rFonts w:ascii="Palatino Linotype" w:hAnsi="Palatino Linotype" w:cs="Arial"/>
          <w:color w:val="000000" w:themeColor="text1"/>
        </w:rPr>
        <w:t xml:space="preserve"> emite los siguientes:</w:t>
      </w:r>
    </w:p>
    <w:p w:rsidR="0013237E" w:rsidRPr="002413EA" w:rsidRDefault="0013237E" w:rsidP="002413EA">
      <w:pPr>
        <w:pStyle w:val="Ttulo1"/>
        <w:jc w:val="center"/>
        <w:rPr>
          <w:rFonts w:ascii="Palatino Linotype" w:hAnsi="Palatino Linotype"/>
          <w:b/>
          <w:color w:val="000000" w:themeColor="text1"/>
          <w:sz w:val="24"/>
          <w:szCs w:val="24"/>
        </w:rPr>
      </w:pPr>
      <w:bookmarkStart w:id="6" w:name="_Toc4061692"/>
      <w:bookmarkStart w:id="7" w:name="_Toc486525261"/>
      <w:bookmarkStart w:id="8" w:name="_Toc445745148"/>
      <w:bookmarkStart w:id="9" w:name="_Toc447699324"/>
      <w:bookmarkStart w:id="10" w:name="_Toc87549684"/>
      <w:r w:rsidRPr="002413EA">
        <w:rPr>
          <w:rFonts w:ascii="Palatino Linotype" w:hAnsi="Palatino Linotype"/>
          <w:b/>
          <w:color w:val="000000" w:themeColor="text1"/>
          <w:sz w:val="24"/>
          <w:szCs w:val="24"/>
        </w:rPr>
        <w:t>R E S O L U T I V O S</w:t>
      </w:r>
      <w:bookmarkEnd w:id="6"/>
      <w:bookmarkEnd w:id="7"/>
      <w:bookmarkEnd w:id="8"/>
      <w:bookmarkEnd w:id="9"/>
      <w:bookmarkEnd w:id="10"/>
    </w:p>
    <w:p w:rsidR="0013237E" w:rsidRPr="002413EA" w:rsidRDefault="0013237E" w:rsidP="002413EA">
      <w:pPr>
        <w:keepNext/>
        <w:keepLines/>
        <w:spacing w:line="360" w:lineRule="auto"/>
        <w:jc w:val="center"/>
        <w:outlineLvl w:val="0"/>
        <w:rPr>
          <w:rFonts w:ascii="Palatino Linotype" w:hAnsi="Palatino Linotype" w:cstheme="majorBidi"/>
          <w:b/>
          <w:bCs/>
          <w:color w:val="000000" w:themeColor="text1"/>
        </w:rPr>
      </w:pPr>
    </w:p>
    <w:p w:rsidR="0013237E" w:rsidRPr="002413EA" w:rsidRDefault="0013237E" w:rsidP="002413EA">
      <w:pPr>
        <w:spacing w:line="360" w:lineRule="auto"/>
        <w:jc w:val="both"/>
        <w:rPr>
          <w:rFonts w:ascii="Palatino Linotype" w:hAnsi="Palatino Linotype"/>
          <w:color w:val="000000" w:themeColor="text1"/>
        </w:rPr>
      </w:pPr>
      <w:r w:rsidRPr="002413EA">
        <w:rPr>
          <w:rFonts w:ascii="Palatino Linotype" w:hAnsi="Palatino Linotype" w:cs="Arial"/>
          <w:b/>
          <w:color w:val="000000" w:themeColor="text1"/>
        </w:rPr>
        <w:t xml:space="preserve">PRIMERO. </w:t>
      </w:r>
      <w:r w:rsidRPr="002413EA">
        <w:rPr>
          <w:rFonts w:ascii="Palatino Linotype" w:hAnsi="Palatino Linotype" w:cs="Arial"/>
          <w:color w:val="000000" w:themeColor="text1"/>
        </w:rPr>
        <w:t>Resultan infundadas las</w:t>
      </w:r>
      <w:r w:rsidRPr="002413EA">
        <w:rPr>
          <w:rFonts w:ascii="Palatino Linotype" w:hAnsi="Palatino Linotype" w:cs="Arial"/>
          <w:b/>
          <w:color w:val="000000" w:themeColor="text1"/>
        </w:rPr>
        <w:t xml:space="preserve"> </w:t>
      </w:r>
      <w:r w:rsidRPr="002413EA">
        <w:rPr>
          <w:rFonts w:ascii="Palatino Linotype" w:hAnsi="Palatino Linotype" w:cs="Arial"/>
          <w:color w:val="000000" w:themeColor="text1"/>
          <w:lang w:val="es-ES"/>
        </w:rPr>
        <w:t xml:space="preserve">razones o motivos de inconformidad hechos valer </w:t>
      </w:r>
      <w:r w:rsidRPr="002413EA">
        <w:rPr>
          <w:rFonts w:ascii="Palatino Linotype" w:eastAsia="Calibri" w:hAnsi="Palatino Linotype" w:cs="Arial"/>
          <w:color w:val="000000" w:themeColor="text1"/>
          <w:lang w:val="es-ES"/>
        </w:rPr>
        <w:t xml:space="preserve">en el recurso de revisión </w:t>
      </w:r>
      <w:r w:rsidR="00910213" w:rsidRPr="002413EA">
        <w:rPr>
          <w:rFonts w:ascii="Palatino Linotype" w:eastAsia="Calibri" w:hAnsi="Palatino Linotype" w:cs="Tahoma"/>
          <w:b/>
          <w:color w:val="000000" w:themeColor="text1"/>
          <w:lang w:eastAsia="en-US"/>
        </w:rPr>
        <w:t>11953</w:t>
      </w:r>
      <w:r w:rsidRPr="002413EA">
        <w:rPr>
          <w:rFonts w:ascii="Palatino Linotype" w:eastAsia="Calibri" w:hAnsi="Palatino Linotype" w:cs="Tahoma"/>
          <w:b/>
          <w:color w:val="000000" w:themeColor="text1"/>
          <w:lang w:eastAsia="en-US"/>
        </w:rPr>
        <w:t>/INFOEM/IP/RR/2025</w:t>
      </w:r>
      <w:r w:rsidRPr="002413EA">
        <w:rPr>
          <w:rFonts w:ascii="Palatino Linotype" w:hAnsi="Palatino Linotype"/>
          <w:b/>
          <w:color w:val="000000" w:themeColor="text1"/>
        </w:rPr>
        <w:t xml:space="preserve"> </w:t>
      </w:r>
      <w:r w:rsidRPr="002413EA">
        <w:rPr>
          <w:rFonts w:ascii="Palatino Linotype" w:hAnsi="Palatino Linotype"/>
          <w:color w:val="000000" w:themeColor="text1"/>
        </w:rPr>
        <w:t>en términos del</w:t>
      </w:r>
      <w:r w:rsidRPr="002413EA">
        <w:rPr>
          <w:rFonts w:ascii="Palatino Linotype" w:hAnsi="Palatino Linotype"/>
          <w:b/>
          <w:bCs/>
          <w:color w:val="000000" w:themeColor="text1"/>
        </w:rPr>
        <w:t xml:space="preserve"> Considerando</w:t>
      </w:r>
      <w:r w:rsidRPr="002413EA">
        <w:rPr>
          <w:rFonts w:ascii="Palatino Linotype" w:hAnsi="Palatino Linotype"/>
          <w:color w:val="000000" w:themeColor="text1"/>
        </w:rPr>
        <w:t xml:space="preserve"> </w:t>
      </w:r>
      <w:r w:rsidRPr="002413EA">
        <w:rPr>
          <w:rFonts w:ascii="Palatino Linotype" w:hAnsi="Palatino Linotype"/>
          <w:b/>
          <w:color w:val="000000" w:themeColor="text1"/>
        </w:rPr>
        <w:t>CUARTO</w:t>
      </w:r>
      <w:r w:rsidRPr="002413EA">
        <w:rPr>
          <w:rFonts w:ascii="Palatino Linotype" w:hAnsi="Palatino Linotype"/>
          <w:color w:val="000000" w:themeColor="text1"/>
        </w:rPr>
        <w:t xml:space="preserve"> de la presente resolución.</w:t>
      </w:r>
    </w:p>
    <w:p w:rsidR="0013237E" w:rsidRPr="002413EA" w:rsidRDefault="0013237E" w:rsidP="002413EA">
      <w:pPr>
        <w:spacing w:line="360" w:lineRule="auto"/>
        <w:contextualSpacing/>
        <w:jc w:val="both"/>
        <w:rPr>
          <w:rFonts w:ascii="Palatino Linotype" w:eastAsia="Calibri" w:hAnsi="Palatino Linotype" w:cs="Arial"/>
          <w:b/>
          <w:bCs/>
          <w:color w:val="000000" w:themeColor="text1"/>
          <w:lang w:val="es-ES"/>
        </w:rPr>
      </w:pPr>
    </w:p>
    <w:p w:rsidR="0013237E" w:rsidRPr="002413EA" w:rsidRDefault="0013237E" w:rsidP="002413EA">
      <w:pPr>
        <w:spacing w:line="360" w:lineRule="auto"/>
        <w:contextualSpacing/>
        <w:jc w:val="both"/>
        <w:rPr>
          <w:rFonts w:ascii="Palatino Linotype" w:eastAsia="Calibri" w:hAnsi="Palatino Linotype" w:cs="Arial"/>
          <w:color w:val="000000" w:themeColor="text1"/>
        </w:rPr>
      </w:pPr>
      <w:r w:rsidRPr="002413EA">
        <w:rPr>
          <w:rFonts w:ascii="Palatino Linotype" w:eastAsia="Calibri" w:hAnsi="Palatino Linotype" w:cs="Arial"/>
          <w:b/>
          <w:bCs/>
          <w:color w:val="000000" w:themeColor="text1"/>
          <w:lang w:val="es-ES"/>
        </w:rPr>
        <w:t xml:space="preserve">SEGUNDO. </w:t>
      </w:r>
      <w:r w:rsidRPr="002413EA">
        <w:rPr>
          <w:rFonts w:ascii="Palatino Linotype" w:eastAsia="Calibri" w:hAnsi="Palatino Linotype" w:cs="Arial"/>
          <w:color w:val="000000" w:themeColor="text1"/>
          <w:lang w:val="es-ES"/>
        </w:rPr>
        <w:t xml:space="preserve">Se </w:t>
      </w:r>
      <w:r w:rsidRPr="002413EA">
        <w:rPr>
          <w:rFonts w:ascii="Palatino Linotype" w:eastAsia="Calibri" w:hAnsi="Palatino Linotype" w:cs="Arial"/>
          <w:b/>
          <w:color w:val="000000" w:themeColor="text1"/>
          <w:lang w:val="es-ES"/>
        </w:rPr>
        <w:t>CONFIRMA</w:t>
      </w:r>
      <w:r w:rsidRPr="002413EA">
        <w:rPr>
          <w:rFonts w:ascii="Palatino Linotype" w:eastAsia="Calibri" w:hAnsi="Palatino Linotype" w:cs="Arial"/>
          <w:color w:val="000000" w:themeColor="text1"/>
          <w:lang w:val="es-ES"/>
        </w:rPr>
        <w:t xml:space="preserve"> la respuesta emitida por la</w:t>
      </w:r>
      <w:r w:rsidRPr="002413EA">
        <w:rPr>
          <w:rFonts w:ascii="Palatino Linotype" w:eastAsia="Calibri" w:hAnsi="Palatino Linotype" w:cs="Arial"/>
          <w:b/>
          <w:color w:val="000000" w:themeColor="text1"/>
          <w:lang w:val="es-ES"/>
        </w:rPr>
        <w:t xml:space="preserve"> </w:t>
      </w:r>
      <w:r w:rsidR="00910213" w:rsidRPr="002413EA">
        <w:rPr>
          <w:rFonts w:ascii="Palatino Linotype" w:eastAsia="Calibri" w:hAnsi="Palatino Linotype" w:cs="Arial"/>
          <w:b/>
          <w:color w:val="000000" w:themeColor="text1"/>
          <w:lang w:val="es-ES"/>
        </w:rPr>
        <w:t>Secretaria de Seguridad</w:t>
      </w:r>
      <w:r w:rsidRPr="002413EA">
        <w:rPr>
          <w:rFonts w:ascii="Palatino Linotype" w:eastAsia="Calibri" w:hAnsi="Palatino Linotype" w:cs="Arial"/>
          <w:bCs/>
          <w:color w:val="000000" w:themeColor="text1"/>
        </w:rPr>
        <w:t xml:space="preserve"> a la solicitud </w:t>
      </w:r>
      <w:bookmarkStart w:id="11" w:name="_Toc460947013"/>
      <w:r w:rsidR="00910213" w:rsidRPr="002413EA">
        <w:rPr>
          <w:rFonts w:ascii="Palatino Linotype" w:hAnsi="Palatino Linotype" w:cs="Arial"/>
          <w:b/>
          <w:bCs/>
          <w:color w:val="000000" w:themeColor="text1"/>
        </w:rPr>
        <w:t>00366/SSEM/IP/2025</w:t>
      </w:r>
      <w:r w:rsidRPr="002413EA">
        <w:rPr>
          <w:rFonts w:ascii="Palatino Linotype" w:eastAsia="Calibri" w:hAnsi="Palatino Linotype" w:cs="Arial"/>
          <w:color w:val="000000" w:themeColor="text1"/>
        </w:rPr>
        <w:t>.</w:t>
      </w:r>
    </w:p>
    <w:p w:rsidR="0013237E" w:rsidRPr="002413EA" w:rsidRDefault="0013237E" w:rsidP="002413EA">
      <w:pPr>
        <w:tabs>
          <w:tab w:val="left" w:pos="993"/>
        </w:tabs>
        <w:spacing w:line="360" w:lineRule="auto"/>
        <w:jc w:val="both"/>
        <w:rPr>
          <w:rFonts w:ascii="Palatino Linotype" w:eastAsia="Calibri" w:hAnsi="Palatino Linotype" w:cs="Arial"/>
          <w:color w:val="000000" w:themeColor="text1"/>
        </w:rPr>
      </w:pPr>
    </w:p>
    <w:p w:rsidR="0013237E" w:rsidRPr="002413EA" w:rsidRDefault="0013237E" w:rsidP="002413EA">
      <w:pPr>
        <w:tabs>
          <w:tab w:val="left" w:pos="8080"/>
        </w:tabs>
        <w:spacing w:line="360" w:lineRule="auto"/>
        <w:contextualSpacing/>
        <w:jc w:val="both"/>
        <w:rPr>
          <w:rFonts w:ascii="Palatino Linotype" w:eastAsia="Palatino Linotype" w:hAnsi="Palatino Linotype" w:cs="Palatino Linotype"/>
          <w:b/>
          <w:color w:val="000000" w:themeColor="text1"/>
        </w:rPr>
      </w:pPr>
      <w:r w:rsidRPr="002413EA">
        <w:rPr>
          <w:rFonts w:ascii="Palatino Linotype" w:eastAsia="MS Mincho" w:hAnsi="Palatino Linotype"/>
          <w:b/>
          <w:color w:val="000000" w:themeColor="text1"/>
        </w:rPr>
        <w:t>TERCERO.</w:t>
      </w:r>
      <w:r w:rsidRPr="002413EA">
        <w:rPr>
          <w:rFonts w:ascii="Palatino Linotype" w:eastAsia="MS Mincho" w:hAnsi="Palatino Linotype"/>
          <w:color w:val="000000" w:themeColor="text1"/>
        </w:rPr>
        <w:t xml:space="preserve"> </w:t>
      </w:r>
      <w:bookmarkEnd w:id="11"/>
      <w:r w:rsidRPr="002413EA">
        <w:rPr>
          <w:rFonts w:ascii="Palatino Linotype" w:eastAsia="Palatino Linotype" w:hAnsi="Palatino Linotype" w:cs="Palatino Linotype"/>
          <w:b/>
          <w:color w:val="000000" w:themeColor="text1"/>
        </w:rPr>
        <w:t xml:space="preserve">Notifíquese, </w:t>
      </w:r>
      <w:r w:rsidRPr="002413EA">
        <w:rPr>
          <w:rFonts w:ascii="Palatino Linotype" w:eastAsia="Palatino Linotype" w:hAnsi="Palatino Linotype" w:cs="Palatino Linotype"/>
          <w:color w:val="000000" w:themeColor="text1"/>
        </w:rPr>
        <w:t xml:space="preserve">vía Sistema de Acceso a la Información Mexiquense (SAIMEX), la presente resolución a la Titular de la Unidad de Transparencia del </w:t>
      </w:r>
      <w:r w:rsidRPr="002413EA">
        <w:rPr>
          <w:rFonts w:ascii="Palatino Linotype" w:eastAsia="Palatino Linotype" w:hAnsi="Palatino Linotype" w:cs="Palatino Linotype"/>
          <w:b/>
          <w:color w:val="000000" w:themeColor="text1"/>
        </w:rPr>
        <w:t>SUJETO OBLIGADO.</w:t>
      </w:r>
    </w:p>
    <w:p w:rsidR="0013237E" w:rsidRPr="002413EA" w:rsidRDefault="0013237E" w:rsidP="002413EA">
      <w:pPr>
        <w:tabs>
          <w:tab w:val="left" w:pos="8080"/>
        </w:tabs>
        <w:spacing w:line="360" w:lineRule="auto"/>
        <w:contextualSpacing/>
        <w:jc w:val="both"/>
        <w:rPr>
          <w:rFonts w:ascii="Palatino Linotype" w:eastAsia="Palatino Linotype" w:hAnsi="Palatino Linotype" w:cs="Palatino Linotype"/>
          <w:b/>
          <w:color w:val="000000" w:themeColor="text1"/>
        </w:rPr>
      </w:pPr>
    </w:p>
    <w:p w:rsidR="0013237E" w:rsidRPr="002413EA" w:rsidRDefault="0013237E" w:rsidP="002413EA">
      <w:pPr>
        <w:shd w:val="clear" w:color="auto" w:fill="FFFFFF"/>
        <w:spacing w:line="360" w:lineRule="auto"/>
        <w:jc w:val="both"/>
        <w:rPr>
          <w:rFonts w:ascii="Palatino Linotype" w:hAnsi="Palatino Linotype"/>
          <w:color w:val="000000" w:themeColor="text1"/>
        </w:rPr>
      </w:pPr>
      <w:r w:rsidRPr="002413EA">
        <w:rPr>
          <w:rFonts w:ascii="Palatino Linotype" w:hAnsi="Palatino Linotype" w:cs="Arial"/>
          <w:b/>
          <w:color w:val="000000" w:themeColor="text1"/>
        </w:rPr>
        <w:t xml:space="preserve">CUARTO. </w:t>
      </w:r>
      <w:r w:rsidRPr="002413EA">
        <w:rPr>
          <w:rFonts w:ascii="Palatino Linotype" w:hAnsi="Palatino Linotype"/>
          <w:b/>
          <w:bCs/>
          <w:color w:val="000000" w:themeColor="text1"/>
          <w:lang w:val="es-ES"/>
        </w:rPr>
        <w:t>Notifíquese al</w:t>
      </w:r>
      <w:r w:rsidRPr="002413EA">
        <w:rPr>
          <w:rFonts w:ascii="Palatino Linotype" w:hAnsi="Palatino Linotype"/>
          <w:b/>
          <w:color w:val="000000" w:themeColor="text1"/>
        </w:rPr>
        <w:t xml:space="preserve"> RECURRENTE</w:t>
      </w:r>
      <w:r w:rsidRPr="002413EA">
        <w:rPr>
          <w:rFonts w:ascii="Palatino Linotype" w:hAnsi="Palatino Linotype"/>
          <w:color w:val="000000" w:themeColor="text1"/>
        </w:rPr>
        <w:t xml:space="preserve"> la presente resolución, </w:t>
      </w:r>
      <w:r w:rsidRPr="002413EA">
        <w:rPr>
          <w:rFonts w:ascii="Palatino Linotype" w:eastAsia="Palatino Linotype" w:hAnsi="Palatino Linotype" w:cs="Palatino Linotype"/>
          <w:color w:val="000000" w:themeColor="text1"/>
        </w:rPr>
        <w:t>vía Sistema de Acceso a la Información Mexiquense (SAIMEX).</w:t>
      </w:r>
    </w:p>
    <w:p w:rsidR="0013237E" w:rsidRPr="002413EA" w:rsidRDefault="0013237E" w:rsidP="002413EA">
      <w:pPr>
        <w:shd w:val="clear" w:color="auto" w:fill="FFFFFF"/>
        <w:spacing w:line="360" w:lineRule="auto"/>
        <w:jc w:val="both"/>
        <w:rPr>
          <w:rFonts w:ascii="Palatino Linotype" w:hAnsi="Palatino Linotype"/>
          <w:color w:val="000000" w:themeColor="text1"/>
        </w:rPr>
      </w:pPr>
    </w:p>
    <w:p w:rsidR="0013237E" w:rsidRPr="002413EA" w:rsidRDefault="0013237E" w:rsidP="002413EA">
      <w:pPr>
        <w:spacing w:line="360" w:lineRule="auto"/>
        <w:jc w:val="both"/>
        <w:rPr>
          <w:rFonts w:ascii="Palatino Linotype" w:eastAsia="MS Mincho" w:hAnsi="Palatino Linotype"/>
          <w:color w:val="000000" w:themeColor="text1"/>
          <w:lang w:val="es-ES"/>
        </w:rPr>
      </w:pPr>
      <w:r w:rsidRPr="002413EA">
        <w:rPr>
          <w:rFonts w:ascii="Palatino Linotype" w:eastAsia="MS Mincho" w:hAnsi="Palatino Linotype"/>
          <w:b/>
          <w:color w:val="000000" w:themeColor="text1"/>
        </w:rPr>
        <w:t>QUINTO.</w:t>
      </w:r>
      <w:r w:rsidRPr="002413EA">
        <w:rPr>
          <w:rFonts w:ascii="Palatino Linotype" w:eastAsia="MS Mincho" w:hAnsi="Palatino Linotype"/>
          <w:color w:val="000000" w:themeColor="text1"/>
        </w:rPr>
        <w:t xml:space="preserve"> </w:t>
      </w:r>
      <w:r w:rsidRPr="002413EA">
        <w:rPr>
          <w:rFonts w:ascii="Palatino Linotype" w:eastAsia="MS Mincho" w:hAnsi="Palatino Linotype"/>
          <w:color w:val="000000" w:themeColor="text1"/>
          <w:lang w:val="es-ES"/>
        </w:rPr>
        <w:t xml:space="preserve">Se hace del conocimiento del </w:t>
      </w:r>
      <w:r w:rsidRPr="002413EA">
        <w:rPr>
          <w:rFonts w:ascii="Palatino Linotype" w:eastAsia="MS Mincho" w:hAnsi="Palatino Linotype"/>
          <w:b/>
          <w:color w:val="000000" w:themeColor="text1"/>
          <w:lang w:val="es-ES"/>
        </w:rPr>
        <w:t>RECURRENTE</w:t>
      </w:r>
      <w:r w:rsidRPr="002413EA">
        <w:rPr>
          <w:rFonts w:ascii="Palatino Linotype" w:eastAsia="MS Mincho" w:hAnsi="Palatino Linotype"/>
          <w:color w:val="000000" w:themeColor="text1"/>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2413EA">
        <w:rPr>
          <w:rFonts w:ascii="Palatino Linotype" w:eastAsia="MS Mincho" w:hAnsi="Palatino Linotype"/>
          <w:bCs/>
          <w:color w:val="000000" w:themeColor="text1"/>
          <w:lang w:val="es-ES"/>
        </w:rPr>
        <w:t>vía juicio de amparo</w:t>
      </w:r>
      <w:r w:rsidRPr="002413EA">
        <w:rPr>
          <w:rFonts w:ascii="Palatino Linotype" w:eastAsia="MS Mincho" w:hAnsi="Palatino Linotype"/>
          <w:color w:val="000000" w:themeColor="text1"/>
          <w:lang w:val="es-ES"/>
        </w:rPr>
        <w:t xml:space="preserve"> en los términos de las leyes aplicables.</w:t>
      </w:r>
    </w:p>
    <w:p w:rsidR="002413EA" w:rsidRDefault="002413EA" w:rsidP="002413EA">
      <w:pPr>
        <w:tabs>
          <w:tab w:val="left" w:pos="284"/>
        </w:tabs>
        <w:spacing w:before="240" w:after="240" w:line="360" w:lineRule="auto"/>
        <w:jc w:val="both"/>
        <w:rPr>
          <w:rFonts w:ascii="Palatino Linotype" w:eastAsia="Palatino Linotype" w:hAnsi="Palatino Linotype" w:cs="Palatino Linotype"/>
        </w:rPr>
      </w:pPr>
    </w:p>
    <w:p w:rsidR="002413EA" w:rsidRDefault="002413EA" w:rsidP="002413EA">
      <w:pPr>
        <w:tabs>
          <w:tab w:val="left" w:pos="284"/>
        </w:tabs>
        <w:spacing w:before="240" w:after="240" w:line="360" w:lineRule="auto"/>
        <w:jc w:val="both"/>
        <w:rPr>
          <w:rFonts w:ascii="Palatino Linotype" w:eastAsia="Palatino Linotype" w:hAnsi="Palatino Linotype" w:cs="Palatino Linotype"/>
        </w:rPr>
      </w:pPr>
    </w:p>
    <w:p w:rsidR="0013237E" w:rsidRPr="002413EA" w:rsidRDefault="002413EA" w:rsidP="002413EA">
      <w:pPr>
        <w:tabs>
          <w:tab w:val="left" w:pos="284"/>
        </w:tabs>
        <w:spacing w:before="240" w:after="240" w:line="360" w:lineRule="auto"/>
        <w:jc w:val="both"/>
        <w:rPr>
          <w:rFonts w:ascii="Palatino Linotype" w:eastAsia="Palatino Linotype" w:hAnsi="Palatino Linotype" w:cs="Palatino Linotype"/>
          <w:color w:val="000000" w:themeColor="text1"/>
        </w:rPr>
      </w:pPr>
      <w:r w:rsidRPr="00575AE2">
        <w:rPr>
          <w:rFonts w:ascii="Palatino Linotype" w:eastAsia="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rPr>
        <w:t xml:space="preserve">CUADRAGÉSIMA PRIMERA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VEINTE (20)</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NOVIEMBRE </w:t>
      </w:r>
      <w:r w:rsidRPr="00575AE2">
        <w:rPr>
          <w:rFonts w:ascii="Palatino Linotype" w:eastAsia="Palatino Linotype" w:hAnsi="Palatino Linotype" w:cs="Palatino Linotype"/>
        </w:rPr>
        <w:t>DE DOS MIL VEINTICINCO, ANTE EL SECRETARIO TÉCNICO DEL PLENO ALEXIS TAPIA RAMÍREZ.</w:t>
      </w:r>
    </w:p>
    <w:p w:rsidR="0013237E" w:rsidRPr="002413EA" w:rsidRDefault="0013237E" w:rsidP="002413EA">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13237E" w:rsidRPr="002413EA" w:rsidRDefault="002413EA" w:rsidP="002413EA">
      <w:pPr>
        <w:pBdr>
          <w:top w:val="nil"/>
          <w:left w:val="nil"/>
          <w:bottom w:val="nil"/>
          <w:right w:val="nil"/>
          <w:between w:val="nil"/>
        </w:pBdr>
        <w:tabs>
          <w:tab w:val="left" w:pos="3540"/>
        </w:tabs>
        <w:spacing w:line="360" w:lineRule="auto"/>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ab/>
      </w:r>
    </w:p>
    <w:p w:rsidR="0013237E" w:rsidRPr="002413EA" w:rsidRDefault="0013237E" w:rsidP="002413EA">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13237E" w:rsidRDefault="0013237E" w:rsidP="002413EA">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F05CA8" w:rsidRDefault="00F05CA8" w:rsidP="002413EA">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F05CA8" w:rsidRDefault="00F05CA8" w:rsidP="002413EA">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F05CA8" w:rsidRDefault="00F05CA8" w:rsidP="002413EA">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F05CA8" w:rsidRPr="002413EA" w:rsidRDefault="00F05CA8" w:rsidP="002413EA">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13237E" w:rsidRPr="002413EA" w:rsidRDefault="0013237E" w:rsidP="002413EA">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13237E" w:rsidRPr="002413EA" w:rsidRDefault="0013237E" w:rsidP="002413EA">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13237E" w:rsidRPr="002413EA" w:rsidRDefault="0013237E" w:rsidP="002413EA">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13237E" w:rsidRPr="002413EA" w:rsidRDefault="0013237E" w:rsidP="002413EA">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13237E" w:rsidRPr="002413EA" w:rsidRDefault="0013237E" w:rsidP="002413E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3237E" w:rsidRPr="002413EA" w:rsidRDefault="0013237E" w:rsidP="002413EA">
      <w:pPr>
        <w:pBdr>
          <w:top w:val="nil"/>
          <w:left w:val="nil"/>
          <w:bottom w:val="nil"/>
          <w:right w:val="nil"/>
          <w:between w:val="nil"/>
        </w:pBdr>
        <w:rPr>
          <w:rFonts w:ascii="Palatino Linotype" w:eastAsia="Palatino Linotype" w:hAnsi="Palatino Linotype" w:cs="Palatino Linotype"/>
          <w:color w:val="000000" w:themeColor="text1"/>
        </w:rPr>
      </w:pPr>
    </w:p>
    <w:p w:rsidR="0013237E" w:rsidRPr="002413EA" w:rsidRDefault="0013237E" w:rsidP="002413E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3237E" w:rsidRPr="002413EA" w:rsidRDefault="0013237E" w:rsidP="002413EA">
      <w:pPr>
        <w:rPr>
          <w:rFonts w:ascii="Palatino Linotype" w:hAnsi="Palatino Linotype"/>
          <w:color w:val="000000" w:themeColor="text1"/>
        </w:rPr>
      </w:pPr>
    </w:p>
    <w:p w:rsidR="0013237E" w:rsidRPr="002413EA" w:rsidRDefault="0013237E" w:rsidP="002413EA">
      <w:pPr>
        <w:rPr>
          <w:rFonts w:ascii="Palatino Linotype" w:hAnsi="Palatino Linotype"/>
          <w:color w:val="000000" w:themeColor="text1"/>
        </w:rPr>
      </w:pPr>
    </w:p>
    <w:p w:rsidR="0013237E" w:rsidRPr="002413EA" w:rsidRDefault="0013237E" w:rsidP="002413EA">
      <w:pPr>
        <w:rPr>
          <w:rFonts w:ascii="Palatino Linotype" w:hAnsi="Palatino Linotype"/>
          <w:color w:val="000000" w:themeColor="text1"/>
        </w:rPr>
      </w:pPr>
    </w:p>
    <w:p w:rsidR="0013237E" w:rsidRPr="002413EA" w:rsidRDefault="0013237E" w:rsidP="002413EA">
      <w:pPr>
        <w:rPr>
          <w:rFonts w:ascii="Palatino Linotype" w:hAnsi="Palatino Linotype"/>
          <w:color w:val="000000" w:themeColor="text1"/>
        </w:rPr>
      </w:pPr>
    </w:p>
    <w:p w:rsidR="0013237E" w:rsidRPr="002413EA" w:rsidRDefault="0013237E" w:rsidP="002413EA">
      <w:pPr>
        <w:rPr>
          <w:rFonts w:ascii="Palatino Linotype" w:hAnsi="Palatino Linotype"/>
          <w:color w:val="000000" w:themeColor="text1"/>
        </w:rPr>
      </w:pPr>
    </w:p>
    <w:p w:rsidR="00DA4A31" w:rsidRPr="002413EA" w:rsidRDefault="00DA4A31" w:rsidP="002413EA">
      <w:pPr>
        <w:rPr>
          <w:rFonts w:ascii="Palatino Linotype" w:hAnsi="Palatino Linotype"/>
          <w:color w:val="000000" w:themeColor="text1"/>
        </w:rPr>
      </w:pPr>
    </w:p>
    <w:sectPr w:rsidR="00DA4A31" w:rsidRPr="002413EA" w:rsidSect="00F05CA8">
      <w:headerReference w:type="even" r:id="rId14"/>
      <w:headerReference w:type="default" r:id="rId15"/>
      <w:footerReference w:type="default" r:id="rId16"/>
      <w:headerReference w:type="first" r:id="rId17"/>
      <w:footerReference w:type="first" r:id="rId18"/>
      <w:pgSz w:w="12240" w:h="15840"/>
      <w:pgMar w:top="80" w:right="1041"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4890" w:rsidRDefault="00C04890" w:rsidP="0013237E">
      <w:r>
        <w:separator/>
      </w:r>
    </w:p>
  </w:endnote>
  <w:endnote w:type="continuationSeparator" w:id="0">
    <w:p w:rsidR="00C04890" w:rsidRDefault="00C04890" w:rsidP="00132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297" w:rsidRDefault="00097297">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FD374D">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FD374D">
      <w:rPr>
        <w:b/>
        <w:noProof/>
        <w:color w:val="000000"/>
      </w:rPr>
      <w:t>20</w:t>
    </w:r>
    <w:r>
      <w:rPr>
        <w:b/>
        <w:color w:val="000000"/>
      </w:rPr>
      <w:fldChar w:fldCharType="end"/>
    </w:r>
  </w:p>
  <w:p w:rsidR="00097297" w:rsidRDefault="00097297">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297" w:rsidRDefault="00097297">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FD374D">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FD374D">
      <w:rPr>
        <w:b/>
        <w:noProof/>
        <w:color w:val="000000"/>
      </w:rPr>
      <w:t>20</w:t>
    </w:r>
    <w:r>
      <w:rPr>
        <w:b/>
        <w:color w:val="000000"/>
      </w:rPr>
      <w:fldChar w:fldCharType="end"/>
    </w:r>
  </w:p>
  <w:p w:rsidR="00097297" w:rsidRDefault="00097297">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4890" w:rsidRDefault="00C04890" w:rsidP="0013237E">
      <w:r>
        <w:separator/>
      </w:r>
    </w:p>
  </w:footnote>
  <w:footnote w:type="continuationSeparator" w:id="0">
    <w:p w:rsidR="00C04890" w:rsidRDefault="00C04890" w:rsidP="0013237E">
      <w:r>
        <w:continuationSeparator/>
      </w:r>
    </w:p>
  </w:footnote>
  <w:footnote w:id="1">
    <w:p w:rsidR="00097297" w:rsidRDefault="00097297" w:rsidP="00006831">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150. Ley de Transparencia y Acceso a la Información Pública del Estado de México y Municipios.</w:t>
      </w:r>
    </w:p>
    <w:p w:rsidR="00097297" w:rsidRDefault="00097297" w:rsidP="00006831">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Artículo 151. Ibídem.</w:t>
      </w:r>
    </w:p>
  </w:footnote>
  <w:footnote w:id="2">
    <w:p w:rsidR="00097297" w:rsidRDefault="00097297" w:rsidP="00006831">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Ley de Transparencia y Acceso a la Información Pública del Estado de México y Municipios. Artículo 9. …</w:t>
      </w:r>
    </w:p>
    <w:p w:rsidR="00097297" w:rsidRDefault="00097297" w:rsidP="00006831">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II. Eficacia: Obligación del Instituto para tutelar, de manera efectiva, el derecho de acceso a la información;</w:t>
      </w:r>
    </w:p>
    <w:p w:rsidR="00097297" w:rsidRDefault="00097297" w:rsidP="00006831">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297" w:rsidRDefault="00C04890">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9776;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Layout w:type="fixed"/>
      <w:tblLook w:val="0400" w:firstRow="0" w:lastRow="0" w:firstColumn="0" w:lastColumn="0" w:noHBand="0" w:noVBand="1"/>
    </w:tblPr>
    <w:tblGrid>
      <w:gridCol w:w="2268"/>
      <w:gridCol w:w="7655"/>
    </w:tblGrid>
    <w:tr w:rsidR="00097297" w:rsidTr="002413EA">
      <w:trPr>
        <w:trHeight w:val="1435"/>
      </w:trPr>
      <w:tc>
        <w:tcPr>
          <w:tcW w:w="2268" w:type="dxa"/>
          <w:shd w:val="clear" w:color="auto" w:fill="auto"/>
        </w:tcPr>
        <w:p w:rsidR="00097297" w:rsidRDefault="00097297">
          <w:pPr>
            <w:tabs>
              <w:tab w:val="right" w:pos="4273"/>
            </w:tabs>
            <w:rPr>
              <w:rFonts w:ascii="Garamond" w:eastAsia="Garamond" w:hAnsi="Garamond" w:cs="Garamond"/>
              <w:sz w:val="16"/>
              <w:szCs w:val="16"/>
            </w:rPr>
          </w:pPr>
        </w:p>
      </w:tc>
      <w:tc>
        <w:tcPr>
          <w:tcW w:w="7655" w:type="dxa"/>
          <w:shd w:val="clear" w:color="auto" w:fill="auto"/>
        </w:tcPr>
        <w:tbl>
          <w:tblPr>
            <w:tblW w:w="7230" w:type="dxa"/>
            <w:tblInd w:w="1168" w:type="dxa"/>
            <w:tblLayout w:type="fixed"/>
            <w:tblLook w:val="0400" w:firstRow="0" w:lastRow="0" w:firstColumn="0" w:lastColumn="0" w:noHBand="0" w:noVBand="1"/>
          </w:tblPr>
          <w:tblGrid>
            <w:gridCol w:w="2694"/>
            <w:gridCol w:w="4536"/>
          </w:tblGrid>
          <w:tr w:rsidR="00097297" w:rsidTr="00F05CA8">
            <w:trPr>
              <w:trHeight w:val="150"/>
            </w:trPr>
            <w:tc>
              <w:tcPr>
                <w:tcW w:w="2694" w:type="dxa"/>
                <w:shd w:val="clear" w:color="auto" w:fill="auto"/>
              </w:tcPr>
              <w:p w:rsidR="00097297" w:rsidRPr="002413EA" w:rsidRDefault="00097297" w:rsidP="002413EA">
                <w:pPr>
                  <w:tabs>
                    <w:tab w:val="right" w:pos="8838"/>
                  </w:tabs>
                  <w:ind w:right="-105"/>
                  <w:rPr>
                    <w:rFonts w:ascii="Palatino Linotype" w:eastAsia="Palatino Linotype" w:hAnsi="Palatino Linotype" w:cs="Palatino Linotype"/>
                    <w:b/>
                    <w:color w:val="000000" w:themeColor="text1"/>
                  </w:rPr>
                </w:pPr>
                <w:r w:rsidRPr="002413EA">
                  <w:rPr>
                    <w:rFonts w:ascii="Palatino Linotype" w:eastAsia="Palatino Linotype" w:hAnsi="Palatino Linotype" w:cs="Palatino Linotype"/>
                    <w:b/>
                    <w:color w:val="000000" w:themeColor="text1"/>
                  </w:rPr>
                  <w:t>Recurso de Revisión:</w:t>
                </w:r>
              </w:p>
            </w:tc>
            <w:tc>
              <w:tcPr>
                <w:tcW w:w="4536" w:type="dxa"/>
                <w:shd w:val="clear" w:color="auto" w:fill="auto"/>
              </w:tcPr>
              <w:p w:rsidR="00097297" w:rsidRPr="002413EA" w:rsidRDefault="00097297" w:rsidP="002413EA">
                <w:pPr>
                  <w:tabs>
                    <w:tab w:val="right" w:pos="8838"/>
                  </w:tabs>
                  <w:ind w:left="-108" w:right="-107"/>
                  <w:jc w:val="both"/>
                  <w:rPr>
                    <w:rFonts w:ascii="Palatino Linotype" w:eastAsia="Palatino Linotype" w:hAnsi="Palatino Linotype" w:cs="Palatino Linotype"/>
                    <w:color w:val="000000" w:themeColor="text1"/>
                  </w:rPr>
                </w:pPr>
                <w:r w:rsidRPr="002413EA">
                  <w:rPr>
                    <w:rFonts w:ascii="Palatino Linotype" w:eastAsia="Palatino Linotype" w:hAnsi="Palatino Linotype" w:cs="Palatino Linotype"/>
                    <w:color w:val="000000" w:themeColor="text1"/>
                  </w:rPr>
                  <w:t>11953/INFOEM/IP/RR/2025</w:t>
                </w:r>
                <w:r w:rsidRPr="002413EA">
                  <w:rPr>
                    <w:rFonts w:ascii="Palatino Linotype" w:eastAsia="Palatino Linotype" w:hAnsi="Palatino Linotype" w:cs="Palatino Linotype"/>
                    <w:b/>
                    <w:color w:val="000000" w:themeColor="text1"/>
                  </w:rPr>
                  <w:t xml:space="preserve"> </w:t>
                </w:r>
              </w:p>
            </w:tc>
          </w:tr>
          <w:tr w:rsidR="00097297" w:rsidTr="00F05CA8">
            <w:trPr>
              <w:trHeight w:val="295"/>
            </w:trPr>
            <w:tc>
              <w:tcPr>
                <w:tcW w:w="2694" w:type="dxa"/>
                <w:shd w:val="clear" w:color="auto" w:fill="auto"/>
              </w:tcPr>
              <w:p w:rsidR="00097297" w:rsidRPr="002413EA" w:rsidRDefault="00097297" w:rsidP="002413EA">
                <w:pPr>
                  <w:tabs>
                    <w:tab w:val="right" w:pos="8838"/>
                  </w:tabs>
                  <w:ind w:right="-105"/>
                  <w:rPr>
                    <w:rFonts w:ascii="Palatino Linotype" w:eastAsia="Palatino Linotype" w:hAnsi="Palatino Linotype" w:cs="Palatino Linotype"/>
                    <w:b/>
                    <w:color w:val="000000" w:themeColor="text1"/>
                  </w:rPr>
                </w:pPr>
                <w:r w:rsidRPr="002413EA">
                  <w:rPr>
                    <w:rFonts w:ascii="Palatino Linotype" w:eastAsia="Palatino Linotype" w:hAnsi="Palatino Linotype" w:cs="Palatino Linotype"/>
                    <w:b/>
                    <w:color w:val="000000" w:themeColor="text1"/>
                  </w:rPr>
                  <w:t>Sujeto Obligado:</w:t>
                </w:r>
              </w:p>
            </w:tc>
            <w:tc>
              <w:tcPr>
                <w:tcW w:w="4536" w:type="dxa"/>
                <w:shd w:val="clear" w:color="auto" w:fill="auto"/>
              </w:tcPr>
              <w:p w:rsidR="00097297" w:rsidRPr="002413EA" w:rsidRDefault="00097297" w:rsidP="002413EA">
                <w:pPr>
                  <w:tabs>
                    <w:tab w:val="left" w:pos="2834"/>
                    <w:tab w:val="right" w:pos="8838"/>
                  </w:tabs>
                  <w:ind w:left="-108" w:right="-107"/>
                  <w:jc w:val="both"/>
                  <w:rPr>
                    <w:rFonts w:ascii="Palatino Linotype" w:eastAsia="Palatino Linotype" w:hAnsi="Palatino Linotype" w:cs="Palatino Linotype"/>
                    <w:color w:val="000000" w:themeColor="text1"/>
                  </w:rPr>
                </w:pPr>
                <w:r w:rsidRPr="002413EA">
                  <w:rPr>
                    <w:rFonts w:ascii="Palatino Linotype" w:eastAsia="Palatino Linotype" w:hAnsi="Palatino Linotype" w:cs="Palatino Linotype"/>
                    <w:color w:val="000000" w:themeColor="text1"/>
                  </w:rPr>
                  <w:t>Secretaría de Seguridad</w:t>
                </w:r>
              </w:p>
            </w:tc>
          </w:tr>
          <w:tr w:rsidR="00097297" w:rsidTr="00F05CA8">
            <w:trPr>
              <w:trHeight w:val="295"/>
            </w:trPr>
            <w:tc>
              <w:tcPr>
                <w:tcW w:w="2694" w:type="dxa"/>
                <w:shd w:val="clear" w:color="auto" w:fill="auto"/>
              </w:tcPr>
              <w:p w:rsidR="00097297" w:rsidRPr="002413EA" w:rsidRDefault="00097297" w:rsidP="002413EA">
                <w:pPr>
                  <w:tabs>
                    <w:tab w:val="right" w:pos="8838"/>
                  </w:tabs>
                  <w:ind w:right="-105"/>
                  <w:rPr>
                    <w:rFonts w:ascii="Palatino Linotype" w:eastAsia="Palatino Linotype" w:hAnsi="Palatino Linotype" w:cs="Palatino Linotype"/>
                    <w:b/>
                    <w:color w:val="000000" w:themeColor="text1"/>
                  </w:rPr>
                </w:pPr>
                <w:r w:rsidRPr="002413EA">
                  <w:rPr>
                    <w:rFonts w:ascii="Palatino Linotype" w:eastAsia="Palatino Linotype" w:hAnsi="Palatino Linotype" w:cs="Palatino Linotype"/>
                    <w:b/>
                    <w:color w:val="000000" w:themeColor="text1"/>
                  </w:rPr>
                  <w:t>Comisionado ponente:</w:t>
                </w:r>
              </w:p>
            </w:tc>
            <w:tc>
              <w:tcPr>
                <w:tcW w:w="4536" w:type="dxa"/>
                <w:shd w:val="clear" w:color="auto" w:fill="auto"/>
              </w:tcPr>
              <w:p w:rsidR="00097297" w:rsidRPr="002413EA" w:rsidRDefault="00097297" w:rsidP="002413EA">
                <w:pPr>
                  <w:tabs>
                    <w:tab w:val="right" w:pos="8838"/>
                  </w:tabs>
                  <w:ind w:left="-108" w:right="-107"/>
                  <w:jc w:val="both"/>
                  <w:rPr>
                    <w:rFonts w:ascii="Palatino Linotype" w:eastAsia="Palatino Linotype" w:hAnsi="Palatino Linotype" w:cs="Palatino Linotype"/>
                    <w:color w:val="000000" w:themeColor="text1"/>
                  </w:rPr>
                </w:pPr>
                <w:r w:rsidRPr="002413EA">
                  <w:rPr>
                    <w:rFonts w:ascii="Palatino Linotype" w:eastAsia="Palatino Linotype" w:hAnsi="Palatino Linotype" w:cs="Palatino Linotype"/>
                    <w:color w:val="000000" w:themeColor="text1"/>
                  </w:rPr>
                  <w:t>María del Rosario Mejía Ayala</w:t>
                </w:r>
              </w:p>
              <w:p w:rsidR="00097297" w:rsidRPr="002413EA" w:rsidRDefault="00097297" w:rsidP="002413EA">
                <w:pPr>
                  <w:tabs>
                    <w:tab w:val="right" w:pos="8838"/>
                  </w:tabs>
                  <w:ind w:left="-108" w:right="-107"/>
                  <w:jc w:val="both"/>
                  <w:rPr>
                    <w:rFonts w:ascii="Palatino Linotype" w:eastAsia="Palatino Linotype" w:hAnsi="Palatino Linotype" w:cs="Palatino Linotype"/>
                    <w:b/>
                    <w:color w:val="000000" w:themeColor="text1"/>
                  </w:rPr>
                </w:pPr>
              </w:p>
            </w:tc>
          </w:tr>
        </w:tbl>
        <w:p w:rsidR="00097297" w:rsidRDefault="00097297">
          <w:pPr>
            <w:tabs>
              <w:tab w:val="right" w:pos="8838"/>
            </w:tabs>
            <w:ind w:left="-28"/>
            <w:jc w:val="both"/>
            <w:rPr>
              <w:rFonts w:ascii="Arial" w:eastAsia="Arial" w:hAnsi="Arial" w:cs="Arial"/>
              <w:b/>
              <w:sz w:val="22"/>
              <w:szCs w:val="22"/>
            </w:rPr>
          </w:pPr>
        </w:p>
      </w:tc>
    </w:tr>
  </w:tbl>
  <w:p w:rsidR="00097297" w:rsidRDefault="00C04890">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68.8pt;margin-top:-120.5pt;width:589.8pt;height:768pt;z-index:-251658752;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20" w:type="dxa"/>
      <w:tblLayout w:type="fixed"/>
      <w:tblLook w:val="0400" w:firstRow="0" w:lastRow="0" w:firstColumn="0" w:lastColumn="0" w:noHBand="0" w:noVBand="1"/>
    </w:tblPr>
    <w:tblGrid>
      <w:gridCol w:w="2265"/>
      <w:gridCol w:w="7755"/>
    </w:tblGrid>
    <w:tr w:rsidR="00097297">
      <w:trPr>
        <w:trHeight w:val="1435"/>
      </w:trPr>
      <w:tc>
        <w:tcPr>
          <w:tcW w:w="2265" w:type="dxa"/>
          <w:shd w:val="clear" w:color="auto" w:fill="auto"/>
        </w:tcPr>
        <w:p w:rsidR="00097297" w:rsidRDefault="00097297">
          <w:pPr>
            <w:tabs>
              <w:tab w:val="right" w:pos="4273"/>
            </w:tabs>
            <w:rPr>
              <w:rFonts w:ascii="Garamond" w:eastAsia="Garamond" w:hAnsi="Garamond" w:cs="Garamond"/>
              <w:sz w:val="22"/>
              <w:szCs w:val="22"/>
            </w:rPr>
          </w:pPr>
        </w:p>
      </w:tc>
      <w:tc>
        <w:tcPr>
          <w:tcW w:w="7755" w:type="dxa"/>
          <w:shd w:val="clear" w:color="auto" w:fill="auto"/>
        </w:tcPr>
        <w:tbl>
          <w:tblPr>
            <w:tblW w:w="7514" w:type="dxa"/>
            <w:tblInd w:w="1455" w:type="dxa"/>
            <w:tblLayout w:type="fixed"/>
            <w:tblLook w:val="0400" w:firstRow="0" w:lastRow="0" w:firstColumn="0" w:lastColumn="0" w:noHBand="0" w:noVBand="1"/>
          </w:tblPr>
          <w:tblGrid>
            <w:gridCol w:w="2549"/>
            <w:gridCol w:w="4965"/>
          </w:tblGrid>
          <w:tr w:rsidR="002413EA" w:rsidRPr="002413EA" w:rsidTr="00F05CA8">
            <w:trPr>
              <w:trHeight w:val="144"/>
            </w:trPr>
            <w:tc>
              <w:tcPr>
                <w:tcW w:w="2549" w:type="dxa"/>
                <w:shd w:val="clear" w:color="auto" w:fill="auto"/>
              </w:tcPr>
              <w:p w:rsidR="00097297" w:rsidRPr="002413EA" w:rsidRDefault="00097297" w:rsidP="002413EA">
                <w:pPr>
                  <w:tabs>
                    <w:tab w:val="right" w:pos="8838"/>
                  </w:tabs>
                  <w:ind w:left="-264" w:right="-105" w:firstLine="195"/>
                  <w:rPr>
                    <w:rFonts w:ascii="Palatino Linotype" w:eastAsia="Palatino Linotype" w:hAnsi="Palatino Linotype" w:cs="Palatino Linotype"/>
                    <w:b/>
                    <w:color w:val="000000" w:themeColor="text1"/>
                  </w:rPr>
                </w:pPr>
                <w:r w:rsidRPr="002413EA">
                  <w:rPr>
                    <w:rFonts w:ascii="Palatino Linotype" w:eastAsia="Palatino Linotype" w:hAnsi="Palatino Linotype" w:cs="Palatino Linotype"/>
                    <w:b/>
                    <w:color w:val="000000" w:themeColor="text1"/>
                  </w:rPr>
                  <w:t>Recurso de Revisión:</w:t>
                </w:r>
              </w:p>
            </w:tc>
            <w:tc>
              <w:tcPr>
                <w:tcW w:w="4965" w:type="dxa"/>
                <w:shd w:val="clear" w:color="auto" w:fill="auto"/>
              </w:tcPr>
              <w:p w:rsidR="00097297" w:rsidRPr="002413EA" w:rsidRDefault="00097297" w:rsidP="002413EA">
                <w:pPr>
                  <w:tabs>
                    <w:tab w:val="right" w:pos="8838"/>
                  </w:tabs>
                  <w:ind w:left="-74"/>
                  <w:rPr>
                    <w:rFonts w:ascii="Palatino Linotype" w:eastAsia="Palatino Linotype" w:hAnsi="Palatino Linotype" w:cs="Palatino Linotype"/>
                    <w:color w:val="000000" w:themeColor="text1"/>
                  </w:rPr>
                </w:pPr>
                <w:r w:rsidRPr="002413EA">
                  <w:rPr>
                    <w:rFonts w:ascii="Palatino Linotype" w:eastAsia="Palatino Linotype" w:hAnsi="Palatino Linotype" w:cs="Palatino Linotype"/>
                    <w:color w:val="000000" w:themeColor="text1"/>
                  </w:rPr>
                  <w:t>11953/INFOEM/IP/RR/2025</w:t>
                </w:r>
              </w:p>
            </w:tc>
          </w:tr>
          <w:tr w:rsidR="002413EA" w:rsidRPr="002413EA" w:rsidTr="00F05CA8">
            <w:trPr>
              <w:trHeight w:val="144"/>
            </w:trPr>
            <w:tc>
              <w:tcPr>
                <w:tcW w:w="2549" w:type="dxa"/>
                <w:shd w:val="clear" w:color="auto" w:fill="auto"/>
              </w:tcPr>
              <w:p w:rsidR="00097297" w:rsidRPr="002413EA" w:rsidRDefault="00097297" w:rsidP="002413EA">
                <w:pPr>
                  <w:tabs>
                    <w:tab w:val="right" w:pos="8838"/>
                  </w:tabs>
                  <w:ind w:left="-74" w:right="-105"/>
                  <w:rPr>
                    <w:rFonts w:ascii="Palatino Linotype" w:eastAsia="Palatino Linotype" w:hAnsi="Palatino Linotype" w:cs="Palatino Linotype"/>
                    <w:b/>
                    <w:color w:val="000000" w:themeColor="text1"/>
                  </w:rPr>
                </w:pPr>
                <w:r w:rsidRPr="002413EA">
                  <w:rPr>
                    <w:rFonts w:ascii="Palatino Linotype" w:eastAsia="Palatino Linotype" w:hAnsi="Palatino Linotype" w:cs="Palatino Linotype"/>
                    <w:b/>
                    <w:color w:val="000000" w:themeColor="text1"/>
                  </w:rPr>
                  <w:t>Recurrente:</w:t>
                </w:r>
              </w:p>
            </w:tc>
            <w:tc>
              <w:tcPr>
                <w:tcW w:w="4965" w:type="dxa"/>
                <w:shd w:val="clear" w:color="auto" w:fill="auto"/>
              </w:tcPr>
              <w:p w:rsidR="00097297" w:rsidRPr="002413EA" w:rsidRDefault="00097297" w:rsidP="002413EA">
                <w:pPr>
                  <w:tabs>
                    <w:tab w:val="left" w:pos="3122"/>
                    <w:tab w:val="right" w:pos="8838"/>
                  </w:tabs>
                  <w:ind w:left="-74"/>
                  <w:rPr>
                    <w:rFonts w:ascii="Palatino Linotype" w:eastAsia="Palatino Linotype" w:hAnsi="Palatino Linotype" w:cs="Palatino Linotype"/>
                    <w:color w:val="000000" w:themeColor="text1"/>
                  </w:rPr>
                </w:pPr>
              </w:p>
            </w:tc>
          </w:tr>
          <w:tr w:rsidR="002413EA" w:rsidRPr="002413EA" w:rsidTr="00F05CA8">
            <w:trPr>
              <w:trHeight w:val="283"/>
            </w:trPr>
            <w:tc>
              <w:tcPr>
                <w:tcW w:w="2549" w:type="dxa"/>
                <w:shd w:val="clear" w:color="auto" w:fill="auto"/>
              </w:tcPr>
              <w:p w:rsidR="00097297" w:rsidRPr="002413EA" w:rsidRDefault="00097297" w:rsidP="002413EA">
                <w:pPr>
                  <w:tabs>
                    <w:tab w:val="right" w:pos="8838"/>
                  </w:tabs>
                  <w:ind w:left="-74" w:right="-105"/>
                  <w:rPr>
                    <w:rFonts w:ascii="Palatino Linotype" w:eastAsia="Palatino Linotype" w:hAnsi="Palatino Linotype" w:cs="Palatino Linotype"/>
                    <w:b/>
                    <w:color w:val="000000" w:themeColor="text1"/>
                  </w:rPr>
                </w:pPr>
                <w:r w:rsidRPr="002413EA">
                  <w:rPr>
                    <w:rFonts w:ascii="Palatino Linotype" w:eastAsia="Palatino Linotype" w:hAnsi="Palatino Linotype" w:cs="Palatino Linotype"/>
                    <w:b/>
                    <w:color w:val="000000" w:themeColor="text1"/>
                  </w:rPr>
                  <w:t>Sujeto Obligado:</w:t>
                </w:r>
              </w:p>
            </w:tc>
            <w:tc>
              <w:tcPr>
                <w:tcW w:w="4965" w:type="dxa"/>
                <w:shd w:val="clear" w:color="auto" w:fill="auto"/>
              </w:tcPr>
              <w:p w:rsidR="00097297" w:rsidRPr="002413EA" w:rsidRDefault="00097297" w:rsidP="002413EA">
                <w:pPr>
                  <w:tabs>
                    <w:tab w:val="left" w:pos="2834"/>
                    <w:tab w:val="right" w:pos="8838"/>
                  </w:tabs>
                  <w:ind w:left="-74"/>
                  <w:rPr>
                    <w:rFonts w:ascii="Palatino Linotype" w:eastAsia="Palatino Linotype" w:hAnsi="Palatino Linotype" w:cs="Palatino Linotype"/>
                    <w:color w:val="000000" w:themeColor="text1"/>
                  </w:rPr>
                </w:pPr>
                <w:r w:rsidRPr="002413EA">
                  <w:rPr>
                    <w:rFonts w:ascii="Palatino Linotype" w:eastAsia="Palatino Linotype" w:hAnsi="Palatino Linotype" w:cs="Palatino Linotype"/>
                    <w:color w:val="000000" w:themeColor="text1"/>
                  </w:rPr>
                  <w:t>Secretaría de Seguridad</w:t>
                </w:r>
              </w:p>
            </w:tc>
          </w:tr>
          <w:tr w:rsidR="002413EA" w:rsidRPr="002413EA" w:rsidTr="00F05CA8">
            <w:trPr>
              <w:trHeight w:val="283"/>
            </w:trPr>
            <w:tc>
              <w:tcPr>
                <w:tcW w:w="2549" w:type="dxa"/>
                <w:shd w:val="clear" w:color="auto" w:fill="auto"/>
              </w:tcPr>
              <w:p w:rsidR="00097297" w:rsidRPr="002413EA" w:rsidRDefault="00097297" w:rsidP="002413EA">
                <w:pPr>
                  <w:tabs>
                    <w:tab w:val="right" w:pos="8838"/>
                  </w:tabs>
                  <w:ind w:left="-74" w:right="-105"/>
                  <w:rPr>
                    <w:rFonts w:ascii="Palatino Linotype" w:eastAsia="Palatino Linotype" w:hAnsi="Palatino Linotype" w:cs="Palatino Linotype"/>
                    <w:b/>
                    <w:color w:val="000000" w:themeColor="text1"/>
                  </w:rPr>
                </w:pPr>
                <w:r w:rsidRPr="002413EA">
                  <w:rPr>
                    <w:rFonts w:ascii="Palatino Linotype" w:eastAsia="Palatino Linotype" w:hAnsi="Palatino Linotype" w:cs="Palatino Linotype"/>
                    <w:b/>
                    <w:color w:val="000000" w:themeColor="text1"/>
                  </w:rPr>
                  <w:t>Comisionado ponente:</w:t>
                </w:r>
              </w:p>
            </w:tc>
            <w:tc>
              <w:tcPr>
                <w:tcW w:w="4965" w:type="dxa"/>
                <w:shd w:val="clear" w:color="auto" w:fill="auto"/>
              </w:tcPr>
              <w:p w:rsidR="00097297" w:rsidRPr="002413EA" w:rsidRDefault="00097297" w:rsidP="002413EA">
                <w:pPr>
                  <w:tabs>
                    <w:tab w:val="right" w:pos="8838"/>
                  </w:tabs>
                  <w:ind w:left="-74"/>
                  <w:rPr>
                    <w:rFonts w:ascii="Palatino Linotype" w:eastAsia="Palatino Linotype" w:hAnsi="Palatino Linotype" w:cs="Palatino Linotype"/>
                    <w:color w:val="000000" w:themeColor="text1"/>
                  </w:rPr>
                </w:pPr>
                <w:r w:rsidRPr="002413EA">
                  <w:rPr>
                    <w:rFonts w:ascii="Palatino Linotype" w:eastAsia="Palatino Linotype" w:hAnsi="Palatino Linotype" w:cs="Palatino Linotype"/>
                    <w:color w:val="000000" w:themeColor="text1"/>
                  </w:rPr>
                  <w:t>María del Rosario Mejía Ayala</w:t>
                </w:r>
              </w:p>
              <w:p w:rsidR="00097297" w:rsidRPr="002413EA" w:rsidRDefault="00097297" w:rsidP="002413EA">
                <w:pPr>
                  <w:tabs>
                    <w:tab w:val="right" w:pos="8838"/>
                  </w:tabs>
                  <w:ind w:left="-74"/>
                  <w:rPr>
                    <w:rFonts w:ascii="Palatino Linotype" w:eastAsia="Palatino Linotype" w:hAnsi="Palatino Linotype" w:cs="Palatino Linotype"/>
                    <w:b/>
                    <w:color w:val="000000" w:themeColor="text1"/>
                  </w:rPr>
                </w:pPr>
              </w:p>
            </w:tc>
          </w:tr>
        </w:tbl>
        <w:p w:rsidR="00097297" w:rsidRDefault="00097297">
          <w:pPr>
            <w:tabs>
              <w:tab w:val="right" w:pos="8838"/>
            </w:tabs>
            <w:ind w:left="-28"/>
            <w:jc w:val="both"/>
            <w:rPr>
              <w:rFonts w:ascii="Arial" w:eastAsia="Arial" w:hAnsi="Arial" w:cs="Arial"/>
              <w:b/>
              <w:sz w:val="22"/>
              <w:szCs w:val="22"/>
            </w:rPr>
          </w:pPr>
        </w:p>
      </w:tc>
    </w:tr>
  </w:tbl>
  <w:p w:rsidR="00097297" w:rsidRDefault="00C04890">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68.8pt;margin-top:-117.6pt;width:589.8pt;height:768pt;z-index:-251657728;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92CF6"/>
    <w:multiLevelType w:val="multilevel"/>
    <w:tmpl w:val="3D0451A2"/>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20130EE"/>
    <w:multiLevelType w:val="multilevel"/>
    <w:tmpl w:val="D2ACB9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7D71BC1"/>
    <w:multiLevelType w:val="hybridMultilevel"/>
    <w:tmpl w:val="D8CA44C4"/>
    <w:lvl w:ilvl="0" w:tplc="08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6A7728A"/>
    <w:multiLevelType w:val="hybridMultilevel"/>
    <w:tmpl w:val="C20E1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9380245"/>
    <w:multiLevelType w:val="hybridMultilevel"/>
    <w:tmpl w:val="B4662AAA"/>
    <w:lvl w:ilvl="0" w:tplc="ACF6D696">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6B9F0C8D"/>
    <w:multiLevelType w:val="multilevel"/>
    <w:tmpl w:val="4E8E0B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DD95CB9"/>
    <w:multiLevelType w:val="multilevel"/>
    <w:tmpl w:val="DD72E26C"/>
    <w:lvl w:ilvl="0">
      <w:start w:val="1"/>
      <w:numFmt w:val="decimal"/>
      <w:lvlText w:val="%1."/>
      <w:lvlJc w:val="left"/>
      <w:pPr>
        <w:ind w:left="360" w:hanging="360"/>
      </w:pPr>
      <w:rPr>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6"/>
  </w:num>
  <w:num w:numId="3">
    <w:abstractNumId w:val="5"/>
  </w:num>
  <w:num w:numId="4">
    <w:abstractNumId w:val="4"/>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37E"/>
    <w:rsid w:val="00006831"/>
    <w:rsid w:val="000241B9"/>
    <w:rsid w:val="00097297"/>
    <w:rsid w:val="0013237E"/>
    <w:rsid w:val="002413EA"/>
    <w:rsid w:val="00721C06"/>
    <w:rsid w:val="007254EC"/>
    <w:rsid w:val="00864F74"/>
    <w:rsid w:val="00910213"/>
    <w:rsid w:val="00C04890"/>
    <w:rsid w:val="00C3277E"/>
    <w:rsid w:val="00C5370E"/>
    <w:rsid w:val="00D222F2"/>
    <w:rsid w:val="00D34441"/>
    <w:rsid w:val="00DA4A31"/>
    <w:rsid w:val="00E4559A"/>
    <w:rsid w:val="00F05CA8"/>
    <w:rsid w:val="00FD37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7B410074-B6E7-4FC2-B915-DAE2DAC48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37E"/>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13237E"/>
    <w:pPr>
      <w:keepNext/>
      <w:keepLines/>
      <w:spacing w:before="24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13237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3237E"/>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13237E"/>
    <w:rPr>
      <w:rFonts w:asciiTheme="majorHAnsi" w:eastAsiaTheme="majorEastAsia" w:hAnsiTheme="majorHAnsi" w:cstheme="majorBidi"/>
      <w:color w:val="2E74B5" w:themeColor="accent1" w:themeShade="BF"/>
      <w:sz w:val="26"/>
      <w:szCs w:val="26"/>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13237E"/>
    <w:rPr>
      <w:color w:val="0563C1" w:themeColor="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3237E"/>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3237E"/>
    <w:rPr>
      <w:rFonts w:ascii="Times New Roman" w:eastAsia="Times New Roman" w:hAnsi="Times New Roman" w:cs="Times New Roman"/>
      <w:sz w:val="24"/>
      <w:szCs w:val="24"/>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3237E"/>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3237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13237E"/>
    <w:rPr>
      <w:vertAlign w:val="superscript"/>
    </w:rPr>
  </w:style>
  <w:style w:type="paragraph" w:styleId="Piedepgina">
    <w:name w:val="footer"/>
    <w:basedOn w:val="Normal"/>
    <w:link w:val="PiedepginaCar"/>
    <w:uiPriority w:val="99"/>
    <w:unhideWhenUsed/>
    <w:rsid w:val="0013237E"/>
    <w:pPr>
      <w:tabs>
        <w:tab w:val="center" w:pos="4419"/>
        <w:tab w:val="right" w:pos="8838"/>
      </w:tabs>
    </w:pPr>
  </w:style>
  <w:style w:type="character" w:customStyle="1" w:styleId="PiedepginaCar">
    <w:name w:val="Pie de página Car"/>
    <w:basedOn w:val="Fuentedeprrafopredeter"/>
    <w:link w:val="Piedepgina"/>
    <w:uiPriority w:val="99"/>
    <w:rsid w:val="0013237E"/>
    <w:rPr>
      <w:rFonts w:ascii="Times New Roman" w:eastAsia="Times New Roman" w:hAnsi="Times New Roman" w:cs="Times New Roman"/>
      <w:sz w:val="24"/>
      <w:szCs w:val="24"/>
      <w:lang w:eastAsia="es-MX"/>
    </w:rPr>
  </w:style>
  <w:style w:type="paragraph" w:styleId="Sinespaciado">
    <w:name w:val="No Spacing"/>
    <w:aliases w:val="Francesa,INAI"/>
    <w:link w:val="SinespaciadoCar"/>
    <w:uiPriority w:val="1"/>
    <w:qFormat/>
    <w:rsid w:val="00006831"/>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006831"/>
    <w:rPr>
      <w:rFonts w:ascii="Times New Roman" w:eastAsia="Times New Roman" w:hAnsi="Times New Roman" w:cs="Times New Roman"/>
      <w:sz w:val="24"/>
      <w:szCs w:val="24"/>
      <w:lang w:eastAsia="es-ES"/>
    </w:rPr>
  </w:style>
  <w:style w:type="paragraph" w:styleId="Textosinformato">
    <w:name w:val="Plain Text"/>
    <w:basedOn w:val="Normal"/>
    <w:link w:val="TextosinformatoCar"/>
    <w:rsid w:val="00006831"/>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006831"/>
    <w:rPr>
      <w:rFonts w:ascii="Courier New" w:eastAsia="Times New Roman" w:hAnsi="Courier New"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236395">
      <w:bodyDiv w:val="1"/>
      <w:marLeft w:val="0"/>
      <w:marRight w:val="0"/>
      <w:marTop w:val="0"/>
      <w:marBottom w:val="0"/>
      <w:divBdr>
        <w:top w:val="none" w:sz="0" w:space="0" w:color="auto"/>
        <w:left w:val="none" w:sz="0" w:space="0" w:color="auto"/>
        <w:bottom w:val="none" w:sz="0" w:space="0" w:color="auto"/>
        <w:right w:val="none" w:sz="0" w:space="0" w:color="auto"/>
      </w:divBdr>
    </w:div>
    <w:div w:id="1253276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581796.page" TargetMode="Externa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saimex.org.mx/saimex/solicitud/downloadAttach/2573524.page" TargetMode="Externa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imex.org.mx/saimex/solicitud/downloadAttach/2610558.page"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saimex.org.mx/saimex/solicitud/downloadAttach/2601596.pag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pomex.org.mx/ipome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20</Pages>
  <Words>4322</Words>
  <Characters>23774</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28040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7</cp:revision>
  <cp:lastPrinted>2025-11-21T19:50:00Z</cp:lastPrinted>
  <dcterms:created xsi:type="dcterms:W3CDTF">2025-11-06T00:05:00Z</dcterms:created>
  <dcterms:modified xsi:type="dcterms:W3CDTF">2025-12-02T17:42:00Z</dcterms:modified>
</cp:coreProperties>
</file>