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77777777" w:rsidR="004C465F" w:rsidRDefault="004C465F" w:rsidP="00F731E4">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637C7B74" w:rsidR="00C4052B" w:rsidRPr="00BC47DA" w:rsidRDefault="00C4052B" w:rsidP="00F731E4">
          <w:pPr>
            <w:pStyle w:val="TtuloTDC"/>
            <w:spacing w:before="0" w:line="360" w:lineRule="auto"/>
            <w:jc w:val="center"/>
            <w:rPr>
              <w:rFonts w:ascii="Palatino Linotype" w:hAnsi="Palatino Linotype"/>
              <w:color w:val="auto"/>
              <w:sz w:val="22"/>
              <w:szCs w:val="22"/>
            </w:rPr>
          </w:pPr>
          <w:r w:rsidRPr="00BC47DA">
            <w:rPr>
              <w:rFonts w:ascii="Palatino Linotype" w:hAnsi="Palatino Linotype"/>
              <w:color w:val="auto"/>
              <w:sz w:val="22"/>
              <w:szCs w:val="22"/>
              <w:lang w:val="es-ES"/>
            </w:rPr>
            <w:t xml:space="preserve">RESOLUCIÓN DEL RECURSO DE REVISIÓN </w:t>
          </w:r>
          <w:r w:rsidR="00D649DE" w:rsidRPr="00D649DE">
            <w:rPr>
              <w:rFonts w:ascii="Palatino Linotype" w:hAnsi="Palatino Linotype"/>
              <w:color w:val="auto"/>
              <w:sz w:val="22"/>
              <w:szCs w:val="22"/>
            </w:rPr>
            <w:t>0</w:t>
          </w:r>
          <w:r w:rsidR="002F7E7D">
            <w:rPr>
              <w:rFonts w:ascii="Palatino Linotype" w:hAnsi="Palatino Linotype"/>
              <w:color w:val="auto"/>
              <w:sz w:val="22"/>
              <w:szCs w:val="22"/>
            </w:rPr>
            <w:t>6846</w:t>
          </w:r>
          <w:r w:rsidR="00D649DE" w:rsidRPr="00D649DE">
            <w:rPr>
              <w:rFonts w:ascii="Palatino Linotype" w:hAnsi="Palatino Linotype"/>
              <w:color w:val="auto"/>
              <w:sz w:val="22"/>
              <w:szCs w:val="22"/>
            </w:rPr>
            <w:t>/INFOEM/IP/RR/2025</w:t>
          </w:r>
        </w:p>
        <w:p w14:paraId="73933EFA" w14:textId="77777777" w:rsidR="00C4052B" w:rsidRPr="00BC47DA" w:rsidRDefault="00C4052B" w:rsidP="00F731E4">
          <w:pPr>
            <w:spacing w:after="0" w:line="360" w:lineRule="auto"/>
          </w:pPr>
        </w:p>
        <w:p w14:paraId="0CDCA164" w14:textId="40FB0E79" w:rsidR="00674B25" w:rsidRPr="00BC47DA" w:rsidRDefault="00C4052B" w:rsidP="00F731E4">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r w:rsidRPr="00BC47DA">
            <w:fldChar w:fldCharType="begin"/>
          </w:r>
          <w:r w:rsidRPr="00BC47DA">
            <w:instrText xml:space="preserve"> TOC \o "1-3" \h \z \u </w:instrText>
          </w:r>
          <w:r w:rsidRPr="00BC47DA">
            <w:fldChar w:fldCharType="separate"/>
          </w:r>
          <w:hyperlink w:anchor="_Toc199357584" w:history="1">
            <w:r w:rsidR="00674B25" w:rsidRPr="00BC47DA">
              <w:rPr>
                <w:rStyle w:val="Hipervnculo"/>
                <w:noProof/>
              </w:rPr>
              <w:t>A N T E C E D E N T E S</w:t>
            </w:r>
            <w:r w:rsidR="00674B25" w:rsidRPr="00BC47DA">
              <w:rPr>
                <w:noProof/>
                <w:webHidden/>
              </w:rPr>
              <w:tab/>
            </w:r>
            <w:r w:rsidR="00674B25" w:rsidRPr="00BC47DA">
              <w:rPr>
                <w:noProof/>
                <w:webHidden/>
              </w:rPr>
              <w:fldChar w:fldCharType="begin"/>
            </w:r>
            <w:r w:rsidR="00674B25" w:rsidRPr="00BC47DA">
              <w:rPr>
                <w:noProof/>
                <w:webHidden/>
              </w:rPr>
              <w:instrText xml:space="preserve"> PAGEREF _Toc199357584 \h </w:instrText>
            </w:r>
            <w:r w:rsidR="00674B25" w:rsidRPr="00BC47DA">
              <w:rPr>
                <w:noProof/>
                <w:webHidden/>
              </w:rPr>
            </w:r>
            <w:r w:rsidR="00674B25" w:rsidRPr="00BC47DA">
              <w:rPr>
                <w:noProof/>
                <w:webHidden/>
              </w:rPr>
              <w:fldChar w:fldCharType="separate"/>
            </w:r>
            <w:r w:rsidR="00CA0572">
              <w:rPr>
                <w:noProof/>
                <w:webHidden/>
              </w:rPr>
              <w:t>2</w:t>
            </w:r>
            <w:r w:rsidR="00674B25" w:rsidRPr="00BC47DA">
              <w:rPr>
                <w:noProof/>
                <w:webHidden/>
              </w:rPr>
              <w:fldChar w:fldCharType="end"/>
            </w:r>
          </w:hyperlink>
        </w:p>
        <w:p w14:paraId="07282D1B" w14:textId="5C681035" w:rsidR="00674B25" w:rsidRPr="00BC47DA" w:rsidRDefault="00674B25" w:rsidP="00F731E4">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85" w:history="1">
            <w:r w:rsidRPr="00BC47DA">
              <w:rPr>
                <w:rStyle w:val="Hipervnculo"/>
                <w:noProof/>
                <w:lang w:eastAsia="es-ES"/>
              </w:rPr>
              <w:t>I. Presentación de la solicitud de información</w:t>
            </w:r>
            <w:r w:rsidRPr="00BC47DA">
              <w:rPr>
                <w:noProof/>
                <w:webHidden/>
              </w:rPr>
              <w:tab/>
            </w:r>
            <w:r w:rsidRPr="00BC47DA">
              <w:rPr>
                <w:noProof/>
                <w:webHidden/>
              </w:rPr>
              <w:fldChar w:fldCharType="begin"/>
            </w:r>
            <w:r w:rsidRPr="00BC47DA">
              <w:rPr>
                <w:noProof/>
                <w:webHidden/>
              </w:rPr>
              <w:instrText xml:space="preserve"> PAGEREF _Toc199357585 \h </w:instrText>
            </w:r>
            <w:r w:rsidRPr="00BC47DA">
              <w:rPr>
                <w:noProof/>
                <w:webHidden/>
              </w:rPr>
            </w:r>
            <w:r w:rsidRPr="00BC47DA">
              <w:rPr>
                <w:noProof/>
                <w:webHidden/>
              </w:rPr>
              <w:fldChar w:fldCharType="separate"/>
            </w:r>
            <w:r w:rsidR="00CA0572">
              <w:rPr>
                <w:noProof/>
                <w:webHidden/>
              </w:rPr>
              <w:t>2</w:t>
            </w:r>
            <w:r w:rsidRPr="00BC47DA">
              <w:rPr>
                <w:noProof/>
                <w:webHidden/>
              </w:rPr>
              <w:fldChar w:fldCharType="end"/>
            </w:r>
          </w:hyperlink>
        </w:p>
        <w:p w14:paraId="2B572BFE" w14:textId="59CEB32F" w:rsidR="00674B25" w:rsidRPr="00BC47DA" w:rsidRDefault="00674B25" w:rsidP="00F731E4">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86" w:history="1">
            <w:r w:rsidRPr="00BC47DA">
              <w:rPr>
                <w:rStyle w:val="Hipervnculo"/>
                <w:rFonts w:cs="Tahoma"/>
                <w:noProof/>
              </w:rPr>
              <w:t>II.</w:t>
            </w:r>
            <w:r w:rsidRPr="00BC47DA">
              <w:rPr>
                <w:rStyle w:val="Hipervnculo"/>
                <w:noProof/>
              </w:rPr>
              <w:t xml:space="preserve"> Respuesta del Sujeto Obligado</w:t>
            </w:r>
            <w:r w:rsidRPr="00BC47DA">
              <w:rPr>
                <w:noProof/>
                <w:webHidden/>
              </w:rPr>
              <w:tab/>
            </w:r>
            <w:r w:rsidRPr="00BC47DA">
              <w:rPr>
                <w:noProof/>
                <w:webHidden/>
              </w:rPr>
              <w:fldChar w:fldCharType="begin"/>
            </w:r>
            <w:r w:rsidRPr="00BC47DA">
              <w:rPr>
                <w:noProof/>
                <w:webHidden/>
              </w:rPr>
              <w:instrText xml:space="preserve"> PAGEREF _Toc199357586 \h </w:instrText>
            </w:r>
            <w:r w:rsidRPr="00BC47DA">
              <w:rPr>
                <w:noProof/>
                <w:webHidden/>
              </w:rPr>
            </w:r>
            <w:r w:rsidRPr="00BC47DA">
              <w:rPr>
                <w:noProof/>
                <w:webHidden/>
              </w:rPr>
              <w:fldChar w:fldCharType="separate"/>
            </w:r>
            <w:r w:rsidR="00CA0572">
              <w:rPr>
                <w:noProof/>
                <w:webHidden/>
              </w:rPr>
              <w:t>3</w:t>
            </w:r>
            <w:r w:rsidRPr="00BC47DA">
              <w:rPr>
                <w:noProof/>
                <w:webHidden/>
              </w:rPr>
              <w:fldChar w:fldCharType="end"/>
            </w:r>
          </w:hyperlink>
        </w:p>
        <w:p w14:paraId="4A3F782E" w14:textId="0EBC0CCE" w:rsidR="00674B25" w:rsidRPr="00BC47DA" w:rsidRDefault="00674B25" w:rsidP="00F731E4">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87" w:history="1">
            <w:r w:rsidRPr="00BC47DA">
              <w:rPr>
                <w:rStyle w:val="Hipervnculo"/>
                <w:noProof/>
              </w:rPr>
              <w:t>III. Interposición del Recurso de Revisión</w:t>
            </w:r>
            <w:r w:rsidRPr="00BC47DA">
              <w:rPr>
                <w:noProof/>
                <w:webHidden/>
              </w:rPr>
              <w:tab/>
            </w:r>
            <w:r w:rsidRPr="00BC47DA">
              <w:rPr>
                <w:noProof/>
                <w:webHidden/>
              </w:rPr>
              <w:fldChar w:fldCharType="begin"/>
            </w:r>
            <w:r w:rsidRPr="00BC47DA">
              <w:rPr>
                <w:noProof/>
                <w:webHidden/>
              </w:rPr>
              <w:instrText xml:space="preserve"> PAGEREF _Toc199357587 \h </w:instrText>
            </w:r>
            <w:r w:rsidRPr="00BC47DA">
              <w:rPr>
                <w:noProof/>
                <w:webHidden/>
              </w:rPr>
            </w:r>
            <w:r w:rsidRPr="00BC47DA">
              <w:rPr>
                <w:noProof/>
                <w:webHidden/>
              </w:rPr>
              <w:fldChar w:fldCharType="separate"/>
            </w:r>
            <w:r w:rsidR="00CA0572">
              <w:rPr>
                <w:noProof/>
                <w:webHidden/>
              </w:rPr>
              <w:t>4</w:t>
            </w:r>
            <w:r w:rsidRPr="00BC47DA">
              <w:rPr>
                <w:noProof/>
                <w:webHidden/>
              </w:rPr>
              <w:fldChar w:fldCharType="end"/>
            </w:r>
          </w:hyperlink>
        </w:p>
        <w:p w14:paraId="7FF24C6E" w14:textId="4D67B5BB" w:rsidR="00674B25" w:rsidRPr="00BC47DA" w:rsidRDefault="00674B25" w:rsidP="00F731E4">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88" w:history="1">
            <w:r w:rsidRPr="00BC47DA">
              <w:rPr>
                <w:rStyle w:val="Hipervnculo"/>
                <w:noProof/>
              </w:rPr>
              <w:t>IV. Trámite del Recurso de Revisión ante este Instituto</w:t>
            </w:r>
            <w:r w:rsidRPr="00BC47DA">
              <w:rPr>
                <w:noProof/>
                <w:webHidden/>
              </w:rPr>
              <w:tab/>
            </w:r>
            <w:r w:rsidRPr="00BC47DA">
              <w:rPr>
                <w:noProof/>
                <w:webHidden/>
              </w:rPr>
              <w:fldChar w:fldCharType="begin"/>
            </w:r>
            <w:r w:rsidRPr="00BC47DA">
              <w:rPr>
                <w:noProof/>
                <w:webHidden/>
              </w:rPr>
              <w:instrText xml:space="preserve"> PAGEREF _Toc199357588 \h </w:instrText>
            </w:r>
            <w:r w:rsidRPr="00BC47DA">
              <w:rPr>
                <w:noProof/>
                <w:webHidden/>
              </w:rPr>
            </w:r>
            <w:r w:rsidRPr="00BC47DA">
              <w:rPr>
                <w:noProof/>
                <w:webHidden/>
              </w:rPr>
              <w:fldChar w:fldCharType="separate"/>
            </w:r>
            <w:r w:rsidR="00CA0572">
              <w:rPr>
                <w:noProof/>
                <w:webHidden/>
              </w:rPr>
              <w:t>4</w:t>
            </w:r>
            <w:r w:rsidRPr="00BC47DA">
              <w:rPr>
                <w:noProof/>
                <w:webHidden/>
              </w:rPr>
              <w:fldChar w:fldCharType="end"/>
            </w:r>
          </w:hyperlink>
        </w:p>
        <w:p w14:paraId="0D6B225B" w14:textId="6F33BAAE" w:rsidR="00674B25" w:rsidRPr="00BC47DA" w:rsidRDefault="00674B25" w:rsidP="00F731E4">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89" w:history="1">
            <w:r w:rsidRPr="00BC47DA">
              <w:rPr>
                <w:rStyle w:val="Hipervnculo"/>
                <w:noProof/>
              </w:rPr>
              <w:t>C O N S I D E R A N D O S</w:t>
            </w:r>
            <w:r w:rsidRPr="00BC47DA">
              <w:rPr>
                <w:noProof/>
                <w:webHidden/>
              </w:rPr>
              <w:tab/>
            </w:r>
            <w:r w:rsidRPr="00BC47DA">
              <w:rPr>
                <w:noProof/>
                <w:webHidden/>
              </w:rPr>
              <w:fldChar w:fldCharType="begin"/>
            </w:r>
            <w:r w:rsidRPr="00BC47DA">
              <w:rPr>
                <w:noProof/>
                <w:webHidden/>
              </w:rPr>
              <w:instrText xml:space="preserve"> PAGEREF _Toc199357589 \h </w:instrText>
            </w:r>
            <w:r w:rsidRPr="00BC47DA">
              <w:rPr>
                <w:noProof/>
                <w:webHidden/>
              </w:rPr>
            </w:r>
            <w:r w:rsidRPr="00BC47DA">
              <w:rPr>
                <w:noProof/>
                <w:webHidden/>
              </w:rPr>
              <w:fldChar w:fldCharType="separate"/>
            </w:r>
            <w:r w:rsidR="00CA0572">
              <w:rPr>
                <w:noProof/>
                <w:webHidden/>
              </w:rPr>
              <w:t>6</w:t>
            </w:r>
            <w:r w:rsidRPr="00BC47DA">
              <w:rPr>
                <w:noProof/>
                <w:webHidden/>
              </w:rPr>
              <w:fldChar w:fldCharType="end"/>
            </w:r>
          </w:hyperlink>
        </w:p>
        <w:p w14:paraId="6211C36A" w14:textId="0AF8A64B" w:rsidR="00674B25" w:rsidRPr="00BC47DA" w:rsidRDefault="00674B25" w:rsidP="00F731E4">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90" w:history="1">
            <w:r w:rsidRPr="00BC47DA">
              <w:rPr>
                <w:rStyle w:val="Hipervnculo"/>
                <w:noProof/>
              </w:rPr>
              <w:t>PRIMERO. Competencia</w:t>
            </w:r>
            <w:r w:rsidRPr="00BC47DA">
              <w:rPr>
                <w:noProof/>
                <w:webHidden/>
              </w:rPr>
              <w:tab/>
            </w:r>
            <w:r w:rsidRPr="00BC47DA">
              <w:rPr>
                <w:noProof/>
                <w:webHidden/>
              </w:rPr>
              <w:fldChar w:fldCharType="begin"/>
            </w:r>
            <w:r w:rsidRPr="00BC47DA">
              <w:rPr>
                <w:noProof/>
                <w:webHidden/>
              </w:rPr>
              <w:instrText xml:space="preserve"> PAGEREF _Toc199357590 \h </w:instrText>
            </w:r>
            <w:r w:rsidRPr="00BC47DA">
              <w:rPr>
                <w:noProof/>
                <w:webHidden/>
              </w:rPr>
            </w:r>
            <w:r w:rsidRPr="00BC47DA">
              <w:rPr>
                <w:noProof/>
                <w:webHidden/>
              </w:rPr>
              <w:fldChar w:fldCharType="separate"/>
            </w:r>
            <w:r w:rsidR="00CA0572">
              <w:rPr>
                <w:noProof/>
                <w:webHidden/>
              </w:rPr>
              <w:t>6</w:t>
            </w:r>
            <w:r w:rsidRPr="00BC47DA">
              <w:rPr>
                <w:noProof/>
                <w:webHidden/>
              </w:rPr>
              <w:fldChar w:fldCharType="end"/>
            </w:r>
          </w:hyperlink>
        </w:p>
        <w:p w14:paraId="5E82A8DA" w14:textId="0A6E2EF1" w:rsidR="00674B25" w:rsidRPr="00BC47DA" w:rsidRDefault="00674B25" w:rsidP="00F731E4">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91" w:history="1">
            <w:r w:rsidRPr="00BC47DA">
              <w:rPr>
                <w:rStyle w:val="Hipervnculo"/>
                <w:noProof/>
              </w:rPr>
              <w:t>SEGUNDO. Causales de improcedencia y sobreseimiento</w:t>
            </w:r>
            <w:r w:rsidRPr="00BC47DA">
              <w:rPr>
                <w:noProof/>
                <w:webHidden/>
              </w:rPr>
              <w:tab/>
            </w:r>
            <w:r w:rsidRPr="00BC47DA">
              <w:rPr>
                <w:noProof/>
                <w:webHidden/>
              </w:rPr>
              <w:fldChar w:fldCharType="begin"/>
            </w:r>
            <w:r w:rsidRPr="00BC47DA">
              <w:rPr>
                <w:noProof/>
                <w:webHidden/>
              </w:rPr>
              <w:instrText xml:space="preserve"> PAGEREF _Toc199357591 \h </w:instrText>
            </w:r>
            <w:r w:rsidRPr="00BC47DA">
              <w:rPr>
                <w:noProof/>
                <w:webHidden/>
              </w:rPr>
            </w:r>
            <w:r w:rsidRPr="00BC47DA">
              <w:rPr>
                <w:noProof/>
                <w:webHidden/>
              </w:rPr>
              <w:fldChar w:fldCharType="separate"/>
            </w:r>
            <w:r w:rsidR="00CA0572">
              <w:rPr>
                <w:noProof/>
                <w:webHidden/>
              </w:rPr>
              <w:t>7</w:t>
            </w:r>
            <w:r w:rsidRPr="00BC47DA">
              <w:rPr>
                <w:noProof/>
                <w:webHidden/>
              </w:rPr>
              <w:fldChar w:fldCharType="end"/>
            </w:r>
          </w:hyperlink>
        </w:p>
        <w:p w14:paraId="559489E3" w14:textId="1772BDEA" w:rsidR="00674B25" w:rsidRPr="00BC47DA" w:rsidRDefault="00674B25" w:rsidP="00F731E4">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92" w:history="1">
            <w:r w:rsidRPr="00BC47DA">
              <w:rPr>
                <w:rStyle w:val="Hipervnculo"/>
                <w:noProof/>
              </w:rPr>
              <w:t>TERCERO. Determinación de la Controversia</w:t>
            </w:r>
            <w:r w:rsidRPr="00BC47DA">
              <w:rPr>
                <w:noProof/>
                <w:webHidden/>
              </w:rPr>
              <w:tab/>
            </w:r>
            <w:r w:rsidRPr="00BC47DA">
              <w:rPr>
                <w:noProof/>
                <w:webHidden/>
              </w:rPr>
              <w:fldChar w:fldCharType="begin"/>
            </w:r>
            <w:r w:rsidRPr="00BC47DA">
              <w:rPr>
                <w:noProof/>
                <w:webHidden/>
              </w:rPr>
              <w:instrText xml:space="preserve"> PAGEREF _Toc199357592 \h </w:instrText>
            </w:r>
            <w:r w:rsidRPr="00BC47DA">
              <w:rPr>
                <w:noProof/>
                <w:webHidden/>
              </w:rPr>
            </w:r>
            <w:r w:rsidRPr="00BC47DA">
              <w:rPr>
                <w:noProof/>
                <w:webHidden/>
              </w:rPr>
              <w:fldChar w:fldCharType="separate"/>
            </w:r>
            <w:r w:rsidR="00CA0572">
              <w:rPr>
                <w:noProof/>
                <w:webHidden/>
              </w:rPr>
              <w:t>8</w:t>
            </w:r>
            <w:r w:rsidRPr="00BC47DA">
              <w:rPr>
                <w:noProof/>
                <w:webHidden/>
              </w:rPr>
              <w:fldChar w:fldCharType="end"/>
            </w:r>
          </w:hyperlink>
        </w:p>
        <w:p w14:paraId="3E7AA960" w14:textId="34D1F87A" w:rsidR="00674B25" w:rsidRPr="00BC47DA" w:rsidRDefault="00674B25" w:rsidP="00F731E4">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93" w:history="1">
            <w:r w:rsidRPr="00BC47DA">
              <w:rPr>
                <w:rStyle w:val="Hipervnculo"/>
                <w:noProof/>
              </w:rPr>
              <w:t>CUARTO. Marco normativo aplicable en materia de transparencia y acceso a la información pública</w:t>
            </w:r>
            <w:r w:rsidRPr="00BC47DA">
              <w:rPr>
                <w:noProof/>
                <w:webHidden/>
              </w:rPr>
              <w:tab/>
            </w:r>
            <w:r w:rsidRPr="00BC47DA">
              <w:rPr>
                <w:noProof/>
                <w:webHidden/>
              </w:rPr>
              <w:fldChar w:fldCharType="begin"/>
            </w:r>
            <w:r w:rsidRPr="00BC47DA">
              <w:rPr>
                <w:noProof/>
                <w:webHidden/>
              </w:rPr>
              <w:instrText xml:space="preserve"> PAGEREF _Toc199357593 \h </w:instrText>
            </w:r>
            <w:r w:rsidRPr="00BC47DA">
              <w:rPr>
                <w:noProof/>
                <w:webHidden/>
              </w:rPr>
            </w:r>
            <w:r w:rsidRPr="00BC47DA">
              <w:rPr>
                <w:noProof/>
                <w:webHidden/>
              </w:rPr>
              <w:fldChar w:fldCharType="separate"/>
            </w:r>
            <w:r w:rsidR="00CA0572">
              <w:rPr>
                <w:noProof/>
                <w:webHidden/>
              </w:rPr>
              <w:t>11</w:t>
            </w:r>
            <w:r w:rsidRPr="00BC47DA">
              <w:rPr>
                <w:noProof/>
                <w:webHidden/>
              </w:rPr>
              <w:fldChar w:fldCharType="end"/>
            </w:r>
          </w:hyperlink>
        </w:p>
        <w:p w14:paraId="02C08E89" w14:textId="1939CA61" w:rsidR="00674B25" w:rsidRPr="00BC47DA" w:rsidRDefault="00674B25" w:rsidP="00F731E4">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94" w:history="1">
            <w:r w:rsidRPr="00BC47DA">
              <w:rPr>
                <w:rStyle w:val="Hipervnculo"/>
                <w:noProof/>
              </w:rPr>
              <w:t>QUINTO. Estudio de Fondo</w:t>
            </w:r>
            <w:r w:rsidRPr="00BC47DA">
              <w:rPr>
                <w:noProof/>
                <w:webHidden/>
              </w:rPr>
              <w:tab/>
            </w:r>
            <w:r w:rsidRPr="00BC47DA">
              <w:rPr>
                <w:noProof/>
                <w:webHidden/>
              </w:rPr>
              <w:fldChar w:fldCharType="begin"/>
            </w:r>
            <w:r w:rsidRPr="00BC47DA">
              <w:rPr>
                <w:noProof/>
                <w:webHidden/>
              </w:rPr>
              <w:instrText xml:space="preserve"> PAGEREF _Toc199357594 \h </w:instrText>
            </w:r>
            <w:r w:rsidRPr="00BC47DA">
              <w:rPr>
                <w:noProof/>
                <w:webHidden/>
              </w:rPr>
            </w:r>
            <w:r w:rsidRPr="00BC47DA">
              <w:rPr>
                <w:noProof/>
                <w:webHidden/>
              </w:rPr>
              <w:fldChar w:fldCharType="separate"/>
            </w:r>
            <w:r w:rsidR="00CA0572">
              <w:rPr>
                <w:noProof/>
                <w:webHidden/>
              </w:rPr>
              <w:t>12</w:t>
            </w:r>
            <w:r w:rsidRPr="00BC47DA">
              <w:rPr>
                <w:noProof/>
                <w:webHidden/>
              </w:rPr>
              <w:fldChar w:fldCharType="end"/>
            </w:r>
          </w:hyperlink>
        </w:p>
        <w:p w14:paraId="3028DC43" w14:textId="304B0390" w:rsidR="00674B25" w:rsidRPr="00BC47DA" w:rsidRDefault="00674B25" w:rsidP="00F731E4">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95" w:history="1">
            <w:r w:rsidRPr="00BC47DA">
              <w:rPr>
                <w:rStyle w:val="Hipervnculo"/>
                <w:noProof/>
              </w:rPr>
              <w:t>SEXTO. Decisión</w:t>
            </w:r>
            <w:r w:rsidRPr="00BC47DA">
              <w:rPr>
                <w:noProof/>
                <w:webHidden/>
              </w:rPr>
              <w:tab/>
            </w:r>
            <w:r w:rsidRPr="00BC47DA">
              <w:rPr>
                <w:noProof/>
                <w:webHidden/>
              </w:rPr>
              <w:fldChar w:fldCharType="begin"/>
            </w:r>
            <w:r w:rsidRPr="00BC47DA">
              <w:rPr>
                <w:noProof/>
                <w:webHidden/>
              </w:rPr>
              <w:instrText xml:space="preserve"> PAGEREF _Toc199357595 \h </w:instrText>
            </w:r>
            <w:r w:rsidRPr="00BC47DA">
              <w:rPr>
                <w:noProof/>
                <w:webHidden/>
              </w:rPr>
            </w:r>
            <w:r w:rsidRPr="00BC47DA">
              <w:rPr>
                <w:noProof/>
                <w:webHidden/>
              </w:rPr>
              <w:fldChar w:fldCharType="separate"/>
            </w:r>
            <w:r w:rsidR="00CA0572">
              <w:rPr>
                <w:noProof/>
                <w:webHidden/>
              </w:rPr>
              <w:t>40</w:t>
            </w:r>
            <w:r w:rsidRPr="00BC47DA">
              <w:rPr>
                <w:noProof/>
                <w:webHidden/>
              </w:rPr>
              <w:fldChar w:fldCharType="end"/>
            </w:r>
          </w:hyperlink>
        </w:p>
        <w:p w14:paraId="2A96BC8D" w14:textId="1B8C4046" w:rsidR="00674B25" w:rsidRPr="00BC47DA" w:rsidRDefault="00674B25" w:rsidP="00F731E4">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199357596" w:history="1">
            <w:r w:rsidRPr="00BC47DA">
              <w:rPr>
                <w:rStyle w:val="Hipervnculo"/>
                <w:noProof/>
              </w:rPr>
              <w:t>R E S U E L V E</w:t>
            </w:r>
            <w:r w:rsidRPr="00BC47DA">
              <w:rPr>
                <w:noProof/>
                <w:webHidden/>
              </w:rPr>
              <w:tab/>
            </w:r>
            <w:r w:rsidRPr="00BC47DA">
              <w:rPr>
                <w:noProof/>
                <w:webHidden/>
              </w:rPr>
              <w:fldChar w:fldCharType="begin"/>
            </w:r>
            <w:r w:rsidRPr="00BC47DA">
              <w:rPr>
                <w:noProof/>
                <w:webHidden/>
              </w:rPr>
              <w:instrText xml:space="preserve"> PAGEREF _Toc199357596 \h </w:instrText>
            </w:r>
            <w:r w:rsidRPr="00BC47DA">
              <w:rPr>
                <w:noProof/>
                <w:webHidden/>
              </w:rPr>
            </w:r>
            <w:r w:rsidRPr="00BC47DA">
              <w:rPr>
                <w:noProof/>
                <w:webHidden/>
              </w:rPr>
              <w:fldChar w:fldCharType="separate"/>
            </w:r>
            <w:r w:rsidR="00CA0572">
              <w:rPr>
                <w:noProof/>
                <w:webHidden/>
              </w:rPr>
              <w:t>41</w:t>
            </w:r>
            <w:r w:rsidRPr="00BC47DA">
              <w:rPr>
                <w:noProof/>
                <w:webHidden/>
              </w:rPr>
              <w:fldChar w:fldCharType="end"/>
            </w:r>
          </w:hyperlink>
        </w:p>
        <w:p w14:paraId="5B9D6C11" w14:textId="73CC3F44" w:rsidR="00C4052B" w:rsidRPr="00BC47DA" w:rsidRDefault="00C4052B" w:rsidP="00F731E4">
          <w:pPr>
            <w:spacing w:after="0" w:line="360" w:lineRule="auto"/>
          </w:pPr>
          <w:r w:rsidRPr="00BC47DA">
            <w:rPr>
              <w:b/>
              <w:bCs/>
              <w:lang w:val="es-ES"/>
            </w:rPr>
            <w:fldChar w:fldCharType="end"/>
          </w:r>
        </w:p>
      </w:sdtContent>
    </w:sdt>
    <w:p w14:paraId="57481942" w14:textId="77777777" w:rsidR="00C4052B" w:rsidRPr="00BC47DA" w:rsidRDefault="00C4052B" w:rsidP="00F731E4">
      <w:pPr>
        <w:tabs>
          <w:tab w:val="left" w:pos="8931"/>
        </w:tabs>
        <w:spacing w:after="0" w:line="360" w:lineRule="auto"/>
      </w:pPr>
    </w:p>
    <w:p w14:paraId="411B5995" w14:textId="77777777" w:rsidR="00C4052B" w:rsidRPr="00BC47DA" w:rsidRDefault="00C4052B" w:rsidP="00F731E4">
      <w:pPr>
        <w:tabs>
          <w:tab w:val="left" w:pos="8931"/>
        </w:tabs>
        <w:spacing w:after="0" w:line="360" w:lineRule="auto"/>
      </w:pPr>
    </w:p>
    <w:p w14:paraId="6784625D" w14:textId="77777777" w:rsidR="00C4052B" w:rsidRPr="00BC47DA" w:rsidRDefault="00C4052B" w:rsidP="00F731E4">
      <w:pPr>
        <w:tabs>
          <w:tab w:val="left" w:pos="8931"/>
        </w:tabs>
        <w:spacing w:after="0" w:line="360" w:lineRule="auto"/>
      </w:pPr>
    </w:p>
    <w:p w14:paraId="140888DD" w14:textId="77777777" w:rsidR="00C4052B" w:rsidRPr="00BC47DA" w:rsidRDefault="00C4052B" w:rsidP="00F731E4">
      <w:pPr>
        <w:tabs>
          <w:tab w:val="left" w:pos="8931"/>
        </w:tabs>
        <w:spacing w:after="0" w:line="360" w:lineRule="auto"/>
      </w:pPr>
    </w:p>
    <w:p w14:paraId="46268890" w14:textId="77777777" w:rsidR="00C4052B" w:rsidRPr="00BC47DA" w:rsidRDefault="00C4052B" w:rsidP="00F731E4">
      <w:pPr>
        <w:tabs>
          <w:tab w:val="left" w:pos="8931"/>
        </w:tabs>
        <w:spacing w:after="0" w:line="360" w:lineRule="auto"/>
      </w:pPr>
    </w:p>
    <w:p w14:paraId="147CC638" w14:textId="77777777" w:rsidR="00C4052B" w:rsidRPr="00BC47DA" w:rsidRDefault="00C4052B" w:rsidP="00F731E4">
      <w:pPr>
        <w:tabs>
          <w:tab w:val="left" w:pos="8931"/>
        </w:tabs>
        <w:spacing w:after="0" w:line="360" w:lineRule="auto"/>
      </w:pPr>
    </w:p>
    <w:p w14:paraId="01BB5716" w14:textId="77777777" w:rsidR="00C4052B" w:rsidRPr="00BC47DA" w:rsidRDefault="00C4052B" w:rsidP="00F731E4">
      <w:pPr>
        <w:tabs>
          <w:tab w:val="left" w:pos="8931"/>
        </w:tabs>
        <w:spacing w:after="0" w:line="360" w:lineRule="auto"/>
      </w:pPr>
    </w:p>
    <w:p w14:paraId="7F38981D" w14:textId="77777777" w:rsidR="00A55E82" w:rsidRPr="00BC47DA" w:rsidRDefault="00A55E82" w:rsidP="00F731E4">
      <w:pPr>
        <w:tabs>
          <w:tab w:val="left" w:pos="8931"/>
        </w:tabs>
        <w:spacing w:after="0" w:line="360" w:lineRule="auto"/>
      </w:pPr>
    </w:p>
    <w:p w14:paraId="3FB7EB5E" w14:textId="3FBAE92D" w:rsidR="005C690F" w:rsidRPr="00BC47DA" w:rsidRDefault="007D6307" w:rsidP="00F731E4">
      <w:pPr>
        <w:tabs>
          <w:tab w:val="left" w:pos="8931"/>
        </w:tabs>
        <w:spacing w:after="0" w:line="360" w:lineRule="auto"/>
      </w:pPr>
      <w:r w:rsidRPr="00BC47DA">
        <w:lastRenderedPageBreak/>
        <w:t xml:space="preserve">Resolución del Pleno del Instituto de Transparencia, Acceso a la Información Pública y Protección de Datos Personales del Estado de México y Municipios, con domicilio en Metepec, Estado de México, de </w:t>
      </w:r>
      <w:r w:rsidR="00EF0C39" w:rsidRPr="00BC47DA">
        <w:t xml:space="preserve">fecha </w:t>
      </w:r>
      <w:r w:rsidR="002F7E7D">
        <w:t>veintidós de octubre</w:t>
      </w:r>
      <w:r w:rsidR="00CF7AA5" w:rsidRPr="00BC47DA">
        <w:t xml:space="preserve"> </w:t>
      </w:r>
      <w:r w:rsidR="00945CB8" w:rsidRPr="00BC47DA">
        <w:t>de dos mil veintic</w:t>
      </w:r>
      <w:r w:rsidR="00C11A18" w:rsidRPr="00BC47DA">
        <w:t>inco</w:t>
      </w:r>
      <w:r w:rsidRPr="00BC47DA">
        <w:t xml:space="preserve">. </w:t>
      </w:r>
    </w:p>
    <w:p w14:paraId="0DCD3B82" w14:textId="77777777" w:rsidR="005C690F" w:rsidRPr="00BC47DA" w:rsidRDefault="005C690F" w:rsidP="00F731E4">
      <w:pPr>
        <w:spacing w:after="0" w:line="360" w:lineRule="auto"/>
        <w:rPr>
          <w:b/>
        </w:rPr>
      </w:pPr>
    </w:p>
    <w:p w14:paraId="1570B336" w14:textId="388E70CC" w:rsidR="005C690F" w:rsidRPr="00BC47DA" w:rsidRDefault="007D6307" w:rsidP="00F731E4">
      <w:pPr>
        <w:spacing w:after="0" w:line="360" w:lineRule="auto"/>
        <w:rPr>
          <w:color w:val="0D0D0D"/>
        </w:rPr>
      </w:pPr>
      <w:r w:rsidRPr="00BC47DA">
        <w:rPr>
          <w:b/>
        </w:rPr>
        <w:t xml:space="preserve">VISTO </w:t>
      </w:r>
      <w:r w:rsidRPr="00BC47DA">
        <w:t xml:space="preserve">el expediente electrónico conformado con motivo del Recurso de Revisión </w:t>
      </w:r>
      <w:r w:rsidR="00D649DE" w:rsidRPr="00B74EA2">
        <w:rPr>
          <w:b/>
          <w:bCs/>
        </w:rPr>
        <w:t>0</w:t>
      </w:r>
      <w:r w:rsidR="002F7E7D" w:rsidRPr="00B74EA2">
        <w:rPr>
          <w:b/>
          <w:bCs/>
        </w:rPr>
        <w:t>6846</w:t>
      </w:r>
      <w:r w:rsidR="00D649DE" w:rsidRPr="00B74EA2">
        <w:rPr>
          <w:b/>
          <w:bCs/>
        </w:rPr>
        <w:t>/INFOEM/IP/RR/2025</w:t>
      </w:r>
      <w:r w:rsidRPr="00B74EA2">
        <w:rPr>
          <w:b/>
          <w:bCs/>
        </w:rPr>
        <w:t>,</w:t>
      </w:r>
      <w:r w:rsidRPr="00BC47DA">
        <w:rPr>
          <w:bCs/>
        </w:rPr>
        <w:t xml:space="preserve"> interpuesto </w:t>
      </w:r>
      <w:r w:rsidR="008415EA" w:rsidRPr="00BC47DA">
        <w:rPr>
          <w:bCs/>
        </w:rPr>
        <w:t>por</w:t>
      </w:r>
      <w:r w:rsidR="000D392E" w:rsidRPr="00BC47DA">
        <w:rPr>
          <w:bCs/>
        </w:rPr>
        <w:t xml:space="preserve"> </w:t>
      </w:r>
      <w:r w:rsidR="00D906B2" w:rsidRPr="00BC47DA">
        <w:rPr>
          <w:bCs/>
        </w:rPr>
        <w:t>la persona</w:t>
      </w:r>
      <w:r w:rsidRPr="00BC47DA">
        <w:rPr>
          <w:bCs/>
        </w:rPr>
        <w:t xml:space="preserve"> </w:t>
      </w:r>
      <w:r w:rsidRPr="00BC47DA">
        <w:rPr>
          <w:bCs/>
          <w:color w:val="0D0D0D"/>
        </w:rPr>
        <w:t>Recurrente o Particular, en contra de la respuesta del Sujeto Obligado</w:t>
      </w:r>
      <w:r w:rsidR="00705FBB" w:rsidRPr="00BC47DA">
        <w:rPr>
          <w:bCs/>
          <w:color w:val="0D0D0D"/>
        </w:rPr>
        <w:t xml:space="preserve">, </w:t>
      </w:r>
      <w:bookmarkStart w:id="0" w:name="_Hlk201838204"/>
      <w:r w:rsidR="00D649DE" w:rsidRPr="00B74EA2">
        <w:rPr>
          <w:b/>
          <w:bCs/>
          <w:color w:val="0D0D0D"/>
        </w:rPr>
        <w:t xml:space="preserve">Ayuntamiento de </w:t>
      </w:r>
      <w:r w:rsidR="002F7E7D" w:rsidRPr="00B74EA2">
        <w:rPr>
          <w:b/>
          <w:bCs/>
          <w:color w:val="0D0D0D"/>
        </w:rPr>
        <w:t>Ayapango</w:t>
      </w:r>
      <w:bookmarkEnd w:id="0"/>
      <w:r w:rsidR="00EF0C39" w:rsidRPr="00BC47DA">
        <w:rPr>
          <w:bCs/>
        </w:rPr>
        <w:t>,</w:t>
      </w:r>
      <w:r w:rsidRPr="00BC47DA">
        <w:rPr>
          <w:bCs/>
          <w:color w:val="0D0D0D"/>
        </w:rPr>
        <w:t xml:space="preserve"> </w:t>
      </w:r>
      <w:r w:rsidRPr="00BC47DA">
        <w:rPr>
          <w:color w:val="0D0D0D"/>
        </w:rPr>
        <w:t>a la solicitud de acceso a la información pública</w:t>
      </w:r>
      <w:r w:rsidR="00800641" w:rsidRPr="00BC47DA">
        <w:rPr>
          <w:color w:val="0D0D0D"/>
        </w:rPr>
        <w:t xml:space="preserve"> </w:t>
      </w:r>
      <w:r w:rsidR="002F7E7D">
        <w:t>00048</w:t>
      </w:r>
      <w:r w:rsidR="00D649DE" w:rsidRPr="00D649DE">
        <w:t>/</w:t>
      </w:r>
      <w:r w:rsidR="002F7E7D">
        <w:t>AYAPANGO</w:t>
      </w:r>
      <w:r w:rsidR="00D649DE" w:rsidRPr="00D649DE">
        <w:t>/IP/2025</w:t>
      </w:r>
      <w:r w:rsidRPr="00BC47DA">
        <w:rPr>
          <w:color w:val="000000"/>
        </w:rPr>
        <w:t xml:space="preserve">, </w:t>
      </w:r>
      <w:r w:rsidRPr="00BC47DA">
        <w:rPr>
          <w:color w:val="0D0D0D"/>
        </w:rPr>
        <w:t>se emite la presente Resolución, con base en los Antecedentes y Considerandos que se exponen a continuación:</w:t>
      </w:r>
    </w:p>
    <w:p w14:paraId="1F97CEF3" w14:textId="77777777" w:rsidR="005C690F" w:rsidRPr="00BC47DA" w:rsidRDefault="005C690F" w:rsidP="00F731E4">
      <w:pPr>
        <w:spacing w:after="0" w:line="360" w:lineRule="auto"/>
        <w:rPr>
          <w:b/>
        </w:rPr>
      </w:pPr>
    </w:p>
    <w:p w14:paraId="1DEAF9D3" w14:textId="24D35555" w:rsidR="005C690F" w:rsidRPr="00BC47DA" w:rsidRDefault="00CD6238" w:rsidP="00F731E4">
      <w:pPr>
        <w:pStyle w:val="Ttulo1"/>
        <w:spacing w:before="0" w:after="0" w:line="360" w:lineRule="auto"/>
        <w:jc w:val="center"/>
        <w:rPr>
          <w:sz w:val="22"/>
          <w:szCs w:val="22"/>
        </w:rPr>
      </w:pPr>
      <w:bookmarkStart w:id="1" w:name="_Toc199357584"/>
      <w:r w:rsidRPr="00BC47DA">
        <w:rPr>
          <w:sz w:val="22"/>
          <w:szCs w:val="22"/>
        </w:rPr>
        <w:t>A N T E C E D E N T E S</w:t>
      </w:r>
      <w:bookmarkEnd w:id="1"/>
    </w:p>
    <w:p w14:paraId="5A7EDA4F" w14:textId="77777777" w:rsidR="005C690F" w:rsidRPr="00BC47DA" w:rsidRDefault="005C690F" w:rsidP="00F731E4">
      <w:pPr>
        <w:spacing w:after="0" w:line="360" w:lineRule="auto"/>
        <w:jc w:val="center"/>
        <w:rPr>
          <w:b/>
        </w:rPr>
      </w:pPr>
    </w:p>
    <w:p w14:paraId="4930DAB9" w14:textId="701611A7" w:rsidR="00E22EA8" w:rsidRPr="00BC47DA" w:rsidRDefault="009215C2" w:rsidP="00F731E4">
      <w:pPr>
        <w:pStyle w:val="Ttulo2"/>
        <w:spacing w:before="0" w:after="0" w:line="360" w:lineRule="auto"/>
        <w:rPr>
          <w:sz w:val="22"/>
          <w:szCs w:val="22"/>
          <w:lang w:eastAsia="es-ES"/>
        </w:rPr>
      </w:pPr>
      <w:bookmarkStart w:id="2" w:name="_Toc199357585"/>
      <w:r w:rsidRPr="00BC47DA">
        <w:rPr>
          <w:sz w:val="22"/>
          <w:szCs w:val="22"/>
          <w:lang w:eastAsia="es-ES"/>
        </w:rPr>
        <w:t xml:space="preserve">I. </w:t>
      </w:r>
      <w:r w:rsidR="00E22EA8" w:rsidRPr="00BC47DA">
        <w:rPr>
          <w:sz w:val="22"/>
          <w:szCs w:val="22"/>
          <w:lang w:eastAsia="es-ES"/>
        </w:rPr>
        <w:t>Presentación de la solicitud de información</w:t>
      </w:r>
      <w:bookmarkEnd w:id="2"/>
    </w:p>
    <w:p w14:paraId="63A20E25" w14:textId="77777777" w:rsidR="009215C2" w:rsidRPr="00BC47DA" w:rsidRDefault="009215C2" w:rsidP="00F731E4">
      <w:pPr>
        <w:tabs>
          <w:tab w:val="left" w:pos="567"/>
        </w:tabs>
        <w:spacing w:after="0" w:line="360" w:lineRule="auto"/>
        <w:rPr>
          <w:rFonts w:eastAsia="Times New Roman" w:cs="Tahoma"/>
          <w:lang w:eastAsia="es-ES"/>
        </w:rPr>
      </w:pPr>
    </w:p>
    <w:p w14:paraId="301B8A4E" w14:textId="28D0E2AE" w:rsidR="00E22EA8" w:rsidRPr="00BC47DA" w:rsidRDefault="00D906B2" w:rsidP="00F731E4">
      <w:pPr>
        <w:spacing w:after="0" w:line="360" w:lineRule="auto"/>
        <w:rPr>
          <w:rFonts w:eastAsia="Calibri" w:cs="Tahoma"/>
        </w:rPr>
      </w:pPr>
      <w:r w:rsidRPr="00BC47DA">
        <w:rPr>
          <w:rFonts w:eastAsia="Times New Roman" w:cs="Tahoma"/>
          <w:lang w:eastAsia="es-ES"/>
        </w:rPr>
        <w:t>El</w:t>
      </w:r>
      <w:r w:rsidR="00D52EC1" w:rsidRPr="00BC47DA">
        <w:rPr>
          <w:rFonts w:eastAsia="Times New Roman" w:cs="Tahoma"/>
          <w:lang w:eastAsia="es-ES"/>
        </w:rPr>
        <w:t xml:space="preserve"> </w:t>
      </w:r>
      <w:r w:rsidR="002F7E7D">
        <w:rPr>
          <w:rFonts w:eastAsia="Times New Roman" w:cs="Tahoma"/>
          <w:lang w:eastAsia="es-ES"/>
        </w:rPr>
        <w:t>veinte</w:t>
      </w:r>
      <w:r w:rsidR="00D649DE">
        <w:rPr>
          <w:rFonts w:eastAsia="Times New Roman" w:cs="Tahoma"/>
          <w:lang w:eastAsia="es-ES"/>
        </w:rPr>
        <w:t xml:space="preserve"> de mayo</w:t>
      </w:r>
      <w:r w:rsidR="00A41789" w:rsidRPr="00BC47DA">
        <w:rPr>
          <w:rFonts w:eastAsia="Times New Roman" w:cs="Tahoma"/>
          <w:lang w:eastAsia="es-ES"/>
        </w:rPr>
        <w:t xml:space="preserve"> </w:t>
      </w:r>
      <w:r w:rsidR="008E0DC4" w:rsidRPr="00BC47DA">
        <w:rPr>
          <w:rFonts w:eastAsia="Times New Roman" w:cs="Tahoma"/>
          <w:lang w:eastAsia="es-ES"/>
        </w:rPr>
        <w:t>de dos mil veinticinco</w:t>
      </w:r>
      <w:r w:rsidR="00BF362A" w:rsidRPr="00BC47DA">
        <w:rPr>
          <w:rFonts w:eastAsia="Times New Roman" w:cs="Tahoma"/>
          <w:lang w:eastAsia="es-ES"/>
        </w:rPr>
        <w:t xml:space="preserve">, </w:t>
      </w:r>
      <w:r w:rsidR="00D649DE">
        <w:rPr>
          <w:rFonts w:eastAsia="Times New Roman" w:cs="Tahoma"/>
          <w:lang w:eastAsia="es-ES"/>
        </w:rPr>
        <w:t xml:space="preserve">la persona </w:t>
      </w:r>
      <w:r w:rsidR="00E22EA8" w:rsidRPr="00BC47DA">
        <w:rPr>
          <w:rFonts w:eastAsia="Times New Roman" w:cs="Tahoma"/>
          <w:lang w:eastAsia="es-ES"/>
        </w:rPr>
        <w:t>Particular presentó una solicitud de</w:t>
      </w:r>
      <w:r w:rsidR="00606553" w:rsidRPr="00BC47DA">
        <w:rPr>
          <w:rFonts w:eastAsia="Times New Roman" w:cs="Tahoma"/>
          <w:lang w:eastAsia="es-ES"/>
        </w:rPr>
        <w:t xml:space="preserve"> acceso a la información pública</w:t>
      </w:r>
      <w:r w:rsidR="00E22EA8" w:rsidRPr="00BC47DA">
        <w:rPr>
          <w:rFonts w:eastAsia="Times New Roman" w:cs="Tahoma"/>
          <w:lang w:eastAsia="es-ES"/>
        </w:rPr>
        <w:t>, a través del Sistema de Acceso a la Información Mexiquense (SAIMEX), ante</w:t>
      </w:r>
      <w:r w:rsidR="000B3C56" w:rsidRPr="00BC47DA">
        <w:rPr>
          <w:rFonts w:eastAsia="Times New Roman" w:cs="Tahoma"/>
          <w:lang w:eastAsia="es-ES"/>
        </w:rPr>
        <w:t xml:space="preserve"> </w:t>
      </w:r>
      <w:r w:rsidR="00DC175C" w:rsidRPr="00BC47DA">
        <w:rPr>
          <w:rFonts w:eastAsia="Times New Roman" w:cs="Tahoma"/>
          <w:lang w:eastAsia="es-ES"/>
        </w:rPr>
        <w:t>el</w:t>
      </w:r>
      <w:r w:rsidR="00DC175C" w:rsidRPr="00BC47DA">
        <w:t xml:space="preserve"> </w:t>
      </w:r>
      <w:r w:rsidR="00A479FA" w:rsidRPr="00BC47DA">
        <w:t>Ayuntamiento de</w:t>
      </w:r>
      <w:r w:rsidR="00BD235F" w:rsidRPr="00BC47DA">
        <w:t xml:space="preserve"> </w:t>
      </w:r>
      <w:r w:rsidR="002F7E7D">
        <w:t>Ayapango</w:t>
      </w:r>
      <w:r w:rsidR="008E0DC4" w:rsidRPr="00BC47DA">
        <w:rPr>
          <w:rFonts w:eastAsia="Calibri" w:cs="Times New Roman"/>
          <w:color w:val="000000"/>
        </w:rPr>
        <w:t>,</w:t>
      </w:r>
      <w:r w:rsidR="00DC175C" w:rsidRPr="00BC47DA">
        <w:rPr>
          <w:rFonts w:eastAsia="Calibri" w:cs="Tahoma"/>
        </w:rPr>
        <w:t xml:space="preserve"> </w:t>
      </w:r>
      <w:r w:rsidR="00E22EA8" w:rsidRPr="00BC47DA">
        <w:rPr>
          <w:rFonts w:eastAsia="Calibri" w:cs="Tahoma"/>
        </w:rPr>
        <w:t xml:space="preserve">en los siguientes términos: </w:t>
      </w:r>
    </w:p>
    <w:p w14:paraId="2B959865" w14:textId="77777777" w:rsidR="00E22EA8" w:rsidRPr="00BC47DA" w:rsidRDefault="00E22EA8" w:rsidP="00F731E4">
      <w:pPr>
        <w:spacing w:after="0" w:line="360" w:lineRule="auto"/>
        <w:rPr>
          <w:rFonts w:eastAsia="Calibri" w:cs="Tahoma"/>
        </w:rPr>
      </w:pPr>
    </w:p>
    <w:p w14:paraId="3FBC9D66" w14:textId="0F26255C" w:rsidR="00A41789" w:rsidRPr="00BC47DA" w:rsidRDefault="00125F26" w:rsidP="00F731E4">
      <w:pPr>
        <w:tabs>
          <w:tab w:val="left" w:pos="4667"/>
        </w:tabs>
        <w:spacing w:after="0" w:line="360" w:lineRule="auto"/>
        <w:ind w:left="567" w:right="567"/>
        <w:rPr>
          <w:rFonts w:eastAsia="Times New Roman" w:cs="Tahoma"/>
          <w:b/>
          <w:i/>
          <w:iCs/>
          <w:sz w:val="20"/>
          <w:szCs w:val="20"/>
          <w:lang w:eastAsia="es-ES"/>
        </w:rPr>
      </w:pPr>
      <w:r w:rsidRPr="00BC47DA">
        <w:rPr>
          <w:rFonts w:eastAsia="Times New Roman" w:cs="Tahoma"/>
          <w:b/>
          <w:i/>
          <w:iCs/>
          <w:sz w:val="20"/>
          <w:szCs w:val="20"/>
          <w:lang w:eastAsia="es-ES"/>
        </w:rPr>
        <w:t>“</w:t>
      </w:r>
      <w:r w:rsidR="00E22EA8" w:rsidRPr="00BC47DA">
        <w:rPr>
          <w:rFonts w:eastAsia="Times New Roman" w:cs="Tahoma"/>
          <w:b/>
          <w:i/>
          <w:iCs/>
          <w:sz w:val="20"/>
          <w:szCs w:val="20"/>
          <w:lang w:eastAsia="es-ES"/>
        </w:rPr>
        <w:t>DESCRIPCIÓN CLARA Y PRECI</w:t>
      </w:r>
      <w:r w:rsidR="0084143D" w:rsidRPr="00BC47DA">
        <w:rPr>
          <w:rFonts w:eastAsia="Times New Roman" w:cs="Tahoma"/>
          <w:b/>
          <w:i/>
          <w:iCs/>
          <w:sz w:val="20"/>
          <w:szCs w:val="20"/>
          <w:lang w:eastAsia="es-ES"/>
        </w:rPr>
        <w:t xml:space="preserve">SA DE LA </w:t>
      </w:r>
      <w:r w:rsidR="00A41789" w:rsidRPr="00BC47DA">
        <w:rPr>
          <w:rFonts w:eastAsia="Times New Roman" w:cs="Tahoma"/>
          <w:b/>
          <w:i/>
          <w:iCs/>
          <w:sz w:val="20"/>
          <w:szCs w:val="20"/>
          <w:lang w:eastAsia="es-ES"/>
        </w:rPr>
        <w:t>INFORMACIÓN SOLICITADA</w:t>
      </w:r>
    </w:p>
    <w:p w14:paraId="2C6BC213" w14:textId="708037F8" w:rsidR="00E22EA8" w:rsidRPr="00BC47DA" w:rsidRDefault="002F7E7D" w:rsidP="00F731E4">
      <w:pPr>
        <w:tabs>
          <w:tab w:val="left" w:pos="4667"/>
        </w:tabs>
        <w:spacing w:after="0" w:line="360" w:lineRule="auto"/>
        <w:ind w:left="567" w:right="567"/>
        <w:rPr>
          <w:rFonts w:eastAsia="Times New Roman" w:cs="Tahoma"/>
          <w:bCs/>
          <w:i/>
          <w:iCs/>
          <w:sz w:val="20"/>
          <w:szCs w:val="20"/>
          <w:lang w:eastAsia="es-ES"/>
        </w:rPr>
      </w:pPr>
      <w:r w:rsidRPr="002F7E7D">
        <w:rPr>
          <w:i/>
          <w:iCs/>
          <w:sz w:val="20"/>
          <w:szCs w:val="20"/>
        </w:rPr>
        <w:t>TODAS LAS NOMINAS GENERADAS EN EL MES DE ABRIL DE 2025 EN FORMATO EXCEL DEL MUNICIPIO DE AYAPANGO Y LOS RECIBOS TIMBRADOS (CFDI) GENERADOS DE LAS MISMAS NOMINAS, CONSIDERANDO LA DEL CABILDO, PERSONAL ADMINISTRATIVO, SINDICAL, DE POLICIAS, LISTA DE RAYA Y HONORARIOS ASIMILADOS</w:t>
      </w:r>
      <w:r w:rsidR="009215C2" w:rsidRPr="00BC47DA">
        <w:rPr>
          <w:i/>
          <w:iCs/>
          <w:sz w:val="20"/>
          <w:szCs w:val="20"/>
        </w:rPr>
        <w:t>”</w:t>
      </w:r>
      <w:r w:rsidR="007F2A05" w:rsidRPr="00BC47DA">
        <w:rPr>
          <w:i/>
          <w:iCs/>
          <w:sz w:val="20"/>
          <w:szCs w:val="20"/>
        </w:rPr>
        <w:t xml:space="preserve"> (Sic.)</w:t>
      </w:r>
      <w:r w:rsidR="00A479FA" w:rsidRPr="00BC47DA">
        <w:rPr>
          <w:i/>
          <w:iCs/>
          <w:sz w:val="20"/>
          <w:szCs w:val="20"/>
        </w:rPr>
        <w:t xml:space="preserve"> </w:t>
      </w:r>
    </w:p>
    <w:p w14:paraId="5E88ED39" w14:textId="77777777" w:rsidR="00BF362A" w:rsidRPr="00BC47DA" w:rsidRDefault="00BF362A" w:rsidP="00F731E4">
      <w:pPr>
        <w:tabs>
          <w:tab w:val="left" w:pos="4667"/>
        </w:tabs>
        <w:spacing w:after="0" w:line="360" w:lineRule="auto"/>
        <w:ind w:left="567" w:right="567"/>
        <w:rPr>
          <w:rFonts w:eastAsia="Times New Roman" w:cs="Tahoma"/>
          <w:b/>
          <w:bCs/>
          <w:i/>
          <w:iCs/>
          <w:sz w:val="20"/>
          <w:lang w:eastAsia="es-ES"/>
        </w:rPr>
      </w:pPr>
    </w:p>
    <w:p w14:paraId="6C0DE105" w14:textId="3FEE2196" w:rsidR="00E22EA8" w:rsidRPr="00BC47DA" w:rsidRDefault="00125F26" w:rsidP="00F731E4">
      <w:pPr>
        <w:tabs>
          <w:tab w:val="left" w:pos="4667"/>
        </w:tabs>
        <w:spacing w:after="0" w:line="360" w:lineRule="auto"/>
        <w:ind w:left="567" w:right="567"/>
        <w:rPr>
          <w:rFonts w:eastAsia="Times New Roman" w:cs="Tahoma"/>
          <w:b/>
          <w:bCs/>
          <w:i/>
          <w:iCs/>
          <w:sz w:val="20"/>
          <w:lang w:eastAsia="es-ES"/>
        </w:rPr>
      </w:pPr>
      <w:r w:rsidRPr="00BC47DA">
        <w:rPr>
          <w:rFonts w:eastAsia="Times New Roman" w:cs="Tahoma"/>
          <w:b/>
          <w:bCs/>
          <w:i/>
          <w:iCs/>
          <w:sz w:val="20"/>
          <w:lang w:eastAsia="es-ES"/>
        </w:rPr>
        <w:t>“</w:t>
      </w:r>
      <w:r w:rsidR="00E22EA8" w:rsidRPr="00BC47DA">
        <w:rPr>
          <w:rFonts w:eastAsia="Times New Roman" w:cs="Tahoma"/>
          <w:b/>
          <w:bCs/>
          <w:i/>
          <w:iCs/>
          <w:sz w:val="20"/>
          <w:lang w:eastAsia="es-ES"/>
        </w:rPr>
        <w:t>MODALIDAD DE ENTREGA</w:t>
      </w:r>
    </w:p>
    <w:p w14:paraId="0ECE13DD" w14:textId="4A758259" w:rsidR="002F5AA8" w:rsidRPr="00BC47DA" w:rsidRDefault="00BB6693" w:rsidP="00F731E4">
      <w:pPr>
        <w:spacing w:after="0" w:line="360" w:lineRule="auto"/>
        <w:ind w:left="567" w:right="567"/>
        <w:rPr>
          <w:rFonts w:eastAsia="Times New Roman" w:cs="Arial"/>
          <w:bCs/>
          <w:i/>
          <w:iCs/>
          <w:sz w:val="20"/>
          <w:lang w:eastAsia="es-ES"/>
        </w:rPr>
      </w:pPr>
      <w:r w:rsidRPr="00BC47DA">
        <w:rPr>
          <w:rFonts w:eastAsia="Times New Roman" w:cs="Arial"/>
          <w:bCs/>
          <w:i/>
          <w:iCs/>
          <w:sz w:val="20"/>
          <w:lang w:eastAsia="es-ES"/>
        </w:rPr>
        <w:t>A través del SAIMEX</w:t>
      </w:r>
      <w:r w:rsidR="00E22EA8" w:rsidRPr="00BC47DA">
        <w:rPr>
          <w:rFonts w:eastAsia="Times New Roman" w:cs="Arial"/>
          <w:bCs/>
          <w:i/>
          <w:iCs/>
          <w:sz w:val="20"/>
          <w:lang w:eastAsia="es-ES"/>
        </w:rPr>
        <w:t>”</w:t>
      </w:r>
    </w:p>
    <w:p w14:paraId="0A604AAC" w14:textId="208AD018" w:rsidR="00E22EA8" w:rsidRPr="00BC47DA" w:rsidRDefault="000B3C56" w:rsidP="00F731E4">
      <w:pPr>
        <w:pStyle w:val="Ttulo2"/>
        <w:spacing w:before="0" w:after="0" w:line="360" w:lineRule="auto"/>
        <w:rPr>
          <w:sz w:val="22"/>
          <w:szCs w:val="22"/>
        </w:rPr>
      </w:pPr>
      <w:bookmarkStart w:id="3" w:name="_Toc199357586"/>
      <w:r w:rsidRPr="00BC47DA">
        <w:rPr>
          <w:rFonts w:cs="Tahoma"/>
          <w:sz w:val="22"/>
          <w:szCs w:val="22"/>
        </w:rPr>
        <w:lastRenderedPageBreak/>
        <w:t>I</w:t>
      </w:r>
      <w:r w:rsidR="00E22EA8" w:rsidRPr="00BC47DA">
        <w:rPr>
          <w:rFonts w:cs="Tahoma"/>
          <w:sz w:val="22"/>
          <w:szCs w:val="22"/>
        </w:rPr>
        <w:t>I.</w:t>
      </w:r>
      <w:r w:rsidR="00E22EA8" w:rsidRPr="00BC47DA">
        <w:rPr>
          <w:sz w:val="22"/>
          <w:szCs w:val="22"/>
        </w:rPr>
        <w:t xml:space="preserve"> Respuesta del Sujeto Obligado</w:t>
      </w:r>
      <w:bookmarkEnd w:id="3"/>
    </w:p>
    <w:p w14:paraId="10CE94A9" w14:textId="77777777" w:rsidR="00C06004" w:rsidRPr="00BC47DA" w:rsidRDefault="00C06004" w:rsidP="00F731E4">
      <w:pPr>
        <w:autoSpaceDE w:val="0"/>
        <w:autoSpaceDN w:val="0"/>
        <w:adjustRightInd w:val="0"/>
        <w:spacing w:after="0" w:line="360" w:lineRule="auto"/>
        <w:rPr>
          <w:b/>
          <w:bCs/>
        </w:rPr>
      </w:pPr>
    </w:p>
    <w:p w14:paraId="273A8D7A" w14:textId="101BC9BC" w:rsidR="00BD235F" w:rsidRPr="00BC47DA" w:rsidRDefault="00011477" w:rsidP="00F731E4">
      <w:pPr>
        <w:spacing w:after="0" w:line="360" w:lineRule="auto"/>
      </w:pPr>
      <w:r w:rsidRPr="00BC47DA">
        <w:t xml:space="preserve">El </w:t>
      </w:r>
      <w:r w:rsidR="002F7E7D">
        <w:t>diez de junio</w:t>
      </w:r>
      <w:r w:rsidR="00CD4DE8" w:rsidRPr="00BC47DA">
        <w:t xml:space="preserve"> de dos mil veinticinco</w:t>
      </w:r>
      <w:r w:rsidR="00E22EA8" w:rsidRPr="00BC47DA">
        <w:t>, el Sujeto Obligado notificó, a través del Sistema de Acceso a la Información Mexiquense (SAIMEX), la respuesta a la solicitud de acceso a la información públ</w:t>
      </w:r>
      <w:r w:rsidR="006F4C3A" w:rsidRPr="00BC47DA">
        <w:t xml:space="preserve">ica, a </w:t>
      </w:r>
      <w:r w:rsidR="002F429F" w:rsidRPr="00BC47DA">
        <w:t>través de</w:t>
      </w:r>
      <w:r w:rsidR="00BD235F" w:rsidRPr="00BC47DA">
        <w:t xml:space="preserve"> los documentos siguientes:</w:t>
      </w:r>
    </w:p>
    <w:p w14:paraId="6C524F0B" w14:textId="77777777" w:rsidR="00BD235F" w:rsidRPr="00BC47DA" w:rsidRDefault="00BD235F" w:rsidP="00F731E4">
      <w:pPr>
        <w:spacing w:after="0" w:line="360" w:lineRule="auto"/>
      </w:pPr>
    </w:p>
    <w:p w14:paraId="5B6E68C2" w14:textId="09C03E30" w:rsidR="00BD235F" w:rsidRPr="00BC47DA" w:rsidRDefault="00BD235F" w:rsidP="00F731E4">
      <w:pPr>
        <w:spacing w:after="0" w:line="360" w:lineRule="auto"/>
      </w:pPr>
      <w:r w:rsidRPr="00BC47DA">
        <w:t>i</w:t>
      </w:r>
      <w:r w:rsidR="00F42D17">
        <w:t>)</w:t>
      </w:r>
      <w:r w:rsidRPr="00BC47DA">
        <w:t xml:space="preserve"> </w:t>
      </w:r>
      <w:r w:rsidR="0015601C" w:rsidRPr="00BC47DA">
        <w:t xml:space="preserve">Oficio número </w:t>
      </w:r>
      <w:r w:rsidR="002F7E7D">
        <w:t>AYA/RH/00132/2025</w:t>
      </w:r>
      <w:r w:rsidR="0015601C" w:rsidRPr="00BC47DA">
        <w:t xml:space="preserve">, del </w:t>
      </w:r>
      <w:r w:rsidR="002F7E7D">
        <w:t>veintiocho</w:t>
      </w:r>
      <w:r w:rsidR="00F42D17">
        <w:t xml:space="preserve"> de mayo </w:t>
      </w:r>
      <w:r w:rsidR="0015601C" w:rsidRPr="00BC47DA">
        <w:t xml:space="preserve">de dos mil veinticinco, suscrito por </w:t>
      </w:r>
      <w:r w:rsidR="002F7E7D">
        <w:t>la Coordinadora de Recursos Humanos</w:t>
      </w:r>
      <w:r w:rsidR="0015601C" w:rsidRPr="00BC47DA">
        <w:t xml:space="preserve"> y dirigido </w:t>
      </w:r>
      <w:r w:rsidR="002F7E7D">
        <w:t>al Coordinador de Información Pública</w:t>
      </w:r>
      <w:r w:rsidR="0015601C" w:rsidRPr="00BC47DA">
        <w:t>, por medio del cual mencionó lo siguiente:</w:t>
      </w:r>
    </w:p>
    <w:p w14:paraId="6AB5DFBC" w14:textId="77777777" w:rsidR="0015601C" w:rsidRPr="00BC47DA" w:rsidRDefault="0015601C" w:rsidP="00F731E4">
      <w:pPr>
        <w:spacing w:after="0" w:line="360" w:lineRule="auto"/>
      </w:pPr>
    </w:p>
    <w:p w14:paraId="444AB0F1" w14:textId="65688B0D" w:rsidR="0015601C" w:rsidRPr="00BC47DA" w:rsidRDefault="0015601C" w:rsidP="00F731E4">
      <w:pPr>
        <w:spacing w:after="0" w:line="360" w:lineRule="auto"/>
        <w:ind w:left="567" w:right="567"/>
        <w:rPr>
          <w:i/>
          <w:iCs/>
          <w:sz w:val="20"/>
          <w:szCs w:val="20"/>
        </w:rPr>
      </w:pPr>
      <w:r w:rsidRPr="00BC47DA">
        <w:rPr>
          <w:i/>
          <w:iCs/>
          <w:sz w:val="20"/>
          <w:szCs w:val="20"/>
        </w:rPr>
        <w:t>“…</w:t>
      </w:r>
    </w:p>
    <w:p w14:paraId="28DD08E0" w14:textId="77777777" w:rsidR="002F7E7D" w:rsidRDefault="002F7E7D" w:rsidP="00F731E4">
      <w:pPr>
        <w:spacing w:after="0" w:line="360" w:lineRule="auto"/>
        <w:ind w:left="567" w:right="567"/>
        <w:rPr>
          <w:i/>
          <w:iCs/>
          <w:sz w:val="20"/>
          <w:szCs w:val="20"/>
        </w:rPr>
      </w:pPr>
      <w:r w:rsidRPr="002F7E7D">
        <w:rPr>
          <w:i/>
          <w:iCs/>
          <w:sz w:val="20"/>
          <w:szCs w:val="20"/>
        </w:rPr>
        <w:t xml:space="preserve">En relación a la solicitud, se anexa en Excel nomina correspondiente al mes de abril del año 2025 así mismo le solicito, que someta al Comité de Transparencia de este sujeto obligado, de conformidad a lo establecido en la LEY DE TRANSPARENCIA Y ACCESO A LA INFORMACIÓN PÚBLICA DEL ESTADO DE MÉXICO Y MUNICIPIOS en su artículo 140 fracción I, la clasificación de información como reservada de los nombres, de los oficiales de Seguridad Pública (operativos) y someter a su consideración, aprobación y </w:t>
      </w:r>
      <w:proofErr w:type="spellStart"/>
      <w:r w:rsidRPr="002F7E7D">
        <w:rPr>
          <w:i/>
          <w:iCs/>
          <w:sz w:val="20"/>
          <w:szCs w:val="20"/>
        </w:rPr>
        <w:t>supresion</w:t>
      </w:r>
      <w:proofErr w:type="spellEnd"/>
      <w:r w:rsidRPr="002F7E7D">
        <w:rPr>
          <w:i/>
          <w:iCs/>
          <w:sz w:val="20"/>
          <w:szCs w:val="20"/>
        </w:rPr>
        <w:t xml:space="preserve"> de datos personales para la entrega de versión pública de la nómina del mes de abril de 2025, tal como es; RFC, CURP, CLAVE DE ISSEMYM, ISR, DEDUCCIONES PERSONALES, CADENA Y SELLOS DIGITALES, CODIGO QR, FOLIOS FISCALES Y NUMERO DE EMPLEADO, así mismo de conformidad a la ley citada en su artículo 143 fracción I, la clasificación de información como confidencial de los datos personales de los servidores públicos. </w:t>
      </w:r>
    </w:p>
    <w:p w14:paraId="17678346" w14:textId="77777777" w:rsidR="002F7E7D" w:rsidRDefault="002F7E7D" w:rsidP="00F731E4">
      <w:pPr>
        <w:spacing w:after="0" w:line="360" w:lineRule="auto"/>
        <w:ind w:left="567" w:right="567"/>
        <w:rPr>
          <w:i/>
          <w:iCs/>
          <w:sz w:val="20"/>
          <w:szCs w:val="20"/>
        </w:rPr>
      </w:pPr>
    </w:p>
    <w:p w14:paraId="6C45AD4F" w14:textId="42AA395D" w:rsidR="002F7E7D" w:rsidRDefault="002F7E7D" w:rsidP="00F731E4">
      <w:pPr>
        <w:spacing w:after="0" w:line="360" w:lineRule="auto"/>
        <w:ind w:left="567" w:right="567"/>
        <w:rPr>
          <w:i/>
          <w:iCs/>
          <w:sz w:val="20"/>
          <w:szCs w:val="20"/>
        </w:rPr>
      </w:pPr>
      <w:r w:rsidRPr="002F7E7D">
        <w:rPr>
          <w:i/>
          <w:iCs/>
          <w:sz w:val="20"/>
          <w:szCs w:val="20"/>
        </w:rPr>
        <w:t>Anexo a este oficio prueba de daño y cuadro de clasificación para la aprobación de los mismos.</w:t>
      </w:r>
    </w:p>
    <w:p w14:paraId="1E73986F" w14:textId="7CF55EE0" w:rsidR="0015601C" w:rsidRPr="00BC47DA" w:rsidRDefault="00F42D17" w:rsidP="00F731E4">
      <w:pPr>
        <w:spacing w:after="0" w:line="360" w:lineRule="auto"/>
        <w:ind w:left="567" w:right="567"/>
        <w:rPr>
          <w:i/>
          <w:iCs/>
          <w:sz w:val="20"/>
          <w:szCs w:val="20"/>
        </w:rPr>
      </w:pPr>
      <w:r>
        <w:rPr>
          <w:i/>
          <w:iCs/>
          <w:sz w:val="20"/>
          <w:szCs w:val="20"/>
        </w:rPr>
        <w:t>…</w:t>
      </w:r>
      <w:r w:rsidR="0015601C" w:rsidRPr="00BC47DA">
        <w:rPr>
          <w:i/>
          <w:iCs/>
          <w:sz w:val="20"/>
          <w:szCs w:val="20"/>
        </w:rPr>
        <w:t>”</w:t>
      </w:r>
    </w:p>
    <w:p w14:paraId="30D0CA3C" w14:textId="42C03797" w:rsidR="00B204DD" w:rsidRDefault="00B204DD" w:rsidP="00F731E4">
      <w:pPr>
        <w:spacing w:after="0" w:line="360" w:lineRule="auto"/>
      </w:pPr>
    </w:p>
    <w:p w14:paraId="14AD2AD9" w14:textId="1321F083" w:rsidR="002F7E7D" w:rsidRDefault="002F7E7D" w:rsidP="00F731E4">
      <w:pPr>
        <w:spacing w:after="0" w:line="360" w:lineRule="auto"/>
      </w:pPr>
      <w:r>
        <w:lastRenderedPageBreak/>
        <w:t>ii) Acta de la Novena Sesión Extraordinaria del Comité de Información Pública donde se aprueba la clasificación de los Comprobantes Fiscales Digitales por Internet, del mes de abril de dos mil veinticinco.</w:t>
      </w:r>
    </w:p>
    <w:p w14:paraId="70B163C6" w14:textId="77777777" w:rsidR="002F7E7D" w:rsidRDefault="002F7E7D" w:rsidP="00F731E4">
      <w:pPr>
        <w:spacing w:after="0" w:line="360" w:lineRule="auto"/>
      </w:pPr>
    </w:p>
    <w:p w14:paraId="1E1919DC" w14:textId="2B249EA6" w:rsidR="002F7E7D" w:rsidRPr="00BC47DA" w:rsidRDefault="002F7E7D" w:rsidP="00F731E4">
      <w:pPr>
        <w:spacing w:after="0" w:line="360" w:lineRule="auto"/>
      </w:pPr>
      <w:r>
        <w:t xml:space="preserve">iii) Comprobantes Fiscales Digitales por Internet de los servidores públicos adscritos </w:t>
      </w:r>
      <w:r w:rsidR="009D3C99">
        <w:t>al Ayuntamiento, de la primera y segunda quincena de abril de dos mil veinticinco.</w:t>
      </w:r>
    </w:p>
    <w:p w14:paraId="5994C79E" w14:textId="77777777" w:rsidR="00AC7C3F" w:rsidRPr="00BC47DA" w:rsidRDefault="00AC7C3F" w:rsidP="00F731E4">
      <w:pPr>
        <w:spacing w:after="0" w:line="360" w:lineRule="auto"/>
        <w:rPr>
          <w:i/>
          <w:iCs/>
          <w:sz w:val="20"/>
          <w:szCs w:val="20"/>
        </w:rPr>
      </w:pPr>
    </w:p>
    <w:p w14:paraId="7E7FBB31" w14:textId="2C1B1026" w:rsidR="00E22EA8" w:rsidRPr="00BC47DA" w:rsidRDefault="00E22EA8" w:rsidP="00F731E4">
      <w:pPr>
        <w:pStyle w:val="Ttulo2"/>
        <w:spacing w:before="0" w:after="0" w:line="360" w:lineRule="auto"/>
        <w:rPr>
          <w:sz w:val="22"/>
          <w:szCs w:val="22"/>
        </w:rPr>
      </w:pPr>
      <w:bookmarkStart w:id="4" w:name="_Toc199357587"/>
      <w:r w:rsidRPr="00BC47DA">
        <w:rPr>
          <w:sz w:val="22"/>
          <w:szCs w:val="22"/>
        </w:rPr>
        <w:t>I</w:t>
      </w:r>
      <w:r w:rsidR="004D1D8F" w:rsidRPr="00BC47DA">
        <w:rPr>
          <w:sz w:val="22"/>
          <w:szCs w:val="22"/>
        </w:rPr>
        <w:t>II</w:t>
      </w:r>
      <w:r w:rsidRPr="00BC47DA">
        <w:rPr>
          <w:sz w:val="22"/>
          <w:szCs w:val="22"/>
        </w:rPr>
        <w:t>. Interposición del Recurso de Revisión</w:t>
      </w:r>
      <w:bookmarkEnd w:id="4"/>
    </w:p>
    <w:p w14:paraId="053D45CF" w14:textId="77777777" w:rsidR="00E22EA8" w:rsidRPr="00BC47DA" w:rsidRDefault="00E22EA8" w:rsidP="00F731E4">
      <w:pPr>
        <w:spacing w:after="0" w:line="360" w:lineRule="auto"/>
        <w:rPr>
          <w:b/>
        </w:rPr>
      </w:pPr>
    </w:p>
    <w:p w14:paraId="355C8CC6" w14:textId="2DBC45F0" w:rsidR="009C5A71" w:rsidRPr="00BC47DA" w:rsidRDefault="00083169" w:rsidP="00F731E4">
      <w:pPr>
        <w:spacing w:after="0" w:line="360" w:lineRule="auto"/>
        <w:rPr>
          <w:bCs/>
        </w:rPr>
      </w:pPr>
      <w:r w:rsidRPr="00BC47DA">
        <w:rPr>
          <w:bCs/>
        </w:rPr>
        <w:t>E</w:t>
      </w:r>
      <w:r w:rsidR="008D5416" w:rsidRPr="00BC47DA">
        <w:rPr>
          <w:bCs/>
        </w:rPr>
        <w:t xml:space="preserve">l </w:t>
      </w:r>
      <w:r w:rsidR="009D3C99">
        <w:rPr>
          <w:bCs/>
        </w:rPr>
        <w:t>once de junio</w:t>
      </w:r>
      <w:r w:rsidR="00C2045C" w:rsidRPr="00BC47DA">
        <w:t xml:space="preserve"> </w:t>
      </w:r>
      <w:r w:rsidR="008E5E71" w:rsidRPr="00BC47DA">
        <w:t>de dos mil veinticinco</w:t>
      </w:r>
      <w:r w:rsidR="00E22EA8" w:rsidRPr="00BC47DA">
        <w:rPr>
          <w:bCs/>
        </w:rPr>
        <w:t xml:space="preserve">, se recibió en este Instituto, a través del </w:t>
      </w:r>
      <w:r w:rsidR="00E22EA8" w:rsidRPr="00BC47DA">
        <w:rPr>
          <w:bCs/>
          <w:lang w:val="es-ES"/>
        </w:rPr>
        <w:t>Sistema de Acceso a la Información Mexiquense (SAIMEX)</w:t>
      </w:r>
      <w:r w:rsidR="00E22EA8" w:rsidRPr="00BC47DA">
        <w:rPr>
          <w:bCs/>
        </w:rPr>
        <w:t xml:space="preserve">, </w:t>
      </w:r>
      <w:r w:rsidR="009019A8" w:rsidRPr="00BC47DA">
        <w:rPr>
          <w:bCs/>
        </w:rPr>
        <w:t xml:space="preserve">el </w:t>
      </w:r>
      <w:r w:rsidR="00E22EA8" w:rsidRPr="00BC47DA">
        <w:rPr>
          <w:bCs/>
        </w:rPr>
        <w:t>Recurso de Revisión interpuesto por la p</w:t>
      </w:r>
      <w:r w:rsidRPr="00BC47DA">
        <w:rPr>
          <w:bCs/>
        </w:rPr>
        <w:t>ersona</w:t>
      </w:r>
      <w:r w:rsidR="00E22EA8" w:rsidRPr="00BC47DA">
        <w:rPr>
          <w:bCs/>
        </w:rPr>
        <w:t xml:space="preserve"> Recurrente, en contra de la respuesta por el Sujeto Obligado, a la solicitud de información</w:t>
      </w:r>
      <w:r w:rsidR="00F43789" w:rsidRPr="00BC47DA">
        <w:rPr>
          <w:rFonts w:eastAsia="Calibri" w:cs="Times New Roman"/>
        </w:rPr>
        <w:t xml:space="preserve">, </w:t>
      </w:r>
      <w:r w:rsidR="00E22EA8" w:rsidRPr="00BC47DA">
        <w:rPr>
          <w:bCs/>
        </w:rPr>
        <w:t>en los siguientes términos:</w:t>
      </w:r>
      <w:r w:rsidR="00F90E50" w:rsidRPr="00BC47DA">
        <w:rPr>
          <w:bCs/>
        </w:rPr>
        <w:t xml:space="preserve"> </w:t>
      </w:r>
    </w:p>
    <w:p w14:paraId="499DDBDB" w14:textId="77777777" w:rsidR="008E5E71" w:rsidRPr="00BC47DA" w:rsidRDefault="008E5E71" w:rsidP="00F731E4">
      <w:pPr>
        <w:spacing w:after="0" w:line="360" w:lineRule="auto"/>
        <w:ind w:left="567" w:right="567"/>
        <w:rPr>
          <w:b/>
          <w:bCs/>
          <w:i/>
          <w:sz w:val="20"/>
          <w:szCs w:val="20"/>
        </w:rPr>
      </w:pPr>
    </w:p>
    <w:p w14:paraId="1B2CCD45" w14:textId="1F34B3A9" w:rsidR="00E22EA8" w:rsidRPr="00BC47DA" w:rsidRDefault="00E12804" w:rsidP="00F731E4">
      <w:pPr>
        <w:spacing w:after="0" w:line="360" w:lineRule="auto"/>
        <w:ind w:left="567" w:right="567"/>
        <w:rPr>
          <w:bCs/>
          <w:i/>
          <w:sz w:val="20"/>
          <w:szCs w:val="20"/>
        </w:rPr>
      </w:pPr>
      <w:r w:rsidRPr="00BC47DA">
        <w:rPr>
          <w:b/>
          <w:bCs/>
          <w:i/>
          <w:sz w:val="20"/>
          <w:szCs w:val="20"/>
        </w:rPr>
        <w:t>‘’</w:t>
      </w:r>
      <w:r w:rsidR="00E22EA8" w:rsidRPr="00BC47DA">
        <w:rPr>
          <w:b/>
          <w:bCs/>
          <w:i/>
          <w:sz w:val="20"/>
          <w:szCs w:val="20"/>
        </w:rPr>
        <w:t>ACTO IMPUGNADO</w:t>
      </w:r>
    </w:p>
    <w:p w14:paraId="3B2615CC" w14:textId="7AB0B891" w:rsidR="00E22EA8" w:rsidRPr="00BC47DA" w:rsidRDefault="009D3C99" w:rsidP="00F731E4">
      <w:pPr>
        <w:spacing w:after="0" w:line="360" w:lineRule="auto"/>
        <w:ind w:left="567" w:right="567"/>
        <w:rPr>
          <w:i/>
          <w:sz w:val="20"/>
          <w:szCs w:val="20"/>
        </w:rPr>
      </w:pPr>
      <w:r w:rsidRPr="009D3C99">
        <w:rPr>
          <w:i/>
          <w:iCs/>
          <w:sz w:val="20"/>
          <w:szCs w:val="20"/>
        </w:rPr>
        <w:t>SE SOLICITARON TODAS LAS NOMINAS GENERADAS EN EL MES DE ABRIL DE 2025 EN FORMATO EXCEL DEL MUNICIPIO DE AYAPANGO Y LOS RECIBOS TIMBRADOS (CFDI) GENERADOS DE LAS MISMAS NOMINAS, CONSIDERANDO LA DEL CABILDO, PERSONAL ADMINISTRATIVO, SINDICAL, DE POLICIAS, LISTA DE RAYA Y HONORARIOS ASIMILADOS</w:t>
      </w:r>
      <w:r w:rsidR="00E22EA8" w:rsidRPr="00BC47DA">
        <w:rPr>
          <w:i/>
          <w:iCs/>
          <w:sz w:val="20"/>
          <w:szCs w:val="20"/>
        </w:rPr>
        <w:t>”</w:t>
      </w:r>
    </w:p>
    <w:p w14:paraId="27671E8D" w14:textId="77777777" w:rsidR="00E95056" w:rsidRPr="00BC47DA" w:rsidRDefault="00E95056" w:rsidP="00F731E4">
      <w:pPr>
        <w:spacing w:after="0" w:line="360" w:lineRule="auto"/>
        <w:ind w:left="567" w:right="567"/>
        <w:rPr>
          <w:i/>
          <w:sz w:val="20"/>
          <w:szCs w:val="20"/>
        </w:rPr>
      </w:pPr>
    </w:p>
    <w:p w14:paraId="3F1F07C7" w14:textId="49F2AE96" w:rsidR="00E22EA8" w:rsidRPr="00BC47DA" w:rsidRDefault="00E12804" w:rsidP="00F731E4">
      <w:pPr>
        <w:spacing w:after="0" w:line="360" w:lineRule="auto"/>
        <w:ind w:left="567" w:right="567"/>
        <w:rPr>
          <w:b/>
          <w:i/>
          <w:sz w:val="20"/>
          <w:szCs w:val="20"/>
        </w:rPr>
      </w:pPr>
      <w:r w:rsidRPr="00BC47DA">
        <w:rPr>
          <w:b/>
          <w:i/>
          <w:sz w:val="20"/>
          <w:szCs w:val="20"/>
        </w:rPr>
        <w:t>‘’</w:t>
      </w:r>
      <w:r w:rsidR="00E22EA8" w:rsidRPr="00BC47DA">
        <w:rPr>
          <w:b/>
          <w:i/>
          <w:sz w:val="20"/>
          <w:szCs w:val="20"/>
        </w:rPr>
        <w:t>RAZONES O MOTIVOS DE LA INCONFORMIDAD</w:t>
      </w:r>
    </w:p>
    <w:p w14:paraId="57774A64" w14:textId="015BFE89" w:rsidR="003C5F59" w:rsidRPr="00BC47DA" w:rsidRDefault="009D3C99" w:rsidP="00F731E4">
      <w:pPr>
        <w:spacing w:after="0" w:line="360" w:lineRule="auto"/>
        <w:ind w:left="567" w:right="567"/>
        <w:rPr>
          <w:i/>
          <w:sz w:val="20"/>
          <w:szCs w:val="20"/>
        </w:rPr>
      </w:pPr>
      <w:r w:rsidRPr="009D3C99">
        <w:rPr>
          <w:i/>
          <w:iCs/>
          <w:sz w:val="20"/>
          <w:szCs w:val="20"/>
        </w:rPr>
        <w:t>SE SOLICITARON LAS NOMINAS EN FORMATO EXCEL Y NO LAS ENTREGARON POR LO QUE SOLICITO LAS ENTREGUEN POR ESTE MEDIO</w:t>
      </w:r>
      <w:r w:rsidR="003C5F59" w:rsidRPr="00BC47DA">
        <w:rPr>
          <w:i/>
          <w:iCs/>
          <w:sz w:val="20"/>
          <w:szCs w:val="20"/>
        </w:rPr>
        <w:t>”</w:t>
      </w:r>
    </w:p>
    <w:p w14:paraId="01179437" w14:textId="6B58335B" w:rsidR="00E22EA8" w:rsidRPr="00BC47DA" w:rsidRDefault="00E22EA8" w:rsidP="00F731E4">
      <w:pPr>
        <w:spacing w:after="0" w:line="360" w:lineRule="auto"/>
        <w:ind w:right="567"/>
        <w:rPr>
          <w:i/>
          <w:sz w:val="20"/>
          <w:szCs w:val="20"/>
        </w:rPr>
      </w:pPr>
    </w:p>
    <w:p w14:paraId="009DB65C" w14:textId="45D040D7" w:rsidR="00E22EA8" w:rsidRPr="00BC47DA" w:rsidRDefault="004D1D8F" w:rsidP="00F731E4">
      <w:pPr>
        <w:pStyle w:val="Ttulo2"/>
        <w:spacing w:before="0" w:after="0" w:line="360" w:lineRule="auto"/>
        <w:rPr>
          <w:sz w:val="22"/>
          <w:szCs w:val="22"/>
        </w:rPr>
      </w:pPr>
      <w:bookmarkStart w:id="5" w:name="_Toc199357588"/>
      <w:r w:rsidRPr="00BC47DA">
        <w:rPr>
          <w:sz w:val="22"/>
          <w:szCs w:val="22"/>
        </w:rPr>
        <w:t>I</w:t>
      </w:r>
      <w:r w:rsidR="00E22EA8" w:rsidRPr="00BC47DA">
        <w:rPr>
          <w:sz w:val="22"/>
          <w:szCs w:val="22"/>
        </w:rPr>
        <w:t>V. Trámite del Recurso de Revisión ante este Instituto</w:t>
      </w:r>
      <w:bookmarkEnd w:id="5"/>
    </w:p>
    <w:p w14:paraId="5C9B63F8" w14:textId="77777777" w:rsidR="009B2DAB" w:rsidRPr="00BC47DA" w:rsidRDefault="009B2DAB" w:rsidP="00F731E4">
      <w:pPr>
        <w:spacing w:after="0" w:line="360" w:lineRule="auto"/>
        <w:rPr>
          <w:b/>
          <w:bCs/>
        </w:rPr>
      </w:pPr>
    </w:p>
    <w:p w14:paraId="173768ED" w14:textId="6537E741" w:rsidR="00E22EA8" w:rsidRPr="00BC47DA" w:rsidRDefault="00E22EA8" w:rsidP="00F731E4">
      <w:pPr>
        <w:spacing w:after="0" w:line="360" w:lineRule="auto"/>
        <w:rPr>
          <w:bCs/>
        </w:rPr>
      </w:pPr>
      <w:r w:rsidRPr="00BC47DA">
        <w:rPr>
          <w:b/>
          <w:bCs/>
        </w:rPr>
        <w:lastRenderedPageBreak/>
        <w:t>a) Turno del Medio de Impugnación.</w:t>
      </w:r>
      <w:r w:rsidR="000A706F" w:rsidRPr="00BC47DA">
        <w:rPr>
          <w:bCs/>
        </w:rPr>
        <w:t xml:space="preserve"> </w:t>
      </w:r>
      <w:r w:rsidR="003C5F59" w:rsidRPr="00BC47DA">
        <w:rPr>
          <w:bCs/>
        </w:rPr>
        <w:t xml:space="preserve">El </w:t>
      </w:r>
      <w:r w:rsidR="009D3C99">
        <w:rPr>
          <w:bCs/>
        </w:rPr>
        <w:t>once de junio</w:t>
      </w:r>
      <w:r w:rsidR="00E64E18" w:rsidRPr="00BC47DA">
        <w:t xml:space="preserve"> de dos mil veinticinco</w:t>
      </w:r>
      <w:r w:rsidRPr="00BC47DA">
        <w:rPr>
          <w:bCs/>
        </w:rPr>
        <w:t xml:space="preserve">, el </w:t>
      </w:r>
      <w:r w:rsidRPr="00BC47DA">
        <w:rPr>
          <w:lang w:val="es-ES"/>
        </w:rPr>
        <w:t>Sistema de Acceso a la Información Mexiquense (SAIMEX),</w:t>
      </w:r>
      <w:r w:rsidRPr="00BC47DA">
        <w:rPr>
          <w:bCs/>
        </w:rPr>
        <w:t xml:space="preserve"> asignó el número de expediente </w:t>
      </w:r>
      <w:r w:rsidR="00EF157F" w:rsidRPr="00EF157F">
        <w:rPr>
          <w:b/>
          <w:bCs/>
        </w:rPr>
        <w:t>0</w:t>
      </w:r>
      <w:r w:rsidR="002F7E7D">
        <w:rPr>
          <w:b/>
          <w:bCs/>
        </w:rPr>
        <w:t>6846</w:t>
      </w:r>
      <w:r w:rsidR="00EF157F" w:rsidRPr="00EF157F">
        <w:rPr>
          <w:b/>
          <w:bCs/>
        </w:rPr>
        <w:t>/INFOEM/IP/RR/2025</w:t>
      </w:r>
      <w:r w:rsidRPr="00BC47DA">
        <w:rPr>
          <w:bCs/>
        </w:rPr>
        <w:t xml:space="preserve">, al medio de impugnación que nos ocupa, con base en el sistema aprobado por el Pleno de este </w:t>
      </w:r>
      <w:r w:rsidR="00B65BCA" w:rsidRPr="00BC47DA">
        <w:rPr>
          <w:bCs/>
        </w:rPr>
        <w:t>Organismo</w:t>
      </w:r>
      <w:r w:rsidRPr="00BC47DA">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BC47DA" w:rsidRDefault="005914EE" w:rsidP="00F731E4">
      <w:pPr>
        <w:spacing w:after="0" w:line="360" w:lineRule="auto"/>
        <w:rPr>
          <w:b/>
          <w:bCs/>
        </w:rPr>
      </w:pPr>
    </w:p>
    <w:p w14:paraId="61891480" w14:textId="37DB9AA5" w:rsidR="00E22EA8" w:rsidRPr="00BC47DA" w:rsidRDefault="00E22EA8" w:rsidP="00F731E4">
      <w:pPr>
        <w:spacing w:after="0" w:line="360" w:lineRule="auto"/>
      </w:pPr>
      <w:r w:rsidRPr="00BC47DA">
        <w:rPr>
          <w:b/>
          <w:bCs/>
        </w:rPr>
        <w:t>b) Admisión del Recurso de Revisión</w:t>
      </w:r>
      <w:r w:rsidRPr="00BC47DA">
        <w:rPr>
          <w:b/>
          <w:bCs/>
          <w:lang w:val="es-ES_tradnl"/>
        </w:rPr>
        <w:t xml:space="preserve">. </w:t>
      </w:r>
      <w:r w:rsidR="003C5F59" w:rsidRPr="00BC47DA">
        <w:t xml:space="preserve">El </w:t>
      </w:r>
      <w:r w:rsidR="009D3C99">
        <w:t>dieciséis de junio</w:t>
      </w:r>
      <w:r w:rsidR="00E64E18" w:rsidRPr="00BC47DA">
        <w:t xml:space="preserve"> de dos mil veinticinco</w:t>
      </w:r>
      <w:r w:rsidRPr="00BC47DA">
        <w:rPr>
          <w:bCs/>
          <w:lang w:val="es-ES_tradnl"/>
        </w:rPr>
        <w:t xml:space="preserve">, se acordó la admisión del Recurso de Revisión interpuesto por </w:t>
      </w:r>
      <w:r w:rsidR="00261B92" w:rsidRPr="00BC47DA">
        <w:rPr>
          <w:bCs/>
          <w:lang w:val="es-ES_tradnl"/>
        </w:rPr>
        <w:t>la persona</w:t>
      </w:r>
      <w:r w:rsidRPr="00BC47DA">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BC47DA">
        <w:rPr>
          <w:bCs/>
          <w:lang w:val="es-ES_tradnl"/>
        </w:rPr>
        <w:t>el</w:t>
      </w:r>
      <w:r w:rsidR="00AC7C3F" w:rsidRPr="00BC47DA">
        <w:rPr>
          <w:bCs/>
          <w:lang w:val="es-ES_tradnl"/>
        </w:rPr>
        <w:t xml:space="preserve"> mismo día</w:t>
      </w:r>
      <w:r w:rsidRPr="00BC47DA">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BC47DA" w:rsidRDefault="00E22EA8" w:rsidP="00F731E4">
      <w:pPr>
        <w:spacing w:after="0" w:line="360" w:lineRule="auto"/>
        <w:rPr>
          <w:rFonts w:cs="Tahoma"/>
          <w:lang w:val="es-ES_tradnl"/>
        </w:rPr>
      </w:pPr>
    </w:p>
    <w:p w14:paraId="213022E7" w14:textId="375BE530" w:rsidR="008D5416" w:rsidRPr="00BC47DA" w:rsidRDefault="00855EC9" w:rsidP="00F731E4">
      <w:pPr>
        <w:spacing w:after="0" w:line="360" w:lineRule="auto"/>
        <w:rPr>
          <w:rFonts w:eastAsia="Times New Roman" w:cs="Tahoma"/>
          <w:lang w:val="es-ES_tradnl"/>
        </w:rPr>
      </w:pPr>
      <w:bookmarkStart w:id="6" w:name="_Hlk182976945"/>
      <w:r w:rsidRPr="00BC47DA">
        <w:rPr>
          <w:b/>
        </w:rPr>
        <w:t>c) Informe Justificado</w:t>
      </w:r>
      <w:r w:rsidR="009D3C99">
        <w:rPr>
          <w:b/>
        </w:rPr>
        <w:t xml:space="preserve"> o Manifestaciones</w:t>
      </w:r>
      <w:r w:rsidR="008D5416" w:rsidRPr="00BC47DA">
        <w:rPr>
          <w:b/>
        </w:rPr>
        <w:t xml:space="preserve">. </w:t>
      </w:r>
      <w:r w:rsidR="009D3C99">
        <w:rPr>
          <w:bCs/>
        </w:rPr>
        <w:t>Las partes fueron omisas en emitir manifestaciones o alegatos.</w:t>
      </w:r>
    </w:p>
    <w:p w14:paraId="07E04C34" w14:textId="77777777" w:rsidR="00F731E4" w:rsidRPr="00BC47DA" w:rsidRDefault="00F731E4" w:rsidP="00F731E4">
      <w:pPr>
        <w:spacing w:after="0" w:line="360" w:lineRule="auto"/>
        <w:rPr>
          <w:rFonts w:eastAsia="Times New Roman" w:cs="Tahoma"/>
          <w:lang w:val="es-ES_tradnl"/>
        </w:rPr>
      </w:pPr>
    </w:p>
    <w:p w14:paraId="005304D1" w14:textId="768DC4A1" w:rsidR="009D3C99" w:rsidRPr="009D3C99" w:rsidRDefault="00947B77" w:rsidP="009D3C99">
      <w:pPr>
        <w:widowControl w:val="0"/>
        <w:spacing w:after="0" w:line="360" w:lineRule="auto"/>
        <w:rPr>
          <w:color w:val="auto"/>
          <w:lang w:val="es-ES"/>
        </w:rPr>
      </w:pPr>
      <w:r w:rsidRPr="00BC47DA">
        <w:rPr>
          <w:rFonts w:eastAsia="Times New Roman" w:cs="Tahoma"/>
          <w:b/>
          <w:color w:val="auto"/>
          <w:szCs w:val="24"/>
          <w:lang w:eastAsia="es-ES"/>
        </w:rPr>
        <w:t xml:space="preserve">d) </w:t>
      </w:r>
      <w:r w:rsidR="009D3C99" w:rsidRPr="009D3C99">
        <w:rPr>
          <w:rFonts w:eastAsia="Times New Roman" w:cs="Times New Roman"/>
          <w:b/>
          <w:bCs/>
          <w:color w:val="auto"/>
          <w:lang w:val="es-ES" w:eastAsia="es-ES"/>
        </w:rPr>
        <w:t>Ampliación de plazo para resolver.</w:t>
      </w:r>
      <w:r w:rsidR="009D3C99" w:rsidRPr="009D3C99">
        <w:rPr>
          <w:rFonts w:eastAsia="Times New Roman" w:cs="Tahoma"/>
          <w:b/>
          <w:bCs/>
          <w:color w:val="000000"/>
          <w:lang w:val="es-ES" w:eastAsia="es-ES"/>
        </w:rPr>
        <w:t xml:space="preserve"> </w:t>
      </w:r>
      <w:r w:rsidR="009D3C99" w:rsidRPr="009D3C99">
        <w:rPr>
          <w:color w:val="auto"/>
          <w:lang w:val="es-ES"/>
        </w:rPr>
        <w:t xml:space="preserve">El </w:t>
      </w:r>
      <w:r w:rsidR="009D3C99">
        <w:rPr>
          <w:color w:val="auto"/>
          <w:lang w:val="es-ES"/>
        </w:rPr>
        <w:t>catorce de octubre</w:t>
      </w:r>
      <w:r w:rsidR="009D3C99" w:rsidRPr="009D3C99">
        <w:rPr>
          <w:color w:val="auto"/>
          <w:lang w:val="es-ES"/>
        </w:rPr>
        <w:t xml:space="preserve"> de dos mil veinticinco, el Comisionado Ponente, con fundamento en lo dispuesto por el artículo 181, párrafo tercero, de la Ley de Transparencia y Acceso a la Información Pública del Estado de México y Municipios, acordó ampliar por un periodo </w:t>
      </w:r>
      <w:r w:rsidR="009D3C99">
        <w:rPr>
          <w:color w:val="auto"/>
          <w:lang w:val="es-ES"/>
        </w:rPr>
        <w:t>razonable</w:t>
      </w:r>
      <w:r w:rsidR="009D3C99" w:rsidRPr="009D3C99">
        <w:rPr>
          <w:color w:val="auto"/>
          <w:lang w:val="es-ES"/>
        </w:rPr>
        <w:t>, el plazo para resolver el Recurso de Revisión que nos ocupa; acto que fue notificado a las partes el veintitrés del mismo mes y año, mediante el Sistema de Acceso a la Información Mexiquense (SAIMEX).</w:t>
      </w:r>
    </w:p>
    <w:p w14:paraId="0A4D90DE" w14:textId="0BEC6E04" w:rsidR="00947B77" w:rsidRPr="009D3C99" w:rsidRDefault="00947B77" w:rsidP="00F731E4">
      <w:pPr>
        <w:spacing w:after="0" w:line="360" w:lineRule="auto"/>
        <w:rPr>
          <w:rFonts w:eastAsia="Times New Roman" w:cs="Times New Roman"/>
          <w:b/>
          <w:lang w:val="es-ES"/>
        </w:rPr>
      </w:pPr>
    </w:p>
    <w:p w14:paraId="21A08F37" w14:textId="77777777" w:rsidR="00E20851" w:rsidRPr="00BC47DA" w:rsidRDefault="00E20851" w:rsidP="00F731E4">
      <w:pPr>
        <w:spacing w:after="0" w:line="360" w:lineRule="auto"/>
      </w:pPr>
    </w:p>
    <w:p w14:paraId="1220E37C" w14:textId="6AAF3EB5" w:rsidR="003C5FE0" w:rsidRPr="00BC47DA" w:rsidRDefault="005847A7" w:rsidP="00F731E4">
      <w:pPr>
        <w:spacing w:after="0" w:line="360" w:lineRule="auto"/>
        <w:contextualSpacing/>
        <w:rPr>
          <w:lang w:val="es-ES"/>
        </w:rPr>
      </w:pPr>
      <w:r w:rsidRPr="00BC47DA">
        <w:rPr>
          <w:rFonts w:eastAsia="Batang" w:cs="Tahoma"/>
          <w:b/>
        </w:rPr>
        <w:lastRenderedPageBreak/>
        <w:t>f</w:t>
      </w:r>
      <w:r w:rsidR="003C5FE0" w:rsidRPr="00BC47DA">
        <w:rPr>
          <w:rFonts w:eastAsia="Batang" w:cs="Tahoma"/>
          <w:b/>
        </w:rPr>
        <w:t xml:space="preserve">) </w:t>
      </w:r>
      <w:r w:rsidR="00002B20" w:rsidRPr="00BC47DA">
        <w:rPr>
          <w:rFonts w:eastAsia="Times New Roman" w:cs="Tahoma"/>
          <w:b/>
          <w:szCs w:val="24"/>
          <w:lang w:eastAsia="es-ES"/>
        </w:rPr>
        <w:t>Cierre de instrucción.</w:t>
      </w:r>
      <w:r w:rsidR="00002B20" w:rsidRPr="00BC47DA">
        <w:rPr>
          <w:rFonts w:eastAsia="Times New Roman" w:cs="Tahoma"/>
          <w:szCs w:val="24"/>
          <w:lang w:eastAsia="es-ES"/>
        </w:rPr>
        <w:t xml:space="preserve"> El </w:t>
      </w:r>
      <w:r w:rsidR="009D3C99">
        <w:rPr>
          <w:rFonts w:eastAsia="Times New Roman" w:cs="Tahoma"/>
          <w:szCs w:val="24"/>
          <w:lang w:eastAsia="es-ES"/>
        </w:rPr>
        <w:t>catorce de octubre</w:t>
      </w:r>
      <w:r w:rsidR="00002B20" w:rsidRPr="00BC47DA">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BC47DA">
        <w:rPr>
          <w:lang w:val="es-ES"/>
        </w:rPr>
        <w:t>acto que fue notificado a las partes, mediante el Sistema de Acceso a la Información Mexiquense (SAIMEX), el mismo día.</w:t>
      </w:r>
    </w:p>
    <w:p w14:paraId="767BC2E6" w14:textId="77777777" w:rsidR="00206A9B" w:rsidRPr="00BC47DA" w:rsidRDefault="00206A9B" w:rsidP="00F731E4">
      <w:pPr>
        <w:spacing w:after="0" w:line="360" w:lineRule="auto"/>
        <w:contextualSpacing/>
        <w:rPr>
          <w:lang w:val="es-ES"/>
        </w:rPr>
      </w:pPr>
    </w:p>
    <w:p w14:paraId="4EB4892E" w14:textId="1E4097E6" w:rsidR="00206A9B" w:rsidRPr="00BC47DA" w:rsidRDefault="00206A9B" w:rsidP="00F731E4">
      <w:pPr>
        <w:spacing w:after="0" w:line="360" w:lineRule="auto"/>
        <w:rPr>
          <w:color w:val="000000"/>
        </w:rPr>
      </w:pPr>
      <w:r w:rsidRPr="00BC47DA">
        <w:rPr>
          <w:color w:val="000000"/>
        </w:rPr>
        <w:t>En razón de que fue debidamente sustanciado e integrado el expediente electrónico y no existe diligencia pendiente de desahogo, se emite la resolución que conforme a Derecho proceda, de acuerdo a los siguientes:</w:t>
      </w:r>
    </w:p>
    <w:bookmarkEnd w:id="6"/>
    <w:p w14:paraId="7C503569" w14:textId="77777777" w:rsidR="00183010" w:rsidRPr="00BC47DA" w:rsidRDefault="00183010" w:rsidP="00F731E4">
      <w:pPr>
        <w:spacing w:after="0" w:line="360" w:lineRule="auto"/>
        <w:rPr>
          <w:rFonts w:eastAsia="Times New Roman" w:cs="Tahoma"/>
          <w:szCs w:val="24"/>
          <w:lang w:eastAsia="es-ES"/>
        </w:rPr>
      </w:pPr>
    </w:p>
    <w:p w14:paraId="250F6589" w14:textId="3F880C72" w:rsidR="005C690F" w:rsidRPr="00BC47DA" w:rsidRDefault="00CD6238" w:rsidP="00F731E4">
      <w:pPr>
        <w:pStyle w:val="Ttulo1"/>
        <w:spacing w:before="0" w:after="0" w:line="360" w:lineRule="auto"/>
        <w:jc w:val="center"/>
        <w:rPr>
          <w:sz w:val="22"/>
          <w:szCs w:val="22"/>
        </w:rPr>
      </w:pPr>
      <w:bookmarkStart w:id="7" w:name="_Toc199357589"/>
      <w:r w:rsidRPr="00BC47DA">
        <w:rPr>
          <w:sz w:val="22"/>
          <w:szCs w:val="22"/>
        </w:rPr>
        <w:t>C O N S I D E R A N D O S</w:t>
      </w:r>
      <w:bookmarkEnd w:id="7"/>
    </w:p>
    <w:p w14:paraId="5AB6ED71" w14:textId="77777777" w:rsidR="005C690F" w:rsidRPr="00BC47DA" w:rsidRDefault="005C690F" w:rsidP="00F731E4">
      <w:pPr>
        <w:spacing w:after="0" w:line="360" w:lineRule="auto"/>
        <w:jc w:val="center"/>
        <w:rPr>
          <w:b/>
          <w:color w:val="000000"/>
        </w:rPr>
      </w:pPr>
    </w:p>
    <w:p w14:paraId="36BFFC7E" w14:textId="2F0F17EA" w:rsidR="005C690F" w:rsidRPr="00BC47DA" w:rsidRDefault="007D6307" w:rsidP="00F731E4">
      <w:pPr>
        <w:pStyle w:val="Ttulo2"/>
        <w:spacing w:before="0" w:after="0" w:line="360" w:lineRule="auto"/>
        <w:rPr>
          <w:sz w:val="22"/>
          <w:szCs w:val="22"/>
        </w:rPr>
      </w:pPr>
      <w:bookmarkStart w:id="8" w:name="_Toc199357590"/>
      <w:r w:rsidRPr="00BC47DA">
        <w:rPr>
          <w:sz w:val="22"/>
          <w:szCs w:val="22"/>
        </w:rPr>
        <w:t xml:space="preserve">PRIMERO. </w:t>
      </w:r>
      <w:r w:rsidR="00CD6238" w:rsidRPr="00BC47DA">
        <w:rPr>
          <w:sz w:val="22"/>
          <w:szCs w:val="22"/>
        </w:rPr>
        <w:t>Competencia</w:t>
      </w:r>
      <w:bookmarkEnd w:id="8"/>
    </w:p>
    <w:p w14:paraId="34E42005" w14:textId="77777777" w:rsidR="0084143D" w:rsidRPr="00BC47DA" w:rsidRDefault="0084143D" w:rsidP="00F731E4">
      <w:pPr>
        <w:spacing w:after="0" w:line="360" w:lineRule="auto"/>
        <w:contextualSpacing/>
        <w:rPr>
          <w:rFonts w:eastAsia="Times New Roman" w:cs="Tahoma"/>
          <w:bCs/>
          <w:lang w:eastAsia="es-ES"/>
        </w:rPr>
      </w:pPr>
      <w:bookmarkStart w:id="9" w:name="_heading=h.30j0zll" w:colFirst="0" w:colLast="0"/>
      <w:bookmarkEnd w:id="9"/>
    </w:p>
    <w:p w14:paraId="7B44FF8F" w14:textId="62F8836A" w:rsidR="00A576F9" w:rsidRDefault="00A576F9" w:rsidP="00F731E4">
      <w:pPr>
        <w:spacing w:after="0" w:line="360" w:lineRule="auto"/>
        <w:contextualSpacing/>
        <w:rPr>
          <w:rFonts w:eastAsia="Times New Roman" w:cs="Tahoma"/>
          <w:bCs/>
          <w:lang w:eastAsia="es-ES"/>
        </w:rPr>
      </w:pPr>
      <w:r w:rsidRPr="00BC47DA">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9D3C99">
        <w:rPr>
          <w:rFonts w:eastAsia="Times New Roman" w:cs="Tahoma"/>
          <w:bCs/>
          <w:lang w:eastAsia="es-ES"/>
        </w:rPr>
        <w:t>noveno</w:t>
      </w:r>
      <w:r w:rsidRPr="00BC47DA">
        <w:rPr>
          <w:rFonts w:eastAsia="Times New Roman" w:cs="Tahoma"/>
          <w:bCs/>
          <w:lang w:eastAsia="es-ES"/>
        </w:rPr>
        <w:t xml:space="preserve">, </w:t>
      </w:r>
      <w:r w:rsidR="009D3C99">
        <w:rPr>
          <w:rFonts w:eastAsia="Times New Roman" w:cs="Tahoma"/>
          <w:bCs/>
          <w:lang w:eastAsia="es-ES"/>
        </w:rPr>
        <w:t>cuadragésimo y cuadragésimo primero</w:t>
      </w:r>
      <w:r w:rsidRPr="00BC47DA">
        <w:rPr>
          <w:rFonts w:eastAsia="Times New Roman" w:cs="Tahoma"/>
          <w:bCs/>
          <w:lang w:eastAsia="es-ES"/>
        </w:rPr>
        <w:t>, fracciones I, II, III, IV y V de la Constitución Política del Estado Libre y Soberano de México;</w:t>
      </w:r>
      <w:r w:rsidR="009D3C99">
        <w:rPr>
          <w:rFonts w:eastAsia="Times New Roman" w:cs="Tahoma"/>
          <w:bCs/>
          <w:lang w:eastAsia="es-ES"/>
        </w:rPr>
        <w:t xml:space="preserve"> </w:t>
      </w:r>
    </w:p>
    <w:p w14:paraId="6DB5C24B" w14:textId="61294C0B" w:rsidR="00A576F9" w:rsidRPr="00BC47DA" w:rsidRDefault="00A576F9" w:rsidP="00F731E4">
      <w:pPr>
        <w:spacing w:after="0" w:line="360" w:lineRule="auto"/>
        <w:contextualSpacing/>
        <w:rPr>
          <w:rFonts w:eastAsia="Times New Roman" w:cs="Tahoma"/>
          <w:bCs/>
          <w:lang w:eastAsia="es-ES"/>
        </w:rPr>
      </w:pPr>
      <w:r w:rsidRPr="00BC47DA">
        <w:rPr>
          <w:rFonts w:eastAsia="Times New Roman" w:cs="Tahoma"/>
          <w:bCs/>
          <w:lang w:eastAsia="es-ES"/>
        </w:rPr>
        <w:t>1°, 2°, fracciones II y IV; 13, 29</w:t>
      </w:r>
      <w:r w:rsidR="009D3C99">
        <w:rPr>
          <w:rFonts w:eastAsia="Times New Roman" w:cs="Tahoma"/>
          <w:bCs/>
          <w:lang w:eastAsia="es-ES"/>
        </w:rPr>
        <w:t>,</w:t>
      </w:r>
      <w:r w:rsidRPr="00BC47DA">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BC47DA" w:rsidRDefault="005C690F" w:rsidP="00F731E4">
      <w:pPr>
        <w:spacing w:after="0" w:line="360" w:lineRule="auto"/>
        <w:rPr>
          <w:b/>
          <w:color w:val="000000"/>
        </w:rPr>
      </w:pPr>
    </w:p>
    <w:p w14:paraId="46691DD5" w14:textId="4C1C70AD" w:rsidR="005C690F" w:rsidRPr="00BC47DA" w:rsidRDefault="007D6307" w:rsidP="00F731E4">
      <w:pPr>
        <w:pStyle w:val="Ttulo2"/>
        <w:spacing w:before="0" w:after="0" w:line="360" w:lineRule="auto"/>
        <w:rPr>
          <w:sz w:val="22"/>
          <w:szCs w:val="22"/>
        </w:rPr>
      </w:pPr>
      <w:bookmarkStart w:id="10" w:name="_Toc199357591"/>
      <w:r w:rsidRPr="00BC47DA">
        <w:rPr>
          <w:sz w:val="22"/>
          <w:szCs w:val="22"/>
        </w:rPr>
        <w:lastRenderedPageBreak/>
        <w:t>SEGUNDO. Causales de</w:t>
      </w:r>
      <w:r w:rsidR="00CD6238" w:rsidRPr="00BC47DA">
        <w:rPr>
          <w:sz w:val="22"/>
          <w:szCs w:val="22"/>
        </w:rPr>
        <w:t xml:space="preserve"> improcedencia y sobreseimiento</w:t>
      </w:r>
      <w:bookmarkEnd w:id="10"/>
    </w:p>
    <w:p w14:paraId="49AA4CDE" w14:textId="77777777" w:rsidR="005C690F" w:rsidRPr="00BC47DA" w:rsidRDefault="005C690F" w:rsidP="00F731E4">
      <w:pPr>
        <w:spacing w:after="0" w:line="360" w:lineRule="auto"/>
        <w:rPr>
          <w:color w:val="000000"/>
        </w:rPr>
      </w:pPr>
    </w:p>
    <w:p w14:paraId="2553CE58" w14:textId="77777777" w:rsidR="005C690F" w:rsidRPr="00BC47DA" w:rsidRDefault="007D6307" w:rsidP="00F731E4">
      <w:pPr>
        <w:spacing w:after="0" w:line="360" w:lineRule="auto"/>
        <w:rPr>
          <w:color w:val="000000"/>
        </w:rPr>
      </w:pPr>
      <w:r w:rsidRPr="00BC47DA">
        <w:rPr>
          <w:color w:val="000000"/>
        </w:rPr>
        <w:t xml:space="preserve">De las constancias que forma parte del Recurso de Revisión que se analiza, se advierte que previo al estudio del fondo de la </w:t>
      </w:r>
      <w:r w:rsidRPr="00BC47DA">
        <w:rPr>
          <w:i/>
          <w:color w:val="000000"/>
        </w:rPr>
        <w:t>litis</w:t>
      </w:r>
      <w:r w:rsidRPr="00BC47DA">
        <w:rPr>
          <w:color w:val="000000"/>
        </w:rPr>
        <w:t>, es necesario estudiar las causales de improcedencia y sobreseimiento que se adviertan, para determinar lo que en Derecho proceda.</w:t>
      </w:r>
    </w:p>
    <w:p w14:paraId="35A30074" w14:textId="77777777" w:rsidR="009B2DAB" w:rsidRPr="00BC47DA" w:rsidRDefault="009B2DAB" w:rsidP="00F731E4">
      <w:pPr>
        <w:spacing w:after="0" w:line="360" w:lineRule="auto"/>
        <w:rPr>
          <w:color w:val="000000"/>
        </w:rPr>
      </w:pPr>
    </w:p>
    <w:p w14:paraId="3066DF0C" w14:textId="77777777" w:rsidR="005C690F" w:rsidRPr="00BC47DA" w:rsidRDefault="007D6307" w:rsidP="00F731E4">
      <w:pPr>
        <w:spacing w:after="0" w:line="360" w:lineRule="auto"/>
        <w:rPr>
          <w:b/>
        </w:rPr>
      </w:pPr>
      <w:r w:rsidRPr="00BC47DA">
        <w:rPr>
          <w:b/>
        </w:rPr>
        <w:t>Causales de improcedencia</w:t>
      </w:r>
    </w:p>
    <w:p w14:paraId="706394D4" w14:textId="77777777" w:rsidR="00304DE6" w:rsidRPr="00BC47DA" w:rsidRDefault="00304DE6" w:rsidP="00F731E4">
      <w:pPr>
        <w:spacing w:after="0" w:line="360" w:lineRule="auto"/>
        <w:rPr>
          <w:b/>
        </w:rPr>
      </w:pPr>
    </w:p>
    <w:p w14:paraId="6C56CA88" w14:textId="77777777" w:rsidR="005C690F" w:rsidRPr="00BC47DA" w:rsidRDefault="007D6307" w:rsidP="00F731E4">
      <w:pPr>
        <w:spacing w:after="0" w:line="360" w:lineRule="auto"/>
        <w:rPr>
          <w:color w:val="000000"/>
        </w:rPr>
      </w:pPr>
      <w:r w:rsidRPr="00BC47DA">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BC47DA" w:rsidRDefault="005C690F" w:rsidP="00F731E4">
      <w:pPr>
        <w:spacing w:after="0" w:line="360" w:lineRule="auto"/>
        <w:rPr>
          <w:color w:val="000000"/>
        </w:rPr>
      </w:pPr>
    </w:p>
    <w:p w14:paraId="3FF1B775" w14:textId="71BDC8A3" w:rsidR="005C690F" w:rsidRPr="00BC47DA" w:rsidRDefault="007D6307" w:rsidP="00F731E4">
      <w:pPr>
        <w:spacing w:after="0" w:line="360" w:lineRule="auto"/>
        <w:rPr>
          <w:color w:val="000000"/>
        </w:rPr>
      </w:pPr>
      <w:r w:rsidRPr="00BC47DA">
        <w:rPr>
          <w:color w:val="000000"/>
        </w:rPr>
        <w:t>En el presente caso, </w:t>
      </w:r>
      <w:r w:rsidRPr="00BC47DA">
        <w:rPr>
          <w:b/>
          <w:color w:val="000000"/>
        </w:rPr>
        <w:t>no se actualiza ninguna de las causales de improcedencia</w:t>
      </w:r>
      <w:r w:rsidRPr="00BC47DA">
        <w:rPr>
          <w:color w:val="000000"/>
        </w:rPr>
        <w:t> establecidas en el ordenamiento jurídico previamente señalado, toda vez que: este Instituto no tiene conocimiento de que se encuentre en trámite algún medio de defensa presentado por la</w:t>
      </w:r>
      <w:r w:rsidR="00261B92" w:rsidRPr="00BC47DA">
        <w:rPr>
          <w:color w:val="000000"/>
        </w:rPr>
        <w:t xml:space="preserve"> persona</w:t>
      </w:r>
      <w:r w:rsidRPr="00BC47DA">
        <w:rPr>
          <w:color w:val="000000"/>
        </w:rPr>
        <w:t xml:space="preserve"> Recurrente ante otra instancia; no existió prevención alguna; la veracidad de la respuesta no formó parte del agravio; ni se realizó una consulta o ampliación a los alcances del requerimiento informativo.</w:t>
      </w:r>
    </w:p>
    <w:p w14:paraId="39E4884C" w14:textId="77777777" w:rsidR="007009B1" w:rsidRPr="00BC47DA" w:rsidRDefault="007009B1" w:rsidP="00F731E4">
      <w:pPr>
        <w:spacing w:after="0" w:line="360" w:lineRule="auto"/>
        <w:rPr>
          <w:color w:val="000000"/>
        </w:rPr>
      </w:pPr>
    </w:p>
    <w:p w14:paraId="6DD0EA66" w14:textId="6FFC1AB6" w:rsidR="007009B1" w:rsidRPr="00BC47DA" w:rsidRDefault="007D6307" w:rsidP="00F731E4">
      <w:pPr>
        <w:spacing w:after="0" w:line="360" w:lineRule="auto"/>
      </w:pPr>
      <w:r w:rsidRPr="00BC47DA">
        <w:lastRenderedPageBreak/>
        <w:t>Por lo cual, se actualiza la causal de procedencia del Recurso de Revisión señal</w:t>
      </w:r>
      <w:r w:rsidR="00261DF6" w:rsidRPr="00BC47DA">
        <w:t>ada en el artículo 179, fracci</w:t>
      </w:r>
      <w:r w:rsidR="00121FBF" w:rsidRPr="00BC47DA">
        <w:t>ón</w:t>
      </w:r>
      <w:r w:rsidR="00EC5B81">
        <w:t xml:space="preserve"> </w:t>
      </w:r>
      <w:r w:rsidR="009D3C99">
        <w:t>V</w:t>
      </w:r>
      <w:r w:rsidRPr="00BC47DA">
        <w:t>, de la Ley en cita, pues la p</w:t>
      </w:r>
      <w:r w:rsidR="00261B92" w:rsidRPr="00BC47DA">
        <w:t>ersona</w:t>
      </w:r>
      <w:r w:rsidRPr="00BC47DA">
        <w:t xml:space="preserve"> Recurrente se inconformó </w:t>
      </w:r>
      <w:r w:rsidR="00121FBF" w:rsidRPr="00BC47DA">
        <w:t>con</w:t>
      </w:r>
      <w:r w:rsidR="007009B1" w:rsidRPr="00BC47DA">
        <w:t xml:space="preserve"> la entrega </w:t>
      </w:r>
      <w:r w:rsidR="009D3C99">
        <w:t>de información incompleta</w:t>
      </w:r>
      <w:r w:rsidR="00EC5B81">
        <w:t xml:space="preserve">. </w:t>
      </w:r>
    </w:p>
    <w:p w14:paraId="7B59B025" w14:textId="77777777" w:rsidR="00712ED6" w:rsidRPr="00BC47DA" w:rsidRDefault="00712ED6" w:rsidP="00F731E4">
      <w:pPr>
        <w:spacing w:after="0" w:line="360" w:lineRule="auto"/>
      </w:pPr>
    </w:p>
    <w:p w14:paraId="55FF691A" w14:textId="6D373E30" w:rsidR="005C690F" w:rsidRPr="00BC47DA" w:rsidRDefault="007D6307" w:rsidP="00F731E4">
      <w:pPr>
        <w:spacing w:after="0" w:line="360" w:lineRule="auto"/>
        <w:rPr>
          <w:color w:val="0D0D0D"/>
        </w:rPr>
      </w:pPr>
      <w:r w:rsidRPr="00BC47DA">
        <w:rPr>
          <w:b/>
          <w:color w:val="0D0D0D"/>
        </w:rPr>
        <w:t>Ca</w:t>
      </w:r>
      <w:r w:rsidR="00CD6238" w:rsidRPr="00BC47DA">
        <w:rPr>
          <w:b/>
          <w:color w:val="0D0D0D"/>
        </w:rPr>
        <w:t>usales de sobreseimiento</w:t>
      </w:r>
    </w:p>
    <w:p w14:paraId="426FEE7A" w14:textId="77777777" w:rsidR="005C690F" w:rsidRPr="00BC47DA" w:rsidRDefault="005C690F" w:rsidP="00F731E4">
      <w:pPr>
        <w:spacing w:after="0" w:line="360" w:lineRule="auto"/>
        <w:rPr>
          <w:color w:val="0D0D0D"/>
        </w:rPr>
      </w:pPr>
    </w:p>
    <w:p w14:paraId="5B1C849A" w14:textId="77777777" w:rsidR="005C690F" w:rsidRPr="00BC47DA" w:rsidRDefault="007D6307" w:rsidP="00F731E4">
      <w:pPr>
        <w:spacing w:after="0" w:line="360" w:lineRule="auto"/>
        <w:rPr>
          <w:color w:val="0D0D0D"/>
        </w:rPr>
      </w:pPr>
      <w:r w:rsidRPr="00BC47DA">
        <w:rPr>
          <w:color w:val="0D0D0D"/>
        </w:rPr>
        <w:t>Por ser de previo y especial pronunciamiento, este Instituto analiza si se actualiza alguna causal de sobreseimiento.</w:t>
      </w:r>
    </w:p>
    <w:p w14:paraId="5CEDF034" w14:textId="77777777" w:rsidR="00A96A4E" w:rsidRPr="00BC47DA" w:rsidRDefault="00A96A4E" w:rsidP="00F731E4">
      <w:pPr>
        <w:spacing w:after="0" w:line="360" w:lineRule="auto"/>
        <w:rPr>
          <w:color w:val="0D0D0D"/>
        </w:rPr>
      </w:pPr>
    </w:p>
    <w:p w14:paraId="616B549A" w14:textId="34585935" w:rsidR="005C690F" w:rsidRPr="00BC47DA" w:rsidRDefault="007D6307" w:rsidP="00F731E4">
      <w:pPr>
        <w:spacing w:after="0" w:line="360" w:lineRule="auto"/>
        <w:rPr>
          <w:color w:val="000000"/>
        </w:rPr>
      </w:pPr>
      <w:r w:rsidRPr="00BC47DA">
        <w:rPr>
          <w:color w:val="0D0D0D"/>
        </w:rPr>
        <w:t>Sobre el tema, e</w:t>
      </w:r>
      <w:r w:rsidRPr="00BC47DA">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BC47DA">
        <w:rPr>
          <w:color w:val="000000"/>
        </w:rPr>
        <w:t xml:space="preserve">persona </w:t>
      </w:r>
      <w:r w:rsidRPr="00BC47DA">
        <w:rPr>
          <w:color w:val="000000"/>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BC47DA" w:rsidRDefault="00712ED6" w:rsidP="00F731E4">
      <w:pPr>
        <w:spacing w:after="0" w:line="360" w:lineRule="auto"/>
        <w:rPr>
          <w:color w:val="000000"/>
        </w:rPr>
      </w:pPr>
    </w:p>
    <w:p w14:paraId="338973DD" w14:textId="77777777" w:rsidR="005C690F" w:rsidRPr="00BC47DA" w:rsidRDefault="007D6307" w:rsidP="00F731E4">
      <w:pPr>
        <w:spacing w:after="0" w:line="360" w:lineRule="auto"/>
        <w:rPr>
          <w:color w:val="0D0D0D"/>
        </w:rPr>
      </w:pPr>
      <w:r w:rsidRPr="00BC47DA">
        <w:rPr>
          <w:color w:val="0D0D0D"/>
        </w:rPr>
        <w:t xml:space="preserve">Por tales motivos, se considera procedente entrar al fondo del presente asunto. </w:t>
      </w:r>
    </w:p>
    <w:p w14:paraId="3B2EB888" w14:textId="77777777" w:rsidR="005C690F" w:rsidRPr="00BC47DA" w:rsidRDefault="005C690F" w:rsidP="00F731E4">
      <w:pPr>
        <w:spacing w:after="0" w:line="360" w:lineRule="auto"/>
        <w:rPr>
          <w:b/>
          <w:color w:val="000000"/>
        </w:rPr>
      </w:pPr>
    </w:p>
    <w:p w14:paraId="0A6A0BAE" w14:textId="184EF292" w:rsidR="005C690F" w:rsidRPr="00BC47DA" w:rsidRDefault="007D6307" w:rsidP="00F731E4">
      <w:pPr>
        <w:pStyle w:val="Ttulo2"/>
        <w:spacing w:before="0" w:after="0" w:line="360" w:lineRule="auto"/>
        <w:rPr>
          <w:sz w:val="22"/>
          <w:szCs w:val="22"/>
        </w:rPr>
      </w:pPr>
      <w:bookmarkStart w:id="11" w:name="_Toc199357592"/>
      <w:r w:rsidRPr="00BC47DA">
        <w:rPr>
          <w:sz w:val="22"/>
          <w:szCs w:val="22"/>
        </w:rPr>
        <w:t>TERCERO. De</w:t>
      </w:r>
      <w:r w:rsidR="00CD6238" w:rsidRPr="00BC47DA">
        <w:rPr>
          <w:sz w:val="22"/>
          <w:szCs w:val="22"/>
        </w:rPr>
        <w:t>terminación de la Controversia</w:t>
      </w:r>
      <w:bookmarkEnd w:id="11"/>
    </w:p>
    <w:p w14:paraId="4A0739CB" w14:textId="77777777" w:rsidR="00897A05" w:rsidRPr="00BC47DA" w:rsidRDefault="00897A05" w:rsidP="00F731E4">
      <w:pPr>
        <w:spacing w:after="0" w:line="360" w:lineRule="auto"/>
        <w:rPr>
          <w:b/>
          <w:color w:val="000000"/>
        </w:rPr>
      </w:pPr>
    </w:p>
    <w:p w14:paraId="106E2F94" w14:textId="302FF125" w:rsidR="00CE5FC7" w:rsidRDefault="007C7BAF" w:rsidP="00F731E4">
      <w:pPr>
        <w:spacing w:after="0" w:line="360" w:lineRule="auto"/>
        <w:rPr>
          <w:rFonts w:cs="Tahoma"/>
        </w:rPr>
      </w:pPr>
      <w:r w:rsidRPr="00BC47DA">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BC47DA">
        <w:rPr>
          <w:rFonts w:cs="Tahoma"/>
        </w:rPr>
        <w:t>requirió</w:t>
      </w:r>
      <w:r w:rsidR="009D3C99">
        <w:rPr>
          <w:rFonts w:cs="Tahoma"/>
        </w:rPr>
        <w:t xml:space="preserve"> de la primera y segunda quincena de abril de dos mil veinticinco, lo siguiente:</w:t>
      </w:r>
    </w:p>
    <w:p w14:paraId="069F0B2D" w14:textId="201D8ED1" w:rsidR="009D3C99" w:rsidRDefault="009D3C99" w:rsidP="0065684B">
      <w:pPr>
        <w:pStyle w:val="Prrafodelista"/>
        <w:numPr>
          <w:ilvl w:val="0"/>
          <w:numId w:val="10"/>
        </w:numPr>
        <w:spacing w:line="360" w:lineRule="auto"/>
        <w:rPr>
          <w:rFonts w:cs="Tahoma"/>
        </w:rPr>
      </w:pPr>
      <w:proofErr w:type="spellStart"/>
      <w:r>
        <w:rPr>
          <w:rFonts w:cs="Tahoma"/>
        </w:rPr>
        <w:lastRenderedPageBreak/>
        <w:t>Nomina</w:t>
      </w:r>
      <w:proofErr w:type="spellEnd"/>
      <w:r>
        <w:rPr>
          <w:rFonts w:cs="Tahoma"/>
        </w:rPr>
        <w:t xml:space="preserve"> de todos los servidores públicos, en formato compatible con el </w:t>
      </w:r>
      <w:r>
        <w:rPr>
          <w:rFonts w:cs="Tahoma"/>
          <w:i/>
          <w:iCs/>
        </w:rPr>
        <w:t xml:space="preserve">software </w:t>
      </w:r>
      <w:r w:rsidRPr="009D3C99">
        <w:rPr>
          <w:rFonts w:cs="Tahoma"/>
        </w:rPr>
        <w:t>“</w:t>
      </w:r>
      <w:r>
        <w:rPr>
          <w:rFonts w:cs="Tahoma"/>
        </w:rPr>
        <w:t>Excel</w:t>
      </w:r>
      <w:r w:rsidRPr="009D3C99">
        <w:rPr>
          <w:rFonts w:cs="Tahoma"/>
        </w:rPr>
        <w:t>”</w:t>
      </w:r>
      <w:r>
        <w:rPr>
          <w:rFonts w:cs="Tahoma"/>
        </w:rPr>
        <w:t>, y</w:t>
      </w:r>
    </w:p>
    <w:p w14:paraId="022F7E90" w14:textId="1CEAFCE4" w:rsidR="009D3C99" w:rsidRPr="009D3C99" w:rsidRDefault="009D3C99" w:rsidP="0065684B">
      <w:pPr>
        <w:pStyle w:val="Prrafodelista"/>
        <w:numPr>
          <w:ilvl w:val="0"/>
          <w:numId w:val="10"/>
        </w:numPr>
        <w:spacing w:line="360" w:lineRule="auto"/>
        <w:rPr>
          <w:rFonts w:cs="Tahoma"/>
        </w:rPr>
      </w:pPr>
      <w:r>
        <w:rPr>
          <w:rFonts w:cs="Tahoma"/>
        </w:rPr>
        <w:t xml:space="preserve">Recibos </w:t>
      </w:r>
      <w:r w:rsidR="00FB00B1">
        <w:rPr>
          <w:rFonts w:cs="Tahoma"/>
        </w:rPr>
        <w:t>de nómina (CFDI) generados, considerando Cabildo, personal administrativo, sindical, policías, lista de raya y honorarios.</w:t>
      </w:r>
    </w:p>
    <w:p w14:paraId="43823526" w14:textId="77777777" w:rsidR="005B2778" w:rsidRPr="00BC47DA" w:rsidRDefault="005B2778" w:rsidP="00F731E4">
      <w:pPr>
        <w:spacing w:after="0" w:line="360" w:lineRule="auto"/>
        <w:rPr>
          <w:rFonts w:cs="Tahoma"/>
        </w:rPr>
      </w:pPr>
    </w:p>
    <w:p w14:paraId="00CB1D29" w14:textId="77777777" w:rsidR="00FB00B1" w:rsidRDefault="007C7BAF" w:rsidP="00F731E4">
      <w:pPr>
        <w:spacing w:after="0" w:line="360" w:lineRule="auto"/>
        <w:rPr>
          <w:rFonts w:cs="Tahoma"/>
          <w:bCs/>
          <w:lang w:val="es-ES"/>
        </w:rPr>
      </w:pPr>
      <w:r w:rsidRPr="00BC47DA">
        <w:rPr>
          <w:color w:val="000000"/>
        </w:rPr>
        <w:t>En respuesta, el Sujeto Obligado,</w:t>
      </w:r>
      <w:r w:rsidR="00644832" w:rsidRPr="00BC47DA">
        <w:rPr>
          <w:color w:val="000000"/>
        </w:rPr>
        <w:t xml:space="preserve"> </w:t>
      </w:r>
      <w:r w:rsidR="00C672CD" w:rsidRPr="00BC47DA">
        <w:rPr>
          <w:color w:val="000000"/>
        </w:rPr>
        <w:t>a través de</w:t>
      </w:r>
      <w:r w:rsidR="000A43C5" w:rsidRPr="00BC47DA">
        <w:rPr>
          <w:color w:val="000000"/>
        </w:rPr>
        <w:t xml:space="preserve"> la </w:t>
      </w:r>
      <w:r w:rsidR="00FB00B1">
        <w:rPr>
          <w:color w:val="000000"/>
        </w:rPr>
        <w:t>Coordinación de Recursos Humanos</w:t>
      </w:r>
      <w:r w:rsidR="006831DD" w:rsidRPr="00BC47DA">
        <w:rPr>
          <w:color w:val="000000"/>
        </w:rPr>
        <w:t xml:space="preserve"> adjuntó </w:t>
      </w:r>
      <w:r w:rsidR="00FB00B1">
        <w:rPr>
          <w:color w:val="000000"/>
        </w:rPr>
        <w:t>la versión pública de los recibos de nómina de la primera y segunda quincena de abril de dos mil veinticinco</w:t>
      </w:r>
      <w:r w:rsidR="00C672CD" w:rsidRPr="00BC47DA">
        <w:rPr>
          <w:color w:val="000000"/>
          <w:sz w:val="24"/>
        </w:rPr>
        <w:t>;</w:t>
      </w:r>
      <w:r w:rsidRPr="00BC47DA">
        <w:t xml:space="preserve"> </w:t>
      </w:r>
      <w:r w:rsidRPr="00BC47DA">
        <w:rPr>
          <w:rFonts w:cs="Tahoma"/>
          <w:lang w:val="es-ES"/>
        </w:rPr>
        <w:t>ante dicha circunstancia, el Particular se inconformó</w:t>
      </w:r>
      <w:r w:rsidR="00642F0D" w:rsidRPr="00BC47DA">
        <w:rPr>
          <w:rFonts w:cs="Tahoma"/>
          <w:lang w:val="es-ES"/>
        </w:rPr>
        <w:t xml:space="preserve"> de </w:t>
      </w:r>
      <w:r w:rsidR="006831DD" w:rsidRPr="00BC47DA">
        <w:t xml:space="preserve">la entrega de información </w:t>
      </w:r>
      <w:r w:rsidR="00FB00B1">
        <w:t>incompleta</w:t>
      </w:r>
      <w:r w:rsidR="006831DD" w:rsidRPr="00BC47DA">
        <w:t xml:space="preserve">, al mencionar </w:t>
      </w:r>
      <w:r w:rsidR="00FB00B1">
        <w:t>que faltaba la entrega de las nóminas en formato compatible con Excel</w:t>
      </w:r>
      <w:r w:rsidR="000A43C5" w:rsidRPr="00BC47DA">
        <w:rPr>
          <w:rFonts w:cs="Tahoma"/>
          <w:lang w:val="es-ES"/>
        </w:rPr>
        <w:t xml:space="preserve">, </w:t>
      </w:r>
      <w:r w:rsidRPr="00BC47DA">
        <w:rPr>
          <w:rFonts w:cs="Tahoma"/>
          <w:lang w:val="es-ES"/>
        </w:rPr>
        <w:t xml:space="preserve">lo cual </w:t>
      </w:r>
      <w:r w:rsidRPr="00BC47DA">
        <w:rPr>
          <w:rFonts w:eastAsia="Calibri" w:cs="Tahoma"/>
        </w:rPr>
        <w:t>actualiza la causal de proce</w:t>
      </w:r>
      <w:r w:rsidR="000A43C5" w:rsidRPr="00BC47DA">
        <w:rPr>
          <w:rFonts w:eastAsia="Calibri" w:cs="Tahoma"/>
        </w:rPr>
        <w:t>dencia prevista en la fracción</w:t>
      </w:r>
      <w:r w:rsidR="00EC5B81">
        <w:rPr>
          <w:rFonts w:eastAsia="Calibri" w:cs="Tahoma"/>
        </w:rPr>
        <w:t xml:space="preserve"> </w:t>
      </w:r>
      <w:r w:rsidR="00FB00B1">
        <w:rPr>
          <w:rFonts w:eastAsia="Calibri" w:cs="Tahoma"/>
        </w:rPr>
        <w:t>V</w:t>
      </w:r>
      <w:r w:rsidRPr="00BC47DA">
        <w:rPr>
          <w:rFonts w:eastAsia="Calibri" w:cs="Tahoma"/>
        </w:rPr>
        <w:t>, del artículo 179 de la Ley de Transparencia y Acceso a la Información Pública del Estado de México y Municipios</w:t>
      </w:r>
      <w:r w:rsidR="00F846EC" w:rsidRPr="00BC47DA">
        <w:rPr>
          <w:rFonts w:cs="Tahoma"/>
          <w:bCs/>
          <w:lang w:val="es-ES"/>
        </w:rPr>
        <w:t xml:space="preserve">. </w:t>
      </w:r>
    </w:p>
    <w:p w14:paraId="72C12F5F" w14:textId="77777777" w:rsidR="00FB00B1" w:rsidRDefault="00FB00B1" w:rsidP="00F731E4">
      <w:pPr>
        <w:spacing w:after="0" w:line="360" w:lineRule="auto"/>
        <w:rPr>
          <w:rFonts w:cs="Tahoma"/>
          <w:bCs/>
          <w:lang w:val="es-ES"/>
        </w:rPr>
      </w:pPr>
    </w:p>
    <w:p w14:paraId="706AF9FF" w14:textId="149E01FF" w:rsidR="00FB00B1" w:rsidRPr="00BD5271" w:rsidRDefault="00FB00B1" w:rsidP="00FB00B1">
      <w:pPr>
        <w:spacing w:after="0" w:line="360" w:lineRule="auto"/>
        <w:rPr>
          <w:color w:val="000000"/>
          <w:lang w:eastAsia="es-ES_tradnl"/>
        </w:rPr>
      </w:pPr>
      <w:r w:rsidRPr="00BD5271">
        <w:rPr>
          <w:color w:val="000000"/>
          <w:lang w:eastAsia="es-ES_tradnl"/>
        </w:rPr>
        <w:t xml:space="preserve">Conforme a lo anterior, se logra vislumbrar que </w:t>
      </w:r>
      <w:r w:rsidRPr="00BD5271">
        <w:rPr>
          <w:rFonts w:eastAsia="Calibri" w:cs="Tahoma"/>
          <w:bCs/>
          <w:iCs/>
        </w:rPr>
        <w:t>la persona</w:t>
      </w:r>
      <w:r w:rsidRPr="00BD5271">
        <w:rPr>
          <w:color w:val="000000"/>
          <w:lang w:eastAsia="es-ES_tradnl"/>
        </w:rPr>
        <w:t xml:space="preserve"> Recurrente no se agravió de los </w:t>
      </w:r>
      <w:r>
        <w:rPr>
          <w:color w:val="000000"/>
          <w:lang w:eastAsia="es-ES_tradnl"/>
        </w:rPr>
        <w:t>Comprobantes Fiscales Digitales por Internet</w:t>
      </w:r>
      <w:r w:rsidR="00915026">
        <w:rPr>
          <w:color w:val="000000"/>
          <w:lang w:eastAsia="es-ES_tradnl"/>
        </w:rPr>
        <w:t>, ni de la falta de pronunciamiento de la lista de raya y honorarios asimilados a salarios</w:t>
      </w:r>
      <w:r w:rsidRPr="00BD5271">
        <w:rPr>
          <w:color w:val="000000"/>
          <w:lang w:eastAsia="es-ES_tradnl"/>
        </w:rPr>
        <w:t xml:space="preserve">, sino de que no le entregaron </w:t>
      </w:r>
      <w:r>
        <w:rPr>
          <w:color w:val="000000"/>
          <w:lang w:eastAsia="es-ES_tradnl"/>
        </w:rPr>
        <w:t>nóminas</w:t>
      </w:r>
      <w:r w:rsidRPr="00BD5271">
        <w:rPr>
          <w:color w:val="000000"/>
          <w:lang w:eastAsia="es-ES_tradnl"/>
        </w:rPr>
        <w:t>,</w:t>
      </w:r>
      <w:r w:rsidRPr="00BD5271">
        <w:rPr>
          <w:rFonts w:eastAsia="Calibri" w:cs="Tahoma"/>
          <w:color w:val="000000"/>
          <w:lang w:val="es-ES"/>
        </w:rPr>
        <w:t xml:space="preserve"> p</w:t>
      </w:r>
      <w:proofErr w:type="spellStart"/>
      <w:r w:rsidRPr="00BD5271">
        <w:rPr>
          <w:color w:val="000000"/>
          <w:lang w:eastAsia="es-ES_tradnl"/>
        </w:rPr>
        <w:t>or</w:t>
      </w:r>
      <w:proofErr w:type="spellEnd"/>
      <w:r w:rsidRPr="00BD5271">
        <w:rPr>
          <w:color w:val="000000"/>
          <w:lang w:eastAsia="es-ES_tradnl"/>
        </w:rPr>
        <w:t xml:space="preserve"> lo que, no se hará pronunciamiento alguno, respecto </w:t>
      </w:r>
      <w:r>
        <w:rPr>
          <w:color w:val="000000"/>
          <w:lang w:eastAsia="es-ES_tradnl"/>
        </w:rPr>
        <w:t>a lo entregado en respuesta</w:t>
      </w:r>
      <w:r w:rsidRPr="00BD5271">
        <w:rPr>
          <w:color w:val="000000"/>
          <w:lang w:eastAsia="es-ES_tradnl"/>
        </w:rPr>
        <w:t>,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w:t>
      </w:r>
      <w:r w:rsidRPr="00BD5271">
        <w:rPr>
          <w:b/>
          <w:bCs/>
          <w:color w:val="000000"/>
          <w:lang w:eastAsia="es-ES_tradnl"/>
        </w:rPr>
        <w:t>los actos que se hayan consentido tácitamente,</w:t>
      </w:r>
      <w:r w:rsidRPr="00BD5271">
        <w:rPr>
          <w:color w:val="000000"/>
          <w:lang w:eastAsia="es-ES_tradnl"/>
        </w:rPr>
        <w:t> entendiéndose por estos cuando el agravio no se haya promovido en el plazo señalado para el efecto.</w:t>
      </w:r>
    </w:p>
    <w:p w14:paraId="5305961C" w14:textId="77777777" w:rsidR="00FB00B1" w:rsidRPr="00BD5271" w:rsidRDefault="00FB00B1" w:rsidP="00FB00B1">
      <w:pPr>
        <w:spacing w:after="0" w:line="360" w:lineRule="auto"/>
        <w:rPr>
          <w:rFonts w:cs="Times New Roman"/>
          <w:color w:val="000000"/>
          <w:lang w:eastAsia="es-ES_tradnl"/>
        </w:rPr>
      </w:pPr>
      <w:r w:rsidRPr="00BD5271">
        <w:rPr>
          <w:color w:val="000000"/>
          <w:lang w:eastAsia="es-ES_tradnl"/>
        </w:rPr>
        <w:t> </w:t>
      </w:r>
    </w:p>
    <w:p w14:paraId="185C8E5C" w14:textId="77777777" w:rsidR="00FB00B1" w:rsidRPr="00BD5271" w:rsidRDefault="00FB00B1" w:rsidP="00FB00B1">
      <w:pPr>
        <w:spacing w:after="0" w:line="360" w:lineRule="auto"/>
        <w:rPr>
          <w:color w:val="000000"/>
          <w:lang w:eastAsia="es-ES_tradnl"/>
        </w:rPr>
      </w:pPr>
      <w:r w:rsidRPr="00BD5271">
        <w:rPr>
          <w:color w:val="000000"/>
          <w:lang w:eastAsia="es-ES_tradnl"/>
        </w:rPr>
        <w:t>De la misma manera resulta aplicable el criterio sostenido por el Poder Judicial de la Federación de rubro </w:t>
      </w:r>
      <w:r w:rsidRPr="00BD5271">
        <w:rPr>
          <w:b/>
          <w:bCs/>
          <w:color w:val="000000"/>
          <w:lang w:eastAsia="es-ES_tradnl"/>
        </w:rPr>
        <w:t>ACTOS CONSENTIDOS TÁCITAMENTE</w:t>
      </w:r>
      <w:r w:rsidRPr="00BD5271">
        <w:rPr>
          <w:color w:val="000000"/>
          <w:lang w:eastAsia="es-ES_tradnl"/>
        </w:rPr>
        <w:t xml:space="preserve">, Tesis VI.2o. J/21, emitida en la novena época, por el Segundo Tribunal Colegiado del Sexto Circuito, publicada en la </w:t>
      </w:r>
      <w:r w:rsidRPr="00BD5271">
        <w:rPr>
          <w:color w:val="000000"/>
          <w:lang w:eastAsia="es-ES_tradnl"/>
        </w:rPr>
        <w:lastRenderedPageBreak/>
        <w:t>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1CE1F43" w14:textId="77777777" w:rsidR="00FB00B1" w:rsidRPr="00BD5271" w:rsidRDefault="00FB00B1" w:rsidP="00FB00B1">
      <w:pPr>
        <w:spacing w:after="0" w:line="360" w:lineRule="auto"/>
        <w:rPr>
          <w:color w:val="000000"/>
          <w:lang w:eastAsia="es-ES_tradnl"/>
        </w:rPr>
      </w:pPr>
      <w:r w:rsidRPr="00BD5271">
        <w:rPr>
          <w:color w:val="000000"/>
          <w:lang w:eastAsia="es-ES_tradnl"/>
        </w:rPr>
        <w:t> </w:t>
      </w:r>
    </w:p>
    <w:p w14:paraId="4B921DE3" w14:textId="77777777" w:rsidR="00FB00B1" w:rsidRPr="00BD5271" w:rsidRDefault="00FB00B1" w:rsidP="00FB00B1">
      <w:pPr>
        <w:spacing w:after="0" w:line="360" w:lineRule="auto"/>
        <w:rPr>
          <w:color w:val="000000"/>
          <w:lang w:eastAsia="es-ES_tradnl"/>
        </w:rPr>
      </w:pPr>
      <w:r w:rsidRPr="00BD5271">
        <w:rPr>
          <w:color w:val="000000"/>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3F91716B" w14:textId="77777777" w:rsidR="00FB00B1" w:rsidRPr="00BD5271" w:rsidRDefault="00FB00B1" w:rsidP="00FB00B1">
      <w:pPr>
        <w:spacing w:after="0" w:line="360" w:lineRule="auto"/>
        <w:rPr>
          <w:color w:val="000000"/>
          <w:lang w:eastAsia="es-ES_tradnl"/>
        </w:rPr>
      </w:pPr>
      <w:r w:rsidRPr="00BD5271">
        <w:rPr>
          <w:color w:val="000000"/>
          <w:lang w:eastAsia="es-ES_tradnl"/>
        </w:rPr>
        <w:t> </w:t>
      </w:r>
    </w:p>
    <w:p w14:paraId="206562A8" w14:textId="5ABA78CD" w:rsidR="000A43C5" w:rsidRPr="00BC47DA" w:rsidRDefault="00FB00B1" w:rsidP="00F731E4">
      <w:pPr>
        <w:spacing w:after="0" w:line="360" w:lineRule="auto"/>
      </w:pPr>
      <w:r w:rsidRPr="00BD5271">
        <w:rPr>
          <w:color w:val="000000"/>
          <w:lang w:eastAsia="es-ES_tradnl"/>
        </w:rPr>
        <w:t xml:space="preserve">Asimismo, resulta relevante traer a colación el Criterio Orientador, de la Segunda Época, con número de registro SO/001/2020, emitido por el entonces Instituto Nacional de Transparencia, Acceso a la Información y Protección de Datos Personales </w:t>
      </w:r>
      <w:r w:rsidRPr="00BD5271">
        <w:rPr>
          <w:bCs/>
          <w:iCs/>
          <w:color w:val="000000"/>
          <w:lang w:eastAsia="es-ES_tradnl"/>
        </w:rPr>
        <w:t>vigente a la fecha de la solicitud</w:t>
      </w:r>
      <w:r w:rsidRPr="00BD5271">
        <w:rPr>
          <w:color w:val="000000"/>
          <w:lang w:eastAsia="es-ES_tradnl"/>
        </w:rPr>
        <w:t xml:space="preserve">, el cual establece que es improcedente entrar al análisis de las partes de la respuesta del Sujeto Obligado que no fueron impugnadas por </w:t>
      </w:r>
      <w:r w:rsidRPr="00BD5271">
        <w:rPr>
          <w:rFonts w:eastAsia="Calibri" w:cs="Tahoma"/>
          <w:bCs/>
          <w:iCs/>
        </w:rPr>
        <w:t>la persona</w:t>
      </w:r>
      <w:r w:rsidRPr="00BD5271">
        <w:rPr>
          <w:color w:val="000000"/>
          <w:lang w:eastAsia="es-ES_tradnl"/>
        </w:rPr>
        <w:t xml:space="preserve"> Recurrente; por lo que, en el presente caso, se tienen por consentidos </w:t>
      </w:r>
      <w:r>
        <w:rPr>
          <w:color w:val="000000"/>
          <w:lang w:eastAsia="es-ES_tradnl"/>
        </w:rPr>
        <w:t>el punto 2 de la solicitud</w:t>
      </w:r>
      <w:r w:rsidRPr="00BD5271">
        <w:rPr>
          <w:color w:val="000000"/>
          <w:lang w:eastAsia="es-ES_tradnl"/>
        </w:rPr>
        <w:t xml:space="preserve">, y únicamente se entrará al análisis </w:t>
      </w:r>
      <w:r>
        <w:rPr>
          <w:color w:val="000000"/>
          <w:lang w:eastAsia="es-ES_tradnl"/>
        </w:rPr>
        <w:t>del 1</w:t>
      </w:r>
      <w:r w:rsidRPr="00BD5271">
        <w:rPr>
          <w:color w:val="000000"/>
          <w:lang w:eastAsia="es-ES_tradnl"/>
        </w:rPr>
        <w:t>.</w:t>
      </w:r>
      <w:r>
        <w:rPr>
          <w:color w:val="000000"/>
          <w:lang w:eastAsia="es-ES_tradnl"/>
        </w:rPr>
        <w:t xml:space="preserve"> </w:t>
      </w:r>
      <w:r w:rsidR="000A43C5" w:rsidRPr="00BC47DA">
        <w:rPr>
          <w:rFonts w:eastAsia="Calibri" w:cs="Tahoma"/>
        </w:rPr>
        <w:t>Así, las cosas, una vez admitido y notificado el Recurso de Revisión a las partes</w:t>
      </w:r>
      <w:r w:rsidR="006831DD" w:rsidRPr="00BC47DA">
        <w:rPr>
          <w:rFonts w:eastAsia="Calibri" w:cs="Tahoma"/>
        </w:rPr>
        <w:t xml:space="preserve">, </w:t>
      </w:r>
      <w:r>
        <w:rPr>
          <w:rFonts w:eastAsia="Calibri" w:cs="Tahoma"/>
        </w:rPr>
        <w:t>estas fueron omisas en emitir manifestaciones o alegatos.</w:t>
      </w:r>
    </w:p>
    <w:p w14:paraId="137DA036" w14:textId="77777777" w:rsidR="00AB4AC2" w:rsidRPr="00BC47DA" w:rsidRDefault="00AB4AC2" w:rsidP="00F731E4">
      <w:pPr>
        <w:spacing w:after="0" w:line="360" w:lineRule="auto"/>
        <w:ind w:right="567"/>
        <w:rPr>
          <w:i/>
          <w:iCs/>
          <w:sz w:val="20"/>
          <w:szCs w:val="20"/>
        </w:rPr>
      </w:pPr>
    </w:p>
    <w:p w14:paraId="22C5958E" w14:textId="6F60DEF0" w:rsidR="007C7BAF" w:rsidRPr="00BC47DA" w:rsidRDefault="007C7BAF" w:rsidP="00F731E4">
      <w:pPr>
        <w:tabs>
          <w:tab w:val="left" w:pos="4962"/>
        </w:tabs>
        <w:spacing w:after="0" w:line="360" w:lineRule="auto"/>
        <w:rPr>
          <w:rFonts w:eastAsia="Calibri" w:cs="Tahoma"/>
          <w:bCs/>
        </w:rPr>
      </w:pPr>
      <w:r w:rsidRPr="00BC47DA">
        <w:rPr>
          <w:rFonts w:eastAsia="Calibri" w:cs="Tahoma"/>
          <w:iCs/>
          <w:lang w:val="es-ES" w:eastAsia="es-ES_tradnl"/>
        </w:rPr>
        <w:t>Lo anterior, se desprende de las documentales que obran en el expediente de referencia, materia de la presente resolución, consistente en: la solic</w:t>
      </w:r>
      <w:r w:rsidR="00BB3F28" w:rsidRPr="00BC47DA">
        <w:rPr>
          <w:rFonts w:eastAsia="Calibri" w:cs="Tahoma"/>
          <w:iCs/>
          <w:lang w:val="es-ES" w:eastAsia="es-ES_tradnl"/>
        </w:rPr>
        <w:t>i</w:t>
      </w:r>
      <w:r w:rsidR="0076190F" w:rsidRPr="00BC47DA">
        <w:rPr>
          <w:rFonts w:eastAsia="Calibri" w:cs="Tahoma"/>
          <w:iCs/>
          <w:lang w:val="es-ES" w:eastAsia="es-ES_tradnl"/>
        </w:rPr>
        <w:t>tud de acceso a la información</w:t>
      </w:r>
      <w:r w:rsidR="001A1BC6" w:rsidRPr="00BC47DA">
        <w:rPr>
          <w:rFonts w:eastAsia="Calibri" w:cs="Tahoma"/>
          <w:iCs/>
          <w:lang w:val="es-ES" w:eastAsia="es-ES_tradnl"/>
        </w:rPr>
        <w:t xml:space="preserve">, </w:t>
      </w:r>
      <w:r w:rsidRPr="00BC47DA">
        <w:rPr>
          <w:rFonts w:eastAsia="Calibri" w:cs="Tahoma"/>
          <w:iCs/>
          <w:lang w:eastAsia="es-ES_tradnl"/>
        </w:rPr>
        <w:t xml:space="preserve">el escrito </w:t>
      </w:r>
      <w:proofErr w:type="spellStart"/>
      <w:r w:rsidRPr="00BC47DA">
        <w:rPr>
          <w:rFonts w:eastAsia="Calibri" w:cs="Tahoma"/>
          <w:iCs/>
          <w:lang w:eastAsia="es-ES_tradnl"/>
        </w:rPr>
        <w:t>recursal</w:t>
      </w:r>
      <w:proofErr w:type="spellEnd"/>
      <w:r w:rsidR="001A1BC6" w:rsidRPr="00BC47DA">
        <w:rPr>
          <w:rFonts w:eastAsia="Calibri" w:cs="Tahoma"/>
          <w:iCs/>
          <w:lang w:eastAsia="es-ES_tradnl"/>
        </w:rPr>
        <w:t xml:space="preserve"> y el Informe Justificado</w:t>
      </w:r>
      <w:r w:rsidRPr="00BC47DA">
        <w:rPr>
          <w:rFonts w:eastAsia="Calibri" w:cs="Tahoma"/>
          <w:iCs/>
          <w:lang w:eastAsia="es-ES_tradnl"/>
        </w:rPr>
        <w:t xml:space="preserve">; </w:t>
      </w:r>
      <w:r w:rsidRPr="00BC47DA">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36DCBD9D" w14:textId="0AA8912A" w:rsidR="005C690F" w:rsidRPr="00BC47DA" w:rsidRDefault="007D6307" w:rsidP="00F731E4">
      <w:pPr>
        <w:pStyle w:val="Ttulo2"/>
        <w:spacing w:before="0" w:after="0" w:line="360" w:lineRule="auto"/>
        <w:rPr>
          <w:sz w:val="22"/>
          <w:szCs w:val="22"/>
        </w:rPr>
      </w:pPr>
      <w:bookmarkStart w:id="12" w:name="_Toc199357593"/>
      <w:r w:rsidRPr="00BC47DA">
        <w:rPr>
          <w:sz w:val="22"/>
          <w:szCs w:val="22"/>
        </w:rPr>
        <w:lastRenderedPageBreak/>
        <w:t xml:space="preserve">CUARTO. Marco normativo aplicable en materia de transparencia y </w:t>
      </w:r>
      <w:r w:rsidR="00CD6238" w:rsidRPr="00BC47DA">
        <w:rPr>
          <w:sz w:val="22"/>
          <w:szCs w:val="22"/>
        </w:rPr>
        <w:t>acceso a la información pública</w:t>
      </w:r>
      <w:bookmarkEnd w:id="12"/>
    </w:p>
    <w:p w14:paraId="4D62F8F1" w14:textId="77777777" w:rsidR="005C690F" w:rsidRPr="00BC47DA" w:rsidRDefault="005C690F" w:rsidP="00F731E4">
      <w:pPr>
        <w:spacing w:after="0" w:line="360" w:lineRule="auto"/>
        <w:rPr>
          <w:color w:val="000000"/>
        </w:rPr>
      </w:pPr>
    </w:p>
    <w:p w14:paraId="68F50546" w14:textId="77777777" w:rsidR="005C690F" w:rsidRPr="00BC47DA" w:rsidRDefault="007D6307" w:rsidP="00F731E4">
      <w:pPr>
        <w:spacing w:after="0" w:line="360" w:lineRule="auto"/>
        <w:rPr>
          <w:color w:val="000000"/>
        </w:rPr>
      </w:pPr>
      <w:r w:rsidRPr="00BC47DA">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BC47DA" w:rsidRDefault="005C690F" w:rsidP="00F731E4">
      <w:pPr>
        <w:spacing w:after="0" w:line="360" w:lineRule="auto"/>
        <w:rPr>
          <w:color w:val="000000"/>
        </w:rPr>
      </w:pPr>
    </w:p>
    <w:p w14:paraId="69458899" w14:textId="77777777" w:rsidR="005C690F" w:rsidRPr="00BC47DA" w:rsidRDefault="007D6307" w:rsidP="00F731E4">
      <w:pPr>
        <w:spacing w:after="0" w:line="360" w:lineRule="auto"/>
        <w:rPr>
          <w:color w:val="000000"/>
        </w:rPr>
      </w:pPr>
      <w:r w:rsidRPr="00BC47DA">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BC47DA" w:rsidRDefault="005C690F" w:rsidP="00F731E4">
      <w:pPr>
        <w:spacing w:after="0" w:line="360" w:lineRule="auto"/>
        <w:rPr>
          <w:color w:val="000000"/>
        </w:rPr>
      </w:pPr>
    </w:p>
    <w:p w14:paraId="3D8EBDEC" w14:textId="77777777" w:rsidR="005C690F" w:rsidRPr="00BC47DA" w:rsidRDefault="007D6307" w:rsidP="00F731E4">
      <w:pPr>
        <w:spacing w:after="0" w:line="360" w:lineRule="auto"/>
        <w:rPr>
          <w:color w:val="000000"/>
        </w:rPr>
      </w:pPr>
      <w:r w:rsidRPr="00BC47DA">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BC47DA" w:rsidRDefault="005C690F" w:rsidP="00F731E4">
      <w:pPr>
        <w:spacing w:after="0" w:line="360" w:lineRule="auto"/>
        <w:rPr>
          <w:color w:val="000000"/>
        </w:rPr>
      </w:pPr>
    </w:p>
    <w:p w14:paraId="5BD9CB2E" w14:textId="77777777" w:rsidR="005C690F" w:rsidRPr="00BC47DA" w:rsidRDefault="007D6307" w:rsidP="00F731E4">
      <w:pPr>
        <w:spacing w:after="0" w:line="360" w:lineRule="auto"/>
        <w:rPr>
          <w:color w:val="000000"/>
        </w:rPr>
      </w:pPr>
      <w:r w:rsidRPr="00BC47DA">
        <w:rPr>
          <w:color w:val="000000"/>
        </w:rPr>
        <w:t>El artículo 12, que, quienes generen, recopilen, administren, manejen, procesen, archiven o conserven información pública serán responsables de la misma.</w:t>
      </w:r>
    </w:p>
    <w:p w14:paraId="6BD1FFBB" w14:textId="77777777" w:rsidR="007C02D1" w:rsidRPr="00BC47DA" w:rsidRDefault="007C02D1" w:rsidP="00F731E4">
      <w:pPr>
        <w:spacing w:after="0" w:line="360" w:lineRule="auto"/>
        <w:rPr>
          <w:color w:val="000000"/>
        </w:rPr>
      </w:pPr>
    </w:p>
    <w:p w14:paraId="3D899A16" w14:textId="77777777" w:rsidR="005C690F" w:rsidRPr="00BC47DA" w:rsidRDefault="007D6307" w:rsidP="00F731E4">
      <w:pPr>
        <w:widowControl w:val="0"/>
        <w:spacing w:after="0" w:line="360" w:lineRule="auto"/>
        <w:rPr>
          <w:color w:val="000000"/>
        </w:rPr>
      </w:pPr>
      <w:r w:rsidRPr="00BC47DA">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BC47DA" w:rsidRDefault="00B153FA" w:rsidP="00F731E4">
      <w:pPr>
        <w:widowControl w:val="0"/>
        <w:spacing w:after="0" w:line="360" w:lineRule="auto"/>
        <w:rPr>
          <w:color w:val="000000"/>
        </w:rPr>
      </w:pPr>
    </w:p>
    <w:p w14:paraId="70E5B643" w14:textId="378E2A57" w:rsidR="00B04A35" w:rsidRPr="00BC47DA" w:rsidRDefault="007D6307" w:rsidP="00F731E4">
      <w:pPr>
        <w:spacing w:after="0" w:line="360" w:lineRule="auto"/>
        <w:rPr>
          <w:color w:val="000000"/>
        </w:rPr>
      </w:pPr>
      <w:r w:rsidRPr="00BC47DA">
        <w:rPr>
          <w:color w:val="000000"/>
        </w:rPr>
        <w:t xml:space="preserve">El artículo 19, que, se presume que la información debe existir si se refiere a las facultades, competencias y funciones que los ordenamientos jurídicos aplicables otorgan a los sujetos </w:t>
      </w:r>
      <w:r w:rsidRPr="00BC47DA">
        <w:rPr>
          <w:color w:val="000000"/>
        </w:rPr>
        <w:lastRenderedPageBreak/>
        <w:t>obligados y en caso de que dichas facultades no se hayan ejercido, se deberá motivar la respuesta en función de las causas que motivaron tal circunstancia.</w:t>
      </w:r>
    </w:p>
    <w:p w14:paraId="30795D2E" w14:textId="77777777" w:rsidR="005C690F" w:rsidRPr="00BC47DA" w:rsidRDefault="005C690F" w:rsidP="00F731E4">
      <w:pPr>
        <w:spacing w:after="0" w:line="360" w:lineRule="auto"/>
      </w:pPr>
    </w:p>
    <w:p w14:paraId="3AF871E5" w14:textId="6FEB966D" w:rsidR="005C690F" w:rsidRPr="00BC47DA" w:rsidRDefault="00CD6238" w:rsidP="00F731E4">
      <w:pPr>
        <w:pStyle w:val="Ttulo2"/>
        <w:spacing w:before="0" w:after="0" w:line="360" w:lineRule="auto"/>
        <w:rPr>
          <w:sz w:val="22"/>
          <w:szCs w:val="22"/>
        </w:rPr>
      </w:pPr>
      <w:bookmarkStart w:id="13" w:name="_Toc199357594"/>
      <w:r w:rsidRPr="00BC47DA">
        <w:rPr>
          <w:sz w:val="22"/>
          <w:szCs w:val="22"/>
        </w:rPr>
        <w:t>Q</w:t>
      </w:r>
      <w:r w:rsidR="0044017B" w:rsidRPr="00BC47DA">
        <w:rPr>
          <w:sz w:val="22"/>
          <w:szCs w:val="22"/>
        </w:rPr>
        <w:t>UINTO</w:t>
      </w:r>
      <w:r w:rsidRPr="00BC47DA">
        <w:rPr>
          <w:sz w:val="22"/>
          <w:szCs w:val="22"/>
        </w:rPr>
        <w:t>. Estudio de Fondo</w:t>
      </w:r>
      <w:bookmarkEnd w:id="13"/>
    </w:p>
    <w:p w14:paraId="2596B212" w14:textId="77777777" w:rsidR="00A56228" w:rsidRDefault="00A56228" w:rsidP="00F731E4">
      <w:pPr>
        <w:spacing w:after="0" w:line="360" w:lineRule="auto"/>
        <w:rPr>
          <w:b/>
          <w:color w:val="000000"/>
        </w:rPr>
      </w:pPr>
    </w:p>
    <w:p w14:paraId="5F490A49" w14:textId="72D22DC5" w:rsidR="007F4407" w:rsidRPr="00BC47DA" w:rsidRDefault="0064067B" w:rsidP="00F731E4">
      <w:pPr>
        <w:spacing w:after="0" w:line="360" w:lineRule="auto"/>
        <w:rPr>
          <w:rFonts w:eastAsia="Times New Roman" w:cs="Tahoma"/>
          <w:bCs/>
          <w:iCs/>
          <w:lang w:eastAsia="es-ES"/>
        </w:rPr>
      </w:pPr>
      <w:r w:rsidRPr="00BC47DA">
        <w:rPr>
          <w:color w:val="000000"/>
        </w:rPr>
        <w:t>Expuestas las posturas de las partes, se procede al análisis de</w:t>
      </w:r>
      <w:r w:rsidR="00647BA4">
        <w:rPr>
          <w:color w:val="000000"/>
        </w:rPr>
        <w:t>l</w:t>
      </w:r>
      <w:r w:rsidRPr="00BC47DA">
        <w:rPr>
          <w:color w:val="000000"/>
        </w:rPr>
        <w:t xml:space="preserve"> agravio hecho</w:t>
      </w:r>
      <w:r w:rsidR="00647BA4">
        <w:rPr>
          <w:color w:val="000000"/>
        </w:rPr>
        <w:t xml:space="preserve"> </w:t>
      </w:r>
      <w:r w:rsidRPr="00BC47DA">
        <w:rPr>
          <w:color w:val="000000"/>
        </w:rPr>
        <w:t>valer por la persona Recurrente</w:t>
      </w:r>
      <w:r w:rsidR="00731FB9" w:rsidRPr="00BC47DA">
        <w:t xml:space="preserve">, </w:t>
      </w:r>
      <w:r w:rsidR="007F4407" w:rsidRPr="00BC47DA">
        <w:rPr>
          <w:rFonts w:eastAsia="Times New Roman" w:cs="Tahoma"/>
          <w:bCs/>
          <w:iCs/>
          <w:lang w:eastAsia="es-ES"/>
        </w:rPr>
        <w:t>por lo que, en principio es necesario contextualizar la solicitud de información.</w:t>
      </w:r>
    </w:p>
    <w:p w14:paraId="6E916EB3" w14:textId="77777777" w:rsidR="00D61246" w:rsidRPr="00BC47DA" w:rsidRDefault="00D61246" w:rsidP="00F731E4">
      <w:pPr>
        <w:spacing w:after="0" w:line="360" w:lineRule="auto"/>
        <w:rPr>
          <w:rFonts w:eastAsia="Times New Roman" w:cs="Tahoma"/>
          <w:bCs/>
          <w:iCs/>
          <w:lang w:eastAsia="es-ES"/>
        </w:rPr>
      </w:pPr>
    </w:p>
    <w:p w14:paraId="0464C6D2" w14:textId="77777777" w:rsidR="00647BA4" w:rsidRPr="003B129A" w:rsidRDefault="00647BA4" w:rsidP="00F731E4">
      <w:pPr>
        <w:spacing w:after="0" w:line="360" w:lineRule="auto"/>
        <w:rPr>
          <w:color w:val="000000"/>
        </w:rPr>
      </w:pPr>
      <w:r w:rsidRPr="003B129A">
        <w:rPr>
          <w:rFonts w:cs="Tahoma"/>
          <w:bCs/>
          <w:iCs/>
        </w:rPr>
        <w:t>Sobre el tema</w:t>
      </w:r>
      <w:r w:rsidRPr="003B129A">
        <w:t xml:space="preserve">, el </w:t>
      </w:r>
      <w:r w:rsidRPr="003B129A">
        <w:rPr>
          <w:color w:val="000000"/>
        </w:rPr>
        <w:t>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w:t>
      </w:r>
    </w:p>
    <w:p w14:paraId="292C156C" w14:textId="77777777" w:rsidR="00647BA4" w:rsidRPr="003B129A" w:rsidRDefault="00647BA4" w:rsidP="00F731E4">
      <w:pPr>
        <w:spacing w:after="0" w:line="360" w:lineRule="auto"/>
        <w:rPr>
          <w:color w:val="000000"/>
        </w:rPr>
      </w:pPr>
    </w:p>
    <w:p w14:paraId="1B3E8D61" w14:textId="77777777" w:rsidR="00647BA4" w:rsidRPr="003B129A" w:rsidRDefault="00647BA4" w:rsidP="00F731E4">
      <w:pPr>
        <w:spacing w:after="0" w:line="360" w:lineRule="auto"/>
        <w:rPr>
          <w:color w:val="000000"/>
        </w:rPr>
      </w:pPr>
      <w:r w:rsidRPr="003B129A">
        <w:rPr>
          <w:color w:val="000000"/>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9C27E1B" w14:textId="77777777" w:rsidR="00647BA4" w:rsidRPr="003B129A" w:rsidRDefault="00647BA4" w:rsidP="00F731E4">
      <w:pPr>
        <w:spacing w:after="0" w:line="360" w:lineRule="auto"/>
      </w:pPr>
    </w:p>
    <w:p w14:paraId="456CB0AB" w14:textId="77777777" w:rsidR="00647BA4" w:rsidRPr="003B129A" w:rsidRDefault="00647BA4" w:rsidP="00F731E4">
      <w:pPr>
        <w:spacing w:after="0" w:line="360" w:lineRule="auto"/>
        <w:rPr>
          <w:color w:val="000000"/>
        </w:rPr>
      </w:pPr>
      <w:r w:rsidRPr="003B129A">
        <w:rPr>
          <w:color w:val="000000"/>
        </w:rPr>
        <w:t>De la misma manera, el Manual para la Planeación, Programación y presupuesto de egresos Municipal para el ejercicio fiscal dos mil veinticinco, refiere que las remuneraciones consisten en la percepción de un trabajador o retribución monetaria que se da en pago por su servicio o actividad desarrollada.</w:t>
      </w:r>
    </w:p>
    <w:p w14:paraId="75C2684F" w14:textId="77777777" w:rsidR="00647BA4" w:rsidRPr="003B129A" w:rsidRDefault="00647BA4" w:rsidP="00F731E4">
      <w:pPr>
        <w:spacing w:after="0" w:line="360" w:lineRule="auto"/>
        <w:rPr>
          <w:color w:val="000000"/>
        </w:rPr>
      </w:pPr>
    </w:p>
    <w:p w14:paraId="3E2896E2" w14:textId="77777777" w:rsidR="00647BA4" w:rsidRPr="00647BA4" w:rsidRDefault="00647BA4" w:rsidP="00F731E4">
      <w:pPr>
        <w:spacing w:after="0" w:line="360" w:lineRule="auto"/>
        <w:rPr>
          <w:b/>
          <w:bCs/>
          <w:color w:val="000000"/>
        </w:rPr>
      </w:pPr>
      <w:r w:rsidRPr="003B129A">
        <w:rPr>
          <w:color w:val="000000"/>
        </w:rPr>
        <w:t xml:space="preserve">En ese contexto, el artículo 92, fracción VIII, de la Ley de Transparencia y Acceso a la Información Pública del Estado de México y Municipios, establece que los Sujetos Obligados </w:t>
      </w:r>
      <w:r w:rsidRPr="003B129A">
        <w:rPr>
          <w:color w:val="000000"/>
        </w:rPr>
        <w:lastRenderedPageBreak/>
        <w:t xml:space="preserve">deberán poner a disposición del público de manera permanente y actualizada, las remuneraciones brutas y netas de todos los servidores públicos, que incluya todas las percepciones, entre las cuales, se </w:t>
      </w:r>
      <w:r w:rsidRPr="00647BA4">
        <w:rPr>
          <w:b/>
          <w:bCs/>
          <w:color w:val="000000"/>
        </w:rPr>
        <w:t>encuentran los sueldos, prestaciones, gratificaciones, primas, comisiones, dietas, bonos, estímulos, ingresos, entre otros.</w:t>
      </w:r>
    </w:p>
    <w:p w14:paraId="3631436E" w14:textId="77777777" w:rsidR="00647BA4" w:rsidRPr="003B129A" w:rsidRDefault="00647BA4" w:rsidP="00F731E4">
      <w:pPr>
        <w:spacing w:after="0" w:line="360" w:lineRule="auto"/>
        <w:rPr>
          <w:color w:val="000000"/>
        </w:rPr>
      </w:pPr>
    </w:p>
    <w:p w14:paraId="1AF498F2" w14:textId="77777777" w:rsidR="00647BA4" w:rsidRPr="003B129A" w:rsidRDefault="00647BA4" w:rsidP="00F731E4">
      <w:pPr>
        <w:spacing w:after="0" w:line="360" w:lineRule="auto"/>
        <w:rPr>
          <w:b/>
          <w:color w:val="000000"/>
        </w:rPr>
      </w:pPr>
      <w:r w:rsidRPr="003B129A">
        <w:rPr>
          <w:color w:val="000000"/>
        </w:rPr>
        <w:t>Además, respecto al documento requerido, el Glosario localizado en la página de Transparencia Presupuestaria de la Secretaría de Hacienda y Crédito Público (</w:t>
      </w:r>
      <w:hyperlink r:id="rId9" w:history="1">
        <w:r w:rsidRPr="003B129A">
          <w:rPr>
            <w:color w:val="0000FF"/>
            <w:u w:val="single"/>
          </w:rPr>
          <w:t>http://www.transparenciapresupuestaria.gob.mx/es/PTP/Glosario</w:t>
        </w:r>
      </w:hyperlink>
      <w:r w:rsidRPr="003B129A">
        <w:rPr>
          <w:color w:val="000000"/>
        </w:rPr>
        <w:t xml:space="preserve">), establece que la </w:t>
      </w:r>
      <w:r w:rsidRPr="003B129A">
        <w:rPr>
          <w:b/>
          <w:color w:val="000000"/>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349C486B" w14:textId="77777777" w:rsidR="00647BA4" w:rsidRPr="003B129A" w:rsidRDefault="00647BA4" w:rsidP="00F731E4">
      <w:pPr>
        <w:spacing w:after="0" w:line="360" w:lineRule="auto"/>
        <w:rPr>
          <w:b/>
          <w:color w:val="000000"/>
        </w:rPr>
      </w:pPr>
    </w:p>
    <w:p w14:paraId="6A92F5CE" w14:textId="77777777" w:rsidR="00647BA4" w:rsidRPr="003B129A" w:rsidRDefault="00647BA4" w:rsidP="00F731E4">
      <w:pPr>
        <w:spacing w:after="0" w:line="360" w:lineRule="auto"/>
        <w:rPr>
          <w:color w:val="000000"/>
        </w:rPr>
      </w:pPr>
      <w:r w:rsidRPr="003B129A">
        <w:rPr>
          <w:color w:val="000000"/>
        </w:rPr>
        <w:t>De la misma manera, el Glosario de términos más usuales en la Administración Pública Federal, emitido por la Secretaría de Hacienda y Crédito Público (</w:t>
      </w:r>
      <w:hyperlink r:id="rId10" w:history="1">
        <w:r w:rsidRPr="003B129A">
          <w:rPr>
            <w:color w:val="0000FF"/>
            <w:u w:val="single"/>
          </w:rPr>
          <w:t>http://www.apartados.hacienda.gob.mx/contabilidad/documentos/informe_cuenta/1998/cuenta_pública/Glosario/n.htm</w:t>
        </w:r>
      </w:hyperlink>
      <w:r w:rsidRPr="003B129A">
        <w:rPr>
          <w:color w:val="000000"/>
        </w:rPr>
        <w:t xml:space="preserve">), establece que </w:t>
      </w:r>
      <w:r w:rsidRPr="003B129A">
        <w:rPr>
          <w:color w:val="000000"/>
          <w:u w:val="single"/>
        </w:rPr>
        <w:t>la nómina es un listado general</w:t>
      </w:r>
      <w:r w:rsidRPr="003B129A">
        <w:rPr>
          <w:color w:val="000000"/>
        </w:rPr>
        <w:t xml:space="preserve"> de los trabajadores de una institución, en el cual se asientan las percepciones brutas, deducciones y alcance neto de las mismas. Conforme a lo anterior, se puede advertir que la nómina se puede referir a lo siguiente:</w:t>
      </w:r>
    </w:p>
    <w:p w14:paraId="22ECBDDF" w14:textId="77777777" w:rsidR="00647BA4" w:rsidRPr="003B129A" w:rsidRDefault="00647BA4" w:rsidP="00F731E4">
      <w:pPr>
        <w:spacing w:after="0" w:line="360" w:lineRule="auto"/>
        <w:rPr>
          <w:color w:val="000000"/>
        </w:rPr>
      </w:pPr>
    </w:p>
    <w:p w14:paraId="6F3CEC46" w14:textId="77777777" w:rsidR="00647BA4" w:rsidRPr="003B129A" w:rsidRDefault="00647BA4" w:rsidP="0065684B">
      <w:pPr>
        <w:numPr>
          <w:ilvl w:val="0"/>
          <w:numId w:val="1"/>
        </w:numPr>
        <w:spacing w:after="0" w:line="360" w:lineRule="auto"/>
        <w:contextualSpacing/>
        <w:rPr>
          <w:kern w:val="2"/>
          <w:szCs w:val="24"/>
          <w14:ligatures w14:val="standardContextual"/>
        </w:rPr>
      </w:pPr>
      <w:r w:rsidRPr="003B129A">
        <w:rPr>
          <w:kern w:val="2"/>
          <w:szCs w:val="24"/>
          <w14:ligatures w14:val="standardContextual"/>
        </w:rPr>
        <w:t xml:space="preserve">Relación de trabajadores con las percepciones monetarias de cada uno. </w:t>
      </w:r>
    </w:p>
    <w:p w14:paraId="0F413896" w14:textId="77777777" w:rsidR="00647BA4" w:rsidRPr="003B129A" w:rsidRDefault="00647BA4" w:rsidP="0065684B">
      <w:pPr>
        <w:numPr>
          <w:ilvl w:val="0"/>
          <w:numId w:val="1"/>
        </w:numPr>
        <w:spacing w:after="0" w:line="360" w:lineRule="auto"/>
        <w:contextualSpacing/>
        <w:rPr>
          <w:kern w:val="2"/>
          <w:szCs w:val="24"/>
          <w14:ligatures w14:val="standardContextual"/>
        </w:rPr>
      </w:pPr>
      <w:r w:rsidRPr="003B129A">
        <w:rPr>
          <w:kern w:val="2"/>
          <w:szCs w:val="24"/>
          <w14:ligatures w14:val="standardContextual"/>
        </w:rPr>
        <w:t xml:space="preserve">Recibo individual que contiene las prestaciones y deducciones de un trabajador. </w:t>
      </w:r>
    </w:p>
    <w:p w14:paraId="54248F68" w14:textId="77777777" w:rsidR="00647BA4" w:rsidRPr="003B129A" w:rsidRDefault="00647BA4" w:rsidP="0065684B">
      <w:pPr>
        <w:numPr>
          <w:ilvl w:val="0"/>
          <w:numId w:val="1"/>
        </w:numPr>
        <w:spacing w:after="0" w:line="360" w:lineRule="auto"/>
        <w:contextualSpacing/>
        <w:rPr>
          <w:b/>
          <w:kern w:val="2"/>
          <w:szCs w:val="24"/>
          <w14:ligatures w14:val="standardContextual"/>
        </w:rPr>
      </w:pPr>
      <w:r w:rsidRPr="003B129A">
        <w:rPr>
          <w:b/>
          <w:kern w:val="2"/>
          <w:szCs w:val="24"/>
          <w14:ligatures w14:val="standardContextual"/>
        </w:rPr>
        <w:t>Listado general de los servidores públicos de una institución o dependencia, en el cual se asientan las percepciones brutas, deducciones y alcance neto de las mismas.</w:t>
      </w:r>
    </w:p>
    <w:p w14:paraId="199E7C79" w14:textId="77777777" w:rsidR="00647BA4" w:rsidRPr="003B129A" w:rsidRDefault="00647BA4" w:rsidP="00F731E4">
      <w:pPr>
        <w:spacing w:after="0" w:line="360" w:lineRule="auto"/>
        <w:rPr>
          <w:color w:val="FF0000"/>
        </w:rPr>
      </w:pPr>
    </w:p>
    <w:p w14:paraId="7FE74360" w14:textId="0B54D4C0" w:rsidR="00FB00B1" w:rsidRDefault="00FB00B1" w:rsidP="00FB00B1">
      <w:pPr>
        <w:widowControl w:val="0"/>
        <w:spacing w:after="0" w:line="360" w:lineRule="auto"/>
      </w:pPr>
      <w:r>
        <w:lastRenderedPageBreak/>
        <w:t>En ese contexto, los Lineamientos para la Integración y Entrega del Informe Trimestrales Estatales y Municipales para el Ejercicio Fiscal 2025, emitidos por el Órgano Superior de Fiscalización del Estado de México, el cual precisa que los Ayuntamientos deben de proporcionar, para su fiscalización, diversos documentos, entre los cuales se encuentran aquellos del Módulo 4, que contienen la Conciliación de Nómina, el cual se conforma de del listado de servidores públicos, con todas sus percepciones y deducciones, mismo que se genera de manera quincenal, mismo que deberá ser generado en un formato compatible con Excel, tal como se muestra a continuación:</w:t>
      </w:r>
    </w:p>
    <w:p w14:paraId="2E8512FE" w14:textId="77777777" w:rsidR="00647BA4" w:rsidRPr="003B129A" w:rsidRDefault="00647BA4" w:rsidP="00F731E4">
      <w:pPr>
        <w:spacing w:after="0" w:line="360" w:lineRule="auto"/>
      </w:pPr>
    </w:p>
    <w:p w14:paraId="3E78C98D" w14:textId="02C06537" w:rsidR="00647BA4" w:rsidRDefault="00FB00B1" w:rsidP="00F731E4">
      <w:pPr>
        <w:spacing w:after="0" w:line="360" w:lineRule="auto"/>
        <w:rPr>
          <w:color w:val="000000"/>
        </w:rPr>
      </w:pPr>
      <w:r w:rsidRPr="00FB00B1">
        <w:rPr>
          <w:noProof/>
          <w:color w:val="000000"/>
        </w:rPr>
        <w:drawing>
          <wp:inline distT="0" distB="0" distL="0" distR="0" wp14:anchorId="29F7B27E" wp14:editId="4FE2089E">
            <wp:extent cx="5671185" cy="1326515"/>
            <wp:effectExtent l="0" t="0" r="5715" b="6985"/>
            <wp:docPr id="1578355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355525" name=""/>
                    <pic:cNvPicPr/>
                  </pic:nvPicPr>
                  <pic:blipFill>
                    <a:blip r:embed="rId11"/>
                    <a:stretch>
                      <a:fillRect/>
                    </a:stretch>
                  </pic:blipFill>
                  <pic:spPr>
                    <a:xfrm>
                      <a:off x="0" y="0"/>
                      <a:ext cx="5671185" cy="1326515"/>
                    </a:xfrm>
                    <a:prstGeom prst="rect">
                      <a:avLst/>
                    </a:prstGeom>
                  </pic:spPr>
                </pic:pic>
              </a:graphicData>
            </a:graphic>
          </wp:inline>
        </w:drawing>
      </w:r>
    </w:p>
    <w:p w14:paraId="621F9309" w14:textId="77777777" w:rsidR="00FB00B1" w:rsidRDefault="00FB00B1" w:rsidP="00F731E4">
      <w:pPr>
        <w:spacing w:after="0" w:line="360" w:lineRule="auto"/>
        <w:rPr>
          <w:color w:val="000000"/>
        </w:rPr>
      </w:pPr>
    </w:p>
    <w:p w14:paraId="00571539" w14:textId="6633FB67" w:rsidR="002C0003" w:rsidRDefault="00647BA4" w:rsidP="00F731E4">
      <w:pPr>
        <w:spacing w:after="0" w:line="360" w:lineRule="auto"/>
        <w:rPr>
          <w:rFonts w:cs="Tahoma"/>
        </w:rPr>
      </w:pPr>
      <w:r w:rsidRPr="003B129A">
        <w:rPr>
          <w:color w:val="000000"/>
          <w14:ligatures w14:val="standardContextual"/>
        </w:rPr>
        <w:t xml:space="preserve">De tal circunstancia, se logra vislumbrar que la pretensión de la persona Recurrente, es obtener, </w:t>
      </w:r>
      <w:r w:rsidRPr="003B129A">
        <w:rPr>
          <w:rFonts w:cs="Tahoma"/>
        </w:rPr>
        <w:t xml:space="preserve">la conciliación nómina de todos los servidores públicos, de la segunda quincena de </w:t>
      </w:r>
      <w:r>
        <w:rPr>
          <w:rFonts w:cs="Tahoma"/>
        </w:rPr>
        <w:t xml:space="preserve">abril </w:t>
      </w:r>
      <w:r w:rsidRPr="003B129A">
        <w:rPr>
          <w:rFonts w:cs="Tahoma"/>
        </w:rPr>
        <w:t>de dos mil veinticinco</w:t>
      </w:r>
      <w:r w:rsidR="00915026">
        <w:rPr>
          <w:rFonts w:cs="Tahoma"/>
        </w:rPr>
        <w:t>, en formato “.xlsx”, pues contiene el listado de las remuneraciones pagadas a todos los servidores públicos adscritos al Ayuntamiento, durante periodos determinados.</w:t>
      </w:r>
    </w:p>
    <w:p w14:paraId="7204DD01" w14:textId="77777777" w:rsidR="00FB00B1" w:rsidRPr="00647BA4" w:rsidRDefault="00FB00B1" w:rsidP="00F731E4">
      <w:pPr>
        <w:spacing w:after="0" w:line="360" w:lineRule="auto"/>
        <w:rPr>
          <w:rFonts w:cs="Tahoma"/>
        </w:rPr>
      </w:pPr>
    </w:p>
    <w:p w14:paraId="0FC99D01" w14:textId="0B9147FF" w:rsidR="00A220A4" w:rsidRPr="00BC47DA" w:rsidRDefault="002C0003" w:rsidP="00F731E4">
      <w:pPr>
        <w:spacing w:after="0" w:line="360" w:lineRule="auto"/>
        <w:rPr>
          <w:color w:val="0D0D0D"/>
        </w:rPr>
      </w:pPr>
      <w:r w:rsidRPr="00BC47DA">
        <w:rPr>
          <w:color w:val="000000"/>
          <w:lang w:eastAsia="es-ES_tradnl"/>
        </w:rPr>
        <w:t>Establecida dicha circunstancia</w:t>
      </w:r>
      <w:r w:rsidRPr="00BC47DA">
        <w:rPr>
          <w:color w:val="000000"/>
        </w:rPr>
        <w:t>, de las constancias que obran en el expediente electrónico, se advierte que el Sujeto Obligado</w:t>
      </w:r>
      <w:r w:rsidRPr="00BC47DA">
        <w:rPr>
          <w:color w:val="0D0D0D"/>
        </w:rPr>
        <w:t>, turnó la solicitud de información a</w:t>
      </w:r>
      <w:r w:rsidR="00A220A4" w:rsidRPr="00BC47DA">
        <w:rPr>
          <w:color w:val="0D0D0D"/>
        </w:rPr>
        <w:t xml:space="preserve"> la</w:t>
      </w:r>
      <w:r w:rsidR="005622E8" w:rsidRPr="00BC47DA">
        <w:rPr>
          <w:color w:val="0D0D0D"/>
        </w:rPr>
        <w:t xml:space="preserve"> </w:t>
      </w:r>
      <w:r w:rsidR="00915026">
        <w:rPr>
          <w:color w:val="0D0D0D"/>
        </w:rPr>
        <w:t>Coordinación de Recursos Humanos</w:t>
      </w:r>
      <w:r w:rsidRPr="00BC47DA">
        <w:rPr>
          <w:color w:val="000000"/>
        </w:rPr>
        <w:t xml:space="preserve">; </w:t>
      </w:r>
      <w:r w:rsidRPr="00BC47DA">
        <w:t xml:space="preserve">por lo que, es oportuno hacer referencia al </w:t>
      </w:r>
      <w:r w:rsidRPr="00BC47DA">
        <w:rPr>
          <w:b/>
        </w:rPr>
        <w:t>procedimiento de búsqueda que deben de seguir los Sujetos Obligados para localizar la información</w:t>
      </w:r>
      <w:r w:rsidRPr="00BC47DA">
        <w:t xml:space="preserve">, el cual se encuentra previsto en el artículo 162 de la Ley de Transparencia y Acceso a la Información </w:t>
      </w:r>
      <w:r w:rsidRPr="00BC47DA">
        <w:lastRenderedPageBreak/>
        <w:t>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879C152" w14:textId="77777777" w:rsidR="00A220A4" w:rsidRDefault="00A220A4" w:rsidP="00F731E4">
      <w:pPr>
        <w:spacing w:after="0" w:line="360" w:lineRule="auto"/>
        <w:rPr>
          <w:color w:val="0D0D0D"/>
        </w:rPr>
      </w:pPr>
    </w:p>
    <w:p w14:paraId="0302C1BF" w14:textId="1ECB90F9" w:rsidR="002359DF" w:rsidRDefault="002C0003" w:rsidP="00F731E4">
      <w:pPr>
        <w:spacing w:after="0" w:line="360" w:lineRule="auto"/>
        <w:contextualSpacing/>
        <w:rPr>
          <w:color w:val="000000"/>
        </w:rPr>
      </w:pPr>
      <w:r w:rsidRPr="00BC47DA">
        <w:rPr>
          <w:color w:val="000000"/>
        </w:rPr>
        <w:t>Así</w:t>
      </w:r>
      <w:r w:rsidR="002359DF">
        <w:rPr>
          <w:color w:val="000000"/>
        </w:rPr>
        <w:t xml:space="preserve">, a efecto de verificar que se cumplió el procedimiento de búsqueda referido, es necesario traer a colación el Manual de Organización de la Administración Ayapango, vigente, que establece que el Sujeto Obligado contará con una Coordinación de Recursos Humanos, encargada de realizar las actividades realizaciones con el pago de nómina, entre los cuales se encuentra la revisión </w:t>
      </w:r>
      <w:r w:rsidR="00582E01">
        <w:rPr>
          <w:color w:val="000000"/>
        </w:rPr>
        <w:t>y resguardo de los CFDI y dispersión de nómina.</w:t>
      </w:r>
    </w:p>
    <w:p w14:paraId="7D00E59E" w14:textId="77777777" w:rsidR="002359DF" w:rsidRDefault="002359DF" w:rsidP="00F731E4">
      <w:pPr>
        <w:spacing w:after="0" w:line="360" w:lineRule="auto"/>
        <w:contextualSpacing/>
        <w:rPr>
          <w:color w:val="000000"/>
        </w:rPr>
      </w:pPr>
    </w:p>
    <w:p w14:paraId="49F0C64F" w14:textId="1A183A65" w:rsidR="003759E0" w:rsidRPr="00BC47DA" w:rsidRDefault="00582E01" w:rsidP="00F731E4">
      <w:pPr>
        <w:spacing w:after="0" w:line="360" w:lineRule="auto"/>
        <w:contextualSpacing/>
        <w:rPr>
          <w:color w:val="000000"/>
        </w:rPr>
      </w:pPr>
      <w:r>
        <w:rPr>
          <w:color w:val="000000"/>
        </w:rPr>
        <w:t>Así</w:t>
      </w:r>
      <w:r w:rsidR="002C0003" w:rsidRPr="00BC47DA">
        <w:rPr>
          <w:color w:val="000000"/>
        </w:rPr>
        <w:t xml:space="preserve">, </w:t>
      </w:r>
      <w:r w:rsidR="002C0003" w:rsidRPr="00BC47DA">
        <w:t>se logra</w:t>
      </w:r>
      <w:r w:rsidR="00294CD0" w:rsidRPr="00BC47DA">
        <w:t xml:space="preserve"> colegir que el Sujeto Obligado</w:t>
      </w:r>
      <w:r w:rsidR="005622E8" w:rsidRPr="00BC47DA">
        <w:t xml:space="preserve"> </w:t>
      </w:r>
      <w:r w:rsidR="002C0003" w:rsidRPr="00BC47DA">
        <w:t xml:space="preserve">cumplió con el procedimiento de búsqueda </w:t>
      </w:r>
      <w:r w:rsidR="002C0003" w:rsidRPr="00BC47DA">
        <w:rPr>
          <w:color w:val="000000"/>
        </w:rPr>
        <w:t>establecido en el artículo 162 de la Ley de Transparencia y Acceso a la Información Pública del Estado de Méxic</w:t>
      </w:r>
      <w:r w:rsidR="00294CD0" w:rsidRPr="00BC47DA">
        <w:rPr>
          <w:color w:val="000000"/>
        </w:rPr>
        <w:t>o y Municipios, toda vez, que</w:t>
      </w:r>
      <w:r w:rsidR="005622E8" w:rsidRPr="00BC47DA">
        <w:rPr>
          <w:color w:val="000000"/>
        </w:rPr>
        <w:t xml:space="preserve"> </w:t>
      </w:r>
      <w:r w:rsidR="002C0003" w:rsidRPr="00BC47DA">
        <w:rPr>
          <w:color w:val="000000"/>
        </w:rPr>
        <w:t>gestionó el</w:t>
      </w:r>
      <w:r w:rsidR="005622E8" w:rsidRPr="00BC47DA">
        <w:rPr>
          <w:color w:val="000000"/>
        </w:rPr>
        <w:t xml:space="preserve"> requerimiento de información </w:t>
      </w:r>
      <w:r>
        <w:rPr>
          <w:color w:val="000000"/>
        </w:rPr>
        <w:t>al área</w:t>
      </w:r>
      <w:r w:rsidR="002C0003" w:rsidRPr="00BC47DA">
        <w:rPr>
          <w:color w:val="000000"/>
        </w:rPr>
        <w:t xml:space="preserve"> competente para conoc</w:t>
      </w:r>
      <w:r w:rsidR="005622E8" w:rsidRPr="00BC47DA">
        <w:rPr>
          <w:color w:val="000000"/>
        </w:rPr>
        <w:t>e</w:t>
      </w:r>
      <w:r w:rsidR="00294CD0" w:rsidRPr="00BC47DA">
        <w:rPr>
          <w:color w:val="000000"/>
        </w:rPr>
        <w:t>r de la información solicitada.</w:t>
      </w:r>
    </w:p>
    <w:p w14:paraId="3FEE5825" w14:textId="77777777" w:rsidR="00406325" w:rsidRDefault="00406325" w:rsidP="00F731E4">
      <w:pPr>
        <w:spacing w:after="0" w:line="360" w:lineRule="auto"/>
        <w:contextualSpacing/>
        <w:rPr>
          <w:color w:val="000000"/>
        </w:rPr>
      </w:pPr>
    </w:p>
    <w:p w14:paraId="0D646F2C" w14:textId="397E0093" w:rsidR="00582E01" w:rsidRPr="00582E01" w:rsidRDefault="00582E01" w:rsidP="00582E01">
      <w:pPr>
        <w:spacing w:after="0" w:line="360" w:lineRule="auto"/>
        <w:rPr>
          <w:color w:val="auto"/>
        </w:rPr>
      </w:pPr>
      <w:r>
        <w:rPr>
          <w:color w:val="000000"/>
        </w:rPr>
        <w:t>Ahora bien, en respuesta la Coordinación de Recursos Humanos, no realizó algún pronunciamiento expreso respecto a la Conciliación de nómina, pues únicamente se manifestó de los recibos de pago</w:t>
      </w:r>
      <w:r w:rsidRPr="00582E01">
        <w:rPr>
          <w:color w:val="auto"/>
        </w:rPr>
        <w:t>; sobre el tema, el artículo 1.8, fracción XIII, del Código Administrativo del Estado de México, establece que para que tenga validez, todo acto administrativo deberá resolver todos los puntos propuestos por los interesados.</w:t>
      </w:r>
    </w:p>
    <w:p w14:paraId="61099551" w14:textId="77777777" w:rsidR="00582E01" w:rsidRPr="00582E01" w:rsidRDefault="00582E01" w:rsidP="00582E01">
      <w:pPr>
        <w:spacing w:after="0" w:line="360" w:lineRule="auto"/>
        <w:rPr>
          <w:color w:val="auto"/>
        </w:rPr>
      </w:pPr>
    </w:p>
    <w:p w14:paraId="47B23651" w14:textId="77777777" w:rsidR="00582E01" w:rsidRPr="00582E01" w:rsidRDefault="00582E01" w:rsidP="00582E01">
      <w:pPr>
        <w:spacing w:after="0" w:line="360" w:lineRule="auto"/>
        <w:rPr>
          <w:color w:val="auto"/>
        </w:rPr>
      </w:pPr>
      <w:r w:rsidRPr="00582E01">
        <w:rPr>
          <w:color w:val="auto"/>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582E01">
        <w:rPr>
          <w:b/>
          <w:color w:val="auto"/>
        </w:rPr>
        <w:lastRenderedPageBreak/>
        <w:t xml:space="preserve">principio de exhaustividad, </w:t>
      </w:r>
      <w:r w:rsidRPr="00582E01">
        <w:rPr>
          <w:color w:val="auto"/>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ADA9EDD" w14:textId="77777777" w:rsidR="00582E01" w:rsidRPr="00582E01" w:rsidRDefault="00582E01" w:rsidP="00582E01">
      <w:pPr>
        <w:spacing w:after="0" w:line="360" w:lineRule="auto"/>
        <w:rPr>
          <w:color w:val="auto"/>
        </w:rPr>
      </w:pPr>
    </w:p>
    <w:p w14:paraId="28F0227E" w14:textId="7907FC6B" w:rsidR="00582E01" w:rsidRDefault="00582E01" w:rsidP="00582E01">
      <w:pPr>
        <w:spacing w:after="0" w:line="360" w:lineRule="auto"/>
        <w:contextualSpacing/>
        <w:rPr>
          <w:color w:val="auto"/>
        </w:rPr>
      </w:pPr>
      <w:r w:rsidRPr="00582E01">
        <w:rPr>
          <w:color w:val="auto"/>
        </w:rPr>
        <w:t xml:space="preserve">En esa tesitura, se concluye que el Sujeto Obligado no satisfizo el derecho de acceso a la información del Solicitante, pues no se pronunció respecto </w:t>
      </w:r>
      <w:r>
        <w:rPr>
          <w:color w:val="auto"/>
        </w:rPr>
        <w:t xml:space="preserve">a la Conciliación de nómina solicitada, lo cual da como resultado que el agravio sea </w:t>
      </w:r>
      <w:r>
        <w:rPr>
          <w:b/>
          <w:bCs/>
          <w:color w:val="auto"/>
        </w:rPr>
        <w:t>FUNDADO</w:t>
      </w:r>
      <w:r w:rsidRPr="00582E01">
        <w:rPr>
          <w:color w:val="auto"/>
        </w:rPr>
        <w:t>; por lo que, para atender el requerimiento de inform</w:t>
      </w:r>
      <w:r w:rsidR="00122C13">
        <w:rPr>
          <w:color w:val="auto"/>
        </w:rPr>
        <w:t>ación, el Ayuntamiento de Ayapango</w:t>
      </w:r>
      <w:r w:rsidRPr="00582E01">
        <w:rPr>
          <w:color w:val="auto"/>
        </w:rPr>
        <w:t xml:space="preserve">, deberá realizar una búsqueda exhaustiva y razonable en sus archivos, a efecto de proporcionar </w:t>
      </w:r>
      <w:r>
        <w:rPr>
          <w:color w:val="auto"/>
        </w:rPr>
        <w:t>los documentos solicitados, preferente mente en formato “.xlsx”</w:t>
      </w:r>
    </w:p>
    <w:p w14:paraId="543EC8EA" w14:textId="77777777" w:rsidR="00582E01" w:rsidRPr="00D01599" w:rsidRDefault="00582E01" w:rsidP="00582E01">
      <w:pPr>
        <w:spacing w:after="0" w:line="360" w:lineRule="auto"/>
        <w:contextualSpacing/>
        <w:rPr>
          <w:color w:val="auto"/>
          <w:lang w:eastAsia="es-ES"/>
        </w:rPr>
      </w:pPr>
    </w:p>
    <w:p w14:paraId="2860D70A" w14:textId="33202C8E" w:rsidR="00406325" w:rsidRDefault="00582E01" w:rsidP="00F731E4">
      <w:pPr>
        <w:spacing w:after="0" w:line="360" w:lineRule="auto"/>
        <w:ind w:right="-28"/>
        <w:contextualSpacing/>
      </w:pPr>
      <w:r>
        <w:t>D</w:t>
      </w:r>
      <w:r w:rsidR="00AB714B">
        <w:t>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A744804" w14:textId="77777777" w:rsidR="00005124" w:rsidRDefault="00005124" w:rsidP="00F731E4">
      <w:pPr>
        <w:spacing w:after="0" w:line="360" w:lineRule="auto"/>
        <w:ind w:right="-28"/>
        <w:contextualSpacing/>
      </w:pPr>
    </w:p>
    <w:p w14:paraId="283C3F9F" w14:textId="77777777" w:rsidR="00AB714B" w:rsidRPr="00AB714B" w:rsidRDefault="00AB714B" w:rsidP="00F731E4">
      <w:pPr>
        <w:spacing w:after="0" w:line="360" w:lineRule="auto"/>
        <w:ind w:right="-28"/>
        <w:contextualSpacing/>
        <w:rPr>
          <w:bCs/>
          <w:color w:val="000000"/>
        </w:rPr>
      </w:pPr>
      <w:r w:rsidRPr="00AB714B">
        <w:rPr>
          <w:bCs/>
          <w:color w:val="000000"/>
        </w:rPr>
        <w:t xml:space="preserve">De esta manera, </w:t>
      </w:r>
      <w:r w:rsidRPr="00AB714B">
        <w:rPr>
          <w:bCs/>
          <w:color w:val="000000"/>
          <w:lang w:val="es-ES"/>
        </w:rPr>
        <w:t xml:space="preserve">el derecho de acceso a la información pública se satisface en aquellos casos en que se entregue el soporte documental en el que conste la información solicitada, sin necesidad de elaborar documentos </w:t>
      </w:r>
      <w:r w:rsidRPr="00AB714B">
        <w:rPr>
          <w:bCs/>
          <w:i/>
          <w:color w:val="000000"/>
        </w:rPr>
        <w:t>ad hoc</w:t>
      </w:r>
      <w:r w:rsidRPr="00AB714B">
        <w:rPr>
          <w:bCs/>
          <w:color w:val="000000"/>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CEDE4DD" w14:textId="59E44D02" w:rsidR="00AB714B" w:rsidRDefault="00AB714B" w:rsidP="00F731E4">
      <w:pPr>
        <w:widowControl w:val="0"/>
        <w:autoSpaceDE w:val="0"/>
        <w:autoSpaceDN w:val="0"/>
        <w:adjustRightInd w:val="0"/>
        <w:spacing w:after="0" w:line="360" w:lineRule="auto"/>
        <w:contextualSpacing/>
        <w:rPr>
          <w:color w:val="000000"/>
        </w:rPr>
      </w:pPr>
      <w:r w:rsidRPr="00AB714B">
        <w:rPr>
          <w:bCs/>
          <w:color w:val="000000"/>
          <w:lang w:val="es-ES"/>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 la persona Recurrente; por lo que, el Sujeto Obligado deberá entregar</w:t>
      </w:r>
      <w:r w:rsidRPr="00AB714B">
        <w:rPr>
          <w:bCs/>
          <w:color w:val="000000"/>
        </w:rPr>
        <w:t xml:space="preserve"> la conciliación de nómina </w:t>
      </w:r>
      <w:r w:rsidR="00582E01">
        <w:rPr>
          <w:bCs/>
          <w:color w:val="000000"/>
        </w:rPr>
        <w:t>de la primera y segunda quincena de abril de dos mil veinticinco, en formato “</w:t>
      </w:r>
      <w:r w:rsidR="00582E01" w:rsidRPr="00582E01">
        <w:rPr>
          <w:bCs/>
          <w:color w:val="000000"/>
        </w:rPr>
        <w:t>.xlsx</w:t>
      </w:r>
      <w:r w:rsidR="00582E01">
        <w:rPr>
          <w:bCs/>
          <w:color w:val="000000"/>
        </w:rPr>
        <w:t xml:space="preserve">” o en aquel en que se haya generado. </w:t>
      </w:r>
      <w:r w:rsidR="00582E01">
        <w:rPr>
          <w:color w:val="000000"/>
        </w:rPr>
        <w:t>A</w:t>
      </w:r>
      <w:r w:rsidRPr="00AB714B">
        <w:rPr>
          <w:color w:val="000000"/>
        </w:rPr>
        <w:t xml:space="preserve">hora bien, no pasa desapercibido </w:t>
      </w:r>
      <w:r>
        <w:rPr>
          <w:color w:val="000000"/>
        </w:rPr>
        <w:t>que la información ordenada</w:t>
      </w:r>
      <w:r w:rsidRPr="00AB714B">
        <w:rPr>
          <w:color w:val="000000"/>
        </w:rPr>
        <w:t xml:space="preserve"> </w:t>
      </w:r>
      <w:r w:rsidR="00582E01">
        <w:rPr>
          <w:color w:val="000000"/>
        </w:rPr>
        <w:t>contiene</w:t>
      </w:r>
      <w:r w:rsidRPr="00AB714B">
        <w:rPr>
          <w:color w:val="000000"/>
        </w:rPr>
        <w:t xml:space="preserve"> los datos siguientes:</w:t>
      </w:r>
    </w:p>
    <w:p w14:paraId="3C00201F" w14:textId="77777777" w:rsidR="00582E01" w:rsidRPr="00AB714B" w:rsidRDefault="00582E01" w:rsidP="00F731E4">
      <w:pPr>
        <w:widowControl w:val="0"/>
        <w:autoSpaceDE w:val="0"/>
        <w:autoSpaceDN w:val="0"/>
        <w:adjustRightInd w:val="0"/>
        <w:spacing w:after="0" w:line="360" w:lineRule="auto"/>
        <w:contextualSpacing/>
        <w:rPr>
          <w:color w:val="000000"/>
        </w:rPr>
      </w:pPr>
    </w:p>
    <w:p w14:paraId="2E6F1ECE" w14:textId="77777777" w:rsidR="00AB714B" w:rsidRPr="00AB714B" w:rsidRDefault="00AB714B" w:rsidP="0065684B">
      <w:pPr>
        <w:numPr>
          <w:ilvl w:val="0"/>
          <w:numId w:val="9"/>
        </w:numPr>
        <w:spacing w:after="0" w:line="360" w:lineRule="auto"/>
        <w:rPr>
          <w:color w:val="000000"/>
        </w:rPr>
      </w:pPr>
      <w:bookmarkStart w:id="14" w:name="_Hlk179971039"/>
      <w:r w:rsidRPr="00AB714B">
        <w:rPr>
          <w:color w:val="000000"/>
        </w:rPr>
        <w:t>Clave Única de Registro de Población (CURP);</w:t>
      </w:r>
    </w:p>
    <w:p w14:paraId="77FD7DB4" w14:textId="77777777" w:rsidR="00AB714B" w:rsidRDefault="00AB714B" w:rsidP="0065684B">
      <w:pPr>
        <w:numPr>
          <w:ilvl w:val="0"/>
          <w:numId w:val="9"/>
        </w:numPr>
        <w:spacing w:after="0" w:line="360" w:lineRule="auto"/>
        <w:rPr>
          <w:color w:val="000000"/>
        </w:rPr>
      </w:pPr>
      <w:r w:rsidRPr="00AB714B">
        <w:rPr>
          <w:color w:val="000000"/>
        </w:rPr>
        <w:t>Registro Federal de Contribuyentes del servidor público (RFC);</w:t>
      </w:r>
    </w:p>
    <w:p w14:paraId="77B7E30F" w14:textId="5C271160" w:rsidR="00582E01" w:rsidRPr="00AB714B" w:rsidRDefault="00582E01" w:rsidP="0065684B">
      <w:pPr>
        <w:numPr>
          <w:ilvl w:val="0"/>
          <w:numId w:val="9"/>
        </w:numPr>
        <w:spacing w:after="0" w:line="360" w:lineRule="auto"/>
        <w:rPr>
          <w:color w:val="000000"/>
        </w:rPr>
      </w:pPr>
      <w:r>
        <w:rPr>
          <w:color w:val="000000"/>
        </w:rPr>
        <w:t>Número de empleado</w:t>
      </w:r>
    </w:p>
    <w:p w14:paraId="52CC5D6C" w14:textId="77777777" w:rsidR="00AB714B" w:rsidRPr="00AB714B" w:rsidRDefault="00AB714B" w:rsidP="0065684B">
      <w:pPr>
        <w:numPr>
          <w:ilvl w:val="0"/>
          <w:numId w:val="9"/>
        </w:numPr>
        <w:spacing w:after="0" w:line="360" w:lineRule="auto"/>
        <w:rPr>
          <w:color w:val="000000"/>
        </w:rPr>
      </w:pPr>
      <w:r w:rsidRPr="00AB714B">
        <w:rPr>
          <w:color w:val="000000"/>
        </w:rPr>
        <w:t>Número de seguridad social del Instituto de Seguridad Social del Estado de México y Municipios;</w:t>
      </w:r>
    </w:p>
    <w:p w14:paraId="41FC81EB" w14:textId="750DA4AB" w:rsidR="00AB714B" w:rsidRDefault="00AB714B" w:rsidP="0065684B">
      <w:pPr>
        <w:numPr>
          <w:ilvl w:val="0"/>
          <w:numId w:val="9"/>
        </w:numPr>
        <w:spacing w:after="0" w:line="360" w:lineRule="auto"/>
        <w:rPr>
          <w:color w:val="000000"/>
        </w:rPr>
      </w:pPr>
      <w:r w:rsidRPr="00AB714B">
        <w:rPr>
          <w:color w:val="000000"/>
        </w:rPr>
        <w:t>Deducciones personales</w:t>
      </w:r>
      <w:bookmarkEnd w:id="14"/>
      <w:r w:rsidR="00582E01">
        <w:rPr>
          <w:color w:val="000000"/>
        </w:rPr>
        <w:t>, y</w:t>
      </w:r>
    </w:p>
    <w:p w14:paraId="24B4D97A" w14:textId="0AC4D93B" w:rsidR="00C72C30" w:rsidRPr="00AB714B" w:rsidRDefault="00C72C30" w:rsidP="0065684B">
      <w:pPr>
        <w:numPr>
          <w:ilvl w:val="0"/>
          <w:numId w:val="9"/>
        </w:numPr>
        <w:spacing w:after="0" w:line="360" w:lineRule="auto"/>
        <w:rPr>
          <w:color w:val="000000"/>
        </w:rPr>
      </w:pPr>
      <w:r>
        <w:rPr>
          <w:color w:val="000000"/>
        </w:rPr>
        <w:t>Cuenta bancaria</w:t>
      </w:r>
      <w:r w:rsidR="00582E01">
        <w:rPr>
          <w:color w:val="000000"/>
        </w:rPr>
        <w:t>.</w:t>
      </w:r>
    </w:p>
    <w:p w14:paraId="3E4B96E5" w14:textId="77777777" w:rsidR="00F731E4" w:rsidRDefault="00F731E4" w:rsidP="00F731E4">
      <w:pPr>
        <w:spacing w:after="0" w:line="360" w:lineRule="auto"/>
        <w:ind w:right="-28"/>
        <w:rPr>
          <w:color w:val="000000"/>
        </w:rPr>
      </w:pPr>
    </w:p>
    <w:p w14:paraId="3E4C56FA" w14:textId="4229ED83" w:rsidR="00AB714B" w:rsidRPr="00AB714B" w:rsidRDefault="00AB714B" w:rsidP="00F731E4">
      <w:pPr>
        <w:spacing w:after="0" w:line="360" w:lineRule="auto"/>
        <w:ind w:right="-28"/>
        <w:rPr>
          <w:color w:val="000000"/>
        </w:rPr>
      </w:pPr>
      <w:r w:rsidRPr="00AB714B">
        <w:rPr>
          <w:color w:val="000000"/>
        </w:rPr>
        <w:t xml:space="preserve">De lo anterior, resulta procedente analizar si dichos datos son públicos o privados; </w:t>
      </w:r>
      <w:r w:rsidR="00F731E4">
        <w:rPr>
          <w:color w:val="000000"/>
        </w:rPr>
        <w:t xml:space="preserve">para lo cual </w:t>
      </w:r>
      <w:r w:rsidRPr="00AB714B">
        <w:rPr>
          <w:color w:val="000000"/>
        </w:rPr>
        <w:t>el artículo 143, fracción I, de la Ley previamente citada, establece que la información privada y los datos personales, concernientes a una persona física o jurídica colectiva identificada o identificable son confidenciales.</w:t>
      </w:r>
    </w:p>
    <w:p w14:paraId="11B18B11" w14:textId="77777777" w:rsidR="00AB714B" w:rsidRPr="00AB714B" w:rsidRDefault="00AB714B" w:rsidP="00F731E4">
      <w:pPr>
        <w:spacing w:after="0" w:line="360" w:lineRule="auto"/>
        <w:rPr>
          <w:color w:val="000000"/>
        </w:rPr>
      </w:pPr>
    </w:p>
    <w:p w14:paraId="6330C146" w14:textId="77777777" w:rsidR="00AB714B" w:rsidRPr="00AB714B" w:rsidRDefault="00AB714B" w:rsidP="00F731E4">
      <w:pPr>
        <w:spacing w:after="0" w:line="360" w:lineRule="auto"/>
        <w:rPr>
          <w:color w:val="000000"/>
        </w:rPr>
      </w:pPr>
      <w:r w:rsidRPr="00AB714B">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w:t>
      </w:r>
      <w:r w:rsidRPr="00AB714B">
        <w:rPr>
          <w:color w:val="000000"/>
        </w:rPr>
        <w:lastRenderedPageBreak/>
        <w:t>exista una orden judicial, iv) por razones de seguridad nacional y salubridad general o v) para proteger los derechos de terceros o cuando se transmita entre sujetos obligados en términos de los tratados y los acuerdos interinstitucionales.</w:t>
      </w:r>
    </w:p>
    <w:p w14:paraId="607379D0" w14:textId="77777777" w:rsidR="00AB714B" w:rsidRPr="00AB714B" w:rsidRDefault="00AB714B" w:rsidP="00F731E4">
      <w:pPr>
        <w:spacing w:after="0" w:line="360" w:lineRule="auto"/>
        <w:rPr>
          <w:color w:val="000000"/>
        </w:rPr>
      </w:pPr>
    </w:p>
    <w:p w14:paraId="4915032B" w14:textId="77777777" w:rsidR="00AB714B" w:rsidRPr="00AB714B" w:rsidRDefault="00AB714B" w:rsidP="00F731E4">
      <w:pPr>
        <w:spacing w:after="0" w:line="360" w:lineRule="auto"/>
        <w:rPr>
          <w:color w:val="000000"/>
        </w:rPr>
      </w:pPr>
      <w:r w:rsidRPr="00AB714B">
        <w:rPr>
          <w:color w:val="000000"/>
        </w:rPr>
        <w:t>En términos de lo expuesto, la documentación y aquellos datos que se consideren confidenciales, serán una limitante del derecho de acceso a la información, siempre y cuando:</w:t>
      </w:r>
    </w:p>
    <w:p w14:paraId="462763F5" w14:textId="77777777" w:rsidR="00AB714B" w:rsidRPr="00AB714B" w:rsidRDefault="00AB714B" w:rsidP="00F731E4">
      <w:pPr>
        <w:spacing w:after="0" w:line="360" w:lineRule="auto"/>
        <w:rPr>
          <w:color w:val="000000"/>
        </w:rPr>
      </w:pPr>
    </w:p>
    <w:p w14:paraId="703297F3" w14:textId="77777777" w:rsidR="00AB714B" w:rsidRPr="00AB714B" w:rsidRDefault="00AB714B" w:rsidP="0065684B">
      <w:pPr>
        <w:numPr>
          <w:ilvl w:val="0"/>
          <w:numId w:val="2"/>
        </w:numPr>
        <w:spacing w:after="0" w:line="360" w:lineRule="auto"/>
        <w:rPr>
          <w:color w:val="000000"/>
        </w:rPr>
      </w:pPr>
      <w:r w:rsidRPr="00AB714B">
        <w:rPr>
          <w:color w:val="000000"/>
        </w:rPr>
        <w:t xml:space="preserve">Se trate de datos personales o información privada; esto es, información concerniente a una persona física o jurídico colectiva y que esta sea identificada o identificable. </w:t>
      </w:r>
    </w:p>
    <w:p w14:paraId="5FFC3F55" w14:textId="77777777" w:rsidR="00AB714B" w:rsidRPr="00AB714B" w:rsidRDefault="00AB714B" w:rsidP="0065684B">
      <w:pPr>
        <w:numPr>
          <w:ilvl w:val="0"/>
          <w:numId w:val="2"/>
        </w:numPr>
        <w:spacing w:after="0" w:line="360" w:lineRule="auto"/>
        <w:rPr>
          <w:color w:val="000000"/>
        </w:rPr>
      </w:pPr>
      <w:r w:rsidRPr="00AB714B">
        <w:rPr>
          <w:color w:val="000000"/>
        </w:rPr>
        <w:t xml:space="preserve">Para la difusión de los datos, se requiera el consentimiento del titular. </w:t>
      </w:r>
    </w:p>
    <w:p w14:paraId="6B169C08" w14:textId="77777777" w:rsidR="00AB714B" w:rsidRPr="00AB714B" w:rsidRDefault="00AB714B" w:rsidP="00F731E4">
      <w:pPr>
        <w:spacing w:after="0" w:line="360" w:lineRule="auto"/>
        <w:rPr>
          <w:color w:val="000000"/>
        </w:rPr>
      </w:pPr>
    </w:p>
    <w:p w14:paraId="5D6CDE48" w14:textId="77777777" w:rsidR="00AB714B" w:rsidRPr="00AB714B" w:rsidRDefault="00AB714B" w:rsidP="00F731E4">
      <w:pPr>
        <w:spacing w:after="0" w:line="360" w:lineRule="auto"/>
        <w:rPr>
          <w:color w:val="000000"/>
        </w:rPr>
      </w:pPr>
      <w:r w:rsidRPr="00AB714B">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4986844" w14:textId="77777777" w:rsidR="00AB714B" w:rsidRPr="00AB714B" w:rsidRDefault="00AB714B" w:rsidP="00F731E4">
      <w:pPr>
        <w:spacing w:after="0" w:line="360" w:lineRule="auto"/>
        <w:rPr>
          <w:color w:val="000000"/>
        </w:rPr>
      </w:pPr>
    </w:p>
    <w:p w14:paraId="3063505B" w14:textId="77777777" w:rsidR="00AB714B" w:rsidRPr="00AB714B" w:rsidRDefault="00AB714B" w:rsidP="00F731E4">
      <w:pPr>
        <w:spacing w:after="0" w:line="360" w:lineRule="auto"/>
        <w:rPr>
          <w:color w:val="000000"/>
        </w:rPr>
      </w:pPr>
      <w:r w:rsidRPr="00AB714B">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6D0E907E" w14:textId="77777777" w:rsidR="00AB714B" w:rsidRPr="00AB714B" w:rsidRDefault="00AB714B" w:rsidP="00F731E4">
      <w:pPr>
        <w:spacing w:after="0" w:line="360" w:lineRule="auto"/>
        <w:rPr>
          <w:color w:val="000000"/>
        </w:rPr>
      </w:pPr>
    </w:p>
    <w:p w14:paraId="62CA1F04" w14:textId="77777777" w:rsidR="00AB714B" w:rsidRPr="00AB714B" w:rsidRDefault="00AB714B" w:rsidP="0065684B">
      <w:pPr>
        <w:numPr>
          <w:ilvl w:val="0"/>
          <w:numId w:val="3"/>
        </w:numPr>
        <w:spacing w:after="0" w:line="360" w:lineRule="auto"/>
        <w:rPr>
          <w:b/>
          <w:color w:val="000000"/>
        </w:rPr>
      </w:pPr>
      <w:r w:rsidRPr="00AB714B">
        <w:rPr>
          <w:b/>
          <w:color w:val="000000"/>
        </w:rPr>
        <w:lastRenderedPageBreak/>
        <w:t>Clave Única de Registro de Población (CURP)</w:t>
      </w:r>
    </w:p>
    <w:p w14:paraId="7F14D65C" w14:textId="77777777" w:rsidR="00AB714B" w:rsidRPr="00AB714B" w:rsidRDefault="00AB714B" w:rsidP="00F731E4">
      <w:pPr>
        <w:spacing w:after="0" w:line="360" w:lineRule="auto"/>
        <w:rPr>
          <w:color w:val="000000"/>
        </w:rPr>
      </w:pPr>
    </w:p>
    <w:p w14:paraId="5D707591" w14:textId="77777777" w:rsidR="00AB714B" w:rsidRPr="00AB714B" w:rsidRDefault="00AB714B" w:rsidP="00F731E4">
      <w:pPr>
        <w:spacing w:after="0" w:line="360" w:lineRule="auto"/>
        <w:rPr>
          <w:color w:val="000000"/>
        </w:rPr>
      </w:pPr>
      <w:r w:rsidRPr="00AB714B">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E5B161D" w14:textId="77777777" w:rsidR="00AB714B" w:rsidRPr="00AB714B" w:rsidRDefault="00AB714B" w:rsidP="00F731E4">
      <w:pPr>
        <w:spacing w:after="0" w:line="360" w:lineRule="auto"/>
        <w:rPr>
          <w:color w:val="000000"/>
        </w:rPr>
      </w:pPr>
    </w:p>
    <w:p w14:paraId="476C3997" w14:textId="77777777" w:rsidR="00AB714B" w:rsidRPr="00AB714B" w:rsidRDefault="00AB714B" w:rsidP="00F731E4">
      <w:pPr>
        <w:spacing w:after="0" w:line="360" w:lineRule="auto"/>
        <w:rPr>
          <w:color w:val="000000"/>
        </w:rPr>
      </w:pPr>
      <w:r w:rsidRPr="00AB714B">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DEA34A4" w14:textId="77777777" w:rsidR="00AB714B" w:rsidRPr="00AB714B" w:rsidRDefault="00AB714B" w:rsidP="00F731E4">
      <w:pPr>
        <w:spacing w:after="0" w:line="360" w:lineRule="auto"/>
        <w:rPr>
          <w:color w:val="000000"/>
        </w:rPr>
      </w:pPr>
    </w:p>
    <w:p w14:paraId="3CF248CD" w14:textId="382E2DD3" w:rsidR="00AB714B" w:rsidRPr="00AB714B" w:rsidRDefault="00AB714B" w:rsidP="00F731E4">
      <w:pPr>
        <w:spacing w:after="0" w:line="360" w:lineRule="auto"/>
        <w:rPr>
          <w:color w:val="000000"/>
        </w:rPr>
      </w:pPr>
      <w:r w:rsidRPr="00AB714B">
        <w:rPr>
          <w:color w:val="000000"/>
        </w:rPr>
        <w:t xml:space="preserve">En ese orden de ideas, la Secretaría de Gobernación en las direcciones </w:t>
      </w:r>
      <w:hyperlink r:id="rId12" w:history="1">
        <w:r w:rsidRPr="00AB714B">
          <w:rPr>
            <w:color w:val="0563C1"/>
            <w:u w:val="single"/>
          </w:rPr>
          <w:t>https://consultas.curp.gob.mx/CurpSP/html/informacionecurpPS.html</w:t>
        </w:r>
      </w:hyperlink>
      <w:r w:rsidRPr="00AB714B">
        <w:rPr>
          <w:color w:val="000000"/>
        </w:rPr>
        <w:t xml:space="preserve"> y </w:t>
      </w:r>
      <w:hyperlink r:id="rId13" w:history="1">
        <w:r w:rsidRPr="00AB714B">
          <w:rPr>
            <w:color w:val="0563C1"/>
            <w:u w:val="single"/>
          </w:rPr>
          <w:t>https://www.gob.mx/segob/renapo/acciones-y-programas/clave-unica-de-registro-de-poblacion-curp-142226</w:t>
        </w:r>
      </w:hyperlink>
      <w:r w:rsidRPr="00AB714B">
        <w:rPr>
          <w:color w:val="000000"/>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AB714B">
        <w:rPr>
          <w:b/>
          <w:color w:val="000000"/>
        </w:rPr>
        <w:t>se generan a partir de los datos contenidos en el documento probatorio de la identidad</w:t>
      </w:r>
      <w:r w:rsidRPr="00AB714B">
        <w:rPr>
          <w:color w:val="000000"/>
        </w:rPr>
        <w:t xml:space="preserve"> </w:t>
      </w:r>
      <w:r w:rsidRPr="00AB714B">
        <w:rPr>
          <w:b/>
          <w:color w:val="000000"/>
        </w:rPr>
        <w:t xml:space="preserve">del interesado </w:t>
      </w:r>
      <w:r w:rsidRPr="00AB714B">
        <w:rPr>
          <w:color w:val="000000"/>
        </w:rPr>
        <w:t>(acta de nacimiento, carta de naturalización o documento migratorio) de la siguiente forma:</w:t>
      </w:r>
    </w:p>
    <w:p w14:paraId="35DFB66B" w14:textId="77777777" w:rsidR="00AB714B" w:rsidRPr="00AB714B" w:rsidRDefault="00AB714B" w:rsidP="00F731E4">
      <w:pPr>
        <w:spacing w:after="0" w:line="360" w:lineRule="auto"/>
        <w:rPr>
          <w:color w:val="000000"/>
        </w:rPr>
      </w:pPr>
    </w:p>
    <w:p w14:paraId="6265E775" w14:textId="77777777" w:rsidR="00AB714B" w:rsidRPr="00AB714B" w:rsidRDefault="00AB714B" w:rsidP="0065684B">
      <w:pPr>
        <w:numPr>
          <w:ilvl w:val="0"/>
          <w:numId w:val="4"/>
        </w:numPr>
        <w:spacing w:after="0" w:line="360" w:lineRule="auto"/>
        <w:rPr>
          <w:color w:val="000000"/>
        </w:rPr>
      </w:pPr>
      <w:r w:rsidRPr="00AB714B">
        <w:rPr>
          <w:color w:val="000000"/>
        </w:rPr>
        <w:t>El primero y segundo apellidos, así como al nombre de pila;</w:t>
      </w:r>
    </w:p>
    <w:p w14:paraId="7A6D635E" w14:textId="77777777" w:rsidR="00AB714B" w:rsidRPr="00AB714B" w:rsidRDefault="00AB714B" w:rsidP="0065684B">
      <w:pPr>
        <w:numPr>
          <w:ilvl w:val="0"/>
          <w:numId w:val="4"/>
        </w:numPr>
        <w:spacing w:after="0" w:line="360" w:lineRule="auto"/>
        <w:rPr>
          <w:color w:val="000000"/>
        </w:rPr>
      </w:pPr>
      <w:r w:rsidRPr="00AB714B">
        <w:rPr>
          <w:color w:val="000000"/>
        </w:rPr>
        <w:t>La fecha de nacimiento;</w:t>
      </w:r>
    </w:p>
    <w:p w14:paraId="518A149E" w14:textId="77777777" w:rsidR="00AB714B" w:rsidRPr="00AB714B" w:rsidRDefault="00AB714B" w:rsidP="0065684B">
      <w:pPr>
        <w:numPr>
          <w:ilvl w:val="0"/>
          <w:numId w:val="4"/>
        </w:numPr>
        <w:spacing w:after="0" w:line="360" w:lineRule="auto"/>
        <w:rPr>
          <w:color w:val="000000"/>
        </w:rPr>
      </w:pPr>
      <w:r w:rsidRPr="00AB714B">
        <w:rPr>
          <w:color w:val="000000"/>
        </w:rPr>
        <w:lastRenderedPageBreak/>
        <w:t>El sexo, y</w:t>
      </w:r>
    </w:p>
    <w:p w14:paraId="3945DAD3" w14:textId="77777777" w:rsidR="00AB714B" w:rsidRPr="00AB714B" w:rsidRDefault="00AB714B" w:rsidP="0065684B">
      <w:pPr>
        <w:numPr>
          <w:ilvl w:val="0"/>
          <w:numId w:val="4"/>
        </w:numPr>
        <w:spacing w:after="0" w:line="360" w:lineRule="auto"/>
        <w:rPr>
          <w:color w:val="000000"/>
        </w:rPr>
      </w:pPr>
      <w:r w:rsidRPr="00AB714B">
        <w:rPr>
          <w:color w:val="000000"/>
        </w:rPr>
        <w:t>La entidad federativa de nacimiento.</w:t>
      </w:r>
    </w:p>
    <w:p w14:paraId="47E899EF" w14:textId="77777777" w:rsidR="00AB714B" w:rsidRPr="00AB714B" w:rsidRDefault="00AB714B" w:rsidP="00F731E4">
      <w:pPr>
        <w:spacing w:after="0" w:line="360" w:lineRule="auto"/>
        <w:rPr>
          <w:color w:val="000000"/>
        </w:rPr>
      </w:pPr>
    </w:p>
    <w:p w14:paraId="41663207" w14:textId="77777777" w:rsidR="00AB714B" w:rsidRPr="00AB714B" w:rsidRDefault="00AB714B" w:rsidP="00F731E4">
      <w:pPr>
        <w:spacing w:after="0" w:line="360" w:lineRule="auto"/>
        <w:rPr>
          <w:color w:val="000000"/>
        </w:rPr>
      </w:pPr>
      <w:r w:rsidRPr="00AB714B">
        <w:rPr>
          <w:color w:val="000000"/>
        </w:rPr>
        <w:t>Los dos últimos elementos de la Clave Única de Registro de Población evitan la duplicidad de la Clave y garantizan su correcta integración.</w:t>
      </w:r>
    </w:p>
    <w:p w14:paraId="089A05F8" w14:textId="77777777" w:rsidR="00AB714B" w:rsidRPr="00AB714B" w:rsidRDefault="00AB714B" w:rsidP="00F731E4">
      <w:pPr>
        <w:spacing w:after="0" w:line="360" w:lineRule="auto"/>
        <w:rPr>
          <w:color w:val="000000"/>
        </w:rPr>
      </w:pPr>
    </w:p>
    <w:p w14:paraId="17E3C341" w14:textId="77777777" w:rsidR="00AB714B" w:rsidRPr="00AB714B" w:rsidRDefault="00AB714B" w:rsidP="00F731E4">
      <w:pPr>
        <w:spacing w:after="0" w:line="360" w:lineRule="auto"/>
        <w:rPr>
          <w:color w:val="000000"/>
        </w:rPr>
      </w:pPr>
      <w:r w:rsidRPr="00AB714B">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7C64505" w14:textId="77777777" w:rsidR="00AB714B" w:rsidRPr="00AB714B" w:rsidRDefault="00AB714B" w:rsidP="00F731E4">
      <w:pPr>
        <w:spacing w:after="0" w:line="360" w:lineRule="auto"/>
        <w:rPr>
          <w:color w:val="000000"/>
        </w:rPr>
      </w:pPr>
    </w:p>
    <w:p w14:paraId="2C529155" w14:textId="54B33597" w:rsidR="00AB714B" w:rsidRPr="00AB714B" w:rsidRDefault="00AB714B" w:rsidP="00F731E4">
      <w:pPr>
        <w:spacing w:after="0" w:line="360" w:lineRule="auto"/>
        <w:rPr>
          <w:color w:val="000000"/>
        </w:rPr>
      </w:pPr>
      <w:r w:rsidRPr="00AB714B">
        <w:rPr>
          <w:color w:val="000000"/>
        </w:rPr>
        <w:t xml:space="preserve">Situación que se robustece, con el </w:t>
      </w:r>
      <w:r w:rsidR="00F731E4">
        <w:rPr>
          <w:color w:val="000000"/>
        </w:rPr>
        <w:t>Criterio Orientador</w:t>
      </w:r>
      <w:r w:rsidRPr="00AB714B">
        <w:rPr>
          <w:color w:val="000000"/>
        </w:rPr>
        <w:t xml:space="preserve">, de la Segunda Época, con número de registro SO/018/2017, </w:t>
      </w:r>
      <w:r w:rsidR="00F731E4">
        <w:rPr>
          <w:color w:val="000000"/>
        </w:rPr>
        <w:t>emitido por el entonces Instituto Nacional de Transparencia, Acceso a la Información y Protección de Datos Personales</w:t>
      </w:r>
      <w:r w:rsidRPr="00AB714B">
        <w:rPr>
          <w:color w:val="000000"/>
        </w:rPr>
        <w:t>, que establece lo siguiente:</w:t>
      </w:r>
    </w:p>
    <w:p w14:paraId="769E2C6A" w14:textId="77777777" w:rsidR="00AB714B" w:rsidRPr="00AB714B" w:rsidRDefault="00AB714B" w:rsidP="00F731E4">
      <w:pPr>
        <w:spacing w:after="0" w:line="360" w:lineRule="auto"/>
        <w:ind w:left="567" w:right="567"/>
        <w:rPr>
          <w:color w:val="000000"/>
          <w:sz w:val="20"/>
          <w:szCs w:val="20"/>
        </w:rPr>
      </w:pPr>
    </w:p>
    <w:p w14:paraId="2D1AC3BD" w14:textId="77777777" w:rsidR="00AB714B" w:rsidRPr="00AB714B" w:rsidRDefault="00AB714B" w:rsidP="00F731E4">
      <w:pPr>
        <w:spacing w:after="0" w:line="360" w:lineRule="auto"/>
        <w:ind w:left="567" w:right="567"/>
        <w:rPr>
          <w:i/>
          <w:color w:val="000000"/>
          <w:sz w:val="20"/>
          <w:szCs w:val="20"/>
        </w:rPr>
      </w:pPr>
      <w:r w:rsidRPr="00AB714B">
        <w:rPr>
          <w:b/>
          <w:i/>
          <w:color w:val="000000"/>
          <w:sz w:val="20"/>
          <w:szCs w:val="20"/>
        </w:rPr>
        <w:t xml:space="preserve">“Clave Única de Registro de Población (CURP). </w:t>
      </w:r>
      <w:r w:rsidRPr="00AB714B">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6D3EC6B" w14:textId="77777777" w:rsidR="00AB714B" w:rsidRPr="00AB714B" w:rsidRDefault="00AB714B" w:rsidP="00F731E4">
      <w:pPr>
        <w:spacing w:after="0" w:line="360" w:lineRule="auto"/>
        <w:rPr>
          <w:color w:val="000000"/>
        </w:rPr>
      </w:pPr>
    </w:p>
    <w:p w14:paraId="3B21BF01" w14:textId="77777777" w:rsidR="00AB714B" w:rsidRPr="00AB714B" w:rsidRDefault="00AB714B" w:rsidP="00F731E4">
      <w:pPr>
        <w:spacing w:after="0" w:line="360" w:lineRule="auto"/>
        <w:rPr>
          <w:color w:val="000000"/>
        </w:rPr>
      </w:pPr>
      <w:r w:rsidRPr="00AB714B">
        <w:rPr>
          <w:color w:val="000000"/>
        </w:rPr>
        <w:t xml:space="preserve">De acuerdo con lo anterior, resulta procedente la clasificación de la Clave Única de Registro de Población, por tratarse de un dato personal confidencial, en términos del artículo 143, </w:t>
      </w:r>
      <w:r w:rsidRPr="00AB714B">
        <w:rPr>
          <w:color w:val="000000"/>
        </w:rPr>
        <w:lastRenderedPageBreak/>
        <w:t xml:space="preserve">fracción I, de la Ley de Transparencia y Acceso a la Información Pública del Estado de México y Municipios. </w:t>
      </w:r>
    </w:p>
    <w:p w14:paraId="18A96634" w14:textId="77777777" w:rsidR="00AB714B" w:rsidRPr="00AB714B" w:rsidRDefault="00AB714B" w:rsidP="00F731E4">
      <w:pPr>
        <w:spacing w:after="0" w:line="360" w:lineRule="auto"/>
        <w:rPr>
          <w:color w:val="000000"/>
        </w:rPr>
      </w:pPr>
    </w:p>
    <w:p w14:paraId="35C28E64" w14:textId="77777777" w:rsidR="00AB714B" w:rsidRPr="00AB714B" w:rsidRDefault="00AB714B" w:rsidP="0065684B">
      <w:pPr>
        <w:numPr>
          <w:ilvl w:val="0"/>
          <w:numId w:val="3"/>
        </w:numPr>
        <w:spacing w:after="0" w:line="360" w:lineRule="auto"/>
        <w:rPr>
          <w:b/>
          <w:color w:val="000000"/>
        </w:rPr>
      </w:pPr>
      <w:r w:rsidRPr="00AB714B">
        <w:rPr>
          <w:b/>
          <w:color w:val="000000"/>
        </w:rPr>
        <w:t>Registro Federal de Contribuyentes (RFC)</w:t>
      </w:r>
    </w:p>
    <w:p w14:paraId="03DD6055" w14:textId="77777777" w:rsidR="00AB714B" w:rsidRPr="00AB714B" w:rsidRDefault="00AB714B" w:rsidP="00F731E4">
      <w:pPr>
        <w:spacing w:after="0" w:line="360" w:lineRule="auto"/>
        <w:rPr>
          <w:color w:val="000000"/>
        </w:rPr>
      </w:pPr>
    </w:p>
    <w:p w14:paraId="5EC553BA" w14:textId="77777777" w:rsidR="00AB714B" w:rsidRPr="00AB714B" w:rsidRDefault="00AB714B" w:rsidP="00F731E4">
      <w:pPr>
        <w:spacing w:after="0" w:line="360" w:lineRule="auto"/>
        <w:rPr>
          <w:color w:val="000000"/>
        </w:rPr>
      </w:pPr>
      <w:r w:rsidRPr="00AB714B">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329DEE9" w14:textId="77777777" w:rsidR="00AB714B" w:rsidRPr="00AB714B" w:rsidRDefault="00AB714B" w:rsidP="00F731E4">
      <w:pPr>
        <w:spacing w:after="0" w:line="360" w:lineRule="auto"/>
        <w:rPr>
          <w:color w:val="000000"/>
        </w:rPr>
      </w:pPr>
    </w:p>
    <w:p w14:paraId="08597068" w14:textId="77777777" w:rsidR="00AB714B" w:rsidRPr="00AB714B" w:rsidRDefault="00AB714B" w:rsidP="00F731E4">
      <w:pPr>
        <w:spacing w:after="0" w:line="360" w:lineRule="auto"/>
        <w:rPr>
          <w:color w:val="000000"/>
        </w:rPr>
      </w:pPr>
      <w:r w:rsidRPr="00AB714B">
        <w:rPr>
          <w:color w:val="000000"/>
        </w:rPr>
        <w:t xml:space="preserve">De acuerdo a lo establecido en el artículo en comento, esta clave se compone de trece caracteres alfanuméricos, con datos obtenidos de los apellidos, nombre(s), fecha de nacimiento del titular, más una </w:t>
      </w:r>
      <w:proofErr w:type="spellStart"/>
      <w:r w:rsidRPr="00AB714B">
        <w:rPr>
          <w:color w:val="000000"/>
        </w:rPr>
        <w:t>homoclave</w:t>
      </w:r>
      <w:proofErr w:type="spellEnd"/>
      <w:r w:rsidRPr="00AB714B">
        <w:rPr>
          <w:color w:val="000000"/>
        </w:rPr>
        <w:t xml:space="preserve"> que establece el sistema automático del Servicio de Administración Tributaria.</w:t>
      </w:r>
    </w:p>
    <w:p w14:paraId="6A39FE80" w14:textId="77777777" w:rsidR="00AB714B" w:rsidRPr="00AB714B" w:rsidRDefault="00AB714B" w:rsidP="00F731E4">
      <w:pPr>
        <w:spacing w:after="0" w:line="360" w:lineRule="auto"/>
        <w:rPr>
          <w:color w:val="000000"/>
        </w:rPr>
      </w:pPr>
    </w:p>
    <w:p w14:paraId="4DE56198" w14:textId="77777777" w:rsidR="00AB714B" w:rsidRPr="00AB714B" w:rsidRDefault="00AB714B" w:rsidP="00F731E4">
      <w:pPr>
        <w:spacing w:after="0" w:line="360" w:lineRule="auto"/>
        <w:rPr>
          <w:color w:val="000000"/>
        </w:rPr>
      </w:pPr>
      <w:r w:rsidRPr="00AB714B">
        <w:rPr>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3DDF00A" w14:textId="77777777" w:rsidR="00AB714B" w:rsidRPr="00AB714B" w:rsidRDefault="00AB714B" w:rsidP="00F731E4">
      <w:pPr>
        <w:spacing w:after="0" w:line="360" w:lineRule="auto"/>
        <w:rPr>
          <w:color w:val="000000"/>
        </w:rPr>
      </w:pPr>
    </w:p>
    <w:p w14:paraId="244E9816" w14:textId="77777777" w:rsidR="00AB714B" w:rsidRPr="00AB714B" w:rsidRDefault="00AB714B" w:rsidP="00F731E4">
      <w:pPr>
        <w:spacing w:after="0" w:line="360" w:lineRule="auto"/>
        <w:rPr>
          <w:color w:val="000000"/>
        </w:rPr>
      </w:pPr>
      <w:r w:rsidRPr="00AB714B">
        <w:rPr>
          <w:color w:val="000000"/>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w:t>
      </w:r>
      <w:r w:rsidRPr="00AB714B">
        <w:rPr>
          <w:color w:val="000000"/>
        </w:rPr>
        <w:lastRenderedPageBreak/>
        <w:t xml:space="preserve">pago de contribuciones, por lo que se trata de un dato relevante únicamente para las personas involucrada, en el pago de estos, en el presente caso, del pago del Impuesto Sobre el Producto del Trabajo. </w:t>
      </w:r>
    </w:p>
    <w:p w14:paraId="762D3F8F" w14:textId="77777777" w:rsidR="00AB714B" w:rsidRPr="00AB714B" w:rsidRDefault="00AB714B" w:rsidP="00F731E4">
      <w:pPr>
        <w:spacing w:after="0" w:line="360" w:lineRule="auto"/>
        <w:rPr>
          <w:color w:val="000000"/>
        </w:rPr>
      </w:pPr>
    </w:p>
    <w:p w14:paraId="40EC3A4C" w14:textId="61CE1396" w:rsidR="00AB714B" w:rsidRPr="00AB714B" w:rsidRDefault="00AB714B" w:rsidP="00F731E4">
      <w:pPr>
        <w:spacing w:after="0" w:line="360" w:lineRule="auto"/>
        <w:rPr>
          <w:color w:val="000000"/>
        </w:rPr>
      </w:pPr>
      <w:r w:rsidRPr="00AB714B">
        <w:rPr>
          <w:color w:val="000000"/>
        </w:rPr>
        <w:t xml:space="preserve">Lo anterior, resulta congruente con el </w:t>
      </w:r>
      <w:r w:rsidR="00F731E4">
        <w:rPr>
          <w:color w:val="000000"/>
        </w:rPr>
        <w:t>Criterio Orientador</w:t>
      </w:r>
      <w:r w:rsidRPr="00AB714B">
        <w:rPr>
          <w:color w:val="000000"/>
        </w:rPr>
        <w:t xml:space="preserve">, de la Segunda Época, con número de registro SO/019/2017, </w:t>
      </w:r>
      <w:r w:rsidR="00F731E4">
        <w:rPr>
          <w:color w:val="000000"/>
        </w:rPr>
        <w:t>emitido por el entonces Instituto Nacional de Transparencia, Acceso a la Información y Protección de Datos Personales</w:t>
      </w:r>
      <w:r w:rsidRPr="00AB714B">
        <w:rPr>
          <w:color w:val="000000"/>
        </w:rPr>
        <w:t>, en el cual se señala lo siguiente:</w:t>
      </w:r>
    </w:p>
    <w:p w14:paraId="41855E6F" w14:textId="77777777" w:rsidR="00AB714B" w:rsidRPr="00AB714B" w:rsidRDefault="00AB714B" w:rsidP="00F731E4">
      <w:pPr>
        <w:spacing w:after="0" w:line="360" w:lineRule="auto"/>
        <w:rPr>
          <w:color w:val="000000"/>
        </w:rPr>
      </w:pPr>
    </w:p>
    <w:p w14:paraId="3484A696" w14:textId="77777777" w:rsidR="00AB714B" w:rsidRPr="00AB714B" w:rsidRDefault="00AB714B" w:rsidP="00F731E4">
      <w:pPr>
        <w:spacing w:after="0" w:line="360" w:lineRule="auto"/>
        <w:ind w:left="567" w:right="567"/>
        <w:rPr>
          <w:i/>
          <w:color w:val="000000"/>
          <w:sz w:val="20"/>
          <w:szCs w:val="20"/>
        </w:rPr>
      </w:pPr>
      <w:r w:rsidRPr="00AB714B">
        <w:rPr>
          <w:b/>
          <w:i/>
          <w:color w:val="000000"/>
          <w:sz w:val="20"/>
          <w:szCs w:val="20"/>
        </w:rPr>
        <w:t>“Registro Federal de Contribuyentes (RFC) de personas físicas.</w:t>
      </w:r>
      <w:r w:rsidRPr="00AB714B">
        <w:rPr>
          <w:i/>
          <w:color w:val="000000"/>
          <w:sz w:val="20"/>
          <w:szCs w:val="20"/>
        </w:rPr>
        <w:t xml:space="preserve"> El RFC es una clave de carácter fiscal, única e irrepetible, que permite identificar al titular, su edad y fecha de nacimiento, por lo que es un dato personal de carácter confidencial.”</w:t>
      </w:r>
    </w:p>
    <w:p w14:paraId="5FF78F4C" w14:textId="77777777" w:rsidR="00AB714B" w:rsidRPr="00AB714B" w:rsidRDefault="00AB714B" w:rsidP="00F731E4">
      <w:pPr>
        <w:spacing w:after="0" w:line="360" w:lineRule="auto"/>
        <w:rPr>
          <w:color w:val="000000"/>
        </w:rPr>
      </w:pPr>
    </w:p>
    <w:p w14:paraId="37414966" w14:textId="77777777" w:rsidR="00AB714B" w:rsidRDefault="00AB714B" w:rsidP="00F731E4">
      <w:pPr>
        <w:spacing w:after="0" w:line="360" w:lineRule="auto"/>
        <w:rPr>
          <w:color w:val="000000"/>
        </w:rPr>
      </w:pPr>
      <w:r w:rsidRPr="00AB714B">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A7D78FD" w14:textId="77777777" w:rsidR="00005124" w:rsidRPr="00AB714B" w:rsidRDefault="00005124" w:rsidP="00F731E4">
      <w:pPr>
        <w:spacing w:after="0" w:line="360" w:lineRule="auto"/>
        <w:rPr>
          <w:color w:val="000000"/>
        </w:rPr>
      </w:pPr>
    </w:p>
    <w:p w14:paraId="5B53ACBF" w14:textId="77777777" w:rsidR="00C72C30" w:rsidRPr="00C72C30" w:rsidRDefault="00C72C30" w:rsidP="0065684B">
      <w:pPr>
        <w:numPr>
          <w:ilvl w:val="0"/>
          <w:numId w:val="5"/>
        </w:numPr>
        <w:spacing w:after="0" w:line="360" w:lineRule="auto"/>
        <w:jc w:val="left"/>
        <w:rPr>
          <w:b/>
          <w:color w:val="000000"/>
        </w:rPr>
      </w:pPr>
      <w:r w:rsidRPr="00C72C30">
        <w:rPr>
          <w:b/>
          <w:color w:val="000000"/>
        </w:rPr>
        <w:t>Cuenta bancaria de servidores públicos</w:t>
      </w:r>
    </w:p>
    <w:p w14:paraId="34170DCE" w14:textId="77777777" w:rsidR="00C72C30" w:rsidRPr="00C72C30" w:rsidRDefault="00C72C30" w:rsidP="00F731E4">
      <w:pPr>
        <w:spacing w:after="0" w:line="360" w:lineRule="auto"/>
        <w:ind w:left="720"/>
        <w:rPr>
          <w:b/>
          <w:color w:val="000000"/>
        </w:rPr>
      </w:pPr>
    </w:p>
    <w:p w14:paraId="73795952" w14:textId="77777777" w:rsidR="00C72C30" w:rsidRPr="00C72C30" w:rsidRDefault="00C72C30" w:rsidP="00F731E4">
      <w:pPr>
        <w:spacing w:after="0" w:line="360" w:lineRule="auto"/>
        <w:rPr>
          <w:color w:val="000000"/>
        </w:rPr>
      </w:pPr>
      <w:r w:rsidRPr="00C72C30">
        <w:rPr>
          <w:color w:val="000000"/>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w:t>
      </w:r>
      <w:r w:rsidRPr="00C72C30">
        <w:rPr>
          <w:color w:val="000000"/>
        </w:rPr>
        <w:lastRenderedPageBreak/>
        <w:t>corresponden a información que se encuentra relacionada con el patrimonio de la persona titular de la cuenta.</w:t>
      </w:r>
    </w:p>
    <w:p w14:paraId="1164958E" w14:textId="77777777" w:rsidR="00C72C30" w:rsidRPr="00C72C30" w:rsidRDefault="00C72C30" w:rsidP="00F731E4">
      <w:pPr>
        <w:spacing w:after="0" w:line="360" w:lineRule="auto"/>
        <w:rPr>
          <w:color w:val="000000"/>
        </w:rPr>
      </w:pPr>
      <w:r w:rsidRPr="00C72C30">
        <w:rPr>
          <w:color w:val="000000"/>
        </w:rPr>
        <w:t> </w:t>
      </w:r>
    </w:p>
    <w:p w14:paraId="5ACA1850" w14:textId="77777777" w:rsidR="00C72C30" w:rsidRPr="00C72C30" w:rsidRDefault="00C72C30" w:rsidP="00F731E4">
      <w:pPr>
        <w:spacing w:after="0" w:line="360" w:lineRule="auto"/>
        <w:rPr>
          <w:color w:val="000000"/>
        </w:rPr>
      </w:pPr>
      <w:r w:rsidRPr="00C72C30">
        <w:rPr>
          <w:color w:val="000000"/>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1613A9F4" w14:textId="77777777" w:rsidR="00C72C30" w:rsidRPr="00C72C30" w:rsidRDefault="00C72C30" w:rsidP="00F731E4">
      <w:pPr>
        <w:spacing w:after="0" w:line="360" w:lineRule="auto"/>
        <w:rPr>
          <w:color w:val="000000"/>
        </w:rPr>
      </w:pPr>
    </w:p>
    <w:p w14:paraId="0B6BB6E8" w14:textId="77777777" w:rsidR="00C72C30" w:rsidRPr="00C72C30" w:rsidRDefault="00C72C30" w:rsidP="00F731E4">
      <w:pPr>
        <w:spacing w:after="0" w:line="360" w:lineRule="auto"/>
        <w:ind w:left="567" w:right="567"/>
        <w:rPr>
          <w:i/>
          <w:color w:val="000000"/>
          <w:sz w:val="20"/>
          <w:szCs w:val="20"/>
        </w:rPr>
      </w:pPr>
      <w:r w:rsidRPr="00C72C30">
        <w:rPr>
          <w:i/>
          <w:color w:val="000000"/>
          <w:sz w:val="20"/>
          <w:szCs w:val="20"/>
        </w:rPr>
        <w:t>“</w:t>
      </w:r>
      <w:r w:rsidRPr="00C72C30">
        <w:rPr>
          <w:b/>
          <w:i/>
          <w:color w:val="000000"/>
          <w:sz w:val="20"/>
          <w:szCs w:val="20"/>
        </w:rPr>
        <w:t>Cuentas bancarias y/o CLABE interbancaria de personas físicas y morales privadas.</w:t>
      </w:r>
      <w:r w:rsidRPr="00C72C30">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E549DC6" w14:textId="77777777" w:rsidR="00C72C30" w:rsidRPr="00C72C30" w:rsidRDefault="00C72C30" w:rsidP="00F731E4">
      <w:pPr>
        <w:spacing w:after="0" w:line="360" w:lineRule="auto"/>
        <w:rPr>
          <w:color w:val="000000"/>
        </w:rPr>
      </w:pPr>
    </w:p>
    <w:p w14:paraId="4F35974F" w14:textId="77777777" w:rsidR="00C72C30" w:rsidRPr="00C72C30" w:rsidRDefault="00C72C30" w:rsidP="00F731E4">
      <w:pPr>
        <w:spacing w:after="0" w:line="360" w:lineRule="auto"/>
        <w:rPr>
          <w:color w:val="000000"/>
        </w:rPr>
      </w:pPr>
      <w:r w:rsidRPr="00C72C30">
        <w:rPr>
          <w:color w:val="000000"/>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4820933C" w14:textId="77777777" w:rsidR="00AB714B" w:rsidRPr="00AB714B" w:rsidRDefault="00AB714B" w:rsidP="00F731E4">
      <w:pPr>
        <w:tabs>
          <w:tab w:val="center" w:pos="4522"/>
        </w:tabs>
        <w:spacing w:after="0" w:line="360" w:lineRule="auto"/>
        <w:rPr>
          <w:color w:val="000000"/>
        </w:rPr>
      </w:pPr>
    </w:p>
    <w:p w14:paraId="24BD2F81" w14:textId="77777777" w:rsidR="00AB714B" w:rsidRPr="00AB714B" w:rsidRDefault="00AB714B" w:rsidP="0065684B">
      <w:pPr>
        <w:numPr>
          <w:ilvl w:val="0"/>
          <w:numId w:val="3"/>
        </w:numPr>
        <w:spacing w:after="0" w:line="360" w:lineRule="auto"/>
        <w:rPr>
          <w:b/>
          <w:color w:val="000000"/>
        </w:rPr>
      </w:pPr>
      <w:r w:rsidRPr="00AB714B">
        <w:rPr>
          <w:b/>
          <w:color w:val="000000"/>
        </w:rPr>
        <w:t>Número de seguridad social del Instituto de Seguridad Social del Estado de México y Municipios</w:t>
      </w:r>
    </w:p>
    <w:p w14:paraId="08D41F04" w14:textId="77777777" w:rsidR="00AB714B" w:rsidRPr="00AB714B" w:rsidRDefault="00AB714B" w:rsidP="00F731E4">
      <w:pPr>
        <w:spacing w:after="0" w:line="360" w:lineRule="auto"/>
        <w:rPr>
          <w:b/>
          <w:color w:val="000000"/>
        </w:rPr>
      </w:pPr>
    </w:p>
    <w:p w14:paraId="4CB683F1" w14:textId="77777777" w:rsidR="00AB714B" w:rsidRPr="00AB714B" w:rsidRDefault="00AB714B" w:rsidP="00F731E4">
      <w:pPr>
        <w:spacing w:after="0" w:line="360" w:lineRule="auto"/>
        <w:rPr>
          <w:color w:val="000000"/>
        </w:rPr>
      </w:pPr>
      <w:r w:rsidRPr="00AB714B">
        <w:rPr>
          <w:color w:val="000000"/>
        </w:rPr>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0F083D4" w14:textId="77777777" w:rsidR="00AB714B" w:rsidRPr="00AB714B" w:rsidRDefault="00AB714B" w:rsidP="00F731E4">
      <w:pPr>
        <w:spacing w:after="0" w:line="360" w:lineRule="auto"/>
        <w:rPr>
          <w:color w:val="000000"/>
        </w:rPr>
      </w:pPr>
    </w:p>
    <w:p w14:paraId="75FE163B" w14:textId="77777777" w:rsidR="00AB714B" w:rsidRPr="00AB714B" w:rsidRDefault="00AB714B" w:rsidP="00F731E4">
      <w:pPr>
        <w:spacing w:after="0" w:line="360" w:lineRule="auto"/>
        <w:rPr>
          <w:color w:val="000000"/>
        </w:rPr>
      </w:pPr>
      <w:r w:rsidRPr="00AB714B">
        <w:rPr>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2FA7DACF" w14:textId="77777777" w:rsidR="00AB714B" w:rsidRPr="00AB714B" w:rsidRDefault="00AB714B" w:rsidP="00F731E4">
      <w:pPr>
        <w:spacing w:after="0" w:line="360" w:lineRule="auto"/>
        <w:rPr>
          <w:color w:val="000000"/>
        </w:rPr>
      </w:pPr>
    </w:p>
    <w:p w14:paraId="5581F6F6" w14:textId="77777777" w:rsidR="00AB714B" w:rsidRPr="00AB714B" w:rsidRDefault="00AB714B" w:rsidP="00F731E4">
      <w:pPr>
        <w:spacing w:after="0" w:line="360" w:lineRule="auto"/>
        <w:rPr>
          <w:color w:val="000000"/>
        </w:rPr>
      </w:pPr>
      <w:r w:rsidRPr="00AB714B">
        <w:rPr>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5EC2B4F" w14:textId="77777777" w:rsidR="00AB714B" w:rsidRPr="00AB714B" w:rsidRDefault="00AB714B" w:rsidP="00F731E4">
      <w:pPr>
        <w:spacing w:after="0" w:line="360" w:lineRule="auto"/>
        <w:rPr>
          <w:color w:val="000000"/>
        </w:rPr>
      </w:pPr>
    </w:p>
    <w:p w14:paraId="00465DC7" w14:textId="77777777" w:rsidR="00AB714B" w:rsidRPr="00AB714B" w:rsidRDefault="00AB714B" w:rsidP="00F731E4">
      <w:pPr>
        <w:spacing w:after="0" w:line="360" w:lineRule="auto"/>
        <w:rPr>
          <w:color w:val="000000"/>
        </w:rPr>
      </w:pPr>
      <w:r w:rsidRPr="00AB714B">
        <w:rPr>
          <w:color w:val="000000"/>
        </w:rPr>
        <w:t xml:space="preserve">En ese sentido, contar con la prestación de seguridad social que brinda el Instituto de Seguridad Social del Estado de México y Municipios no es una obligación para entrar a </w:t>
      </w:r>
      <w:r w:rsidRPr="00AB714B">
        <w:rPr>
          <w:color w:val="000000"/>
        </w:rPr>
        <w:lastRenderedPageBreak/>
        <w:t>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26885A4F" w14:textId="77777777" w:rsidR="00AB714B" w:rsidRPr="00AB714B" w:rsidRDefault="00AB714B" w:rsidP="00F731E4">
      <w:pPr>
        <w:spacing w:after="0" w:line="360" w:lineRule="auto"/>
        <w:rPr>
          <w:color w:val="000000"/>
        </w:rPr>
      </w:pPr>
    </w:p>
    <w:p w14:paraId="57FD5953" w14:textId="48F7BAB5" w:rsidR="00AB714B" w:rsidRPr="00AB714B" w:rsidRDefault="00AB714B" w:rsidP="0065684B">
      <w:pPr>
        <w:numPr>
          <w:ilvl w:val="0"/>
          <w:numId w:val="5"/>
        </w:numPr>
        <w:spacing w:after="0" w:line="360" w:lineRule="auto"/>
        <w:jc w:val="left"/>
        <w:rPr>
          <w:b/>
          <w:color w:val="000000"/>
        </w:rPr>
      </w:pPr>
      <w:r w:rsidRPr="00AB714B">
        <w:rPr>
          <w:b/>
          <w:color w:val="000000"/>
        </w:rPr>
        <w:t>Deducciones personales</w:t>
      </w:r>
      <w:r w:rsidR="00582E01">
        <w:rPr>
          <w:b/>
          <w:color w:val="000000"/>
        </w:rPr>
        <w:t xml:space="preserve"> (monto y concepto)</w:t>
      </w:r>
    </w:p>
    <w:p w14:paraId="2D589819" w14:textId="77777777" w:rsidR="00AB714B" w:rsidRPr="00AB714B" w:rsidRDefault="00AB714B" w:rsidP="00F731E4">
      <w:pPr>
        <w:spacing w:after="0" w:line="360" w:lineRule="auto"/>
        <w:ind w:left="720"/>
        <w:rPr>
          <w:b/>
          <w:color w:val="000000"/>
        </w:rPr>
      </w:pPr>
    </w:p>
    <w:p w14:paraId="3ACFD3D8" w14:textId="77777777" w:rsidR="00AB714B" w:rsidRPr="00AB714B" w:rsidRDefault="00AB714B" w:rsidP="00F731E4">
      <w:pPr>
        <w:spacing w:after="0" w:line="360" w:lineRule="auto"/>
        <w:rPr>
          <w:color w:val="000000"/>
        </w:rPr>
      </w:pPr>
      <w:r w:rsidRPr="00AB714B">
        <w:rPr>
          <w:color w:val="000000"/>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51FEDA5D" w14:textId="77777777" w:rsidR="00AB714B" w:rsidRPr="00AB714B" w:rsidRDefault="00AB714B" w:rsidP="00F731E4">
      <w:pPr>
        <w:spacing w:after="0" w:line="360" w:lineRule="auto"/>
        <w:rPr>
          <w:color w:val="000000"/>
        </w:rPr>
      </w:pPr>
    </w:p>
    <w:p w14:paraId="390BF3E8" w14:textId="77777777" w:rsidR="00AB714B" w:rsidRPr="00AB714B" w:rsidRDefault="00AB714B" w:rsidP="00F731E4">
      <w:pPr>
        <w:spacing w:after="0" w:line="360" w:lineRule="auto"/>
        <w:rPr>
          <w:color w:val="000000"/>
        </w:rPr>
      </w:pPr>
      <w:r w:rsidRPr="00AB714B">
        <w:rPr>
          <w:color w:val="000000"/>
        </w:rPr>
        <w:t xml:space="preserve">Asimismo, hay otras que se generan con motivo de una sentencia judicial, como es la pensión alimenticia que periódicamente se retira de la cuenta de un empleado, a efecto de que sea entregado a un tercero.  </w:t>
      </w:r>
    </w:p>
    <w:p w14:paraId="1A98E81F" w14:textId="77777777" w:rsidR="00AB714B" w:rsidRPr="00AB714B" w:rsidRDefault="00AB714B" w:rsidP="00F731E4">
      <w:pPr>
        <w:spacing w:after="0" w:line="360" w:lineRule="auto"/>
        <w:rPr>
          <w:color w:val="000000"/>
        </w:rPr>
      </w:pPr>
    </w:p>
    <w:p w14:paraId="770DA2C2" w14:textId="77777777" w:rsidR="00AB714B" w:rsidRPr="00AB714B" w:rsidRDefault="00AB714B" w:rsidP="00F731E4">
      <w:pPr>
        <w:spacing w:after="0" w:line="360" w:lineRule="auto"/>
        <w:rPr>
          <w:color w:val="000000"/>
        </w:rPr>
      </w:pPr>
      <w:r w:rsidRPr="00AB714B">
        <w:rPr>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6129E0D7" w14:textId="77777777" w:rsidR="00AB714B" w:rsidRPr="00AB714B" w:rsidRDefault="00AB714B" w:rsidP="00F731E4">
      <w:pPr>
        <w:spacing w:after="0" w:line="360" w:lineRule="auto"/>
        <w:rPr>
          <w:color w:val="000000"/>
        </w:rPr>
      </w:pPr>
    </w:p>
    <w:p w14:paraId="1EA37565" w14:textId="77777777" w:rsidR="00AB714B" w:rsidRPr="00AB714B" w:rsidRDefault="00AB714B" w:rsidP="00F731E4">
      <w:pPr>
        <w:spacing w:after="0" w:line="360" w:lineRule="auto"/>
        <w:rPr>
          <w:b/>
          <w:bCs/>
          <w:color w:val="000000"/>
        </w:rPr>
      </w:pPr>
      <w:r w:rsidRPr="00AB714B">
        <w:rPr>
          <w:color w:val="000000"/>
        </w:rPr>
        <w:t xml:space="preserve">Así, dichas deducciones reflejan el destino que un servidor público da a su patrimonio y, por lo tanto, resulta procedente clasificar dichos datos, en el caso, que obren, en los documentos </w:t>
      </w:r>
      <w:r w:rsidRPr="00AB714B">
        <w:rPr>
          <w:color w:val="000000"/>
        </w:rPr>
        <w:lastRenderedPageBreak/>
        <w:t xml:space="preserve">que dan cuenta de lo requerido, en términos del artículo 143, fracción I de la Ley de Transparencia y Acceso a la Información Pública del Estado de México y Municipios. </w:t>
      </w:r>
      <w:r w:rsidRPr="00AB714B">
        <w:rPr>
          <w:b/>
          <w:bCs/>
          <w:color w:val="000000"/>
        </w:rPr>
        <w:t>Cabe precisar que el Sujeto Obligado dejó visible la cuota sindical.</w:t>
      </w:r>
    </w:p>
    <w:p w14:paraId="3FBA19B7" w14:textId="77777777" w:rsidR="00C72C30" w:rsidRDefault="00C72C30" w:rsidP="00F731E4">
      <w:pPr>
        <w:tabs>
          <w:tab w:val="left" w:pos="4962"/>
        </w:tabs>
        <w:spacing w:after="0" w:line="360" w:lineRule="auto"/>
        <w:rPr>
          <w:color w:val="000000"/>
        </w:rPr>
      </w:pPr>
    </w:p>
    <w:p w14:paraId="71C7DD8F" w14:textId="77777777" w:rsidR="009C1532" w:rsidRPr="009C1532" w:rsidRDefault="009C1532" w:rsidP="0065684B">
      <w:pPr>
        <w:numPr>
          <w:ilvl w:val="0"/>
          <w:numId w:val="11"/>
        </w:numPr>
        <w:spacing w:after="0" w:line="360" w:lineRule="auto"/>
        <w:jc w:val="left"/>
        <w:rPr>
          <w:b/>
          <w:color w:val="000000"/>
        </w:rPr>
      </w:pPr>
      <w:r w:rsidRPr="009C1532">
        <w:rPr>
          <w:b/>
          <w:color w:val="000000"/>
        </w:rPr>
        <w:t>Número de empleado</w:t>
      </w:r>
    </w:p>
    <w:p w14:paraId="1B8BB5F5" w14:textId="77777777" w:rsidR="009C1532" w:rsidRPr="009C1532" w:rsidRDefault="009C1532" w:rsidP="009C1532">
      <w:pPr>
        <w:spacing w:after="0" w:line="360" w:lineRule="auto"/>
        <w:rPr>
          <w:b/>
          <w:color w:val="000000"/>
        </w:rPr>
      </w:pPr>
    </w:p>
    <w:p w14:paraId="59D026FC" w14:textId="77777777" w:rsidR="009C1532" w:rsidRPr="009C1532" w:rsidRDefault="009C1532" w:rsidP="009C1532">
      <w:pPr>
        <w:spacing w:after="0" w:line="360" w:lineRule="auto"/>
        <w:rPr>
          <w:color w:val="000000"/>
        </w:rPr>
      </w:pPr>
      <w:r w:rsidRPr="009C1532">
        <w:rPr>
          <w:color w:val="000000"/>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2174671E" w14:textId="77777777" w:rsidR="009C1532" w:rsidRPr="009C1532" w:rsidRDefault="009C1532" w:rsidP="009C1532">
      <w:pPr>
        <w:spacing w:after="0" w:line="360" w:lineRule="auto"/>
        <w:rPr>
          <w:color w:val="000000"/>
        </w:rPr>
      </w:pPr>
    </w:p>
    <w:p w14:paraId="09A4AE03" w14:textId="77777777" w:rsidR="009C1532" w:rsidRPr="009C1532" w:rsidRDefault="009C1532" w:rsidP="009C1532">
      <w:pPr>
        <w:spacing w:after="0" w:line="360" w:lineRule="auto"/>
        <w:rPr>
          <w:color w:val="000000"/>
          <w:u w:val="single"/>
        </w:rPr>
      </w:pPr>
      <w:r w:rsidRPr="009C1532">
        <w:rPr>
          <w:color w:val="000000"/>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w:t>
      </w:r>
      <w:r w:rsidRPr="009C1532">
        <w:rPr>
          <w:color w:val="000000"/>
          <w:u w:val="single"/>
        </w:rPr>
        <w:t xml:space="preserve">sin embargo, cuando dicho dato se conforma de dígitos, letras o símbolos que no revelan datos personales, </w:t>
      </w:r>
      <w:r w:rsidRPr="009C1532">
        <w:rPr>
          <w:b/>
          <w:bCs/>
          <w:color w:val="000000"/>
          <w:u w:val="single"/>
        </w:rPr>
        <w:t>no reviste el carácter de confidencial</w:t>
      </w:r>
      <w:r w:rsidRPr="009C1532">
        <w:rPr>
          <w:color w:val="000000"/>
          <w:u w:val="single"/>
        </w:rPr>
        <w:t>, al no dar por sí solo acceso a datos personales.</w:t>
      </w:r>
    </w:p>
    <w:p w14:paraId="5BF3D0FA" w14:textId="4CB25092" w:rsidR="009C1532" w:rsidRPr="009C1532" w:rsidRDefault="009C1532" w:rsidP="009C1532">
      <w:pPr>
        <w:spacing w:after="0" w:line="360" w:lineRule="auto"/>
        <w:rPr>
          <w:color w:val="000000"/>
        </w:rPr>
      </w:pPr>
      <w:r w:rsidRPr="009C1532">
        <w:rPr>
          <w:color w:val="000000"/>
        </w:rPr>
        <w:t>Lo anterior, toma sustento en el Criterio Orientador, de la Segunda Época, con número de registro SO/006/2019, emitido por el entonces Instituto Nacional de Transparencia, Acceso a la Información y Protección de Datos Personales, que solamente procederá la clasificación del número de empleado, cuando se integre con datos personales de los servidores públicos o funcione como clave de acceso que no requiera una contraseña para ingresar a sistemas o bases de datos.</w:t>
      </w:r>
    </w:p>
    <w:p w14:paraId="33A4DB7E" w14:textId="77777777" w:rsidR="009C1532" w:rsidRPr="009C1532" w:rsidRDefault="009C1532" w:rsidP="009C1532">
      <w:pPr>
        <w:spacing w:after="0" w:line="360" w:lineRule="auto"/>
        <w:rPr>
          <w:b/>
          <w:color w:val="000000"/>
        </w:rPr>
      </w:pPr>
    </w:p>
    <w:p w14:paraId="56852DFD" w14:textId="77777777" w:rsidR="009C1532" w:rsidRPr="009C1532" w:rsidRDefault="009C1532" w:rsidP="009C1532">
      <w:pPr>
        <w:spacing w:after="0" w:line="360" w:lineRule="auto"/>
        <w:ind w:right="-93"/>
        <w:rPr>
          <w:color w:val="000000"/>
        </w:rPr>
      </w:pPr>
      <w:r w:rsidRPr="009C1532">
        <w:rPr>
          <w:color w:val="000000"/>
        </w:rPr>
        <w:t xml:space="preserve">Conforme a lo anterior, se considera que el Ente Recurrido </w:t>
      </w:r>
      <w:r w:rsidRPr="009C1532">
        <w:rPr>
          <w:b/>
          <w:color w:val="000000"/>
        </w:rPr>
        <w:t xml:space="preserve">deberá proporcionar dicho dato, en el caso, de que no se conforme de datos personales o bien, de que de ninguna manera </w:t>
      </w:r>
      <w:r w:rsidRPr="009C1532">
        <w:rPr>
          <w:b/>
          <w:color w:val="000000"/>
        </w:rPr>
        <w:lastRenderedPageBreak/>
        <w:t>puedan dar acceso a sistemas con información de los trabajadores</w:t>
      </w:r>
      <w:r w:rsidRPr="009C1532">
        <w:rPr>
          <w:color w:val="000000"/>
        </w:rPr>
        <w:t>; en el caso contrario, esto es que, de acceso a sistemas o base de datos, procederá su clasificación, en términos del artículo 143, fracción I de la Ley de la materia.</w:t>
      </w:r>
    </w:p>
    <w:p w14:paraId="5CBFBFDD" w14:textId="77777777" w:rsidR="00582E01" w:rsidRDefault="00582E01" w:rsidP="00F731E4">
      <w:pPr>
        <w:tabs>
          <w:tab w:val="left" w:pos="4962"/>
        </w:tabs>
        <w:spacing w:after="0" w:line="360" w:lineRule="auto"/>
        <w:rPr>
          <w:color w:val="000000"/>
        </w:rPr>
      </w:pPr>
    </w:p>
    <w:p w14:paraId="0C35D88A" w14:textId="6F44DC08" w:rsidR="00AB714B" w:rsidRDefault="00AB714B" w:rsidP="00F731E4">
      <w:pPr>
        <w:tabs>
          <w:tab w:val="left" w:pos="4962"/>
        </w:tabs>
        <w:spacing w:after="0" w:line="360" w:lineRule="auto"/>
        <w:rPr>
          <w:rFonts w:eastAsia="Times New Roman" w:cs="Tahoma"/>
          <w:szCs w:val="24"/>
          <w:lang w:eastAsia="es-ES"/>
        </w:rPr>
      </w:pPr>
      <w:r w:rsidRPr="00AB714B">
        <w:rPr>
          <w:rFonts w:eastAsia="Times New Roman" w:cs="Tahoma"/>
          <w:szCs w:val="24"/>
          <w:lang w:eastAsia="es-ES"/>
        </w:rPr>
        <w:t>De tal circunstancia, el Sujeto Obligado al entregar la información, deberá tomar en cuenta lo establecido en párrafos anteriores, para que únicamente clasifique aquellos datos que sean confidenciales.</w:t>
      </w:r>
    </w:p>
    <w:p w14:paraId="715A68F4" w14:textId="77777777" w:rsidR="00582E01" w:rsidRPr="00AB714B" w:rsidRDefault="00582E01" w:rsidP="00F731E4">
      <w:pPr>
        <w:tabs>
          <w:tab w:val="left" w:pos="4962"/>
        </w:tabs>
        <w:spacing w:after="0" w:line="360" w:lineRule="auto"/>
        <w:rPr>
          <w:rFonts w:eastAsia="Times New Roman" w:cs="Tahoma"/>
          <w:szCs w:val="24"/>
          <w:lang w:eastAsia="es-ES"/>
        </w:rPr>
      </w:pPr>
    </w:p>
    <w:p w14:paraId="181EA5C5" w14:textId="7F9ABD58" w:rsidR="009C1532" w:rsidRDefault="00AB714B" w:rsidP="00F731E4">
      <w:pPr>
        <w:spacing w:after="0" w:line="360" w:lineRule="auto"/>
        <w:rPr>
          <w:rFonts w:eastAsia="Calibri" w:cs="Times New Roman"/>
        </w:rPr>
      </w:pPr>
      <w:r w:rsidRPr="00AB714B">
        <w:rPr>
          <w:color w:val="000000"/>
        </w:rPr>
        <w:t>Ahora bien</w:t>
      </w:r>
      <w:r w:rsidR="009C1532">
        <w:rPr>
          <w:color w:val="000000"/>
        </w:rPr>
        <w:t xml:space="preserve"> y en atención a la respuesta entregada</w:t>
      </w:r>
      <w:r w:rsidRPr="00AB714B">
        <w:rPr>
          <w:color w:val="000000"/>
        </w:rPr>
        <w:t>, se procede analizar si procede la clasificación del nombre de los elementos operativos en materia de seguridad pública</w:t>
      </w:r>
      <w:r w:rsidR="009C1532">
        <w:rPr>
          <w:color w:val="000000"/>
        </w:rPr>
        <w:t xml:space="preserve"> adscritos a la Dirección de Seguridad Ciudadana y Protección Civil</w:t>
      </w:r>
      <w:r w:rsidR="009C1532">
        <w:rPr>
          <w:rFonts w:eastAsia="Calibri" w:cs="Times New Roman"/>
        </w:rPr>
        <w:t>, en atención a las causales referidas en el Acta del Comité de Transparencia.</w:t>
      </w:r>
    </w:p>
    <w:p w14:paraId="46DE08D2" w14:textId="77777777" w:rsidR="009C1532" w:rsidRDefault="009C1532" w:rsidP="00F731E4">
      <w:pPr>
        <w:spacing w:after="0" w:line="360" w:lineRule="auto"/>
        <w:rPr>
          <w:rFonts w:eastAsia="Calibri" w:cs="Times New Roman"/>
        </w:rPr>
      </w:pPr>
    </w:p>
    <w:p w14:paraId="2C8BB72E" w14:textId="188AFEBC" w:rsidR="009C1532" w:rsidRPr="009C1532" w:rsidRDefault="009C1532" w:rsidP="009C1532">
      <w:pPr>
        <w:spacing w:after="0" w:line="360" w:lineRule="auto"/>
        <w:rPr>
          <w:rFonts w:eastAsia="Calibri" w:cs="Tahoma"/>
          <w:iCs/>
          <w:color w:val="auto"/>
          <w:lang w:val="es-ES" w:eastAsia="es-ES_tradnl"/>
        </w:rPr>
      </w:pPr>
      <w:r>
        <w:rPr>
          <w:rFonts w:eastAsia="Calibri" w:cs="Tahoma"/>
          <w:color w:val="auto"/>
          <w:lang w:eastAsia="en-US"/>
        </w:rPr>
        <w:t>Al respecto</w:t>
      </w:r>
      <w:r w:rsidRPr="009C1532">
        <w:rPr>
          <w:rFonts w:eastAsia="Calibri" w:cs="Tahoma"/>
          <w:color w:val="auto"/>
          <w:lang w:eastAsia="en-US"/>
        </w:rPr>
        <w:t xml:space="preserve">, es necesario traer a colación </w:t>
      </w:r>
      <w:r w:rsidRPr="009C1532">
        <w:rPr>
          <w:rFonts w:eastAsia="Calibri" w:cs="Tahoma"/>
          <w:bCs/>
          <w:color w:val="auto"/>
          <w:lang w:eastAsia="en-US"/>
        </w:rPr>
        <w:t>e</w:t>
      </w:r>
      <w:r w:rsidRPr="009C1532">
        <w:rPr>
          <w:rFonts w:eastAsia="Calibri" w:cs="Tahoma"/>
          <w:iCs/>
          <w:color w:val="auto"/>
          <w:lang w:val="es-ES" w:eastAsia="es-ES_tradnl"/>
        </w:rPr>
        <w:t>l</w:t>
      </w:r>
      <w:r w:rsidRPr="009C1532">
        <w:rPr>
          <w:rFonts w:eastAsia="Calibri" w:cs="Tahoma"/>
          <w:b/>
          <w:iCs/>
          <w:color w:val="auto"/>
          <w:lang w:val="es-ES" w:eastAsia="es-ES_tradnl"/>
        </w:rPr>
        <w:t xml:space="preserve"> </w:t>
      </w:r>
      <w:r w:rsidRPr="009C1532">
        <w:rPr>
          <w:rFonts w:eastAsia="Calibri" w:cs="Tahoma"/>
          <w:iCs/>
          <w:color w:val="auto"/>
          <w:lang w:val="es-ES" w:eastAsia="es-ES_tradnl"/>
        </w:rPr>
        <w:t>artículo 140, fracción I, de la Ley de Transparencia y Acceso a la Información Pública del Estado de México y Municipios</w:t>
      </w:r>
      <w:r>
        <w:rPr>
          <w:rFonts w:eastAsia="Calibri" w:cs="Tahoma"/>
          <w:iCs/>
          <w:color w:val="auto"/>
          <w:lang w:val="es-ES" w:eastAsia="es-ES_tradnl"/>
        </w:rPr>
        <w:t xml:space="preserve">, </w:t>
      </w:r>
      <w:r w:rsidRPr="009C1532">
        <w:rPr>
          <w:rFonts w:eastAsia="Calibri" w:cs="Tahoma"/>
          <w:iCs/>
          <w:color w:val="auto"/>
          <w:lang w:val="es-ES" w:eastAsia="es-ES_tradnl"/>
        </w:rPr>
        <w:t>que prevé lo siguiente:</w:t>
      </w:r>
    </w:p>
    <w:p w14:paraId="06FF3343" w14:textId="77777777" w:rsidR="009C1532" w:rsidRPr="009C1532" w:rsidRDefault="009C1532" w:rsidP="009C1532">
      <w:pPr>
        <w:tabs>
          <w:tab w:val="left" w:pos="4962"/>
        </w:tabs>
        <w:spacing w:after="0" w:line="360" w:lineRule="auto"/>
        <w:ind w:left="567" w:right="567"/>
        <w:rPr>
          <w:rFonts w:eastAsia="Calibri" w:cs="Tahoma"/>
          <w:i/>
          <w:iCs/>
          <w:color w:val="auto"/>
          <w:sz w:val="20"/>
          <w:szCs w:val="20"/>
          <w:lang w:val="es-ES" w:eastAsia="es-ES_tradnl"/>
        </w:rPr>
      </w:pPr>
    </w:p>
    <w:p w14:paraId="075E32C3" w14:textId="77777777" w:rsidR="009C1532" w:rsidRPr="009C1532" w:rsidRDefault="009C1532" w:rsidP="009C1532">
      <w:pPr>
        <w:tabs>
          <w:tab w:val="left" w:pos="4962"/>
        </w:tabs>
        <w:spacing w:after="0" w:line="360" w:lineRule="auto"/>
        <w:ind w:left="567" w:right="567"/>
        <w:rPr>
          <w:rFonts w:eastAsia="Calibri" w:cs="Tahoma"/>
          <w:i/>
          <w:iCs/>
          <w:color w:val="auto"/>
          <w:sz w:val="20"/>
          <w:szCs w:val="20"/>
          <w:lang w:val="es-ES" w:eastAsia="es-ES_tradnl"/>
        </w:rPr>
      </w:pPr>
      <w:r w:rsidRPr="009C1532">
        <w:rPr>
          <w:rFonts w:eastAsia="Calibri" w:cs="Tahoma"/>
          <w:i/>
          <w:iCs/>
          <w:color w:val="auto"/>
          <w:sz w:val="20"/>
          <w:szCs w:val="20"/>
          <w:lang w:val="es-ES" w:eastAsia="es-ES_tradnl"/>
        </w:rPr>
        <w:t>“</w:t>
      </w:r>
      <w:r w:rsidRPr="009C1532">
        <w:rPr>
          <w:rFonts w:eastAsia="Calibri" w:cs="Tahoma"/>
          <w:b/>
          <w:i/>
          <w:iCs/>
          <w:color w:val="auto"/>
          <w:sz w:val="20"/>
          <w:szCs w:val="20"/>
          <w:lang w:val="es-ES" w:eastAsia="es-ES_tradnl"/>
        </w:rPr>
        <w:t>Artículo 140.</w:t>
      </w:r>
      <w:r w:rsidRPr="009C1532">
        <w:rPr>
          <w:rFonts w:eastAsia="Calibri" w:cs="Tahoma"/>
          <w:i/>
          <w:iCs/>
          <w:color w:val="auto"/>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43CE16C4" w14:textId="77777777" w:rsidR="009C1532" w:rsidRPr="009C1532" w:rsidRDefault="009C1532" w:rsidP="009C1532">
      <w:pPr>
        <w:tabs>
          <w:tab w:val="left" w:pos="4962"/>
        </w:tabs>
        <w:spacing w:after="0" w:line="360" w:lineRule="auto"/>
        <w:ind w:left="567" w:right="567"/>
        <w:rPr>
          <w:rFonts w:eastAsia="Calibri" w:cs="Tahoma"/>
          <w:i/>
          <w:iCs/>
          <w:color w:val="auto"/>
          <w:sz w:val="20"/>
          <w:szCs w:val="20"/>
          <w:lang w:val="es-ES" w:eastAsia="es-ES_tradnl"/>
        </w:rPr>
      </w:pPr>
    </w:p>
    <w:p w14:paraId="544C3252" w14:textId="77777777" w:rsidR="009C1532" w:rsidRPr="009C1532" w:rsidRDefault="009C1532" w:rsidP="009C1532">
      <w:pPr>
        <w:tabs>
          <w:tab w:val="left" w:pos="4962"/>
        </w:tabs>
        <w:spacing w:after="0" w:line="360" w:lineRule="auto"/>
        <w:ind w:left="567" w:right="567"/>
        <w:rPr>
          <w:rFonts w:eastAsia="Calibri" w:cs="Tahoma"/>
          <w:i/>
          <w:iCs/>
          <w:color w:val="auto"/>
          <w:sz w:val="20"/>
          <w:szCs w:val="20"/>
          <w:lang w:eastAsia="es-ES_tradnl"/>
        </w:rPr>
      </w:pPr>
      <w:r w:rsidRPr="009C1532">
        <w:rPr>
          <w:rFonts w:eastAsia="Calibri" w:cs="Tahoma"/>
          <w:i/>
          <w:iCs/>
          <w:color w:val="auto"/>
          <w:sz w:val="20"/>
          <w:szCs w:val="20"/>
          <w:lang w:eastAsia="es-ES_tradnl"/>
        </w:rPr>
        <w:t>I. Comprometa la seguridad pública y cuente con un propósito genuino y un efecto demostrable;</w:t>
      </w:r>
    </w:p>
    <w:p w14:paraId="0A335AD2" w14:textId="77777777" w:rsidR="009C1532" w:rsidRPr="009C1532" w:rsidRDefault="009C1532" w:rsidP="009C1532">
      <w:pPr>
        <w:tabs>
          <w:tab w:val="left" w:pos="4962"/>
        </w:tabs>
        <w:spacing w:after="0" w:line="360" w:lineRule="auto"/>
        <w:ind w:left="567" w:right="567"/>
        <w:rPr>
          <w:rFonts w:eastAsia="Calibri" w:cs="Tahoma"/>
          <w:i/>
          <w:iCs/>
          <w:color w:val="auto"/>
          <w:sz w:val="20"/>
          <w:szCs w:val="20"/>
          <w:lang w:val="es-ES" w:eastAsia="es-ES_tradnl"/>
        </w:rPr>
      </w:pPr>
      <w:r w:rsidRPr="009C1532">
        <w:rPr>
          <w:rFonts w:eastAsia="Calibri" w:cs="Tahoma"/>
          <w:i/>
          <w:iCs/>
          <w:color w:val="auto"/>
          <w:sz w:val="20"/>
          <w:szCs w:val="20"/>
          <w:lang w:val="es-ES" w:eastAsia="es-ES_tradnl"/>
        </w:rPr>
        <w:t xml:space="preserve">…” </w:t>
      </w:r>
    </w:p>
    <w:p w14:paraId="6F2FD465" w14:textId="77777777" w:rsidR="009C1532" w:rsidRPr="009C1532" w:rsidRDefault="009C1532" w:rsidP="009C1532">
      <w:pPr>
        <w:tabs>
          <w:tab w:val="left" w:pos="4962"/>
        </w:tabs>
        <w:spacing w:after="0" w:line="360" w:lineRule="auto"/>
        <w:ind w:left="567" w:right="567"/>
        <w:rPr>
          <w:rFonts w:eastAsia="Calibri" w:cs="Tahoma"/>
          <w:iCs/>
          <w:color w:val="auto"/>
          <w:sz w:val="20"/>
          <w:szCs w:val="20"/>
          <w:lang w:val="es-ES" w:eastAsia="es-ES_tradnl"/>
        </w:rPr>
      </w:pPr>
    </w:p>
    <w:p w14:paraId="18F42A0B" w14:textId="77777777" w:rsidR="009C1532" w:rsidRPr="009C1532" w:rsidRDefault="009C1532" w:rsidP="009C1532">
      <w:pPr>
        <w:tabs>
          <w:tab w:val="left" w:pos="4962"/>
        </w:tabs>
        <w:spacing w:after="0" w:line="360" w:lineRule="auto"/>
        <w:rPr>
          <w:rFonts w:eastAsia="Calibri" w:cs="Tahoma"/>
          <w:bCs/>
          <w:iCs/>
          <w:color w:val="auto"/>
          <w:lang w:eastAsia="es-ES_tradnl"/>
        </w:rPr>
      </w:pPr>
      <w:r w:rsidRPr="009C1532">
        <w:rPr>
          <w:rFonts w:eastAsia="Calibri" w:cs="Tahoma"/>
          <w:iCs/>
          <w:color w:val="auto"/>
          <w:lang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9C1532">
        <w:rPr>
          <w:rFonts w:eastAsia="Calibri" w:cs="Tahoma"/>
          <w:bCs/>
          <w:iCs/>
          <w:color w:val="auto"/>
          <w:lang w:eastAsia="es-ES_tradnl"/>
        </w:rPr>
        <w:t>Lineamientos Generales multicitados, disponen:</w:t>
      </w:r>
    </w:p>
    <w:p w14:paraId="69FDAB81" w14:textId="77777777" w:rsidR="009C1532" w:rsidRPr="009C1532" w:rsidRDefault="009C1532" w:rsidP="009C1532">
      <w:pPr>
        <w:spacing w:after="0" w:line="360" w:lineRule="auto"/>
        <w:rPr>
          <w:rFonts w:eastAsia="Calibri" w:cs="Tahoma"/>
          <w:bCs/>
          <w:color w:val="auto"/>
          <w:lang w:eastAsia="en-US"/>
        </w:rPr>
      </w:pPr>
    </w:p>
    <w:p w14:paraId="43A966F4" w14:textId="77777777" w:rsidR="009C1532" w:rsidRPr="009C1532" w:rsidRDefault="009C1532" w:rsidP="009C1532">
      <w:pPr>
        <w:tabs>
          <w:tab w:val="left" w:pos="4962"/>
        </w:tabs>
        <w:spacing w:after="0" w:line="360" w:lineRule="auto"/>
        <w:ind w:left="567" w:right="567"/>
        <w:rPr>
          <w:rFonts w:eastAsia="Calibri" w:cs="Tahoma"/>
          <w:i/>
          <w:iCs/>
          <w:color w:val="auto"/>
          <w:sz w:val="20"/>
          <w:szCs w:val="20"/>
          <w:lang w:eastAsia="es-ES_tradnl"/>
        </w:rPr>
      </w:pPr>
      <w:r w:rsidRPr="009C1532">
        <w:rPr>
          <w:rFonts w:eastAsia="Calibri" w:cs="Tahoma"/>
          <w:b/>
          <w:iCs/>
          <w:color w:val="auto"/>
          <w:sz w:val="20"/>
          <w:szCs w:val="20"/>
          <w:lang w:val="es-ES" w:eastAsia="es-ES_tradnl"/>
        </w:rPr>
        <w:t>“</w:t>
      </w:r>
      <w:r w:rsidRPr="009C1532">
        <w:rPr>
          <w:rFonts w:eastAsia="Calibri" w:cs="Tahoma"/>
          <w:b/>
          <w:i/>
          <w:iCs/>
          <w:color w:val="auto"/>
          <w:sz w:val="20"/>
          <w:szCs w:val="20"/>
          <w:lang w:val="es-ES" w:eastAsia="es-ES_tradnl"/>
        </w:rPr>
        <w:t>Décimo octavo.</w:t>
      </w:r>
      <w:r w:rsidRPr="009C1532">
        <w:rPr>
          <w:rFonts w:eastAsia="Calibri" w:cs="Tahoma"/>
          <w:i/>
          <w:iCs/>
          <w:color w:val="auto"/>
          <w:sz w:val="20"/>
          <w:szCs w:val="20"/>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9C1532">
        <w:rPr>
          <w:rFonts w:eastAsia="Calibri" w:cs="Tahoma"/>
          <w:i/>
          <w:iCs/>
          <w:color w:val="auto"/>
          <w:sz w:val="20"/>
          <w:szCs w:val="20"/>
          <w:lang w:eastAsia="es-ES_tradnl"/>
        </w:rPr>
        <w:t xml:space="preserve">Ciudad de México, los Estados y los Municipios, tendientes a preservar y resguardar la vida, la salud, la integridad y el ejercicio de los derechos de las personas, así como para el mantenimiento del orden público. </w:t>
      </w:r>
    </w:p>
    <w:p w14:paraId="54DF787B" w14:textId="77777777" w:rsidR="009C1532" w:rsidRPr="009C1532" w:rsidRDefault="009C1532" w:rsidP="009C1532">
      <w:pPr>
        <w:tabs>
          <w:tab w:val="left" w:pos="4962"/>
        </w:tabs>
        <w:spacing w:after="0" w:line="360" w:lineRule="auto"/>
        <w:ind w:left="567" w:right="567"/>
        <w:rPr>
          <w:rFonts w:eastAsia="Calibri" w:cs="Tahoma"/>
          <w:i/>
          <w:iCs/>
          <w:color w:val="auto"/>
          <w:sz w:val="20"/>
          <w:szCs w:val="20"/>
          <w:lang w:eastAsia="es-ES_tradnl"/>
        </w:rPr>
      </w:pPr>
    </w:p>
    <w:p w14:paraId="1C1DD85C" w14:textId="77777777" w:rsidR="009C1532" w:rsidRPr="009C1532" w:rsidRDefault="009C1532" w:rsidP="009C1532">
      <w:pPr>
        <w:tabs>
          <w:tab w:val="left" w:pos="4962"/>
        </w:tabs>
        <w:spacing w:after="0" w:line="360" w:lineRule="auto"/>
        <w:ind w:left="567" w:right="567"/>
        <w:rPr>
          <w:rFonts w:eastAsia="Calibri" w:cs="Tahoma"/>
          <w:i/>
          <w:iCs/>
          <w:color w:val="auto"/>
          <w:sz w:val="20"/>
          <w:szCs w:val="20"/>
          <w:lang w:eastAsia="es-ES_tradnl"/>
        </w:rPr>
      </w:pPr>
      <w:r w:rsidRPr="009C1532">
        <w:rPr>
          <w:rFonts w:eastAsia="Calibri" w:cs="Tahoma"/>
          <w:i/>
          <w:iCs/>
          <w:color w:val="auto"/>
          <w:sz w:val="20"/>
          <w:szCs w:val="20"/>
          <w:lang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4001F473" w14:textId="77777777" w:rsidR="009C1532" w:rsidRPr="009C1532" w:rsidRDefault="009C1532" w:rsidP="009C1532">
      <w:pPr>
        <w:tabs>
          <w:tab w:val="left" w:pos="4962"/>
        </w:tabs>
        <w:spacing w:after="0" w:line="360" w:lineRule="auto"/>
        <w:ind w:left="567" w:right="567"/>
        <w:rPr>
          <w:rFonts w:eastAsia="Calibri" w:cs="Tahoma"/>
          <w:i/>
          <w:iCs/>
          <w:color w:val="auto"/>
          <w:sz w:val="20"/>
          <w:szCs w:val="20"/>
          <w:lang w:eastAsia="es-ES_tradnl"/>
        </w:rPr>
      </w:pPr>
    </w:p>
    <w:p w14:paraId="260BAE01" w14:textId="77777777" w:rsidR="009C1532" w:rsidRPr="009C1532" w:rsidRDefault="009C1532" w:rsidP="009C1532">
      <w:pPr>
        <w:tabs>
          <w:tab w:val="left" w:pos="4962"/>
        </w:tabs>
        <w:spacing w:after="0" w:line="360" w:lineRule="auto"/>
        <w:ind w:left="567" w:right="567"/>
        <w:rPr>
          <w:rFonts w:eastAsia="Calibri" w:cs="Tahoma"/>
          <w:i/>
          <w:iCs/>
          <w:color w:val="auto"/>
          <w:sz w:val="20"/>
          <w:szCs w:val="20"/>
          <w:lang w:eastAsia="es-ES_tradnl"/>
        </w:rPr>
      </w:pPr>
      <w:r w:rsidRPr="009C1532">
        <w:rPr>
          <w:rFonts w:eastAsia="Calibri" w:cs="Tahoma"/>
          <w:i/>
          <w:iCs/>
          <w:color w:val="auto"/>
          <w:sz w:val="20"/>
          <w:szCs w:val="20"/>
          <w:lang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291F281E" w14:textId="77777777" w:rsidR="009C1532" w:rsidRPr="009C1532" w:rsidRDefault="009C1532" w:rsidP="009C1532">
      <w:pPr>
        <w:tabs>
          <w:tab w:val="left" w:pos="4962"/>
        </w:tabs>
        <w:spacing w:after="0" w:line="360" w:lineRule="auto"/>
        <w:ind w:left="567" w:right="567"/>
        <w:rPr>
          <w:rFonts w:eastAsia="Calibri" w:cs="Tahoma"/>
          <w:i/>
          <w:iCs/>
          <w:color w:val="auto"/>
          <w:sz w:val="20"/>
          <w:szCs w:val="20"/>
          <w:lang w:val="es-ES" w:eastAsia="es-ES_tradnl"/>
        </w:rPr>
      </w:pPr>
    </w:p>
    <w:p w14:paraId="2B52D2E1" w14:textId="77777777" w:rsidR="009C1532" w:rsidRPr="009C1532" w:rsidRDefault="009C1532" w:rsidP="009C1532">
      <w:pPr>
        <w:spacing w:after="0" w:line="360" w:lineRule="auto"/>
        <w:rPr>
          <w:rFonts w:eastAsia="Calibri" w:cs="Tahoma"/>
          <w:bCs/>
          <w:color w:val="auto"/>
          <w:lang w:eastAsia="en-US"/>
        </w:rPr>
      </w:pPr>
      <w:r w:rsidRPr="009C1532">
        <w:rPr>
          <w:rFonts w:eastAsia="Calibri" w:cs="Tahoma"/>
          <w:bCs/>
          <w:color w:val="auto"/>
          <w:lang w:eastAsia="en-US"/>
        </w:rPr>
        <w:t xml:space="preserve">Así, es posible observar que 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2370BC42" w14:textId="77777777" w:rsidR="009C1532" w:rsidRPr="009C1532" w:rsidRDefault="009C1532" w:rsidP="009C1532">
      <w:pPr>
        <w:spacing w:after="0" w:line="360" w:lineRule="auto"/>
        <w:rPr>
          <w:rFonts w:eastAsia="Calibri" w:cs="Tahoma"/>
          <w:bCs/>
          <w:color w:val="auto"/>
          <w:lang w:eastAsia="en-US"/>
        </w:rPr>
      </w:pPr>
    </w:p>
    <w:p w14:paraId="36F3047F" w14:textId="77777777" w:rsidR="009C1532" w:rsidRPr="009C1532" w:rsidRDefault="009C1532" w:rsidP="009C1532">
      <w:pPr>
        <w:spacing w:after="0" w:line="360" w:lineRule="auto"/>
        <w:rPr>
          <w:rFonts w:eastAsia="Calibri" w:cs="Tahoma"/>
          <w:bCs/>
          <w:color w:val="auto"/>
          <w:lang w:eastAsia="en-US"/>
        </w:rPr>
      </w:pPr>
      <w:r w:rsidRPr="009C1532">
        <w:rPr>
          <w:rFonts w:eastAsia="Calibri" w:cs="Tahoma"/>
          <w:bCs/>
          <w:color w:val="auto"/>
          <w:lang w:eastAsia="en-US"/>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0051C8" w14:textId="77777777" w:rsidR="009C1532" w:rsidRPr="009C1532" w:rsidRDefault="009C1532" w:rsidP="009C1532">
      <w:pPr>
        <w:spacing w:after="0" w:line="360" w:lineRule="auto"/>
        <w:rPr>
          <w:rFonts w:eastAsia="Calibri" w:cs="Tahoma"/>
          <w:bCs/>
          <w:color w:val="auto"/>
          <w:lang w:eastAsia="en-US"/>
        </w:rPr>
      </w:pPr>
    </w:p>
    <w:p w14:paraId="3B4E30BC" w14:textId="77777777" w:rsidR="009C1532" w:rsidRPr="009C1532" w:rsidRDefault="009C1532" w:rsidP="009C1532">
      <w:pPr>
        <w:spacing w:after="0" w:line="360" w:lineRule="auto"/>
        <w:rPr>
          <w:rFonts w:eastAsia="Calibri" w:cs="Tahoma"/>
          <w:bCs/>
          <w:color w:val="auto"/>
          <w:lang w:eastAsia="en-US"/>
        </w:rPr>
      </w:pPr>
      <w:r w:rsidRPr="009C1532">
        <w:rPr>
          <w:rFonts w:eastAsia="Calibri" w:cs="Tahoma"/>
          <w:bCs/>
          <w:color w:val="auto"/>
          <w:lang w:eastAsia="en-US"/>
        </w:rPr>
        <w:lastRenderedPageBreak/>
        <w:t>En ese orden de ideas, el artículo 81 de la Ley de Seguridad del Estado de México, que establece lo siguiente:</w:t>
      </w:r>
    </w:p>
    <w:p w14:paraId="41B07649" w14:textId="77777777" w:rsidR="009C1532" w:rsidRPr="009C1532" w:rsidRDefault="009C1532" w:rsidP="009C1532">
      <w:pPr>
        <w:spacing w:after="0" w:line="360" w:lineRule="auto"/>
        <w:rPr>
          <w:rFonts w:eastAsia="Calibri" w:cs="Tahoma"/>
          <w:bCs/>
          <w:color w:val="auto"/>
          <w:lang w:eastAsia="en-US"/>
        </w:rPr>
      </w:pPr>
    </w:p>
    <w:p w14:paraId="29B6AE21" w14:textId="77777777" w:rsidR="009C1532" w:rsidRPr="009C1532" w:rsidRDefault="009C1532" w:rsidP="009C1532">
      <w:pPr>
        <w:spacing w:after="0" w:line="360" w:lineRule="auto"/>
        <w:ind w:left="567" w:right="567"/>
        <w:rPr>
          <w:rFonts w:eastAsia="Calibri" w:cs="Tahoma"/>
          <w:bCs/>
          <w:i/>
          <w:color w:val="auto"/>
          <w:sz w:val="20"/>
          <w:szCs w:val="20"/>
          <w:lang w:eastAsia="en-US"/>
        </w:rPr>
      </w:pPr>
      <w:r w:rsidRPr="009C1532">
        <w:rPr>
          <w:rFonts w:eastAsia="Calibri" w:cs="Tahoma"/>
          <w:b/>
          <w:bCs/>
          <w:i/>
          <w:color w:val="auto"/>
          <w:sz w:val="20"/>
          <w:szCs w:val="20"/>
          <w:lang w:eastAsia="en-US"/>
        </w:rPr>
        <w:t>“Artículo 81.-</w:t>
      </w:r>
      <w:r w:rsidRPr="009C1532">
        <w:rPr>
          <w:rFonts w:eastAsia="Calibri" w:cs="Tahoma"/>
          <w:bCs/>
          <w:i/>
          <w:color w:val="auto"/>
          <w:sz w:val="20"/>
          <w:szCs w:val="20"/>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6042F922" w14:textId="77777777" w:rsidR="009C1532" w:rsidRPr="009C1532" w:rsidRDefault="009C1532" w:rsidP="009C1532">
      <w:pPr>
        <w:spacing w:after="0" w:line="360" w:lineRule="auto"/>
        <w:ind w:left="567" w:right="567"/>
        <w:rPr>
          <w:rFonts w:eastAsia="Calibri" w:cs="Tahoma"/>
          <w:bCs/>
          <w:i/>
          <w:color w:val="auto"/>
          <w:sz w:val="20"/>
          <w:szCs w:val="20"/>
          <w:lang w:eastAsia="en-US"/>
        </w:rPr>
      </w:pPr>
    </w:p>
    <w:p w14:paraId="045C82B1" w14:textId="77777777" w:rsidR="009C1532" w:rsidRPr="009C1532" w:rsidRDefault="009C1532" w:rsidP="009C1532">
      <w:pPr>
        <w:spacing w:after="0" w:line="360" w:lineRule="auto"/>
        <w:ind w:left="567" w:right="567"/>
        <w:rPr>
          <w:rFonts w:eastAsia="Calibri" w:cs="Tahoma"/>
          <w:bCs/>
          <w:i/>
          <w:color w:val="auto"/>
          <w:sz w:val="20"/>
          <w:szCs w:val="20"/>
          <w:lang w:eastAsia="en-US"/>
        </w:rPr>
      </w:pPr>
      <w:r w:rsidRPr="009C1532">
        <w:rPr>
          <w:rFonts w:eastAsia="Calibri" w:cs="Tahoma"/>
          <w:b/>
          <w:bCs/>
          <w:i/>
          <w:color w:val="auto"/>
          <w:sz w:val="20"/>
          <w:szCs w:val="20"/>
          <w:lang w:eastAsia="en-US"/>
        </w:rPr>
        <w:t>I.</w:t>
      </w:r>
      <w:r w:rsidRPr="009C1532">
        <w:rPr>
          <w:rFonts w:eastAsia="Calibri" w:cs="Tahoma"/>
          <w:bCs/>
          <w:i/>
          <w:color w:val="auto"/>
          <w:sz w:val="20"/>
          <w:szCs w:val="20"/>
          <w:lang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6C0E8502" w14:textId="77777777" w:rsidR="009C1532" w:rsidRPr="009C1532" w:rsidRDefault="009C1532" w:rsidP="009C1532">
      <w:pPr>
        <w:spacing w:after="0" w:line="360" w:lineRule="auto"/>
        <w:ind w:left="567" w:right="567"/>
        <w:rPr>
          <w:rFonts w:eastAsia="Calibri" w:cs="Tahoma"/>
          <w:bCs/>
          <w:i/>
          <w:color w:val="auto"/>
          <w:sz w:val="20"/>
          <w:szCs w:val="20"/>
          <w:lang w:eastAsia="en-US"/>
        </w:rPr>
      </w:pPr>
    </w:p>
    <w:p w14:paraId="04118D39" w14:textId="77777777" w:rsidR="009C1532" w:rsidRPr="009C1532" w:rsidRDefault="009C1532" w:rsidP="009C1532">
      <w:pPr>
        <w:spacing w:after="0" w:line="360" w:lineRule="auto"/>
        <w:ind w:left="567" w:right="567"/>
        <w:rPr>
          <w:rFonts w:eastAsia="Calibri" w:cs="Tahoma"/>
          <w:bCs/>
          <w:i/>
          <w:color w:val="auto"/>
          <w:sz w:val="20"/>
          <w:szCs w:val="20"/>
          <w:lang w:eastAsia="en-US"/>
        </w:rPr>
      </w:pPr>
      <w:r w:rsidRPr="009C1532">
        <w:rPr>
          <w:rFonts w:eastAsia="Calibri" w:cs="Tahoma"/>
          <w:b/>
          <w:bCs/>
          <w:i/>
          <w:color w:val="auto"/>
          <w:sz w:val="20"/>
          <w:szCs w:val="20"/>
          <w:lang w:eastAsia="en-US"/>
        </w:rPr>
        <w:t>II.</w:t>
      </w:r>
      <w:r w:rsidRPr="009C1532">
        <w:rPr>
          <w:rFonts w:eastAsia="Calibri" w:cs="Tahoma"/>
          <w:bCs/>
          <w:i/>
          <w:color w:val="auto"/>
          <w:sz w:val="20"/>
          <w:szCs w:val="20"/>
          <w:lang w:eastAsia="en-US"/>
        </w:rPr>
        <w:t xml:space="preserve"> Aquella cuya revelación pueda ser utilizada para actualizar o potenciar una amenaza a la seguridad pública o a las instituciones del Estado de México; </w:t>
      </w:r>
    </w:p>
    <w:p w14:paraId="306381F9" w14:textId="77777777" w:rsidR="009C1532" w:rsidRPr="009C1532" w:rsidRDefault="009C1532" w:rsidP="009C1532">
      <w:pPr>
        <w:spacing w:after="0" w:line="360" w:lineRule="auto"/>
        <w:ind w:left="567" w:right="567"/>
        <w:rPr>
          <w:rFonts w:eastAsia="Calibri" w:cs="Tahoma"/>
          <w:bCs/>
          <w:i/>
          <w:color w:val="auto"/>
          <w:sz w:val="20"/>
          <w:szCs w:val="20"/>
          <w:lang w:eastAsia="en-US"/>
        </w:rPr>
      </w:pPr>
      <w:r w:rsidRPr="009C1532">
        <w:rPr>
          <w:rFonts w:eastAsia="Calibri" w:cs="Tahoma"/>
          <w:bCs/>
          <w:i/>
          <w:color w:val="auto"/>
          <w:sz w:val="20"/>
          <w:szCs w:val="20"/>
          <w:lang w:eastAsia="en-US"/>
        </w:rPr>
        <w:t>…</w:t>
      </w:r>
    </w:p>
    <w:p w14:paraId="747E051F" w14:textId="77777777" w:rsidR="009C1532" w:rsidRPr="009C1532" w:rsidRDefault="009C1532" w:rsidP="009C1532">
      <w:pPr>
        <w:spacing w:after="0" w:line="360" w:lineRule="auto"/>
        <w:ind w:left="567" w:right="567"/>
        <w:rPr>
          <w:rFonts w:eastAsia="Calibri" w:cs="Tahoma"/>
          <w:bCs/>
          <w:i/>
          <w:color w:val="auto"/>
          <w:sz w:val="20"/>
          <w:szCs w:val="20"/>
          <w:lang w:eastAsia="en-US"/>
        </w:rPr>
      </w:pPr>
      <w:r w:rsidRPr="009C1532">
        <w:rPr>
          <w:rFonts w:eastAsia="Calibri" w:cs="Tahoma"/>
          <w:b/>
          <w:bCs/>
          <w:i/>
          <w:color w:val="auto"/>
          <w:sz w:val="20"/>
          <w:szCs w:val="20"/>
          <w:lang w:eastAsia="en-US"/>
        </w:rPr>
        <w:t xml:space="preserve">IV. </w:t>
      </w:r>
      <w:r w:rsidRPr="009C1532">
        <w:rPr>
          <w:rFonts w:eastAsia="Calibri" w:cs="Tahoma"/>
          <w:bCs/>
          <w:i/>
          <w:color w:val="auto"/>
          <w:sz w:val="20"/>
          <w:szCs w:val="20"/>
          <w:lang w:eastAsia="en-US"/>
        </w:rPr>
        <w:t xml:space="preserve">La que sea producto de una intervención de comunicaciones privadas autorizadas conforme a la Constitución Federal y las disposiciones legales correspondientes; y </w:t>
      </w:r>
    </w:p>
    <w:p w14:paraId="21976409" w14:textId="77777777" w:rsidR="009C1532" w:rsidRPr="009C1532" w:rsidRDefault="009C1532" w:rsidP="009C1532">
      <w:pPr>
        <w:spacing w:after="0" w:line="360" w:lineRule="auto"/>
        <w:ind w:left="567" w:right="567"/>
        <w:rPr>
          <w:rFonts w:eastAsia="Calibri" w:cs="Tahoma"/>
          <w:bCs/>
          <w:i/>
          <w:color w:val="auto"/>
          <w:sz w:val="20"/>
          <w:szCs w:val="20"/>
          <w:lang w:eastAsia="en-US"/>
        </w:rPr>
      </w:pPr>
      <w:r w:rsidRPr="009C1532">
        <w:rPr>
          <w:rFonts w:eastAsia="Calibri" w:cs="Tahoma"/>
          <w:b/>
          <w:bCs/>
          <w:i/>
          <w:color w:val="auto"/>
          <w:sz w:val="20"/>
          <w:szCs w:val="20"/>
          <w:lang w:eastAsia="en-US"/>
        </w:rPr>
        <w:t>V.</w:t>
      </w:r>
      <w:r w:rsidRPr="009C1532">
        <w:rPr>
          <w:rFonts w:eastAsia="Calibri" w:cs="Tahoma"/>
          <w:bCs/>
          <w:i/>
          <w:color w:val="auto"/>
          <w:sz w:val="20"/>
          <w:szCs w:val="20"/>
          <w:lang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47E564CB" w14:textId="77777777" w:rsidR="009C1532" w:rsidRPr="009C1532" w:rsidRDefault="009C1532" w:rsidP="009C1532">
      <w:pPr>
        <w:spacing w:after="0" w:line="360" w:lineRule="auto"/>
        <w:rPr>
          <w:rFonts w:eastAsia="Calibri" w:cs="Tahoma"/>
          <w:bCs/>
          <w:color w:val="auto"/>
          <w:lang w:eastAsia="en-US"/>
        </w:rPr>
      </w:pPr>
    </w:p>
    <w:p w14:paraId="46588A13" w14:textId="77777777" w:rsidR="009C1532" w:rsidRPr="009C1532" w:rsidRDefault="009C1532" w:rsidP="009C1532">
      <w:pPr>
        <w:spacing w:after="0" w:line="360" w:lineRule="auto"/>
        <w:rPr>
          <w:rFonts w:eastAsia="Calibri" w:cs="Tahoma"/>
          <w:bCs/>
          <w:color w:val="auto"/>
          <w:lang w:eastAsia="en-US"/>
        </w:rPr>
      </w:pPr>
      <w:r w:rsidRPr="009C1532">
        <w:rPr>
          <w:rFonts w:eastAsia="Calibri" w:cs="Tahoma"/>
          <w:bCs/>
          <w:color w:val="auto"/>
          <w:lang w:eastAsia="en-US"/>
        </w:rPr>
        <w:t>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4DB5DBEF" w14:textId="77777777" w:rsidR="009C1532" w:rsidRPr="009C1532" w:rsidRDefault="009C1532" w:rsidP="009C1532">
      <w:pPr>
        <w:spacing w:after="0" w:line="360" w:lineRule="auto"/>
        <w:rPr>
          <w:rFonts w:eastAsia="Calibri" w:cs="Tahoma"/>
          <w:bCs/>
          <w:color w:val="auto"/>
          <w:lang w:eastAsia="en-US"/>
        </w:rPr>
      </w:pPr>
    </w:p>
    <w:p w14:paraId="54C34247" w14:textId="77777777" w:rsidR="009C1532" w:rsidRPr="009C1532" w:rsidRDefault="009C1532" w:rsidP="009C1532">
      <w:pPr>
        <w:spacing w:after="0" w:line="360" w:lineRule="auto"/>
        <w:rPr>
          <w:rFonts w:eastAsia="Calibri" w:cs="Tahoma"/>
          <w:bCs/>
          <w:color w:val="auto"/>
          <w:lang w:eastAsia="en-US"/>
        </w:rPr>
      </w:pPr>
      <w:r w:rsidRPr="009C1532">
        <w:rPr>
          <w:rFonts w:eastAsia="Calibri" w:cs="Tahoma"/>
          <w:bCs/>
          <w:color w:val="auto"/>
          <w:lang w:eastAsia="en-US"/>
        </w:rPr>
        <w:t xml:space="preserve">En ese orden de ideas, es de señalar que la reserva del dato en cuestión se sustenta en el hecho de que proporcionar el </w:t>
      </w:r>
      <w:r w:rsidRPr="009C1532">
        <w:rPr>
          <w:rFonts w:eastAsia="Calibri" w:cs="Tahoma"/>
          <w:b/>
          <w:bCs/>
          <w:color w:val="auto"/>
          <w:lang w:eastAsia="en-US"/>
        </w:rPr>
        <w:t>cargo de los servidores públic</w:t>
      </w:r>
      <w:r w:rsidRPr="009C1532">
        <w:rPr>
          <w:rFonts w:eastAsia="Calibri" w:cs="Tahoma"/>
          <w:bCs/>
          <w:color w:val="auto"/>
          <w:lang w:eastAsia="en-US"/>
        </w:rPr>
        <w:t xml:space="preserve">o, en específico de los cuerpos de seguridad podría revelar </w:t>
      </w:r>
      <w:r w:rsidRPr="009C1532">
        <w:rPr>
          <w:rFonts w:eastAsia="Calibri" w:cs="Tahoma"/>
          <w:b/>
          <w:bCs/>
          <w:color w:val="auto"/>
          <w:lang w:eastAsia="en-US"/>
        </w:rPr>
        <w:t xml:space="preserve">el estado de fuerza del Municipio; </w:t>
      </w:r>
      <w:r w:rsidRPr="009C1532">
        <w:rPr>
          <w:rFonts w:eastAsia="Calibri" w:cs="Tahoma"/>
          <w:color w:val="auto"/>
          <w:lang w:eastAsia="en-US"/>
        </w:rPr>
        <w:t>sobre el tema,</w:t>
      </w:r>
      <w:r w:rsidRPr="009C1532">
        <w:rPr>
          <w:rFonts w:eastAsia="Calibri" w:cs="Tahoma"/>
          <w:bCs/>
          <w:color w:val="auto"/>
          <w:lang w:eastAsia="en-US"/>
        </w:rPr>
        <w:t xml:space="preserve"> los artículos 142 y 143 de la Ley de Seguridad del Estado de México, establecen la organización jerárquica de las instituciones policiales de la Entidad Federativa y sus municipios, la cual es la siguiente:</w:t>
      </w:r>
    </w:p>
    <w:p w14:paraId="61D2918E" w14:textId="77777777" w:rsidR="009C1532" w:rsidRPr="009C1532" w:rsidRDefault="009C1532" w:rsidP="009C1532">
      <w:pPr>
        <w:spacing w:after="0" w:line="360" w:lineRule="auto"/>
        <w:rPr>
          <w:rFonts w:eastAsia="Calibri" w:cs="Tahoma"/>
          <w:bCs/>
          <w:color w:val="auto"/>
          <w:lang w:eastAsia="en-US"/>
        </w:rPr>
      </w:pPr>
    </w:p>
    <w:p w14:paraId="6626E6C6" w14:textId="77777777" w:rsidR="009C1532" w:rsidRPr="009C1532" w:rsidRDefault="009C1532" w:rsidP="0065684B">
      <w:pPr>
        <w:numPr>
          <w:ilvl w:val="0"/>
          <w:numId w:val="12"/>
        </w:numPr>
        <w:spacing w:after="0" w:line="360" w:lineRule="auto"/>
        <w:contextualSpacing/>
        <w:jc w:val="left"/>
        <w:rPr>
          <w:rFonts w:eastAsia="Calibri" w:cs="Tahoma"/>
          <w:bCs/>
          <w:color w:val="auto"/>
          <w:lang w:eastAsia="en-US"/>
        </w:rPr>
      </w:pPr>
      <w:r w:rsidRPr="009C1532">
        <w:rPr>
          <w:rFonts w:eastAsia="Calibri" w:cs="Tahoma"/>
          <w:bCs/>
          <w:color w:val="auto"/>
          <w:lang w:eastAsia="en-US"/>
        </w:rPr>
        <w:t>Comisarios:</w:t>
      </w:r>
    </w:p>
    <w:p w14:paraId="7D70333C" w14:textId="77777777" w:rsidR="009C1532" w:rsidRPr="009C1532" w:rsidRDefault="009C1532" w:rsidP="0065684B">
      <w:pPr>
        <w:numPr>
          <w:ilvl w:val="0"/>
          <w:numId w:val="13"/>
        </w:numPr>
        <w:spacing w:after="0" w:line="360" w:lineRule="auto"/>
        <w:ind w:left="993" w:hanging="77"/>
        <w:contextualSpacing/>
        <w:jc w:val="left"/>
        <w:rPr>
          <w:rFonts w:eastAsia="Calibri" w:cs="Tahoma"/>
          <w:bCs/>
          <w:color w:val="auto"/>
          <w:lang w:eastAsia="en-US"/>
        </w:rPr>
      </w:pPr>
      <w:r w:rsidRPr="009C1532">
        <w:rPr>
          <w:rFonts w:eastAsia="Calibri" w:cs="Tahoma"/>
          <w:bCs/>
          <w:color w:val="auto"/>
          <w:lang w:eastAsia="en-US"/>
        </w:rPr>
        <w:t>Comisario General;</w:t>
      </w:r>
    </w:p>
    <w:p w14:paraId="546A87EC" w14:textId="77777777" w:rsidR="009C1532" w:rsidRPr="009C1532" w:rsidRDefault="009C1532" w:rsidP="0065684B">
      <w:pPr>
        <w:numPr>
          <w:ilvl w:val="0"/>
          <w:numId w:val="13"/>
        </w:numPr>
        <w:spacing w:after="0" w:line="360" w:lineRule="auto"/>
        <w:ind w:left="993" w:hanging="77"/>
        <w:contextualSpacing/>
        <w:jc w:val="left"/>
        <w:rPr>
          <w:rFonts w:eastAsia="Calibri" w:cs="Tahoma"/>
          <w:bCs/>
          <w:color w:val="auto"/>
          <w:lang w:eastAsia="en-US"/>
        </w:rPr>
      </w:pPr>
      <w:r w:rsidRPr="009C1532">
        <w:rPr>
          <w:rFonts w:eastAsia="Calibri" w:cs="Tahoma"/>
          <w:bCs/>
          <w:color w:val="auto"/>
          <w:lang w:eastAsia="en-US"/>
        </w:rPr>
        <w:t>Comisario Jefe, y</w:t>
      </w:r>
    </w:p>
    <w:p w14:paraId="15ED3DC8" w14:textId="77777777" w:rsidR="009C1532" w:rsidRPr="009C1532" w:rsidRDefault="009C1532" w:rsidP="0065684B">
      <w:pPr>
        <w:numPr>
          <w:ilvl w:val="0"/>
          <w:numId w:val="13"/>
        </w:numPr>
        <w:spacing w:after="0" w:line="360" w:lineRule="auto"/>
        <w:ind w:left="993" w:hanging="77"/>
        <w:contextualSpacing/>
        <w:jc w:val="left"/>
        <w:rPr>
          <w:rFonts w:eastAsia="Calibri" w:cs="Tahoma"/>
          <w:bCs/>
          <w:color w:val="auto"/>
          <w:lang w:eastAsia="en-US"/>
        </w:rPr>
      </w:pPr>
      <w:r w:rsidRPr="009C1532">
        <w:rPr>
          <w:rFonts w:eastAsia="Calibri" w:cs="Tahoma"/>
          <w:bCs/>
          <w:color w:val="auto"/>
          <w:lang w:eastAsia="en-US"/>
        </w:rPr>
        <w:t>Comisario.</w:t>
      </w:r>
    </w:p>
    <w:p w14:paraId="4967DB5A" w14:textId="77777777" w:rsidR="009C1532" w:rsidRPr="009C1532" w:rsidRDefault="009C1532" w:rsidP="009C1532">
      <w:pPr>
        <w:spacing w:after="0" w:line="360" w:lineRule="auto"/>
        <w:ind w:left="993"/>
        <w:contextualSpacing/>
        <w:rPr>
          <w:rFonts w:eastAsia="Calibri" w:cs="Tahoma"/>
          <w:bCs/>
          <w:color w:val="auto"/>
          <w:lang w:eastAsia="en-US"/>
        </w:rPr>
      </w:pPr>
    </w:p>
    <w:p w14:paraId="3056E04A" w14:textId="77777777" w:rsidR="009C1532" w:rsidRPr="009C1532" w:rsidRDefault="009C1532" w:rsidP="0065684B">
      <w:pPr>
        <w:numPr>
          <w:ilvl w:val="0"/>
          <w:numId w:val="12"/>
        </w:numPr>
        <w:spacing w:after="0" w:line="360" w:lineRule="auto"/>
        <w:contextualSpacing/>
        <w:jc w:val="left"/>
        <w:rPr>
          <w:rFonts w:eastAsia="Calibri" w:cs="Tahoma"/>
          <w:bCs/>
          <w:color w:val="auto"/>
          <w:lang w:eastAsia="en-US"/>
        </w:rPr>
      </w:pPr>
      <w:r w:rsidRPr="009C1532">
        <w:rPr>
          <w:rFonts w:eastAsia="Calibri" w:cs="Tahoma"/>
          <w:bCs/>
          <w:color w:val="auto"/>
          <w:lang w:eastAsia="en-US"/>
        </w:rPr>
        <w:t>Inspectores:</w:t>
      </w:r>
    </w:p>
    <w:p w14:paraId="0FE7537F" w14:textId="77777777" w:rsidR="009C1532" w:rsidRPr="009C1532" w:rsidRDefault="009C1532" w:rsidP="0065684B">
      <w:pPr>
        <w:numPr>
          <w:ilvl w:val="0"/>
          <w:numId w:val="14"/>
        </w:numPr>
        <w:spacing w:after="0" w:line="360" w:lineRule="auto"/>
        <w:ind w:left="993" w:hanging="54"/>
        <w:contextualSpacing/>
        <w:jc w:val="left"/>
        <w:rPr>
          <w:rFonts w:eastAsia="Calibri" w:cs="Tahoma"/>
          <w:bCs/>
          <w:color w:val="auto"/>
          <w:lang w:eastAsia="en-US"/>
        </w:rPr>
      </w:pPr>
      <w:r w:rsidRPr="009C1532">
        <w:rPr>
          <w:rFonts w:eastAsia="Calibri" w:cs="Tahoma"/>
          <w:bCs/>
          <w:color w:val="auto"/>
          <w:lang w:eastAsia="en-US"/>
        </w:rPr>
        <w:t>Inspector General;</w:t>
      </w:r>
    </w:p>
    <w:p w14:paraId="387AF618" w14:textId="77777777" w:rsidR="009C1532" w:rsidRPr="009C1532" w:rsidRDefault="009C1532" w:rsidP="0065684B">
      <w:pPr>
        <w:numPr>
          <w:ilvl w:val="0"/>
          <w:numId w:val="14"/>
        </w:numPr>
        <w:spacing w:after="0" w:line="360" w:lineRule="auto"/>
        <w:ind w:left="993" w:hanging="54"/>
        <w:contextualSpacing/>
        <w:jc w:val="left"/>
        <w:rPr>
          <w:rFonts w:eastAsia="Calibri" w:cs="Tahoma"/>
          <w:bCs/>
          <w:color w:val="auto"/>
          <w:lang w:eastAsia="en-US"/>
        </w:rPr>
      </w:pPr>
      <w:r w:rsidRPr="009C1532">
        <w:rPr>
          <w:rFonts w:eastAsia="Calibri" w:cs="Tahoma"/>
          <w:bCs/>
          <w:color w:val="auto"/>
          <w:lang w:eastAsia="en-US"/>
        </w:rPr>
        <w:t>Inspector Jefe, y</w:t>
      </w:r>
    </w:p>
    <w:p w14:paraId="603FD115" w14:textId="77777777" w:rsidR="009C1532" w:rsidRPr="009C1532" w:rsidRDefault="009C1532" w:rsidP="0065684B">
      <w:pPr>
        <w:numPr>
          <w:ilvl w:val="0"/>
          <w:numId w:val="14"/>
        </w:numPr>
        <w:spacing w:after="0" w:line="360" w:lineRule="auto"/>
        <w:ind w:left="993" w:hanging="54"/>
        <w:contextualSpacing/>
        <w:jc w:val="left"/>
        <w:rPr>
          <w:rFonts w:eastAsia="Calibri" w:cs="Tahoma"/>
          <w:bCs/>
          <w:color w:val="auto"/>
          <w:lang w:eastAsia="en-US"/>
        </w:rPr>
      </w:pPr>
      <w:r w:rsidRPr="009C1532">
        <w:rPr>
          <w:rFonts w:eastAsia="Calibri" w:cs="Tahoma"/>
          <w:bCs/>
          <w:color w:val="auto"/>
          <w:lang w:eastAsia="en-US"/>
        </w:rPr>
        <w:t>Inspector.</w:t>
      </w:r>
    </w:p>
    <w:p w14:paraId="0B44EEB8" w14:textId="77777777" w:rsidR="009C1532" w:rsidRPr="009C1532" w:rsidRDefault="009C1532" w:rsidP="0065684B">
      <w:pPr>
        <w:numPr>
          <w:ilvl w:val="0"/>
          <w:numId w:val="12"/>
        </w:numPr>
        <w:spacing w:after="0" w:line="360" w:lineRule="auto"/>
        <w:contextualSpacing/>
        <w:jc w:val="left"/>
        <w:rPr>
          <w:rFonts w:eastAsia="Calibri" w:cs="Tahoma"/>
          <w:bCs/>
          <w:color w:val="auto"/>
          <w:lang w:eastAsia="en-US"/>
        </w:rPr>
      </w:pPr>
      <w:r w:rsidRPr="009C1532">
        <w:rPr>
          <w:rFonts w:eastAsia="Calibri" w:cs="Tahoma"/>
          <w:bCs/>
          <w:color w:val="auto"/>
          <w:lang w:eastAsia="en-US"/>
        </w:rPr>
        <w:t>Oficiales:</w:t>
      </w:r>
    </w:p>
    <w:p w14:paraId="6E86C562" w14:textId="77777777" w:rsidR="009C1532" w:rsidRPr="009C1532" w:rsidRDefault="009C1532" w:rsidP="0065684B">
      <w:pPr>
        <w:numPr>
          <w:ilvl w:val="0"/>
          <w:numId w:val="15"/>
        </w:numPr>
        <w:spacing w:after="0" w:line="360" w:lineRule="auto"/>
        <w:ind w:left="993" w:hanging="54"/>
        <w:contextualSpacing/>
        <w:jc w:val="left"/>
        <w:rPr>
          <w:rFonts w:eastAsia="Calibri" w:cs="Tahoma"/>
          <w:bCs/>
          <w:color w:val="auto"/>
          <w:lang w:eastAsia="en-US"/>
        </w:rPr>
      </w:pPr>
      <w:r w:rsidRPr="009C1532">
        <w:rPr>
          <w:rFonts w:eastAsia="Calibri" w:cs="Tahoma"/>
          <w:bCs/>
          <w:color w:val="auto"/>
          <w:lang w:eastAsia="en-US"/>
        </w:rPr>
        <w:t>Subinspector;</w:t>
      </w:r>
    </w:p>
    <w:p w14:paraId="434F37D0" w14:textId="77777777" w:rsidR="009C1532" w:rsidRPr="009C1532" w:rsidRDefault="009C1532" w:rsidP="0065684B">
      <w:pPr>
        <w:numPr>
          <w:ilvl w:val="0"/>
          <w:numId w:val="15"/>
        </w:numPr>
        <w:spacing w:after="0" w:line="360" w:lineRule="auto"/>
        <w:ind w:left="993" w:hanging="54"/>
        <w:contextualSpacing/>
        <w:jc w:val="left"/>
        <w:rPr>
          <w:rFonts w:eastAsia="Calibri" w:cs="Tahoma"/>
          <w:bCs/>
          <w:color w:val="auto"/>
          <w:lang w:eastAsia="en-US"/>
        </w:rPr>
      </w:pPr>
      <w:r w:rsidRPr="009C1532">
        <w:rPr>
          <w:rFonts w:eastAsia="Calibri" w:cs="Tahoma"/>
          <w:bCs/>
          <w:color w:val="auto"/>
          <w:lang w:eastAsia="en-US"/>
        </w:rPr>
        <w:t>Oficial, y</w:t>
      </w:r>
    </w:p>
    <w:p w14:paraId="511D001A" w14:textId="77777777" w:rsidR="009C1532" w:rsidRPr="009C1532" w:rsidRDefault="009C1532" w:rsidP="0065684B">
      <w:pPr>
        <w:numPr>
          <w:ilvl w:val="0"/>
          <w:numId w:val="15"/>
        </w:numPr>
        <w:spacing w:after="0" w:line="360" w:lineRule="auto"/>
        <w:ind w:left="993" w:hanging="54"/>
        <w:contextualSpacing/>
        <w:jc w:val="left"/>
        <w:rPr>
          <w:rFonts w:eastAsia="Calibri" w:cs="Tahoma"/>
          <w:bCs/>
          <w:color w:val="auto"/>
          <w:lang w:eastAsia="en-US"/>
        </w:rPr>
      </w:pPr>
      <w:r w:rsidRPr="009C1532">
        <w:rPr>
          <w:rFonts w:eastAsia="Calibri" w:cs="Tahoma"/>
          <w:bCs/>
          <w:color w:val="auto"/>
          <w:lang w:eastAsia="en-US"/>
        </w:rPr>
        <w:t>Suboficial.</w:t>
      </w:r>
    </w:p>
    <w:p w14:paraId="6099C19B" w14:textId="77777777" w:rsidR="009C1532" w:rsidRPr="009C1532" w:rsidRDefault="009C1532" w:rsidP="0065684B">
      <w:pPr>
        <w:numPr>
          <w:ilvl w:val="0"/>
          <w:numId w:val="12"/>
        </w:numPr>
        <w:spacing w:after="0" w:line="360" w:lineRule="auto"/>
        <w:contextualSpacing/>
        <w:jc w:val="left"/>
        <w:rPr>
          <w:rFonts w:eastAsia="Calibri" w:cs="Tahoma"/>
          <w:bCs/>
          <w:color w:val="auto"/>
          <w:lang w:eastAsia="en-US"/>
        </w:rPr>
      </w:pPr>
      <w:r w:rsidRPr="009C1532">
        <w:rPr>
          <w:rFonts w:eastAsia="Calibri" w:cs="Tahoma"/>
          <w:bCs/>
          <w:color w:val="auto"/>
          <w:lang w:eastAsia="en-US"/>
        </w:rPr>
        <w:t>Escala Básica:</w:t>
      </w:r>
    </w:p>
    <w:p w14:paraId="05A54130" w14:textId="77777777" w:rsidR="009C1532" w:rsidRPr="009C1532" w:rsidRDefault="009C1532" w:rsidP="0065684B">
      <w:pPr>
        <w:numPr>
          <w:ilvl w:val="0"/>
          <w:numId w:val="16"/>
        </w:numPr>
        <w:spacing w:after="0" w:line="360" w:lineRule="auto"/>
        <w:ind w:left="993" w:hanging="54"/>
        <w:contextualSpacing/>
        <w:jc w:val="left"/>
        <w:rPr>
          <w:rFonts w:eastAsia="Calibri" w:cs="Tahoma"/>
          <w:bCs/>
          <w:color w:val="auto"/>
          <w:lang w:eastAsia="en-US"/>
        </w:rPr>
      </w:pPr>
      <w:r w:rsidRPr="009C1532">
        <w:rPr>
          <w:rFonts w:eastAsia="Calibri" w:cs="Tahoma"/>
          <w:bCs/>
          <w:color w:val="auto"/>
          <w:lang w:eastAsia="en-US"/>
        </w:rPr>
        <w:t>Policía Primero;</w:t>
      </w:r>
    </w:p>
    <w:p w14:paraId="2FC274CD" w14:textId="77777777" w:rsidR="009C1532" w:rsidRPr="009C1532" w:rsidRDefault="009C1532" w:rsidP="0065684B">
      <w:pPr>
        <w:numPr>
          <w:ilvl w:val="0"/>
          <w:numId w:val="16"/>
        </w:numPr>
        <w:spacing w:after="0" w:line="360" w:lineRule="auto"/>
        <w:ind w:left="993" w:hanging="54"/>
        <w:contextualSpacing/>
        <w:jc w:val="left"/>
        <w:rPr>
          <w:rFonts w:eastAsia="Calibri" w:cs="Tahoma"/>
          <w:bCs/>
          <w:color w:val="auto"/>
          <w:lang w:eastAsia="en-US"/>
        </w:rPr>
      </w:pPr>
      <w:r w:rsidRPr="009C1532">
        <w:rPr>
          <w:rFonts w:eastAsia="Calibri" w:cs="Tahoma"/>
          <w:bCs/>
          <w:color w:val="auto"/>
          <w:lang w:eastAsia="en-US"/>
        </w:rPr>
        <w:t xml:space="preserve">Policía Segundo; </w:t>
      </w:r>
    </w:p>
    <w:p w14:paraId="5207B650" w14:textId="77777777" w:rsidR="009C1532" w:rsidRPr="009C1532" w:rsidRDefault="009C1532" w:rsidP="0065684B">
      <w:pPr>
        <w:numPr>
          <w:ilvl w:val="0"/>
          <w:numId w:val="16"/>
        </w:numPr>
        <w:spacing w:after="0" w:line="360" w:lineRule="auto"/>
        <w:ind w:left="993" w:hanging="54"/>
        <w:contextualSpacing/>
        <w:jc w:val="left"/>
        <w:rPr>
          <w:rFonts w:eastAsia="Calibri" w:cs="Tahoma"/>
          <w:bCs/>
          <w:color w:val="auto"/>
          <w:lang w:eastAsia="en-US"/>
        </w:rPr>
      </w:pPr>
      <w:r w:rsidRPr="009C1532">
        <w:rPr>
          <w:rFonts w:eastAsia="Calibri" w:cs="Tahoma"/>
          <w:bCs/>
          <w:color w:val="auto"/>
          <w:lang w:eastAsia="en-US"/>
        </w:rPr>
        <w:t>Policía Tercero, y</w:t>
      </w:r>
    </w:p>
    <w:p w14:paraId="0CE9ECBD" w14:textId="77777777" w:rsidR="009C1532" w:rsidRPr="009C1532" w:rsidRDefault="009C1532" w:rsidP="0065684B">
      <w:pPr>
        <w:numPr>
          <w:ilvl w:val="0"/>
          <w:numId w:val="16"/>
        </w:numPr>
        <w:spacing w:after="0" w:line="360" w:lineRule="auto"/>
        <w:ind w:left="993" w:hanging="54"/>
        <w:contextualSpacing/>
        <w:jc w:val="left"/>
        <w:rPr>
          <w:rFonts w:eastAsia="Calibri" w:cs="Tahoma"/>
          <w:bCs/>
          <w:color w:val="auto"/>
          <w:lang w:eastAsia="en-US"/>
        </w:rPr>
      </w:pPr>
      <w:r w:rsidRPr="009C1532">
        <w:rPr>
          <w:rFonts w:eastAsia="Calibri" w:cs="Tahoma"/>
          <w:bCs/>
          <w:color w:val="auto"/>
          <w:lang w:eastAsia="en-US"/>
        </w:rPr>
        <w:t>Policía.</w:t>
      </w:r>
    </w:p>
    <w:p w14:paraId="052BC1B1" w14:textId="77777777" w:rsidR="009C1532" w:rsidRPr="009C1532" w:rsidRDefault="009C1532" w:rsidP="009C1532">
      <w:pPr>
        <w:spacing w:after="0" w:line="360" w:lineRule="auto"/>
        <w:rPr>
          <w:rFonts w:eastAsia="Calibri" w:cs="Tahoma"/>
          <w:bCs/>
          <w:color w:val="auto"/>
          <w:sz w:val="20"/>
          <w:lang w:eastAsia="en-US"/>
        </w:rPr>
      </w:pPr>
      <w:r w:rsidRPr="009C1532">
        <w:rPr>
          <w:rFonts w:eastAsia="Calibri" w:cs="Tahoma"/>
          <w:bCs/>
          <w:color w:val="auto"/>
          <w:sz w:val="20"/>
          <w:lang w:eastAsia="en-US"/>
        </w:rPr>
        <w:t xml:space="preserve">                                                                                                                                                                                                  </w:t>
      </w:r>
    </w:p>
    <w:p w14:paraId="7AB24B29" w14:textId="77777777" w:rsidR="009C1532" w:rsidRPr="009C1532" w:rsidRDefault="009C1532" w:rsidP="009C1532">
      <w:pPr>
        <w:spacing w:after="0" w:line="360" w:lineRule="auto"/>
        <w:rPr>
          <w:rFonts w:eastAsia="Calibri" w:cs="Tahoma"/>
          <w:bCs/>
          <w:color w:val="auto"/>
          <w:lang w:val="es-ES_tradnl" w:eastAsia="en-US"/>
        </w:rPr>
      </w:pPr>
      <w:r w:rsidRPr="009C1532">
        <w:rPr>
          <w:rFonts w:eastAsia="Calibri" w:cs="Tahoma"/>
          <w:color w:val="auto"/>
          <w:lang w:eastAsia="en-US"/>
        </w:rPr>
        <w:lastRenderedPageBreak/>
        <w:t xml:space="preserve">Además, </w:t>
      </w:r>
      <w:r w:rsidRPr="009C1532">
        <w:rPr>
          <w:rFonts w:eastAsia="Calibri" w:cs="Tahoma"/>
          <w:bCs/>
          <w:color w:val="auto"/>
          <w:lang w:val="es-ES_tradnl" w:eastAsia="en-US"/>
        </w:rPr>
        <w:t xml:space="preserve">el Modelo Óptimo de la Función Policial, emitido por la Secretaría de Gobernación “Diagnostico Nacional sobre las Policías Preventivas de las Entidades Federativas”  (consultado en la página electrónica </w:t>
      </w:r>
      <w:hyperlink r:id="rId14" w:history="1">
        <w:r w:rsidRPr="009C1532">
          <w:rPr>
            <w:rFonts w:eastAsia="Calibri" w:cs="Tahoma"/>
            <w:bCs/>
            <w:color w:val="0000FF"/>
            <w:u w:val="single"/>
            <w:lang w:val="es-ES_tradnl" w:eastAsia="en-US"/>
          </w:rPr>
          <w:t>https://secretariadoejecutivo.gob.mx//doc/Actualizacion_Diagnostico_Nacional_MOFP.pdf</w:t>
        </w:r>
      </w:hyperlink>
      <w:r w:rsidRPr="009C1532">
        <w:rPr>
          <w:rFonts w:eastAsia="Calibri" w:cs="Tahoma"/>
          <w:bCs/>
          <w:color w:val="auto"/>
          <w:lang w:val="es-ES_tradnl" w:eastAsia="en-US"/>
        </w:rPr>
        <w:t>) establece que el estado de fuerza se refiere al número de elementos operativos en activo, excluyendo al personal administrativo.</w:t>
      </w:r>
    </w:p>
    <w:p w14:paraId="24FA5603" w14:textId="77777777" w:rsidR="009C1532" w:rsidRPr="009C1532" w:rsidRDefault="009C1532" w:rsidP="009C1532">
      <w:pPr>
        <w:spacing w:after="0" w:line="360" w:lineRule="auto"/>
        <w:rPr>
          <w:rFonts w:eastAsia="Calibri" w:cs="Tahoma"/>
          <w:bCs/>
          <w:color w:val="auto"/>
          <w:lang w:val="es-ES_tradnl" w:eastAsia="en-US"/>
        </w:rPr>
      </w:pPr>
    </w:p>
    <w:p w14:paraId="32C27D25" w14:textId="77777777" w:rsidR="009C1532" w:rsidRPr="009C1532" w:rsidRDefault="009C1532" w:rsidP="009C1532">
      <w:pPr>
        <w:spacing w:after="0" w:line="360" w:lineRule="auto"/>
        <w:rPr>
          <w:rFonts w:eastAsia="Calibri" w:cs="Tahoma"/>
          <w:b/>
          <w:bCs/>
          <w:color w:val="auto"/>
          <w:lang w:eastAsia="en-US"/>
        </w:rPr>
      </w:pPr>
      <w:r w:rsidRPr="009C1532">
        <w:rPr>
          <w:rFonts w:eastAsia="Calibri" w:cs="Tahoma"/>
          <w:bCs/>
          <w:color w:val="auto"/>
          <w:lang w:val="es-ES_tradnl" w:eastAsia="en-US"/>
        </w:rPr>
        <w:t xml:space="preserve">Lo cual se ratifica con el Anexo 1 del Acuerdo </w:t>
      </w:r>
      <w:r w:rsidRPr="009C1532">
        <w:rPr>
          <w:rFonts w:eastAsia="Calibri" w:cs="Times New Roman"/>
          <w:color w:val="000000"/>
          <w:lang w:eastAsia="en-US"/>
        </w:rPr>
        <w:t>05/XLVI/20, denominado Modelo Nacional de Policía y Justicia Cívica (</w:t>
      </w:r>
      <w:hyperlink r:id="rId15" w:history="1">
        <w:r w:rsidRPr="009C1532">
          <w:rPr>
            <w:rFonts w:eastAsia="Calibri" w:cs="Times New Roman"/>
            <w:color w:val="0000FF"/>
            <w:u w:val="single"/>
            <w:lang w:eastAsia="en-US"/>
          </w:rPr>
          <w:t>https://www.dof.gob.mx/2021/SSPC/SEGURIDADyPC_260121.pdf</w:t>
        </w:r>
      </w:hyperlink>
      <w:r w:rsidRPr="009C1532">
        <w:rPr>
          <w:rFonts w:eastAsia="Calibri" w:cs="Times New Roman"/>
          <w:color w:val="000000"/>
          <w:lang w:eastAsia="en-US"/>
        </w:rPr>
        <w:t>), que precisa que el estado de fuerza se conforma de los elementos operativos en materia de seguridad, excluyendo al personal administrativo</w:t>
      </w:r>
      <w:r w:rsidRPr="009C1532">
        <w:rPr>
          <w:rFonts w:eastAsia="Calibri" w:cs="Tahoma"/>
          <w:color w:val="auto"/>
          <w:lang w:eastAsia="en-US"/>
        </w:rPr>
        <w:t>; sin embargo, de dicho documento se logra vislumbrar</w:t>
      </w:r>
      <w:r w:rsidRPr="009C1532">
        <w:rPr>
          <w:rFonts w:eastAsia="Calibri" w:cs="Tahoma"/>
          <w:b/>
          <w:bCs/>
          <w:color w:val="auto"/>
          <w:lang w:eastAsia="en-US"/>
        </w:rPr>
        <w:t xml:space="preserve"> que el Estado de Fuerza real de una Institución de Seguridad, no debe basarse </w:t>
      </w:r>
      <w:r w:rsidRPr="009C1532">
        <w:rPr>
          <w:rFonts w:eastAsia="Calibri" w:cs="Tahoma"/>
          <w:b/>
          <w:bCs/>
          <w:color w:val="auto"/>
          <w:u w:val="single"/>
          <w:lang w:eastAsia="en-US"/>
        </w:rPr>
        <w:t>únicamente en el total de servidores públicos operativos</w:t>
      </w:r>
      <w:r w:rsidRPr="009C1532">
        <w:rPr>
          <w:rFonts w:eastAsia="Calibri" w:cs="Tahoma"/>
          <w:b/>
          <w:bCs/>
          <w:color w:val="auto"/>
          <w:lang w:eastAsia="en-US"/>
        </w:rPr>
        <w:t xml:space="preserve">, sino que se </w:t>
      </w:r>
      <w:r w:rsidRPr="009C1532">
        <w:rPr>
          <w:rFonts w:eastAsia="Calibri" w:cs="Tahoma"/>
          <w:b/>
          <w:bCs/>
          <w:color w:val="auto"/>
          <w:u w:val="single"/>
          <w:lang w:eastAsia="en-US"/>
        </w:rPr>
        <w:t>debe ceñir a otros factores</w:t>
      </w:r>
      <w:r w:rsidRPr="009C1532">
        <w:rPr>
          <w:rFonts w:eastAsia="Calibri" w:cs="Tahoma"/>
          <w:b/>
          <w:bCs/>
          <w:color w:val="auto"/>
          <w:lang w:eastAsia="en-US"/>
        </w:rPr>
        <w:t>, como el turno, las necesidades y actividades operativas.</w:t>
      </w:r>
    </w:p>
    <w:p w14:paraId="6A47B5ED" w14:textId="77777777" w:rsidR="009C1532" w:rsidRPr="009C1532" w:rsidRDefault="009C1532" w:rsidP="009C1532">
      <w:pPr>
        <w:spacing w:after="0" w:line="360" w:lineRule="auto"/>
        <w:rPr>
          <w:rFonts w:eastAsia="Calibri" w:cs="Tahoma"/>
          <w:b/>
          <w:bCs/>
          <w:color w:val="auto"/>
          <w:lang w:eastAsia="en-US"/>
        </w:rPr>
      </w:pPr>
    </w:p>
    <w:p w14:paraId="5C1B3BDC" w14:textId="77777777" w:rsidR="009C1532" w:rsidRPr="009C1532" w:rsidRDefault="009C1532" w:rsidP="009C1532">
      <w:pPr>
        <w:spacing w:after="0" w:line="360" w:lineRule="auto"/>
        <w:rPr>
          <w:rFonts w:eastAsia="Calibri" w:cs="Tahoma"/>
          <w:b/>
          <w:color w:val="auto"/>
          <w:lang w:eastAsia="en-US"/>
        </w:rPr>
      </w:pPr>
      <w:r w:rsidRPr="009C1532">
        <w:rPr>
          <w:rFonts w:eastAsia="Calibri" w:cs="Tahoma"/>
          <w:bCs/>
          <w:color w:val="auto"/>
          <w:lang w:eastAsia="en-US"/>
        </w:rPr>
        <w:t xml:space="preserve">Así, el estado de fuerza corresponde al número de elementos operativos en total con los que cuenta el Sujeto Obligado en materia de seguridad pública y </w:t>
      </w:r>
      <w:r w:rsidRPr="009C1532">
        <w:rPr>
          <w:rFonts w:eastAsia="Calibri" w:cs="Tahoma"/>
          <w:b/>
          <w:color w:val="auto"/>
          <w:lang w:eastAsia="en-US"/>
        </w:rPr>
        <w:t>el estado de fuerza real corresponde al número de policías con los que cuenta el Ayuntamiento, en un determinado turno, para atender las necesidades y tareas de seguridad.</w:t>
      </w:r>
    </w:p>
    <w:p w14:paraId="1BD43CF1" w14:textId="77777777" w:rsidR="009C1532" w:rsidRPr="009C1532" w:rsidRDefault="009C1532" w:rsidP="009C1532">
      <w:pPr>
        <w:spacing w:after="0" w:line="360" w:lineRule="auto"/>
        <w:rPr>
          <w:rFonts w:eastAsia="Calibri" w:cs="Tahoma"/>
          <w:bCs/>
          <w:color w:val="auto"/>
          <w:lang w:eastAsia="en-US"/>
        </w:rPr>
      </w:pPr>
    </w:p>
    <w:p w14:paraId="3832B11C" w14:textId="54FFE1FF" w:rsidR="009C1532" w:rsidRPr="009C1532" w:rsidRDefault="009C1532" w:rsidP="009C1532">
      <w:pPr>
        <w:spacing w:after="0" w:line="360" w:lineRule="auto"/>
        <w:rPr>
          <w:rFonts w:eastAsia="Calibri" w:cs="Tahoma"/>
          <w:bCs/>
          <w:color w:val="auto"/>
          <w:lang w:eastAsia="en-US"/>
        </w:rPr>
      </w:pPr>
      <w:r w:rsidRPr="009C1532">
        <w:rPr>
          <w:rFonts w:eastAsia="Calibri" w:cs="Tahoma"/>
          <w:bCs/>
          <w:color w:val="auto"/>
          <w:lang w:eastAsia="en-US"/>
        </w:rPr>
        <w:t xml:space="preserve">En ese orden de ideas, cabe precisar que si bien proporcionar el </w:t>
      </w:r>
      <w:r>
        <w:rPr>
          <w:rFonts w:eastAsia="Calibri" w:cs="Tahoma"/>
          <w:bCs/>
          <w:color w:val="auto"/>
          <w:lang w:eastAsia="en-US"/>
        </w:rPr>
        <w:t>nombre</w:t>
      </w:r>
      <w:r w:rsidRPr="009C1532">
        <w:rPr>
          <w:rFonts w:eastAsia="Calibri" w:cs="Tahoma"/>
          <w:bCs/>
          <w:color w:val="auto"/>
          <w:lang w:eastAsia="en-US"/>
        </w:rPr>
        <w:t xml:space="preserve"> de los elementos operativos, </w:t>
      </w:r>
      <w:r w:rsidRPr="009C1532">
        <w:rPr>
          <w:rFonts w:eastAsia="Calibri" w:cs="Tahoma"/>
          <w:b/>
          <w:bCs/>
          <w:color w:val="auto"/>
          <w:lang w:eastAsia="en-US"/>
        </w:rPr>
        <w:t>podría dar cuenta del estado de fuerza del municipio</w:t>
      </w:r>
      <w:r w:rsidRPr="009C1532">
        <w:rPr>
          <w:rFonts w:eastAsia="Calibri" w:cs="Tahoma"/>
          <w:bCs/>
          <w:color w:val="auto"/>
          <w:lang w:eastAsia="en-US"/>
        </w:rPr>
        <w:t xml:space="preserve">, también lo es que no se advierte de qué forma dicha información comprometa la seguridad pública del Municipio, por las siguientes consideraciones, dar a conocer los documentos donde conste el </w:t>
      </w:r>
      <w:r>
        <w:rPr>
          <w:rFonts w:eastAsia="Calibri" w:cs="Tahoma"/>
          <w:bCs/>
          <w:color w:val="auto"/>
          <w:lang w:eastAsia="en-US"/>
        </w:rPr>
        <w:t xml:space="preserve">nombre </w:t>
      </w:r>
      <w:r w:rsidRPr="009C1532">
        <w:rPr>
          <w:rFonts w:eastAsia="Calibri" w:cs="Tahoma"/>
          <w:bCs/>
          <w:color w:val="auto"/>
          <w:lang w:eastAsia="en-US"/>
        </w:rPr>
        <w:t>de los elementos operativos</w:t>
      </w:r>
      <w:r>
        <w:rPr>
          <w:rFonts w:eastAsia="Calibri" w:cs="Tahoma"/>
          <w:bCs/>
          <w:color w:val="auto"/>
          <w:lang w:eastAsia="en-US"/>
        </w:rPr>
        <w:t>, por lo siguiente</w:t>
      </w:r>
      <w:r w:rsidRPr="009C1532">
        <w:rPr>
          <w:rFonts w:eastAsia="Calibri" w:cs="Tahoma"/>
          <w:bCs/>
          <w:color w:val="auto"/>
          <w:lang w:eastAsia="en-US"/>
        </w:rPr>
        <w:t>:</w:t>
      </w:r>
    </w:p>
    <w:p w14:paraId="106FDD12" w14:textId="77777777" w:rsidR="009C1532" w:rsidRPr="009C1532" w:rsidRDefault="009C1532" w:rsidP="0065684B">
      <w:pPr>
        <w:numPr>
          <w:ilvl w:val="0"/>
          <w:numId w:val="17"/>
        </w:numPr>
        <w:spacing w:after="0" w:line="360" w:lineRule="auto"/>
        <w:contextualSpacing/>
        <w:rPr>
          <w:rFonts w:eastAsia="Calibri" w:cs="Tahoma"/>
          <w:bCs/>
          <w:color w:val="auto"/>
          <w:lang w:eastAsia="en-US"/>
        </w:rPr>
      </w:pPr>
      <w:r w:rsidRPr="009C1532">
        <w:rPr>
          <w:rFonts w:eastAsia="Calibri" w:cs="Tahoma"/>
          <w:bCs/>
          <w:color w:val="auto"/>
          <w:lang w:eastAsia="en-US"/>
        </w:rPr>
        <w:lastRenderedPageBreak/>
        <w:t>No entorpece los sistemas de coordinación interinstitucional en materia de seguridad pública, pues únicamente se establecería el número de policías total con los que cuenta, a través de la entrega de la denominación del cargo en específico.</w:t>
      </w:r>
    </w:p>
    <w:p w14:paraId="2E80BB14" w14:textId="77777777" w:rsidR="009C1532" w:rsidRPr="009C1532" w:rsidRDefault="009C1532" w:rsidP="009C1532">
      <w:pPr>
        <w:spacing w:after="0" w:line="360" w:lineRule="auto"/>
        <w:ind w:left="720"/>
        <w:contextualSpacing/>
        <w:rPr>
          <w:rFonts w:eastAsia="Calibri" w:cs="Tahoma"/>
          <w:bCs/>
          <w:color w:val="auto"/>
          <w:lang w:eastAsia="en-US"/>
        </w:rPr>
      </w:pPr>
    </w:p>
    <w:p w14:paraId="1B95C94E" w14:textId="77777777" w:rsidR="009C1532" w:rsidRPr="009C1532" w:rsidRDefault="009C1532" w:rsidP="0065684B">
      <w:pPr>
        <w:numPr>
          <w:ilvl w:val="0"/>
          <w:numId w:val="17"/>
        </w:numPr>
        <w:spacing w:after="0" w:line="360" w:lineRule="auto"/>
        <w:contextualSpacing/>
        <w:rPr>
          <w:rFonts w:eastAsia="Calibri" w:cs="Tahoma"/>
          <w:bCs/>
          <w:color w:val="auto"/>
          <w:lang w:eastAsia="en-US"/>
        </w:rPr>
      </w:pPr>
      <w:r w:rsidRPr="009C1532">
        <w:rPr>
          <w:rFonts w:eastAsia="Calibri" w:cs="Tahoma"/>
          <w:bCs/>
          <w:color w:val="auto"/>
          <w:lang w:eastAsia="en-US"/>
        </w:rPr>
        <w:t xml:space="preserve">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 </w:t>
      </w:r>
      <w:r w:rsidRPr="009C1532">
        <w:rPr>
          <w:rFonts w:eastAsia="Calibri" w:cs="Tahoma"/>
          <w:b/>
          <w:color w:val="auto"/>
          <w:lang w:eastAsia="en-US"/>
        </w:rPr>
        <w:t>sin dar a conocer el estado de fuerza real.</w:t>
      </w:r>
    </w:p>
    <w:p w14:paraId="5C588369" w14:textId="77777777" w:rsidR="009C1532" w:rsidRPr="009C1532" w:rsidRDefault="009C1532" w:rsidP="009C1532">
      <w:pPr>
        <w:spacing w:after="0" w:line="360" w:lineRule="auto"/>
        <w:ind w:left="720"/>
        <w:contextualSpacing/>
        <w:jc w:val="left"/>
        <w:rPr>
          <w:rFonts w:eastAsia="Calibri" w:cs="Tahoma"/>
          <w:bCs/>
          <w:color w:val="auto"/>
          <w:lang w:eastAsia="en-US"/>
        </w:rPr>
      </w:pPr>
    </w:p>
    <w:p w14:paraId="4AB63753" w14:textId="77777777" w:rsidR="009C1532" w:rsidRPr="009C1532" w:rsidRDefault="009C1532" w:rsidP="0065684B">
      <w:pPr>
        <w:numPr>
          <w:ilvl w:val="0"/>
          <w:numId w:val="17"/>
        </w:numPr>
        <w:spacing w:after="0" w:line="360" w:lineRule="auto"/>
        <w:contextualSpacing/>
        <w:rPr>
          <w:rFonts w:eastAsia="Calibri" w:cs="Tahoma"/>
          <w:bCs/>
          <w:color w:val="auto"/>
          <w:lang w:eastAsia="en-US"/>
        </w:rPr>
      </w:pPr>
      <w:r w:rsidRPr="009C1532">
        <w:rPr>
          <w:rFonts w:eastAsia="Calibri" w:cs="Tahoma"/>
          <w:bCs/>
          <w:color w:val="auto"/>
          <w:lang w:eastAsia="en-US"/>
        </w:rPr>
        <w:t>La información requerida, no es producto de la intervención de comunicaciones privadas, ni se encuentra contenida en averiguaciones previas, carpetas de investigación, expedientes y archivos de investigación o prevención de delitos.</w:t>
      </w:r>
    </w:p>
    <w:p w14:paraId="4B753F5F" w14:textId="77777777" w:rsidR="009C1532" w:rsidRPr="009C1532" w:rsidRDefault="009C1532" w:rsidP="009C1532">
      <w:pPr>
        <w:spacing w:after="0" w:line="360" w:lineRule="auto"/>
        <w:ind w:left="720"/>
        <w:contextualSpacing/>
        <w:jc w:val="left"/>
        <w:rPr>
          <w:rFonts w:eastAsia="Calibri" w:cs="Tahoma"/>
          <w:bCs/>
          <w:color w:val="auto"/>
          <w:lang w:eastAsia="en-US"/>
        </w:rPr>
      </w:pPr>
    </w:p>
    <w:p w14:paraId="6C0CFFA4" w14:textId="092D3C9B" w:rsidR="009C1532" w:rsidRPr="009C1532" w:rsidRDefault="009C1532" w:rsidP="0065684B">
      <w:pPr>
        <w:numPr>
          <w:ilvl w:val="0"/>
          <w:numId w:val="17"/>
        </w:numPr>
        <w:spacing w:after="0" w:line="360" w:lineRule="auto"/>
        <w:contextualSpacing/>
        <w:rPr>
          <w:rFonts w:eastAsia="Calibri" w:cs="Tahoma"/>
          <w:bCs/>
          <w:color w:val="auto"/>
          <w:lang w:eastAsia="en-US"/>
        </w:rPr>
      </w:pPr>
      <w:r w:rsidRPr="009C1532">
        <w:rPr>
          <w:rFonts w:eastAsia="Calibri" w:cs="Tahoma"/>
          <w:bCs/>
          <w:color w:val="auto"/>
          <w:lang w:eastAsia="en-US"/>
        </w:rPr>
        <w:t xml:space="preserve">El </w:t>
      </w:r>
      <w:r>
        <w:rPr>
          <w:rFonts w:eastAsia="Calibri" w:cs="Tahoma"/>
          <w:bCs/>
          <w:color w:val="auto"/>
          <w:lang w:eastAsia="en-US"/>
        </w:rPr>
        <w:t>nombre</w:t>
      </w:r>
      <w:r w:rsidRPr="009C1532">
        <w:rPr>
          <w:rFonts w:eastAsia="Calibri" w:cs="Tahoma"/>
          <w:bCs/>
          <w:color w:val="auto"/>
          <w:lang w:eastAsia="en-US"/>
        </w:rPr>
        <w:t>,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el Área de Seguridad.</w:t>
      </w:r>
    </w:p>
    <w:p w14:paraId="49B83881" w14:textId="77777777" w:rsidR="009C1532" w:rsidRPr="009C1532" w:rsidRDefault="009C1532" w:rsidP="009C1532">
      <w:pPr>
        <w:spacing w:after="0" w:line="360" w:lineRule="auto"/>
        <w:ind w:left="720"/>
        <w:contextualSpacing/>
        <w:jc w:val="left"/>
        <w:rPr>
          <w:rFonts w:eastAsia="Calibri" w:cs="Tahoma"/>
          <w:bCs/>
          <w:color w:val="auto"/>
          <w:lang w:eastAsia="en-US"/>
        </w:rPr>
      </w:pPr>
    </w:p>
    <w:p w14:paraId="3B5C8581" w14:textId="3050670B" w:rsidR="009C1532" w:rsidRPr="009C1532" w:rsidRDefault="009C1532" w:rsidP="009C1532">
      <w:pPr>
        <w:spacing w:after="0" w:line="360" w:lineRule="auto"/>
        <w:rPr>
          <w:rFonts w:eastAsia="Calibri" w:cs="Tahoma"/>
          <w:b/>
          <w:iCs/>
          <w:color w:val="auto"/>
          <w:lang w:val="es-ES" w:eastAsia="es-ES_tradnl"/>
        </w:rPr>
      </w:pPr>
      <w:r w:rsidRPr="009C1532">
        <w:rPr>
          <w:rFonts w:eastAsia="Calibri" w:cs="Tahoma"/>
          <w:bCs/>
          <w:color w:val="auto"/>
          <w:lang w:eastAsia="en-US"/>
        </w:rPr>
        <w:t xml:space="preserve">Conforme a lo anterior, </w:t>
      </w:r>
      <w:r w:rsidRPr="009C1532">
        <w:rPr>
          <w:rFonts w:eastAsia="Calibri" w:cs="Tahoma"/>
          <w:iCs/>
          <w:color w:val="auto"/>
          <w:lang w:val="es-ES" w:eastAsia="es-ES_tradnl"/>
        </w:rPr>
        <w:t xml:space="preserve">no advierte un riesgo real, demostrable e identificable que supere al interés público o bien perjudique la seguridad pública, </w:t>
      </w:r>
      <w:r w:rsidRPr="009C1532">
        <w:rPr>
          <w:rFonts w:eastAsia="Calibri" w:cs="Tahoma"/>
          <w:bCs/>
          <w:color w:val="auto"/>
          <w:lang w:eastAsia="en-US"/>
        </w:rPr>
        <w:t xml:space="preserve">proporcionar el </w:t>
      </w:r>
      <w:r>
        <w:rPr>
          <w:rFonts w:eastAsia="Calibri" w:cs="Tahoma"/>
          <w:bCs/>
          <w:color w:val="auto"/>
          <w:lang w:eastAsia="en-US"/>
        </w:rPr>
        <w:t>nombre</w:t>
      </w:r>
      <w:r w:rsidRPr="009C1532">
        <w:rPr>
          <w:rFonts w:eastAsia="Calibri" w:cs="Tahoma"/>
          <w:bCs/>
          <w:color w:val="auto"/>
          <w:lang w:eastAsia="en-US"/>
        </w:rPr>
        <w:t xml:space="preserve"> de los elementos operativos,</w:t>
      </w:r>
      <w:r w:rsidRPr="009C1532">
        <w:rPr>
          <w:rFonts w:eastAsia="Calibri" w:cs="Tahoma"/>
          <w:iCs/>
          <w:color w:val="auto"/>
          <w:lang w:val="es-ES" w:eastAsia="es-ES_tradnl"/>
        </w:rPr>
        <w:t xml:space="preserve"> pues como se precisó en párrafos anteriores, la información requerida </w:t>
      </w:r>
      <w:r w:rsidRPr="009C1532">
        <w:rPr>
          <w:rFonts w:eastAsia="Calibri" w:cs="Tahoma"/>
          <w:b/>
          <w:iCs/>
          <w:color w:val="auto"/>
          <w:lang w:val="es-ES" w:eastAsia="es-ES_tradnl"/>
        </w:rPr>
        <w:t xml:space="preserve">no da cuenta de la forma de actuación, estrategias o equipo con el que cuenta el Área de </w:t>
      </w:r>
      <w:r w:rsidRPr="009C1532">
        <w:rPr>
          <w:rFonts w:eastAsia="Calibri" w:cs="Tahoma"/>
          <w:b/>
          <w:iCs/>
          <w:color w:val="auto"/>
          <w:lang w:val="es-ES" w:eastAsia="es-ES_tradnl"/>
        </w:rPr>
        <w:lastRenderedPageBreak/>
        <w:t>Seguridad Pública, tampoco precisa la capacidad de reacción o la forma de organización para prevenir delitos, ni de actuaciones en averiguaciones previas, carpetas de investigación o bien, la intervención de comunicaciones privadas; aunado a que tampoco revela el estado de fuerza real con el que funciona el Ayuntamiento.</w:t>
      </w:r>
    </w:p>
    <w:p w14:paraId="677A7B21" w14:textId="77777777" w:rsidR="009C1532" w:rsidRPr="009C1532" w:rsidRDefault="009C1532" w:rsidP="009C1532">
      <w:pPr>
        <w:spacing w:after="0" w:line="360" w:lineRule="auto"/>
        <w:rPr>
          <w:rFonts w:eastAsia="Calibri" w:cs="Tahoma"/>
          <w:b/>
          <w:iCs/>
          <w:color w:val="auto"/>
          <w:lang w:val="es-ES" w:eastAsia="es-ES_tradnl"/>
        </w:rPr>
      </w:pPr>
    </w:p>
    <w:p w14:paraId="60D295F3" w14:textId="2A4A1019" w:rsidR="009C1532" w:rsidRPr="009C1532" w:rsidRDefault="009C1532" w:rsidP="009C1532">
      <w:pPr>
        <w:tabs>
          <w:tab w:val="center" w:pos="4522"/>
        </w:tabs>
        <w:spacing w:after="0" w:line="360" w:lineRule="auto"/>
        <w:rPr>
          <w:rFonts w:eastAsia="Calibri" w:cs="Tahoma"/>
          <w:color w:val="auto"/>
          <w:lang w:eastAsia="en-US"/>
        </w:rPr>
      </w:pPr>
      <w:r w:rsidRPr="009C1532">
        <w:rPr>
          <w:rFonts w:eastAsia="Calibri" w:cs="Tahoma"/>
          <w:color w:val="auto"/>
          <w:lang w:val="es-ES" w:eastAsia="en-US"/>
        </w:rPr>
        <w:t xml:space="preserve">Por tal circunstancia, en el presente caso, no se actualiza la causal de clasificación prevista en el artículo 140, fracción I, de la Ley de Transparencia y Acceso a la Información Pública del Estado de México y Municipios, del </w:t>
      </w:r>
      <w:r>
        <w:rPr>
          <w:rFonts w:eastAsia="Calibri" w:cs="Tahoma"/>
          <w:color w:val="auto"/>
          <w:lang w:val="es-ES" w:eastAsia="en-US"/>
        </w:rPr>
        <w:t>nombre</w:t>
      </w:r>
      <w:r w:rsidRPr="009C1532">
        <w:rPr>
          <w:rFonts w:eastAsia="Calibri" w:cs="Tahoma"/>
          <w:color w:val="auto"/>
          <w:lang w:val="es-ES" w:eastAsia="en-US"/>
        </w:rPr>
        <w:t xml:space="preserve"> personal operativo de la </w:t>
      </w:r>
      <w:r>
        <w:rPr>
          <w:color w:val="000000"/>
        </w:rPr>
        <w:t>Dirección de Seguridad Ciudadana y Protección Civil.</w:t>
      </w:r>
    </w:p>
    <w:p w14:paraId="13FEB368" w14:textId="77777777" w:rsidR="009C1532" w:rsidRDefault="009C1532" w:rsidP="00F731E4">
      <w:pPr>
        <w:spacing w:after="0" w:line="360" w:lineRule="auto"/>
        <w:rPr>
          <w:rFonts w:eastAsia="Calibri" w:cs="Times New Roman"/>
        </w:rPr>
      </w:pPr>
    </w:p>
    <w:p w14:paraId="6C4EA5FA" w14:textId="1E8F665B" w:rsidR="00AB714B" w:rsidRPr="00AB714B" w:rsidRDefault="00AB714B" w:rsidP="00F731E4">
      <w:pPr>
        <w:spacing w:after="0" w:line="360" w:lineRule="auto"/>
        <w:rPr>
          <w:color w:val="000000"/>
        </w:rPr>
      </w:pPr>
      <w:r w:rsidRPr="00AB714B">
        <w:rPr>
          <w:rFonts w:eastAsia="Calibri" w:cs="Times New Roman"/>
        </w:rPr>
        <w:t xml:space="preserve"> </w:t>
      </w:r>
      <w:r w:rsidR="009C1532">
        <w:rPr>
          <w:rFonts w:eastAsia="Calibri" w:cs="Times New Roman"/>
        </w:rPr>
        <w:t>Ahora bien</w:t>
      </w:r>
      <w:r w:rsidRPr="00AB714B">
        <w:rPr>
          <w:rFonts w:eastAsia="Calibri" w:cs="Times New Roman"/>
        </w:rPr>
        <w:t>, el artículo 140, fracción IV, de la Ley de Transparencia y Acceso a la Información Pública del Estado de México y Municipios, prevé lo siguiente:</w:t>
      </w:r>
    </w:p>
    <w:p w14:paraId="20424C27" w14:textId="77777777" w:rsidR="00AB714B" w:rsidRPr="00AB714B" w:rsidRDefault="00AB714B" w:rsidP="00F731E4">
      <w:pPr>
        <w:tabs>
          <w:tab w:val="left" w:pos="4962"/>
        </w:tabs>
        <w:spacing w:after="0" w:line="360" w:lineRule="auto"/>
        <w:ind w:left="567" w:right="567"/>
        <w:contextualSpacing/>
        <w:rPr>
          <w:rFonts w:eastAsia="Calibri" w:cs="Tahoma"/>
          <w:i/>
          <w:iCs/>
          <w:sz w:val="20"/>
          <w:szCs w:val="20"/>
          <w:lang w:val="es-ES" w:eastAsia="es-ES_tradnl"/>
        </w:rPr>
      </w:pPr>
    </w:p>
    <w:p w14:paraId="2A70300A" w14:textId="77777777" w:rsidR="00AB714B" w:rsidRPr="00AB714B" w:rsidRDefault="00AB714B" w:rsidP="00F731E4">
      <w:pPr>
        <w:tabs>
          <w:tab w:val="left" w:pos="4962"/>
        </w:tabs>
        <w:spacing w:after="0" w:line="360" w:lineRule="auto"/>
        <w:ind w:left="567" w:right="567"/>
        <w:contextualSpacing/>
        <w:rPr>
          <w:rFonts w:eastAsia="Calibri" w:cs="Tahoma"/>
          <w:i/>
          <w:iCs/>
          <w:sz w:val="20"/>
          <w:szCs w:val="20"/>
          <w:lang w:val="es-ES" w:eastAsia="es-ES_tradnl"/>
        </w:rPr>
      </w:pPr>
      <w:r w:rsidRPr="00AB714B">
        <w:rPr>
          <w:rFonts w:eastAsia="Calibri" w:cs="Tahoma"/>
          <w:i/>
          <w:iCs/>
          <w:sz w:val="20"/>
          <w:szCs w:val="20"/>
          <w:lang w:val="es-ES" w:eastAsia="es-ES_tradnl"/>
        </w:rPr>
        <w:t xml:space="preserve"> “</w:t>
      </w:r>
      <w:r w:rsidRPr="00AB714B">
        <w:rPr>
          <w:rFonts w:eastAsia="Calibri" w:cs="Tahoma"/>
          <w:b/>
          <w:i/>
          <w:iCs/>
          <w:sz w:val="20"/>
          <w:szCs w:val="20"/>
          <w:lang w:val="es-ES" w:eastAsia="es-ES_tradnl"/>
        </w:rPr>
        <w:t>Artículo 140.</w:t>
      </w:r>
      <w:r w:rsidRPr="00AB714B">
        <w:rPr>
          <w:rFonts w:eastAsia="Calibri" w:cs="Tahoma"/>
          <w:i/>
          <w:iCs/>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2CEFA821" w14:textId="77777777" w:rsidR="00AB714B" w:rsidRPr="00AB714B" w:rsidRDefault="00AB714B" w:rsidP="00F731E4">
      <w:pPr>
        <w:tabs>
          <w:tab w:val="left" w:pos="4962"/>
        </w:tabs>
        <w:spacing w:after="0" w:line="360" w:lineRule="auto"/>
        <w:ind w:left="567" w:right="567"/>
        <w:contextualSpacing/>
        <w:rPr>
          <w:rFonts w:eastAsia="Calibri" w:cs="Tahoma"/>
          <w:i/>
          <w:iCs/>
          <w:sz w:val="20"/>
          <w:szCs w:val="20"/>
          <w:lang w:val="es-ES" w:eastAsia="es-ES_tradnl"/>
        </w:rPr>
      </w:pPr>
      <w:r w:rsidRPr="00AB714B">
        <w:rPr>
          <w:rFonts w:eastAsia="Calibri" w:cs="Tahoma"/>
          <w:i/>
          <w:iCs/>
          <w:sz w:val="20"/>
          <w:szCs w:val="20"/>
          <w:lang w:val="es-ES" w:eastAsia="es-ES_tradnl"/>
        </w:rPr>
        <w:t>…</w:t>
      </w:r>
    </w:p>
    <w:p w14:paraId="0111D22F" w14:textId="77777777" w:rsidR="00AB714B" w:rsidRPr="00AB714B" w:rsidRDefault="00AB714B" w:rsidP="00F731E4">
      <w:pPr>
        <w:tabs>
          <w:tab w:val="left" w:pos="4962"/>
        </w:tabs>
        <w:spacing w:after="0" w:line="360" w:lineRule="auto"/>
        <w:ind w:left="567" w:right="567"/>
        <w:contextualSpacing/>
        <w:rPr>
          <w:rFonts w:eastAsia="Calibri" w:cs="Tahoma"/>
          <w:i/>
          <w:iCs/>
          <w:sz w:val="20"/>
          <w:szCs w:val="20"/>
          <w:lang w:eastAsia="es-ES_tradnl"/>
        </w:rPr>
      </w:pPr>
      <w:r w:rsidRPr="00AB714B">
        <w:rPr>
          <w:rFonts w:eastAsia="Calibri" w:cs="Tahoma"/>
          <w:i/>
          <w:iCs/>
          <w:sz w:val="20"/>
          <w:szCs w:val="20"/>
          <w:lang w:eastAsia="es-ES_tradnl"/>
        </w:rPr>
        <w:t>IV. Ponga en riesgo la vida, la seguridad o la salud de una persona física;</w:t>
      </w:r>
    </w:p>
    <w:p w14:paraId="23B90089" w14:textId="77777777" w:rsidR="00AB714B" w:rsidRPr="00AB714B" w:rsidRDefault="00AB714B" w:rsidP="00F731E4">
      <w:pPr>
        <w:tabs>
          <w:tab w:val="left" w:pos="4962"/>
        </w:tabs>
        <w:spacing w:after="0" w:line="360" w:lineRule="auto"/>
        <w:ind w:left="567" w:right="567"/>
        <w:contextualSpacing/>
        <w:rPr>
          <w:rFonts w:eastAsia="Calibri" w:cs="Tahoma"/>
          <w:i/>
          <w:iCs/>
          <w:sz w:val="20"/>
          <w:szCs w:val="20"/>
          <w:lang w:val="es-ES" w:eastAsia="es-ES_tradnl"/>
        </w:rPr>
      </w:pPr>
      <w:r w:rsidRPr="00AB714B">
        <w:rPr>
          <w:rFonts w:eastAsia="Calibri" w:cs="Tahoma"/>
          <w:i/>
          <w:iCs/>
          <w:sz w:val="20"/>
          <w:szCs w:val="20"/>
          <w:lang w:val="es-ES" w:eastAsia="es-ES_tradnl"/>
        </w:rPr>
        <w:t xml:space="preserve">…” </w:t>
      </w:r>
    </w:p>
    <w:p w14:paraId="0B5648BD" w14:textId="77777777" w:rsidR="00AB714B" w:rsidRPr="00AB714B" w:rsidRDefault="00AB714B" w:rsidP="00F731E4">
      <w:pPr>
        <w:spacing w:after="0" w:line="360" w:lineRule="auto"/>
        <w:rPr>
          <w:rFonts w:eastAsia="Calibri" w:cs="Tahoma"/>
          <w:bCs/>
        </w:rPr>
      </w:pPr>
    </w:p>
    <w:p w14:paraId="083125C9" w14:textId="77777777" w:rsidR="00AB714B" w:rsidRPr="00AB714B" w:rsidRDefault="00AB714B" w:rsidP="00F731E4">
      <w:pPr>
        <w:spacing w:after="0" w:line="360" w:lineRule="auto"/>
        <w:rPr>
          <w:rFonts w:eastAsia="Calibri" w:cs="Tahoma"/>
          <w:bCs/>
        </w:rPr>
      </w:pPr>
      <w:r w:rsidRPr="00AB714B">
        <w:rPr>
          <w:rFonts w:eastAsia="Calibri" w:cs="Tahoma"/>
          <w:bCs/>
        </w:rPr>
        <w:t xml:space="preserve">Del precepto legal anteriormente citado se desprende que como información reservada podrá clasificarse aquella cuya publicación pueda poner en riesgo la vida, seguridad o salud de una persona física; para acreditar lo anterior, los </w:t>
      </w:r>
      <w:r w:rsidRPr="00AB714B">
        <w:rPr>
          <w:rFonts w:eastAsia="Calibri" w:cs="Tahoma"/>
          <w:bCs/>
          <w:lang w:val="es-ES"/>
        </w:rPr>
        <w:t xml:space="preserve">Lineamientos Generales, </w:t>
      </w:r>
      <w:r w:rsidRPr="00AB714B">
        <w:rPr>
          <w:rFonts w:eastAsia="Calibri" w:cs="Tahoma"/>
          <w:bCs/>
        </w:rPr>
        <w:t>establecen lo siguiente:</w:t>
      </w:r>
    </w:p>
    <w:p w14:paraId="608344CE" w14:textId="77777777" w:rsidR="00AB714B" w:rsidRPr="00AB714B" w:rsidRDefault="00AB714B" w:rsidP="00F731E4">
      <w:pPr>
        <w:spacing w:after="0" w:line="360" w:lineRule="auto"/>
        <w:rPr>
          <w:rFonts w:eastAsia="Calibri" w:cs="Tahoma"/>
          <w:bCs/>
        </w:rPr>
      </w:pPr>
    </w:p>
    <w:p w14:paraId="26F37E8C" w14:textId="77777777" w:rsidR="00AB714B" w:rsidRPr="00AB714B" w:rsidRDefault="00AB714B" w:rsidP="00F731E4">
      <w:pPr>
        <w:spacing w:after="0" w:line="360" w:lineRule="auto"/>
        <w:ind w:left="567" w:right="567"/>
        <w:contextualSpacing/>
        <w:rPr>
          <w:rFonts w:eastAsia="Calibri" w:cs="Tahoma"/>
          <w:bCs/>
          <w:i/>
          <w:sz w:val="20"/>
          <w:szCs w:val="20"/>
        </w:rPr>
      </w:pPr>
      <w:r w:rsidRPr="00AB714B">
        <w:rPr>
          <w:rFonts w:eastAsia="Calibri" w:cs="Tahoma"/>
          <w:b/>
          <w:bCs/>
          <w:i/>
          <w:sz w:val="20"/>
          <w:szCs w:val="20"/>
        </w:rPr>
        <w:t xml:space="preserve">“Vigésimo tercero. </w:t>
      </w:r>
      <w:r w:rsidRPr="00AB714B">
        <w:rPr>
          <w:rFonts w:eastAsia="Calibri" w:cs="Tahoma"/>
          <w:bCs/>
          <w:i/>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54DBD0B1" w14:textId="77777777" w:rsidR="00AB714B" w:rsidRPr="00AB714B" w:rsidRDefault="00AB714B" w:rsidP="00F731E4">
      <w:pPr>
        <w:spacing w:after="0" w:line="360" w:lineRule="auto"/>
        <w:rPr>
          <w:rFonts w:eastAsia="Calibri" w:cs="Tahoma"/>
          <w:b/>
          <w:bCs/>
        </w:rPr>
      </w:pPr>
      <w:r w:rsidRPr="00AB714B">
        <w:rPr>
          <w:rFonts w:eastAsia="Calibri" w:cs="Tahoma"/>
          <w:bCs/>
        </w:rPr>
        <w:lastRenderedPageBreak/>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0FE20666" w14:textId="77777777" w:rsidR="00AB714B" w:rsidRPr="00AB714B" w:rsidRDefault="00AB714B" w:rsidP="00F731E4">
      <w:pPr>
        <w:spacing w:after="0" w:line="360" w:lineRule="auto"/>
        <w:rPr>
          <w:rFonts w:eastAsia="Calibri" w:cs="Tahoma"/>
          <w:bCs/>
        </w:rPr>
      </w:pPr>
    </w:p>
    <w:p w14:paraId="6D1C2056" w14:textId="77777777" w:rsidR="00AB714B" w:rsidRPr="00AB714B" w:rsidRDefault="00AB714B" w:rsidP="00F731E4">
      <w:pPr>
        <w:spacing w:after="0" w:line="360" w:lineRule="auto"/>
        <w:rPr>
          <w:rFonts w:eastAsia="Calibri" w:cs="Tahoma"/>
          <w:bCs/>
        </w:rPr>
      </w:pPr>
      <w:r w:rsidRPr="00AB714B">
        <w:rPr>
          <w:rFonts w:eastAsia="Calibri" w:cs="Tahoma"/>
          <w:bCs/>
        </w:rPr>
        <w:t>Además, el artículo 81, fracción III, de la Ley de Seguridad del Estado de México, establece lo siguiente:</w:t>
      </w:r>
    </w:p>
    <w:p w14:paraId="6B1186AA" w14:textId="77777777" w:rsidR="00AB714B" w:rsidRPr="00AB714B" w:rsidRDefault="00AB714B" w:rsidP="00F731E4">
      <w:pPr>
        <w:spacing w:after="0" w:line="360" w:lineRule="auto"/>
        <w:rPr>
          <w:rFonts w:eastAsia="Calibri" w:cs="Tahoma"/>
          <w:bCs/>
        </w:rPr>
      </w:pPr>
    </w:p>
    <w:p w14:paraId="1A6818AD" w14:textId="77777777" w:rsidR="00AB714B" w:rsidRPr="00AB714B" w:rsidRDefault="00AB714B" w:rsidP="00F731E4">
      <w:pPr>
        <w:spacing w:after="0" w:line="360" w:lineRule="auto"/>
        <w:ind w:left="567" w:right="567"/>
        <w:contextualSpacing/>
        <w:rPr>
          <w:rFonts w:eastAsia="Calibri" w:cs="Tahoma"/>
          <w:bCs/>
          <w:i/>
          <w:sz w:val="20"/>
          <w:szCs w:val="20"/>
        </w:rPr>
      </w:pPr>
      <w:r w:rsidRPr="00AB714B">
        <w:rPr>
          <w:rFonts w:eastAsia="Calibri" w:cs="Tahoma"/>
          <w:b/>
          <w:bCs/>
          <w:i/>
          <w:sz w:val="20"/>
          <w:szCs w:val="20"/>
        </w:rPr>
        <w:t>“Artículo 81.-</w:t>
      </w:r>
      <w:r w:rsidRPr="00AB714B">
        <w:rPr>
          <w:rFonts w:eastAsia="Calibri" w:cs="Tahoma"/>
          <w:bCs/>
          <w:i/>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26877480" w14:textId="77777777" w:rsidR="00AB714B" w:rsidRPr="00AB714B" w:rsidRDefault="00AB714B" w:rsidP="00F731E4">
      <w:pPr>
        <w:spacing w:after="0" w:line="360" w:lineRule="auto"/>
        <w:ind w:left="567" w:right="567"/>
        <w:contextualSpacing/>
        <w:rPr>
          <w:rFonts w:eastAsia="Calibri" w:cs="Tahoma"/>
          <w:bCs/>
          <w:i/>
          <w:sz w:val="20"/>
          <w:szCs w:val="20"/>
        </w:rPr>
      </w:pPr>
      <w:r w:rsidRPr="00AB714B">
        <w:rPr>
          <w:rFonts w:eastAsia="Calibri" w:cs="Tahoma"/>
          <w:bCs/>
          <w:i/>
          <w:sz w:val="20"/>
          <w:szCs w:val="20"/>
        </w:rPr>
        <w:t>…</w:t>
      </w:r>
    </w:p>
    <w:p w14:paraId="358D0933" w14:textId="77777777" w:rsidR="00AB714B" w:rsidRPr="00AB714B" w:rsidRDefault="00AB714B" w:rsidP="00F731E4">
      <w:pPr>
        <w:spacing w:after="0" w:line="360" w:lineRule="auto"/>
        <w:ind w:left="567" w:right="567"/>
        <w:contextualSpacing/>
        <w:rPr>
          <w:rFonts w:eastAsia="Calibri" w:cs="Tahoma"/>
          <w:bCs/>
          <w:i/>
          <w:sz w:val="20"/>
          <w:szCs w:val="20"/>
        </w:rPr>
      </w:pPr>
      <w:r w:rsidRPr="00AB714B">
        <w:rPr>
          <w:rFonts w:eastAsia="Calibri" w:cs="Tahoma"/>
          <w:bCs/>
          <w:i/>
          <w:sz w:val="20"/>
          <w:szCs w:val="20"/>
        </w:rPr>
        <w:t>III. La relativa a los servidores públicos integrantes de las instituciones de seguridad pública, cuya revelación pueda poner en riesgo su vida e integridad física con motivo de sus funciones;</w:t>
      </w:r>
    </w:p>
    <w:p w14:paraId="7EA6B3ED" w14:textId="77777777" w:rsidR="00AB714B" w:rsidRPr="00AB714B" w:rsidRDefault="00AB714B" w:rsidP="00F731E4">
      <w:pPr>
        <w:spacing w:after="0" w:line="360" w:lineRule="auto"/>
        <w:ind w:left="567" w:right="567"/>
        <w:contextualSpacing/>
        <w:rPr>
          <w:rFonts w:eastAsia="Calibri" w:cs="Tahoma"/>
          <w:bCs/>
          <w:i/>
          <w:sz w:val="20"/>
          <w:szCs w:val="20"/>
        </w:rPr>
      </w:pPr>
      <w:r w:rsidRPr="00AB714B">
        <w:rPr>
          <w:rFonts w:eastAsia="Calibri" w:cs="Tahoma"/>
          <w:bCs/>
          <w:i/>
          <w:sz w:val="20"/>
          <w:szCs w:val="20"/>
        </w:rPr>
        <w:t>…”</w:t>
      </w:r>
    </w:p>
    <w:p w14:paraId="5C519976" w14:textId="77777777" w:rsidR="00AB714B" w:rsidRPr="00AB714B" w:rsidRDefault="00AB714B" w:rsidP="00F731E4">
      <w:pPr>
        <w:spacing w:after="0" w:line="360" w:lineRule="auto"/>
        <w:rPr>
          <w:rFonts w:eastAsia="Calibri" w:cs="Tahoma"/>
          <w:bCs/>
          <w:sz w:val="20"/>
          <w:szCs w:val="20"/>
        </w:rPr>
      </w:pPr>
    </w:p>
    <w:p w14:paraId="41792234" w14:textId="77777777" w:rsidR="00AB714B" w:rsidRPr="00AB714B" w:rsidRDefault="00AB714B" w:rsidP="00F731E4">
      <w:pPr>
        <w:spacing w:after="0" w:line="360" w:lineRule="auto"/>
        <w:rPr>
          <w:rFonts w:eastAsia="Times New Roman" w:cs="Tahoma"/>
          <w:lang w:eastAsia="es-ES"/>
        </w:rPr>
      </w:pPr>
      <w:r w:rsidRPr="00AB714B">
        <w:rPr>
          <w:rFonts w:eastAsia="Times New Roman" w:cs="Tahoma"/>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5F21F2AA" w14:textId="77777777" w:rsidR="00AB714B" w:rsidRPr="00AB714B" w:rsidRDefault="00AB714B" w:rsidP="00F731E4">
      <w:pPr>
        <w:spacing w:after="0" w:line="360" w:lineRule="auto"/>
        <w:rPr>
          <w:rFonts w:eastAsia="Times New Roman" w:cs="Tahoma"/>
          <w:bCs/>
          <w:iCs/>
          <w:color w:val="000000"/>
          <w:lang w:val="es-ES_tradnl" w:eastAsia="es-ES"/>
        </w:rPr>
      </w:pPr>
    </w:p>
    <w:p w14:paraId="3467526E" w14:textId="6179503A" w:rsidR="00AB714B" w:rsidRPr="00AB714B" w:rsidRDefault="00AB714B" w:rsidP="00F731E4">
      <w:pPr>
        <w:spacing w:after="0" w:line="360" w:lineRule="auto"/>
        <w:rPr>
          <w:rFonts w:eastAsia="Calibri" w:cs="Tahoma"/>
          <w:bCs/>
        </w:rPr>
      </w:pPr>
      <w:r w:rsidRPr="00AB714B">
        <w:rPr>
          <w:rFonts w:eastAsia="Calibri" w:cs="Tahoma"/>
          <w:bCs/>
        </w:rPr>
        <w:t>En ese contexto, es de señalar que los datos de servidores públicos, entre los que se encuentran el nombre de los trabajadores, por regla general, son de naturaleza pública, de conformidad con el artículo 92, fracción VII, de la Ley de Transparencia y Acceso a la Información Pública del Estado de México y Municipios.</w:t>
      </w:r>
    </w:p>
    <w:p w14:paraId="7AD2044C" w14:textId="77777777" w:rsidR="00AB714B" w:rsidRDefault="00AB714B" w:rsidP="00F731E4">
      <w:pPr>
        <w:spacing w:after="0" w:line="360" w:lineRule="auto"/>
        <w:rPr>
          <w:rFonts w:eastAsia="Calibri" w:cs="Tahoma"/>
          <w:bCs/>
        </w:rPr>
      </w:pPr>
    </w:p>
    <w:p w14:paraId="22D4194D" w14:textId="77777777" w:rsidR="00005124" w:rsidRDefault="00005124" w:rsidP="00F731E4">
      <w:pPr>
        <w:spacing w:after="0" w:line="360" w:lineRule="auto"/>
        <w:rPr>
          <w:rFonts w:eastAsia="Calibri" w:cs="Tahoma"/>
          <w:bCs/>
        </w:rPr>
      </w:pPr>
    </w:p>
    <w:p w14:paraId="2640E60C" w14:textId="77777777" w:rsidR="00005124" w:rsidRPr="00AB714B" w:rsidRDefault="00005124" w:rsidP="00F731E4">
      <w:pPr>
        <w:spacing w:after="0" w:line="360" w:lineRule="auto"/>
        <w:rPr>
          <w:rFonts w:eastAsia="Calibri" w:cs="Tahoma"/>
          <w:bCs/>
        </w:rPr>
      </w:pPr>
    </w:p>
    <w:p w14:paraId="65FBDC9B" w14:textId="2DA6DA75" w:rsidR="00AB714B" w:rsidRPr="00AB714B" w:rsidRDefault="00AB714B" w:rsidP="00F731E4">
      <w:pPr>
        <w:spacing w:after="0" w:line="360" w:lineRule="auto"/>
        <w:rPr>
          <w:rFonts w:eastAsia="Times New Roman" w:cs="Tahoma"/>
          <w:lang w:eastAsia="es-ES"/>
        </w:rPr>
      </w:pPr>
      <w:r w:rsidRPr="00AB714B">
        <w:rPr>
          <w:rFonts w:eastAsia="Calibri" w:cs="Tahoma"/>
          <w:bCs/>
        </w:rPr>
        <w:t xml:space="preserve">No obstante, resulta necesario traer a colación por analogía, el </w:t>
      </w:r>
      <w:r w:rsidR="00F731E4">
        <w:rPr>
          <w:rFonts w:eastAsia="Calibri" w:cs="Times New Roman"/>
          <w:color w:val="000000"/>
          <w:lang w:val="es-ES"/>
        </w:rPr>
        <w:t>Criterio Orientador</w:t>
      </w:r>
      <w:r w:rsidRPr="00AB714B">
        <w:rPr>
          <w:rFonts w:eastAsia="Calibri" w:cs="Times New Roman"/>
          <w:color w:val="000000"/>
          <w:lang w:val="es-ES"/>
        </w:rPr>
        <w:t xml:space="preserve">, con número de registro SO/006/2009, de la Primera Época, </w:t>
      </w:r>
      <w:r w:rsidRPr="00AB714B">
        <w:rPr>
          <w:rFonts w:eastAsia="Calibri" w:cs="Tahoma"/>
          <w:bCs/>
        </w:rPr>
        <w:t xml:space="preserve">emitido por </w:t>
      </w:r>
      <w:r w:rsidRPr="00AB714B">
        <w:rPr>
          <w:rFonts w:eastAsia="Times New Roman" w:cs="Tahoma"/>
          <w:lang w:eastAsia="es-ES"/>
        </w:rPr>
        <w:t>el entonces Instituto Federal de Acceso a la Información y Protección de Datos ahora Instituto Nacional de Transparencia, Acceso a la Información y Protección de Datos Personales, que establece lo siguiente:</w:t>
      </w:r>
    </w:p>
    <w:p w14:paraId="0A4B1009" w14:textId="77777777" w:rsidR="00AB714B" w:rsidRPr="00AB714B" w:rsidRDefault="00AB714B" w:rsidP="00F731E4">
      <w:pPr>
        <w:spacing w:after="0" w:line="360" w:lineRule="auto"/>
        <w:rPr>
          <w:rFonts w:eastAsia="Times New Roman" w:cs="Tahoma"/>
          <w:lang w:eastAsia="es-ES"/>
        </w:rPr>
      </w:pPr>
    </w:p>
    <w:p w14:paraId="7CB2E80E" w14:textId="77777777" w:rsidR="00AB714B" w:rsidRPr="00AB714B" w:rsidRDefault="00AB714B" w:rsidP="00F731E4">
      <w:pPr>
        <w:tabs>
          <w:tab w:val="left" w:pos="4962"/>
        </w:tabs>
        <w:spacing w:after="0" w:line="360" w:lineRule="auto"/>
        <w:ind w:left="567" w:right="567"/>
        <w:contextualSpacing/>
        <w:rPr>
          <w:rFonts w:eastAsia="Times New Roman" w:cs="Tahoma"/>
          <w:i/>
          <w:sz w:val="20"/>
          <w:lang w:eastAsia="es-ES"/>
        </w:rPr>
      </w:pPr>
      <w:r w:rsidRPr="00AB714B">
        <w:rPr>
          <w:rFonts w:eastAsia="Times New Roman" w:cs="Tahoma"/>
          <w:b/>
          <w:i/>
          <w:sz w:val="20"/>
          <w:lang w:eastAsia="es-ES"/>
        </w:rPr>
        <w:t>“Nombres de servidores públicos dedicados a actividades en materia de seguridad, por excepción pueden considerarse información reservada.</w:t>
      </w:r>
      <w:r w:rsidRPr="00AB714B">
        <w:rPr>
          <w:rFonts w:eastAsia="Times New Roman" w:cs="Tahoma"/>
          <w:i/>
          <w:sz w:val="20"/>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67D6987" w14:textId="77777777" w:rsidR="00AB714B" w:rsidRDefault="00AB714B" w:rsidP="00F731E4">
      <w:pPr>
        <w:spacing w:after="0" w:line="360" w:lineRule="auto"/>
        <w:rPr>
          <w:rFonts w:eastAsia="Calibri" w:cs="Tahoma"/>
          <w:bCs/>
        </w:rPr>
      </w:pPr>
    </w:p>
    <w:p w14:paraId="28885D4E" w14:textId="77777777" w:rsidR="00005124" w:rsidRPr="00AB714B" w:rsidRDefault="00005124" w:rsidP="00F731E4">
      <w:pPr>
        <w:spacing w:after="0" w:line="360" w:lineRule="auto"/>
        <w:rPr>
          <w:rFonts w:eastAsia="Calibri" w:cs="Tahoma"/>
          <w:bCs/>
        </w:rPr>
      </w:pPr>
    </w:p>
    <w:p w14:paraId="44465767" w14:textId="77777777" w:rsidR="00AB714B" w:rsidRPr="00AB714B" w:rsidRDefault="00AB714B" w:rsidP="00F731E4">
      <w:pPr>
        <w:spacing w:after="0" w:line="360" w:lineRule="auto"/>
        <w:rPr>
          <w:rFonts w:eastAsia="Calibri" w:cs="Tahoma"/>
          <w:bCs/>
        </w:rPr>
      </w:pPr>
      <w:r w:rsidRPr="00AB714B">
        <w:rPr>
          <w:rFonts w:eastAsia="Calibri" w:cs="Tahoma"/>
          <w:bC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5993F1E5" w14:textId="77777777" w:rsidR="00AB714B" w:rsidRPr="00AB714B" w:rsidRDefault="00AB714B" w:rsidP="00F731E4">
      <w:pPr>
        <w:spacing w:after="0" w:line="360" w:lineRule="auto"/>
        <w:rPr>
          <w:rFonts w:eastAsia="Calibri" w:cs="Tahoma"/>
          <w:bCs/>
        </w:rPr>
      </w:pPr>
    </w:p>
    <w:p w14:paraId="1BB3B21D" w14:textId="77777777" w:rsidR="00AB714B" w:rsidRPr="00AB714B" w:rsidRDefault="00AB714B" w:rsidP="00F731E4">
      <w:pPr>
        <w:spacing w:after="0" w:line="360" w:lineRule="auto"/>
        <w:rPr>
          <w:color w:val="000000"/>
        </w:rPr>
      </w:pPr>
      <w:r w:rsidRPr="00AB714B">
        <w:rPr>
          <w:color w:val="000000"/>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57C4C6CB" w14:textId="77777777" w:rsidR="00AB714B" w:rsidRPr="00AB714B" w:rsidRDefault="00AB714B" w:rsidP="00F731E4">
      <w:pPr>
        <w:spacing w:after="0" w:line="360" w:lineRule="auto"/>
        <w:rPr>
          <w:rFonts w:eastAsia="Calibri" w:cs="Tahoma"/>
          <w:bCs/>
        </w:rPr>
      </w:pPr>
    </w:p>
    <w:p w14:paraId="330B45CB" w14:textId="77777777" w:rsidR="00AB714B" w:rsidRPr="00AB714B" w:rsidRDefault="00AB714B" w:rsidP="00F731E4">
      <w:pPr>
        <w:spacing w:after="0" w:line="360" w:lineRule="auto"/>
        <w:rPr>
          <w:rFonts w:eastAsia="Calibri" w:cs="Tahoma"/>
          <w:bCs/>
        </w:rPr>
      </w:pPr>
      <w:r w:rsidRPr="00AB714B">
        <w:rPr>
          <w:rFonts w:eastAsia="Calibri" w:cs="Tahoma"/>
          <w:bCs/>
        </w:rPr>
        <w:t xml:space="preserve">En ese orden de ideas, si bien por regla general los nombres de los trabajadores gubernamentales son información pública de oficio, existe una excepción relativa a </w:t>
      </w:r>
      <w:r w:rsidRPr="00AB714B">
        <w:rPr>
          <w:rFonts w:eastAsia="Calibri" w:cs="Tahoma"/>
          <w:b/>
          <w:bCs/>
        </w:rPr>
        <w:t>aquellos que realicen actividades operativas en materia de seguridad,</w:t>
      </w:r>
      <w:r w:rsidRPr="00AB714B">
        <w:rPr>
          <w:rFonts w:eastAsia="Calibri" w:cs="Tahoma"/>
          <w:bCs/>
        </w:rPr>
        <w:t xml:space="preserve"> como es el caso de los elementos operativos y la policía municipal.</w:t>
      </w:r>
    </w:p>
    <w:p w14:paraId="528153BD" w14:textId="77777777" w:rsidR="00AB714B" w:rsidRPr="00AB714B" w:rsidRDefault="00AB714B" w:rsidP="00F731E4">
      <w:pPr>
        <w:spacing w:after="0" w:line="360" w:lineRule="auto"/>
        <w:rPr>
          <w:rFonts w:eastAsia="Calibri" w:cs="Tahoma"/>
          <w:bCs/>
        </w:rPr>
      </w:pPr>
    </w:p>
    <w:p w14:paraId="46764F14" w14:textId="77777777" w:rsidR="00AB714B" w:rsidRPr="00AB714B" w:rsidRDefault="00AB714B" w:rsidP="00F731E4">
      <w:pPr>
        <w:spacing w:after="0" w:line="360" w:lineRule="auto"/>
        <w:rPr>
          <w:rFonts w:eastAsia="Calibri" w:cs="Tahoma"/>
          <w:bCs/>
        </w:rPr>
      </w:pPr>
      <w:r w:rsidRPr="00AB714B">
        <w:rPr>
          <w:rFonts w:eastAsia="Calibri" w:cs="Tahoma"/>
          <w:bC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6A734D3" w14:textId="77777777" w:rsidR="00AB714B" w:rsidRPr="00AB714B" w:rsidRDefault="00AB714B" w:rsidP="00F731E4">
      <w:pPr>
        <w:spacing w:after="0" w:line="360" w:lineRule="auto"/>
        <w:rPr>
          <w:rFonts w:eastAsia="Calibri" w:cs="Tahoma"/>
          <w:bCs/>
        </w:rPr>
      </w:pPr>
      <w:r w:rsidRPr="00AB714B">
        <w:rPr>
          <w:rFonts w:eastAsia="Calibri" w:cs="Tahoma"/>
          <w:bCs/>
        </w:rPr>
        <w:lastRenderedPageBreak/>
        <w:t>En ese contexto, el artículo 6°, fracciones XI y XII de dicho ordenamiento jurídico, establece los siguientes conceptos:</w:t>
      </w:r>
    </w:p>
    <w:p w14:paraId="37A26123" w14:textId="77777777" w:rsidR="00AB714B" w:rsidRPr="00AB714B" w:rsidRDefault="00AB714B" w:rsidP="00F731E4">
      <w:pPr>
        <w:spacing w:after="0" w:line="360" w:lineRule="auto"/>
        <w:rPr>
          <w:rFonts w:eastAsia="Calibri" w:cs="Tahoma"/>
          <w:bCs/>
        </w:rPr>
      </w:pPr>
    </w:p>
    <w:p w14:paraId="6B75576D" w14:textId="77777777" w:rsidR="00AB714B" w:rsidRPr="00AB714B" w:rsidRDefault="00AB714B" w:rsidP="0065684B">
      <w:pPr>
        <w:numPr>
          <w:ilvl w:val="0"/>
          <w:numId w:val="7"/>
        </w:numPr>
        <w:spacing w:after="0" w:line="360" w:lineRule="auto"/>
        <w:rPr>
          <w:rFonts w:eastAsia="Calibri" w:cs="Tahoma"/>
          <w:b/>
          <w:bCs/>
        </w:rPr>
      </w:pPr>
      <w:r w:rsidRPr="00AB714B">
        <w:rPr>
          <w:rFonts w:eastAsia="Calibri" w:cs="Tahoma"/>
          <w:b/>
          <w:bCs/>
        </w:rPr>
        <w:t xml:space="preserve">Instituciones Policiales: </w:t>
      </w:r>
      <w:r w:rsidRPr="00AB714B">
        <w:rPr>
          <w:rFonts w:eastAsia="Calibri" w:cs="Tahoma"/>
          <w:bCs/>
        </w:rPr>
        <w:t xml:space="preserve">Son los cuerpos de policía, de vigilancia y custodia de los establecimientos penitenciarios, detención preventiva, centros de arraigo y en general, </w:t>
      </w:r>
      <w:r w:rsidRPr="00AB714B">
        <w:rPr>
          <w:rFonts w:eastAsia="Calibri" w:cs="Tahoma"/>
          <w:b/>
          <w:bCs/>
        </w:rPr>
        <w:t>todas las dependencias encargadas de la seguridad pública a nivel</w:t>
      </w:r>
      <w:r w:rsidRPr="00AB714B">
        <w:rPr>
          <w:rFonts w:eastAsia="Calibri" w:cs="Tahoma"/>
          <w:bCs/>
        </w:rPr>
        <w:t xml:space="preserve"> estatal y </w:t>
      </w:r>
      <w:r w:rsidRPr="00AB714B">
        <w:rPr>
          <w:rFonts w:eastAsia="Calibri" w:cs="Tahoma"/>
          <w:b/>
          <w:bCs/>
        </w:rPr>
        <w:t>municipal.</w:t>
      </w:r>
    </w:p>
    <w:p w14:paraId="0FA7D707" w14:textId="77777777" w:rsidR="00AB714B" w:rsidRPr="00AB714B" w:rsidRDefault="00AB714B" w:rsidP="00F731E4">
      <w:pPr>
        <w:spacing w:after="0" w:line="360" w:lineRule="auto"/>
        <w:ind w:left="720"/>
        <w:contextualSpacing/>
        <w:rPr>
          <w:rFonts w:eastAsia="Calibri" w:cs="Tahoma"/>
          <w:bCs/>
        </w:rPr>
      </w:pPr>
    </w:p>
    <w:p w14:paraId="34F0E6B5" w14:textId="77777777" w:rsidR="00AB714B" w:rsidRPr="00AB714B" w:rsidRDefault="00AB714B" w:rsidP="0065684B">
      <w:pPr>
        <w:numPr>
          <w:ilvl w:val="0"/>
          <w:numId w:val="7"/>
        </w:numPr>
        <w:spacing w:after="0" w:line="360" w:lineRule="auto"/>
        <w:rPr>
          <w:rFonts w:eastAsia="Calibri" w:cs="Tahoma"/>
          <w:b/>
          <w:bCs/>
        </w:rPr>
      </w:pPr>
      <w:r w:rsidRPr="00AB714B">
        <w:rPr>
          <w:rFonts w:eastAsia="Calibri" w:cs="Tahoma"/>
          <w:b/>
          <w:bCs/>
        </w:rPr>
        <w:t xml:space="preserve">Instituciones de Seguridad Pública: </w:t>
      </w:r>
      <w:r w:rsidRPr="00AB714B">
        <w:rPr>
          <w:rFonts w:eastAsia="Calibri" w:cs="Tahoma"/>
          <w:bCs/>
        </w:rPr>
        <w:t xml:space="preserve">Instituciones Policiales, Procuración de Justicia, Sistema Penitenciario y </w:t>
      </w:r>
      <w:r w:rsidRPr="00AB714B">
        <w:rPr>
          <w:rFonts w:eastAsia="Calibri" w:cs="Tahoma"/>
          <w:b/>
          <w:bCs/>
        </w:rPr>
        <w:t xml:space="preserve">dependencias encargadas de la seguridad pública a nivel </w:t>
      </w:r>
      <w:r w:rsidRPr="00AB714B">
        <w:rPr>
          <w:rFonts w:eastAsia="Calibri" w:cs="Tahoma"/>
          <w:bCs/>
        </w:rPr>
        <w:t xml:space="preserve">estatal y </w:t>
      </w:r>
      <w:r w:rsidRPr="00AB714B">
        <w:rPr>
          <w:rFonts w:eastAsia="Calibri" w:cs="Tahoma"/>
          <w:b/>
          <w:bCs/>
        </w:rPr>
        <w:t>municipal.</w:t>
      </w:r>
    </w:p>
    <w:p w14:paraId="18CF8C51" w14:textId="77777777" w:rsidR="00AB714B" w:rsidRPr="00AB714B" w:rsidRDefault="00AB714B" w:rsidP="00F731E4">
      <w:pPr>
        <w:spacing w:after="0" w:line="360" w:lineRule="auto"/>
        <w:rPr>
          <w:rFonts w:eastAsia="Calibri" w:cs="Tahoma"/>
          <w:b/>
          <w:bCs/>
        </w:rPr>
      </w:pPr>
    </w:p>
    <w:p w14:paraId="6D46BBBE" w14:textId="55445774" w:rsidR="00AB714B" w:rsidRPr="00AB714B" w:rsidRDefault="00AB714B" w:rsidP="00F731E4">
      <w:pPr>
        <w:spacing w:after="0" w:line="360" w:lineRule="auto"/>
        <w:rPr>
          <w:rFonts w:eastAsia="Calibri" w:cs="Times New Roman"/>
          <w:szCs w:val="20"/>
          <w:lang w:eastAsia="es-ES"/>
        </w:rPr>
      </w:pPr>
      <w:r w:rsidRPr="00AB714B">
        <w:rPr>
          <w:rFonts w:eastAsia="Calibri" w:cs="Tahoma"/>
          <w:iCs/>
          <w:szCs w:val="20"/>
          <w:lang w:val="es-ES" w:eastAsia="es-ES_tradnl"/>
        </w:rPr>
        <w:t>Conforme a lo anterior</w:t>
      </w:r>
      <w:r w:rsidRPr="00AB714B">
        <w:rPr>
          <w:rFonts w:eastAsia="Calibri" w:cs="Tahoma"/>
          <w:bCs/>
        </w:rPr>
        <w:t>, se puede deducir que la</w:t>
      </w:r>
      <w:r w:rsidRPr="00AB714B">
        <w:rPr>
          <w:rFonts w:eastAsia="Calibri" w:cs="Tahoma"/>
          <w:bCs/>
          <w:color w:val="000000"/>
          <w:lang w:val="es-ES_tradnl"/>
        </w:rPr>
        <w:t xml:space="preserve"> </w:t>
      </w:r>
      <w:r w:rsidR="009C1532">
        <w:rPr>
          <w:color w:val="000000"/>
        </w:rPr>
        <w:t>Dirección de Seguridad Ciudadana y Protección Civil</w:t>
      </w:r>
      <w:r w:rsidRPr="00AB714B">
        <w:rPr>
          <w:rFonts w:eastAsia="Calibri" w:cs="Tahoma"/>
          <w:bCs/>
        </w:rPr>
        <w:t xml:space="preserve">, es una institución de seguridad pública, pues tiene como atribución principal, la prevención de delitos </w:t>
      </w:r>
      <w:r w:rsidRPr="00AB714B">
        <w:rPr>
          <w:rFonts w:eastAsia="Calibri" w:cs="Times New Roman"/>
          <w:szCs w:val="20"/>
          <w:lang w:eastAsia="es-ES"/>
        </w:rPr>
        <w:t>y proteger a las personas, sus propiedades, posesiones y derechos.</w:t>
      </w:r>
    </w:p>
    <w:p w14:paraId="4D9D4A54" w14:textId="77777777" w:rsidR="00AB714B" w:rsidRPr="00AB714B" w:rsidRDefault="00AB714B" w:rsidP="00F731E4">
      <w:pPr>
        <w:spacing w:after="0" w:line="360" w:lineRule="auto"/>
        <w:rPr>
          <w:rFonts w:eastAsia="Calibri" w:cs="Times New Roman"/>
          <w:szCs w:val="20"/>
          <w:lang w:eastAsia="es-ES"/>
        </w:rPr>
      </w:pPr>
    </w:p>
    <w:p w14:paraId="26395E58" w14:textId="77777777" w:rsidR="00AB714B" w:rsidRPr="00AB714B" w:rsidRDefault="00AB714B" w:rsidP="00F731E4">
      <w:pPr>
        <w:tabs>
          <w:tab w:val="left" w:pos="4962"/>
        </w:tabs>
        <w:spacing w:after="0" w:line="360" w:lineRule="auto"/>
        <w:ind w:right="-28"/>
        <w:contextualSpacing/>
        <w:rPr>
          <w:rFonts w:eastAsia="Calibri" w:cs="Tahoma"/>
          <w:bCs/>
        </w:rPr>
      </w:pPr>
      <w:r w:rsidRPr="00AB714B">
        <w:rPr>
          <w:rFonts w:eastAsia="Calibri" w:cs="Tahoma"/>
          <w:bCs/>
          <w:lang w:val="es-ES"/>
        </w:rPr>
        <w:t xml:space="preserve">Además, </w:t>
      </w:r>
      <w:r w:rsidRPr="00AB714B">
        <w:rPr>
          <w:rFonts w:eastAsia="Calibri" w:cs="Tahoma"/>
          <w:bCs/>
        </w:rPr>
        <w:t xml:space="preserve">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AB714B">
        <w:rPr>
          <w:rFonts w:eastAsia="Calibri" w:cs="Tahoma"/>
          <w:b/>
          <w:bCs/>
        </w:rPr>
        <w:t>desempeña funciones de mando</w:t>
      </w:r>
      <w:r w:rsidRPr="00AB714B">
        <w:rPr>
          <w:rFonts w:eastAsia="Calibri" w:cs="Tahoma"/>
          <w:bCs/>
        </w:rPr>
        <w:t xml:space="preserve">), entre los cuales, se encuentra </w:t>
      </w:r>
      <w:r w:rsidRPr="00AB714B">
        <w:rPr>
          <w:rFonts w:eastAsia="Calibri" w:cs="Tahoma"/>
          <w:b/>
          <w:bCs/>
        </w:rPr>
        <w:t>la Policía Municipal</w:t>
      </w:r>
      <w:r w:rsidRPr="00AB714B">
        <w:rPr>
          <w:rFonts w:eastAsia="Calibri" w:cs="Tahoma"/>
          <w:bCs/>
        </w:rPr>
        <w:t>.</w:t>
      </w:r>
    </w:p>
    <w:p w14:paraId="01E52A0B" w14:textId="77777777" w:rsidR="00AB714B" w:rsidRPr="00AB714B" w:rsidRDefault="00AB714B" w:rsidP="00F731E4">
      <w:pPr>
        <w:tabs>
          <w:tab w:val="left" w:pos="4962"/>
        </w:tabs>
        <w:spacing w:after="0" w:line="360" w:lineRule="auto"/>
        <w:ind w:right="-28"/>
        <w:contextualSpacing/>
        <w:rPr>
          <w:rFonts w:eastAsia="Calibri" w:cs="Tahoma"/>
          <w:bCs/>
        </w:rPr>
      </w:pPr>
    </w:p>
    <w:p w14:paraId="4F8A93D4" w14:textId="77777777" w:rsidR="00AB714B" w:rsidRPr="00AB714B" w:rsidRDefault="00AB714B" w:rsidP="00F731E4">
      <w:pPr>
        <w:tabs>
          <w:tab w:val="left" w:pos="4962"/>
        </w:tabs>
        <w:spacing w:after="0" w:line="360" w:lineRule="auto"/>
        <w:ind w:right="-28"/>
        <w:contextualSpacing/>
        <w:rPr>
          <w:rFonts w:eastAsia="Calibri" w:cs="Tahoma"/>
          <w:bCs/>
        </w:rPr>
      </w:pPr>
      <w:r w:rsidRPr="00AB714B">
        <w:rPr>
          <w:rFonts w:eastAsia="Calibri" w:cs="Tahoma"/>
          <w:bCs/>
        </w:rPr>
        <w:t xml:space="preserve">Asimismo, se advierte que las Instituciones Policiales, se conforman del personal </w:t>
      </w:r>
      <w:r w:rsidRPr="00AB714B">
        <w:rPr>
          <w:rFonts w:eastAsia="Calibri" w:cs="Tahoma"/>
          <w:b/>
        </w:rPr>
        <w:t>administrativo,</w:t>
      </w:r>
      <w:r w:rsidRPr="00AB714B">
        <w:rPr>
          <w:rFonts w:eastAsia="Calibri" w:cs="Tahoma"/>
          <w:bCs/>
        </w:rPr>
        <w:t xml:space="preserve"> que son los trabajadores de apoyo (chofer, personal de mantenimiento, servicios generales y área secretaria); </w:t>
      </w:r>
      <w:r w:rsidRPr="00AB714B">
        <w:rPr>
          <w:rFonts w:eastAsia="Calibri" w:cs="Tahoma"/>
          <w:b/>
        </w:rPr>
        <w:t>así como, el personal de mando</w:t>
      </w:r>
      <w:r w:rsidRPr="00AB714B">
        <w:rPr>
          <w:rFonts w:eastAsia="Calibri" w:cs="Tahoma"/>
          <w:bCs/>
        </w:rPr>
        <w:t xml:space="preserve"> (alto, medio y </w:t>
      </w:r>
      <w:r w:rsidRPr="00AB714B">
        <w:rPr>
          <w:rFonts w:eastAsia="Calibri" w:cs="Tahoma"/>
          <w:bCs/>
        </w:rPr>
        <w:lastRenderedPageBreak/>
        <w:t>superior), que es aquel que realiza funciones de dirección, coordinación y supervisión, por lo cual, corresponde a aquel que tenga trabajadores a su cargo.</w:t>
      </w:r>
    </w:p>
    <w:p w14:paraId="12560FD3" w14:textId="77777777" w:rsidR="00AB714B" w:rsidRPr="00AB714B" w:rsidRDefault="00AB714B" w:rsidP="00F731E4">
      <w:pPr>
        <w:spacing w:after="0" w:line="360" w:lineRule="auto"/>
        <w:contextualSpacing/>
        <w:rPr>
          <w:rFonts w:eastAsia="Times New Roman" w:cs="Tahoma"/>
          <w:szCs w:val="24"/>
          <w:lang w:val="es-ES" w:eastAsia="es-ES"/>
        </w:rPr>
      </w:pPr>
    </w:p>
    <w:p w14:paraId="0AA9DA09" w14:textId="77777777" w:rsidR="00AB714B" w:rsidRPr="00AB714B" w:rsidRDefault="00AB714B" w:rsidP="00F731E4">
      <w:pPr>
        <w:spacing w:after="0" w:line="360" w:lineRule="auto"/>
        <w:contextualSpacing/>
        <w:rPr>
          <w:rFonts w:eastAsia="Calibri" w:cs="Tahoma"/>
          <w:bCs/>
        </w:rPr>
      </w:pPr>
      <w:r w:rsidRPr="00AB714B">
        <w:rPr>
          <w:rFonts w:eastAsia="Calibri" w:cs="Tahoma"/>
          <w:bCs/>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11E5094" w14:textId="77777777" w:rsidR="00AB714B" w:rsidRPr="00AB714B" w:rsidRDefault="00AB714B" w:rsidP="00F731E4">
      <w:pPr>
        <w:spacing w:after="0" w:line="360" w:lineRule="auto"/>
        <w:contextualSpacing/>
        <w:rPr>
          <w:rFonts w:eastAsia="Calibri" w:cs="Tahoma"/>
          <w:bCs/>
        </w:rPr>
      </w:pPr>
    </w:p>
    <w:p w14:paraId="73061847" w14:textId="77777777" w:rsidR="00AB714B" w:rsidRPr="00AB714B" w:rsidRDefault="00AB714B" w:rsidP="00F731E4">
      <w:pPr>
        <w:spacing w:after="0" w:line="360" w:lineRule="auto"/>
        <w:contextualSpacing/>
        <w:rPr>
          <w:rFonts w:eastAsia="Calibri" w:cs="Tahoma"/>
          <w:bCs/>
        </w:rPr>
      </w:pPr>
      <w:r w:rsidRPr="00AB714B">
        <w:rPr>
          <w:rFonts w:eastAsia="Calibri" w:cs="Tahoma"/>
          <w:bCs/>
        </w:rPr>
        <w:t xml:space="preserve">Sin embargo, por lo que hace al </w:t>
      </w:r>
      <w:r w:rsidRPr="00AB714B">
        <w:rPr>
          <w:rFonts w:eastAsia="Calibri" w:cs="Tahoma"/>
          <w:b/>
        </w:rPr>
        <w:t>personal administrativo y los mandos medios y superiores</w:t>
      </w:r>
      <w:r w:rsidRPr="00AB714B">
        <w:rPr>
          <w:rFonts w:eastAsia="Calibri" w:cs="Tahoma"/>
          <w:bCs/>
        </w:rPr>
        <w:t>,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4BDE45D1" w14:textId="77777777" w:rsidR="00AB714B" w:rsidRPr="00AB714B" w:rsidRDefault="00AB714B" w:rsidP="00F731E4">
      <w:pPr>
        <w:spacing w:after="0" w:line="360" w:lineRule="auto"/>
        <w:contextualSpacing/>
        <w:rPr>
          <w:rFonts w:eastAsia="Calibri" w:cs="Tahoma"/>
          <w:bCs/>
        </w:rPr>
      </w:pPr>
    </w:p>
    <w:p w14:paraId="29293DAA" w14:textId="77777777" w:rsidR="00AB714B" w:rsidRPr="00AB714B" w:rsidRDefault="00AB714B" w:rsidP="00F731E4">
      <w:pPr>
        <w:spacing w:after="0" w:line="360" w:lineRule="auto"/>
        <w:rPr>
          <w:rFonts w:eastAsia="Calibri" w:cs="Tahoma"/>
          <w:bCs/>
        </w:rPr>
      </w:pPr>
      <w:r w:rsidRPr="00AB714B">
        <w:rPr>
          <w:rFonts w:eastAsia="Calibri" w:cs="Tahoma"/>
          <w:bCs/>
        </w:rPr>
        <w:t>De tal situación, se considera que dar a conocer el nombre de los elementos operativos en materia de seguridad, como lo son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2E2F7B53" w14:textId="77777777" w:rsidR="00AB714B" w:rsidRPr="00AB714B" w:rsidRDefault="00AB714B" w:rsidP="00F731E4">
      <w:pPr>
        <w:spacing w:after="0" w:line="360" w:lineRule="auto"/>
        <w:contextualSpacing/>
        <w:rPr>
          <w:rFonts w:eastAsia="Calibri" w:cs="Tahoma"/>
          <w:bCs/>
        </w:rPr>
      </w:pPr>
    </w:p>
    <w:p w14:paraId="6E9AED73" w14:textId="77777777" w:rsidR="00AB714B" w:rsidRPr="00AB714B" w:rsidRDefault="00AB714B" w:rsidP="00F731E4">
      <w:pPr>
        <w:spacing w:after="0" w:line="360" w:lineRule="auto"/>
        <w:rPr>
          <w:rFonts w:eastAsia="Calibri" w:cs="Tahoma"/>
          <w:bCs/>
        </w:rPr>
      </w:pPr>
      <w:r w:rsidRPr="00AB714B">
        <w:rPr>
          <w:rFonts w:eastAsia="Calibri" w:cs="Tahoma"/>
          <w:bCs/>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48944DDC" w14:textId="77777777" w:rsidR="00AB714B" w:rsidRPr="00AB714B" w:rsidRDefault="00AB714B" w:rsidP="00F731E4">
      <w:pPr>
        <w:spacing w:after="0" w:line="360" w:lineRule="auto"/>
        <w:rPr>
          <w:rFonts w:eastAsia="Calibri" w:cs="Tahoma"/>
          <w:bCs/>
        </w:rPr>
      </w:pPr>
    </w:p>
    <w:p w14:paraId="7C7BDF23" w14:textId="5211F2B0" w:rsidR="00AB714B" w:rsidRPr="00AB714B" w:rsidRDefault="00AB714B" w:rsidP="00F731E4">
      <w:pPr>
        <w:spacing w:after="0" w:line="360" w:lineRule="auto"/>
        <w:rPr>
          <w:rFonts w:eastAsia="Calibri" w:cs="Tahoma"/>
          <w:b/>
          <w:iCs/>
          <w:lang w:val="es-ES" w:eastAsia="es-ES_tradnl"/>
        </w:rPr>
      </w:pPr>
      <w:r w:rsidRPr="00AB714B">
        <w:rPr>
          <w:rFonts w:eastAsia="Calibri" w:cs="Tahoma"/>
          <w:bCs/>
        </w:rPr>
        <w:t xml:space="preserve">Por tales consideraciones, </w:t>
      </w:r>
      <w:r w:rsidRPr="00AB714B">
        <w:rPr>
          <w:rFonts w:eastAsia="Calibri" w:cs="Tahoma"/>
          <w:b/>
          <w:bCs/>
        </w:rPr>
        <w:t>resulta procedente la reserva del nombre de los elementos operativos adscritos a la</w:t>
      </w:r>
      <w:r w:rsidRPr="00AB714B">
        <w:rPr>
          <w:rFonts w:eastAsia="Calibri" w:cs="Tahoma"/>
          <w:b/>
          <w:color w:val="000000"/>
        </w:rPr>
        <w:t xml:space="preserve"> </w:t>
      </w:r>
      <w:r w:rsidR="009C1532" w:rsidRPr="009C1532">
        <w:rPr>
          <w:rFonts w:eastAsia="Calibri" w:cs="Tahoma"/>
          <w:b/>
          <w:color w:val="000000"/>
        </w:rPr>
        <w:t>Dirección de Seguridad Ciudadana y Protección Civil</w:t>
      </w:r>
      <w:r w:rsidRPr="00AB714B">
        <w:rPr>
          <w:rFonts w:eastAsia="Calibri" w:cs="Tahoma"/>
          <w:b/>
          <w:bCs/>
        </w:rPr>
        <w:t xml:space="preserve">, en términos del artículo 140, fracción IV, de </w:t>
      </w:r>
      <w:r w:rsidRPr="00AB714B">
        <w:rPr>
          <w:rFonts w:eastAsia="Calibri" w:cs="Tahoma"/>
          <w:b/>
          <w:iCs/>
          <w:lang w:val="es-ES" w:eastAsia="es-ES_tradnl"/>
        </w:rPr>
        <w:t>de la Ley de Transparencia y Acceso a la Información Pública del Estado de México y Municipios.</w:t>
      </w:r>
    </w:p>
    <w:p w14:paraId="372C4956" w14:textId="77777777" w:rsidR="00AB714B" w:rsidRPr="00AB714B" w:rsidRDefault="00AB714B" w:rsidP="00F731E4">
      <w:pPr>
        <w:spacing w:after="0" w:line="360" w:lineRule="auto"/>
        <w:rPr>
          <w:rFonts w:eastAsia="Calibri" w:cs="Tahoma"/>
          <w:b/>
          <w:iCs/>
          <w:lang w:val="es-ES" w:eastAsia="es-ES_tradnl"/>
        </w:rPr>
      </w:pPr>
    </w:p>
    <w:p w14:paraId="39063964" w14:textId="77777777" w:rsidR="00AB714B" w:rsidRPr="00AB714B" w:rsidRDefault="00AB714B" w:rsidP="00F731E4">
      <w:pPr>
        <w:tabs>
          <w:tab w:val="left" w:pos="4962"/>
        </w:tabs>
        <w:spacing w:after="0" w:line="360" w:lineRule="auto"/>
        <w:rPr>
          <w:rFonts w:eastAsia="Calibri" w:cs="Tahoma"/>
          <w:iCs/>
          <w:lang w:val="es-ES" w:eastAsia="es-ES_tradnl"/>
        </w:rPr>
      </w:pPr>
      <w:r w:rsidRPr="00AB714B">
        <w:rPr>
          <w:rFonts w:eastAsia="Calibri" w:cs="Tahoma"/>
          <w:iCs/>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3ED4804E" w14:textId="77777777" w:rsidR="00AB714B" w:rsidRPr="00AB714B" w:rsidRDefault="00AB714B" w:rsidP="00F731E4">
      <w:pPr>
        <w:tabs>
          <w:tab w:val="left" w:pos="4962"/>
        </w:tabs>
        <w:spacing w:after="0" w:line="360" w:lineRule="auto"/>
        <w:rPr>
          <w:rFonts w:eastAsia="Calibri" w:cs="Tahoma"/>
          <w:iCs/>
          <w:lang w:val="es-ES" w:eastAsia="es-ES_tradnl"/>
        </w:rPr>
      </w:pPr>
    </w:p>
    <w:p w14:paraId="794AF50B" w14:textId="77777777" w:rsidR="00AB714B" w:rsidRPr="00AB714B" w:rsidRDefault="00AB714B" w:rsidP="0065684B">
      <w:pPr>
        <w:numPr>
          <w:ilvl w:val="0"/>
          <w:numId w:val="6"/>
        </w:numPr>
        <w:tabs>
          <w:tab w:val="left" w:pos="4962"/>
        </w:tabs>
        <w:spacing w:after="0" w:line="360" w:lineRule="auto"/>
        <w:ind w:left="709" w:hanging="436"/>
        <w:rPr>
          <w:rFonts w:eastAsia="Calibri" w:cs="Tahoma"/>
          <w:iCs/>
          <w:lang w:val="es-ES_tradnl" w:eastAsia="es-ES_tradnl"/>
        </w:rPr>
      </w:pPr>
      <w:r w:rsidRPr="00AB714B">
        <w:rPr>
          <w:rFonts w:eastAsia="Calibri" w:cs="Tahoma"/>
          <w:iCs/>
          <w:lang w:val="es-ES_tradnl" w:eastAsia="es-ES_tradnl"/>
        </w:rPr>
        <w:t>La divulgación de la información representa un riesgo real, demostrable e identificable de perjuicio significativo al interés público o a la seguridad nacional.</w:t>
      </w:r>
    </w:p>
    <w:p w14:paraId="4BA7967D" w14:textId="77777777" w:rsidR="00AB714B" w:rsidRPr="00AB714B" w:rsidRDefault="00AB714B" w:rsidP="00F731E4">
      <w:pPr>
        <w:tabs>
          <w:tab w:val="left" w:pos="4962"/>
        </w:tabs>
        <w:spacing w:after="0" w:line="360" w:lineRule="auto"/>
        <w:ind w:left="709"/>
        <w:rPr>
          <w:rFonts w:eastAsia="Calibri" w:cs="Tahoma"/>
          <w:iCs/>
          <w:lang w:val="es-ES_tradnl" w:eastAsia="es-ES_tradnl"/>
        </w:rPr>
      </w:pPr>
    </w:p>
    <w:p w14:paraId="77451E09" w14:textId="77777777" w:rsidR="00AB714B" w:rsidRPr="00AB714B" w:rsidRDefault="00AB714B" w:rsidP="0065684B">
      <w:pPr>
        <w:numPr>
          <w:ilvl w:val="0"/>
          <w:numId w:val="6"/>
        </w:numPr>
        <w:tabs>
          <w:tab w:val="left" w:pos="4962"/>
        </w:tabs>
        <w:spacing w:after="0" w:line="360" w:lineRule="auto"/>
        <w:ind w:left="709" w:hanging="436"/>
        <w:jc w:val="left"/>
        <w:rPr>
          <w:rFonts w:eastAsia="Calibri" w:cs="Tahoma"/>
          <w:iCs/>
          <w:lang w:val="es-ES_tradnl" w:eastAsia="es-ES_tradnl"/>
        </w:rPr>
      </w:pPr>
      <w:r w:rsidRPr="00AB714B">
        <w:rPr>
          <w:rFonts w:eastAsia="Calibri" w:cs="Tahoma"/>
          <w:iCs/>
          <w:lang w:val="es-ES_tradnl" w:eastAsia="es-ES_tradnl"/>
        </w:rPr>
        <w:t>El riesgo de perjuicio supera el interés público general de que se difunda.</w:t>
      </w:r>
    </w:p>
    <w:p w14:paraId="319E3D4D" w14:textId="77777777" w:rsidR="00AB714B" w:rsidRPr="00AB714B" w:rsidRDefault="00AB714B" w:rsidP="00F731E4">
      <w:pPr>
        <w:spacing w:after="0" w:line="360" w:lineRule="auto"/>
        <w:ind w:left="720"/>
        <w:contextualSpacing/>
        <w:rPr>
          <w:rFonts w:eastAsia="Calibri" w:cs="Tahoma"/>
          <w:iCs/>
          <w:szCs w:val="24"/>
          <w:lang w:val="es-ES_tradnl" w:eastAsia="es-ES_tradnl"/>
        </w:rPr>
      </w:pPr>
    </w:p>
    <w:p w14:paraId="1EA27A88" w14:textId="77777777" w:rsidR="00AB714B" w:rsidRPr="00AB714B" w:rsidRDefault="00AB714B" w:rsidP="0065684B">
      <w:pPr>
        <w:numPr>
          <w:ilvl w:val="0"/>
          <w:numId w:val="6"/>
        </w:numPr>
        <w:tabs>
          <w:tab w:val="left" w:pos="4962"/>
        </w:tabs>
        <w:spacing w:after="0" w:line="360" w:lineRule="auto"/>
        <w:ind w:left="709" w:hanging="436"/>
        <w:jc w:val="left"/>
        <w:rPr>
          <w:rFonts w:eastAsia="Calibri" w:cs="Tahoma"/>
          <w:iCs/>
          <w:lang w:val="es-ES_tradnl" w:eastAsia="es-ES_tradnl"/>
        </w:rPr>
      </w:pPr>
      <w:r w:rsidRPr="00AB714B">
        <w:rPr>
          <w:rFonts w:eastAsia="Calibri" w:cs="Tahoma"/>
          <w:iCs/>
          <w:lang w:val="es-ES_tradnl" w:eastAsia="es-ES_tradnl"/>
        </w:rPr>
        <w:t>Que la limitación se adecua al principio de proporcionalidad y representa el medio menos restrictivo disponible para evitar el perjuicio.</w:t>
      </w:r>
    </w:p>
    <w:p w14:paraId="36391A92" w14:textId="77777777" w:rsidR="00005124" w:rsidRDefault="00005124" w:rsidP="00F731E4">
      <w:pPr>
        <w:autoSpaceDE w:val="0"/>
        <w:autoSpaceDN w:val="0"/>
        <w:spacing w:after="0" w:line="360" w:lineRule="auto"/>
        <w:rPr>
          <w:rFonts w:eastAsia="Calibri" w:cs="Tahoma"/>
          <w:bCs/>
        </w:rPr>
      </w:pPr>
    </w:p>
    <w:p w14:paraId="697DBEDD" w14:textId="65F9AB9A" w:rsidR="00AB714B" w:rsidRPr="00AB714B" w:rsidRDefault="00AB714B" w:rsidP="00F731E4">
      <w:pPr>
        <w:autoSpaceDE w:val="0"/>
        <w:autoSpaceDN w:val="0"/>
        <w:spacing w:after="0" w:line="360" w:lineRule="auto"/>
        <w:rPr>
          <w:rFonts w:eastAsia="Times New Roman" w:cs="Tahoma"/>
          <w:lang w:eastAsia="es-ES"/>
        </w:rPr>
      </w:pPr>
      <w:r w:rsidRPr="00AB714B">
        <w:rPr>
          <w:rFonts w:eastAsia="Calibri" w:cs="Tahoma"/>
          <w:bCs/>
        </w:rPr>
        <w:t xml:space="preserve">Además, el artículo 125 de la Ley de la materia, establece </w:t>
      </w:r>
      <w:r w:rsidRPr="00AB714B">
        <w:rPr>
          <w:rFonts w:eastAsia="Times New Roman" w:cs="Tahoma"/>
          <w:bCs/>
          <w:lang w:eastAsia="es-E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AB714B">
        <w:rPr>
          <w:rFonts w:eastAsia="Times New Roman" w:cs="Tahoma"/>
          <w:lang w:eastAsia="es-ES"/>
        </w:rPr>
        <w:t>versiones públicas, deberá clasificar el nombre de los elementos operativos de la</w:t>
      </w:r>
      <w:r w:rsidRPr="00AB714B">
        <w:rPr>
          <w:rFonts w:eastAsia="Calibri" w:cs="Tahoma"/>
          <w:bCs/>
          <w:color w:val="000000"/>
        </w:rPr>
        <w:t xml:space="preserve"> Dirección de Seguridad </w:t>
      </w:r>
      <w:r w:rsidR="00C72C30">
        <w:rPr>
          <w:rFonts w:eastAsia="Calibri" w:cs="Tahoma"/>
          <w:bCs/>
          <w:color w:val="000000"/>
        </w:rPr>
        <w:t>Pública Municipal</w:t>
      </w:r>
      <w:r w:rsidRPr="00AB714B">
        <w:t>,</w:t>
      </w:r>
      <w:r w:rsidRPr="00AB714B">
        <w:rPr>
          <w:rFonts w:eastAsia="Times New Roman" w:cs="Tahoma"/>
          <w:lang w:eastAsia="es-ES"/>
        </w:rPr>
        <w:t xml:space="preserve"> de manera fundada y motivada, mediante la respectiva prueba de daño, y deberá proporcionar la información del personal administrativo y mandos medios y superiores de dicha área.</w:t>
      </w:r>
    </w:p>
    <w:p w14:paraId="18100A31" w14:textId="77777777" w:rsidR="00AB714B" w:rsidRPr="00AB714B" w:rsidRDefault="00AB714B" w:rsidP="00F731E4">
      <w:pPr>
        <w:tabs>
          <w:tab w:val="center" w:pos="4522"/>
        </w:tabs>
        <w:spacing w:after="0" w:line="360" w:lineRule="auto"/>
        <w:rPr>
          <w:color w:val="000000"/>
        </w:rPr>
      </w:pPr>
    </w:p>
    <w:p w14:paraId="48AEE137" w14:textId="44A13394" w:rsidR="00AB714B" w:rsidRPr="00C72C30" w:rsidRDefault="00AB714B" w:rsidP="00F731E4">
      <w:pPr>
        <w:spacing w:after="0" w:line="360" w:lineRule="auto"/>
        <w:ind w:right="-28"/>
        <w:rPr>
          <w:color w:val="000000"/>
        </w:rPr>
      </w:pPr>
      <w:r w:rsidRPr="00AB714B">
        <w:t>Por lo que, para atender el requerimiento deberá proporcionar los documentos solicitados en versión pública; p</w:t>
      </w:r>
      <w:r w:rsidRPr="00AB714B">
        <w:rPr>
          <w:color w:val="000000"/>
        </w:rPr>
        <w:t>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14F89FAE" w14:textId="77777777" w:rsidR="00D87ACE" w:rsidRPr="00BC47DA" w:rsidRDefault="00D87ACE" w:rsidP="00F731E4">
      <w:pPr>
        <w:spacing w:after="0" w:line="360" w:lineRule="auto"/>
        <w:ind w:right="-28"/>
        <w:contextualSpacing/>
        <w:rPr>
          <w:rFonts w:eastAsia="Times New Roman" w:cs="Times New Roman"/>
          <w:color w:val="auto"/>
          <w:lang w:eastAsia="es-ES"/>
        </w:rPr>
      </w:pPr>
    </w:p>
    <w:p w14:paraId="0CCF70E8" w14:textId="77777777" w:rsidR="00D1318A" w:rsidRPr="00BC47DA" w:rsidRDefault="00D1318A" w:rsidP="00F731E4">
      <w:pPr>
        <w:pStyle w:val="Ttulo2"/>
        <w:spacing w:before="0" w:after="0" w:line="360" w:lineRule="auto"/>
        <w:rPr>
          <w:sz w:val="22"/>
          <w:szCs w:val="22"/>
        </w:rPr>
      </w:pPr>
      <w:bookmarkStart w:id="15" w:name="_Toc199357595"/>
      <w:r w:rsidRPr="00BC47DA">
        <w:rPr>
          <w:sz w:val="22"/>
          <w:szCs w:val="22"/>
        </w:rPr>
        <w:t>SEXTO. Decisión</w:t>
      </w:r>
      <w:bookmarkEnd w:id="15"/>
    </w:p>
    <w:p w14:paraId="0D2B29DC" w14:textId="77777777" w:rsidR="00D1318A" w:rsidRPr="00BC47DA" w:rsidRDefault="00D1318A" w:rsidP="00F731E4">
      <w:pPr>
        <w:spacing w:after="0" w:line="360" w:lineRule="auto"/>
        <w:contextualSpacing/>
        <w:rPr>
          <w:rFonts w:eastAsia="Calibri" w:cs="Tahoma"/>
          <w:b/>
        </w:rPr>
      </w:pPr>
    </w:p>
    <w:p w14:paraId="1A92E2D0" w14:textId="03DD2F87" w:rsidR="00756D37" w:rsidRDefault="00D1318A" w:rsidP="00F731E4">
      <w:pPr>
        <w:spacing w:after="0" w:line="360" w:lineRule="auto"/>
      </w:pPr>
      <w:r w:rsidRPr="00BC47DA">
        <w:lastRenderedPageBreak/>
        <w:t xml:space="preserve">De acuerdo con lo expuesto y, con fundamento en el artículo 186, fracción III, de la Ley de Transparencia y Acceso a la Información Pública del Estado de México y Municipios, este Instituto considera procedente </w:t>
      </w:r>
      <w:r w:rsidR="00F02E9C" w:rsidRPr="00BC47DA">
        <w:rPr>
          <w:b/>
        </w:rPr>
        <w:t>MODIFICAR</w:t>
      </w:r>
      <w:r w:rsidRPr="00BC47DA">
        <w:rPr>
          <w:b/>
        </w:rPr>
        <w:t xml:space="preserve"> </w:t>
      </w:r>
      <w:r w:rsidRPr="00BC47DA">
        <w:t>la resp</w:t>
      </w:r>
      <w:r w:rsidR="00655068" w:rsidRPr="00BC47DA">
        <w:t xml:space="preserve">uesta del </w:t>
      </w:r>
      <w:r w:rsidR="00C72C30" w:rsidRPr="00C72C30">
        <w:rPr>
          <w:bCs/>
        </w:rPr>
        <w:t xml:space="preserve">Ayuntamiento de </w:t>
      </w:r>
      <w:r w:rsidR="002F7E7D">
        <w:rPr>
          <w:bCs/>
        </w:rPr>
        <w:t>Ayapango</w:t>
      </w:r>
      <w:r w:rsidRPr="00BC47DA">
        <w:rPr>
          <w:b/>
        </w:rPr>
        <w:t xml:space="preserve">, </w:t>
      </w:r>
      <w:r w:rsidRPr="00BC47DA">
        <w:t>a efecto de que previa búsqueda exha</w:t>
      </w:r>
      <w:r w:rsidR="00C3103D" w:rsidRPr="00BC47DA">
        <w:t xml:space="preserve">ustiva y razonable </w:t>
      </w:r>
      <w:r w:rsidR="00F731E4" w:rsidRPr="00BC47DA">
        <w:t>entregue,</w:t>
      </w:r>
      <w:r w:rsidR="00C72C30">
        <w:t xml:space="preserve"> en versión pública </w:t>
      </w:r>
      <w:r w:rsidR="00F731E4" w:rsidRPr="00BC47DA">
        <w:t>la</w:t>
      </w:r>
      <w:r w:rsidR="00F731E4">
        <w:t xml:space="preserve"> información</w:t>
      </w:r>
      <w:r w:rsidR="00C72C30">
        <w:t xml:space="preserve"> </w:t>
      </w:r>
      <w:r w:rsidR="009C1532">
        <w:t>faltante.</w:t>
      </w:r>
    </w:p>
    <w:p w14:paraId="14C6F0A9" w14:textId="77777777" w:rsidR="00F731E4" w:rsidRPr="00BC47DA" w:rsidRDefault="00F731E4" w:rsidP="00F731E4">
      <w:pPr>
        <w:spacing w:after="0" w:line="360" w:lineRule="auto"/>
      </w:pPr>
    </w:p>
    <w:p w14:paraId="0C829323" w14:textId="77777777" w:rsidR="00D1318A" w:rsidRPr="00BC47DA" w:rsidRDefault="00D1318A" w:rsidP="00F731E4">
      <w:pPr>
        <w:spacing w:after="0" w:line="360" w:lineRule="auto"/>
        <w:contextualSpacing/>
        <w:rPr>
          <w:rFonts w:eastAsia="Calibri" w:cs="Tahoma"/>
          <w:b/>
          <w:bCs/>
        </w:rPr>
      </w:pPr>
      <w:r w:rsidRPr="00BC47DA">
        <w:rPr>
          <w:rFonts w:eastAsia="Calibri" w:cs="Tahoma"/>
          <w:b/>
          <w:bCs/>
        </w:rPr>
        <w:t>Términos de la Resolución para conocimiento del Particular</w:t>
      </w:r>
    </w:p>
    <w:p w14:paraId="08535812" w14:textId="77777777" w:rsidR="00D1318A" w:rsidRPr="00BC47DA" w:rsidRDefault="00D1318A" w:rsidP="00F731E4">
      <w:pPr>
        <w:spacing w:after="0" w:line="360" w:lineRule="auto"/>
        <w:contextualSpacing/>
        <w:rPr>
          <w:rFonts w:eastAsia="Calibri" w:cs="Tahoma"/>
          <w:b/>
          <w:bCs/>
        </w:rPr>
      </w:pPr>
    </w:p>
    <w:p w14:paraId="378B69A1" w14:textId="74AA40DF" w:rsidR="000733DF" w:rsidRDefault="00D1318A" w:rsidP="00F731E4">
      <w:pPr>
        <w:spacing w:after="0" w:line="360" w:lineRule="auto"/>
      </w:pPr>
      <w:r w:rsidRPr="00BC47DA">
        <w:t xml:space="preserve">Se le hace del conocimiento a la persona Recurrente que, en el presente asunto, se le da la razón, pues </w:t>
      </w:r>
      <w:r w:rsidR="007943D4" w:rsidRPr="00BC47DA">
        <w:t xml:space="preserve">si bien </w:t>
      </w:r>
      <w:r w:rsidRPr="00BC47DA">
        <w:t>el Sujeto Obligado</w:t>
      </w:r>
      <w:r w:rsidR="007943D4" w:rsidRPr="00BC47DA">
        <w:t xml:space="preserve"> </w:t>
      </w:r>
      <w:r w:rsidR="00C72C30">
        <w:t>precisó hacer entrega de la información, la entregó de forma</w:t>
      </w:r>
      <w:r w:rsidR="00756D37" w:rsidRPr="00BC47DA">
        <w:t xml:space="preserve"> ilegible e incomprensible, </w:t>
      </w:r>
      <w:r w:rsidRPr="00BC47DA">
        <w:t>por lo que, deberá hacer la entre</w:t>
      </w:r>
      <w:r w:rsidR="00655068" w:rsidRPr="00BC47DA">
        <w:t>ga de la información</w:t>
      </w:r>
      <w:r w:rsidR="00C3103D" w:rsidRPr="00BC47DA">
        <w:t xml:space="preserve"> solicitada</w:t>
      </w:r>
      <w:r w:rsidR="007943D4" w:rsidRPr="00BC47DA">
        <w:t xml:space="preserve">. </w:t>
      </w:r>
    </w:p>
    <w:p w14:paraId="6816C1DE" w14:textId="77777777" w:rsidR="00005124" w:rsidRDefault="00005124" w:rsidP="00F731E4">
      <w:pPr>
        <w:spacing w:after="0" w:line="360" w:lineRule="auto"/>
      </w:pPr>
    </w:p>
    <w:p w14:paraId="5FAA0531" w14:textId="77777777" w:rsidR="00005124" w:rsidRPr="005A4A25" w:rsidRDefault="00005124" w:rsidP="00005124">
      <w:pPr>
        <w:autoSpaceDE w:val="0"/>
        <w:autoSpaceDN w:val="0"/>
        <w:adjustRightInd w:val="0"/>
        <w:spacing w:line="360" w:lineRule="auto"/>
        <w:contextualSpacing/>
        <w:rPr>
          <w:rFonts w:eastAsia="Calibri" w:cs="Tahoma"/>
          <w:bCs/>
          <w:lang w:eastAsia="en-US"/>
        </w:rPr>
      </w:pPr>
      <w:r w:rsidRPr="005A4A25">
        <w:rPr>
          <w:rFonts w:eastAsia="Calibri" w:cs="Tahoma"/>
          <w:bCs/>
          <w:iCs/>
          <w:lang w:eastAsia="en-US"/>
        </w:rPr>
        <w:t>Finalmente, se le informa que la labor del Instituto de Transparencia, Acceso a la Información Pública y Protección de Datos Personales del Estado de México y Municipios, por una parte, es apoyar a la población a acceder a la información pública y, por otra parte, garantizar la protección de los datos personales.</w:t>
      </w:r>
    </w:p>
    <w:p w14:paraId="7A1DD823" w14:textId="77777777" w:rsidR="00005124" w:rsidRPr="00BC47DA" w:rsidRDefault="00005124" w:rsidP="00F731E4">
      <w:pPr>
        <w:spacing w:after="0" w:line="360" w:lineRule="auto"/>
      </w:pPr>
    </w:p>
    <w:p w14:paraId="1C805ED0" w14:textId="77777777" w:rsidR="00D1318A" w:rsidRPr="00BC47DA" w:rsidRDefault="00D1318A" w:rsidP="00F731E4">
      <w:pPr>
        <w:spacing w:after="0" w:line="360" w:lineRule="auto"/>
        <w:contextualSpacing/>
        <w:rPr>
          <w:rFonts w:eastAsia="Calibri"/>
        </w:rPr>
      </w:pPr>
      <w:r w:rsidRPr="00BC47DA">
        <w:rPr>
          <w:rFonts w:eastAsia="Calibri"/>
        </w:rPr>
        <w:t>Por lo expuesto y fundado, este Pleno:</w:t>
      </w:r>
    </w:p>
    <w:p w14:paraId="7E4B6E8F" w14:textId="77777777" w:rsidR="00057905" w:rsidRPr="00BC47DA" w:rsidRDefault="00057905" w:rsidP="00F731E4">
      <w:pPr>
        <w:spacing w:after="0" w:line="360" w:lineRule="auto"/>
        <w:contextualSpacing/>
        <w:rPr>
          <w:rFonts w:eastAsia="Calibri"/>
        </w:rPr>
      </w:pPr>
    </w:p>
    <w:p w14:paraId="4969F2B6" w14:textId="77777777" w:rsidR="00D1318A" w:rsidRPr="00BC47DA" w:rsidRDefault="00D1318A" w:rsidP="00F731E4">
      <w:pPr>
        <w:pStyle w:val="Ttulo1"/>
        <w:spacing w:before="0" w:after="0" w:line="360" w:lineRule="auto"/>
        <w:jc w:val="center"/>
        <w:rPr>
          <w:sz w:val="22"/>
          <w:szCs w:val="22"/>
        </w:rPr>
      </w:pPr>
      <w:bookmarkStart w:id="16" w:name="_Toc199357596"/>
      <w:r w:rsidRPr="00BC47DA">
        <w:rPr>
          <w:sz w:val="22"/>
          <w:szCs w:val="22"/>
        </w:rPr>
        <w:t>R E S U E L V E</w:t>
      </w:r>
      <w:bookmarkEnd w:id="16"/>
    </w:p>
    <w:p w14:paraId="00911B7E" w14:textId="77777777" w:rsidR="00D1318A" w:rsidRPr="00BC47DA" w:rsidRDefault="00D1318A" w:rsidP="00F731E4">
      <w:pPr>
        <w:spacing w:after="0" w:line="360" w:lineRule="auto"/>
        <w:contextualSpacing/>
        <w:rPr>
          <w:rFonts w:eastAsia="Calibri"/>
          <w:b/>
          <w:bCs/>
        </w:rPr>
      </w:pPr>
    </w:p>
    <w:p w14:paraId="43B950BB" w14:textId="319B88A3" w:rsidR="00C01239" w:rsidRPr="00C01239" w:rsidRDefault="00C01239" w:rsidP="00F731E4">
      <w:pPr>
        <w:spacing w:after="0" w:line="360" w:lineRule="auto"/>
        <w:contextualSpacing/>
        <w:rPr>
          <w:bCs/>
        </w:rPr>
      </w:pPr>
      <w:r w:rsidRPr="00C01239">
        <w:rPr>
          <w:rFonts w:cs="Tahoma"/>
          <w:b/>
          <w:bCs/>
        </w:rPr>
        <w:t xml:space="preserve">PRIMERO. </w:t>
      </w:r>
      <w:r w:rsidRPr="00C01239">
        <w:rPr>
          <w:rFonts w:cs="Tahoma"/>
          <w:bCs/>
        </w:rPr>
        <w:t xml:space="preserve">Se </w:t>
      </w:r>
      <w:r w:rsidRPr="00C01239">
        <w:rPr>
          <w:rFonts w:cs="Tahoma"/>
          <w:b/>
          <w:bCs/>
        </w:rPr>
        <w:t xml:space="preserve">MODIFICA </w:t>
      </w:r>
      <w:r w:rsidRPr="00C01239">
        <w:rPr>
          <w:rFonts w:cs="Tahoma"/>
          <w:bCs/>
        </w:rPr>
        <w:t xml:space="preserve">la respuesta entregada por el Ayuntamiento de </w:t>
      </w:r>
      <w:r w:rsidR="002F7E7D">
        <w:rPr>
          <w:rFonts w:cs="Tahoma"/>
          <w:bCs/>
        </w:rPr>
        <w:t>Ayapango</w:t>
      </w:r>
      <w:r w:rsidRPr="00C01239">
        <w:rPr>
          <w:rFonts w:cs="Tahoma"/>
          <w:bCs/>
        </w:rPr>
        <w:t>, a la solicitud de información</w:t>
      </w:r>
      <w:r w:rsidRPr="00C01239">
        <w:t xml:space="preserve"> </w:t>
      </w:r>
      <w:r w:rsidR="002F7E7D">
        <w:t>00048</w:t>
      </w:r>
      <w:r w:rsidRPr="00C01239">
        <w:t>/</w:t>
      </w:r>
      <w:r w:rsidR="002F7E7D">
        <w:t>AYAPANGO</w:t>
      </w:r>
      <w:r w:rsidRPr="00C01239">
        <w:t>/IP/2025</w:t>
      </w:r>
      <w:r w:rsidRPr="00C01239">
        <w:rPr>
          <w:bCs/>
        </w:rPr>
        <w:t xml:space="preserve">, por resultar </w:t>
      </w:r>
      <w:r w:rsidRPr="00C01239">
        <w:rPr>
          <w:b/>
          <w:bCs/>
        </w:rPr>
        <w:t>FUNDADAS</w:t>
      </w:r>
      <w:r w:rsidRPr="00C01239">
        <w:rPr>
          <w:rFonts w:cs="Tahoma"/>
          <w:b/>
          <w:bCs/>
        </w:rPr>
        <w:t xml:space="preserve"> </w:t>
      </w:r>
      <w:r w:rsidRPr="00C01239">
        <w:rPr>
          <w:rFonts w:eastAsia="Calibri" w:cs="Tahoma"/>
          <w:bCs/>
        </w:rPr>
        <w:t>las razones o motivos de inconformidad hechos valer por el Recurrente</w:t>
      </w:r>
      <w:r w:rsidRPr="00C01239">
        <w:rPr>
          <w:rFonts w:cs="Tahoma"/>
          <w:bCs/>
        </w:rPr>
        <w:t xml:space="preserve">, </w:t>
      </w:r>
      <w:r w:rsidRPr="00C01239">
        <w:rPr>
          <w:rFonts w:eastAsia="Calibri" w:cs="Tahoma"/>
          <w:bCs/>
        </w:rPr>
        <w:t>en términos de los considerandos QUINTO y SEXTO de la presente Resolución.</w:t>
      </w:r>
    </w:p>
    <w:p w14:paraId="375AEE46" w14:textId="77777777" w:rsidR="00C01239" w:rsidRPr="00C01239" w:rsidRDefault="00C01239" w:rsidP="00F731E4">
      <w:pPr>
        <w:spacing w:after="0" w:line="360" w:lineRule="auto"/>
        <w:contextualSpacing/>
        <w:rPr>
          <w:rFonts w:eastAsia="Times New Roman" w:cs="Tahoma"/>
          <w:bCs/>
          <w:lang w:eastAsia="es-ES"/>
        </w:rPr>
      </w:pPr>
    </w:p>
    <w:p w14:paraId="3673D330" w14:textId="329EC2D3" w:rsidR="00C01239" w:rsidRPr="00C01239" w:rsidRDefault="00C01239" w:rsidP="00F731E4">
      <w:pPr>
        <w:spacing w:after="0" w:line="360" w:lineRule="auto"/>
      </w:pPr>
      <w:r w:rsidRPr="00C01239">
        <w:rPr>
          <w:rFonts w:cs="Tahoma"/>
          <w:b/>
          <w:bCs/>
        </w:rPr>
        <w:t xml:space="preserve">SEGUNDO. </w:t>
      </w:r>
      <w:r w:rsidRPr="00C01239">
        <w:t xml:space="preserve">Se </w:t>
      </w:r>
      <w:r w:rsidRPr="00C01239">
        <w:rPr>
          <w:b/>
        </w:rPr>
        <w:t>ORDENA</w:t>
      </w:r>
      <w:r w:rsidRPr="00C01239">
        <w:t xml:space="preserve"> al Ente Recurrido</w:t>
      </w:r>
      <w:r w:rsidRPr="00C01239">
        <w:rPr>
          <w:b/>
        </w:rPr>
        <w:t xml:space="preserve">, </w:t>
      </w:r>
      <w:r w:rsidRPr="00C01239">
        <w:t xml:space="preserve">a efecto de que previa búsqueda exhaustiva y razonable, en los archivos de las unidades administrativas competentes, entregue a través del Sistema de Acceso a la Información Mexiquense (SAIMEX), en versión pública, </w:t>
      </w:r>
      <w:r w:rsidR="007A7945">
        <w:t xml:space="preserve">en formato “.xlsx” o en aquel en que se haya generado, </w:t>
      </w:r>
      <w:r w:rsidRPr="00C01239">
        <w:t>lo siguiente:</w:t>
      </w:r>
    </w:p>
    <w:p w14:paraId="1479B786" w14:textId="77777777" w:rsidR="00C01239" w:rsidRPr="00C01239" w:rsidRDefault="00C01239" w:rsidP="00F731E4">
      <w:pPr>
        <w:spacing w:after="0" w:line="360" w:lineRule="auto"/>
      </w:pPr>
    </w:p>
    <w:p w14:paraId="1C82566A" w14:textId="40333A2B" w:rsidR="00C01239" w:rsidRPr="00C01239" w:rsidRDefault="00C01239" w:rsidP="0065684B">
      <w:pPr>
        <w:numPr>
          <w:ilvl w:val="0"/>
          <w:numId w:val="8"/>
        </w:numPr>
        <w:spacing w:after="0" w:line="360" w:lineRule="auto"/>
        <w:contextualSpacing/>
        <w:rPr>
          <w:rFonts w:eastAsia="Times New Roman" w:cs="Times New Roman"/>
          <w:color w:val="000000"/>
          <w:szCs w:val="24"/>
          <w:lang w:eastAsia="es-ES"/>
        </w:rPr>
      </w:pPr>
      <w:r w:rsidRPr="00C01239">
        <w:rPr>
          <w:rFonts w:eastAsia="Times New Roman" w:cs="Tahoma"/>
          <w:szCs w:val="24"/>
          <w:lang w:eastAsia="es-ES"/>
        </w:rPr>
        <w:t xml:space="preserve">La conciliación de nómina de todos los servidores públicos </w:t>
      </w:r>
      <w:r w:rsidR="00F53CF7">
        <w:rPr>
          <w:rFonts w:eastAsia="Times New Roman" w:cs="Tahoma"/>
          <w:szCs w:val="24"/>
          <w:lang w:eastAsia="es-ES"/>
        </w:rPr>
        <w:t xml:space="preserve">adscritos al Ayuntamiento, </w:t>
      </w:r>
      <w:r w:rsidRPr="00C01239">
        <w:rPr>
          <w:rFonts w:eastAsia="Times New Roman" w:cs="Tahoma"/>
          <w:szCs w:val="24"/>
          <w:lang w:eastAsia="es-ES"/>
        </w:rPr>
        <w:t xml:space="preserve">de la </w:t>
      </w:r>
      <w:r w:rsidR="007A7945">
        <w:rPr>
          <w:rFonts w:eastAsia="Times New Roman" w:cs="Tahoma"/>
          <w:szCs w:val="24"/>
          <w:lang w:eastAsia="es-ES"/>
        </w:rPr>
        <w:t xml:space="preserve">primera y </w:t>
      </w:r>
      <w:r w:rsidRPr="00C01239">
        <w:rPr>
          <w:rFonts w:eastAsia="Times New Roman" w:cs="Tahoma"/>
          <w:szCs w:val="24"/>
          <w:lang w:eastAsia="es-ES"/>
        </w:rPr>
        <w:t xml:space="preserve">segunda quincena de abril de dos mil </w:t>
      </w:r>
      <w:r w:rsidR="00F04516" w:rsidRPr="00C01239">
        <w:rPr>
          <w:rFonts w:eastAsia="Times New Roman" w:cs="Tahoma"/>
          <w:szCs w:val="24"/>
          <w:lang w:eastAsia="es-ES"/>
        </w:rPr>
        <w:t>veinticinco</w:t>
      </w:r>
      <w:r w:rsidR="00F04516">
        <w:rPr>
          <w:rFonts w:eastAsia="Times New Roman" w:cs="Tahoma"/>
          <w:szCs w:val="24"/>
          <w:lang w:eastAsia="es-ES"/>
        </w:rPr>
        <w:t>.</w:t>
      </w:r>
    </w:p>
    <w:p w14:paraId="4F39E5F7" w14:textId="77777777" w:rsidR="00C01239" w:rsidRPr="00C01239" w:rsidRDefault="00C01239" w:rsidP="00F731E4">
      <w:pPr>
        <w:spacing w:after="0" w:line="360" w:lineRule="auto"/>
        <w:ind w:left="720"/>
        <w:contextualSpacing/>
        <w:rPr>
          <w:rFonts w:eastAsia="Times New Roman" w:cs="Times New Roman"/>
          <w:color w:val="000000"/>
          <w:szCs w:val="24"/>
          <w:lang w:eastAsia="es-ES"/>
        </w:rPr>
      </w:pPr>
    </w:p>
    <w:p w14:paraId="7B381D2D" w14:textId="77777777" w:rsidR="00C01239" w:rsidRPr="00C01239" w:rsidRDefault="00C01239" w:rsidP="00F731E4">
      <w:pPr>
        <w:spacing w:after="0" w:line="360" w:lineRule="auto"/>
        <w:rPr>
          <w:rFonts w:cs="Tahoma"/>
          <w:bCs/>
          <w:iCs/>
          <w:lang w:eastAsia="es-ES"/>
        </w:rPr>
      </w:pPr>
      <w:r w:rsidRPr="00C01239">
        <w:rPr>
          <w:color w:val="000000"/>
        </w:rPr>
        <w:t xml:space="preserve">Además, </w:t>
      </w:r>
      <w:r w:rsidRPr="00C01239">
        <w:rPr>
          <w:rFonts w:cs="Tahoma"/>
          <w:bCs/>
          <w:iCs/>
          <w:lang w:eastAsia="es-ES"/>
        </w:rPr>
        <w:t>deberá proporcionar el Acuerdo de Clasificación donde el Comité de Transparencia, confirme la eliminación de los datos o información clasificada, en la versión pública, en términos del Considerando QUINTO, de conformidad con los artículos 49, fracciones II y VIII y 132, fracción II de la Ley de Transparencia y Acceso a la Información Pública del Estado de México y Municipios.</w:t>
      </w:r>
    </w:p>
    <w:p w14:paraId="32C44F7E" w14:textId="77777777" w:rsidR="00C01239" w:rsidRPr="00C01239" w:rsidRDefault="00C01239" w:rsidP="00F731E4">
      <w:pPr>
        <w:spacing w:after="0" w:line="360" w:lineRule="auto"/>
        <w:ind w:right="-91"/>
        <w:contextualSpacing/>
        <w:rPr>
          <w:rFonts w:eastAsia="Calibri" w:cs="Tahoma"/>
          <w:b/>
          <w:bCs/>
        </w:rPr>
      </w:pPr>
    </w:p>
    <w:p w14:paraId="302A7043" w14:textId="77777777" w:rsidR="00C01239" w:rsidRPr="00C01239" w:rsidRDefault="00C01239" w:rsidP="00F731E4">
      <w:pPr>
        <w:spacing w:after="0" w:line="360" w:lineRule="auto"/>
        <w:ind w:right="-28"/>
        <w:contextualSpacing/>
        <w:rPr>
          <w:rFonts w:cs="Tahoma"/>
          <w:bCs/>
          <w:iCs/>
        </w:rPr>
      </w:pPr>
      <w:r w:rsidRPr="00C01239">
        <w:rPr>
          <w:rFonts w:eastAsia="Calibri" w:cs="Tahoma"/>
          <w:b/>
          <w:bCs/>
        </w:rPr>
        <w:t xml:space="preserve">TERCERO. </w:t>
      </w:r>
      <w:r w:rsidRPr="00C01239">
        <w:rPr>
          <w:rFonts w:cs="Tahoma"/>
          <w:b/>
          <w:bCs/>
          <w:iCs/>
        </w:rPr>
        <w:t xml:space="preserve">NOTIFÍQUESE POR SAIMEX </w:t>
      </w:r>
      <w:r w:rsidRPr="00C01239">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67218BDC" w14:textId="77777777" w:rsidR="00C01239" w:rsidRPr="00C01239" w:rsidRDefault="00C01239" w:rsidP="00F731E4">
      <w:pPr>
        <w:spacing w:after="0" w:line="360" w:lineRule="auto"/>
        <w:ind w:right="-28"/>
        <w:contextualSpacing/>
        <w:rPr>
          <w:rFonts w:cs="Tahoma"/>
          <w:bCs/>
          <w:iCs/>
        </w:rPr>
      </w:pPr>
    </w:p>
    <w:p w14:paraId="0CFF68BE" w14:textId="77777777" w:rsidR="00C01239" w:rsidRPr="00C01239" w:rsidRDefault="00C01239" w:rsidP="00F731E4">
      <w:pPr>
        <w:spacing w:after="0" w:line="360" w:lineRule="auto"/>
        <w:ind w:right="-28"/>
        <w:contextualSpacing/>
        <w:rPr>
          <w:rFonts w:eastAsia="Calibri" w:cs="Tahoma"/>
          <w:iCs/>
          <w:color w:val="000000"/>
        </w:rPr>
      </w:pPr>
      <w:r w:rsidRPr="00C01239">
        <w:rPr>
          <w:rFonts w:eastAsia="Calibri" w:cs="Tahoma"/>
          <w:iCs/>
          <w:color w:val="000000"/>
        </w:rPr>
        <w:lastRenderedPageBreak/>
        <w:t>De conformidad con el artículo 198 de la Ley de la materia, de considerarlo procedente, el Sujeto Obligado de manera fundada y motivada, podrá solicitar una ampliación de plazo para el cumplimiento de la presente resolución.</w:t>
      </w:r>
    </w:p>
    <w:p w14:paraId="3D61F121" w14:textId="77777777" w:rsidR="00C01239" w:rsidRPr="00C01239" w:rsidRDefault="00C01239" w:rsidP="00F731E4">
      <w:pPr>
        <w:spacing w:after="0" w:line="360" w:lineRule="auto"/>
        <w:contextualSpacing/>
        <w:rPr>
          <w:rFonts w:eastAsia="Calibri" w:cs="Tahoma"/>
          <w:color w:val="000000"/>
          <w:lang w:val="es-ES"/>
        </w:rPr>
      </w:pPr>
    </w:p>
    <w:p w14:paraId="716C49FD" w14:textId="77777777" w:rsidR="00C01239" w:rsidRPr="00C01239" w:rsidRDefault="00C01239" w:rsidP="00F731E4">
      <w:pPr>
        <w:spacing w:after="0" w:line="360" w:lineRule="auto"/>
        <w:contextualSpacing/>
        <w:rPr>
          <w:rFonts w:eastAsia="Times New Roman" w:cs="Tahoma"/>
          <w:lang w:eastAsia="es-ES"/>
        </w:rPr>
      </w:pPr>
      <w:r w:rsidRPr="00C01239">
        <w:rPr>
          <w:rFonts w:eastAsia="Calibri" w:cs="Tahoma"/>
          <w:b/>
        </w:rPr>
        <w:t>CUARTO</w:t>
      </w:r>
      <w:r w:rsidRPr="00C01239">
        <w:rPr>
          <w:rFonts w:eastAsia="Calibri" w:cs="Tahoma"/>
          <w:b/>
          <w:bCs/>
        </w:rPr>
        <w:t xml:space="preserve">. </w:t>
      </w:r>
      <w:r w:rsidRPr="00C01239">
        <w:rPr>
          <w:rFonts w:cs="Tahoma"/>
          <w:b/>
        </w:rPr>
        <w:t>NOTIFÍQUESE POR SAIMEX</w:t>
      </w:r>
      <w:r w:rsidRPr="00C01239">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25F684B" w14:textId="77777777" w:rsidR="00C01239" w:rsidRPr="00C01239" w:rsidRDefault="00C01239" w:rsidP="00F731E4">
      <w:pPr>
        <w:spacing w:after="0" w:line="360" w:lineRule="auto"/>
        <w:contextualSpacing/>
        <w:rPr>
          <w:rFonts w:cs="Arial"/>
          <w:b/>
          <w:bCs/>
        </w:rPr>
      </w:pPr>
    </w:p>
    <w:p w14:paraId="0130E8FB" w14:textId="168810F0" w:rsidR="00C01239" w:rsidRPr="00C01239" w:rsidRDefault="00C01239" w:rsidP="00F731E4">
      <w:pPr>
        <w:spacing w:after="0" w:line="360" w:lineRule="auto"/>
        <w:contextualSpacing/>
        <w:rPr>
          <w:rFonts w:cs="Tahoma"/>
          <w:b/>
          <w:bCs/>
        </w:rPr>
      </w:pPr>
      <w:r w:rsidRPr="00C01239">
        <w:rPr>
          <w:rFonts w:eastAsia="Calibri" w:cs="Tahoma"/>
          <w:bCs/>
        </w:rPr>
        <w:t>ASÍ LO RESUELVE, POR </w:t>
      </w:r>
      <w:r w:rsidRPr="00C01239">
        <w:rPr>
          <w:rFonts w:eastAsia="Calibri" w:cs="Tahoma"/>
          <w:b/>
          <w:bCs/>
        </w:rPr>
        <w:t>UNANIMIDAD</w:t>
      </w:r>
      <w:r w:rsidRPr="00C01239">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005124">
        <w:rPr>
          <w:rFonts w:eastAsia="Calibri" w:cs="Tahoma"/>
          <w:bCs/>
        </w:rPr>
        <w:t xml:space="preserve">CON VOTO PARTICULAR </w:t>
      </w:r>
      <w:r w:rsidRPr="00C01239">
        <w:rPr>
          <w:rFonts w:eastAsia="Calibri" w:cs="Tahoma"/>
          <w:bCs/>
        </w:rPr>
        <w:t>Y GUADALUPE RAMÍREZ PEÑA</w:t>
      </w:r>
      <w:r w:rsidR="00005124">
        <w:rPr>
          <w:rFonts w:eastAsia="Calibri" w:cs="Tahoma"/>
          <w:bCs/>
        </w:rPr>
        <w:t xml:space="preserve"> CON VOTO PARTICULAR</w:t>
      </w:r>
      <w:r w:rsidRPr="00C01239">
        <w:rPr>
          <w:rFonts w:eastAsia="Calibri" w:cs="Tahoma"/>
          <w:bCs/>
        </w:rPr>
        <w:t xml:space="preserve">, EN LA </w:t>
      </w:r>
      <w:r w:rsidR="007A7945">
        <w:rPr>
          <w:rFonts w:eastAsia="Calibri" w:cs="Tahoma"/>
          <w:bCs/>
        </w:rPr>
        <w:t xml:space="preserve">TRIGÉSIMA </w:t>
      </w:r>
      <w:r w:rsidR="00005124">
        <w:rPr>
          <w:rFonts w:eastAsia="Calibri" w:cs="Tahoma"/>
          <w:bCs/>
        </w:rPr>
        <w:t>OCTAVA</w:t>
      </w:r>
      <w:r w:rsidRPr="00C01239">
        <w:rPr>
          <w:rFonts w:eastAsia="Calibri" w:cs="Tahoma"/>
          <w:bCs/>
        </w:rPr>
        <w:t xml:space="preserve"> SESIÓN ORDINARIA, CELEBRADA EL </w:t>
      </w:r>
      <w:r w:rsidR="007A7945">
        <w:rPr>
          <w:rFonts w:eastAsia="Calibri" w:cs="Tahoma"/>
          <w:bCs/>
        </w:rPr>
        <w:t>VEINTIDÓS DE OCTUBR</w:t>
      </w:r>
      <w:r w:rsidR="00B74EA2">
        <w:rPr>
          <w:rFonts w:eastAsia="Calibri" w:cs="Tahoma"/>
          <w:bCs/>
        </w:rPr>
        <w:t>E</w:t>
      </w:r>
      <w:r w:rsidRPr="00C01239">
        <w:rPr>
          <w:rFonts w:eastAsia="Calibri" w:cs="Tahoma"/>
          <w:bCs/>
        </w:rPr>
        <w:t xml:space="preserve"> DE DOS MIL VEINTICINCO, ANTE EL SECRETARIO TÉCNICO DEL PLENO, ALEXIS TAPIA RAMÍREZ.</w:t>
      </w:r>
    </w:p>
    <w:p w14:paraId="1FFCF4F3" w14:textId="77777777" w:rsidR="00B02499" w:rsidRDefault="00B02499" w:rsidP="00F731E4">
      <w:pPr>
        <w:spacing w:after="0" w:line="360" w:lineRule="auto"/>
        <w:rPr>
          <w:rFonts w:eastAsia="Calibri" w:cs="Times New Roman"/>
          <w:b/>
          <w:bCs/>
        </w:rPr>
      </w:pPr>
    </w:p>
    <w:p w14:paraId="654C889D" w14:textId="77777777" w:rsidR="00B02499" w:rsidRPr="00681B34" w:rsidRDefault="00B02499" w:rsidP="00F731E4">
      <w:pPr>
        <w:spacing w:after="0" w:line="360" w:lineRule="auto"/>
        <w:rPr>
          <w:rFonts w:eastAsia="Calibri" w:cs="Times New Roman"/>
          <w:b/>
          <w:bCs/>
        </w:rPr>
      </w:pPr>
    </w:p>
    <w:p w14:paraId="097C707A" w14:textId="77777777" w:rsidR="004A10B0" w:rsidRDefault="004A10B0" w:rsidP="00F731E4">
      <w:pPr>
        <w:spacing w:after="0" w:line="360" w:lineRule="auto"/>
        <w:contextualSpacing/>
        <w:rPr>
          <w:rFonts w:eastAsia="Calibri" w:cs="Times New Roman"/>
          <w:color w:val="000000"/>
        </w:rPr>
      </w:pPr>
    </w:p>
    <w:p w14:paraId="3677DBED" w14:textId="77777777" w:rsidR="004A10B0" w:rsidRDefault="004A10B0" w:rsidP="00F731E4">
      <w:pPr>
        <w:spacing w:after="0" w:line="360" w:lineRule="auto"/>
        <w:contextualSpacing/>
        <w:rPr>
          <w:color w:val="000000"/>
        </w:rPr>
      </w:pPr>
    </w:p>
    <w:p w14:paraId="74E8DB3F" w14:textId="77777777" w:rsidR="00C556AB" w:rsidRDefault="00C556AB" w:rsidP="00F731E4">
      <w:pPr>
        <w:spacing w:after="0" w:line="360" w:lineRule="auto"/>
      </w:pPr>
    </w:p>
    <w:p w14:paraId="1A555613" w14:textId="77777777" w:rsidR="00023BBD" w:rsidRPr="00E64957" w:rsidRDefault="00023BBD" w:rsidP="00F731E4">
      <w:pPr>
        <w:spacing w:after="0" w:line="360" w:lineRule="auto"/>
      </w:pPr>
    </w:p>
    <w:p w14:paraId="2DB71CAF" w14:textId="49BEE08C" w:rsidR="001D4F21" w:rsidRDefault="001D4F21" w:rsidP="00F731E4">
      <w:pPr>
        <w:spacing w:after="0" w:line="360" w:lineRule="auto"/>
        <w:rPr>
          <w:color w:val="000000"/>
        </w:rPr>
      </w:pPr>
    </w:p>
    <w:p w14:paraId="38B4EF2E" w14:textId="77777777" w:rsidR="001D4F21" w:rsidRDefault="001D4F21" w:rsidP="00F731E4">
      <w:pPr>
        <w:spacing w:after="0" w:line="360" w:lineRule="auto"/>
        <w:rPr>
          <w:color w:val="000000"/>
        </w:rPr>
      </w:pPr>
    </w:p>
    <w:p w14:paraId="4201A0A0" w14:textId="77777777" w:rsidR="00E864E9" w:rsidRDefault="00E864E9" w:rsidP="00F731E4">
      <w:pPr>
        <w:tabs>
          <w:tab w:val="right" w:pos="8931"/>
        </w:tabs>
        <w:spacing w:after="0" w:line="360" w:lineRule="auto"/>
      </w:pPr>
    </w:p>
    <w:p w14:paraId="543728D1" w14:textId="77777777" w:rsidR="00E864E9" w:rsidRDefault="00E864E9" w:rsidP="00F731E4">
      <w:pPr>
        <w:tabs>
          <w:tab w:val="right" w:pos="8931"/>
        </w:tabs>
        <w:spacing w:after="0" w:line="360" w:lineRule="auto"/>
      </w:pPr>
    </w:p>
    <w:p w14:paraId="0E4439D0" w14:textId="5248D3C9" w:rsidR="007B58B9" w:rsidRDefault="007B58B9" w:rsidP="00F731E4">
      <w:pPr>
        <w:spacing w:after="0" w:line="360" w:lineRule="auto"/>
      </w:pPr>
    </w:p>
    <w:p w14:paraId="26916C77" w14:textId="77777777" w:rsidR="00A37EDE" w:rsidRPr="007B58B9" w:rsidRDefault="00A37EDE" w:rsidP="00F731E4">
      <w:pPr>
        <w:spacing w:after="0" w:line="360" w:lineRule="auto"/>
      </w:pPr>
    </w:p>
    <w:sectPr w:rsidR="00A37EDE" w:rsidRPr="007B58B9" w:rsidSect="000B49C4">
      <w:headerReference w:type="even" r:id="rId16"/>
      <w:headerReference w:type="default" r:id="rId17"/>
      <w:footerReference w:type="even" r:id="rId18"/>
      <w:footerReference w:type="default" r:id="rId19"/>
      <w:headerReference w:type="first" r:id="rId20"/>
      <w:footerReference w:type="first" r:id="rId21"/>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7E492" w14:textId="77777777" w:rsidR="00B16BBA" w:rsidRDefault="00B16BBA">
      <w:pPr>
        <w:spacing w:after="0" w:line="240" w:lineRule="auto"/>
      </w:pPr>
      <w:r>
        <w:separator/>
      </w:r>
    </w:p>
  </w:endnote>
  <w:endnote w:type="continuationSeparator" w:id="0">
    <w:p w14:paraId="520F98DF" w14:textId="77777777" w:rsidR="00B16BBA" w:rsidRDefault="00B16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A96FB6" w:rsidRDefault="00A96FB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A0572">
      <w:rPr>
        <w:b/>
        <w:noProof/>
        <w:color w:val="000000"/>
        <w:sz w:val="24"/>
        <w:szCs w:val="24"/>
      </w:rPr>
      <w:t>44</w:t>
    </w:r>
    <w:r>
      <w:rPr>
        <w:b/>
        <w:color w:val="000000"/>
        <w:sz w:val="24"/>
        <w:szCs w:val="24"/>
      </w:rPr>
      <w:fldChar w:fldCharType="end"/>
    </w:r>
  </w:p>
  <w:p w14:paraId="7EB9860B" w14:textId="77777777" w:rsidR="00A96FB6" w:rsidRDefault="00A96FB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A96FB6" w:rsidRDefault="00A96FB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A0572">
      <w:rPr>
        <w:b/>
        <w:noProof/>
        <w:color w:val="000000"/>
        <w:sz w:val="24"/>
        <w:szCs w:val="24"/>
      </w:rPr>
      <w:t>43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A0572">
      <w:rPr>
        <w:b/>
        <w:noProof/>
        <w:color w:val="000000"/>
        <w:sz w:val="24"/>
        <w:szCs w:val="24"/>
      </w:rPr>
      <w:t>44</w:t>
    </w:r>
    <w:r>
      <w:rPr>
        <w:b/>
        <w:color w:val="000000"/>
        <w:sz w:val="24"/>
        <w:szCs w:val="24"/>
      </w:rPr>
      <w:fldChar w:fldCharType="end"/>
    </w:r>
  </w:p>
  <w:p w14:paraId="0D7FA8D9" w14:textId="77777777" w:rsidR="00A96FB6" w:rsidRDefault="00A96FB6">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A96FB6" w:rsidRDefault="00A96FB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A057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A0572">
      <w:rPr>
        <w:b/>
        <w:noProof/>
        <w:color w:val="000000"/>
        <w:sz w:val="24"/>
        <w:szCs w:val="24"/>
      </w:rPr>
      <w:t>44</w:t>
    </w:r>
    <w:r>
      <w:rPr>
        <w:b/>
        <w:color w:val="000000"/>
        <w:sz w:val="24"/>
        <w:szCs w:val="24"/>
      </w:rPr>
      <w:fldChar w:fldCharType="end"/>
    </w:r>
  </w:p>
  <w:p w14:paraId="6796AF5F" w14:textId="77777777" w:rsidR="00A96FB6" w:rsidRDefault="00A96FB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7B1B" w14:textId="77777777" w:rsidR="00B16BBA" w:rsidRDefault="00B16BBA">
      <w:pPr>
        <w:spacing w:after="0" w:line="240" w:lineRule="auto"/>
      </w:pPr>
      <w:r>
        <w:separator/>
      </w:r>
    </w:p>
  </w:footnote>
  <w:footnote w:type="continuationSeparator" w:id="0">
    <w:p w14:paraId="0DCAE7E6" w14:textId="77777777" w:rsidR="00B16BBA" w:rsidRDefault="00B16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A96FB6" w:rsidRDefault="00A96FB6">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A96FB6" w14:paraId="10C29E94" w14:textId="77777777">
      <w:trPr>
        <w:trHeight w:val="132"/>
      </w:trPr>
      <w:tc>
        <w:tcPr>
          <w:tcW w:w="2691" w:type="dxa"/>
        </w:tcPr>
        <w:p w14:paraId="7D85A4B8" w14:textId="77777777" w:rsidR="00A96FB6" w:rsidRDefault="00A96FB6">
          <w:pPr>
            <w:tabs>
              <w:tab w:val="right" w:pos="8838"/>
            </w:tabs>
            <w:ind w:right="-105"/>
            <w:rPr>
              <w:b/>
            </w:rPr>
          </w:pPr>
          <w:r>
            <w:rPr>
              <w:b/>
            </w:rPr>
            <w:t>Recurso de Revisión:</w:t>
          </w:r>
        </w:p>
      </w:tc>
      <w:tc>
        <w:tcPr>
          <w:tcW w:w="3405" w:type="dxa"/>
        </w:tcPr>
        <w:p w14:paraId="0B0D1A9D" w14:textId="77777777" w:rsidR="00A96FB6" w:rsidRDefault="00A96FB6">
          <w:pPr>
            <w:tabs>
              <w:tab w:val="right" w:pos="8838"/>
            </w:tabs>
            <w:ind w:left="-28" w:right="-32"/>
          </w:pPr>
          <w:r>
            <w:t>03846/INFOEM/IP/RR/2020</w:t>
          </w:r>
        </w:p>
      </w:tc>
    </w:tr>
    <w:tr w:rsidR="00A96FB6" w14:paraId="2F47AC72" w14:textId="77777777">
      <w:trPr>
        <w:trHeight w:val="261"/>
      </w:trPr>
      <w:tc>
        <w:tcPr>
          <w:tcW w:w="2691" w:type="dxa"/>
        </w:tcPr>
        <w:p w14:paraId="154A4752" w14:textId="77777777" w:rsidR="00A96FB6" w:rsidRDefault="00A96FB6">
          <w:pPr>
            <w:tabs>
              <w:tab w:val="right" w:pos="8838"/>
            </w:tabs>
            <w:ind w:right="-105"/>
            <w:rPr>
              <w:b/>
            </w:rPr>
          </w:pPr>
          <w:r>
            <w:rPr>
              <w:b/>
            </w:rPr>
            <w:t>Sujeto Obligado:</w:t>
          </w:r>
        </w:p>
      </w:tc>
      <w:tc>
        <w:tcPr>
          <w:tcW w:w="3405" w:type="dxa"/>
        </w:tcPr>
        <w:p w14:paraId="5D9EC711" w14:textId="77777777" w:rsidR="00A96FB6" w:rsidRDefault="00A96FB6">
          <w:pPr>
            <w:tabs>
              <w:tab w:val="right" w:pos="8838"/>
            </w:tabs>
            <w:ind w:right="-32"/>
          </w:pPr>
          <w:r>
            <w:t>Ayuntamiento de Temascalcingo</w:t>
          </w:r>
        </w:p>
      </w:tc>
    </w:tr>
    <w:tr w:rsidR="00A96FB6" w14:paraId="11FBB450" w14:textId="77777777">
      <w:trPr>
        <w:trHeight w:val="261"/>
      </w:trPr>
      <w:tc>
        <w:tcPr>
          <w:tcW w:w="2691" w:type="dxa"/>
        </w:tcPr>
        <w:p w14:paraId="6BAF6003" w14:textId="77777777" w:rsidR="00A96FB6" w:rsidRDefault="00A96FB6">
          <w:pPr>
            <w:tabs>
              <w:tab w:val="right" w:pos="8838"/>
            </w:tabs>
            <w:ind w:right="-105"/>
            <w:rPr>
              <w:b/>
            </w:rPr>
          </w:pPr>
          <w:r>
            <w:rPr>
              <w:b/>
            </w:rPr>
            <w:t>Comisionado Ponente:</w:t>
          </w:r>
        </w:p>
      </w:tc>
      <w:tc>
        <w:tcPr>
          <w:tcW w:w="3405" w:type="dxa"/>
        </w:tcPr>
        <w:p w14:paraId="420341AF" w14:textId="77777777" w:rsidR="00A96FB6" w:rsidRDefault="00A96FB6">
          <w:pPr>
            <w:tabs>
              <w:tab w:val="right" w:pos="8838"/>
            </w:tabs>
            <w:ind w:right="-32"/>
            <w:rPr>
              <w:b/>
            </w:rPr>
          </w:pPr>
          <w:r>
            <w:t>Luis Gustavo Parra Noriega</w:t>
          </w:r>
        </w:p>
      </w:tc>
    </w:tr>
  </w:tbl>
  <w:p w14:paraId="00411D75" w14:textId="77777777" w:rsidR="00A96FB6"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A96FB6"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77.55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3686"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A96FB6" w14:paraId="40D5D5A3" w14:textId="77777777" w:rsidTr="002F7E7D">
      <w:trPr>
        <w:trHeight w:val="138"/>
      </w:trPr>
      <w:tc>
        <w:tcPr>
          <w:tcW w:w="2268" w:type="dxa"/>
          <w:vAlign w:val="center"/>
        </w:tcPr>
        <w:p w14:paraId="43377EBE" w14:textId="77777777" w:rsidR="00A96FB6" w:rsidRDefault="00A96FB6" w:rsidP="008C266D">
          <w:pPr>
            <w:tabs>
              <w:tab w:val="right" w:pos="8838"/>
            </w:tabs>
            <w:ind w:left="-108" w:right="-105"/>
            <w:jc w:val="left"/>
            <w:rPr>
              <w:b/>
            </w:rPr>
          </w:pPr>
        </w:p>
        <w:p w14:paraId="574E02A6" w14:textId="77777777" w:rsidR="00F731E4" w:rsidRDefault="00F731E4" w:rsidP="008C266D">
          <w:pPr>
            <w:tabs>
              <w:tab w:val="right" w:pos="8838"/>
            </w:tabs>
            <w:ind w:left="-108" w:right="-105"/>
            <w:jc w:val="left"/>
            <w:rPr>
              <w:b/>
            </w:rPr>
          </w:pPr>
        </w:p>
        <w:p w14:paraId="1DB5C8D0" w14:textId="4A4F17B9" w:rsidR="00A96FB6" w:rsidRDefault="00A96FB6" w:rsidP="008C266D">
          <w:pPr>
            <w:tabs>
              <w:tab w:val="right" w:pos="8838"/>
            </w:tabs>
            <w:ind w:left="-108" w:right="-105"/>
            <w:jc w:val="left"/>
            <w:rPr>
              <w:b/>
            </w:rPr>
          </w:pPr>
          <w:r>
            <w:rPr>
              <w:b/>
            </w:rPr>
            <w:t>Recurso de Revisión:</w:t>
          </w:r>
        </w:p>
      </w:tc>
      <w:tc>
        <w:tcPr>
          <w:tcW w:w="3969" w:type="dxa"/>
        </w:tcPr>
        <w:p w14:paraId="5BCC69C4" w14:textId="77777777" w:rsidR="00A96FB6" w:rsidRPr="00EF0C39" w:rsidRDefault="00A96FB6" w:rsidP="008C266D">
          <w:pPr>
            <w:tabs>
              <w:tab w:val="right" w:pos="8838"/>
            </w:tabs>
            <w:ind w:right="57"/>
          </w:pPr>
        </w:p>
        <w:p w14:paraId="375B103B" w14:textId="77777777" w:rsidR="00F731E4" w:rsidRDefault="00F731E4" w:rsidP="008C266D">
          <w:pPr>
            <w:tabs>
              <w:tab w:val="right" w:pos="8838"/>
            </w:tabs>
            <w:ind w:right="57"/>
          </w:pPr>
        </w:p>
        <w:p w14:paraId="61E59D71" w14:textId="555A31CD" w:rsidR="00A96FB6" w:rsidRPr="00EF0C39" w:rsidRDefault="00D649DE" w:rsidP="008C266D">
          <w:pPr>
            <w:tabs>
              <w:tab w:val="right" w:pos="8838"/>
            </w:tabs>
            <w:ind w:right="57"/>
          </w:pPr>
          <w:r w:rsidRPr="00D649DE">
            <w:t>0</w:t>
          </w:r>
          <w:r w:rsidR="002F7E7D">
            <w:t>6846</w:t>
          </w:r>
          <w:r w:rsidRPr="00D649DE">
            <w:t>/INFOEM/IP/RR/2025</w:t>
          </w:r>
        </w:p>
      </w:tc>
    </w:tr>
    <w:tr w:rsidR="00A96FB6" w14:paraId="7A281F30" w14:textId="77777777" w:rsidTr="002F7E7D">
      <w:trPr>
        <w:trHeight w:val="273"/>
      </w:trPr>
      <w:tc>
        <w:tcPr>
          <w:tcW w:w="2268" w:type="dxa"/>
        </w:tcPr>
        <w:p w14:paraId="6671A308" w14:textId="77777777" w:rsidR="00A96FB6" w:rsidRDefault="00A96FB6" w:rsidP="008C266D">
          <w:pPr>
            <w:tabs>
              <w:tab w:val="right" w:pos="8838"/>
            </w:tabs>
            <w:ind w:left="-108" w:right="-105"/>
            <w:rPr>
              <w:b/>
            </w:rPr>
          </w:pPr>
          <w:r>
            <w:rPr>
              <w:b/>
            </w:rPr>
            <w:t>Sujeto Obligado:</w:t>
          </w:r>
        </w:p>
      </w:tc>
      <w:tc>
        <w:tcPr>
          <w:tcW w:w="3969" w:type="dxa"/>
        </w:tcPr>
        <w:p w14:paraId="30885B6D" w14:textId="6560CBB2" w:rsidR="00A96FB6" w:rsidRPr="00EF0C39" w:rsidRDefault="00D649DE" w:rsidP="007B4717">
          <w:pPr>
            <w:tabs>
              <w:tab w:val="right" w:pos="8838"/>
            </w:tabs>
            <w:ind w:right="180"/>
          </w:pPr>
          <w:r w:rsidRPr="00D649DE">
            <w:t xml:space="preserve">Ayuntamiento de </w:t>
          </w:r>
          <w:r w:rsidR="002F7E7D">
            <w:t>Ayapango</w:t>
          </w:r>
        </w:p>
      </w:tc>
    </w:tr>
    <w:tr w:rsidR="00A96FB6" w14:paraId="00C22F2F" w14:textId="77777777" w:rsidTr="002F7E7D">
      <w:trPr>
        <w:trHeight w:val="273"/>
      </w:trPr>
      <w:tc>
        <w:tcPr>
          <w:tcW w:w="2268" w:type="dxa"/>
        </w:tcPr>
        <w:p w14:paraId="70417649" w14:textId="77777777" w:rsidR="00A96FB6" w:rsidRDefault="00A96FB6" w:rsidP="008C266D">
          <w:pPr>
            <w:tabs>
              <w:tab w:val="right" w:pos="8838"/>
            </w:tabs>
            <w:ind w:left="-108" w:right="-105"/>
            <w:rPr>
              <w:b/>
            </w:rPr>
          </w:pPr>
          <w:r>
            <w:rPr>
              <w:b/>
            </w:rPr>
            <w:t>Comisionado Ponente:</w:t>
          </w:r>
        </w:p>
      </w:tc>
      <w:tc>
        <w:tcPr>
          <w:tcW w:w="3969" w:type="dxa"/>
        </w:tcPr>
        <w:p w14:paraId="5E6EB38B" w14:textId="77777777" w:rsidR="00A96FB6" w:rsidRPr="00EF0C39" w:rsidRDefault="00A96FB6" w:rsidP="008C266D">
          <w:pPr>
            <w:tabs>
              <w:tab w:val="right" w:pos="8838"/>
            </w:tabs>
            <w:ind w:right="-170"/>
          </w:pPr>
          <w:r w:rsidRPr="00EF0C39">
            <w:t>Luis Gustavo Parra Noriega</w:t>
          </w:r>
        </w:p>
        <w:p w14:paraId="1A63C67B" w14:textId="77777777" w:rsidR="00A96FB6" w:rsidRPr="00EF0C39" w:rsidRDefault="00A96FB6" w:rsidP="008C266D">
          <w:pPr>
            <w:tabs>
              <w:tab w:val="right" w:pos="8838"/>
            </w:tabs>
            <w:ind w:right="-170"/>
            <w:rPr>
              <w:b/>
            </w:rPr>
          </w:pPr>
        </w:p>
      </w:tc>
    </w:tr>
  </w:tbl>
  <w:p w14:paraId="3498D107" w14:textId="7E17876C" w:rsidR="00A96FB6" w:rsidRDefault="00A96FB6"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0AF44557" w:rsidR="00A96FB6" w:rsidRDefault="00000000">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84.9pt;margin-top:-124.4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A96FB6" w14:paraId="6B3232BD" w14:textId="77777777" w:rsidTr="00005124">
      <w:trPr>
        <w:trHeight w:val="132"/>
      </w:trPr>
      <w:tc>
        <w:tcPr>
          <w:tcW w:w="2551" w:type="dxa"/>
        </w:tcPr>
        <w:p w14:paraId="046A5F5F" w14:textId="77777777" w:rsidR="00F731E4" w:rsidRDefault="00F731E4">
          <w:pPr>
            <w:tabs>
              <w:tab w:val="right" w:pos="8838"/>
            </w:tabs>
            <w:ind w:right="-105"/>
            <w:rPr>
              <w:b/>
            </w:rPr>
          </w:pPr>
        </w:p>
        <w:p w14:paraId="38F16E2F" w14:textId="3EBA1953" w:rsidR="00A96FB6" w:rsidRDefault="00A96FB6">
          <w:pPr>
            <w:tabs>
              <w:tab w:val="right" w:pos="8838"/>
            </w:tabs>
            <w:ind w:right="-105"/>
            <w:rPr>
              <w:b/>
            </w:rPr>
          </w:pPr>
          <w:r>
            <w:rPr>
              <w:b/>
            </w:rPr>
            <w:t>Recurso de Revisión:</w:t>
          </w:r>
        </w:p>
      </w:tc>
      <w:tc>
        <w:tcPr>
          <w:tcW w:w="4253" w:type="dxa"/>
        </w:tcPr>
        <w:p w14:paraId="525CB9C2" w14:textId="77777777" w:rsidR="00F731E4" w:rsidRDefault="00F731E4" w:rsidP="00026C6B"/>
        <w:p w14:paraId="211CDC0A" w14:textId="1C793C03" w:rsidR="00A96FB6" w:rsidRPr="00026C6B" w:rsidRDefault="00D649DE" w:rsidP="00026C6B">
          <w:r w:rsidRPr="00D649DE">
            <w:t>0</w:t>
          </w:r>
          <w:r w:rsidR="002F7E7D">
            <w:t>6846</w:t>
          </w:r>
          <w:r w:rsidRPr="00D649DE">
            <w:t>/INFOEM/IP/RR/2025</w:t>
          </w:r>
        </w:p>
      </w:tc>
    </w:tr>
    <w:tr w:rsidR="00A96FB6" w14:paraId="6AA3CC58" w14:textId="77777777" w:rsidTr="00005124">
      <w:trPr>
        <w:trHeight w:val="132"/>
      </w:trPr>
      <w:tc>
        <w:tcPr>
          <w:tcW w:w="2551" w:type="dxa"/>
        </w:tcPr>
        <w:p w14:paraId="7FD164F5" w14:textId="77777777" w:rsidR="00A96FB6" w:rsidRDefault="00A96FB6">
          <w:pPr>
            <w:tabs>
              <w:tab w:val="left" w:pos="1875"/>
            </w:tabs>
            <w:ind w:right="-105"/>
            <w:rPr>
              <w:b/>
            </w:rPr>
          </w:pPr>
          <w:r>
            <w:rPr>
              <w:b/>
            </w:rPr>
            <w:t>Recurrente:</w:t>
          </w:r>
          <w:r>
            <w:rPr>
              <w:b/>
            </w:rPr>
            <w:tab/>
          </w:r>
        </w:p>
      </w:tc>
      <w:tc>
        <w:tcPr>
          <w:tcW w:w="4253" w:type="dxa"/>
        </w:tcPr>
        <w:p w14:paraId="1F1B0537" w14:textId="5678207F" w:rsidR="00A96FB6" w:rsidRPr="00EF0C39" w:rsidRDefault="001A6F90" w:rsidP="006D7FDA">
          <w:pPr>
            <w:tabs>
              <w:tab w:val="right" w:pos="8838"/>
            </w:tabs>
            <w:ind w:right="-250"/>
          </w:pPr>
          <w:r w:rsidRPr="001A6F90">
            <w:rPr>
              <w:highlight w:val="black"/>
            </w:rPr>
            <w:t>XXXXXXXXXXXXXXXX</w:t>
          </w:r>
        </w:p>
      </w:tc>
    </w:tr>
    <w:tr w:rsidR="00A96FB6" w14:paraId="5113CAA6" w14:textId="77777777" w:rsidTr="00005124">
      <w:trPr>
        <w:trHeight w:val="261"/>
      </w:trPr>
      <w:tc>
        <w:tcPr>
          <w:tcW w:w="2551" w:type="dxa"/>
        </w:tcPr>
        <w:p w14:paraId="28E3431B" w14:textId="30EC7C18" w:rsidR="00A96FB6" w:rsidRDefault="00A96FB6">
          <w:pPr>
            <w:tabs>
              <w:tab w:val="right" w:pos="8838"/>
            </w:tabs>
            <w:ind w:right="-105"/>
            <w:rPr>
              <w:b/>
            </w:rPr>
          </w:pPr>
          <w:r>
            <w:rPr>
              <w:b/>
            </w:rPr>
            <w:t>Sujeto Obligado:</w:t>
          </w:r>
        </w:p>
      </w:tc>
      <w:tc>
        <w:tcPr>
          <w:tcW w:w="4253" w:type="dxa"/>
        </w:tcPr>
        <w:p w14:paraId="3192354E" w14:textId="5F76DB66" w:rsidR="00A96FB6" w:rsidRPr="00026C6B" w:rsidRDefault="00D649DE" w:rsidP="00026C6B">
          <w:r w:rsidRPr="00D649DE">
            <w:t xml:space="preserve">Ayuntamiento de </w:t>
          </w:r>
          <w:r w:rsidR="002F7E7D">
            <w:t>Ayapango</w:t>
          </w:r>
        </w:p>
      </w:tc>
    </w:tr>
    <w:tr w:rsidR="00A96FB6" w14:paraId="5D4C2A35" w14:textId="77777777" w:rsidTr="00005124">
      <w:trPr>
        <w:trHeight w:val="261"/>
      </w:trPr>
      <w:tc>
        <w:tcPr>
          <w:tcW w:w="2551" w:type="dxa"/>
        </w:tcPr>
        <w:p w14:paraId="7F522FEC" w14:textId="77777777" w:rsidR="00A96FB6" w:rsidRDefault="00A96FB6">
          <w:pPr>
            <w:tabs>
              <w:tab w:val="right" w:pos="8838"/>
            </w:tabs>
            <w:ind w:right="-105"/>
            <w:rPr>
              <w:b/>
            </w:rPr>
          </w:pPr>
          <w:r>
            <w:rPr>
              <w:b/>
            </w:rPr>
            <w:t>Comisionado Ponente:</w:t>
          </w:r>
        </w:p>
      </w:tc>
      <w:tc>
        <w:tcPr>
          <w:tcW w:w="4253" w:type="dxa"/>
        </w:tcPr>
        <w:p w14:paraId="0F0566F9" w14:textId="77777777" w:rsidR="00A96FB6" w:rsidRPr="00EF0C39" w:rsidRDefault="00A96FB6" w:rsidP="00C46A25">
          <w:pPr>
            <w:tabs>
              <w:tab w:val="right" w:pos="8838"/>
            </w:tabs>
            <w:ind w:right="-32"/>
            <w:rPr>
              <w:b/>
            </w:rPr>
          </w:pPr>
          <w:r w:rsidRPr="00EF0C39">
            <w:t>Luis Gustavo Parra Noriega</w:t>
          </w:r>
        </w:p>
      </w:tc>
    </w:tr>
  </w:tbl>
  <w:p w14:paraId="4DFC2598" w14:textId="7DDC63F9" w:rsidR="00A96FB6" w:rsidRDefault="00A96FB6">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B54A9E"/>
    <w:multiLevelType w:val="multilevel"/>
    <w:tmpl w:val="89C260F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8F4063"/>
    <w:multiLevelType w:val="hybridMultilevel"/>
    <w:tmpl w:val="9DEE2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2DB2ECF"/>
    <w:multiLevelType w:val="multilevel"/>
    <w:tmpl w:val="E42C03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7BED7F96"/>
    <w:multiLevelType w:val="hybridMultilevel"/>
    <w:tmpl w:val="F836E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1831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8038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291143">
    <w:abstractNumId w:val="2"/>
  </w:num>
  <w:num w:numId="4" w16cid:durableId="1630086739">
    <w:abstractNumId w:val="7"/>
  </w:num>
  <w:num w:numId="5" w16cid:durableId="262155995">
    <w:abstractNumId w:val="9"/>
  </w:num>
  <w:num w:numId="6" w16cid:durableId="16353279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7033537">
    <w:abstractNumId w:val="14"/>
  </w:num>
  <w:num w:numId="8" w16cid:durableId="553388211">
    <w:abstractNumId w:val="15"/>
  </w:num>
  <w:num w:numId="9" w16cid:durableId="904992316">
    <w:abstractNumId w:val="10"/>
  </w:num>
  <w:num w:numId="10" w16cid:durableId="1263995689">
    <w:abstractNumId w:val="4"/>
  </w:num>
  <w:num w:numId="11" w16cid:durableId="27528719">
    <w:abstractNumId w:val="3"/>
  </w:num>
  <w:num w:numId="12" w16cid:durableId="263805147">
    <w:abstractNumId w:val="0"/>
  </w:num>
  <w:num w:numId="13" w16cid:durableId="1850364519">
    <w:abstractNumId w:val="1"/>
  </w:num>
  <w:num w:numId="14" w16cid:durableId="1433669207">
    <w:abstractNumId w:val="13"/>
  </w:num>
  <w:num w:numId="15" w16cid:durableId="325014240">
    <w:abstractNumId w:val="11"/>
  </w:num>
  <w:num w:numId="16" w16cid:durableId="889151364">
    <w:abstractNumId w:val="5"/>
  </w:num>
  <w:num w:numId="17" w16cid:durableId="19389801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012A"/>
    <w:rsid w:val="00001ADF"/>
    <w:rsid w:val="00002B20"/>
    <w:rsid w:val="00003081"/>
    <w:rsid w:val="000037F8"/>
    <w:rsid w:val="00005124"/>
    <w:rsid w:val="000053EA"/>
    <w:rsid w:val="0000637C"/>
    <w:rsid w:val="00006A45"/>
    <w:rsid w:val="0001108B"/>
    <w:rsid w:val="00011477"/>
    <w:rsid w:val="00011608"/>
    <w:rsid w:val="00012A1C"/>
    <w:rsid w:val="00014169"/>
    <w:rsid w:val="00014EE2"/>
    <w:rsid w:val="00016290"/>
    <w:rsid w:val="000201B0"/>
    <w:rsid w:val="00021BE0"/>
    <w:rsid w:val="00023BBD"/>
    <w:rsid w:val="000255D3"/>
    <w:rsid w:val="0002588C"/>
    <w:rsid w:val="00026B5A"/>
    <w:rsid w:val="00026C6B"/>
    <w:rsid w:val="0003084A"/>
    <w:rsid w:val="000316C2"/>
    <w:rsid w:val="00033026"/>
    <w:rsid w:val="0003318A"/>
    <w:rsid w:val="00033683"/>
    <w:rsid w:val="00033F2C"/>
    <w:rsid w:val="0003782D"/>
    <w:rsid w:val="000410E6"/>
    <w:rsid w:val="0004134C"/>
    <w:rsid w:val="00041A91"/>
    <w:rsid w:val="000426D2"/>
    <w:rsid w:val="00047473"/>
    <w:rsid w:val="00050E2E"/>
    <w:rsid w:val="00057905"/>
    <w:rsid w:val="000602BA"/>
    <w:rsid w:val="00061123"/>
    <w:rsid w:val="00064A3E"/>
    <w:rsid w:val="000709AA"/>
    <w:rsid w:val="00071005"/>
    <w:rsid w:val="000733DF"/>
    <w:rsid w:val="000735F0"/>
    <w:rsid w:val="00075996"/>
    <w:rsid w:val="00075A71"/>
    <w:rsid w:val="00075CAF"/>
    <w:rsid w:val="00076FB6"/>
    <w:rsid w:val="00081D01"/>
    <w:rsid w:val="0008295C"/>
    <w:rsid w:val="00082B5B"/>
    <w:rsid w:val="00083169"/>
    <w:rsid w:val="00085D44"/>
    <w:rsid w:val="000866B0"/>
    <w:rsid w:val="00087074"/>
    <w:rsid w:val="00087EDB"/>
    <w:rsid w:val="0009167E"/>
    <w:rsid w:val="00092501"/>
    <w:rsid w:val="000946F3"/>
    <w:rsid w:val="00095FB6"/>
    <w:rsid w:val="00096C21"/>
    <w:rsid w:val="00096CFE"/>
    <w:rsid w:val="00097C52"/>
    <w:rsid w:val="000A2EA2"/>
    <w:rsid w:val="000A3910"/>
    <w:rsid w:val="000A43C5"/>
    <w:rsid w:val="000A5B44"/>
    <w:rsid w:val="000A706F"/>
    <w:rsid w:val="000B2470"/>
    <w:rsid w:val="000B3514"/>
    <w:rsid w:val="000B3C56"/>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5595"/>
    <w:rsid w:val="000D6774"/>
    <w:rsid w:val="000D7457"/>
    <w:rsid w:val="000E3169"/>
    <w:rsid w:val="000F3B49"/>
    <w:rsid w:val="000F4583"/>
    <w:rsid w:val="000F4AC1"/>
    <w:rsid w:val="000F562C"/>
    <w:rsid w:val="000F6219"/>
    <w:rsid w:val="000F6768"/>
    <w:rsid w:val="000F6E36"/>
    <w:rsid w:val="001055EA"/>
    <w:rsid w:val="001061B1"/>
    <w:rsid w:val="001065C6"/>
    <w:rsid w:val="0011010D"/>
    <w:rsid w:val="001135C1"/>
    <w:rsid w:val="001150A1"/>
    <w:rsid w:val="00115992"/>
    <w:rsid w:val="00115F8A"/>
    <w:rsid w:val="00116C35"/>
    <w:rsid w:val="00121FBF"/>
    <w:rsid w:val="00122C13"/>
    <w:rsid w:val="00122ED0"/>
    <w:rsid w:val="00122FBD"/>
    <w:rsid w:val="00123FD7"/>
    <w:rsid w:val="00124AF7"/>
    <w:rsid w:val="00125905"/>
    <w:rsid w:val="00125F26"/>
    <w:rsid w:val="001260CE"/>
    <w:rsid w:val="0012618B"/>
    <w:rsid w:val="00126A15"/>
    <w:rsid w:val="00126AD3"/>
    <w:rsid w:val="001325F3"/>
    <w:rsid w:val="00132F29"/>
    <w:rsid w:val="00134465"/>
    <w:rsid w:val="001418BD"/>
    <w:rsid w:val="00141BAD"/>
    <w:rsid w:val="001425CB"/>
    <w:rsid w:val="001434E7"/>
    <w:rsid w:val="00144B2C"/>
    <w:rsid w:val="001479C0"/>
    <w:rsid w:val="00147F25"/>
    <w:rsid w:val="001502AB"/>
    <w:rsid w:val="001507E8"/>
    <w:rsid w:val="00153139"/>
    <w:rsid w:val="001548D6"/>
    <w:rsid w:val="001558BD"/>
    <w:rsid w:val="00155BD1"/>
    <w:rsid w:val="0015601C"/>
    <w:rsid w:val="001566D4"/>
    <w:rsid w:val="001578F5"/>
    <w:rsid w:val="00160112"/>
    <w:rsid w:val="0016373E"/>
    <w:rsid w:val="00163926"/>
    <w:rsid w:val="00163D9F"/>
    <w:rsid w:val="00164A3D"/>
    <w:rsid w:val="00165AB2"/>
    <w:rsid w:val="00166452"/>
    <w:rsid w:val="00166907"/>
    <w:rsid w:val="00166A42"/>
    <w:rsid w:val="00170ACC"/>
    <w:rsid w:val="001710E2"/>
    <w:rsid w:val="0017245F"/>
    <w:rsid w:val="00175607"/>
    <w:rsid w:val="00175910"/>
    <w:rsid w:val="00181A02"/>
    <w:rsid w:val="00181D59"/>
    <w:rsid w:val="00183010"/>
    <w:rsid w:val="0018371A"/>
    <w:rsid w:val="00184025"/>
    <w:rsid w:val="00184ED6"/>
    <w:rsid w:val="00192C48"/>
    <w:rsid w:val="00193CE3"/>
    <w:rsid w:val="001958A4"/>
    <w:rsid w:val="00195EC3"/>
    <w:rsid w:val="0019787E"/>
    <w:rsid w:val="001A0321"/>
    <w:rsid w:val="001A05C0"/>
    <w:rsid w:val="001A1BC6"/>
    <w:rsid w:val="001A2062"/>
    <w:rsid w:val="001A5A72"/>
    <w:rsid w:val="001A5B6F"/>
    <w:rsid w:val="001A6C0E"/>
    <w:rsid w:val="001A6F90"/>
    <w:rsid w:val="001A7F04"/>
    <w:rsid w:val="001B2090"/>
    <w:rsid w:val="001B34AA"/>
    <w:rsid w:val="001B5912"/>
    <w:rsid w:val="001B6133"/>
    <w:rsid w:val="001B7EFB"/>
    <w:rsid w:val="001C638A"/>
    <w:rsid w:val="001D1635"/>
    <w:rsid w:val="001D24CD"/>
    <w:rsid w:val="001D3FB9"/>
    <w:rsid w:val="001D4F21"/>
    <w:rsid w:val="001D5DBE"/>
    <w:rsid w:val="001D7D0E"/>
    <w:rsid w:val="001E4284"/>
    <w:rsid w:val="001E4ECA"/>
    <w:rsid w:val="001E6077"/>
    <w:rsid w:val="001F285F"/>
    <w:rsid w:val="001F6FD5"/>
    <w:rsid w:val="001F74C5"/>
    <w:rsid w:val="00200B40"/>
    <w:rsid w:val="00200E63"/>
    <w:rsid w:val="002025F4"/>
    <w:rsid w:val="00203F8C"/>
    <w:rsid w:val="00204DE3"/>
    <w:rsid w:val="00206A9B"/>
    <w:rsid w:val="0020727C"/>
    <w:rsid w:val="00207552"/>
    <w:rsid w:val="00211CD8"/>
    <w:rsid w:val="002217AE"/>
    <w:rsid w:val="00223487"/>
    <w:rsid w:val="002238B8"/>
    <w:rsid w:val="0022725B"/>
    <w:rsid w:val="00227456"/>
    <w:rsid w:val="00230985"/>
    <w:rsid w:val="00230B8F"/>
    <w:rsid w:val="002359DF"/>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54"/>
    <w:rsid w:val="00271E85"/>
    <w:rsid w:val="00273A4E"/>
    <w:rsid w:val="00274745"/>
    <w:rsid w:val="00280625"/>
    <w:rsid w:val="00280CF8"/>
    <w:rsid w:val="00282176"/>
    <w:rsid w:val="002822A3"/>
    <w:rsid w:val="002825E3"/>
    <w:rsid w:val="0028277C"/>
    <w:rsid w:val="00287374"/>
    <w:rsid w:val="0029130B"/>
    <w:rsid w:val="00291318"/>
    <w:rsid w:val="0029310D"/>
    <w:rsid w:val="00293A22"/>
    <w:rsid w:val="00294C03"/>
    <w:rsid w:val="00294CD0"/>
    <w:rsid w:val="00295482"/>
    <w:rsid w:val="0029784D"/>
    <w:rsid w:val="002A02CD"/>
    <w:rsid w:val="002A376A"/>
    <w:rsid w:val="002A3A8E"/>
    <w:rsid w:val="002A5DEB"/>
    <w:rsid w:val="002B2FEA"/>
    <w:rsid w:val="002B5A2D"/>
    <w:rsid w:val="002B772B"/>
    <w:rsid w:val="002C0003"/>
    <w:rsid w:val="002C0C3A"/>
    <w:rsid w:val="002C3C45"/>
    <w:rsid w:val="002C4A39"/>
    <w:rsid w:val="002C516D"/>
    <w:rsid w:val="002C7C43"/>
    <w:rsid w:val="002D2107"/>
    <w:rsid w:val="002D2619"/>
    <w:rsid w:val="002D2A77"/>
    <w:rsid w:val="002D49D2"/>
    <w:rsid w:val="002E2627"/>
    <w:rsid w:val="002E34B7"/>
    <w:rsid w:val="002E5C60"/>
    <w:rsid w:val="002E6125"/>
    <w:rsid w:val="002F0526"/>
    <w:rsid w:val="002F08A1"/>
    <w:rsid w:val="002F12B4"/>
    <w:rsid w:val="002F389A"/>
    <w:rsid w:val="002F429F"/>
    <w:rsid w:val="002F44A5"/>
    <w:rsid w:val="002F5845"/>
    <w:rsid w:val="002F5AA8"/>
    <w:rsid w:val="002F5CFB"/>
    <w:rsid w:val="002F72B7"/>
    <w:rsid w:val="002F7E7D"/>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681E"/>
    <w:rsid w:val="00336E20"/>
    <w:rsid w:val="00341669"/>
    <w:rsid w:val="00342465"/>
    <w:rsid w:val="0034494E"/>
    <w:rsid w:val="00345E3B"/>
    <w:rsid w:val="003520BA"/>
    <w:rsid w:val="00353296"/>
    <w:rsid w:val="0035368D"/>
    <w:rsid w:val="00354255"/>
    <w:rsid w:val="003550AA"/>
    <w:rsid w:val="00355D05"/>
    <w:rsid w:val="00356E1B"/>
    <w:rsid w:val="003602C9"/>
    <w:rsid w:val="0036042F"/>
    <w:rsid w:val="003663BF"/>
    <w:rsid w:val="00366BB8"/>
    <w:rsid w:val="003759E0"/>
    <w:rsid w:val="00376AEF"/>
    <w:rsid w:val="00381132"/>
    <w:rsid w:val="003814AE"/>
    <w:rsid w:val="0038398F"/>
    <w:rsid w:val="00384E82"/>
    <w:rsid w:val="00384E94"/>
    <w:rsid w:val="003876F1"/>
    <w:rsid w:val="00390A24"/>
    <w:rsid w:val="00390D74"/>
    <w:rsid w:val="00391317"/>
    <w:rsid w:val="0039615C"/>
    <w:rsid w:val="003A2B31"/>
    <w:rsid w:val="003A47C4"/>
    <w:rsid w:val="003A4CF8"/>
    <w:rsid w:val="003A4EEC"/>
    <w:rsid w:val="003B129A"/>
    <w:rsid w:val="003B3C6F"/>
    <w:rsid w:val="003B5A66"/>
    <w:rsid w:val="003B6F0C"/>
    <w:rsid w:val="003C13CD"/>
    <w:rsid w:val="003C28F2"/>
    <w:rsid w:val="003C5F59"/>
    <w:rsid w:val="003C5FE0"/>
    <w:rsid w:val="003C7338"/>
    <w:rsid w:val="003D0D51"/>
    <w:rsid w:val="003D1DC8"/>
    <w:rsid w:val="003D25DC"/>
    <w:rsid w:val="003D35DB"/>
    <w:rsid w:val="003D6C3F"/>
    <w:rsid w:val="003E00B8"/>
    <w:rsid w:val="003E0898"/>
    <w:rsid w:val="003E1C9F"/>
    <w:rsid w:val="003E20C8"/>
    <w:rsid w:val="003E33FE"/>
    <w:rsid w:val="003E540A"/>
    <w:rsid w:val="003E6941"/>
    <w:rsid w:val="003F0A87"/>
    <w:rsid w:val="003F195E"/>
    <w:rsid w:val="003F1D74"/>
    <w:rsid w:val="003F2412"/>
    <w:rsid w:val="003F2BF4"/>
    <w:rsid w:val="003F2C8E"/>
    <w:rsid w:val="003F4C6D"/>
    <w:rsid w:val="003F5F91"/>
    <w:rsid w:val="003F6C55"/>
    <w:rsid w:val="00400470"/>
    <w:rsid w:val="0040398B"/>
    <w:rsid w:val="00406325"/>
    <w:rsid w:val="0041096D"/>
    <w:rsid w:val="00417AAE"/>
    <w:rsid w:val="00417F3A"/>
    <w:rsid w:val="00420209"/>
    <w:rsid w:val="004214D5"/>
    <w:rsid w:val="00422311"/>
    <w:rsid w:val="004275D8"/>
    <w:rsid w:val="004326F9"/>
    <w:rsid w:val="00434B43"/>
    <w:rsid w:val="004352C6"/>
    <w:rsid w:val="004362D5"/>
    <w:rsid w:val="00436F80"/>
    <w:rsid w:val="00437109"/>
    <w:rsid w:val="0044017B"/>
    <w:rsid w:val="00442432"/>
    <w:rsid w:val="0044320C"/>
    <w:rsid w:val="0044451C"/>
    <w:rsid w:val="00446CA3"/>
    <w:rsid w:val="004479B9"/>
    <w:rsid w:val="0045046D"/>
    <w:rsid w:val="00455EA5"/>
    <w:rsid w:val="00456B23"/>
    <w:rsid w:val="00461DF2"/>
    <w:rsid w:val="00462ED0"/>
    <w:rsid w:val="004649E0"/>
    <w:rsid w:val="00467659"/>
    <w:rsid w:val="00471E99"/>
    <w:rsid w:val="004721AA"/>
    <w:rsid w:val="00473151"/>
    <w:rsid w:val="00474793"/>
    <w:rsid w:val="00475E62"/>
    <w:rsid w:val="00481F23"/>
    <w:rsid w:val="00483320"/>
    <w:rsid w:val="00484E27"/>
    <w:rsid w:val="00487556"/>
    <w:rsid w:val="00487727"/>
    <w:rsid w:val="00491239"/>
    <w:rsid w:val="00492333"/>
    <w:rsid w:val="0049788F"/>
    <w:rsid w:val="004A10B0"/>
    <w:rsid w:val="004A10E6"/>
    <w:rsid w:val="004B0C65"/>
    <w:rsid w:val="004B27E7"/>
    <w:rsid w:val="004B33EF"/>
    <w:rsid w:val="004B58D3"/>
    <w:rsid w:val="004B7343"/>
    <w:rsid w:val="004B73FB"/>
    <w:rsid w:val="004C21E6"/>
    <w:rsid w:val="004C465F"/>
    <w:rsid w:val="004C56AA"/>
    <w:rsid w:val="004C6321"/>
    <w:rsid w:val="004D181B"/>
    <w:rsid w:val="004D1D8F"/>
    <w:rsid w:val="004D243B"/>
    <w:rsid w:val="004D51CB"/>
    <w:rsid w:val="004D5DC3"/>
    <w:rsid w:val="004D63D9"/>
    <w:rsid w:val="004D7932"/>
    <w:rsid w:val="004E0AD6"/>
    <w:rsid w:val="004E22FF"/>
    <w:rsid w:val="004E2942"/>
    <w:rsid w:val="004E3063"/>
    <w:rsid w:val="004E47CC"/>
    <w:rsid w:val="004F0490"/>
    <w:rsid w:val="004F3DA9"/>
    <w:rsid w:val="004F55B4"/>
    <w:rsid w:val="004F56D3"/>
    <w:rsid w:val="004F59FB"/>
    <w:rsid w:val="004F76F4"/>
    <w:rsid w:val="004F7F19"/>
    <w:rsid w:val="00500B4F"/>
    <w:rsid w:val="005018D0"/>
    <w:rsid w:val="005044CD"/>
    <w:rsid w:val="00506126"/>
    <w:rsid w:val="0051107B"/>
    <w:rsid w:val="00511E76"/>
    <w:rsid w:val="00512046"/>
    <w:rsid w:val="00512879"/>
    <w:rsid w:val="0051497B"/>
    <w:rsid w:val="00515399"/>
    <w:rsid w:val="00521F1D"/>
    <w:rsid w:val="00521F47"/>
    <w:rsid w:val="00522A47"/>
    <w:rsid w:val="00523008"/>
    <w:rsid w:val="00524283"/>
    <w:rsid w:val="00525A14"/>
    <w:rsid w:val="00526EC4"/>
    <w:rsid w:val="00527563"/>
    <w:rsid w:val="005302BB"/>
    <w:rsid w:val="00530B10"/>
    <w:rsid w:val="0053198B"/>
    <w:rsid w:val="00531A8A"/>
    <w:rsid w:val="00535A8D"/>
    <w:rsid w:val="00536382"/>
    <w:rsid w:val="00536941"/>
    <w:rsid w:val="00537C32"/>
    <w:rsid w:val="00545D04"/>
    <w:rsid w:val="005501BA"/>
    <w:rsid w:val="00550C0B"/>
    <w:rsid w:val="005520E3"/>
    <w:rsid w:val="00552C67"/>
    <w:rsid w:val="005569DD"/>
    <w:rsid w:val="00556A90"/>
    <w:rsid w:val="005622E8"/>
    <w:rsid w:val="00562D89"/>
    <w:rsid w:val="0056443F"/>
    <w:rsid w:val="00565861"/>
    <w:rsid w:val="005720EF"/>
    <w:rsid w:val="00572946"/>
    <w:rsid w:val="005732F8"/>
    <w:rsid w:val="00580345"/>
    <w:rsid w:val="005816DE"/>
    <w:rsid w:val="00582E01"/>
    <w:rsid w:val="00582FC0"/>
    <w:rsid w:val="005847A7"/>
    <w:rsid w:val="00585C29"/>
    <w:rsid w:val="005867A9"/>
    <w:rsid w:val="0058767A"/>
    <w:rsid w:val="00590FB7"/>
    <w:rsid w:val="005914EE"/>
    <w:rsid w:val="005A0A77"/>
    <w:rsid w:val="005A39F4"/>
    <w:rsid w:val="005A79D9"/>
    <w:rsid w:val="005A7C36"/>
    <w:rsid w:val="005B0D22"/>
    <w:rsid w:val="005B21C9"/>
    <w:rsid w:val="005B2778"/>
    <w:rsid w:val="005B6BFA"/>
    <w:rsid w:val="005C03D2"/>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2E5C"/>
    <w:rsid w:val="006033D0"/>
    <w:rsid w:val="006037C1"/>
    <w:rsid w:val="0060498C"/>
    <w:rsid w:val="006059DA"/>
    <w:rsid w:val="00606553"/>
    <w:rsid w:val="00606B1A"/>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2F0D"/>
    <w:rsid w:val="006430B1"/>
    <w:rsid w:val="00644832"/>
    <w:rsid w:val="00644B2E"/>
    <w:rsid w:val="00647BA4"/>
    <w:rsid w:val="00651255"/>
    <w:rsid w:val="00654DE3"/>
    <w:rsid w:val="00655068"/>
    <w:rsid w:val="00655B7F"/>
    <w:rsid w:val="0065684B"/>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B25"/>
    <w:rsid w:val="00674DAF"/>
    <w:rsid w:val="00674E18"/>
    <w:rsid w:val="00680F20"/>
    <w:rsid w:val="006831DD"/>
    <w:rsid w:val="00684E69"/>
    <w:rsid w:val="00687BCB"/>
    <w:rsid w:val="00690202"/>
    <w:rsid w:val="0069037C"/>
    <w:rsid w:val="00692763"/>
    <w:rsid w:val="00692CEE"/>
    <w:rsid w:val="00694971"/>
    <w:rsid w:val="006963B7"/>
    <w:rsid w:val="0069657C"/>
    <w:rsid w:val="006A0CDD"/>
    <w:rsid w:val="006A6ABE"/>
    <w:rsid w:val="006B0607"/>
    <w:rsid w:val="006B083B"/>
    <w:rsid w:val="006B3839"/>
    <w:rsid w:val="006B4C0B"/>
    <w:rsid w:val="006B634B"/>
    <w:rsid w:val="006C0BD7"/>
    <w:rsid w:val="006C17DE"/>
    <w:rsid w:val="006C25E4"/>
    <w:rsid w:val="006C2CB3"/>
    <w:rsid w:val="006C2D41"/>
    <w:rsid w:val="006C3470"/>
    <w:rsid w:val="006C43E9"/>
    <w:rsid w:val="006C6EBC"/>
    <w:rsid w:val="006C7CD1"/>
    <w:rsid w:val="006C7E76"/>
    <w:rsid w:val="006D16BD"/>
    <w:rsid w:val="006D1CE7"/>
    <w:rsid w:val="006D2366"/>
    <w:rsid w:val="006D2960"/>
    <w:rsid w:val="006D31CB"/>
    <w:rsid w:val="006D49E4"/>
    <w:rsid w:val="006D65A5"/>
    <w:rsid w:val="006D6790"/>
    <w:rsid w:val="006D7FDA"/>
    <w:rsid w:val="006E33C5"/>
    <w:rsid w:val="006E72D4"/>
    <w:rsid w:val="006E7C4E"/>
    <w:rsid w:val="006E7CFC"/>
    <w:rsid w:val="006F134A"/>
    <w:rsid w:val="006F1838"/>
    <w:rsid w:val="006F272D"/>
    <w:rsid w:val="006F4C3A"/>
    <w:rsid w:val="006F4CC9"/>
    <w:rsid w:val="006F60D5"/>
    <w:rsid w:val="006F79F1"/>
    <w:rsid w:val="006F7CBF"/>
    <w:rsid w:val="007001B2"/>
    <w:rsid w:val="007009B1"/>
    <w:rsid w:val="00702D5F"/>
    <w:rsid w:val="007041F9"/>
    <w:rsid w:val="00704B14"/>
    <w:rsid w:val="0070504C"/>
    <w:rsid w:val="00705FBB"/>
    <w:rsid w:val="0070680E"/>
    <w:rsid w:val="0071036C"/>
    <w:rsid w:val="00711EA0"/>
    <w:rsid w:val="00712ED6"/>
    <w:rsid w:val="00716105"/>
    <w:rsid w:val="00716DFD"/>
    <w:rsid w:val="00717D87"/>
    <w:rsid w:val="007248C4"/>
    <w:rsid w:val="007279D2"/>
    <w:rsid w:val="0073003B"/>
    <w:rsid w:val="00730D6D"/>
    <w:rsid w:val="00731FB9"/>
    <w:rsid w:val="007331D2"/>
    <w:rsid w:val="00741DC7"/>
    <w:rsid w:val="007428C7"/>
    <w:rsid w:val="00743915"/>
    <w:rsid w:val="0074523A"/>
    <w:rsid w:val="00747CDF"/>
    <w:rsid w:val="00751A94"/>
    <w:rsid w:val="00754B31"/>
    <w:rsid w:val="00756D37"/>
    <w:rsid w:val="0076190F"/>
    <w:rsid w:val="00762A7C"/>
    <w:rsid w:val="00764BBE"/>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43D4"/>
    <w:rsid w:val="00796030"/>
    <w:rsid w:val="007962A6"/>
    <w:rsid w:val="00796712"/>
    <w:rsid w:val="007A097D"/>
    <w:rsid w:val="007A0BC3"/>
    <w:rsid w:val="007A1ACB"/>
    <w:rsid w:val="007A2872"/>
    <w:rsid w:val="007A3334"/>
    <w:rsid w:val="007A540E"/>
    <w:rsid w:val="007A6A27"/>
    <w:rsid w:val="007A6BC8"/>
    <w:rsid w:val="007A7945"/>
    <w:rsid w:val="007B0293"/>
    <w:rsid w:val="007B38A7"/>
    <w:rsid w:val="007B4143"/>
    <w:rsid w:val="007B4717"/>
    <w:rsid w:val="007B4E28"/>
    <w:rsid w:val="007B58B9"/>
    <w:rsid w:val="007B5B46"/>
    <w:rsid w:val="007B5CE4"/>
    <w:rsid w:val="007B65AB"/>
    <w:rsid w:val="007B6891"/>
    <w:rsid w:val="007B6F45"/>
    <w:rsid w:val="007C02D1"/>
    <w:rsid w:val="007C305A"/>
    <w:rsid w:val="007C636E"/>
    <w:rsid w:val="007C76F2"/>
    <w:rsid w:val="007C7BAF"/>
    <w:rsid w:val="007D04B8"/>
    <w:rsid w:val="007D086D"/>
    <w:rsid w:val="007D354B"/>
    <w:rsid w:val="007D6307"/>
    <w:rsid w:val="007D6AB8"/>
    <w:rsid w:val="007E0603"/>
    <w:rsid w:val="007E172B"/>
    <w:rsid w:val="007E1EF5"/>
    <w:rsid w:val="007E25E4"/>
    <w:rsid w:val="007E6087"/>
    <w:rsid w:val="007E6354"/>
    <w:rsid w:val="007E64DE"/>
    <w:rsid w:val="007E6532"/>
    <w:rsid w:val="007E65E1"/>
    <w:rsid w:val="007E79A0"/>
    <w:rsid w:val="007E7B3F"/>
    <w:rsid w:val="007F1F66"/>
    <w:rsid w:val="007F2A05"/>
    <w:rsid w:val="007F4407"/>
    <w:rsid w:val="007F6273"/>
    <w:rsid w:val="007F75BA"/>
    <w:rsid w:val="00800641"/>
    <w:rsid w:val="00801F6B"/>
    <w:rsid w:val="008027F2"/>
    <w:rsid w:val="00803119"/>
    <w:rsid w:val="00803884"/>
    <w:rsid w:val="0081186D"/>
    <w:rsid w:val="00812FF1"/>
    <w:rsid w:val="00815EC2"/>
    <w:rsid w:val="0081756A"/>
    <w:rsid w:val="00817BB5"/>
    <w:rsid w:val="008201FA"/>
    <w:rsid w:val="008234EA"/>
    <w:rsid w:val="00826071"/>
    <w:rsid w:val="00826E84"/>
    <w:rsid w:val="00830986"/>
    <w:rsid w:val="00832312"/>
    <w:rsid w:val="00836749"/>
    <w:rsid w:val="0084143D"/>
    <w:rsid w:val="008415EA"/>
    <w:rsid w:val="008416D9"/>
    <w:rsid w:val="008441D0"/>
    <w:rsid w:val="008473B9"/>
    <w:rsid w:val="00847951"/>
    <w:rsid w:val="00847C64"/>
    <w:rsid w:val="00850BF6"/>
    <w:rsid w:val="00853828"/>
    <w:rsid w:val="00853A05"/>
    <w:rsid w:val="00853AA3"/>
    <w:rsid w:val="008546E5"/>
    <w:rsid w:val="0085490B"/>
    <w:rsid w:val="00855381"/>
    <w:rsid w:val="00855EC9"/>
    <w:rsid w:val="00857B5B"/>
    <w:rsid w:val="008614CC"/>
    <w:rsid w:val="0086265B"/>
    <w:rsid w:val="0086309F"/>
    <w:rsid w:val="008638A5"/>
    <w:rsid w:val="00864C7E"/>
    <w:rsid w:val="008659CE"/>
    <w:rsid w:val="00866A07"/>
    <w:rsid w:val="0087213E"/>
    <w:rsid w:val="008758D4"/>
    <w:rsid w:val="00877B42"/>
    <w:rsid w:val="00877D7C"/>
    <w:rsid w:val="00881288"/>
    <w:rsid w:val="0088400C"/>
    <w:rsid w:val="00884148"/>
    <w:rsid w:val="00884812"/>
    <w:rsid w:val="008848C4"/>
    <w:rsid w:val="00884B61"/>
    <w:rsid w:val="008870EB"/>
    <w:rsid w:val="00892807"/>
    <w:rsid w:val="008932E1"/>
    <w:rsid w:val="00894273"/>
    <w:rsid w:val="008956AA"/>
    <w:rsid w:val="00897A05"/>
    <w:rsid w:val="008A1159"/>
    <w:rsid w:val="008A1573"/>
    <w:rsid w:val="008A233A"/>
    <w:rsid w:val="008A460F"/>
    <w:rsid w:val="008A60AE"/>
    <w:rsid w:val="008A64DD"/>
    <w:rsid w:val="008B21BC"/>
    <w:rsid w:val="008B270A"/>
    <w:rsid w:val="008B7D4E"/>
    <w:rsid w:val="008C1F18"/>
    <w:rsid w:val="008C266D"/>
    <w:rsid w:val="008C37E8"/>
    <w:rsid w:val="008C40B1"/>
    <w:rsid w:val="008D28E1"/>
    <w:rsid w:val="008D3B3F"/>
    <w:rsid w:val="008D43A8"/>
    <w:rsid w:val="008D46FC"/>
    <w:rsid w:val="008D5416"/>
    <w:rsid w:val="008D58F4"/>
    <w:rsid w:val="008D7C22"/>
    <w:rsid w:val="008E0D53"/>
    <w:rsid w:val="008E0DC4"/>
    <w:rsid w:val="008E5A33"/>
    <w:rsid w:val="008E5E71"/>
    <w:rsid w:val="008E736C"/>
    <w:rsid w:val="008E7959"/>
    <w:rsid w:val="008F0749"/>
    <w:rsid w:val="008F4E82"/>
    <w:rsid w:val="008F5A51"/>
    <w:rsid w:val="008F6C8E"/>
    <w:rsid w:val="00900916"/>
    <w:rsid w:val="009019A8"/>
    <w:rsid w:val="00903E21"/>
    <w:rsid w:val="0090431D"/>
    <w:rsid w:val="009048A7"/>
    <w:rsid w:val="00905638"/>
    <w:rsid w:val="00910872"/>
    <w:rsid w:val="00913279"/>
    <w:rsid w:val="00913AC7"/>
    <w:rsid w:val="00915026"/>
    <w:rsid w:val="00915CB8"/>
    <w:rsid w:val="00915E1E"/>
    <w:rsid w:val="00916347"/>
    <w:rsid w:val="009215C2"/>
    <w:rsid w:val="00922F61"/>
    <w:rsid w:val="00922F8C"/>
    <w:rsid w:val="00926758"/>
    <w:rsid w:val="00927131"/>
    <w:rsid w:val="009319F4"/>
    <w:rsid w:val="00933E27"/>
    <w:rsid w:val="00934D26"/>
    <w:rsid w:val="00937325"/>
    <w:rsid w:val="00937C87"/>
    <w:rsid w:val="00940831"/>
    <w:rsid w:val="00940E97"/>
    <w:rsid w:val="00943435"/>
    <w:rsid w:val="00945CB8"/>
    <w:rsid w:val="00947B77"/>
    <w:rsid w:val="009502F9"/>
    <w:rsid w:val="00950D76"/>
    <w:rsid w:val="00950ED4"/>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3208"/>
    <w:rsid w:val="00983A37"/>
    <w:rsid w:val="00983F77"/>
    <w:rsid w:val="00986D91"/>
    <w:rsid w:val="00992901"/>
    <w:rsid w:val="009948FA"/>
    <w:rsid w:val="00996BDA"/>
    <w:rsid w:val="0099716B"/>
    <w:rsid w:val="009973CB"/>
    <w:rsid w:val="009A5A8E"/>
    <w:rsid w:val="009B1B0E"/>
    <w:rsid w:val="009B2DAB"/>
    <w:rsid w:val="009B3CF8"/>
    <w:rsid w:val="009B614F"/>
    <w:rsid w:val="009C04AF"/>
    <w:rsid w:val="009C11B4"/>
    <w:rsid w:val="009C1532"/>
    <w:rsid w:val="009C166D"/>
    <w:rsid w:val="009C1F1B"/>
    <w:rsid w:val="009C3818"/>
    <w:rsid w:val="009C3A1D"/>
    <w:rsid w:val="009C3C89"/>
    <w:rsid w:val="009C5A71"/>
    <w:rsid w:val="009C6467"/>
    <w:rsid w:val="009D07C4"/>
    <w:rsid w:val="009D3C99"/>
    <w:rsid w:val="009D41AB"/>
    <w:rsid w:val="009D4333"/>
    <w:rsid w:val="009D443C"/>
    <w:rsid w:val="009D4BA7"/>
    <w:rsid w:val="009D7D07"/>
    <w:rsid w:val="009E03A4"/>
    <w:rsid w:val="009E0F24"/>
    <w:rsid w:val="009E263E"/>
    <w:rsid w:val="009E29E8"/>
    <w:rsid w:val="009E2E2A"/>
    <w:rsid w:val="009E4128"/>
    <w:rsid w:val="009E4A04"/>
    <w:rsid w:val="009F2202"/>
    <w:rsid w:val="009F3790"/>
    <w:rsid w:val="009F39DF"/>
    <w:rsid w:val="009F5B25"/>
    <w:rsid w:val="009F6813"/>
    <w:rsid w:val="00A03F49"/>
    <w:rsid w:val="00A03F8F"/>
    <w:rsid w:val="00A042BC"/>
    <w:rsid w:val="00A045F2"/>
    <w:rsid w:val="00A071E9"/>
    <w:rsid w:val="00A1008C"/>
    <w:rsid w:val="00A1369B"/>
    <w:rsid w:val="00A15402"/>
    <w:rsid w:val="00A16D8E"/>
    <w:rsid w:val="00A20875"/>
    <w:rsid w:val="00A220A4"/>
    <w:rsid w:val="00A244C7"/>
    <w:rsid w:val="00A33F9B"/>
    <w:rsid w:val="00A361DB"/>
    <w:rsid w:val="00A363DD"/>
    <w:rsid w:val="00A36DDE"/>
    <w:rsid w:val="00A36E65"/>
    <w:rsid w:val="00A37912"/>
    <w:rsid w:val="00A37EDE"/>
    <w:rsid w:val="00A41789"/>
    <w:rsid w:val="00A41A9E"/>
    <w:rsid w:val="00A43BA2"/>
    <w:rsid w:val="00A45EE8"/>
    <w:rsid w:val="00A462A9"/>
    <w:rsid w:val="00A479FA"/>
    <w:rsid w:val="00A51D86"/>
    <w:rsid w:val="00A52408"/>
    <w:rsid w:val="00A534FC"/>
    <w:rsid w:val="00A538A9"/>
    <w:rsid w:val="00A54AEE"/>
    <w:rsid w:val="00A55E82"/>
    <w:rsid w:val="00A56228"/>
    <w:rsid w:val="00A576F9"/>
    <w:rsid w:val="00A60433"/>
    <w:rsid w:val="00A60BDF"/>
    <w:rsid w:val="00A61891"/>
    <w:rsid w:val="00A620E2"/>
    <w:rsid w:val="00A63444"/>
    <w:rsid w:val="00A63E30"/>
    <w:rsid w:val="00A6488A"/>
    <w:rsid w:val="00A660B5"/>
    <w:rsid w:val="00A70748"/>
    <w:rsid w:val="00A70A4D"/>
    <w:rsid w:val="00A71C66"/>
    <w:rsid w:val="00A73E9A"/>
    <w:rsid w:val="00A7487F"/>
    <w:rsid w:val="00A753B3"/>
    <w:rsid w:val="00A75C5D"/>
    <w:rsid w:val="00A805B7"/>
    <w:rsid w:val="00A8342D"/>
    <w:rsid w:val="00A84E9B"/>
    <w:rsid w:val="00A85D07"/>
    <w:rsid w:val="00A915DD"/>
    <w:rsid w:val="00A9286C"/>
    <w:rsid w:val="00A941FB"/>
    <w:rsid w:val="00A94490"/>
    <w:rsid w:val="00A95E07"/>
    <w:rsid w:val="00A96A4E"/>
    <w:rsid w:val="00A96FB6"/>
    <w:rsid w:val="00AA21E0"/>
    <w:rsid w:val="00AA345B"/>
    <w:rsid w:val="00AA556D"/>
    <w:rsid w:val="00AA6BA1"/>
    <w:rsid w:val="00AA7EF1"/>
    <w:rsid w:val="00AB0BA1"/>
    <w:rsid w:val="00AB1C9F"/>
    <w:rsid w:val="00AB328F"/>
    <w:rsid w:val="00AB4AC2"/>
    <w:rsid w:val="00AB4F34"/>
    <w:rsid w:val="00AB51A8"/>
    <w:rsid w:val="00AB714B"/>
    <w:rsid w:val="00AC0AE0"/>
    <w:rsid w:val="00AC45E1"/>
    <w:rsid w:val="00AC4EC9"/>
    <w:rsid w:val="00AC5582"/>
    <w:rsid w:val="00AC5D01"/>
    <w:rsid w:val="00AC70CA"/>
    <w:rsid w:val="00AC7111"/>
    <w:rsid w:val="00AC7C3F"/>
    <w:rsid w:val="00AD002D"/>
    <w:rsid w:val="00AD3E0D"/>
    <w:rsid w:val="00AD468B"/>
    <w:rsid w:val="00AD4F7B"/>
    <w:rsid w:val="00AD7954"/>
    <w:rsid w:val="00AE08D5"/>
    <w:rsid w:val="00AE23FB"/>
    <w:rsid w:val="00AE256C"/>
    <w:rsid w:val="00AE5058"/>
    <w:rsid w:val="00AE6691"/>
    <w:rsid w:val="00AF4BF2"/>
    <w:rsid w:val="00AF4DA4"/>
    <w:rsid w:val="00AF592A"/>
    <w:rsid w:val="00AF7546"/>
    <w:rsid w:val="00B00C4E"/>
    <w:rsid w:val="00B02499"/>
    <w:rsid w:val="00B02796"/>
    <w:rsid w:val="00B02A3F"/>
    <w:rsid w:val="00B03235"/>
    <w:rsid w:val="00B03A57"/>
    <w:rsid w:val="00B04A35"/>
    <w:rsid w:val="00B04BE1"/>
    <w:rsid w:val="00B050D9"/>
    <w:rsid w:val="00B064F4"/>
    <w:rsid w:val="00B11AA4"/>
    <w:rsid w:val="00B123FB"/>
    <w:rsid w:val="00B1247F"/>
    <w:rsid w:val="00B153FA"/>
    <w:rsid w:val="00B16BBA"/>
    <w:rsid w:val="00B204DD"/>
    <w:rsid w:val="00B222E1"/>
    <w:rsid w:val="00B22A17"/>
    <w:rsid w:val="00B22B9F"/>
    <w:rsid w:val="00B22F78"/>
    <w:rsid w:val="00B24624"/>
    <w:rsid w:val="00B27131"/>
    <w:rsid w:val="00B27951"/>
    <w:rsid w:val="00B31892"/>
    <w:rsid w:val="00B32689"/>
    <w:rsid w:val="00B331EC"/>
    <w:rsid w:val="00B35F83"/>
    <w:rsid w:val="00B36A30"/>
    <w:rsid w:val="00B42F31"/>
    <w:rsid w:val="00B43C12"/>
    <w:rsid w:val="00B43D92"/>
    <w:rsid w:val="00B4581E"/>
    <w:rsid w:val="00B51050"/>
    <w:rsid w:val="00B52CAD"/>
    <w:rsid w:val="00B53EAF"/>
    <w:rsid w:val="00B554D6"/>
    <w:rsid w:val="00B624EF"/>
    <w:rsid w:val="00B6454E"/>
    <w:rsid w:val="00B65BCA"/>
    <w:rsid w:val="00B6639B"/>
    <w:rsid w:val="00B66F84"/>
    <w:rsid w:val="00B675A3"/>
    <w:rsid w:val="00B67947"/>
    <w:rsid w:val="00B74EA2"/>
    <w:rsid w:val="00B756A5"/>
    <w:rsid w:val="00B7570D"/>
    <w:rsid w:val="00B80E36"/>
    <w:rsid w:val="00B84F6E"/>
    <w:rsid w:val="00B9039A"/>
    <w:rsid w:val="00B9500B"/>
    <w:rsid w:val="00B970C0"/>
    <w:rsid w:val="00BA1D80"/>
    <w:rsid w:val="00BA4E6F"/>
    <w:rsid w:val="00BA56A8"/>
    <w:rsid w:val="00BA5AFC"/>
    <w:rsid w:val="00BA71DA"/>
    <w:rsid w:val="00BA784F"/>
    <w:rsid w:val="00BA7A1E"/>
    <w:rsid w:val="00BA7E32"/>
    <w:rsid w:val="00BB3F28"/>
    <w:rsid w:val="00BB4FD9"/>
    <w:rsid w:val="00BB5711"/>
    <w:rsid w:val="00BB5722"/>
    <w:rsid w:val="00BB6693"/>
    <w:rsid w:val="00BB6BB6"/>
    <w:rsid w:val="00BB6CD0"/>
    <w:rsid w:val="00BC02E9"/>
    <w:rsid w:val="00BC17E4"/>
    <w:rsid w:val="00BC3EC5"/>
    <w:rsid w:val="00BC43BF"/>
    <w:rsid w:val="00BC46B6"/>
    <w:rsid w:val="00BC47DA"/>
    <w:rsid w:val="00BC5546"/>
    <w:rsid w:val="00BD235F"/>
    <w:rsid w:val="00BD2771"/>
    <w:rsid w:val="00BD35AA"/>
    <w:rsid w:val="00BD3C78"/>
    <w:rsid w:val="00BD6505"/>
    <w:rsid w:val="00BE57BB"/>
    <w:rsid w:val="00BE7092"/>
    <w:rsid w:val="00BE7118"/>
    <w:rsid w:val="00BF0C25"/>
    <w:rsid w:val="00BF362A"/>
    <w:rsid w:val="00BF5AD6"/>
    <w:rsid w:val="00BF7869"/>
    <w:rsid w:val="00C01239"/>
    <w:rsid w:val="00C06004"/>
    <w:rsid w:val="00C06389"/>
    <w:rsid w:val="00C11279"/>
    <w:rsid w:val="00C11A18"/>
    <w:rsid w:val="00C126D6"/>
    <w:rsid w:val="00C128FC"/>
    <w:rsid w:val="00C12B98"/>
    <w:rsid w:val="00C13A67"/>
    <w:rsid w:val="00C13CD5"/>
    <w:rsid w:val="00C13D18"/>
    <w:rsid w:val="00C145F6"/>
    <w:rsid w:val="00C157A7"/>
    <w:rsid w:val="00C16735"/>
    <w:rsid w:val="00C2045C"/>
    <w:rsid w:val="00C2145F"/>
    <w:rsid w:val="00C218B8"/>
    <w:rsid w:val="00C231AA"/>
    <w:rsid w:val="00C26633"/>
    <w:rsid w:val="00C27AAC"/>
    <w:rsid w:val="00C3103D"/>
    <w:rsid w:val="00C335A8"/>
    <w:rsid w:val="00C34013"/>
    <w:rsid w:val="00C34810"/>
    <w:rsid w:val="00C362E2"/>
    <w:rsid w:val="00C4052B"/>
    <w:rsid w:val="00C409B6"/>
    <w:rsid w:val="00C40CD5"/>
    <w:rsid w:val="00C40DD3"/>
    <w:rsid w:val="00C41F61"/>
    <w:rsid w:val="00C42A8E"/>
    <w:rsid w:val="00C42EF8"/>
    <w:rsid w:val="00C44308"/>
    <w:rsid w:val="00C45B10"/>
    <w:rsid w:val="00C46A25"/>
    <w:rsid w:val="00C47E88"/>
    <w:rsid w:val="00C500A8"/>
    <w:rsid w:val="00C51B7F"/>
    <w:rsid w:val="00C529B0"/>
    <w:rsid w:val="00C52E9B"/>
    <w:rsid w:val="00C53D9F"/>
    <w:rsid w:val="00C540CA"/>
    <w:rsid w:val="00C556AB"/>
    <w:rsid w:val="00C56B62"/>
    <w:rsid w:val="00C60D14"/>
    <w:rsid w:val="00C62138"/>
    <w:rsid w:val="00C64E46"/>
    <w:rsid w:val="00C650CF"/>
    <w:rsid w:val="00C65690"/>
    <w:rsid w:val="00C66F2D"/>
    <w:rsid w:val="00C672CD"/>
    <w:rsid w:val="00C67A41"/>
    <w:rsid w:val="00C67C95"/>
    <w:rsid w:val="00C67CE6"/>
    <w:rsid w:val="00C70118"/>
    <w:rsid w:val="00C71154"/>
    <w:rsid w:val="00C71160"/>
    <w:rsid w:val="00C7208B"/>
    <w:rsid w:val="00C72B48"/>
    <w:rsid w:val="00C72C30"/>
    <w:rsid w:val="00C737F2"/>
    <w:rsid w:val="00C74467"/>
    <w:rsid w:val="00C75DFF"/>
    <w:rsid w:val="00C77D00"/>
    <w:rsid w:val="00C8054F"/>
    <w:rsid w:val="00C8214A"/>
    <w:rsid w:val="00C825E5"/>
    <w:rsid w:val="00C8345C"/>
    <w:rsid w:val="00C849B4"/>
    <w:rsid w:val="00C85A2E"/>
    <w:rsid w:val="00C85CD7"/>
    <w:rsid w:val="00C91A6F"/>
    <w:rsid w:val="00C91E33"/>
    <w:rsid w:val="00C930C8"/>
    <w:rsid w:val="00C95611"/>
    <w:rsid w:val="00C97FC1"/>
    <w:rsid w:val="00CA0572"/>
    <w:rsid w:val="00CA2E6E"/>
    <w:rsid w:val="00CA45CB"/>
    <w:rsid w:val="00CA4C3A"/>
    <w:rsid w:val="00CA4E57"/>
    <w:rsid w:val="00CA7AA6"/>
    <w:rsid w:val="00CA7ADA"/>
    <w:rsid w:val="00CA7C07"/>
    <w:rsid w:val="00CA7EAE"/>
    <w:rsid w:val="00CA7F1D"/>
    <w:rsid w:val="00CB5C38"/>
    <w:rsid w:val="00CB5FF7"/>
    <w:rsid w:val="00CC0581"/>
    <w:rsid w:val="00CC1C87"/>
    <w:rsid w:val="00CC1F8C"/>
    <w:rsid w:val="00CC29B3"/>
    <w:rsid w:val="00CC2EA8"/>
    <w:rsid w:val="00CC5112"/>
    <w:rsid w:val="00CC5500"/>
    <w:rsid w:val="00CC6E48"/>
    <w:rsid w:val="00CD1F31"/>
    <w:rsid w:val="00CD3A31"/>
    <w:rsid w:val="00CD4DE8"/>
    <w:rsid w:val="00CD5841"/>
    <w:rsid w:val="00CD5A8F"/>
    <w:rsid w:val="00CD611D"/>
    <w:rsid w:val="00CD6238"/>
    <w:rsid w:val="00CD6617"/>
    <w:rsid w:val="00CD6876"/>
    <w:rsid w:val="00CD6D28"/>
    <w:rsid w:val="00CD6DE8"/>
    <w:rsid w:val="00CE0F1F"/>
    <w:rsid w:val="00CE2494"/>
    <w:rsid w:val="00CE2973"/>
    <w:rsid w:val="00CE3BC3"/>
    <w:rsid w:val="00CE4073"/>
    <w:rsid w:val="00CE5FC7"/>
    <w:rsid w:val="00CE719D"/>
    <w:rsid w:val="00CE724E"/>
    <w:rsid w:val="00CE7470"/>
    <w:rsid w:val="00CE7DD9"/>
    <w:rsid w:val="00CE7F68"/>
    <w:rsid w:val="00CF23A0"/>
    <w:rsid w:val="00CF4EFF"/>
    <w:rsid w:val="00CF55B7"/>
    <w:rsid w:val="00CF6B54"/>
    <w:rsid w:val="00CF723E"/>
    <w:rsid w:val="00CF74E9"/>
    <w:rsid w:val="00CF7AA5"/>
    <w:rsid w:val="00D02831"/>
    <w:rsid w:val="00D04C47"/>
    <w:rsid w:val="00D05EDE"/>
    <w:rsid w:val="00D069F8"/>
    <w:rsid w:val="00D07E4B"/>
    <w:rsid w:val="00D11711"/>
    <w:rsid w:val="00D1305D"/>
    <w:rsid w:val="00D1318A"/>
    <w:rsid w:val="00D13CEA"/>
    <w:rsid w:val="00D13F20"/>
    <w:rsid w:val="00D144B1"/>
    <w:rsid w:val="00D14FD9"/>
    <w:rsid w:val="00D15014"/>
    <w:rsid w:val="00D15AA1"/>
    <w:rsid w:val="00D164BC"/>
    <w:rsid w:val="00D20047"/>
    <w:rsid w:val="00D203E4"/>
    <w:rsid w:val="00D23481"/>
    <w:rsid w:val="00D25C63"/>
    <w:rsid w:val="00D279F0"/>
    <w:rsid w:val="00D33B6C"/>
    <w:rsid w:val="00D3496C"/>
    <w:rsid w:val="00D36A13"/>
    <w:rsid w:val="00D36A9F"/>
    <w:rsid w:val="00D42E23"/>
    <w:rsid w:val="00D466A8"/>
    <w:rsid w:val="00D46E14"/>
    <w:rsid w:val="00D474D0"/>
    <w:rsid w:val="00D51004"/>
    <w:rsid w:val="00D5128D"/>
    <w:rsid w:val="00D52E5B"/>
    <w:rsid w:val="00D52EC1"/>
    <w:rsid w:val="00D57662"/>
    <w:rsid w:val="00D579E6"/>
    <w:rsid w:val="00D61246"/>
    <w:rsid w:val="00D61FF9"/>
    <w:rsid w:val="00D62480"/>
    <w:rsid w:val="00D629E3"/>
    <w:rsid w:val="00D64273"/>
    <w:rsid w:val="00D649DE"/>
    <w:rsid w:val="00D64C4F"/>
    <w:rsid w:val="00D66DDB"/>
    <w:rsid w:val="00D704C8"/>
    <w:rsid w:val="00D70766"/>
    <w:rsid w:val="00D7252C"/>
    <w:rsid w:val="00D7768F"/>
    <w:rsid w:val="00D80496"/>
    <w:rsid w:val="00D82691"/>
    <w:rsid w:val="00D82717"/>
    <w:rsid w:val="00D829A3"/>
    <w:rsid w:val="00D837B0"/>
    <w:rsid w:val="00D83FBA"/>
    <w:rsid w:val="00D87ACE"/>
    <w:rsid w:val="00D906B2"/>
    <w:rsid w:val="00D91F3E"/>
    <w:rsid w:val="00D92325"/>
    <w:rsid w:val="00D95A1B"/>
    <w:rsid w:val="00DA1EA0"/>
    <w:rsid w:val="00DA2E83"/>
    <w:rsid w:val="00DA3868"/>
    <w:rsid w:val="00DA3A68"/>
    <w:rsid w:val="00DA4E7C"/>
    <w:rsid w:val="00DB277C"/>
    <w:rsid w:val="00DB3FB8"/>
    <w:rsid w:val="00DB5A7F"/>
    <w:rsid w:val="00DB7733"/>
    <w:rsid w:val="00DB7DC5"/>
    <w:rsid w:val="00DC0C32"/>
    <w:rsid w:val="00DC12CC"/>
    <w:rsid w:val="00DC175C"/>
    <w:rsid w:val="00DC69D9"/>
    <w:rsid w:val="00DC7159"/>
    <w:rsid w:val="00DC7C06"/>
    <w:rsid w:val="00DC7E08"/>
    <w:rsid w:val="00DD0CD5"/>
    <w:rsid w:val="00DD1932"/>
    <w:rsid w:val="00DD2423"/>
    <w:rsid w:val="00DD4191"/>
    <w:rsid w:val="00DD68FE"/>
    <w:rsid w:val="00DD732B"/>
    <w:rsid w:val="00DE00CB"/>
    <w:rsid w:val="00DE02CA"/>
    <w:rsid w:val="00DE224D"/>
    <w:rsid w:val="00DE41C5"/>
    <w:rsid w:val="00DF43D9"/>
    <w:rsid w:val="00DF59CE"/>
    <w:rsid w:val="00DF7F84"/>
    <w:rsid w:val="00E022A1"/>
    <w:rsid w:val="00E0245B"/>
    <w:rsid w:val="00E02A52"/>
    <w:rsid w:val="00E0447A"/>
    <w:rsid w:val="00E052B8"/>
    <w:rsid w:val="00E10780"/>
    <w:rsid w:val="00E12804"/>
    <w:rsid w:val="00E134FA"/>
    <w:rsid w:val="00E20394"/>
    <w:rsid w:val="00E20851"/>
    <w:rsid w:val="00E22006"/>
    <w:rsid w:val="00E22EA8"/>
    <w:rsid w:val="00E23058"/>
    <w:rsid w:val="00E25D40"/>
    <w:rsid w:val="00E2713F"/>
    <w:rsid w:val="00E319EF"/>
    <w:rsid w:val="00E31CB8"/>
    <w:rsid w:val="00E31FB7"/>
    <w:rsid w:val="00E332FF"/>
    <w:rsid w:val="00E354BF"/>
    <w:rsid w:val="00E361ED"/>
    <w:rsid w:val="00E40395"/>
    <w:rsid w:val="00E40CA6"/>
    <w:rsid w:val="00E41747"/>
    <w:rsid w:val="00E44D06"/>
    <w:rsid w:val="00E46240"/>
    <w:rsid w:val="00E5231C"/>
    <w:rsid w:val="00E54144"/>
    <w:rsid w:val="00E547F7"/>
    <w:rsid w:val="00E56E87"/>
    <w:rsid w:val="00E57404"/>
    <w:rsid w:val="00E57797"/>
    <w:rsid w:val="00E57A6E"/>
    <w:rsid w:val="00E64BEF"/>
    <w:rsid w:val="00E64E18"/>
    <w:rsid w:val="00E66BEB"/>
    <w:rsid w:val="00E71771"/>
    <w:rsid w:val="00E71F80"/>
    <w:rsid w:val="00E73985"/>
    <w:rsid w:val="00E7452D"/>
    <w:rsid w:val="00E74CB0"/>
    <w:rsid w:val="00E81B7C"/>
    <w:rsid w:val="00E83159"/>
    <w:rsid w:val="00E85AC5"/>
    <w:rsid w:val="00E864E9"/>
    <w:rsid w:val="00E865E5"/>
    <w:rsid w:val="00E909E3"/>
    <w:rsid w:val="00E91D41"/>
    <w:rsid w:val="00E95056"/>
    <w:rsid w:val="00E9742F"/>
    <w:rsid w:val="00EA372C"/>
    <w:rsid w:val="00EB020F"/>
    <w:rsid w:val="00EB33A4"/>
    <w:rsid w:val="00EB6216"/>
    <w:rsid w:val="00EB6CF0"/>
    <w:rsid w:val="00EC0196"/>
    <w:rsid w:val="00EC1274"/>
    <w:rsid w:val="00EC285A"/>
    <w:rsid w:val="00EC3047"/>
    <w:rsid w:val="00EC4067"/>
    <w:rsid w:val="00EC4F2E"/>
    <w:rsid w:val="00EC5B81"/>
    <w:rsid w:val="00EC5C68"/>
    <w:rsid w:val="00EC6576"/>
    <w:rsid w:val="00ED3627"/>
    <w:rsid w:val="00ED37B8"/>
    <w:rsid w:val="00ED3C94"/>
    <w:rsid w:val="00ED5B5F"/>
    <w:rsid w:val="00ED67BB"/>
    <w:rsid w:val="00EE1B70"/>
    <w:rsid w:val="00EE1C1D"/>
    <w:rsid w:val="00EE3EC4"/>
    <w:rsid w:val="00EE53C1"/>
    <w:rsid w:val="00EF0C39"/>
    <w:rsid w:val="00EF157F"/>
    <w:rsid w:val="00EF36E1"/>
    <w:rsid w:val="00EF4A73"/>
    <w:rsid w:val="00EF6C8B"/>
    <w:rsid w:val="00EF7B71"/>
    <w:rsid w:val="00F028A5"/>
    <w:rsid w:val="00F02ACE"/>
    <w:rsid w:val="00F02E9C"/>
    <w:rsid w:val="00F03463"/>
    <w:rsid w:val="00F03E2D"/>
    <w:rsid w:val="00F04516"/>
    <w:rsid w:val="00F05082"/>
    <w:rsid w:val="00F06AF6"/>
    <w:rsid w:val="00F104DF"/>
    <w:rsid w:val="00F11FD9"/>
    <w:rsid w:val="00F1561E"/>
    <w:rsid w:val="00F15D30"/>
    <w:rsid w:val="00F16F36"/>
    <w:rsid w:val="00F20567"/>
    <w:rsid w:val="00F21BA6"/>
    <w:rsid w:val="00F26C65"/>
    <w:rsid w:val="00F316B5"/>
    <w:rsid w:val="00F378E3"/>
    <w:rsid w:val="00F42088"/>
    <w:rsid w:val="00F42D17"/>
    <w:rsid w:val="00F43789"/>
    <w:rsid w:val="00F47855"/>
    <w:rsid w:val="00F50072"/>
    <w:rsid w:val="00F507C6"/>
    <w:rsid w:val="00F51CCB"/>
    <w:rsid w:val="00F51D19"/>
    <w:rsid w:val="00F530A8"/>
    <w:rsid w:val="00F53362"/>
    <w:rsid w:val="00F53CF7"/>
    <w:rsid w:val="00F540AF"/>
    <w:rsid w:val="00F550A0"/>
    <w:rsid w:val="00F56036"/>
    <w:rsid w:val="00F56168"/>
    <w:rsid w:val="00F6097F"/>
    <w:rsid w:val="00F62018"/>
    <w:rsid w:val="00F62E83"/>
    <w:rsid w:val="00F65096"/>
    <w:rsid w:val="00F65D8D"/>
    <w:rsid w:val="00F65F80"/>
    <w:rsid w:val="00F70A24"/>
    <w:rsid w:val="00F71565"/>
    <w:rsid w:val="00F7237E"/>
    <w:rsid w:val="00F731E4"/>
    <w:rsid w:val="00F73D29"/>
    <w:rsid w:val="00F7642B"/>
    <w:rsid w:val="00F80790"/>
    <w:rsid w:val="00F846EC"/>
    <w:rsid w:val="00F8788F"/>
    <w:rsid w:val="00F87926"/>
    <w:rsid w:val="00F908B7"/>
    <w:rsid w:val="00F90E50"/>
    <w:rsid w:val="00F91851"/>
    <w:rsid w:val="00F933B4"/>
    <w:rsid w:val="00F936DE"/>
    <w:rsid w:val="00F93F64"/>
    <w:rsid w:val="00F955F5"/>
    <w:rsid w:val="00FA03D1"/>
    <w:rsid w:val="00FA2ED3"/>
    <w:rsid w:val="00FA3A0C"/>
    <w:rsid w:val="00FA3EA6"/>
    <w:rsid w:val="00FA6B8E"/>
    <w:rsid w:val="00FB00B1"/>
    <w:rsid w:val="00FB0201"/>
    <w:rsid w:val="00FB0D59"/>
    <w:rsid w:val="00FB1BAA"/>
    <w:rsid w:val="00FB1BCD"/>
    <w:rsid w:val="00FB1D33"/>
    <w:rsid w:val="00FB7C3A"/>
    <w:rsid w:val="00FC01D5"/>
    <w:rsid w:val="00FC1B00"/>
    <w:rsid w:val="00FC2034"/>
    <w:rsid w:val="00FC387F"/>
    <w:rsid w:val="00FC5257"/>
    <w:rsid w:val="00FC6F1F"/>
    <w:rsid w:val="00FD34DC"/>
    <w:rsid w:val="00FD3D7D"/>
    <w:rsid w:val="00FD5141"/>
    <w:rsid w:val="00FD5CCF"/>
    <w:rsid w:val="00FD667D"/>
    <w:rsid w:val="00FD6D28"/>
    <w:rsid w:val="00FE58DC"/>
    <w:rsid w:val="00FE609B"/>
    <w:rsid w:val="00FE62B8"/>
    <w:rsid w:val="00FE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1D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E83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0364341">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2819872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2801422">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9036356">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1847234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44496349">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5804432">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74206638">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547012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9816189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68659197">
      <w:bodyDiv w:val="1"/>
      <w:marLeft w:val="0"/>
      <w:marRight w:val="0"/>
      <w:marTop w:val="0"/>
      <w:marBottom w:val="0"/>
      <w:divBdr>
        <w:top w:val="none" w:sz="0" w:space="0" w:color="auto"/>
        <w:left w:val="none" w:sz="0" w:space="0" w:color="auto"/>
        <w:bottom w:val="none" w:sz="0" w:space="0" w:color="auto"/>
        <w:right w:val="none" w:sz="0" w:space="0" w:color="auto"/>
      </w:divBdr>
    </w:div>
    <w:div w:id="1270091683">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6651120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2694892">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66712973">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1605226">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80582109">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377904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12105293">
      <w:bodyDiv w:val="1"/>
      <w:marLeft w:val="0"/>
      <w:marRight w:val="0"/>
      <w:marTop w:val="0"/>
      <w:marBottom w:val="0"/>
      <w:divBdr>
        <w:top w:val="none" w:sz="0" w:space="0" w:color="auto"/>
        <w:left w:val="none" w:sz="0" w:space="0" w:color="auto"/>
        <w:bottom w:val="none" w:sz="0" w:space="0" w:color="auto"/>
        <w:right w:val="none" w:sz="0" w:space="0" w:color="auto"/>
      </w:divBdr>
    </w:div>
    <w:div w:id="2015182240">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consultas.curp.gob.mx/CurpSP/html/informacionecurpP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dof.gob.mx/2021/SSPC/SEGURIDADyPC_260121.pdf" TargetMode="External"/><Relationship Id="rId23" Type="http://schemas.openxmlformats.org/officeDocument/2006/relationships/theme" Target="theme/theme1.xml"/><Relationship Id="rId10" Type="http://schemas.openxmlformats.org/officeDocument/2006/relationships/hyperlink" Target="http://www.apartados.hacienda.gob.mx/contabilidad/documentos/informe_cuenta/1998/cuenta_p&#250;blica/Glosario/n.ht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transparenciapresupuestaria.gob.mx/es/PTP/Glosario" TargetMode="External"/><Relationship Id="rId14" Type="http://schemas.openxmlformats.org/officeDocument/2006/relationships/hyperlink" Target="https://secretariadoejecutivo.gob.mx//doc/Actualizacion_Diagnostico_Nacional_MOFP.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7B8DC0C3-0B68-4E04-AC35-6445EB60DA3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10894</Words>
  <Characters>59923</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Roxana Lechuga</cp:lastModifiedBy>
  <cp:revision>4</cp:revision>
  <cp:lastPrinted>2025-10-24T00:47:00Z</cp:lastPrinted>
  <dcterms:created xsi:type="dcterms:W3CDTF">2025-10-24T00:47:00Z</dcterms:created>
  <dcterms:modified xsi:type="dcterms:W3CDTF">2025-12-14T20:15:00Z</dcterms:modified>
</cp:coreProperties>
</file>