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67" w:rsidRPr="007F0CCE" w:rsidRDefault="005C297E"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veintiséis de marzo de dos mil veinticinco.</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bookmarkStart w:id="0" w:name="_heading=h.8bnivzq00mx4" w:colFirst="0" w:colLast="0"/>
      <w:bookmarkEnd w:id="0"/>
    </w:p>
    <w:p w:rsidR="00100C67" w:rsidRPr="007F0CCE" w:rsidRDefault="005C297E"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b/>
          <w:color w:val="000000"/>
        </w:rPr>
        <w:t>VISTO</w:t>
      </w:r>
      <w:r w:rsidRPr="007F0CCE">
        <w:rPr>
          <w:rFonts w:ascii="Palatino Linotype" w:eastAsia="Palatino Linotype" w:hAnsi="Palatino Linotype" w:cs="Palatino Linotype"/>
          <w:color w:val="000000"/>
        </w:rPr>
        <w:t xml:space="preserve"> el expediente electrónico formado con motivo del Recursos de Revisión </w:t>
      </w:r>
      <w:r w:rsidRPr="007F0CCE">
        <w:rPr>
          <w:rFonts w:ascii="Palatino Linotype" w:eastAsia="Palatino Linotype" w:hAnsi="Palatino Linotype" w:cs="Palatino Linotype"/>
          <w:b/>
          <w:color w:val="000000"/>
        </w:rPr>
        <w:t xml:space="preserve">04598/INFOEM/IP/RR/2024 </w:t>
      </w:r>
      <w:r w:rsidRPr="007F0CCE">
        <w:rPr>
          <w:rFonts w:ascii="Palatino Linotype" w:eastAsia="Palatino Linotype" w:hAnsi="Palatino Linotype" w:cs="Palatino Linotype"/>
          <w:color w:val="000000"/>
        </w:rPr>
        <w:t>promovido por</w:t>
      </w:r>
      <w:r w:rsidRPr="007F0CCE">
        <w:rPr>
          <w:rFonts w:ascii="Palatino Linotype" w:eastAsia="Palatino Linotype" w:hAnsi="Palatino Linotype" w:cs="Palatino Linotype"/>
          <w:b/>
        </w:rPr>
        <w:t xml:space="preserve"> </w:t>
      </w:r>
      <w:r w:rsidR="000E4CAE">
        <w:rPr>
          <w:rFonts w:ascii="Palatino Linotype" w:eastAsia="Palatino Linotype" w:hAnsi="Palatino Linotype" w:cs="Palatino Linotype"/>
          <w:b/>
        </w:rPr>
        <w:t>XXXX</w:t>
      </w:r>
      <w:r w:rsidRPr="007F0CCE">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sidRPr="007F0CCE">
        <w:rPr>
          <w:rFonts w:ascii="Palatino Linotype" w:eastAsia="Palatino Linotype" w:hAnsi="Palatino Linotype" w:cs="Palatino Linotype"/>
          <w:b/>
          <w:color w:val="000000"/>
        </w:rPr>
        <w:t>LA RECURRENTE</w:t>
      </w:r>
      <w:r w:rsidRPr="007F0CCE">
        <w:rPr>
          <w:rFonts w:ascii="Palatino Linotype" w:eastAsia="Palatino Linotype" w:hAnsi="Palatino Linotype" w:cs="Palatino Linotype"/>
          <w:color w:val="000000"/>
        </w:rPr>
        <w:t xml:space="preserve">, en contra de la respuesta del </w:t>
      </w:r>
      <w:r w:rsidRPr="007F0CCE">
        <w:rPr>
          <w:rFonts w:ascii="Palatino Linotype" w:eastAsia="Palatino Linotype" w:hAnsi="Palatino Linotype" w:cs="Palatino Linotype"/>
          <w:b/>
          <w:color w:val="000000"/>
        </w:rPr>
        <w:t>Instituto de Seguridad Social del Estado de México y Municipios</w:t>
      </w:r>
      <w:r w:rsidRPr="007F0CCE">
        <w:rPr>
          <w:rFonts w:ascii="Palatino Linotype" w:eastAsia="Palatino Linotype" w:hAnsi="Palatino Linotype" w:cs="Palatino Linotype"/>
          <w:color w:val="000000"/>
        </w:rPr>
        <w:t xml:space="preserve">, en </w:t>
      </w:r>
      <w:r w:rsidRPr="007F0CCE">
        <w:rPr>
          <w:rFonts w:ascii="Palatino Linotype" w:eastAsia="Palatino Linotype" w:hAnsi="Palatino Linotype" w:cs="Palatino Linotype"/>
        </w:rPr>
        <w:t>adelante</w:t>
      </w:r>
      <w:r w:rsidRPr="007F0CCE">
        <w:rPr>
          <w:rFonts w:ascii="Palatino Linotype" w:eastAsia="Palatino Linotype" w:hAnsi="Palatino Linotype" w:cs="Palatino Linotype"/>
          <w:color w:val="000000"/>
        </w:rPr>
        <w:t xml:space="preserve"> </w:t>
      </w:r>
      <w:r w:rsidRPr="007F0CCE">
        <w:rPr>
          <w:rFonts w:ascii="Palatino Linotype" w:eastAsia="Palatino Linotype" w:hAnsi="Palatino Linotype" w:cs="Palatino Linotype"/>
          <w:b/>
          <w:color w:val="000000"/>
        </w:rPr>
        <w:t>EL SUJETO OBLIGADO</w:t>
      </w:r>
      <w:r w:rsidRPr="007F0CCE">
        <w:rPr>
          <w:rFonts w:ascii="Palatino Linotype" w:eastAsia="Palatino Linotype" w:hAnsi="Palatino Linotype" w:cs="Palatino Linotype"/>
          <w:color w:val="000000"/>
        </w:rPr>
        <w:t>, se procede a dictar la presente Resolución, con base en los siguientes:</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pBdr>
          <w:top w:val="nil"/>
          <w:left w:val="nil"/>
          <w:bottom w:val="nil"/>
          <w:right w:val="nil"/>
          <w:between w:val="nil"/>
        </w:pBdr>
        <w:spacing w:line="360" w:lineRule="auto"/>
        <w:ind w:right="-567"/>
        <w:jc w:val="center"/>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A N T E C E D E N T E S</w:t>
      </w:r>
    </w:p>
    <w:p w:rsidR="00100C67" w:rsidRPr="007F0CCE" w:rsidRDefault="00100C67" w:rsidP="00611665">
      <w:pPr>
        <w:spacing w:line="360" w:lineRule="auto"/>
        <w:ind w:right="-567"/>
        <w:rPr>
          <w:rFonts w:ascii="Palatino Linotype" w:eastAsia="Palatino Linotype" w:hAnsi="Palatino Linotype" w:cs="Palatino Linotype"/>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El </w:t>
      </w:r>
      <w:r w:rsidRPr="007F0CCE">
        <w:rPr>
          <w:rFonts w:ascii="Palatino Linotype" w:eastAsia="Palatino Linotype" w:hAnsi="Palatino Linotype" w:cs="Palatino Linotype"/>
          <w:b/>
          <w:color w:val="000000"/>
        </w:rPr>
        <w:t xml:space="preserve">quince de mayo de dos mil veinticuatro, </w:t>
      </w:r>
      <w:r w:rsidRPr="007F0CCE">
        <w:rPr>
          <w:rFonts w:ascii="Palatino Linotype" w:eastAsia="Palatino Linotype" w:hAnsi="Palatino Linotype" w:cs="Palatino Linotype"/>
          <w:color w:val="000000"/>
        </w:rPr>
        <w:t xml:space="preserve">se presentó ante el </w:t>
      </w:r>
      <w:r w:rsidRPr="007F0CCE">
        <w:rPr>
          <w:rFonts w:ascii="Palatino Linotype" w:eastAsia="Palatino Linotype" w:hAnsi="Palatino Linotype" w:cs="Palatino Linotype"/>
          <w:b/>
          <w:color w:val="000000"/>
        </w:rPr>
        <w:t>SUJETO OBLIGADO</w:t>
      </w:r>
      <w:r w:rsidRPr="007F0CCE">
        <w:rPr>
          <w:rFonts w:ascii="Palatino Linotype" w:eastAsia="Palatino Linotype" w:hAnsi="Palatino Linotype" w:cs="Palatino Linotype"/>
          <w:color w:val="000000"/>
        </w:rPr>
        <w:t xml:space="preserve"> vía Sistema de Acceso a la  Información Pública Mexiquense (SAIMEX), la solicitud de información pública registrada con el número </w:t>
      </w:r>
      <w:r w:rsidRPr="007F0CCE">
        <w:rPr>
          <w:rFonts w:ascii="Palatino Linotype" w:eastAsia="Palatino Linotype" w:hAnsi="Palatino Linotype" w:cs="Palatino Linotype"/>
          <w:b/>
          <w:color w:val="000000"/>
        </w:rPr>
        <w:t xml:space="preserve">00430/ISSEMYM/IP/2024, </w:t>
      </w:r>
      <w:r w:rsidRPr="007F0CCE">
        <w:rPr>
          <w:rFonts w:ascii="Palatino Linotype" w:eastAsia="Palatino Linotype" w:hAnsi="Palatino Linotype" w:cs="Palatino Linotype"/>
        </w:rPr>
        <w:t xml:space="preserve">en la que </w:t>
      </w:r>
      <w:r w:rsidRPr="007F0CCE">
        <w:rPr>
          <w:rFonts w:ascii="Palatino Linotype" w:eastAsia="Palatino Linotype" w:hAnsi="Palatino Linotype" w:cs="Palatino Linotype"/>
          <w:color w:val="000000"/>
        </w:rPr>
        <w:t>se solicitó la siguiente información:</w:t>
      </w:r>
    </w:p>
    <w:p w:rsidR="00100C67" w:rsidRPr="007F0CCE" w:rsidRDefault="00100C67" w:rsidP="00611665">
      <w:pPr>
        <w:spacing w:line="360" w:lineRule="auto"/>
        <w:ind w:right="-567"/>
        <w:jc w:val="both"/>
        <w:rPr>
          <w:rFonts w:ascii="Palatino Linotype" w:eastAsia="Palatino Linotype" w:hAnsi="Palatino Linotype" w:cs="Palatino Linotype"/>
          <w:i/>
        </w:rPr>
      </w:pPr>
    </w:p>
    <w:p w:rsidR="00100C67" w:rsidRPr="007F0CCE" w:rsidRDefault="005C297E"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“Solicito copia certificada de mi expediente médico completo del ISSEMYM con claves 440778-2 y 0593916 correspondientes a la solicitante </w:t>
      </w:r>
      <w:r w:rsidR="000E4CAE">
        <w:rPr>
          <w:rFonts w:ascii="Palatino Linotype" w:eastAsia="Palatino Linotype" w:hAnsi="Palatino Linotype" w:cs="Palatino Linotype"/>
          <w:i/>
          <w:color w:val="000000"/>
        </w:rPr>
        <w:t>XXXX</w:t>
      </w:r>
      <w:r w:rsidRPr="007F0CCE">
        <w:rPr>
          <w:rFonts w:ascii="Palatino Linotype" w:eastAsia="Palatino Linotype" w:hAnsi="Palatino Linotype" w:cs="Palatino Linotype"/>
          <w:i/>
          <w:color w:val="000000"/>
        </w:rPr>
        <w:t>”</w:t>
      </w:r>
    </w:p>
    <w:p w:rsidR="00100C67" w:rsidRPr="007F0CCE" w:rsidRDefault="00100C67"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rsidR="00100C67" w:rsidRPr="007F0CCE" w:rsidRDefault="005C297E" w:rsidP="00611665">
      <w:pPr>
        <w:numPr>
          <w:ilvl w:val="0"/>
          <w:numId w:val="1"/>
        </w:num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b/>
          <w:color w:val="000000"/>
        </w:rPr>
        <w:t>Modalidad de entrega</w:t>
      </w:r>
      <w:r w:rsidRPr="007F0CCE">
        <w:rPr>
          <w:rFonts w:ascii="Palatino Linotype" w:eastAsia="Palatino Linotype" w:hAnsi="Palatino Linotype" w:cs="Palatino Linotype"/>
          <w:color w:val="000000"/>
        </w:rPr>
        <w:t>: Copias Certificadas(con costo)</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lastRenderedPageBreak/>
        <w:t xml:space="preserve">El </w:t>
      </w:r>
      <w:r w:rsidRPr="007F0CCE">
        <w:rPr>
          <w:rFonts w:ascii="Palatino Linotype" w:eastAsia="Palatino Linotype" w:hAnsi="Palatino Linotype" w:cs="Palatino Linotype"/>
          <w:b/>
          <w:color w:val="000000"/>
        </w:rPr>
        <w:t xml:space="preserve">veintidós de mayo dos mil veinticuatro </w:t>
      </w:r>
      <w:r w:rsidRPr="007F0CCE">
        <w:rPr>
          <w:rFonts w:ascii="Palatino Linotype" w:eastAsia="Palatino Linotype" w:hAnsi="Palatino Linotype" w:cs="Palatino Linotype"/>
          <w:color w:val="000000"/>
        </w:rPr>
        <w:t xml:space="preserve">el </w:t>
      </w:r>
      <w:r w:rsidRPr="007F0CCE">
        <w:rPr>
          <w:rFonts w:ascii="Palatino Linotype" w:eastAsia="Palatino Linotype" w:hAnsi="Palatino Linotype" w:cs="Palatino Linotype"/>
          <w:b/>
          <w:color w:val="000000"/>
        </w:rPr>
        <w:t>SUJETO OBLIGADO</w:t>
      </w:r>
      <w:r w:rsidRPr="007F0CCE">
        <w:rPr>
          <w:rFonts w:ascii="Palatino Linotype" w:eastAsia="Palatino Linotype" w:hAnsi="Palatino Linotype" w:cs="Palatino Linotype"/>
          <w:color w:val="000000"/>
        </w:rPr>
        <w:t>, realizó una solicitud de aclaración, en los siguientes términos:</w:t>
      </w:r>
    </w:p>
    <w:p w:rsidR="00100C67" w:rsidRPr="007F0CCE" w:rsidRDefault="005C297E" w:rsidP="00611665">
      <w:pPr>
        <w:pBdr>
          <w:top w:val="nil"/>
          <w:left w:val="nil"/>
          <w:bottom w:val="nil"/>
          <w:right w:val="nil"/>
          <w:between w:val="nil"/>
        </w:pBdr>
        <w:spacing w:line="360" w:lineRule="auto"/>
        <w:ind w:right="-567"/>
        <w:jc w:val="center"/>
        <w:rPr>
          <w:rFonts w:ascii="Palatino Linotype" w:eastAsia="Palatino Linotype" w:hAnsi="Palatino Linotype" w:cs="Palatino Linotype"/>
          <w:color w:val="000000"/>
        </w:rPr>
      </w:pPr>
      <w:r w:rsidRPr="007F0CCE">
        <w:rPr>
          <w:rFonts w:ascii="Palatino Linotype" w:eastAsia="Palatino Linotype" w:hAnsi="Palatino Linotype" w:cs="Palatino Linotype"/>
          <w:noProof/>
          <w:color w:val="000000"/>
        </w:rPr>
        <w:drawing>
          <wp:inline distT="0" distB="0" distL="0" distR="0">
            <wp:extent cx="5486400" cy="270891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86400" cy="2708910"/>
                    </a:xfrm>
                    <a:prstGeom prst="rect">
                      <a:avLst/>
                    </a:prstGeom>
                    <a:ln/>
                  </pic:spPr>
                </pic:pic>
              </a:graphicData>
            </a:graphic>
          </wp:inline>
        </w:drawing>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El </w:t>
      </w:r>
      <w:r w:rsidRPr="007F0CCE">
        <w:rPr>
          <w:rFonts w:ascii="Palatino Linotype" w:eastAsia="Palatino Linotype" w:hAnsi="Palatino Linotype" w:cs="Palatino Linotype"/>
          <w:b/>
          <w:color w:val="000000"/>
        </w:rPr>
        <w:t xml:space="preserve">once de junio de dos mil veinticuatro </w:t>
      </w:r>
      <w:r w:rsidRPr="007F0CCE">
        <w:rPr>
          <w:rFonts w:ascii="Palatino Linotype" w:eastAsia="Palatino Linotype" w:hAnsi="Palatino Linotype" w:cs="Palatino Linotype"/>
          <w:color w:val="000000"/>
        </w:rPr>
        <w:t>el solicitante atendió la aclaración adjuntando cuatro archivos de nombres: INE LI 2023.pdf, INE LI 2023.pdf, INE LI 2023.pdf y INE LI 2023.pdf, cuyo contenido de los cuatro archivos es el mismo, a saber la credencial de elector emitida por el Instituto Nacional Electoral, a nombre de quien suscribe la solicitud de información.</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color w:val="000000"/>
        </w:rPr>
        <w:t xml:space="preserve">El </w:t>
      </w:r>
      <w:r w:rsidRPr="007F0CCE">
        <w:rPr>
          <w:rFonts w:ascii="Palatino Linotype" w:eastAsia="Palatino Linotype" w:hAnsi="Palatino Linotype" w:cs="Palatino Linotype"/>
          <w:b/>
          <w:color w:val="000000"/>
        </w:rPr>
        <w:t xml:space="preserve">uno de julio de dos mil veinticuatro, </w:t>
      </w:r>
      <w:r w:rsidRPr="007F0CCE">
        <w:rPr>
          <w:rFonts w:ascii="Palatino Linotype" w:eastAsia="Palatino Linotype" w:hAnsi="Palatino Linotype" w:cs="Palatino Linotype"/>
          <w:color w:val="000000"/>
        </w:rPr>
        <w:t xml:space="preserve">el </w:t>
      </w:r>
      <w:r w:rsidRPr="007F0CCE">
        <w:rPr>
          <w:rFonts w:ascii="Palatino Linotype" w:eastAsia="Palatino Linotype" w:hAnsi="Palatino Linotype" w:cs="Palatino Linotype"/>
          <w:b/>
          <w:color w:val="000000"/>
        </w:rPr>
        <w:t xml:space="preserve">SUJETO OBLIGADO </w:t>
      </w:r>
      <w:r w:rsidRPr="007F0CCE">
        <w:rPr>
          <w:rFonts w:ascii="Palatino Linotype" w:eastAsia="Palatino Linotype" w:hAnsi="Palatino Linotype" w:cs="Palatino Linotype"/>
          <w:color w:val="000000"/>
        </w:rPr>
        <w:t xml:space="preserve">dio respuesta a la solicitud de información mediante archivo suscrito por el Responsable y Titular de la Unidad de Transparencia, mediante el cual informa al solicitante que se localizaron los expedientes clínicos con distintas claves ISSEMYM, que constan de un total de 57 fojas, por lo que al no existir impedimento legal para brindar la información, se ponía a </w:t>
      </w:r>
      <w:r w:rsidRPr="007F0CCE">
        <w:rPr>
          <w:rFonts w:ascii="Palatino Linotype" w:eastAsia="Palatino Linotype" w:hAnsi="Palatino Linotype" w:cs="Palatino Linotype"/>
          <w:color w:val="000000"/>
        </w:rPr>
        <w:lastRenderedPageBreak/>
        <w:t>su disposición en copias certificadas, señalando para tal efecto el domicilio, horarios y costo total para la entrega de la información, previa acreditación de su identidad y personalidad.</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i/>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Inconforme con la respuesta, la solicitante el </w:t>
      </w:r>
      <w:r w:rsidRPr="007F0CCE">
        <w:rPr>
          <w:rFonts w:ascii="Palatino Linotype" w:eastAsia="Palatino Linotype" w:hAnsi="Palatino Linotype" w:cs="Palatino Linotype"/>
          <w:b/>
          <w:color w:val="000000"/>
        </w:rPr>
        <w:t>uno de julio de dos mil veinticuatro</w:t>
      </w:r>
      <w:r w:rsidRPr="007F0CCE">
        <w:rPr>
          <w:rFonts w:ascii="Palatino Linotype" w:eastAsia="Palatino Linotype" w:hAnsi="Palatino Linotype" w:cs="Palatino Linotype"/>
          <w:color w:val="000000"/>
        </w:rPr>
        <w:t xml:space="preserve">,  interpuso recurso de revisión en contra de la respuestas emitida por el </w:t>
      </w:r>
      <w:r w:rsidRPr="007F0CCE">
        <w:rPr>
          <w:rFonts w:ascii="Palatino Linotype" w:eastAsia="Palatino Linotype" w:hAnsi="Palatino Linotype" w:cs="Palatino Linotype"/>
          <w:b/>
          <w:color w:val="000000"/>
        </w:rPr>
        <w:t>SUJETO OBLIGADO</w:t>
      </w:r>
      <w:r w:rsidRPr="007F0CCE">
        <w:rPr>
          <w:rFonts w:ascii="Palatino Linotype" w:eastAsia="Palatino Linotype" w:hAnsi="Palatino Linotype" w:cs="Palatino Linotype"/>
          <w:color w:val="000000"/>
        </w:rPr>
        <w:t>, señalando las siguientes razones o motivos de inconformidad:</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5"/>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bookmarkStart w:id="1" w:name="_heading=h.1fob9te" w:colFirst="0" w:colLast="0"/>
      <w:bookmarkEnd w:id="1"/>
      <w:r w:rsidRPr="007F0CCE">
        <w:rPr>
          <w:rFonts w:ascii="Palatino Linotype" w:eastAsia="Palatino Linotype" w:hAnsi="Palatino Linotype" w:cs="Palatino Linotype"/>
          <w:b/>
          <w:color w:val="000000"/>
        </w:rPr>
        <w:t xml:space="preserve">Acto impugnado: </w:t>
      </w:r>
    </w:p>
    <w:p w:rsidR="00100C67" w:rsidRPr="007F0CCE" w:rsidRDefault="005C297E"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“RESPUESTA A LA SOLICITUD DE INFORMACION CON NUMERO DE FOLIO 00430/ISSEMYM/IP/2024”</w:t>
      </w:r>
    </w:p>
    <w:p w:rsidR="00100C67" w:rsidRPr="007F0CCE" w:rsidRDefault="00100C67" w:rsidP="00611665">
      <w:pPr>
        <w:pBdr>
          <w:top w:val="nil"/>
          <w:left w:val="nil"/>
          <w:bottom w:val="nil"/>
          <w:right w:val="nil"/>
          <w:between w:val="nil"/>
        </w:pBdr>
        <w:spacing w:line="360" w:lineRule="auto"/>
        <w:ind w:left="720" w:right="-567"/>
        <w:jc w:val="both"/>
        <w:rPr>
          <w:rFonts w:ascii="Palatino Linotype" w:eastAsia="Palatino Linotype" w:hAnsi="Palatino Linotype" w:cs="Palatino Linotype"/>
          <w:color w:val="000000"/>
        </w:rPr>
      </w:pPr>
    </w:p>
    <w:p w:rsidR="00100C67" w:rsidRPr="007F0CCE" w:rsidRDefault="005C297E" w:rsidP="00611665">
      <w:pPr>
        <w:numPr>
          <w:ilvl w:val="0"/>
          <w:numId w:val="5"/>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bookmarkStart w:id="2" w:name="_heading=h.3znysh7" w:colFirst="0" w:colLast="0"/>
      <w:bookmarkEnd w:id="2"/>
      <w:r w:rsidRPr="007F0CCE">
        <w:rPr>
          <w:rFonts w:ascii="Palatino Linotype" w:eastAsia="Palatino Linotype" w:hAnsi="Palatino Linotype" w:cs="Palatino Linotype"/>
          <w:b/>
          <w:color w:val="000000"/>
        </w:rPr>
        <w:t xml:space="preserve">Razones o Motivos de inconformidad: </w:t>
      </w:r>
    </w:p>
    <w:p w:rsidR="00100C67" w:rsidRPr="007F0CCE" w:rsidRDefault="005C297E"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i/>
          <w:color w:val="000000"/>
        </w:rPr>
        <w:t>“El Sujeto Obligado fue omiso en llevar a cabo la búsqueda exhaustiva y razonable de la información toda vez que la propia solicitante cuenta con copia simple de lalgunos de los documentos solicitados y que se anexan a la presente por lo que resulta incongruente que manifesté que no cuenta con esa información, además de que el mismo sujeto obligado no adjunta el documento con el que realmente se acredite que haya turnando su solicitud a la unidad administrativa que detenta la información.”</w:t>
      </w:r>
      <w:bookmarkStart w:id="3" w:name="_GoBack"/>
      <w:bookmarkEnd w:id="3"/>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pBdr>
          <w:top w:val="nil"/>
          <w:left w:val="nil"/>
          <w:bottom w:val="nil"/>
          <w:right w:val="nil"/>
          <w:between w:val="nil"/>
        </w:pBdr>
        <w:spacing w:line="360" w:lineRule="auto"/>
        <w:ind w:left="720" w:right="-567"/>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Se adjuntaron las documentales siguientes:</w:t>
      </w:r>
    </w:p>
    <w:p w:rsidR="00100C67" w:rsidRPr="007F0CCE" w:rsidRDefault="005C297E" w:rsidP="00611665">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ine li.pdf,</w:t>
      </w:r>
      <w:r w:rsidRPr="007F0CCE">
        <w:rPr>
          <w:rFonts w:ascii="Palatino Linotype" w:eastAsia="Palatino Linotype" w:hAnsi="Palatino Linotype" w:cs="Palatino Linotype"/>
          <w:color w:val="000000"/>
        </w:rPr>
        <w:t xml:space="preserve"> que corresponde a la credencial para votar con fotografía antes transcrita, a nombre de la solicitante.</w:t>
      </w:r>
    </w:p>
    <w:p w:rsidR="00100C67" w:rsidRPr="007F0CCE" w:rsidRDefault="005C297E" w:rsidP="00611665">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lastRenderedPageBreak/>
        <w:t xml:space="preserve">DOCS DE EXPEDIENTE CLINICO LI.pdf, </w:t>
      </w:r>
      <w:r w:rsidRPr="007F0CCE">
        <w:rPr>
          <w:rFonts w:ascii="Palatino Linotype" w:eastAsia="Palatino Linotype" w:hAnsi="Palatino Linotype" w:cs="Palatino Linotype"/>
          <w:color w:val="000000"/>
        </w:rPr>
        <w:t>que corresponde a tres fojas pertenecientes al expediente clínico de la ahora Recurrente.</w:t>
      </w:r>
    </w:p>
    <w:p w:rsidR="00100C67" w:rsidRPr="007F0CCE" w:rsidRDefault="00100C67" w:rsidP="00611665">
      <w:pPr>
        <w:pBdr>
          <w:top w:val="nil"/>
          <w:left w:val="nil"/>
          <w:bottom w:val="nil"/>
          <w:right w:val="nil"/>
          <w:between w:val="nil"/>
        </w:pBdr>
        <w:spacing w:line="360" w:lineRule="auto"/>
        <w:ind w:left="720" w:right="-567"/>
        <w:jc w:val="both"/>
        <w:rPr>
          <w:rFonts w:ascii="Palatino Linotype" w:eastAsia="Palatino Linotype" w:hAnsi="Palatino Linotype" w:cs="Palatino Linotype"/>
          <w:b/>
          <w:color w:val="000000"/>
        </w:rPr>
      </w:pPr>
    </w:p>
    <w:p w:rsidR="00100C67" w:rsidRPr="007F0CCE" w:rsidRDefault="005C297E" w:rsidP="00611665">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 xml:space="preserve">RESPUESTA 430.IP ISSEMYM LI.pdf, </w:t>
      </w:r>
      <w:r w:rsidRPr="007F0CCE">
        <w:rPr>
          <w:rFonts w:ascii="Palatino Linotype" w:eastAsia="Palatino Linotype" w:hAnsi="Palatino Linotype" w:cs="Palatino Linotype"/>
          <w:color w:val="000000"/>
        </w:rPr>
        <w:t>que corresponde al oficio signado por el Responsable y Titular de la Unidad de Transparencia que fuera remitido en calidad de respuesta.</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Consecutivamente</w:t>
      </w:r>
      <w:r w:rsidRPr="007F0CCE">
        <w:rPr>
          <w:rFonts w:ascii="Palatino Linotype" w:eastAsia="Palatino Linotype" w:hAnsi="Palatino Linotype" w:cs="Palatino Linotype"/>
          <w:i/>
          <w:color w:val="000000"/>
        </w:rPr>
        <w:t xml:space="preserve">, </w:t>
      </w:r>
      <w:r w:rsidRPr="007F0CCE">
        <w:rPr>
          <w:rFonts w:ascii="Palatino Linotype" w:eastAsia="Palatino Linotype" w:hAnsi="Palatino Linotype" w:cs="Palatino Linotype"/>
          <w:color w:val="000000"/>
        </w:rPr>
        <w:t xml:space="preserve">con fundamento en lo dispuesto por el artículo 185 fracciones I de la Ley de Transparencia y Acceso a la Información Pública del Estado de México y Municipios, el recurso fue turnado a la Ponencia de la </w:t>
      </w:r>
      <w:r w:rsidRPr="007F0CCE">
        <w:rPr>
          <w:rFonts w:ascii="Palatino Linotype" w:eastAsia="Palatino Linotype" w:hAnsi="Palatino Linotype" w:cs="Palatino Linotype"/>
          <w:b/>
          <w:color w:val="000000"/>
        </w:rPr>
        <w:t>Comisionada</w:t>
      </w:r>
      <w:r w:rsidRPr="007F0CCE">
        <w:rPr>
          <w:rFonts w:ascii="Palatino Linotype" w:eastAsia="Palatino Linotype" w:hAnsi="Palatino Linotype" w:cs="Palatino Linotype"/>
          <w:color w:val="000000"/>
        </w:rPr>
        <w:t xml:space="preserve"> </w:t>
      </w:r>
      <w:r w:rsidRPr="007F0CCE">
        <w:rPr>
          <w:rFonts w:ascii="Palatino Linotype" w:eastAsia="Palatino Linotype" w:hAnsi="Palatino Linotype" w:cs="Palatino Linotype"/>
          <w:b/>
          <w:color w:val="000000"/>
        </w:rPr>
        <w:t>María del Rosario Mejía Ayala</w:t>
      </w:r>
      <w:r w:rsidRPr="007F0CCE">
        <w:rPr>
          <w:rFonts w:ascii="Palatino Linotype" w:eastAsia="Palatino Linotype" w:hAnsi="Palatino Linotype" w:cs="Palatino Linotype"/>
          <w:color w:val="000000"/>
        </w:rPr>
        <w:t>,</w:t>
      </w:r>
      <w:r w:rsidRPr="007F0CCE">
        <w:rPr>
          <w:rFonts w:ascii="Palatino Linotype" w:eastAsia="Palatino Linotype" w:hAnsi="Palatino Linotype" w:cs="Palatino Linotype"/>
          <w:b/>
          <w:color w:val="000000"/>
        </w:rPr>
        <w:t xml:space="preserve"> </w:t>
      </w:r>
      <w:r w:rsidRPr="007F0CCE">
        <w:rPr>
          <w:rFonts w:ascii="Palatino Linotype" w:eastAsia="Palatino Linotype" w:hAnsi="Palatino Linotype" w:cs="Palatino Linotype"/>
        </w:rPr>
        <w:t>para</w:t>
      </w:r>
      <w:r w:rsidRPr="007F0CCE">
        <w:rPr>
          <w:rFonts w:ascii="Palatino Linotype" w:eastAsia="Palatino Linotype" w:hAnsi="Palatino Linotype" w:cs="Palatino Linotype"/>
          <w:color w:val="000000"/>
        </w:rPr>
        <w:t xml:space="preserve"> su análisis.</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La Comisionada Ponente con fundamento en lo dispuesto por </w:t>
      </w:r>
      <w:r w:rsidRPr="007F0CCE">
        <w:rPr>
          <w:rFonts w:ascii="Palatino Linotype" w:eastAsia="Palatino Linotype" w:hAnsi="Palatino Linotype" w:cs="Palatino Linotype"/>
          <w:b/>
        </w:rPr>
        <w:t>c</w:t>
      </w:r>
      <w:r w:rsidRPr="007F0CCE">
        <w:rPr>
          <w:rFonts w:ascii="Palatino Linotype" w:eastAsia="Palatino Linotype" w:hAnsi="Palatino Linotype" w:cs="Palatino Linotype"/>
        </w:rPr>
        <w:t xml:space="preserve">on fundamento en los artículos 11, 127 y 131 de la </w:t>
      </w:r>
      <w:r w:rsidRPr="007F0CCE">
        <w:rPr>
          <w:rFonts w:ascii="Palatino Linotype" w:eastAsia="Palatino Linotype" w:hAnsi="Palatino Linotype" w:cs="Palatino Linotype"/>
          <w:b/>
        </w:rPr>
        <w:t>Ley de Protección de Datos Personales en Posesión de Sujetos Obligados del Estado de México y Municipios</w:t>
      </w:r>
      <w:r w:rsidRPr="007F0CCE">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acordó la </w:t>
      </w:r>
      <w:r w:rsidRPr="007F0CCE">
        <w:rPr>
          <w:rFonts w:ascii="Palatino Linotype" w:eastAsia="Palatino Linotype" w:hAnsi="Palatino Linotype" w:cs="Palatino Linotype"/>
          <w:color w:val="000000"/>
        </w:rPr>
        <w:t xml:space="preserve">admisión a trámite en fecha </w:t>
      </w:r>
      <w:r w:rsidRPr="007F0CCE">
        <w:rPr>
          <w:rFonts w:ascii="Palatino Linotype" w:eastAsia="Palatino Linotype" w:hAnsi="Palatino Linotype" w:cs="Palatino Linotype"/>
          <w:b/>
          <w:color w:val="000000"/>
        </w:rPr>
        <w:t>siete de agosto</w:t>
      </w:r>
      <w:r w:rsidRPr="007F0CCE">
        <w:rPr>
          <w:rFonts w:ascii="Palatino Linotype" w:eastAsia="Palatino Linotype" w:hAnsi="Palatino Linotype" w:cs="Palatino Linotype"/>
          <w:color w:val="000000"/>
        </w:rPr>
        <w:t xml:space="preserve"> </w:t>
      </w:r>
      <w:r w:rsidRPr="007F0CCE">
        <w:rPr>
          <w:rFonts w:ascii="Palatino Linotype" w:eastAsia="Palatino Linotype" w:hAnsi="Palatino Linotype" w:cs="Palatino Linotype"/>
          <w:b/>
          <w:color w:val="000000"/>
        </w:rPr>
        <w:t>de dos mil veinticuatro</w:t>
      </w:r>
      <w:r w:rsidRPr="007F0CCE">
        <w:rPr>
          <w:rFonts w:ascii="Palatino Linotype" w:eastAsia="Palatino Linotype" w:hAnsi="Palatino Linotype" w:cs="Palatino Linotype"/>
          <w:color w:val="000000"/>
        </w:rPr>
        <w:t xml:space="preserve">; seguidamente al tratarse de una solicitud acceso a los datos personales, a través de una vía diversa como lo es el Sistema de Acceso a la Información Mexiquense, mediante acuerdo de fecha </w:t>
      </w:r>
      <w:r w:rsidRPr="007F0CCE">
        <w:rPr>
          <w:rFonts w:ascii="Palatino Linotype" w:eastAsia="Palatino Linotype" w:hAnsi="Palatino Linotype" w:cs="Palatino Linotype"/>
          <w:b/>
          <w:color w:val="000000"/>
        </w:rPr>
        <w:t>veintisiete de noviembre de dos mil veinticuatro</w:t>
      </w:r>
      <w:r w:rsidRPr="007F0CCE">
        <w:rPr>
          <w:rFonts w:ascii="Palatino Linotype" w:eastAsia="Palatino Linotype" w:hAnsi="Palatino Linotype" w:cs="Palatino Linotype"/>
          <w:color w:val="000000"/>
        </w:rPr>
        <w:t>, se recondujo la vía a la de acceso a datos personales, al tiempo que se exhorto a las partes a que por cualquier medio manifestaran su voluntad a conciliar en el presente asunto.</w:t>
      </w:r>
    </w:p>
    <w:p w:rsidR="00100C67" w:rsidRPr="007F0CCE" w:rsidRDefault="00100C67" w:rsidP="00611665">
      <w:pPr>
        <w:pBdr>
          <w:top w:val="nil"/>
          <w:left w:val="nil"/>
          <w:bottom w:val="nil"/>
          <w:right w:val="nil"/>
          <w:between w:val="nil"/>
        </w:pBdr>
        <w:spacing w:line="360" w:lineRule="auto"/>
        <w:ind w:left="708"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color w:val="000000"/>
        </w:rPr>
        <w:t>En fechas</w:t>
      </w:r>
      <w:r w:rsidRPr="007F0CCE">
        <w:rPr>
          <w:rFonts w:ascii="Palatino Linotype" w:eastAsia="Palatino Linotype" w:hAnsi="Palatino Linotype" w:cs="Palatino Linotype"/>
          <w:b/>
          <w:color w:val="000000"/>
        </w:rPr>
        <w:t xml:space="preserve"> quince de agosto y veintiocho de noviembre de dos mil veinticuatro, </w:t>
      </w:r>
      <w:r w:rsidRPr="007F0CCE">
        <w:rPr>
          <w:rFonts w:ascii="Palatino Linotype" w:eastAsia="Palatino Linotype" w:hAnsi="Palatino Linotype" w:cs="Palatino Linotype"/>
          <w:color w:val="000000"/>
        </w:rPr>
        <w:t xml:space="preserve">el </w:t>
      </w:r>
      <w:r w:rsidRPr="007F0CCE">
        <w:rPr>
          <w:rFonts w:ascii="Palatino Linotype" w:eastAsia="Palatino Linotype" w:hAnsi="Palatino Linotype" w:cs="Palatino Linotype"/>
          <w:b/>
          <w:color w:val="000000"/>
        </w:rPr>
        <w:t>SUJETO OBLIGADO</w:t>
      </w:r>
      <w:r w:rsidRPr="007F0CCE">
        <w:rPr>
          <w:rFonts w:ascii="Palatino Linotype" w:eastAsia="Palatino Linotype" w:hAnsi="Palatino Linotype" w:cs="Palatino Linotype"/>
          <w:color w:val="000000"/>
        </w:rPr>
        <w:t xml:space="preserve"> manifestó su voluntad a conciliar en el presente asunto. Por su parte, la ahora </w:t>
      </w:r>
      <w:r w:rsidRPr="007F0CCE">
        <w:rPr>
          <w:rFonts w:ascii="Palatino Linotype" w:eastAsia="Palatino Linotype" w:hAnsi="Palatino Linotype" w:cs="Palatino Linotype"/>
          <w:b/>
          <w:color w:val="000000"/>
        </w:rPr>
        <w:t>RECURRENTE</w:t>
      </w:r>
      <w:r w:rsidRPr="007F0CCE">
        <w:rPr>
          <w:rFonts w:ascii="Palatino Linotype" w:eastAsia="Palatino Linotype" w:hAnsi="Palatino Linotype" w:cs="Palatino Linotype"/>
          <w:color w:val="000000"/>
        </w:rPr>
        <w:t xml:space="preserve"> fue omisa en manifestar su voluntad a conciliar; no obstante al ser una facultad potestativa de este Instituto el poder buscar una conciliación entre el titular y el responsable en cualquier momento del procedimiento de conformidad con el </w:t>
      </w:r>
      <w:r w:rsidRPr="007F0CCE">
        <w:rPr>
          <w:rFonts w:ascii="Palatino Linotype" w:eastAsia="Palatino Linotype" w:hAnsi="Palatino Linotype" w:cs="Palatino Linotype"/>
          <w:b/>
          <w:color w:val="000000"/>
        </w:rPr>
        <w:t>artículo 82 fracción XXVIII y Articulo 131</w:t>
      </w:r>
      <w:r w:rsidRPr="007F0CCE">
        <w:rPr>
          <w:rFonts w:ascii="Palatino Linotype" w:eastAsia="Palatino Linotype" w:hAnsi="Palatino Linotype" w:cs="Palatino Linotype"/>
          <w:color w:val="000000"/>
        </w:rPr>
        <w:t xml:space="preserve"> Ley de Protección de Datos Personales en Posesión de Sujetos Obligados del Estado de México y Municipios , se convocó a audiencia de conciliación mediante citatorio de fecha </w:t>
      </w:r>
      <w:r w:rsidRPr="007F0CCE">
        <w:rPr>
          <w:rFonts w:ascii="Palatino Linotype" w:eastAsia="Palatino Linotype" w:hAnsi="Palatino Linotype" w:cs="Palatino Linotype"/>
          <w:b/>
          <w:color w:val="000000"/>
        </w:rPr>
        <w:t xml:space="preserve">diez de marzo del año en curso, </w:t>
      </w:r>
      <w:r w:rsidRPr="007F0CCE">
        <w:rPr>
          <w:rFonts w:ascii="Palatino Linotype" w:eastAsia="Palatino Linotype" w:hAnsi="Palatino Linotype" w:cs="Palatino Linotype"/>
          <w:color w:val="000000"/>
        </w:rPr>
        <w:t xml:space="preserve">a las partes para mejor proveer en el asunto de mérito; no obstante a la audiencia de referencia, no asistió la parte recurrente por lo que mediante acuerdo de día trece del mismo mes y año, se decretó el cierre de dicha etapa y se aperturó la de manifestaciones, en donde la parte </w:t>
      </w:r>
      <w:r w:rsidRPr="007F0CCE">
        <w:rPr>
          <w:rFonts w:ascii="Palatino Linotype" w:eastAsia="Palatino Linotype" w:hAnsi="Palatino Linotype" w:cs="Palatino Linotype"/>
          <w:b/>
          <w:color w:val="000000"/>
        </w:rPr>
        <w:t>RECURRENTE</w:t>
      </w:r>
      <w:r w:rsidRPr="007F0CCE">
        <w:rPr>
          <w:rFonts w:ascii="Palatino Linotype" w:eastAsia="Palatino Linotype" w:hAnsi="Palatino Linotype" w:cs="Palatino Linotype"/>
          <w:color w:val="000000"/>
        </w:rPr>
        <w:t xml:space="preserve"> ofreció las siguientes pruebas:</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b/>
          <w:color w:val="000000"/>
        </w:rPr>
      </w:pPr>
    </w:p>
    <w:p w:rsidR="00100C67" w:rsidRPr="007F0CCE" w:rsidRDefault="005C297E" w:rsidP="00611665">
      <w:pPr>
        <w:pBdr>
          <w:top w:val="nil"/>
          <w:left w:val="nil"/>
          <w:bottom w:val="nil"/>
          <w:right w:val="nil"/>
          <w:between w:val="nil"/>
        </w:pBdr>
        <w:spacing w:line="360" w:lineRule="auto"/>
        <w:ind w:left="426"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“1. La prueba presuncional legal y humana en todo lo que a la procedencia de la revisión que se promueve favorezca a mis intereses, </w:t>
      </w:r>
      <w:r w:rsidRPr="007F0CCE">
        <w:rPr>
          <w:rFonts w:ascii="Palatino Linotype" w:eastAsia="Palatino Linotype" w:hAnsi="Palatino Linotype" w:cs="Palatino Linotype"/>
          <w:b/>
          <w:i/>
          <w:color w:val="000000"/>
        </w:rPr>
        <w:t>dada la falsedad con la que se conduce el sujeto obligado al manifestar la supuesta inexistencia de mi expediente clínico solicitado</w:t>
      </w:r>
      <w:r w:rsidRPr="007F0CCE">
        <w:rPr>
          <w:rFonts w:ascii="Palatino Linotype" w:eastAsia="Palatino Linotype" w:hAnsi="Palatino Linotype" w:cs="Palatino Linotype"/>
          <w:i/>
          <w:color w:val="000000"/>
        </w:rPr>
        <w:t>, solicitando se admita por estar ofrecida conforme a derecho.</w:t>
      </w:r>
    </w:p>
    <w:p w:rsidR="00100C67" w:rsidRPr="007F0CCE" w:rsidRDefault="00100C67" w:rsidP="00611665">
      <w:pPr>
        <w:pBdr>
          <w:top w:val="nil"/>
          <w:left w:val="nil"/>
          <w:bottom w:val="nil"/>
          <w:right w:val="nil"/>
          <w:between w:val="nil"/>
        </w:pBdr>
        <w:spacing w:line="360" w:lineRule="auto"/>
        <w:ind w:left="426" w:right="-567"/>
        <w:jc w:val="both"/>
        <w:rPr>
          <w:rFonts w:ascii="Palatino Linotype" w:eastAsia="Palatino Linotype" w:hAnsi="Palatino Linotype" w:cs="Palatino Linotype"/>
          <w:i/>
          <w:color w:val="000000"/>
        </w:rPr>
      </w:pPr>
    </w:p>
    <w:p w:rsidR="00100C67" w:rsidRPr="007F0CCE" w:rsidRDefault="005C297E" w:rsidP="00611665">
      <w:pPr>
        <w:pBdr>
          <w:top w:val="nil"/>
          <w:left w:val="nil"/>
          <w:bottom w:val="nil"/>
          <w:right w:val="nil"/>
          <w:between w:val="nil"/>
        </w:pBdr>
        <w:spacing w:line="360" w:lineRule="auto"/>
        <w:ind w:left="426"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2. Las documentales consistentes en las copias de mi expediente médico que fue solicitado al ISSEMYM, en específico del HOSPITAL MATERNO INFANTIL REGION 1 TOLUCA, aclarando que no corresponden a la totalidad de los documentos que deben constituir mi expediente médico, pero si se presume con ellos la existencia del mismo, por lo que se solicita </w:t>
      </w:r>
      <w:r w:rsidRPr="007F0CCE">
        <w:rPr>
          <w:rFonts w:ascii="Palatino Linotype" w:eastAsia="Palatino Linotype" w:hAnsi="Palatino Linotype" w:cs="Palatino Linotype"/>
          <w:i/>
          <w:color w:val="000000"/>
        </w:rPr>
        <w:lastRenderedPageBreak/>
        <w:t>se admitan por estar ofrecidos conforme a derecho, documentales que se anexan a la presente.”</w:t>
      </w:r>
    </w:p>
    <w:p w:rsidR="001979B1" w:rsidRPr="007F0CCE" w:rsidRDefault="001979B1" w:rsidP="00611665">
      <w:pPr>
        <w:pBdr>
          <w:top w:val="nil"/>
          <w:left w:val="nil"/>
          <w:bottom w:val="nil"/>
          <w:right w:val="nil"/>
          <w:between w:val="nil"/>
        </w:pBdr>
        <w:spacing w:line="360" w:lineRule="auto"/>
        <w:ind w:left="426" w:right="-567"/>
        <w:jc w:val="both"/>
        <w:rPr>
          <w:rFonts w:ascii="Palatino Linotype" w:eastAsia="Palatino Linotype" w:hAnsi="Palatino Linotype" w:cs="Palatino Linotype"/>
          <w:i/>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Por su parte el</w:t>
      </w:r>
      <w:r w:rsidRPr="007F0CCE">
        <w:rPr>
          <w:rFonts w:ascii="Palatino Linotype" w:eastAsia="Palatino Linotype" w:hAnsi="Palatino Linotype" w:cs="Palatino Linotype"/>
          <w:b/>
          <w:color w:val="000000"/>
        </w:rPr>
        <w:t xml:space="preserve"> SUJETO OBLIGADO </w:t>
      </w:r>
      <w:r w:rsidRPr="007F0CCE">
        <w:rPr>
          <w:rFonts w:ascii="Palatino Linotype" w:eastAsia="Palatino Linotype" w:hAnsi="Palatino Linotype" w:cs="Palatino Linotype"/>
          <w:color w:val="000000"/>
        </w:rPr>
        <w:t xml:space="preserve">fue omiso en realizar manifestaciones que a su derecho conviniera y asistiera. Seguidamente mediante Acuerdo de fecha </w:t>
      </w:r>
      <w:r w:rsidRPr="007F0CCE">
        <w:rPr>
          <w:rFonts w:ascii="Palatino Linotype" w:eastAsia="Palatino Linotype" w:hAnsi="Palatino Linotype" w:cs="Palatino Linotype"/>
          <w:b/>
          <w:color w:val="000000"/>
        </w:rPr>
        <w:t>veinticinco de marzo de dos mil veinticinco</w:t>
      </w:r>
      <w:r w:rsidRPr="007F0CCE">
        <w:rPr>
          <w:rFonts w:ascii="Palatino Linotype" w:eastAsia="Palatino Linotype" w:hAnsi="Palatino Linotype" w:cs="Palatino Linotype"/>
          <w:color w:val="000000"/>
        </w:rPr>
        <w:t>, la Comisionada Ponente notificó el acuerdo de ampliación de plazo para emitir resolución.</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Al respecto, 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100C67" w:rsidRPr="007F0CCE" w:rsidRDefault="005C297E" w:rsidP="00611665">
      <w:pPr>
        <w:pBdr>
          <w:top w:val="nil"/>
          <w:left w:val="nil"/>
          <w:bottom w:val="nil"/>
          <w:right w:val="nil"/>
          <w:between w:val="nil"/>
        </w:pBdr>
        <w:spacing w:line="360" w:lineRule="auto"/>
        <w:ind w:left="284"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rsidR="00100C67" w:rsidRPr="007F0CCE" w:rsidRDefault="005C297E" w:rsidP="00611665">
      <w:pPr>
        <w:pBdr>
          <w:top w:val="nil"/>
          <w:left w:val="nil"/>
          <w:bottom w:val="nil"/>
          <w:right w:val="nil"/>
          <w:between w:val="nil"/>
        </w:pBdr>
        <w:spacing w:line="360" w:lineRule="auto"/>
        <w:ind w:left="284"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b)     Actividad Procesal del interesado: Acciones u omisiones del interesado.</w:t>
      </w:r>
    </w:p>
    <w:p w:rsidR="00100C67" w:rsidRPr="007F0CCE" w:rsidRDefault="005C297E" w:rsidP="00611665">
      <w:pPr>
        <w:pBdr>
          <w:top w:val="nil"/>
          <w:left w:val="nil"/>
          <w:bottom w:val="nil"/>
          <w:right w:val="nil"/>
          <w:between w:val="nil"/>
        </w:pBdr>
        <w:spacing w:line="360" w:lineRule="auto"/>
        <w:ind w:left="284"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rsidR="00100C67" w:rsidRPr="007F0CCE" w:rsidRDefault="005C297E" w:rsidP="00611665">
      <w:pPr>
        <w:pBdr>
          <w:top w:val="nil"/>
          <w:left w:val="nil"/>
          <w:bottom w:val="nil"/>
          <w:right w:val="nil"/>
          <w:between w:val="nil"/>
        </w:pBdr>
        <w:spacing w:line="360" w:lineRule="auto"/>
        <w:ind w:left="284"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d)   La afectación generada en la situación jurídica de la persona involucrada en el proceso: Violación a sus derechos humanos.</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sidRPr="007F0CCE">
        <w:rPr>
          <w:rFonts w:ascii="Palatino Linotype" w:eastAsia="Palatino Linotype" w:hAnsi="Palatino Linotype" w:cs="Palatino Linotype"/>
          <w:color w:val="000000"/>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100C67" w:rsidRPr="007F0CCE" w:rsidRDefault="00100C67" w:rsidP="00611665">
      <w:pPr>
        <w:pBdr>
          <w:top w:val="nil"/>
          <w:left w:val="nil"/>
          <w:bottom w:val="nil"/>
          <w:right w:val="nil"/>
          <w:between w:val="nil"/>
        </w:pBdr>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100C67" w:rsidRPr="007F0CCE" w:rsidRDefault="00100C67" w:rsidP="00611665">
      <w:pPr>
        <w:pBdr>
          <w:top w:val="nil"/>
          <w:left w:val="nil"/>
          <w:bottom w:val="nil"/>
          <w:right w:val="nil"/>
          <w:between w:val="nil"/>
        </w:pBdr>
        <w:spacing w:line="360" w:lineRule="auto"/>
        <w:ind w:left="708" w:right="-567"/>
        <w:rPr>
          <w:rFonts w:ascii="Palatino Linotype" w:eastAsia="Palatino Linotype" w:hAnsi="Palatino Linotype" w:cs="Palatino Linotype"/>
          <w:color w:val="000000"/>
        </w:rPr>
      </w:pPr>
    </w:p>
    <w:p w:rsidR="00100C67" w:rsidRPr="007F0CCE" w:rsidRDefault="005C297E"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“PLAZO RAZONABLE PARA RESOLVER. DIMENSIÓN Y EFECTOS DE ESTE CONCEPTO CUANDO SE ADUCE EXCESIVA CARGA DE TRABAJO.” consultable en el Sem</w:t>
      </w:r>
      <w:r w:rsidRPr="007F0CCE">
        <w:rPr>
          <w:rFonts w:ascii="Palatino Linotype" w:eastAsia="Palatino Linotype" w:hAnsi="Palatino Linotype" w:cs="Palatino Linotype"/>
        </w:rPr>
        <w:t>a</w:t>
      </w:r>
      <w:r w:rsidRPr="007F0CCE">
        <w:rPr>
          <w:rFonts w:ascii="Palatino Linotype" w:eastAsia="Palatino Linotype" w:hAnsi="Palatino Linotype" w:cs="Palatino Linotype"/>
          <w:color w:val="000000"/>
        </w:rPr>
        <w:t>nario Judicial de la Federación y su gaceta, con el registro digital 2002351.</w:t>
      </w:r>
    </w:p>
    <w:p w:rsidR="00100C67" w:rsidRPr="007F0CCE" w:rsidRDefault="00100C67"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rPr>
      </w:pPr>
    </w:p>
    <w:p w:rsidR="00100C67" w:rsidRPr="007F0CCE" w:rsidRDefault="005C297E" w:rsidP="00611665">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“PLAZO RAZONABLE PARA RESOLVER. CONCEPTO Y ELEMENTOS QUE LO INTEGRAN A LA LUZ DEL DERECHO INTERNACIONAL DE LOS DERECHOS HUMANOS.”, visible en el Sem</w:t>
      </w:r>
      <w:r w:rsidRPr="007F0CCE">
        <w:rPr>
          <w:rFonts w:ascii="Palatino Linotype" w:eastAsia="Palatino Linotype" w:hAnsi="Palatino Linotype" w:cs="Palatino Linotype"/>
        </w:rPr>
        <w:t>a</w:t>
      </w:r>
      <w:r w:rsidRPr="007F0CCE">
        <w:rPr>
          <w:rFonts w:ascii="Palatino Linotype" w:eastAsia="Palatino Linotype" w:hAnsi="Palatino Linotype" w:cs="Palatino Linotype"/>
          <w:color w:val="000000"/>
        </w:rPr>
        <w:t>nario Judicial de la Federación y su gaceta, con el registro digital 2002350.</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bookmarkStart w:id="4" w:name="_heading=h.162m1m3fkzl6" w:colFirst="0" w:colLast="0"/>
      <w:bookmarkEnd w:id="4"/>
      <w:r w:rsidRPr="007F0CCE">
        <w:rPr>
          <w:rFonts w:ascii="Palatino Linotype" w:eastAsia="Palatino Linotype" w:hAnsi="Palatino Linotype" w:cs="Palatino Linotype"/>
          <w:color w:val="000000"/>
        </w:rPr>
        <w:t>Finalmente, la Comisionada Ponente mediante acuerdo de misma fecha, se decretó el cierre de instrucción de los expedientes, por lo que no habiendo más que hacer constar, y --</w:t>
      </w:r>
      <w:r w:rsidR="00611665" w:rsidRPr="007F0CCE">
        <w:rPr>
          <w:rFonts w:ascii="Palatino Linotype" w:eastAsia="Palatino Linotype" w:hAnsi="Palatino Linotype" w:cs="Palatino Linotype"/>
          <w:color w:val="000000"/>
        </w:rPr>
        <w:t>---------------------------------------------------------------------------------------------------</w:t>
      </w:r>
      <w:r w:rsidRPr="007F0CCE">
        <w:rPr>
          <w:rFonts w:ascii="Palatino Linotype" w:eastAsia="Palatino Linotype" w:hAnsi="Palatino Linotype" w:cs="Palatino Linotype"/>
          <w:color w:val="000000"/>
        </w:rPr>
        <w:t>-</w:t>
      </w:r>
    </w:p>
    <w:p w:rsidR="00100C67" w:rsidRPr="007F0CCE" w:rsidRDefault="00100C67" w:rsidP="00611665">
      <w:pPr>
        <w:spacing w:line="360" w:lineRule="auto"/>
        <w:ind w:right="-567"/>
        <w:rPr>
          <w:rFonts w:ascii="Palatino Linotype" w:eastAsia="Palatino Linotype" w:hAnsi="Palatino Linotype" w:cs="Palatino Linotype"/>
          <w:b/>
          <w:color w:val="000000"/>
        </w:rPr>
      </w:pPr>
    </w:p>
    <w:p w:rsidR="00611665" w:rsidRPr="007F0CCE" w:rsidRDefault="00611665" w:rsidP="00611665">
      <w:pPr>
        <w:spacing w:line="360" w:lineRule="auto"/>
        <w:ind w:right="-567"/>
        <w:rPr>
          <w:rFonts w:ascii="Palatino Linotype" w:eastAsia="Palatino Linotype" w:hAnsi="Palatino Linotype" w:cs="Palatino Linotype"/>
          <w:b/>
          <w:color w:val="000000"/>
        </w:rPr>
      </w:pPr>
    </w:p>
    <w:p w:rsidR="00611665" w:rsidRPr="007F0CCE" w:rsidRDefault="00611665" w:rsidP="00611665">
      <w:pPr>
        <w:spacing w:line="360" w:lineRule="auto"/>
        <w:ind w:right="-567"/>
        <w:rPr>
          <w:rFonts w:ascii="Palatino Linotype" w:eastAsia="Palatino Linotype" w:hAnsi="Palatino Linotype" w:cs="Palatino Linotype"/>
          <w:b/>
          <w:color w:val="000000"/>
        </w:rPr>
      </w:pPr>
    </w:p>
    <w:p w:rsidR="00611665" w:rsidRPr="007F0CCE" w:rsidRDefault="00611665" w:rsidP="00611665">
      <w:pPr>
        <w:spacing w:line="360" w:lineRule="auto"/>
        <w:ind w:right="-567"/>
        <w:rPr>
          <w:rFonts w:ascii="Palatino Linotype" w:eastAsia="Palatino Linotype" w:hAnsi="Palatino Linotype" w:cs="Palatino Linotype"/>
          <w:b/>
          <w:color w:val="000000"/>
        </w:rPr>
      </w:pPr>
    </w:p>
    <w:p w:rsidR="00611665" w:rsidRPr="007F0CCE" w:rsidRDefault="00611665" w:rsidP="00611665">
      <w:pPr>
        <w:spacing w:line="360" w:lineRule="auto"/>
        <w:ind w:right="-567"/>
        <w:rPr>
          <w:rFonts w:ascii="Palatino Linotype" w:eastAsia="Palatino Linotype" w:hAnsi="Palatino Linotype" w:cs="Palatino Linotype"/>
          <w:b/>
          <w:color w:val="000000"/>
        </w:rPr>
      </w:pPr>
    </w:p>
    <w:p w:rsidR="00100C67" w:rsidRPr="007F0CCE" w:rsidRDefault="005C297E" w:rsidP="00611665">
      <w:pPr>
        <w:pBdr>
          <w:top w:val="nil"/>
          <w:left w:val="nil"/>
          <w:bottom w:val="nil"/>
          <w:right w:val="nil"/>
          <w:between w:val="nil"/>
        </w:pBdr>
        <w:spacing w:line="360" w:lineRule="auto"/>
        <w:ind w:right="-567"/>
        <w:jc w:val="center"/>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C O N S I D E R A N D O</w:t>
      </w:r>
    </w:p>
    <w:p w:rsidR="00100C67" w:rsidRPr="007F0CCE" w:rsidRDefault="00100C67" w:rsidP="00611665">
      <w:pPr>
        <w:pBdr>
          <w:top w:val="nil"/>
          <w:left w:val="nil"/>
          <w:bottom w:val="nil"/>
          <w:right w:val="nil"/>
          <w:between w:val="nil"/>
        </w:pBdr>
        <w:spacing w:line="360" w:lineRule="auto"/>
        <w:ind w:right="-567"/>
        <w:jc w:val="center"/>
        <w:rPr>
          <w:rFonts w:ascii="Palatino Linotype" w:eastAsia="Palatino Linotype" w:hAnsi="Palatino Linotype" w:cs="Palatino Linotype"/>
          <w:b/>
          <w:color w:val="000000"/>
        </w:rPr>
      </w:pPr>
    </w:p>
    <w:p w:rsidR="00100C67" w:rsidRPr="007F0CCE" w:rsidRDefault="005C297E" w:rsidP="00611665">
      <w:pPr>
        <w:pStyle w:val="Ttulo2"/>
        <w:spacing w:before="0" w:line="360" w:lineRule="auto"/>
        <w:ind w:right="-567"/>
        <w:rPr>
          <w:rFonts w:ascii="Palatino Linotype" w:eastAsia="Palatino Linotype" w:hAnsi="Palatino Linotype" w:cs="Palatino Linotype"/>
          <w:b/>
          <w:color w:val="000000"/>
          <w:sz w:val="24"/>
          <w:szCs w:val="24"/>
        </w:rPr>
      </w:pPr>
      <w:bookmarkStart w:id="5" w:name="_heading=h.tyjcwt" w:colFirst="0" w:colLast="0"/>
      <w:bookmarkEnd w:id="5"/>
      <w:r w:rsidRPr="007F0CCE">
        <w:rPr>
          <w:rFonts w:ascii="Palatino Linotype" w:eastAsia="Palatino Linotype" w:hAnsi="Palatino Linotype" w:cs="Palatino Linotype"/>
          <w:b/>
          <w:color w:val="000000"/>
          <w:sz w:val="24"/>
          <w:szCs w:val="24"/>
        </w:rPr>
        <w:t>PRIMERO. De la competencia</w:t>
      </w: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100C67" w:rsidRPr="007F0CCE" w:rsidRDefault="00100C67" w:rsidP="00611665">
      <w:pPr>
        <w:pBdr>
          <w:top w:val="nil"/>
          <w:left w:val="nil"/>
          <w:bottom w:val="nil"/>
          <w:right w:val="nil"/>
          <w:between w:val="nil"/>
        </w:pBdr>
        <w:tabs>
          <w:tab w:val="left" w:pos="426"/>
        </w:tabs>
        <w:spacing w:line="360" w:lineRule="auto"/>
        <w:ind w:right="-567"/>
        <w:jc w:val="both"/>
        <w:rPr>
          <w:rFonts w:ascii="Palatino Linotype" w:eastAsia="Palatino Linotype" w:hAnsi="Palatino Linotype" w:cs="Palatino Linotype"/>
          <w:b/>
          <w:color w:val="000000"/>
        </w:rPr>
      </w:pPr>
      <w:bookmarkStart w:id="6" w:name="_heading=h.3dy6vkm" w:colFirst="0" w:colLast="0"/>
      <w:bookmarkEnd w:id="6"/>
    </w:p>
    <w:p w:rsidR="00100C67" w:rsidRPr="007F0CCE" w:rsidRDefault="005C297E" w:rsidP="00611665">
      <w:pPr>
        <w:pBdr>
          <w:top w:val="nil"/>
          <w:left w:val="nil"/>
          <w:bottom w:val="nil"/>
          <w:right w:val="nil"/>
          <w:between w:val="nil"/>
        </w:pBdr>
        <w:tabs>
          <w:tab w:val="left" w:pos="426"/>
        </w:tabs>
        <w:spacing w:line="360" w:lineRule="auto"/>
        <w:ind w:right="-567"/>
        <w:jc w:val="both"/>
        <w:rPr>
          <w:rFonts w:ascii="Palatino Linotype" w:eastAsia="Palatino Linotype" w:hAnsi="Palatino Linotype" w:cs="Palatino Linotype"/>
          <w:b/>
          <w:color w:val="000000"/>
        </w:rPr>
      </w:pPr>
      <w:bookmarkStart w:id="7" w:name="_heading=h.1t3h5sf" w:colFirst="0" w:colLast="0"/>
      <w:bookmarkEnd w:id="7"/>
      <w:r w:rsidRPr="007F0CCE">
        <w:rPr>
          <w:rFonts w:ascii="Palatino Linotype" w:eastAsia="Palatino Linotype" w:hAnsi="Palatino Linotype" w:cs="Palatino Linotype"/>
          <w:b/>
          <w:color w:val="000000"/>
        </w:rPr>
        <w:t>SEGUNDO. De la oportunidad y procedencia.</w:t>
      </w: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bookmarkStart w:id="8" w:name="_heading=h.4d34og8" w:colFirst="0" w:colLast="0"/>
      <w:bookmarkEnd w:id="8"/>
      <w:r w:rsidRPr="007F0CCE">
        <w:rPr>
          <w:rFonts w:ascii="Palatino Linotype" w:eastAsia="Palatino Linotype" w:hAnsi="Palatino Linotype" w:cs="Palatino Linotype"/>
        </w:rPr>
        <w:t xml:space="preserve">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rPr>
      </w:pPr>
    </w:p>
    <w:p w:rsidR="00100C67" w:rsidRPr="007F0CCE" w:rsidRDefault="005C297E" w:rsidP="00611665">
      <w:pPr>
        <w:spacing w:line="360" w:lineRule="auto"/>
        <w:ind w:left="567"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w:t>
      </w:r>
      <w:r w:rsidRPr="007F0CCE">
        <w:rPr>
          <w:rFonts w:ascii="Palatino Linotype" w:eastAsia="Palatino Linotype" w:hAnsi="Palatino Linotype" w:cs="Palatino Linotype"/>
          <w:b/>
          <w:i/>
        </w:rPr>
        <w:t>Artículo 128.</w:t>
      </w:r>
      <w:r w:rsidRPr="007F0CCE">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100C67" w:rsidRPr="007F0CCE" w:rsidRDefault="005C297E" w:rsidP="00611665">
      <w:pPr>
        <w:spacing w:line="360" w:lineRule="auto"/>
        <w:ind w:left="567"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En esa tesitura, atendiendo a que el </w:t>
      </w:r>
      <w:r w:rsidRPr="007F0CCE">
        <w:rPr>
          <w:rFonts w:ascii="Palatino Linotype" w:eastAsia="Palatino Linotype" w:hAnsi="Palatino Linotype" w:cs="Palatino Linotype"/>
          <w:b/>
        </w:rPr>
        <w:t>Sujeto Obligado</w:t>
      </w:r>
      <w:r w:rsidRPr="007F0CCE">
        <w:rPr>
          <w:rFonts w:ascii="Palatino Linotype" w:eastAsia="Palatino Linotype" w:hAnsi="Palatino Linotype" w:cs="Palatino Linotype"/>
        </w:rPr>
        <w:t xml:space="preserve"> notificó la respuesta a la solicitud de acceso a datos personales el </w:t>
      </w:r>
      <w:r w:rsidRPr="007F0CCE">
        <w:rPr>
          <w:rFonts w:ascii="Palatino Linotype" w:eastAsia="Palatino Linotype" w:hAnsi="Palatino Linotype" w:cs="Palatino Linotype"/>
          <w:b/>
        </w:rPr>
        <w:t>uno de julio de dos mil veintitrés</w:t>
      </w:r>
      <w:r w:rsidRPr="007F0CCE">
        <w:rPr>
          <w:rFonts w:ascii="Palatino Linotype" w:eastAsia="Palatino Linotype" w:hAnsi="Palatino Linotype" w:cs="Palatino Linotype"/>
        </w:rPr>
        <w:t>, a través del SAIMEX, de modo que el plazo de quince días hábiles que contempla el artículo 128 de la Ley de Protección de Datos Personales en Posesión de Sujetos Obligados del Estado de México y Municipios, transcurrió del</w:t>
      </w:r>
      <w:r w:rsidRPr="007F0CCE">
        <w:rPr>
          <w:rFonts w:ascii="Palatino Linotype" w:eastAsia="Palatino Linotype" w:hAnsi="Palatino Linotype" w:cs="Palatino Linotype"/>
          <w:b/>
        </w:rPr>
        <w:t xml:space="preserve"> dos de julio al cinco de agosto de dos mil </w:t>
      </w:r>
      <w:r w:rsidRPr="007F0CCE">
        <w:rPr>
          <w:rFonts w:ascii="Palatino Linotype" w:eastAsia="Palatino Linotype" w:hAnsi="Palatino Linotype" w:cs="Palatino Linotype"/>
          <w:b/>
        </w:rPr>
        <w:lastRenderedPageBreak/>
        <w:t>veinticuatro</w:t>
      </w:r>
      <w:r w:rsidRPr="007F0CCE">
        <w:rPr>
          <w:rFonts w:ascii="Palatino Linotype" w:eastAsia="Palatino Linotype" w:hAnsi="Palatino Linotype" w:cs="Palatino Linotype"/>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Es decir que no se encuentra dentro de los márgenes temporales previstos en el artículo 128 de la Ley de Protección de Datos Personales en Posesión de Sujetos Obligados del Estado de México y Municipios y, por tanto, su interposición se considera inoportuna, como se precisara en el Considerado respectivo.</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pStyle w:val="Ttulo1"/>
        <w:spacing w:before="0" w:line="360" w:lineRule="auto"/>
        <w:ind w:right="-567"/>
        <w:rPr>
          <w:rFonts w:ascii="Palatino Linotype" w:eastAsia="Palatino Linotype" w:hAnsi="Palatino Linotype" w:cs="Palatino Linotype"/>
          <w:b/>
          <w:color w:val="000000"/>
          <w:sz w:val="24"/>
          <w:szCs w:val="24"/>
        </w:rPr>
      </w:pPr>
      <w:bookmarkStart w:id="9" w:name="_heading=h.2s8eyo1" w:colFirst="0" w:colLast="0"/>
      <w:bookmarkEnd w:id="9"/>
      <w:r w:rsidRPr="007F0CCE">
        <w:rPr>
          <w:rFonts w:ascii="Palatino Linotype" w:eastAsia="Palatino Linotype" w:hAnsi="Palatino Linotype" w:cs="Palatino Linotype"/>
          <w:b/>
          <w:color w:val="000000"/>
          <w:sz w:val="24"/>
          <w:szCs w:val="24"/>
        </w:rPr>
        <w:t xml:space="preserve">TERCERO. Del planteamiento de la </w:t>
      </w:r>
      <w:r w:rsidRPr="007F0CCE">
        <w:rPr>
          <w:rFonts w:ascii="Palatino Linotype" w:eastAsia="Palatino Linotype" w:hAnsi="Palatino Linotype" w:cs="Palatino Linotype"/>
          <w:b/>
          <w:i/>
          <w:color w:val="000000"/>
          <w:sz w:val="24"/>
          <w:szCs w:val="24"/>
        </w:rPr>
        <w:t>Litis</w:t>
      </w:r>
      <w:r w:rsidRPr="007F0CCE">
        <w:rPr>
          <w:rFonts w:ascii="Palatino Linotype" w:eastAsia="Palatino Linotype" w:hAnsi="Palatino Linotype" w:cs="Palatino Linotype"/>
          <w:b/>
          <w:color w:val="000000"/>
          <w:sz w:val="24"/>
          <w:szCs w:val="24"/>
        </w:rPr>
        <w:t>.</w:t>
      </w:r>
    </w:p>
    <w:p w:rsidR="00100C67" w:rsidRPr="007F0CCE" w:rsidRDefault="00100C67" w:rsidP="00611665">
      <w:pPr>
        <w:spacing w:line="360" w:lineRule="auto"/>
        <w:ind w:right="-567"/>
        <w:rPr>
          <w:rFonts w:ascii="Palatino Linotype" w:eastAsia="Palatino Linotype" w:hAnsi="Palatino Linotype" w:cs="Palatino Linotype"/>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color w:val="000000"/>
        </w:rPr>
        <w:t>De las constancias en el expediente al rubro indicado, se desprende que la titular, desea acceder a los siguientes datos personales:</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p>
    <w:p w:rsidR="00100C67" w:rsidRPr="007F0CCE" w:rsidRDefault="005C297E" w:rsidP="00611665">
      <w:pPr>
        <w:numPr>
          <w:ilvl w:val="0"/>
          <w:numId w:val="6"/>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Expediente médico con claves 440778-2 y 0593916.</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color w:val="000000"/>
        </w:rPr>
        <w:t xml:space="preserve">En respuesta, el </w:t>
      </w:r>
      <w:r w:rsidRPr="007F0CCE">
        <w:rPr>
          <w:rFonts w:ascii="Palatino Linotype" w:eastAsia="Palatino Linotype" w:hAnsi="Palatino Linotype" w:cs="Palatino Linotype"/>
          <w:b/>
          <w:color w:val="000000"/>
        </w:rPr>
        <w:t xml:space="preserve">SUJETO OBLIGADO </w:t>
      </w:r>
      <w:r w:rsidRPr="007F0CCE">
        <w:rPr>
          <w:rFonts w:ascii="Palatino Linotype" w:eastAsia="Palatino Linotype" w:hAnsi="Palatino Linotype" w:cs="Palatino Linotype"/>
          <w:color w:val="000000"/>
        </w:rPr>
        <w:t>informó al solicitante que se localizaron los expedientes clínicos a nombre de la titular, con distintas claves ISSEMYM, que constan de un total de 57 fojas, por lo que al no existir impedimento legal para brindar la información, se ponía a su disposición en copias certificadas, señalando para tal efecto el domicilio, horarios y costo total para la entrega de la información, previa acreditación de su identidad y personalidad.</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Inconforme, la titular, interpuso Recurso de Revisión, en el que </w:t>
      </w:r>
      <w:r w:rsidRPr="007F0CCE">
        <w:rPr>
          <w:rFonts w:ascii="Palatino Linotype" w:eastAsia="Palatino Linotype" w:hAnsi="Palatino Linotype" w:cs="Palatino Linotype"/>
        </w:rPr>
        <w:t>señalando</w:t>
      </w:r>
      <w:r w:rsidRPr="007F0CCE">
        <w:rPr>
          <w:rFonts w:ascii="Palatino Linotype" w:eastAsia="Palatino Linotype" w:hAnsi="Palatino Linotype" w:cs="Palatino Linotype"/>
          <w:color w:val="000000"/>
        </w:rPr>
        <w:t xml:space="preserve"> su inconformidad porque a su decir se negó la información y, no se realizó la búsqueda exhaustiva del expediente clínico solicitado.</w:t>
      </w:r>
    </w:p>
    <w:p w:rsidR="00100C67" w:rsidRPr="007F0CCE" w:rsidRDefault="00100C67" w:rsidP="00611665">
      <w:pPr>
        <w:pBdr>
          <w:top w:val="nil"/>
          <w:left w:val="nil"/>
          <w:bottom w:val="nil"/>
          <w:right w:val="nil"/>
          <w:between w:val="nil"/>
        </w:pBdr>
        <w:spacing w:line="360" w:lineRule="auto"/>
        <w:ind w:left="2629" w:right="-567"/>
        <w:jc w:val="both"/>
        <w:rPr>
          <w:rFonts w:ascii="Palatino Linotype" w:eastAsia="Palatino Linotype" w:hAnsi="Palatino Linotype" w:cs="Palatino Linotype"/>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En dichas condiciones, la </w:t>
      </w:r>
      <w:r w:rsidRPr="007F0CCE">
        <w:rPr>
          <w:rFonts w:ascii="Palatino Linotype" w:eastAsia="Palatino Linotype" w:hAnsi="Palatino Linotype" w:cs="Palatino Linotype"/>
          <w:i/>
          <w:color w:val="000000"/>
        </w:rPr>
        <w:t>Litis</w:t>
      </w:r>
      <w:r w:rsidRPr="007F0CCE">
        <w:rPr>
          <w:rFonts w:ascii="Palatino Linotype" w:eastAsia="Palatino Linotype" w:hAnsi="Palatino Linotype" w:cs="Palatino Linotype"/>
          <w:color w:val="000000"/>
        </w:rPr>
        <w:t xml:space="preserve"> a resolver en estos recursos se circunscribe a determinar si se actualizan las causales de procedencia previstas en el </w:t>
      </w:r>
      <w:r w:rsidRPr="007F0CCE">
        <w:rPr>
          <w:rFonts w:ascii="Palatino Linotype" w:eastAsia="Palatino Linotype" w:hAnsi="Palatino Linotype" w:cs="Palatino Linotype"/>
          <w:b/>
          <w:color w:val="000000"/>
        </w:rPr>
        <w:t>artículo 129</w:t>
      </w:r>
      <w:r w:rsidRPr="007F0CCE">
        <w:rPr>
          <w:rFonts w:ascii="Palatino Linotype" w:eastAsia="Palatino Linotype" w:hAnsi="Palatino Linotype" w:cs="Palatino Linotype"/>
          <w:color w:val="000000"/>
        </w:rPr>
        <w:t xml:space="preserve">, </w:t>
      </w:r>
      <w:r w:rsidRPr="007F0CCE">
        <w:rPr>
          <w:rFonts w:ascii="Palatino Linotype" w:eastAsia="Palatino Linotype" w:hAnsi="Palatino Linotype" w:cs="Palatino Linotype"/>
          <w:b/>
          <w:color w:val="000000"/>
        </w:rPr>
        <w:t xml:space="preserve">fracción VI </w:t>
      </w:r>
      <w:r w:rsidRPr="007F0CCE">
        <w:rPr>
          <w:rFonts w:ascii="Palatino Linotype" w:eastAsia="Palatino Linotype" w:hAnsi="Palatino Linotype" w:cs="Palatino Linotype"/>
          <w:color w:val="000000"/>
        </w:rPr>
        <w:t xml:space="preserve">de la </w:t>
      </w:r>
      <w:r w:rsidRPr="007F0CCE">
        <w:rPr>
          <w:rFonts w:ascii="Palatino Linotype" w:eastAsia="Palatino Linotype" w:hAnsi="Palatino Linotype" w:cs="Palatino Linotype"/>
          <w:b/>
          <w:color w:val="000000"/>
        </w:rPr>
        <w:t>Ley de Protección de Datos Personales en Posesión de Sujetos Obligados del Estado de México y Municipios</w:t>
      </w:r>
      <w:r w:rsidRPr="007F0CCE">
        <w:rPr>
          <w:rFonts w:ascii="Palatino Linotype" w:eastAsia="Palatino Linotype" w:hAnsi="Palatino Linotype" w:cs="Palatino Linotype"/>
          <w:color w:val="000000"/>
        </w:rPr>
        <w:t>; fracción que determina la hipótesis jurídica relativa a que</w:t>
      </w:r>
      <w:r w:rsidRPr="007F0CCE">
        <w:rPr>
          <w:rFonts w:ascii="Palatino Linotype" w:eastAsia="Palatino Linotype" w:hAnsi="Palatino Linotype" w:cs="Palatino Linotype"/>
        </w:rPr>
        <w:t xml:space="preserve"> s</w:t>
      </w:r>
      <w:r w:rsidRPr="007F0CCE">
        <w:rPr>
          <w:rFonts w:ascii="Palatino Linotype" w:eastAsia="Palatino Linotype" w:hAnsi="Palatino Linotype" w:cs="Palatino Linotype"/>
          <w:color w:val="000000"/>
        </w:rPr>
        <w:t xml:space="preserve">e niegue total o parcialmente el acceso, rectificación, cancelación u oposición de datos personales o los derechos relacionados con la materia; contexto del cual se dolió </w:t>
      </w:r>
      <w:r w:rsidRPr="007F0CCE">
        <w:rPr>
          <w:rFonts w:ascii="Palatino Linotype" w:eastAsia="Palatino Linotype" w:hAnsi="Palatino Linotype" w:cs="Palatino Linotype"/>
          <w:b/>
          <w:color w:val="000000"/>
        </w:rPr>
        <w:t xml:space="preserve">LA RECURRENTE </w:t>
      </w:r>
      <w:r w:rsidRPr="007F0CCE">
        <w:rPr>
          <w:rFonts w:ascii="Palatino Linotype" w:eastAsia="Palatino Linotype" w:hAnsi="Palatino Linotype" w:cs="Palatino Linotype"/>
          <w:color w:val="000000"/>
        </w:rPr>
        <w:t>al momento de interponer su inconformidad.</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De modo tal que el presente Recurso de Revisión se </w:t>
      </w:r>
      <w:r w:rsidRPr="007F0CCE">
        <w:rPr>
          <w:rFonts w:ascii="Palatino Linotype" w:eastAsia="Palatino Linotype" w:hAnsi="Palatino Linotype" w:cs="Palatino Linotype"/>
        </w:rPr>
        <w:t>abocara</w:t>
      </w:r>
      <w:r w:rsidRPr="007F0CCE">
        <w:rPr>
          <w:rFonts w:ascii="Palatino Linotype" w:eastAsia="Palatino Linotype" w:hAnsi="Palatino Linotype" w:cs="Palatino Linotype"/>
          <w:color w:val="000000"/>
        </w:rPr>
        <w:t xml:space="preserve"> en determinar si el </w:t>
      </w:r>
      <w:r w:rsidRPr="007F0CCE">
        <w:rPr>
          <w:rFonts w:ascii="Palatino Linotype" w:eastAsia="Palatino Linotype" w:hAnsi="Palatino Linotype" w:cs="Palatino Linotype"/>
          <w:b/>
          <w:color w:val="000000"/>
        </w:rPr>
        <w:t>SUJETO OBLIGADO</w:t>
      </w:r>
      <w:r w:rsidRPr="007F0CCE">
        <w:rPr>
          <w:rFonts w:ascii="Palatino Linotype" w:eastAsia="Palatino Linotype" w:hAnsi="Palatino Linotype" w:cs="Palatino Linotype"/>
          <w:color w:val="000000"/>
        </w:rPr>
        <w:t xml:space="preserve"> con su respuesta ciertamente actualiza la causal de procedencia</w:t>
      </w:r>
      <w:r w:rsidRPr="007F0CCE">
        <w:rPr>
          <w:rFonts w:ascii="Palatino Linotype" w:eastAsia="Palatino Linotype" w:hAnsi="Palatino Linotype" w:cs="Palatino Linotype"/>
          <w:b/>
          <w:color w:val="000000"/>
        </w:rPr>
        <w:t xml:space="preserve"> </w:t>
      </w:r>
      <w:r w:rsidRPr="007F0CCE">
        <w:rPr>
          <w:rFonts w:ascii="Palatino Linotype" w:eastAsia="Palatino Linotype" w:hAnsi="Palatino Linotype" w:cs="Palatino Linotype"/>
          <w:color w:val="000000"/>
        </w:rPr>
        <w:t>antes señalada; asimismo, determinar si se vulnera el derecho de acceso a los datos personales de la titular.</w:t>
      </w:r>
    </w:p>
    <w:p w:rsidR="00100C67" w:rsidRPr="007F0CCE" w:rsidRDefault="00100C67" w:rsidP="00611665">
      <w:pPr>
        <w:pBdr>
          <w:top w:val="nil"/>
          <w:left w:val="nil"/>
          <w:bottom w:val="nil"/>
          <w:right w:val="nil"/>
          <w:between w:val="nil"/>
        </w:pBdr>
        <w:spacing w:line="360" w:lineRule="auto"/>
        <w:ind w:left="709" w:right="-567"/>
        <w:rPr>
          <w:rFonts w:ascii="Palatino Linotype" w:eastAsia="Palatino Linotype" w:hAnsi="Palatino Linotype" w:cs="Palatino Linotype"/>
          <w:color w:val="000000"/>
        </w:rPr>
      </w:pPr>
    </w:p>
    <w:p w:rsidR="00100C67" w:rsidRPr="007F0CCE" w:rsidRDefault="005C297E" w:rsidP="00611665">
      <w:pPr>
        <w:keepNext/>
        <w:keepLines/>
        <w:spacing w:line="360" w:lineRule="auto"/>
        <w:ind w:right="-567"/>
        <w:rPr>
          <w:rFonts w:ascii="Palatino Linotype" w:eastAsia="Palatino Linotype" w:hAnsi="Palatino Linotype" w:cs="Palatino Linotype"/>
          <w:b/>
          <w:color w:val="000000"/>
        </w:rPr>
      </w:pPr>
      <w:r w:rsidRPr="007F0CCE">
        <w:rPr>
          <w:rFonts w:ascii="Palatino Linotype" w:eastAsia="Palatino Linotype" w:hAnsi="Palatino Linotype" w:cs="Palatino Linotype"/>
          <w:b/>
          <w:color w:val="000000"/>
        </w:rPr>
        <w:t>CUARTO. Del estudio y resolución del estudio.</w:t>
      </w:r>
    </w:p>
    <w:p w:rsidR="00100C67" w:rsidRPr="007F0CCE" w:rsidRDefault="00100C67" w:rsidP="00611665">
      <w:pPr>
        <w:spacing w:line="360" w:lineRule="auto"/>
        <w:ind w:right="-567"/>
        <w:jc w:val="both"/>
        <w:rPr>
          <w:rFonts w:ascii="Palatino Linotype" w:eastAsia="Palatino Linotype" w:hAnsi="Palatino Linotype" w:cs="Palatino Linotype"/>
        </w:rPr>
      </w:pPr>
      <w:bookmarkStart w:id="10" w:name="_heading=h.17dp8vu" w:colFirst="0" w:colLast="0"/>
      <w:bookmarkEnd w:id="10"/>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Previo al análisis de fondo de la controversia presentada en el asunto que nos ocupa, es menester inicial, señalando que el procedimiento de acceso a los datos </w:t>
      </w:r>
      <w:r w:rsidRPr="007F0CCE">
        <w:rPr>
          <w:rFonts w:ascii="Palatino Linotype" w:eastAsia="Palatino Linotype" w:hAnsi="Palatino Linotype" w:cs="Palatino Linotype"/>
          <w:color w:val="000000"/>
        </w:rPr>
        <w:t>personales</w:t>
      </w:r>
      <w:r w:rsidRPr="007F0CCE">
        <w:rPr>
          <w:rFonts w:ascii="Palatino Linotype" w:eastAsia="Palatino Linotype" w:hAnsi="Palatino Linotype" w:cs="Palatino Linotype"/>
        </w:rPr>
        <w:t xml:space="preserve"> tiene sustento en los artículos 6, apartado A, fracción II  y 16 párrafo segundo </w:t>
      </w:r>
      <w:r w:rsidRPr="007F0CCE">
        <w:rPr>
          <w:rFonts w:ascii="Palatino Linotype" w:eastAsia="Palatino Linotype" w:hAnsi="Palatino Linotype" w:cs="Palatino Linotype"/>
        </w:rPr>
        <w:lastRenderedPageBreak/>
        <w:t>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rsidR="00100C67" w:rsidRPr="007F0CCE" w:rsidRDefault="00100C67" w:rsidP="00611665">
      <w:pPr>
        <w:pBdr>
          <w:top w:val="nil"/>
          <w:left w:val="nil"/>
          <w:bottom w:val="nil"/>
          <w:right w:val="nil"/>
          <w:between w:val="nil"/>
        </w:pBdr>
        <w:spacing w:line="360" w:lineRule="auto"/>
        <w:ind w:left="502"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w:t>
      </w:r>
      <w:r w:rsidRPr="007F0CCE">
        <w:rPr>
          <w:rFonts w:ascii="Palatino Linotype" w:eastAsia="Palatino Linotype" w:hAnsi="Palatino Linotype" w:cs="Palatino Linotype"/>
        </w:rPr>
        <w:lastRenderedPageBreak/>
        <w:t xml:space="preserve">rectificación, cancelación, oposición y portabilidad sobre el tratamiento de sus datos, ante el </w:t>
      </w:r>
      <w:r w:rsidRPr="007F0CCE">
        <w:rPr>
          <w:rFonts w:ascii="Palatino Linotype" w:eastAsia="Palatino Linotype" w:hAnsi="Palatino Linotype" w:cs="Palatino Linotype"/>
          <w:b/>
        </w:rPr>
        <w:t>Sujeto Obligado</w:t>
      </w:r>
      <w:r w:rsidRPr="007F0CCE">
        <w:rPr>
          <w:rFonts w:ascii="Palatino Linotype" w:eastAsia="Palatino Linotype" w:hAnsi="Palatino Linotype" w:cs="Palatino Linotype"/>
        </w:rPr>
        <w:t xml:space="preserve"> que esté en posesión de los mismos.</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Ahora bien, del análisis a la solicitud se advierte que la parte </w:t>
      </w:r>
      <w:r w:rsidRPr="007F0CCE">
        <w:rPr>
          <w:rFonts w:ascii="Palatino Linotype" w:eastAsia="Palatino Linotype" w:hAnsi="Palatino Linotype" w:cs="Palatino Linotype"/>
          <w:b/>
        </w:rPr>
        <w:t>Recurrente</w:t>
      </w:r>
      <w:r w:rsidRPr="007F0CCE">
        <w:rPr>
          <w:rFonts w:ascii="Palatino Linotype" w:eastAsia="Palatino Linotype" w:hAnsi="Palatino Linotype" w:cs="Palatino Linotype"/>
        </w:rPr>
        <w:t xml:space="preserve"> requiere acceder los siguientes datos personales disgregados, en copias certificadas con costo: </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bookmarkStart w:id="11" w:name="_heading=h.26in1rg" w:colFirst="0" w:colLast="0"/>
      <w:bookmarkEnd w:id="11"/>
      <w:r w:rsidRPr="007F0CCE">
        <w:rPr>
          <w:rFonts w:ascii="Palatino Linotype" w:eastAsia="Palatino Linotype" w:hAnsi="Palatino Linotype" w:cs="Palatino Linotype"/>
          <w:color w:val="000000"/>
        </w:rPr>
        <w:t>Acotado lo anterior</w:t>
      </w:r>
      <w:r w:rsidRPr="007F0CCE">
        <w:rPr>
          <w:rFonts w:ascii="Palatino Linotype" w:eastAsia="Palatino Linotype" w:hAnsi="Palatino Linotype" w:cs="Palatino Linotype"/>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Así, debemos </w:t>
      </w:r>
      <w:r w:rsidRPr="007F0CCE">
        <w:rPr>
          <w:rFonts w:ascii="Palatino Linotype" w:eastAsia="Palatino Linotype" w:hAnsi="Palatino Linotype" w:cs="Palatino Linotype"/>
          <w:color w:val="000000"/>
        </w:rPr>
        <w:t>recapitular</w:t>
      </w:r>
      <w:r w:rsidRPr="007F0CCE">
        <w:rPr>
          <w:rFonts w:ascii="Palatino Linotype" w:eastAsia="Palatino Linotype" w:hAnsi="Palatino Linotype" w:cs="Palatino Linotype"/>
        </w:rPr>
        <w:t xml:space="preserve"> que la </w:t>
      </w:r>
      <w:r w:rsidRPr="007F0CCE">
        <w:rPr>
          <w:rFonts w:ascii="Palatino Linotype" w:eastAsia="Palatino Linotype" w:hAnsi="Palatino Linotype" w:cs="Palatino Linotype"/>
          <w:b/>
        </w:rPr>
        <w:t>RECURRENTE</w:t>
      </w:r>
      <w:r w:rsidRPr="007F0CCE">
        <w:rPr>
          <w:rFonts w:ascii="Palatino Linotype" w:eastAsia="Palatino Linotype" w:hAnsi="Palatino Linotype" w:cs="Palatino Linotype"/>
        </w:rPr>
        <w:t xml:space="preserve"> solicitó</w:t>
      </w:r>
      <w:r w:rsidRPr="007F0CCE">
        <w:rPr>
          <w:rFonts w:ascii="Palatino Linotype" w:eastAsia="Palatino Linotype" w:hAnsi="Palatino Linotype" w:cs="Palatino Linotype"/>
          <w:color w:val="000000"/>
        </w:rPr>
        <w:t xml:space="preserve"> su expediente médico del ISSEMYM con claves 440778-2 y 0593916, a lo que el Instituto de Seguridad Social del Estado de México y Municipios, emitió un pronunciamiento en sentido afirmativo, señalando que ciertamente se localizaron los expedientes clínicos con distintas claves ISSEMYM a nombre de la titular de los datos, constando de un total de 57 fojas, por lo </w:t>
      </w:r>
      <w:r w:rsidRPr="007F0CCE">
        <w:rPr>
          <w:rFonts w:ascii="Palatino Linotype" w:eastAsia="Palatino Linotype" w:hAnsi="Palatino Linotype" w:cs="Palatino Linotype"/>
          <w:color w:val="000000"/>
        </w:rPr>
        <w:lastRenderedPageBreak/>
        <w:t>que al no existir impedimento legal para brindar la información, se ponía a su disposición en copias certificadas, señalando para tal efecto el domicilio, horarios y costo total para la entrega de la información, previa acreditación de su identidad y personalidad.</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De modo tal que se advierten improcedentes los motivos de inconformidad; toda vez que contrario a lo vertido por la parte </w:t>
      </w:r>
      <w:r w:rsidRPr="007F0CCE">
        <w:rPr>
          <w:rFonts w:ascii="Palatino Linotype" w:eastAsia="Palatino Linotype" w:hAnsi="Palatino Linotype" w:cs="Palatino Linotype"/>
          <w:b/>
        </w:rPr>
        <w:t>RECURRENTE</w:t>
      </w:r>
      <w:r w:rsidRPr="007F0CCE">
        <w:rPr>
          <w:rFonts w:ascii="Palatino Linotype" w:eastAsia="Palatino Linotype" w:hAnsi="Palatino Linotype" w:cs="Palatino Linotype"/>
        </w:rPr>
        <w:t xml:space="preserve"> el </w:t>
      </w:r>
      <w:r w:rsidRPr="007F0CCE">
        <w:rPr>
          <w:rFonts w:ascii="Palatino Linotype" w:eastAsia="Palatino Linotype" w:hAnsi="Palatino Linotype" w:cs="Palatino Linotype"/>
          <w:b/>
        </w:rPr>
        <w:t xml:space="preserve">SUJETO OBLIGADO </w:t>
      </w:r>
      <w:r w:rsidRPr="007F0CCE">
        <w:rPr>
          <w:rFonts w:ascii="Palatino Linotype" w:eastAsia="Palatino Linotype" w:hAnsi="Palatino Linotype" w:cs="Palatino Linotype"/>
        </w:rPr>
        <w:t>no refirió en su respuesta no contar con la información.</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En esa tesitura, la particular en la etapa de manifestaciones aportó pruebas que a su decir comprueban su dicho consistentes en tres fojas de un expediente clínico; sin embargo, dichas documentales no otorgan un elemento de convicción para asegurar que el </w:t>
      </w:r>
      <w:r w:rsidRPr="007F0CCE">
        <w:rPr>
          <w:rFonts w:ascii="Palatino Linotype" w:eastAsia="Palatino Linotype" w:hAnsi="Palatino Linotype" w:cs="Palatino Linotype"/>
          <w:b/>
        </w:rPr>
        <w:t>SUJETO OBLIGADO</w:t>
      </w:r>
      <w:r w:rsidRPr="007F0CCE">
        <w:rPr>
          <w:rFonts w:ascii="Palatino Linotype" w:eastAsia="Palatino Linotype" w:hAnsi="Palatino Linotype" w:cs="Palatino Linotype"/>
        </w:rPr>
        <w:t xml:space="preserve"> está emitiendo un pronunciamiento inexacto o que no realizó una búsqueda efectiva de los datos personales.</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rPr>
        <w:t xml:space="preserve">En ese sentido, es de mencionar que es de explorado derecho que este Órgano Garante carece de facultades para dudar de la veracidad de los pronunciamientos emitidos por los sujetos obligados; situación que se aleja de las atribuciones de este Instituto </w:t>
      </w:r>
      <w:r w:rsidRPr="007F0CCE">
        <w:rPr>
          <w:rFonts w:ascii="Palatino Linotype" w:eastAsia="Palatino Linotype" w:hAnsi="Palatino Linotype" w:cs="Palatino Linotype"/>
          <w:i/>
          <w:color w:val="000000"/>
        </w:rPr>
        <w:t>máxime</w:t>
      </w:r>
      <w:r w:rsidRPr="007F0CCE">
        <w:rPr>
          <w:rFonts w:ascii="Palatino Linotype" w:eastAsia="Palatino Linotype" w:hAnsi="Palatino Linotype" w:cs="Palatino Linotype"/>
          <w:color w:val="000000"/>
        </w:rPr>
        <w:t xml:space="preserve"> que al momento que ponen a disposición ésta, la misma tiene el carácter oficial y se presume veraz, tan es así que la misma queda registrada en el Sistema de Acceso a la Información Mexiquense y, Sistema de Acceso, Rectificación Cancelación y Oposición de Datos Personales del Estado de México, respectivamente,</w:t>
      </w:r>
    </w:p>
    <w:p w:rsidR="00100C67" w:rsidRPr="007F0CCE" w:rsidRDefault="00100C67" w:rsidP="00611665">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lastRenderedPageBreak/>
        <w:t>En ese sentido, la Ley de Transparencia y Acceso a la Información Pública del Estado de México y Municipios de aplicación supletoria, establece que los sujetos obligados deberán privilegiar el principio de máxima publicidad de la información, por lo que deberán apegarse en todo momento a los criterios de publicidad, veracidad, oportunidad entre otros, numeral en comento que a la letra señala;</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pBdr>
          <w:top w:val="nil"/>
          <w:left w:val="nil"/>
          <w:bottom w:val="nil"/>
          <w:right w:val="nil"/>
          <w:between w:val="nil"/>
        </w:pBdr>
        <w:spacing w:line="360" w:lineRule="auto"/>
        <w:ind w:left="644" w:right="-567"/>
        <w:jc w:val="both"/>
        <w:rPr>
          <w:rFonts w:ascii="Palatino Linotype" w:eastAsia="Palatino Linotype" w:hAnsi="Palatino Linotype" w:cs="Palatino Linotype"/>
          <w:b/>
          <w:i/>
          <w:color w:val="000000"/>
        </w:rPr>
      </w:pPr>
      <w:r w:rsidRPr="007F0CCE">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7F0CCE">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100C67" w:rsidRPr="007F0CCE" w:rsidRDefault="00100C67" w:rsidP="00611665">
      <w:pPr>
        <w:spacing w:line="360" w:lineRule="auto"/>
        <w:ind w:right="-567"/>
        <w:jc w:val="both"/>
        <w:rPr>
          <w:rFonts w:ascii="Palatino Linotype" w:eastAsia="Palatino Linotype" w:hAnsi="Palatino Linotype" w:cs="Palatino Linotype"/>
          <w:b/>
          <w:i/>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Numeral que compele al </w:t>
      </w:r>
      <w:r w:rsidRPr="007F0CCE">
        <w:rPr>
          <w:rFonts w:ascii="Palatino Linotype" w:eastAsia="Palatino Linotype" w:hAnsi="Palatino Linotype" w:cs="Palatino Linotype"/>
          <w:b/>
        </w:rPr>
        <w:t>SUJETO OBLIGADO</w:t>
      </w:r>
      <w:r w:rsidRPr="007F0CCE">
        <w:rPr>
          <w:rFonts w:ascii="Palatino Linotype" w:eastAsia="Palatino Linotype" w:hAnsi="Palatino Linotype" w:cs="Palatino Linotype"/>
        </w:rPr>
        <w:t xml:space="preserve"> a apegarse en todo momento a los criterios ya expuestos, </w:t>
      </w:r>
      <w:r w:rsidR="00B33EE7" w:rsidRPr="007F0CCE">
        <w:rPr>
          <w:rFonts w:ascii="Palatino Linotype" w:eastAsia="Palatino Linotype" w:hAnsi="Palatino Linotype" w:cs="Palatino Linotype"/>
        </w:rPr>
        <w:t>impidiendo</w:t>
      </w:r>
      <w:r w:rsidRPr="007F0CCE">
        <w:rPr>
          <w:rFonts w:ascii="Palatino Linotype" w:eastAsia="Palatino Linotype" w:hAnsi="Palatino Linotype" w:cs="Palatino Linotype"/>
        </w:rPr>
        <w:t xml:space="preserve"> a este Órgano Colegiado cuestionar la veracidad de la información. Contexto por el cual se desestiman.</w:t>
      </w:r>
    </w:p>
    <w:p w:rsidR="00100C67" w:rsidRPr="007F0CCE" w:rsidRDefault="00100C67" w:rsidP="00611665">
      <w:p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Retomando, los motivos de inconformidad en su parte relativa a que no se realizó una búsqueda exhaustiva. Como se señaló, ya existió un pronunciamiento por parte de los servidores públicos habilitados de la Coordinación de Servicios de Salud, Encargado del Área de Archivo Clínico y Radiológico y Director del Centro Medico ISSEMYM al respecto y, se puso a disposición de la titular en la modalidad elegida.</w:t>
      </w:r>
    </w:p>
    <w:p w:rsidR="00100C67" w:rsidRPr="007F0CCE" w:rsidRDefault="00100C67" w:rsidP="00611665">
      <w:pPr>
        <w:pBdr>
          <w:top w:val="nil"/>
          <w:left w:val="nil"/>
          <w:bottom w:val="nil"/>
          <w:right w:val="nil"/>
          <w:between w:val="nil"/>
        </w:pBdr>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tabs>
          <w:tab w:val="left" w:pos="426"/>
          <w:tab w:val="left" w:pos="567"/>
        </w:tabs>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lastRenderedPageBreak/>
        <w:t>En este sentido, para atender las solicitudes de información, los Sujetos Obligados contarán con un área denominada Unidad de Transparencia</w:t>
      </w:r>
      <w:r w:rsidRPr="007F0CCE">
        <w:rPr>
          <w:rFonts w:ascii="Palatino Linotype" w:eastAsia="Palatino Linotype" w:hAnsi="Palatino Linotype" w:cs="Palatino Linotype"/>
          <w:color w:val="000000"/>
          <w:vertAlign w:val="superscript"/>
        </w:rPr>
        <w:footnoteReference w:id="1"/>
      </w:r>
      <w:r w:rsidRPr="007F0CCE">
        <w:rPr>
          <w:rFonts w:ascii="Palatino Linotype" w:eastAsia="Palatino Linotype" w:hAnsi="Palatino Linotype" w:cs="Palatino Linotype"/>
          <w:color w:val="000000"/>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7F0CCE">
        <w:rPr>
          <w:rFonts w:ascii="Palatino Linotype" w:eastAsia="Palatino Linotype" w:hAnsi="Palatino Linotype" w:cs="Palatino Linotype"/>
          <w:b/>
          <w:color w:val="000000"/>
        </w:rPr>
        <w:t xml:space="preserve"> </w:t>
      </w:r>
      <w:r w:rsidRPr="007F0CCE">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7F0CCE">
        <w:rPr>
          <w:rFonts w:ascii="Palatino Linotype" w:eastAsia="Palatino Linotype" w:hAnsi="Palatino Linotype" w:cs="Palatino Linotype"/>
          <w:color w:val="000000"/>
          <w:vertAlign w:val="superscript"/>
        </w:rPr>
        <w:footnoteReference w:id="2"/>
      </w:r>
      <w:r w:rsidRPr="007F0CCE">
        <w:rPr>
          <w:rFonts w:ascii="Palatino Linotype" w:eastAsia="Palatino Linotype" w:hAnsi="Palatino Linotype" w:cs="Palatino Linotype"/>
          <w:color w:val="000000"/>
        </w:rPr>
        <w:t xml:space="preserve"> de aplicación supletoria.</w:t>
      </w:r>
    </w:p>
    <w:p w:rsidR="00100C67" w:rsidRPr="007F0CCE" w:rsidRDefault="00100C67" w:rsidP="00611665">
      <w:pPr>
        <w:pBdr>
          <w:top w:val="nil"/>
          <w:left w:val="nil"/>
          <w:bottom w:val="nil"/>
          <w:right w:val="nil"/>
          <w:between w:val="nil"/>
        </w:pBdr>
        <w:spacing w:line="360" w:lineRule="auto"/>
        <w:ind w:left="720" w:right="-567"/>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tabs>
          <w:tab w:val="left" w:pos="426"/>
          <w:tab w:val="left" w:pos="567"/>
        </w:tabs>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De conformidad con lo dispuesto en la Ley de Transparencia Local de aplicación supletoria, las Unidades de Transparencia tendrán, entre sus atribuciones, las siguientes:</w:t>
      </w:r>
    </w:p>
    <w:p w:rsidR="001636D4" w:rsidRPr="007F0CCE" w:rsidRDefault="001636D4" w:rsidP="00611665">
      <w:pPr>
        <w:pBdr>
          <w:top w:val="nil"/>
          <w:left w:val="nil"/>
          <w:bottom w:val="nil"/>
          <w:right w:val="nil"/>
          <w:between w:val="nil"/>
        </w:pBdr>
        <w:tabs>
          <w:tab w:val="left" w:pos="426"/>
          <w:tab w:val="left" w:pos="567"/>
        </w:tabs>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1"/>
          <w:numId w:val="7"/>
        </w:numPr>
        <w:pBdr>
          <w:top w:val="nil"/>
          <w:left w:val="nil"/>
          <w:bottom w:val="nil"/>
          <w:right w:val="nil"/>
          <w:between w:val="nil"/>
        </w:pBdr>
        <w:spacing w:line="360" w:lineRule="auto"/>
        <w:ind w:left="709" w:right="-567" w:hanging="142"/>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Recibir, tramitar y dar respuesta a las solicitudes de acceso a la información;</w:t>
      </w:r>
    </w:p>
    <w:p w:rsidR="00100C67" w:rsidRPr="007F0CCE" w:rsidRDefault="005C297E" w:rsidP="00611665">
      <w:pPr>
        <w:numPr>
          <w:ilvl w:val="1"/>
          <w:numId w:val="7"/>
        </w:numPr>
        <w:pBdr>
          <w:top w:val="nil"/>
          <w:left w:val="nil"/>
          <w:bottom w:val="nil"/>
          <w:right w:val="nil"/>
          <w:between w:val="nil"/>
        </w:pBdr>
        <w:spacing w:line="360" w:lineRule="auto"/>
        <w:ind w:left="709" w:right="-567" w:hanging="142"/>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Realizar, con efectividad, los trámites internos necesarios para la atención de las solicitudes de acceso a la información; </w:t>
      </w:r>
    </w:p>
    <w:p w:rsidR="00100C67" w:rsidRPr="007F0CCE" w:rsidRDefault="005C297E" w:rsidP="00611665">
      <w:pPr>
        <w:numPr>
          <w:ilvl w:val="1"/>
          <w:numId w:val="7"/>
        </w:numPr>
        <w:pBdr>
          <w:top w:val="nil"/>
          <w:left w:val="nil"/>
          <w:bottom w:val="nil"/>
          <w:right w:val="nil"/>
          <w:between w:val="nil"/>
        </w:pBdr>
        <w:spacing w:line="360" w:lineRule="auto"/>
        <w:ind w:left="709" w:right="-567" w:hanging="142"/>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Entregar, en su caso, a los particulares la información solicitada; y </w:t>
      </w:r>
    </w:p>
    <w:p w:rsidR="00100C67" w:rsidRPr="007F0CCE" w:rsidRDefault="005C297E" w:rsidP="00611665">
      <w:pPr>
        <w:numPr>
          <w:ilvl w:val="1"/>
          <w:numId w:val="7"/>
        </w:numPr>
        <w:pBdr>
          <w:top w:val="nil"/>
          <w:left w:val="nil"/>
          <w:bottom w:val="nil"/>
          <w:right w:val="nil"/>
          <w:between w:val="nil"/>
        </w:pBdr>
        <w:spacing w:line="360" w:lineRule="auto"/>
        <w:ind w:left="709" w:right="-567" w:hanging="142"/>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Efectuar las notificaciones a los solicitantes.</w:t>
      </w:r>
    </w:p>
    <w:p w:rsidR="00100C67" w:rsidRPr="007F0CCE" w:rsidRDefault="00100C67" w:rsidP="00611665">
      <w:pPr>
        <w:pBdr>
          <w:top w:val="nil"/>
          <w:left w:val="nil"/>
          <w:bottom w:val="nil"/>
          <w:right w:val="nil"/>
          <w:between w:val="nil"/>
        </w:pBdr>
        <w:spacing w:line="360" w:lineRule="auto"/>
        <w:ind w:left="709"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pBdr>
          <w:top w:val="nil"/>
          <w:left w:val="nil"/>
          <w:bottom w:val="nil"/>
          <w:right w:val="nil"/>
          <w:between w:val="nil"/>
        </w:pBdr>
        <w:tabs>
          <w:tab w:val="left" w:pos="426"/>
          <w:tab w:val="left" w:pos="567"/>
        </w:tabs>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lastRenderedPageBreak/>
        <w:t xml:space="preserve">Otros sujetos del proceso de atención a las solicitudes de información son los servidores públicos habilitados, quienes serán designados por el titular del </w:t>
      </w:r>
      <w:r w:rsidRPr="007F0CCE">
        <w:rPr>
          <w:rFonts w:ascii="Palatino Linotype" w:eastAsia="Palatino Linotype" w:hAnsi="Palatino Linotype" w:cs="Palatino Linotype"/>
          <w:b/>
          <w:color w:val="000000"/>
        </w:rPr>
        <w:t xml:space="preserve">SUJETO OBLIGADO </w:t>
      </w:r>
      <w:r w:rsidRPr="007F0CCE">
        <w:rPr>
          <w:rFonts w:ascii="Palatino Linotype" w:eastAsia="Palatino Linotype" w:hAnsi="Palatino Linotype" w:cs="Palatino Linotype"/>
          <w:color w:val="000000"/>
        </w:rPr>
        <w:t>a propuesta del responsable de la Unidad de Transparencia</w:t>
      </w:r>
      <w:r w:rsidRPr="007F0CCE">
        <w:rPr>
          <w:rFonts w:ascii="Palatino Linotype" w:eastAsia="Palatino Linotype" w:hAnsi="Palatino Linotype" w:cs="Palatino Linotype"/>
          <w:color w:val="000000"/>
          <w:vertAlign w:val="superscript"/>
        </w:rPr>
        <w:footnoteReference w:id="3"/>
      </w:r>
      <w:r w:rsidRPr="007F0CCE">
        <w:rPr>
          <w:rFonts w:ascii="Palatino Linotype" w:eastAsia="Palatino Linotype" w:hAnsi="Palatino Linotype" w:cs="Palatino Linotype"/>
          <w:color w:val="000000"/>
        </w:rPr>
        <w:t xml:space="preserve"> y tendrán, entre sus atribuciones, las siguientes</w:t>
      </w:r>
      <w:r w:rsidRPr="007F0CCE">
        <w:rPr>
          <w:rFonts w:ascii="Palatino Linotype" w:eastAsia="Palatino Linotype" w:hAnsi="Palatino Linotype" w:cs="Palatino Linotype"/>
          <w:color w:val="000000"/>
          <w:vertAlign w:val="superscript"/>
        </w:rPr>
        <w:footnoteReference w:id="4"/>
      </w:r>
      <w:r w:rsidRPr="007F0CCE">
        <w:rPr>
          <w:rFonts w:ascii="Palatino Linotype" w:eastAsia="Palatino Linotype" w:hAnsi="Palatino Linotype" w:cs="Palatino Linotype"/>
          <w:color w:val="000000"/>
        </w:rPr>
        <w:t>:</w:t>
      </w:r>
    </w:p>
    <w:p w:rsidR="001636D4" w:rsidRPr="007F0CCE" w:rsidRDefault="001636D4" w:rsidP="00611665">
      <w:pPr>
        <w:pBdr>
          <w:top w:val="nil"/>
          <w:left w:val="nil"/>
          <w:bottom w:val="nil"/>
          <w:right w:val="nil"/>
          <w:between w:val="nil"/>
        </w:pBdr>
        <w:tabs>
          <w:tab w:val="left" w:pos="426"/>
          <w:tab w:val="left" w:pos="567"/>
        </w:tabs>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1"/>
          <w:numId w:val="2"/>
        </w:numPr>
        <w:pBdr>
          <w:top w:val="nil"/>
          <w:left w:val="nil"/>
          <w:bottom w:val="nil"/>
          <w:right w:val="nil"/>
          <w:between w:val="nil"/>
        </w:pBdr>
        <w:spacing w:line="360" w:lineRule="auto"/>
        <w:ind w:left="709" w:right="-567" w:hanging="142"/>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Localizar la información que le solicite la Unidad de Transparencia; y</w:t>
      </w:r>
    </w:p>
    <w:p w:rsidR="00100C67" w:rsidRPr="007F0CCE" w:rsidRDefault="005C297E" w:rsidP="00611665">
      <w:pPr>
        <w:numPr>
          <w:ilvl w:val="1"/>
          <w:numId w:val="2"/>
        </w:numPr>
        <w:pBdr>
          <w:top w:val="nil"/>
          <w:left w:val="nil"/>
          <w:bottom w:val="nil"/>
          <w:right w:val="nil"/>
          <w:between w:val="nil"/>
        </w:pBdr>
        <w:spacing w:line="360" w:lineRule="auto"/>
        <w:ind w:left="709" w:right="-567" w:hanging="142"/>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Proporcionar la información que obre en los archivos y que le sea solicitada por la Unidad de Transparencia.</w:t>
      </w:r>
    </w:p>
    <w:p w:rsidR="00100C67" w:rsidRPr="007F0CCE" w:rsidRDefault="00100C67" w:rsidP="00611665">
      <w:pPr>
        <w:tabs>
          <w:tab w:val="left" w:pos="426"/>
          <w:tab w:val="left" w:pos="567"/>
        </w:tabs>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color w:val="000000"/>
        </w:rPr>
        <w:t xml:space="preserve">De tal manera que cada una de las áreas administrativas del </w:t>
      </w:r>
      <w:r w:rsidRPr="007F0CCE">
        <w:rPr>
          <w:rFonts w:ascii="Palatino Linotype" w:eastAsia="Palatino Linotype" w:hAnsi="Palatino Linotype" w:cs="Palatino Linotype"/>
          <w:b/>
          <w:color w:val="000000"/>
        </w:rPr>
        <w:t>SUJETO OBLIGADO</w:t>
      </w:r>
      <w:r w:rsidRPr="007F0CCE">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 o de acceso a datos personales.</w:t>
      </w:r>
    </w:p>
    <w:p w:rsidR="001636D4" w:rsidRPr="007F0CCE" w:rsidRDefault="001636D4"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color w:val="000000"/>
        </w:rPr>
        <w:t>Aunado a lo anterior, la Ley de Transparencia y Acceso a la Información Pública del Estado de México y Municipios de aplicación supletoria, en su artículo 53, establece las funciones correspondientes a esta Unidad; mismas que se inserta a continuación:</w:t>
      </w:r>
    </w:p>
    <w:p w:rsidR="001636D4" w:rsidRPr="007F0CCE" w:rsidRDefault="001636D4"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b/>
          <w:i/>
          <w:color w:val="000000"/>
        </w:rPr>
        <w:t>“Artículo 53</w:t>
      </w:r>
      <w:r w:rsidRPr="007F0CCE">
        <w:rPr>
          <w:rFonts w:ascii="Palatino Linotype" w:eastAsia="Palatino Linotype" w:hAnsi="Palatino Linotype" w:cs="Palatino Linotype"/>
          <w:i/>
          <w:color w:val="000000"/>
        </w:rPr>
        <w:t xml:space="preserve">. Las Unidades de Transparencia tendrán las siguientes funciones: </w:t>
      </w:r>
    </w:p>
    <w:p w:rsidR="00100C67" w:rsidRPr="007F0CCE" w:rsidRDefault="00100C67"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lastRenderedPageBreak/>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color w:val="000000"/>
        </w:rPr>
      </w:pPr>
      <w:r w:rsidRPr="007F0CCE">
        <w:rPr>
          <w:rFonts w:ascii="Palatino Linotype" w:eastAsia="Palatino Linotype" w:hAnsi="Palatino Linotype" w:cs="Palatino Linotype"/>
          <w:b/>
          <w:i/>
          <w:color w:val="000000"/>
        </w:rPr>
        <w:t xml:space="preserve">II. Recibir, tramitar y dar respuesta a las solicitudes de acceso a la información;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III. Auxiliar a los particulares en la elaboración de solicitudes de acceso a la información y, en su caso, orientarlos sobre los sujetos obligados competentes conforme a la normatividad aplicable;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color w:val="000000"/>
        </w:rPr>
      </w:pPr>
      <w:r w:rsidRPr="007F0CCE">
        <w:rPr>
          <w:rFonts w:ascii="Palatino Linotype" w:eastAsia="Palatino Linotype" w:hAnsi="Palatino Linotype" w:cs="Palatino Linotype"/>
          <w:b/>
          <w:i/>
          <w:color w:val="000000"/>
        </w:rPr>
        <w:t xml:space="preserve">IV. Realizar, con efectividad, los trámites internos necesarios para la atención de las solicitudes de acceso a la información;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V. Entregar, en su caso, a los particulares la información solicitada;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VI. Efectuar las notificaciones a los solicitantes;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VII. Proponer al Comité de Transparencia, los procedimientos internos que aseguren la mayor eficiencia en la gestión de las solicitudes de acceso a la información, conforme a la normatividad aplicable;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VIII. Proponer a quien preside el Comité de Transparencia, personal habilitado que sea necesario para recibir y dar trámite a las solicitudes de acceso a la información;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b/>
          <w:i/>
          <w:color w:val="000000"/>
        </w:rPr>
      </w:pPr>
      <w:r w:rsidRPr="007F0CCE">
        <w:rPr>
          <w:rFonts w:ascii="Palatino Linotype" w:eastAsia="Palatino Linotype" w:hAnsi="Palatino Linotype" w:cs="Palatino Linotype"/>
          <w:b/>
          <w:i/>
          <w:color w:val="000000"/>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X. Presentar ante el Comité, el proyecto de clasificación de información;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lastRenderedPageBreak/>
        <w:t xml:space="preserve">XI. Promover e implementar políticas de transparencia proactiva procurando su accesibilidad;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 xml:space="preserve">XII. Fomentar la transparencia y accesibilidad al interior del sujeto obligado;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XIV. Las demás que resulten necesarias para facilitar el acceso a la información y aquellas que se desprenden de la presente Ley y demás disposiciones jurídicas aplicables. (…)</w:t>
      </w:r>
    </w:p>
    <w:p w:rsidR="00100C67" w:rsidRPr="007F0CCE" w:rsidRDefault="005C297E"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r w:rsidRPr="007F0CCE">
        <w:rPr>
          <w:rFonts w:ascii="Palatino Linotype" w:eastAsia="Palatino Linotype" w:hAnsi="Palatino Linotype" w:cs="Palatino Linotype"/>
          <w:i/>
          <w:color w:val="000000"/>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100C67" w:rsidRPr="007F0CCE" w:rsidRDefault="00100C67" w:rsidP="00611665">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i/>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color w:val="000000"/>
        </w:rPr>
        <w:t xml:space="preserve">En este sentido, se advierte que, </w:t>
      </w:r>
      <w:r w:rsidRPr="007F0CCE">
        <w:rPr>
          <w:rFonts w:ascii="Palatino Linotype" w:eastAsia="Palatino Linotype" w:hAnsi="Palatino Linotype" w:cs="Palatino Linotype"/>
        </w:rPr>
        <w:t xml:space="preserve">el </w:t>
      </w:r>
      <w:r w:rsidRPr="007F0CCE">
        <w:rPr>
          <w:rFonts w:ascii="Palatino Linotype" w:eastAsia="Palatino Linotype" w:hAnsi="Palatino Linotype" w:cs="Palatino Linotype"/>
          <w:b/>
        </w:rPr>
        <w:t>SUJETO OBLIGADO</w:t>
      </w:r>
      <w:r w:rsidRPr="007F0CCE">
        <w:rPr>
          <w:rFonts w:ascii="Palatino Linotype" w:eastAsia="Palatino Linotype" w:hAnsi="Palatino Linotype" w:cs="Palatino Linotype"/>
        </w:rPr>
        <w:t xml:space="preserve"> cumplió con el procedimiento de búsqueda exhaustiva y razonable, pues gestionó la solicitud de información a las áreas señaladas.</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Por otro lado, no pasa desapercibido que los argumentos vertidos en relación a la falta de búsqueda que arguye la titular dicha causal no actualiza una causal de </w:t>
      </w:r>
      <w:r w:rsidRPr="007F0CCE">
        <w:rPr>
          <w:rFonts w:ascii="Palatino Linotype" w:eastAsia="Palatino Linotype" w:hAnsi="Palatino Linotype" w:cs="Palatino Linotype"/>
        </w:rPr>
        <w:lastRenderedPageBreak/>
        <w:t xml:space="preserve">procedencia del recurso de revisión de acuerdo a lo </w:t>
      </w:r>
      <w:r w:rsidRPr="007F0CCE">
        <w:rPr>
          <w:rFonts w:ascii="Palatino Linotype" w:eastAsia="Palatino Linotype" w:hAnsi="Palatino Linotype" w:cs="Palatino Linotype"/>
          <w:color w:val="000000"/>
        </w:rPr>
        <w:t>establecido</w:t>
      </w:r>
      <w:r w:rsidRPr="007F0CCE">
        <w:rPr>
          <w:rFonts w:ascii="Palatino Linotype" w:eastAsia="Palatino Linotype" w:hAnsi="Palatino Linotype" w:cs="Palatino Linotype"/>
        </w:rPr>
        <w:t xml:space="preserve"> en el artículo 129 de la Ley a saber: </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“Procedencia del Recurso de Revisión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Artículo 129. El recurso de revisión procederá en los supuestos siguientes: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I. Se clasifiquen como confidenciales los datos personales sin que se cumplan las características señaladas en las leyes que resulten aplicables.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II. Se declare la inexistencia de los datos personales.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III. Se declare la incompetencia por el responsable.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IV. Se entreguen datos personales incompletos.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V. Se entreguen datos personales que no correspondan con lo solicitado.</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VI. Se niegue total o parcialmente el acceso, rectificación, cancelación u oposición de datos personales o los derechos relacionados con la materia.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VII. No se dé respuesta a una solicitud para el ejercicio de los derechos ARCO dentro de los plazos establecidos en la presente Ley y demás disposiciones que resulten aplicables en la materia.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VIII. Se entregue o ponga a disposición datos personales en una modalidad o formato distinto al solicitado, o en un formato incomprensible.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IX. El titular se inconforme con los costos de reproducción, envío o tiempos de entrega de los datos personales.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 xml:space="preserve">X. Se obstaculice el ejercicio de los derechos ARCO, a pesar que fue notificada la procedencia de los mismos.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lastRenderedPageBreak/>
        <w:t xml:space="preserve">XI. No se dé trámite a una solicitud para el ejercicio de los derechos ARCO. XII. Se considere que la respuesta es desfavorable a su solicitud. </w:t>
      </w:r>
    </w:p>
    <w:p w:rsidR="00100C67" w:rsidRPr="007F0CCE" w:rsidRDefault="005C297E" w:rsidP="00611665">
      <w:pPr>
        <w:spacing w:line="360" w:lineRule="auto"/>
        <w:ind w:left="426" w:right="-567"/>
        <w:jc w:val="both"/>
        <w:rPr>
          <w:rFonts w:ascii="Palatino Linotype" w:eastAsia="Palatino Linotype" w:hAnsi="Palatino Linotype" w:cs="Palatino Linotype"/>
          <w:i/>
        </w:rPr>
      </w:pPr>
      <w:r w:rsidRPr="007F0CCE">
        <w:rPr>
          <w:rFonts w:ascii="Palatino Linotype" w:eastAsia="Palatino Linotype" w:hAnsi="Palatino Linotype" w:cs="Palatino Linotype"/>
          <w:i/>
        </w:rPr>
        <w:t>XIII. En los demás casos que dispongan las leyes.”</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B33EE7"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Por otro lado</w:t>
      </w:r>
      <w:r w:rsidR="005C297E" w:rsidRPr="007F0CCE">
        <w:rPr>
          <w:rFonts w:ascii="Palatino Linotype" w:eastAsia="Palatino Linotype" w:hAnsi="Palatino Linotype" w:cs="Palatino Linotype"/>
        </w:rPr>
        <w:t>, de la respuesta emitida debe señalarse que se estima procedente, pues se ofreció en la modalidad elegida, informando a la particular, de los días, horarios, lugar y costo donde le será entregada; además de previa acreditación, toda vez que en relación a dicho rubro si bien se anexó identificación oficial de la titular a la solicitud, también lo es que para el ejercicio de los derechos ARCO, se realiza en dos etapas; es decir al momento de la presentación de la solicitud de acceso, donde el Sujeto Obligado identifica que se cumplan con los requisitos establecidos en el artículo 110, y en una segunda instancia al momento de dar cumplimiento en la atención de la solicitud de derechos ARCO cuando así resulte procedente. 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En esta tesitura, es necesario puntualizarse que ello surge como medida de seguridad con la finalidad de contar con la estricta certeza de que a quien se le otorga el acceso es efectivamente el titular de los datos. </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 xml:space="preserve">Ello en virtud de que si bien no se duda de la buena fe con la que los particulares ejercen sus derechos ARCO, cierto es que eventualmente puede actualizarse algún </w:t>
      </w:r>
      <w:r w:rsidRPr="007F0CCE">
        <w:rPr>
          <w:rFonts w:ascii="Palatino Linotype" w:eastAsia="Palatino Linotype" w:hAnsi="Palatino Linotype" w:cs="Palatino Linotype"/>
        </w:rPr>
        <w:lastRenderedPageBreak/>
        <w:t>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rsidR="00100C67" w:rsidRPr="007F0CCE" w:rsidRDefault="00100C67"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rPr>
      </w:pPr>
      <w:r w:rsidRPr="007F0CCE">
        <w:rPr>
          <w:rFonts w:ascii="Palatino Linotype" w:eastAsia="Palatino Linotype" w:hAnsi="Palatino Linotype" w:cs="Palatino Linotype"/>
        </w:rPr>
        <w:t>Por ello, no basta con adjuntar una identificación vía SAIMEX o SARCOEM,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resguardo y protección de los datos personales tanto por parte de los responsables de los sujetos obligados, como de este Instituto, ello así por propio mandato de ley.</w:t>
      </w:r>
    </w:p>
    <w:p w:rsidR="00AE3C52" w:rsidRPr="007F0CCE" w:rsidRDefault="00AE3C52"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rPr>
        <w:t xml:space="preserve">En este sentido, el </w:t>
      </w:r>
      <w:r w:rsidRPr="007F0CCE">
        <w:rPr>
          <w:rFonts w:ascii="Palatino Linotype" w:eastAsia="Palatino Linotype" w:hAnsi="Palatino Linotype" w:cs="Palatino Linotype"/>
          <w:b/>
        </w:rPr>
        <w:t>SUJETO OBLIGADO</w:t>
      </w:r>
      <w:r w:rsidRPr="007F0CCE">
        <w:rPr>
          <w:rFonts w:ascii="Palatino Linotype" w:eastAsia="Palatino Linotype" w:hAnsi="Palatino Linotype" w:cs="Palatino Linotype"/>
        </w:rPr>
        <w:t>, deberá entregar la información, sin embargo, para ello, deberá acreditar la identidad de la</w:t>
      </w:r>
      <w:r w:rsidRPr="007F0CCE">
        <w:rPr>
          <w:rFonts w:ascii="Palatino Linotype" w:eastAsia="Palatino Linotype" w:hAnsi="Palatino Linotype" w:cs="Palatino Linotype"/>
          <w:b/>
        </w:rPr>
        <w:t xml:space="preserve"> TITULAR</w:t>
      </w:r>
      <w:r w:rsidRPr="007F0CCE">
        <w:rPr>
          <w:rFonts w:ascii="Palatino Linotype" w:eastAsia="Palatino Linotype" w:hAnsi="Palatino Linotype" w:cs="Palatino Linotype"/>
        </w:rPr>
        <w:t xml:space="preserve">, quien deberá acudir de manera presencial a sus oficinas a efecto de acreditar que es quien ostenta a través de las documentales y de presentar identificación oficial vigente, esto, para certeza de que quien desea acceder, en efecto, es la titular de los datos personales. </w:t>
      </w:r>
    </w:p>
    <w:p w:rsidR="00B33EE7" w:rsidRPr="007F0CCE" w:rsidRDefault="00B33EE7" w:rsidP="00611665">
      <w:pPr>
        <w:spacing w:line="360" w:lineRule="auto"/>
        <w:ind w:right="-567"/>
        <w:jc w:val="both"/>
        <w:rPr>
          <w:rFonts w:ascii="Palatino Linotype" w:eastAsia="Palatino Linotype" w:hAnsi="Palatino Linotype" w:cs="Palatino Linotype"/>
          <w:color w:val="000000"/>
        </w:rPr>
      </w:pPr>
    </w:p>
    <w:p w:rsidR="00B33EE7" w:rsidRPr="007F0CCE" w:rsidRDefault="00B33EE7" w:rsidP="00611665">
      <w:pPr>
        <w:numPr>
          <w:ilvl w:val="0"/>
          <w:numId w:val="3"/>
        </w:numP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En ese contexto, cabe destacar que una vez que se realice el pago correspondiente por las copias certificadas, la información quedara disponible por 60 días hábiles, conforme a lo ya dispuesto en el artículo 166 de la Ley de la Materia, a saber:</w:t>
      </w:r>
    </w:p>
    <w:p w:rsidR="00100C67" w:rsidRPr="007F0CCE" w:rsidRDefault="00100C67" w:rsidP="00611665">
      <w:pPr>
        <w:spacing w:line="360" w:lineRule="auto"/>
        <w:ind w:right="-567"/>
        <w:jc w:val="both"/>
        <w:rPr>
          <w:rFonts w:ascii="Palatino Linotype" w:eastAsia="Palatino Linotype" w:hAnsi="Palatino Linotype" w:cs="Palatino Linotype"/>
          <w:color w:val="000000"/>
        </w:rPr>
      </w:pPr>
    </w:p>
    <w:p w:rsidR="00B33EE7" w:rsidRPr="007F0CCE" w:rsidRDefault="00B33EE7" w:rsidP="00611665">
      <w:pPr>
        <w:spacing w:line="360" w:lineRule="auto"/>
        <w:ind w:left="426"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 xml:space="preserve">“Artículo 166. La obligación de acceso a la información pública se tendrá por cumplida cuando el solicitante tenga a su disposición la información requerida, o cuando realice la consulta de la misma en el lugar en el que ésta se localice. </w:t>
      </w:r>
    </w:p>
    <w:p w:rsidR="00B33EE7" w:rsidRPr="007F0CCE" w:rsidRDefault="00B33EE7" w:rsidP="00611665">
      <w:pPr>
        <w:spacing w:line="360" w:lineRule="auto"/>
        <w:ind w:left="426"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b/>
          <w:color w:val="000000"/>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r w:rsidRPr="007F0CCE">
        <w:rPr>
          <w:rFonts w:ascii="Palatino Linotype" w:eastAsia="Palatino Linotype" w:hAnsi="Palatino Linotype" w:cs="Palatino Linotype"/>
          <w:color w:val="000000"/>
        </w:rPr>
        <w:t xml:space="preserve">. </w:t>
      </w:r>
    </w:p>
    <w:p w:rsidR="00B33EE7" w:rsidRPr="007F0CCE" w:rsidRDefault="00B33EE7" w:rsidP="00611665">
      <w:pPr>
        <w:spacing w:line="360" w:lineRule="auto"/>
        <w:ind w:left="426" w:right="-567"/>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w:t>
      </w:r>
    </w:p>
    <w:p w:rsidR="00B33EE7" w:rsidRPr="007F0CCE" w:rsidRDefault="00B33EE7" w:rsidP="00611665">
      <w:pPr>
        <w:spacing w:line="360" w:lineRule="auto"/>
        <w:ind w:right="-567"/>
        <w:jc w:val="both"/>
        <w:rPr>
          <w:rFonts w:ascii="Palatino Linotype" w:eastAsia="Palatino Linotype" w:hAnsi="Palatino Linotype" w:cs="Palatino Linotype"/>
          <w:color w:val="000000"/>
        </w:rPr>
      </w:pPr>
    </w:p>
    <w:p w:rsidR="00B33EE7" w:rsidRPr="007F0CCE" w:rsidRDefault="00B33EE7" w:rsidP="00611665">
      <w:pPr>
        <w:numPr>
          <w:ilvl w:val="0"/>
          <w:numId w:val="3"/>
        </w:numP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color w:val="000000"/>
        </w:rPr>
        <w:t>Luego entonces, como también se advierte, para el caso no se acuda por la información, se procederá a su destrucción.</w:t>
      </w:r>
    </w:p>
    <w:p w:rsidR="00B33EE7" w:rsidRPr="007F0CCE" w:rsidRDefault="00B33EE7" w:rsidP="00611665">
      <w:pPr>
        <w:spacing w:line="360" w:lineRule="auto"/>
        <w:ind w:right="-567"/>
        <w:jc w:val="both"/>
        <w:rPr>
          <w:rFonts w:ascii="Palatino Linotype" w:eastAsia="Palatino Linotype" w:hAnsi="Palatino Linotype" w:cs="Palatino Linotype"/>
          <w:b/>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b/>
          <w:color w:val="000000"/>
        </w:rPr>
      </w:pPr>
      <w:r w:rsidRPr="007F0CCE">
        <w:rPr>
          <w:rFonts w:ascii="Palatino Linotype" w:eastAsia="Palatino Linotype" w:hAnsi="Palatino Linotype" w:cs="Palatino Linotype"/>
          <w:color w:val="000000"/>
        </w:rPr>
        <w:t xml:space="preserve">Por lo tanto, derivado del análisis a las constancias que conforman el expediente electrónico, este </w:t>
      </w:r>
      <w:r w:rsidRPr="007F0CCE">
        <w:rPr>
          <w:rFonts w:ascii="Palatino Linotype" w:eastAsia="Palatino Linotype" w:hAnsi="Palatino Linotype" w:cs="Palatino Linotype"/>
        </w:rPr>
        <w:t>Organismo</w:t>
      </w:r>
      <w:r w:rsidRPr="007F0CCE">
        <w:rPr>
          <w:rFonts w:ascii="Palatino Linotype" w:eastAsia="Palatino Linotype" w:hAnsi="Palatino Linotype" w:cs="Palatino Linotype"/>
          <w:color w:val="000000"/>
        </w:rPr>
        <w:t xml:space="preserve"> determina </w:t>
      </w:r>
      <w:r w:rsidRPr="007F0CCE">
        <w:rPr>
          <w:rFonts w:ascii="Palatino Linotype" w:eastAsia="Palatino Linotype" w:hAnsi="Palatino Linotype" w:cs="Palatino Linotype"/>
          <w:b/>
          <w:color w:val="000000"/>
        </w:rPr>
        <w:t>CONFIRMAR</w:t>
      </w:r>
      <w:r w:rsidRPr="007F0CCE">
        <w:rPr>
          <w:rFonts w:ascii="Palatino Linotype" w:eastAsia="Palatino Linotype" w:hAnsi="Palatino Linotype" w:cs="Palatino Linotype"/>
          <w:color w:val="000000"/>
        </w:rPr>
        <w:t xml:space="preserve"> la respuesta del </w:t>
      </w:r>
      <w:r w:rsidRPr="007F0CCE">
        <w:rPr>
          <w:rFonts w:ascii="Palatino Linotype" w:eastAsia="Palatino Linotype" w:hAnsi="Palatino Linotype" w:cs="Palatino Linotype"/>
          <w:b/>
          <w:color w:val="000000"/>
        </w:rPr>
        <w:t>SUJETO OBLIGADO.</w:t>
      </w:r>
    </w:p>
    <w:p w:rsidR="00100C67" w:rsidRPr="007F0CCE" w:rsidRDefault="00100C67" w:rsidP="00611665">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rsidR="00100C67" w:rsidRPr="007F0CCE" w:rsidRDefault="005C297E" w:rsidP="00611665">
      <w:pPr>
        <w:numPr>
          <w:ilvl w:val="0"/>
          <w:numId w:val="3"/>
        </w:numPr>
        <w:spacing w:line="360" w:lineRule="auto"/>
        <w:ind w:left="0" w:right="-567" w:firstLine="0"/>
        <w:jc w:val="both"/>
        <w:rPr>
          <w:rFonts w:ascii="Palatino Linotype" w:eastAsia="Palatino Linotype" w:hAnsi="Palatino Linotype" w:cs="Palatino Linotype"/>
          <w:color w:val="000000"/>
        </w:rPr>
      </w:pPr>
      <w:r w:rsidRPr="007F0CCE">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rsidR="00AE3C52" w:rsidRPr="007F0CCE" w:rsidRDefault="00AE3C52" w:rsidP="00611665">
      <w:pPr>
        <w:pBdr>
          <w:top w:val="nil"/>
          <w:left w:val="nil"/>
          <w:bottom w:val="nil"/>
          <w:right w:val="nil"/>
          <w:between w:val="nil"/>
        </w:pBdr>
        <w:tabs>
          <w:tab w:val="left" w:pos="426"/>
        </w:tabs>
        <w:spacing w:line="360" w:lineRule="auto"/>
        <w:ind w:right="-567"/>
        <w:jc w:val="both"/>
        <w:rPr>
          <w:rFonts w:ascii="Palatino Linotype" w:eastAsia="Palatino Linotype" w:hAnsi="Palatino Linotype" w:cs="Palatino Linotype"/>
          <w:color w:val="000000"/>
        </w:rPr>
      </w:pPr>
    </w:p>
    <w:p w:rsidR="00100C67" w:rsidRPr="007F0CCE" w:rsidRDefault="005C297E" w:rsidP="00611665">
      <w:pPr>
        <w:pStyle w:val="Ttulo1"/>
        <w:spacing w:before="0" w:line="360" w:lineRule="auto"/>
        <w:ind w:right="-567"/>
        <w:jc w:val="center"/>
        <w:rPr>
          <w:rFonts w:ascii="Palatino Linotype" w:eastAsia="Palatino Linotype" w:hAnsi="Palatino Linotype" w:cs="Palatino Linotype"/>
          <w:b/>
          <w:color w:val="000000"/>
          <w:sz w:val="24"/>
          <w:szCs w:val="24"/>
        </w:rPr>
      </w:pPr>
      <w:r w:rsidRPr="007F0CCE">
        <w:rPr>
          <w:rFonts w:ascii="Palatino Linotype" w:eastAsia="Palatino Linotype" w:hAnsi="Palatino Linotype" w:cs="Palatino Linotype"/>
          <w:b/>
          <w:color w:val="000000"/>
          <w:sz w:val="24"/>
          <w:szCs w:val="24"/>
        </w:rPr>
        <w:t>R E S O L U T I V O S</w:t>
      </w:r>
    </w:p>
    <w:p w:rsidR="00100C67" w:rsidRPr="007F0CCE" w:rsidRDefault="00100C67" w:rsidP="00611665">
      <w:pPr>
        <w:spacing w:line="360" w:lineRule="auto"/>
        <w:ind w:right="-567"/>
        <w:rPr>
          <w:rFonts w:ascii="Palatino Linotype" w:eastAsia="Palatino Linotype" w:hAnsi="Palatino Linotype" w:cs="Palatino Linotype"/>
        </w:rPr>
      </w:pPr>
    </w:p>
    <w:p w:rsidR="00100C67" w:rsidRPr="007F0CCE" w:rsidRDefault="005C297E" w:rsidP="00611665">
      <w:pPr>
        <w:spacing w:line="360" w:lineRule="auto"/>
        <w:ind w:right="-567"/>
        <w:jc w:val="both"/>
        <w:rPr>
          <w:rFonts w:ascii="Palatino Linotype" w:eastAsia="Palatino Linotype" w:hAnsi="Palatino Linotype" w:cs="Palatino Linotype"/>
        </w:rPr>
      </w:pPr>
      <w:r w:rsidRPr="007F0CCE">
        <w:rPr>
          <w:rFonts w:ascii="Palatino Linotype" w:eastAsia="Palatino Linotype" w:hAnsi="Palatino Linotype" w:cs="Palatino Linotype"/>
          <w:b/>
        </w:rPr>
        <w:t>PRIMERO</w:t>
      </w:r>
      <w:r w:rsidRPr="007F0CCE">
        <w:rPr>
          <w:rFonts w:ascii="Palatino Linotype" w:eastAsia="Palatino Linotype" w:hAnsi="Palatino Linotype" w:cs="Palatino Linotype"/>
        </w:rPr>
        <w:t xml:space="preserve">. Resultan infundadas las razones o motivos de inconformidad hechos valer en el Recurso de Revisión </w:t>
      </w:r>
      <w:r w:rsidRPr="007F0CCE">
        <w:rPr>
          <w:rFonts w:ascii="Palatino Linotype" w:eastAsia="Palatino Linotype" w:hAnsi="Palatino Linotype" w:cs="Palatino Linotype"/>
          <w:b/>
        </w:rPr>
        <w:t>04598/INFOEM/IP/RR/2024</w:t>
      </w:r>
      <w:r w:rsidRPr="007F0CCE">
        <w:rPr>
          <w:rFonts w:ascii="Palatino Linotype" w:eastAsia="Palatino Linotype" w:hAnsi="Palatino Linotype" w:cs="Palatino Linotype"/>
        </w:rPr>
        <w:t xml:space="preserve">, en términos del Considerando </w:t>
      </w:r>
      <w:r w:rsidRPr="007F0CCE">
        <w:rPr>
          <w:rFonts w:ascii="Palatino Linotype" w:eastAsia="Palatino Linotype" w:hAnsi="Palatino Linotype" w:cs="Palatino Linotype"/>
          <w:b/>
        </w:rPr>
        <w:t>CUARTO</w:t>
      </w:r>
      <w:r w:rsidRPr="007F0CCE">
        <w:rPr>
          <w:rFonts w:ascii="Palatino Linotype" w:eastAsia="Palatino Linotype" w:hAnsi="Palatino Linotype" w:cs="Palatino Linotype"/>
        </w:rPr>
        <w:t xml:space="preserve"> de la presente Resolución.</w:t>
      </w:r>
    </w:p>
    <w:p w:rsidR="00AE3C52" w:rsidRPr="007F0CCE" w:rsidRDefault="00AE3C52" w:rsidP="00611665">
      <w:pPr>
        <w:spacing w:line="360" w:lineRule="auto"/>
        <w:ind w:right="-567"/>
        <w:jc w:val="both"/>
        <w:rPr>
          <w:rFonts w:ascii="Palatino Linotype" w:eastAsia="Palatino Linotype" w:hAnsi="Palatino Linotype" w:cs="Palatino Linotype"/>
        </w:rPr>
      </w:pPr>
    </w:p>
    <w:p w:rsidR="00100C67" w:rsidRPr="007F0CCE" w:rsidRDefault="005C297E" w:rsidP="00611665">
      <w:pPr>
        <w:spacing w:line="360" w:lineRule="auto"/>
        <w:ind w:right="-567"/>
        <w:jc w:val="both"/>
        <w:rPr>
          <w:rFonts w:ascii="Palatino Linotype" w:eastAsia="Palatino Linotype" w:hAnsi="Palatino Linotype" w:cs="Palatino Linotype"/>
          <w:b/>
        </w:rPr>
      </w:pPr>
      <w:r w:rsidRPr="007F0CCE">
        <w:rPr>
          <w:rFonts w:ascii="Palatino Linotype" w:eastAsia="Palatino Linotype" w:hAnsi="Palatino Linotype" w:cs="Palatino Linotype"/>
          <w:b/>
        </w:rPr>
        <w:t>SEGUNDO</w:t>
      </w:r>
      <w:r w:rsidRPr="007F0CCE">
        <w:rPr>
          <w:rFonts w:ascii="Palatino Linotype" w:eastAsia="Palatino Linotype" w:hAnsi="Palatino Linotype" w:cs="Palatino Linotype"/>
        </w:rPr>
        <w:t xml:space="preserve">. Se </w:t>
      </w:r>
      <w:r w:rsidRPr="007F0CCE">
        <w:rPr>
          <w:rFonts w:ascii="Palatino Linotype" w:eastAsia="Palatino Linotype" w:hAnsi="Palatino Linotype" w:cs="Palatino Linotype"/>
          <w:b/>
        </w:rPr>
        <w:t>CONFIRMA</w:t>
      </w:r>
      <w:r w:rsidRPr="007F0CCE">
        <w:rPr>
          <w:rFonts w:ascii="Palatino Linotype" w:eastAsia="Palatino Linotype" w:hAnsi="Palatino Linotype" w:cs="Palatino Linotype"/>
        </w:rPr>
        <w:t xml:space="preserve"> la respuesta emitida por el </w:t>
      </w:r>
      <w:r w:rsidRPr="007F0CCE">
        <w:rPr>
          <w:rFonts w:ascii="Palatino Linotype" w:eastAsia="Palatino Linotype" w:hAnsi="Palatino Linotype" w:cs="Palatino Linotype"/>
          <w:color w:val="000000"/>
        </w:rPr>
        <w:t>Instituto de Seguridad Social del Estado de México y Municipios</w:t>
      </w:r>
      <w:r w:rsidRPr="007F0CCE">
        <w:rPr>
          <w:rFonts w:ascii="Palatino Linotype" w:eastAsia="Palatino Linotype" w:hAnsi="Palatino Linotype" w:cs="Palatino Linotype"/>
          <w:b/>
        </w:rPr>
        <w:t xml:space="preserve">, </w:t>
      </w:r>
      <w:r w:rsidRPr="007F0CCE">
        <w:rPr>
          <w:rFonts w:ascii="Palatino Linotype" w:eastAsia="Palatino Linotype" w:hAnsi="Palatino Linotype" w:cs="Palatino Linotype"/>
        </w:rPr>
        <w:t>en la solicitud de acceso a datos personales</w:t>
      </w:r>
      <w:r w:rsidRPr="007F0CCE">
        <w:rPr>
          <w:rFonts w:ascii="Palatino Linotype" w:eastAsia="Palatino Linotype" w:hAnsi="Palatino Linotype" w:cs="Palatino Linotype"/>
          <w:b/>
        </w:rPr>
        <w:t> 00430/ISSEMYM/IP/2024.</w:t>
      </w:r>
    </w:p>
    <w:p w:rsidR="00100C67" w:rsidRPr="007F0CCE" w:rsidRDefault="00100C67" w:rsidP="00611665">
      <w:pPr>
        <w:spacing w:line="360" w:lineRule="auto"/>
        <w:ind w:right="-567"/>
        <w:jc w:val="both"/>
        <w:rPr>
          <w:rFonts w:ascii="Palatino Linotype" w:eastAsia="Palatino Linotype" w:hAnsi="Palatino Linotype" w:cs="Palatino Linotype"/>
          <w:b/>
        </w:rPr>
      </w:pPr>
    </w:p>
    <w:p w:rsidR="00100C67" w:rsidRPr="007F0CCE" w:rsidRDefault="005C297E" w:rsidP="00611665">
      <w:pPr>
        <w:spacing w:line="360" w:lineRule="auto"/>
        <w:ind w:right="-567"/>
        <w:jc w:val="both"/>
        <w:rPr>
          <w:rFonts w:ascii="Palatino Linotype" w:eastAsia="Palatino Linotype" w:hAnsi="Palatino Linotype" w:cs="Palatino Linotype"/>
        </w:rPr>
      </w:pPr>
      <w:bookmarkStart w:id="12" w:name="_heading=h.i7bz478kigxh" w:colFirst="0" w:colLast="0"/>
      <w:bookmarkEnd w:id="12"/>
      <w:r w:rsidRPr="007F0CCE">
        <w:rPr>
          <w:rFonts w:ascii="Palatino Linotype" w:eastAsia="Palatino Linotype" w:hAnsi="Palatino Linotype" w:cs="Palatino Linotype"/>
          <w:b/>
        </w:rPr>
        <w:lastRenderedPageBreak/>
        <w:t>TERCERO.</w:t>
      </w:r>
      <w:r w:rsidRPr="007F0CCE">
        <w:rPr>
          <w:rFonts w:ascii="Palatino Linotype" w:eastAsia="Palatino Linotype" w:hAnsi="Palatino Linotype" w:cs="Palatino Linotype"/>
        </w:rPr>
        <w:t xml:space="preserve"> Notifíquese al Titular de la Unidad de Transparencia del</w:t>
      </w:r>
      <w:r w:rsidRPr="007F0CCE">
        <w:rPr>
          <w:rFonts w:ascii="Palatino Linotype" w:eastAsia="Palatino Linotype" w:hAnsi="Palatino Linotype" w:cs="Palatino Linotype"/>
          <w:b/>
        </w:rPr>
        <w:t xml:space="preserve"> SUJETO OBLIGADO</w:t>
      </w:r>
      <w:r w:rsidRPr="007F0CCE">
        <w:rPr>
          <w:rFonts w:ascii="Palatino Linotype" w:eastAsia="Palatino Linotype" w:hAnsi="Palatino Linotype" w:cs="Palatino Linotype"/>
        </w:rPr>
        <w:t xml:space="preserve"> vía SAIMEX, para su conocimiento.</w:t>
      </w:r>
    </w:p>
    <w:p w:rsidR="00100C67" w:rsidRPr="007F0CCE" w:rsidRDefault="00100C67" w:rsidP="00611665">
      <w:pPr>
        <w:shd w:val="clear" w:color="auto" w:fill="FFFFFF"/>
        <w:spacing w:line="360" w:lineRule="auto"/>
        <w:ind w:right="-567"/>
        <w:jc w:val="both"/>
        <w:rPr>
          <w:rFonts w:ascii="Palatino Linotype" w:eastAsia="Palatino Linotype" w:hAnsi="Palatino Linotype" w:cs="Palatino Linotype"/>
        </w:rPr>
      </w:pPr>
    </w:p>
    <w:p w:rsidR="00100C67" w:rsidRPr="007F0CCE" w:rsidRDefault="005C297E" w:rsidP="00611665">
      <w:pPr>
        <w:shd w:val="clear" w:color="auto" w:fill="FFFFFF"/>
        <w:spacing w:line="360" w:lineRule="auto"/>
        <w:ind w:right="-567"/>
        <w:jc w:val="both"/>
        <w:rPr>
          <w:rFonts w:ascii="Palatino Linotype" w:eastAsia="Palatino Linotype" w:hAnsi="Palatino Linotype" w:cs="Palatino Linotype"/>
        </w:rPr>
      </w:pPr>
      <w:r w:rsidRPr="007F0CCE">
        <w:rPr>
          <w:rFonts w:ascii="Palatino Linotype" w:eastAsia="Palatino Linotype" w:hAnsi="Palatino Linotype" w:cs="Palatino Linotype"/>
          <w:b/>
        </w:rPr>
        <w:t>CUARTO.</w:t>
      </w:r>
      <w:r w:rsidRPr="007F0CCE">
        <w:rPr>
          <w:rFonts w:ascii="Palatino Linotype" w:eastAsia="Palatino Linotype" w:hAnsi="Palatino Linotype" w:cs="Palatino Linotype"/>
        </w:rPr>
        <w:t xml:space="preserve"> Notifíquese a </w:t>
      </w:r>
      <w:r w:rsidRPr="007F0CCE">
        <w:rPr>
          <w:rFonts w:ascii="Palatino Linotype" w:eastAsia="Palatino Linotype" w:hAnsi="Palatino Linotype" w:cs="Palatino Linotype"/>
          <w:b/>
        </w:rPr>
        <w:t>LA RECURRENTE</w:t>
      </w:r>
      <w:r w:rsidRPr="007F0CCE">
        <w:rPr>
          <w:rFonts w:ascii="Palatino Linotype" w:eastAsia="Palatino Linotype" w:hAnsi="Palatino Linotype" w:cs="Palatino Linotype"/>
        </w:rPr>
        <w:t xml:space="preserve"> la presente resolución vía SAIMEX.</w:t>
      </w:r>
    </w:p>
    <w:p w:rsidR="00100C67" w:rsidRPr="007F0CCE" w:rsidRDefault="00100C67" w:rsidP="00611665">
      <w:pPr>
        <w:shd w:val="clear" w:color="auto" w:fill="FFFFFF"/>
        <w:spacing w:line="360" w:lineRule="auto"/>
        <w:ind w:right="-567"/>
        <w:jc w:val="both"/>
        <w:rPr>
          <w:rFonts w:ascii="Palatino Linotype" w:eastAsia="Palatino Linotype" w:hAnsi="Palatino Linotype" w:cs="Palatino Linotype"/>
          <w:b/>
        </w:rPr>
      </w:pPr>
    </w:p>
    <w:p w:rsidR="00100C67" w:rsidRPr="007F0CCE" w:rsidRDefault="00AE3C52" w:rsidP="00611665">
      <w:pPr>
        <w:shd w:val="clear" w:color="auto" w:fill="FFFFFF"/>
        <w:spacing w:line="360" w:lineRule="auto"/>
        <w:ind w:right="-567"/>
        <w:jc w:val="both"/>
        <w:rPr>
          <w:rFonts w:ascii="Palatino Linotype" w:eastAsia="Palatino Linotype" w:hAnsi="Palatino Linotype" w:cs="Palatino Linotype"/>
        </w:rPr>
      </w:pPr>
      <w:r w:rsidRPr="007F0CCE">
        <w:rPr>
          <w:rFonts w:ascii="Palatino Linotype" w:eastAsia="Palatino Linotype" w:hAnsi="Palatino Linotype" w:cs="Palatino Linotype"/>
          <w:b/>
        </w:rPr>
        <w:t>QUINTO.</w:t>
      </w:r>
      <w:r w:rsidR="005C297E" w:rsidRPr="007F0CCE">
        <w:rPr>
          <w:rFonts w:ascii="Palatino Linotype" w:eastAsia="Palatino Linotype" w:hAnsi="Palatino Linotype" w:cs="Palatino Linotype"/>
          <w:b/>
        </w:rPr>
        <w:t xml:space="preserve"> </w:t>
      </w:r>
      <w:r w:rsidR="005C297E" w:rsidRPr="007F0CCE">
        <w:rPr>
          <w:rFonts w:ascii="Palatino Linotype" w:eastAsia="Palatino Linotype" w:hAnsi="Palatino Linotype" w:cs="Palatino Linotype"/>
        </w:rPr>
        <w:t xml:space="preserve">Se hace del conocimiento de </w:t>
      </w:r>
      <w:r w:rsidR="005C297E" w:rsidRPr="007F0CCE">
        <w:rPr>
          <w:rFonts w:ascii="Palatino Linotype" w:eastAsia="Palatino Linotype" w:hAnsi="Palatino Linotype" w:cs="Palatino Linotype"/>
          <w:b/>
        </w:rPr>
        <w:t>LA RECURRENTE</w:t>
      </w:r>
      <w:r w:rsidR="005C297E" w:rsidRPr="007F0CCE">
        <w:rPr>
          <w:rFonts w:ascii="Palatino Linotype" w:eastAsia="Palatino Linotype" w:hAnsi="Palatino Linotype" w:cs="Palatino Linotype"/>
        </w:rPr>
        <w:t xml:space="preserve"> que, de conformidad con lo establecido</w:t>
      </w:r>
      <w:r w:rsidR="005C297E" w:rsidRPr="007F0CCE">
        <w:rPr>
          <w:rFonts w:ascii="Palatino Linotype" w:eastAsia="Palatino Linotype" w:hAnsi="Palatino Linotype" w:cs="Palatino Linotype"/>
          <w:b/>
          <w:color w:val="000000"/>
        </w:rPr>
        <w:t xml:space="preserve"> </w:t>
      </w:r>
      <w:r w:rsidR="005C297E" w:rsidRPr="007F0CCE">
        <w:rPr>
          <w:rFonts w:ascii="Palatino Linotype" w:eastAsia="Palatino Linotype" w:hAnsi="Palatino Linotype" w:cs="Palatino Linotype"/>
          <w:color w:val="000000"/>
        </w:rPr>
        <w:t>en el artículo 142 de la Ley de Protección de Datos Personales en Posesión de Sujetos Obligados del Estado de México y Municipios, podrá promover el Juicio de Amparo en los términos de las leyes aplicables.</w:t>
      </w:r>
    </w:p>
    <w:p w:rsidR="00100C67" w:rsidRPr="007F0CCE" w:rsidRDefault="00100C67" w:rsidP="00611665">
      <w:pPr>
        <w:shd w:val="clear" w:color="auto" w:fill="FFFFFF"/>
        <w:spacing w:line="360" w:lineRule="auto"/>
        <w:ind w:right="-567"/>
        <w:jc w:val="both"/>
        <w:rPr>
          <w:rFonts w:ascii="Palatino Linotype" w:eastAsia="Palatino Linotype" w:hAnsi="Palatino Linotype" w:cs="Palatino Linotype"/>
        </w:rPr>
      </w:pPr>
    </w:p>
    <w:p w:rsidR="00100C67" w:rsidRPr="001636D4" w:rsidRDefault="001636D4" w:rsidP="00611665">
      <w:pPr>
        <w:spacing w:before="240" w:line="360" w:lineRule="auto"/>
        <w:ind w:right="-567"/>
        <w:jc w:val="both"/>
        <w:rPr>
          <w:rFonts w:ascii="Palatino Linotype" w:eastAsia="Palatino Linotype" w:hAnsi="Palatino Linotype" w:cs="Palatino Linotype"/>
        </w:rPr>
      </w:pPr>
      <w:r w:rsidRPr="007F0CC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r w:rsidR="005C297E" w:rsidRPr="007F0CCE">
        <w:rPr>
          <w:rFonts w:ascii="Palatino Linotype" w:eastAsia="Palatino Linotype" w:hAnsi="Palatino Linotype" w:cs="Palatino Linotype"/>
        </w:rPr>
        <w:t>------</w:t>
      </w:r>
      <w:r w:rsidR="00611665" w:rsidRPr="007F0CCE">
        <w:rPr>
          <w:rFonts w:ascii="Palatino Linotype" w:eastAsia="Palatino Linotype" w:hAnsi="Palatino Linotype" w:cs="Palatino Linotype"/>
        </w:rPr>
        <w:t>----------------------------------------------------------------------------------------------</w:t>
      </w:r>
    </w:p>
    <w:p w:rsidR="00100C67" w:rsidRPr="001636D4" w:rsidRDefault="00100C67" w:rsidP="00611665">
      <w:pPr>
        <w:shd w:val="clear" w:color="auto" w:fill="FFFFFF"/>
        <w:spacing w:line="360" w:lineRule="auto"/>
        <w:ind w:right="-567"/>
        <w:jc w:val="both"/>
        <w:rPr>
          <w:rFonts w:ascii="Palatino Linotype" w:eastAsia="Palatino Linotype" w:hAnsi="Palatino Linotype" w:cs="Palatino Linotype"/>
        </w:rPr>
      </w:pPr>
    </w:p>
    <w:p w:rsidR="00100C67" w:rsidRPr="001636D4" w:rsidRDefault="00100C67" w:rsidP="00611665">
      <w:pPr>
        <w:shd w:val="clear" w:color="auto" w:fill="FFFFFF"/>
        <w:spacing w:line="360" w:lineRule="auto"/>
        <w:ind w:right="-567"/>
        <w:jc w:val="both"/>
        <w:rPr>
          <w:rFonts w:ascii="Palatino Linotype" w:eastAsia="Palatino Linotype" w:hAnsi="Palatino Linotype" w:cs="Palatino Linotype"/>
        </w:rPr>
      </w:pPr>
    </w:p>
    <w:p w:rsidR="00100C67" w:rsidRPr="001636D4" w:rsidRDefault="00100C67" w:rsidP="00611665">
      <w:pPr>
        <w:spacing w:line="360" w:lineRule="auto"/>
        <w:ind w:right="-567"/>
        <w:jc w:val="both"/>
        <w:rPr>
          <w:rFonts w:ascii="Palatino Linotype" w:eastAsia="Palatino Linotype" w:hAnsi="Palatino Linotype" w:cs="Palatino Linotype"/>
        </w:rPr>
      </w:pPr>
    </w:p>
    <w:p w:rsidR="00100C67" w:rsidRPr="001636D4" w:rsidRDefault="00100C67" w:rsidP="00611665">
      <w:pPr>
        <w:spacing w:line="360" w:lineRule="auto"/>
        <w:ind w:right="-567"/>
        <w:jc w:val="both"/>
        <w:rPr>
          <w:rFonts w:ascii="Palatino Linotype" w:eastAsia="Palatino Linotype" w:hAnsi="Palatino Linotype" w:cs="Palatino Linotype"/>
        </w:rPr>
      </w:pPr>
    </w:p>
    <w:p w:rsidR="00100C67" w:rsidRPr="001636D4" w:rsidRDefault="00100C67" w:rsidP="00611665">
      <w:pPr>
        <w:spacing w:line="360" w:lineRule="auto"/>
        <w:ind w:right="-567"/>
        <w:jc w:val="both"/>
        <w:rPr>
          <w:rFonts w:ascii="Palatino Linotype" w:eastAsia="Palatino Linotype" w:hAnsi="Palatino Linotype" w:cs="Palatino Linotype"/>
        </w:rPr>
      </w:pPr>
    </w:p>
    <w:p w:rsidR="00100C67" w:rsidRPr="001636D4" w:rsidRDefault="00100C67" w:rsidP="00611665">
      <w:pPr>
        <w:spacing w:line="360" w:lineRule="auto"/>
        <w:ind w:right="-567"/>
        <w:jc w:val="both"/>
        <w:rPr>
          <w:rFonts w:ascii="Palatino Linotype" w:eastAsia="Palatino Linotype" w:hAnsi="Palatino Linotype" w:cs="Palatino Linotype"/>
        </w:rPr>
      </w:pPr>
    </w:p>
    <w:p w:rsidR="00100C67" w:rsidRPr="001636D4" w:rsidRDefault="00100C67" w:rsidP="00611665">
      <w:pPr>
        <w:spacing w:line="360" w:lineRule="auto"/>
        <w:ind w:right="-567"/>
        <w:jc w:val="both"/>
        <w:rPr>
          <w:rFonts w:ascii="Palatino Linotype" w:eastAsia="Palatino Linotype" w:hAnsi="Palatino Linotype" w:cs="Palatino Linotype"/>
        </w:rPr>
      </w:pPr>
    </w:p>
    <w:p w:rsidR="00100C67" w:rsidRPr="001636D4" w:rsidRDefault="00100C67" w:rsidP="00611665">
      <w:pPr>
        <w:spacing w:line="360" w:lineRule="auto"/>
        <w:ind w:right="-567"/>
        <w:jc w:val="both"/>
        <w:rPr>
          <w:rFonts w:ascii="Palatino Linotype" w:eastAsia="Palatino Linotype" w:hAnsi="Palatino Linotype" w:cs="Palatino Linotype"/>
        </w:rPr>
      </w:pPr>
    </w:p>
    <w:p w:rsidR="00100C67" w:rsidRPr="001636D4" w:rsidRDefault="00100C67" w:rsidP="00611665">
      <w:pPr>
        <w:keepNext/>
        <w:keepLines/>
        <w:spacing w:line="360" w:lineRule="auto"/>
        <w:ind w:right="-567"/>
        <w:rPr>
          <w:rFonts w:ascii="Palatino Linotype" w:eastAsia="Palatino Linotype" w:hAnsi="Palatino Linotype" w:cs="Palatino Linotype"/>
        </w:rPr>
      </w:pPr>
    </w:p>
    <w:p w:rsidR="00100C67" w:rsidRPr="001636D4" w:rsidRDefault="00100C67" w:rsidP="00611665">
      <w:pPr>
        <w:spacing w:line="360" w:lineRule="auto"/>
        <w:ind w:right="-567"/>
        <w:rPr>
          <w:rFonts w:ascii="Palatino Linotype" w:eastAsia="Palatino Linotype" w:hAnsi="Palatino Linotype" w:cs="Palatino Linotype"/>
        </w:rPr>
      </w:pPr>
    </w:p>
    <w:p w:rsidR="00100C67" w:rsidRPr="001636D4" w:rsidRDefault="00100C67" w:rsidP="00611665">
      <w:pPr>
        <w:spacing w:line="360" w:lineRule="auto"/>
        <w:ind w:right="-567"/>
        <w:rPr>
          <w:rFonts w:ascii="Palatino Linotype" w:eastAsia="Palatino Linotype" w:hAnsi="Palatino Linotype" w:cs="Palatino Linotype"/>
        </w:rPr>
      </w:pPr>
    </w:p>
    <w:p w:rsidR="00100C67" w:rsidRPr="001636D4" w:rsidRDefault="00100C67" w:rsidP="00611665">
      <w:pPr>
        <w:spacing w:line="360" w:lineRule="auto"/>
        <w:ind w:right="-567"/>
        <w:rPr>
          <w:rFonts w:ascii="Palatino Linotype" w:eastAsia="Palatino Linotype" w:hAnsi="Palatino Linotype" w:cs="Palatino Linotype"/>
        </w:rPr>
      </w:pPr>
    </w:p>
    <w:p w:rsidR="00100C67" w:rsidRDefault="00AE3C52" w:rsidP="00611665">
      <w:pPr>
        <w:tabs>
          <w:tab w:val="left" w:pos="6030"/>
        </w:tabs>
        <w:spacing w:line="360" w:lineRule="auto"/>
        <w:ind w:right="-567"/>
        <w:rPr>
          <w:rFonts w:ascii="Palatino Linotype" w:eastAsia="Palatino Linotype" w:hAnsi="Palatino Linotype" w:cs="Palatino Linotype"/>
        </w:rPr>
      </w:pPr>
      <w:r>
        <w:rPr>
          <w:rFonts w:ascii="Palatino Linotype" w:eastAsia="Palatino Linotype" w:hAnsi="Palatino Linotype" w:cs="Palatino Linotype"/>
        </w:rPr>
        <w:tab/>
      </w:r>
    </w:p>
    <w:p w:rsidR="00AE3C52" w:rsidRDefault="00AE3C52" w:rsidP="00611665">
      <w:pPr>
        <w:tabs>
          <w:tab w:val="left" w:pos="6030"/>
        </w:tabs>
        <w:spacing w:line="360" w:lineRule="auto"/>
        <w:ind w:right="-567"/>
        <w:rPr>
          <w:rFonts w:ascii="Palatino Linotype" w:eastAsia="Palatino Linotype" w:hAnsi="Palatino Linotype" w:cs="Palatino Linotype"/>
        </w:rPr>
      </w:pPr>
    </w:p>
    <w:p w:rsidR="00AE3C52" w:rsidRDefault="00AE3C52" w:rsidP="00611665">
      <w:pPr>
        <w:tabs>
          <w:tab w:val="left" w:pos="6030"/>
        </w:tabs>
        <w:spacing w:line="360" w:lineRule="auto"/>
        <w:ind w:right="-567"/>
        <w:rPr>
          <w:rFonts w:ascii="Palatino Linotype" w:eastAsia="Palatino Linotype" w:hAnsi="Palatino Linotype" w:cs="Palatino Linotype"/>
        </w:rPr>
      </w:pPr>
    </w:p>
    <w:p w:rsidR="00AE3C52" w:rsidRDefault="00AE3C52" w:rsidP="00611665">
      <w:pPr>
        <w:tabs>
          <w:tab w:val="left" w:pos="6030"/>
        </w:tabs>
        <w:spacing w:line="360" w:lineRule="auto"/>
        <w:ind w:right="-567"/>
        <w:rPr>
          <w:rFonts w:ascii="Palatino Linotype" w:eastAsia="Palatino Linotype" w:hAnsi="Palatino Linotype" w:cs="Palatino Linotype"/>
        </w:rPr>
      </w:pPr>
    </w:p>
    <w:p w:rsidR="00AE3C52" w:rsidRDefault="00AE3C52" w:rsidP="00611665">
      <w:pPr>
        <w:tabs>
          <w:tab w:val="left" w:pos="6030"/>
        </w:tabs>
        <w:spacing w:line="360" w:lineRule="auto"/>
        <w:ind w:right="-567"/>
        <w:rPr>
          <w:rFonts w:ascii="Palatino Linotype" w:eastAsia="Palatino Linotype" w:hAnsi="Palatino Linotype" w:cs="Palatino Linotype"/>
        </w:rPr>
      </w:pPr>
    </w:p>
    <w:p w:rsidR="00AE3C52" w:rsidRPr="001636D4" w:rsidRDefault="00AE3C52" w:rsidP="00611665">
      <w:pPr>
        <w:tabs>
          <w:tab w:val="left" w:pos="6030"/>
        </w:tabs>
        <w:spacing w:line="360" w:lineRule="auto"/>
        <w:ind w:right="-567"/>
        <w:rPr>
          <w:rFonts w:ascii="Palatino Linotype" w:eastAsia="Palatino Linotype" w:hAnsi="Palatino Linotype" w:cs="Palatino Linotype"/>
        </w:rPr>
      </w:pPr>
    </w:p>
    <w:p w:rsidR="00100C67" w:rsidRPr="001636D4" w:rsidRDefault="00100C67" w:rsidP="00611665">
      <w:pPr>
        <w:spacing w:line="360" w:lineRule="auto"/>
        <w:ind w:right="-567"/>
        <w:rPr>
          <w:rFonts w:ascii="Palatino Linotype" w:eastAsia="Palatino Linotype" w:hAnsi="Palatino Linotype" w:cs="Palatino Linotype"/>
        </w:rPr>
      </w:pPr>
    </w:p>
    <w:p w:rsidR="00611665" w:rsidRPr="001636D4" w:rsidRDefault="00611665">
      <w:pPr>
        <w:spacing w:line="360" w:lineRule="auto"/>
        <w:ind w:right="-567"/>
        <w:rPr>
          <w:rFonts w:ascii="Palatino Linotype" w:eastAsia="Palatino Linotype" w:hAnsi="Palatino Linotype" w:cs="Palatino Linotype"/>
        </w:rPr>
      </w:pPr>
    </w:p>
    <w:sectPr w:rsidR="00611665" w:rsidRPr="001636D4">
      <w:headerReference w:type="default" r:id="rId9"/>
      <w:footerReference w:type="default" r:id="rId10"/>
      <w:headerReference w:type="first" r:id="rId11"/>
      <w:footerReference w:type="first" r:id="rId12"/>
      <w:pgSz w:w="12240" w:h="15840"/>
      <w:pgMar w:top="2410" w:right="1892"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DF" w:rsidRDefault="00D763DF">
      <w:r>
        <w:separator/>
      </w:r>
    </w:p>
  </w:endnote>
  <w:endnote w:type="continuationSeparator" w:id="0">
    <w:p w:rsidR="00D763DF" w:rsidRDefault="00D7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67" w:rsidRDefault="005C297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4CAE">
      <w:rPr>
        <w:rFonts w:ascii="Arial" w:eastAsia="Arial" w:hAnsi="Arial" w:cs="Arial"/>
        <w:b/>
        <w:noProof/>
        <w:color w:val="000000"/>
        <w:sz w:val="20"/>
        <w:szCs w:val="20"/>
      </w:rPr>
      <w:t>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4CAE">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rsidR="00100C67" w:rsidRDefault="00100C67">
    <w:pPr>
      <w:pBdr>
        <w:top w:val="nil"/>
        <w:left w:val="nil"/>
        <w:bottom w:val="nil"/>
        <w:right w:val="nil"/>
        <w:between w:val="nil"/>
      </w:pBdr>
      <w:tabs>
        <w:tab w:val="center" w:pos="4252"/>
        <w:tab w:val="right" w:pos="8504"/>
      </w:tabs>
      <w:rPr>
        <w:color w:val="000000"/>
      </w:rPr>
    </w:pPr>
  </w:p>
  <w:p w:rsidR="00100C67" w:rsidRDefault="00100C6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67" w:rsidRDefault="005C297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4CA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4CAE">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rsidR="00100C67" w:rsidRDefault="00100C6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DF" w:rsidRDefault="00D763DF">
      <w:r>
        <w:separator/>
      </w:r>
    </w:p>
  </w:footnote>
  <w:footnote w:type="continuationSeparator" w:id="0">
    <w:p w:rsidR="00D763DF" w:rsidRDefault="00D763DF">
      <w:r>
        <w:continuationSeparator/>
      </w:r>
    </w:p>
  </w:footnote>
  <w:footnote w:id="1">
    <w:p w:rsidR="00100C67" w:rsidRDefault="005C29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rsidR="00100C67" w:rsidRDefault="005C29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rsidR="00100C67" w:rsidRDefault="005C29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rsidR="00100C67" w:rsidRDefault="005C29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67" w:rsidRDefault="005C297E">
    <w:pPr>
      <w:widowControl w:val="0"/>
      <w:pBdr>
        <w:top w:val="nil"/>
        <w:left w:val="nil"/>
        <w:bottom w:val="nil"/>
        <w:right w:val="nil"/>
        <w:between w:val="nil"/>
      </w:pBdr>
      <w:spacing w:line="276" w:lineRule="auto"/>
      <w:rPr>
        <w:color w:val="000000"/>
        <w:sz w:val="20"/>
        <w:szCs w:val="20"/>
      </w:rPr>
    </w:pPr>
    <w:r>
      <w:rPr>
        <w:noProof/>
      </w:rPr>
      <w:drawing>
        <wp:anchor distT="0" distB="0" distL="0" distR="0" simplePos="0" relativeHeight="251658240" behindDoc="1" locked="0" layoutInCell="1" hidden="0" allowOverlap="1">
          <wp:simplePos x="0" y="0"/>
          <wp:positionH relativeFrom="column">
            <wp:posOffset>-1257298</wp:posOffset>
          </wp:positionH>
          <wp:positionV relativeFrom="paragraph">
            <wp:posOffset>-569593</wp:posOffset>
          </wp:positionV>
          <wp:extent cx="7813085" cy="101700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2"/>
      <w:tblW w:w="8646" w:type="dxa"/>
      <w:tblInd w:w="3969" w:type="dxa"/>
      <w:tblLayout w:type="fixed"/>
      <w:tblLook w:val="0400" w:firstRow="0" w:lastRow="0" w:firstColumn="0" w:lastColumn="0" w:noHBand="0" w:noVBand="1"/>
    </w:tblPr>
    <w:tblGrid>
      <w:gridCol w:w="2693"/>
      <w:gridCol w:w="5953"/>
    </w:tblGrid>
    <w:tr w:rsidR="00100C67">
      <w:tc>
        <w:tcPr>
          <w:tcW w:w="2693" w:type="dxa"/>
          <w:vAlign w:val="center"/>
        </w:tcPr>
        <w:p w:rsidR="00100C67" w:rsidRDefault="005C29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953" w:type="dxa"/>
          <w:vAlign w:val="center"/>
        </w:tcPr>
        <w:p w:rsidR="00100C67" w:rsidRDefault="005C297E">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04598/INFOEM/IP/RR/2024 </w:t>
          </w:r>
        </w:p>
      </w:tc>
    </w:tr>
    <w:tr w:rsidR="00100C67">
      <w:trPr>
        <w:trHeight w:val="228"/>
      </w:trPr>
      <w:tc>
        <w:tcPr>
          <w:tcW w:w="2693" w:type="dxa"/>
          <w:vAlign w:val="center"/>
        </w:tcPr>
        <w:p w:rsidR="00100C67" w:rsidRDefault="005C29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953" w:type="dxa"/>
          <w:shd w:val="clear" w:color="auto" w:fill="auto"/>
          <w:vAlign w:val="center"/>
        </w:tcPr>
        <w:p w:rsidR="00100C67" w:rsidRDefault="005C297E">
          <w:pPr>
            <w:ind w:right="243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Instituto de Seguridad Social del Estado de México y Municipios</w:t>
          </w:r>
        </w:p>
      </w:tc>
    </w:tr>
    <w:tr w:rsidR="00100C67">
      <w:tc>
        <w:tcPr>
          <w:tcW w:w="2693" w:type="dxa"/>
          <w:vAlign w:val="center"/>
        </w:tcPr>
        <w:p w:rsidR="00100C67" w:rsidRDefault="005C29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953" w:type="dxa"/>
          <w:vAlign w:val="center"/>
        </w:tcPr>
        <w:p w:rsidR="00100C67" w:rsidRDefault="005C297E">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100C67" w:rsidRDefault="005C297E">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67" w:rsidRDefault="005C297E">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simplePos x="0" y="0"/>
          <wp:positionH relativeFrom="column">
            <wp:posOffset>-1078862</wp:posOffset>
          </wp:positionH>
          <wp:positionV relativeFrom="paragraph">
            <wp:posOffset>-411476</wp:posOffset>
          </wp:positionV>
          <wp:extent cx="7813085" cy="101700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3"/>
      <w:tblW w:w="7530" w:type="dxa"/>
      <w:tblInd w:w="2940" w:type="dxa"/>
      <w:tblLayout w:type="fixed"/>
      <w:tblLook w:val="0400" w:firstRow="0" w:lastRow="0" w:firstColumn="0" w:lastColumn="0" w:noHBand="0" w:noVBand="1"/>
    </w:tblPr>
    <w:tblGrid>
      <w:gridCol w:w="2670"/>
      <w:gridCol w:w="4860"/>
    </w:tblGrid>
    <w:tr w:rsidR="00100C67">
      <w:trPr>
        <w:trHeight w:val="227"/>
      </w:trPr>
      <w:tc>
        <w:tcPr>
          <w:tcW w:w="2670" w:type="dxa"/>
          <w:vAlign w:val="center"/>
        </w:tcPr>
        <w:p w:rsidR="00100C67" w:rsidRDefault="005C297E">
          <w:pPr>
            <w:ind w:left="-1133" w:right="17" w:firstLine="1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vAlign w:val="center"/>
        </w:tcPr>
        <w:p w:rsidR="00100C67" w:rsidRDefault="005C297E">
          <w:pPr>
            <w:pBdr>
              <w:top w:val="nil"/>
              <w:left w:val="nil"/>
              <w:bottom w:val="nil"/>
              <w:right w:val="nil"/>
              <w:between w:val="nil"/>
            </w:pBdr>
            <w:tabs>
              <w:tab w:val="center" w:pos="4419"/>
              <w:tab w:val="right" w:pos="8838"/>
            </w:tabs>
            <w:ind w:left="22" w:right="17" w:firstLine="1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04598/INFOEM/IP/RR/2024</w:t>
          </w:r>
        </w:p>
      </w:tc>
    </w:tr>
    <w:tr w:rsidR="00100C67">
      <w:trPr>
        <w:trHeight w:val="242"/>
      </w:trPr>
      <w:tc>
        <w:tcPr>
          <w:tcW w:w="2670" w:type="dxa"/>
          <w:vAlign w:val="center"/>
        </w:tcPr>
        <w:p w:rsidR="00100C67" w:rsidRDefault="005C297E">
          <w:pPr>
            <w:ind w:left="-1133" w:right="17" w:firstLine="1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tcPr>
        <w:p w:rsidR="00100C67" w:rsidRDefault="000E4CAE">
          <w:pPr>
            <w:pBdr>
              <w:top w:val="nil"/>
              <w:left w:val="nil"/>
              <w:bottom w:val="nil"/>
              <w:right w:val="nil"/>
              <w:between w:val="nil"/>
            </w:pBdr>
            <w:tabs>
              <w:tab w:val="center" w:pos="4419"/>
              <w:tab w:val="right" w:pos="8838"/>
              <w:tab w:val="left" w:pos="521"/>
            </w:tabs>
            <w:ind w:left="22" w:right="17" w:firstLine="15"/>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100C67">
      <w:trPr>
        <w:trHeight w:val="342"/>
      </w:trPr>
      <w:tc>
        <w:tcPr>
          <w:tcW w:w="2670" w:type="dxa"/>
          <w:vAlign w:val="center"/>
        </w:tcPr>
        <w:p w:rsidR="00100C67" w:rsidRDefault="005C297E">
          <w:pPr>
            <w:ind w:left="-1133" w:right="17" w:firstLine="1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vAlign w:val="center"/>
        </w:tcPr>
        <w:p w:rsidR="00100C67" w:rsidRDefault="005C297E">
          <w:pPr>
            <w:pBdr>
              <w:top w:val="nil"/>
              <w:left w:val="nil"/>
              <w:bottom w:val="nil"/>
              <w:right w:val="nil"/>
              <w:between w:val="nil"/>
            </w:pBdr>
            <w:tabs>
              <w:tab w:val="center" w:pos="4419"/>
              <w:tab w:val="right" w:pos="8838"/>
            </w:tabs>
            <w:ind w:left="22" w:right="432" w:firstLine="15"/>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100C67">
      <w:trPr>
        <w:trHeight w:val="342"/>
      </w:trPr>
      <w:tc>
        <w:tcPr>
          <w:tcW w:w="2670" w:type="dxa"/>
          <w:vAlign w:val="center"/>
        </w:tcPr>
        <w:p w:rsidR="00100C67" w:rsidRDefault="005C297E">
          <w:pPr>
            <w:ind w:left="-1133" w:right="17" w:firstLine="1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vAlign w:val="center"/>
        </w:tcPr>
        <w:p w:rsidR="00100C67" w:rsidRDefault="005C297E">
          <w:pPr>
            <w:pBdr>
              <w:top w:val="nil"/>
              <w:left w:val="nil"/>
              <w:bottom w:val="nil"/>
              <w:right w:val="nil"/>
              <w:between w:val="nil"/>
            </w:pBdr>
            <w:tabs>
              <w:tab w:val="center" w:pos="4419"/>
              <w:tab w:val="right" w:pos="8838"/>
            </w:tabs>
            <w:ind w:left="22" w:right="17" w:firstLine="1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00C67" w:rsidRDefault="00100C6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852"/>
    <w:multiLevelType w:val="multilevel"/>
    <w:tmpl w:val="3972231C"/>
    <w:lvl w:ilvl="0">
      <w:start w:val="1"/>
      <w:numFmt w:val="decimal"/>
      <w:lvlText w:val="%1."/>
      <w:lvlJc w:val="left"/>
      <w:pPr>
        <w:ind w:left="2629"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24E99"/>
    <w:multiLevelType w:val="multilevel"/>
    <w:tmpl w:val="0D34D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105396"/>
    <w:multiLevelType w:val="multilevel"/>
    <w:tmpl w:val="F7BEB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4578E9"/>
    <w:multiLevelType w:val="multilevel"/>
    <w:tmpl w:val="9178266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A9533A"/>
    <w:multiLevelType w:val="multilevel"/>
    <w:tmpl w:val="474E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383194"/>
    <w:multiLevelType w:val="multilevel"/>
    <w:tmpl w:val="5F0E18D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FE146A"/>
    <w:multiLevelType w:val="multilevel"/>
    <w:tmpl w:val="BA56106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67"/>
    <w:rsid w:val="000E4CAE"/>
    <w:rsid w:val="00100C67"/>
    <w:rsid w:val="001636D4"/>
    <w:rsid w:val="00164029"/>
    <w:rsid w:val="001979B1"/>
    <w:rsid w:val="00317C95"/>
    <w:rsid w:val="005C297E"/>
    <w:rsid w:val="00611665"/>
    <w:rsid w:val="007F0CCE"/>
    <w:rsid w:val="00AE3C52"/>
    <w:rsid w:val="00B33EE7"/>
    <w:rsid w:val="00D763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F63AA-D06C-4ECC-B31E-55D0CC3F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9D"/>
  </w:style>
  <w:style w:type="paragraph" w:styleId="Ttulo1">
    <w:name w:val="heading 1"/>
    <w:basedOn w:val="Normal"/>
    <w:next w:val="Normal"/>
    <w:link w:val="Ttulo1Car"/>
    <w:uiPriority w:val="9"/>
    <w:qFormat/>
    <w:rsid w:val="0027209D"/>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27209D"/>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27209D"/>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27209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7209D"/>
    <w:pPr>
      <w:tabs>
        <w:tab w:val="center" w:pos="4419"/>
        <w:tab w:val="right" w:pos="8838"/>
      </w:tabs>
    </w:pPr>
  </w:style>
  <w:style w:type="character" w:customStyle="1" w:styleId="EncabezadoCar">
    <w:name w:val="Encabezado Car"/>
    <w:basedOn w:val="Fuentedeprrafopredeter"/>
    <w:link w:val="Encabezado"/>
    <w:uiPriority w:val="99"/>
    <w:rsid w:val="0027209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7209D"/>
    <w:pPr>
      <w:tabs>
        <w:tab w:val="center" w:pos="4419"/>
        <w:tab w:val="right" w:pos="8838"/>
      </w:tabs>
    </w:pPr>
  </w:style>
  <w:style w:type="character" w:customStyle="1" w:styleId="PiedepginaCar">
    <w:name w:val="Pie de página Car"/>
    <w:basedOn w:val="Fuentedeprrafopredeter"/>
    <w:link w:val="Piedepgina"/>
    <w:uiPriority w:val="99"/>
    <w:rsid w:val="0027209D"/>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qFormat/>
    <w:rsid w:val="0027209D"/>
    <w:rPr>
      <w:color w:val="0563C1" w:themeColor="hyperlink"/>
      <w:u w:val="single"/>
    </w:rPr>
  </w:style>
  <w:style w:type="character" w:customStyle="1" w:styleId="TextodegloboCar">
    <w:name w:val="Texto de globo Car"/>
    <w:basedOn w:val="Fuentedeprrafopredeter"/>
    <w:link w:val="Textodeglobo"/>
    <w:uiPriority w:val="99"/>
    <w:semiHidden/>
    <w:rsid w:val="0027209D"/>
    <w:rPr>
      <w:rFonts w:ascii="Segoe UI" w:eastAsia="Times New Roman" w:hAnsi="Segoe UI" w:cs="Segoe UI"/>
      <w:sz w:val="18"/>
      <w:szCs w:val="18"/>
      <w:lang w:eastAsia="es-MX"/>
    </w:rPr>
  </w:style>
  <w:style w:type="paragraph" w:styleId="Textodeglobo">
    <w:name w:val="Balloon Text"/>
    <w:basedOn w:val="Normal"/>
    <w:link w:val="TextodegloboCar"/>
    <w:uiPriority w:val="99"/>
    <w:semiHidden/>
    <w:unhideWhenUsed/>
    <w:rsid w:val="0027209D"/>
    <w:rPr>
      <w:rFonts w:ascii="Segoe UI" w:hAnsi="Segoe UI" w:cs="Segoe UI"/>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7209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7209D"/>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6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61A3D"/>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61A3D"/>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61A3D"/>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customStyle="1" w:styleId="Default">
    <w:name w:val="Default"/>
    <w:rsid w:val="00FC6146"/>
    <w:pPr>
      <w:autoSpaceDE w:val="0"/>
      <w:autoSpaceDN w:val="0"/>
      <w:adjustRightInd w:val="0"/>
    </w:pPr>
    <w:rPr>
      <w:rFonts w:ascii="Arial" w:eastAsiaTheme="minorHAnsi" w:hAnsi="Arial" w:cs="Arial"/>
      <w:color w:val="000000"/>
      <w:lang w:eastAsia="en-US"/>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fScwWlC8PemXMOIy7n5a6PlxA==">CgMxLjAyDmguOGJuaXZ6cTAwbXg0MgloLjFmb2I5dGUyCWguM3pueXNoNzIOaC4xNjJtMW0zZmt6bDYyCGgudHlqY3d0MgloLjNkeTZ2a20yCWguMXQzaDVzZjIJaC40ZDM0b2c4MgloLjJzOGV5bzEyCWguMTdkcDh2dTIJaC4yNmluMXJnMg5oLmk3Yno0NzhraWd4aDgAciExSDFmLWxyMF8zcGZRZXE5YklFRHpiczN1UTZjSWtZVHk=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5756</Words>
  <Characters>31663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8</cp:revision>
  <cp:lastPrinted>2025-03-27T16:42:00Z</cp:lastPrinted>
  <dcterms:created xsi:type="dcterms:W3CDTF">2025-03-19T22:13:00Z</dcterms:created>
  <dcterms:modified xsi:type="dcterms:W3CDTF">2025-04-02T00:24:00Z</dcterms:modified>
</cp:coreProperties>
</file>