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22692" w14:textId="77777777" w:rsidR="001D10C1" w:rsidRDefault="001D10C1">
      <w:pPr>
        <w:widowControl w:val="0"/>
        <w:pBdr>
          <w:top w:val="nil"/>
          <w:left w:val="nil"/>
          <w:bottom w:val="nil"/>
          <w:right w:val="nil"/>
          <w:between w:val="nil"/>
        </w:pBdr>
        <w:spacing w:after="0" w:line="276" w:lineRule="auto"/>
        <w:jc w:val="left"/>
      </w:pPr>
    </w:p>
    <w:bookmarkStart w:id="0" w:name="_heading=h.x61aj1z3q2az"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962255607"/>
        <w:docPartObj>
          <w:docPartGallery w:val="Table of Contents"/>
          <w:docPartUnique/>
        </w:docPartObj>
      </w:sdtPr>
      <w:sdtEndPr>
        <w:rPr>
          <w:b/>
          <w:bCs/>
        </w:rPr>
      </w:sdtEndPr>
      <w:sdtContent>
        <w:p w14:paraId="21FD69D0" w14:textId="70A35875" w:rsidR="001E39D7" w:rsidRPr="00BC1557" w:rsidRDefault="001E39D7">
          <w:pPr>
            <w:pStyle w:val="TtulodeTDC"/>
          </w:pPr>
          <w:r w:rsidRPr="00BC1557">
            <w:rPr>
              <w:lang w:val="es-ES"/>
            </w:rPr>
            <w:t>Tabla de contenido</w:t>
          </w:r>
        </w:p>
        <w:p w14:paraId="4A42309A" w14:textId="2CFD0C2A" w:rsidR="00BF01C3" w:rsidRPr="00BC1557" w:rsidRDefault="001E39D7">
          <w:pPr>
            <w:pStyle w:val="TDC1"/>
            <w:tabs>
              <w:tab w:val="right" w:leader="dot" w:pos="9204"/>
            </w:tabs>
            <w:rPr>
              <w:rFonts w:asciiTheme="minorHAnsi" w:eastAsiaTheme="minorEastAsia" w:hAnsiTheme="minorHAnsi" w:cstheme="minorBidi"/>
              <w:noProof/>
            </w:rPr>
          </w:pPr>
          <w:r w:rsidRPr="00BC1557">
            <w:fldChar w:fldCharType="begin"/>
          </w:r>
          <w:r w:rsidRPr="00BC1557">
            <w:instrText xml:space="preserve"> TOC \o "1-3" \h \z \u </w:instrText>
          </w:r>
          <w:r w:rsidRPr="00BC1557">
            <w:fldChar w:fldCharType="separate"/>
          </w:r>
          <w:hyperlink w:anchor="_Toc207290455" w:history="1">
            <w:r w:rsidR="00BF01C3" w:rsidRPr="00BC1557">
              <w:rPr>
                <w:rStyle w:val="Hipervnculo"/>
                <w:noProof/>
              </w:rPr>
              <w:t>A N T E C E D E N T E S</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_Toc207290455 \h </w:instrText>
            </w:r>
            <w:r w:rsidR="00BF01C3" w:rsidRPr="00BC1557">
              <w:rPr>
                <w:noProof/>
                <w:webHidden/>
              </w:rPr>
            </w:r>
            <w:r w:rsidR="00BF01C3" w:rsidRPr="00BC1557">
              <w:rPr>
                <w:noProof/>
                <w:webHidden/>
              </w:rPr>
              <w:fldChar w:fldCharType="separate"/>
            </w:r>
            <w:r w:rsidR="00E00EAD">
              <w:rPr>
                <w:noProof/>
                <w:webHidden/>
              </w:rPr>
              <w:t>2</w:t>
            </w:r>
            <w:r w:rsidR="00BF01C3" w:rsidRPr="00BC1557">
              <w:rPr>
                <w:noProof/>
                <w:webHidden/>
              </w:rPr>
              <w:fldChar w:fldCharType="end"/>
            </w:r>
          </w:hyperlink>
        </w:p>
        <w:p w14:paraId="684F588A" w14:textId="026D6673" w:rsidR="00BF01C3" w:rsidRPr="00BC1557" w:rsidRDefault="004A0CA0">
          <w:pPr>
            <w:pStyle w:val="TDC2"/>
            <w:tabs>
              <w:tab w:val="right" w:leader="dot" w:pos="9204"/>
            </w:tabs>
            <w:rPr>
              <w:rFonts w:asciiTheme="minorHAnsi" w:eastAsiaTheme="minorEastAsia" w:hAnsiTheme="minorHAnsi" w:cstheme="minorBidi"/>
              <w:noProof/>
            </w:rPr>
          </w:pPr>
          <w:hyperlink w:anchor="_Toc207290456" w:history="1">
            <w:r w:rsidR="00BF01C3" w:rsidRPr="00BC1557">
              <w:rPr>
                <w:rStyle w:val="Hipervnculo"/>
                <w:noProof/>
              </w:rPr>
              <w:t>I. Presentación de la solicitud de información</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_Toc207290456 \h </w:instrText>
            </w:r>
            <w:r w:rsidR="00BF01C3" w:rsidRPr="00BC1557">
              <w:rPr>
                <w:noProof/>
                <w:webHidden/>
              </w:rPr>
            </w:r>
            <w:r w:rsidR="00BF01C3" w:rsidRPr="00BC1557">
              <w:rPr>
                <w:noProof/>
                <w:webHidden/>
              </w:rPr>
              <w:fldChar w:fldCharType="separate"/>
            </w:r>
            <w:r w:rsidR="00E00EAD">
              <w:rPr>
                <w:noProof/>
                <w:webHidden/>
              </w:rPr>
              <w:t>2</w:t>
            </w:r>
            <w:r w:rsidR="00BF01C3" w:rsidRPr="00BC1557">
              <w:rPr>
                <w:noProof/>
                <w:webHidden/>
              </w:rPr>
              <w:fldChar w:fldCharType="end"/>
            </w:r>
          </w:hyperlink>
        </w:p>
        <w:p w14:paraId="470482BE" w14:textId="2CFF7427" w:rsidR="00BF01C3" w:rsidRPr="00BC1557" w:rsidRDefault="004A0CA0">
          <w:pPr>
            <w:pStyle w:val="TDC2"/>
            <w:tabs>
              <w:tab w:val="right" w:leader="dot" w:pos="9204"/>
            </w:tabs>
            <w:rPr>
              <w:rFonts w:asciiTheme="minorHAnsi" w:eastAsiaTheme="minorEastAsia" w:hAnsiTheme="minorHAnsi" w:cstheme="minorBidi"/>
              <w:noProof/>
            </w:rPr>
          </w:pPr>
          <w:hyperlink w:anchor="_Toc207290457" w:history="1">
            <w:r w:rsidR="00BF01C3" w:rsidRPr="00BC1557">
              <w:rPr>
                <w:rStyle w:val="Hipervnculo"/>
                <w:noProof/>
              </w:rPr>
              <w:t>II. Respuesta del Sujeto Obligado</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_Toc207290457 \h </w:instrText>
            </w:r>
            <w:r w:rsidR="00BF01C3" w:rsidRPr="00BC1557">
              <w:rPr>
                <w:noProof/>
                <w:webHidden/>
              </w:rPr>
            </w:r>
            <w:r w:rsidR="00BF01C3" w:rsidRPr="00BC1557">
              <w:rPr>
                <w:noProof/>
                <w:webHidden/>
              </w:rPr>
              <w:fldChar w:fldCharType="separate"/>
            </w:r>
            <w:r w:rsidR="00E00EAD">
              <w:rPr>
                <w:noProof/>
                <w:webHidden/>
              </w:rPr>
              <w:t>3</w:t>
            </w:r>
            <w:r w:rsidR="00BF01C3" w:rsidRPr="00BC1557">
              <w:rPr>
                <w:noProof/>
                <w:webHidden/>
              </w:rPr>
              <w:fldChar w:fldCharType="end"/>
            </w:r>
          </w:hyperlink>
        </w:p>
        <w:p w14:paraId="1318A059" w14:textId="2B9774A8" w:rsidR="00BF01C3" w:rsidRPr="00BC1557" w:rsidRDefault="004A0CA0">
          <w:pPr>
            <w:pStyle w:val="TDC2"/>
            <w:tabs>
              <w:tab w:val="right" w:leader="dot" w:pos="9204"/>
            </w:tabs>
            <w:rPr>
              <w:rFonts w:asciiTheme="minorHAnsi" w:eastAsiaTheme="minorEastAsia" w:hAnsiTheme="minorHAnsi" w:cstheme="minorBidi"/>
              <w:noProof/>
            </w:rPr>
          </w:pPr>
          <w:hyperlink w:anchor="_Toc207290458" w:history="1">
            <w:r w:rsidR="00BF01C3" w:rsidRPr="00BC1557">
              <w:rPr>
                <w:rStyle w:val="Hipervnculo"/>
                <w:noProof/>
              </w:rPr>
              <w:t>III. Interposición del Recurso de Revisión</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_Toc207290458 \h </w:instrText>
            </w:r>
            <w:r w:rsidR="00BF01C3" w:rsidRPr="00BC1557">
              <w:rPr>
                <w:noProof/>
                <w:webHidden/>
              </w:rPr>
            </w:r>
            <w:r w:rsidR="00BF01C3" w:rsidRPr="00BC1557">
              <w:rPr>
                <w:noProof/>
                <w:webHidden/>
              </w:rPr>
              <w:fldChar w:fldCharType="separate"/>
            </w:r>
            <w:r w:rsidR="00E00EAD">
              <w:rPr>
                <w:noProof/>
                <w:webHidden/>
              </w:rPr>
              <w:t>3</w:t>
            </w:r>
            <w:r w:rsidR="00BF01C3" w:rsidRPr="00BC1557">
              <w:rPr>
                <w:noProof/>
                <w:webHidden/>
              </w:rPr>
              <w:fldChar w:fldCharType="end"/>
            </w:r>
          </w:hyperlink>
        </w:p>
        <w:p w14:paraId="32CC2A55" w14:textId="31CFB170" w:rsidR="00BF01C3" w:rsidRPr="00BC1557" w:rsidRDefault="004A0CA0">
          <w:pPr>
            <w:pStyle w:val="TDC2"/>
            <w:tabs>
              <w:tab w:val="right" w:leader="dot" w:pos="9204"/>
            </w:tabs>
            <w:rPr>
              <w:rFonts w:asciiTheme="minorHAnsi" w:eastAsiaTheme="minorEastAsia" w:hAnsiTheme="minorHAnsi" w:cstheme="minorBidi"/>
              <w:noProof/>
            </w:rPr>
          </w:pPr>
          <w:hyperlink w:anchor="_Toc207290459" w:history="1">
            <w:r w:rsidR="00BF01C3" w:rsidRPr="00BC1557">
              <w:rPr>
                <w:rStyle w:val="Hipervnculo"/>
                <w:noProof/>
              </w:rPr>
              <w:t>IV. Trámite del Recurso de Revisión ante este Instituto</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_Toc207290459 \h </w:instrText>
            </w:r>
            <w:r w:rsidR="00BF01C3" w:rsidRPr="00BC1557">
              <w:rPr>
                <w:noProof/>
                <w:webHidden/>
              </w:rPr>
            </w:r>
            <w:r w:rsidR="00BF01C3" w:rsidRPr="00BC1557">
              <w:rPr>
                <w:noProof/>
                <w:webHidden/>
              </w:rPr>
              <w:fldChar w:fldCharType="separate"/>
            </w:r>
            <w:r w:rsidR="00E00EAD">
              <w:rPr>
                <w:noProof/>
                <w:webHidden/>
              </w:rPr>
              <w:t>5</w:t>
            </w:r>
            <w:r w:rsidR="00BF01C3" w:rsidRPr="00BC1557">
              <w:rPr>
                <w:noProof/>
                <w:webHidden/>
              </w:rPr>
              <w:fldChar w:fldCharType="end"/>
            </w:r>
          </w:hyperlink>
        </w:p>
        <w:p w14:paraId="5D80DAF7" w14:textId="5931BC6D" w:rsidR="00BF01C3" w:rsidRPr="00BC1557" w:rsidRDefault="004A0CA0">
          <w:pPr>
            <w:pStyle w:val="TDC1"/>
            <w:tabs>
              <w:tab w:val="right" w:leader="dot" w:pos="9204"/>
            </w:tabs>
            <w:rPr>
              <w:rFonts w:asciiTheme="minorHAnsi" w:eastAsiaTheme="minorEastAsia" w:hAnsiTheme="minorHAnsi" w:cstheme="minorBidi"/>
              <w:noProof/>
            </w:rPr>
          </w:pPr>
          <w:hyperlink w:anchor="_Toc207290460" w:history="1">
            <w:r w:rsidR="00BF01C3" w:rsidRPr="00BC1557">
              <w:rPr>
                <w:rStyle w:val="Hipervnculo"/>
                <w:noProof/>
              </w:rPr>
              <w:t>C O N S I D E R A N D O S</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_Toc207290460 \h </w:instrText>
            </w:r>
            <w:r w:rsidR="00BF01C3" w:rsidRPr="00BC1557">
              <w:rPr>
                <w:noProof/>
                <w:webHidden/>
              </w:rPr>
            </w:r>
            <w:r w:rsidR="00BF01C3" w:rsidRPr="00BC1557">
              <w:rPr>
                <w:noProof/>
                <w:webHidden/>
              </w:rPr>
              <w:fldChar w:fldCharType="separate"/>
            </w:r>
            <w:r w:rsidR="00E00EAD">
              <w:rPr>
                <w:noProof/>
                <w:webHidden/>
              </w:rPr>
              <w:t>7</w:t>
            </w:r>
            <w:r w:rsidR="00BF01C3" w:rsidRPr="00BC1557">
              <w:rPr>
                <w:noProof/>
                <w:webHidden/>
              </w:rPr>
              <w:fldChar w:fldCharType="end"/>
            </w:r>
          </w:hyperlink>
        </w:p>
        <w:p w14:paraId="335D18A3" w14:textId="4C98D439" w:rsidR="00BF01C3" w:rsidRPr="00BC1557" w:rsidRDefault="004A0CA0">
          <w:pPr>
            <w:pStyle w:val="TDC2"/>
            <w:tabs>
              <w:tab w:val="right" w:leader="dot" w:pos="9204"/>
            </w:tabs>
            <w:rPr>
              <w:rFonts w:asciiTheme="minorHAnsi" w:eastAsiaTheme="minorEastAsia" w:hAnsiTheme="minorHAnsi" w:cstheme="minorBidi"/>
              <w:noProof/>
            </w:rPr>
          </w:pPr>
          <w:hyperlink w:anchor="_Toc207290461" w:history="1">
            <w:r w:rsidR="00BF01C3" w:rsidRPr="00BC1557">
              <w:rPr>
                <w:rStyle w:val="Hipervnculo"/>
                <w:noProof/>
              </w:rPr>
              <w:t>PRIMERO. Competencia</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_Toc207290461 \h </w:instrText>
            </w:r>
            <w:r w:rsidR="00BF01C3" w:rsidRPr="00BC1557">
              <w:rPr>
                <w:noProof/>
                <w:webHidden/>
              </w:rPr>
            </w:r>
            <w:r w:rsidR="00BF01C3" w:rsidRPr="00BC1557">
              <w:rPr>
                <w:noProof/>
                <w:webHidden/>
              </w:rPr>
              <w:fldChar w:fldCharType="separate"/>
            </w:r>
            <w:r w:rsidR="00E00EAD">
              <w:rPr>
                <w:noProof/>
                <w:webHidden/>
              </w:rPr>
              <w:t>7</w:t>
            </w:r>
            <w:r w:rsidR="00BF01C3" w:rsidRPr="00BC1557">
              <w:rPr>
                <w:noProof/>
                <w:webHidden/>
              </w:rPr>
              <w:fldChar w:fldCharType="end"/>
            </w:r>
          </w:hyperlink>
        </w:p>
        <w:p w14:paraId="1586F611" w14:textId="4352D3C1" w:rsidR="00BF01C3" w:rsidRPr="00BC1557" w:rsidRDefault="004A0CA0">
          <w:pPr>
            <w:pStyle w:val="TDC2"/>
            <w:tabs>
              <w:tab w:val="right" w:leader="dot" w:pos="9204"/>
            </w:tabs>
            <w:rPr>
              <w:rFonts w:asciiTheme="minorHAnsi" w:eastAsiaTheme="minorEastAsia" w:hAnsiTheme="minorHAnsi" w:cstheme="minorBidi"/>
              <w:noProof/>
            </w:rPr>
          </w:pPr>
          <w:hyperlink w:anchor="_Toc207290462" w:history="1">
            <w:r w:rsidR="00BF01C3" w:rsidRPr="00BC1557">
              <w:rPr>
                <w:rStyle w:val="Hipervnculo"/>
                <w:noProof/>
              </w:rPr>
              <w:t>SEGUNDO. Causales de improcedencia y sobreseimiento</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_Toc207290462 \h </w:instrText>
            </w:r>
            <w:r w:rsidR="00BF01C3" w:rsidRPr="00BC1557">
              <w:rPr>
                <w:noProof/>
                <w:webHidden/>
              </w:rPr>
            </w:r>
            <w:r w:rsidR="00BF01C3" w:rsidRPr="00BC1557">
              <w:rPr>
                <w:noProof/>
                <w:webHidden/>
              </w:rPr>
              <w:fldChar w:fldCharType="separate"/>
            </w:r>
            <w:r w:rsidR="00E00EAD">
              <w:rPr>
                <w:noProof/>
                <w:webHidden/>
              </w:rPr>
              <w:t>7</w:t>
            </w:r>
            <w:r w:rsidR="00BF01C3" w:rsidRPr="00BC1557">
              <w:rPr>
                <w:noProof/>
                <w:webHidden/>
              </w:rPr>
              <w:fldChar w:fldCharType="end"/>
            </w:r>
          </w:hyperlink>
        </w:p>
        <w:p w14:paraId="759A9D46" w14:textId="1D64878E" w:rsidR="00BF01C3" w:rsidRPr="00BC1557" w:rsidRDefault="004A0CA0">
          <w:pPr>
            <w:pStyle w:val="TDC2"/>
            <w:tabs>
              <w:tab w:val="right" w:leader="dot" w:pos="9204"/>
            </w:tabs>
            <w:rPr>
              <w:rFonts w:asciiTheme="minorHAnsi" w:eastAsiaTheme="minorEastAsia" w:hAnsiTheme="minorHAnsi" w:cstheme="minorBidi"/>
              <w:noProof/>
            </w:rPr>
          </w:pPr>
          <w:hyperlink w:anchor="_Toc207290463" w:history="1">
            <w:r w:rsidR="00BF01C3" w:rsidRPr="00BC1557">
              <w:rPr>
                <w:rStyle w:val="Hipervnculo"/>
                <w:noProof/>
              </w:rPr>
              <w:t>TERCERO. Determinación de la Controversia</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_Toc207290463 \h </w:instrText>
            </w:r>
            <w:r w:rsidR="00BF01C3" w:rsidRPr="00BC1557">
              <w:rPr>
                <w:noProof/>
                <w:webHidden/>
              </w:rPr>
            </w:r>
            <w:r w:rsidR="00BF01C3" w:rsidRPr="00BC1557">
              <w:rPr>
                <w:noProof/>
                <w:webHidden/>
              </w:rPr>
              <w:fldChar w:fldCharType="separate"/>
            </w:r>
            <w:r w:rsidR="00E00EAD">
              <w:rPr>
                <w:noProof/>
                <w:webHidden/>
              </w:rPr>
              <w:t>9</w:t>
            </w:r>
            <w:r w:rsidR="00BF01C3" w:rsidRPr="00BC1557">
              <w:rPr>
                <w:noProof/>
                <w:webHidden/>
              </w:rPr>
              <w:fldChar w:fldCharType="end"/>
            </w:r>
          </w:hyperlink>
        </w:p>
        <w:p w14:paraId="479081FC" w14:textId="06BB200E" w:rsidR="00BF01C3" w:rsidRPr="00BC1557" w:rsidRDefault="004A0CA0">
          <w:pPr>
            <w:pStyle w:val="TDC2"/>
            <w:tabs>
              <w:tab w:val="right" w:leader="dot" w:pos="9204"/>
            </w:tabs>
            <w:rPr>
              <w:rFonts w:asciiTheme="minorHAnsi" w:eastAsiaTheme="minorEastAsia" w:hAnsiTheme="minorHAnsi" w:cstheme="minorBidi"/>
              <w:noProof/>
            </w:rPr>
          </w:pPr>
          <w:hyperlink w:anchor="_Toc207290464" w:history="1">
            <w:r w:rsidR="00BF01C3" w:rsidRPr="00BC1557">
              <w:rPr>
                <w:rStyle w:val="Hipervnculo"/>
                <w:noProof/>
              </w:rPr>
              <w:t>CUARTO. Marco normativo aplicable en materia de transparencia y acceso a la información pública</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_Toc207290464 \h </w:instrText>
            </w:r>
            <w:r w:rsidR="00BF01C3" w:rsidRPr="00BC1557">
              <w:rPr>
                <w:noProof/>
                <w:webHidden/>
              </w:rPr>
            </w:r>
            <w:r w:rsidR="00BF01C3" w:rsidRPr="00BC1557">
              <w:rPr>
                <w:noProof/>
                <w:webHidden/>
              </w:rPr>
              <w:fldChar w:fldCharType="separate"/>
            </w:r>
            <w:r w:rsidR="00E00EAD">
              <w:rPr>
                <w:noProof/>
                <w:webHidden/>
              </w:rPr>
              <w:t>9</w:t>
            </w:r>
            <w:r w:rsidR="00BF01C3" w:rsidRPr="00BC1557">
              <w:rPr>
                <w:noProof/>
                <w:webHidden/>
              </w:rPr>
              <w:fldChar w:fldCharType="end"/>
            </w:r>
          </w:hyperlink>
        </w:p>
        <w:p w14:paraId="0DD78E9F" w14:textId="7414026D" w:rsidR="00BF01C3" w:rsidRPr="00BC1557" w:rsidRDefault="004A0CA0">
          <w:pPr>
            <w:pStyle w:val="TDC2"/>
            <w:tabs>
              <w:tab w:val="right" w:leader="dot" w:pos="9204"/>
            </w:tabs>
            <w:rPr>
              <w:rFonts w:asciiTheme="minorHAnsi" w:eastAsiaTheme="minorEastAsia" w:hAnsiTheme="minorHAnsi" w:cstheme="minorBidi"/>
              <w:noProof/>
            </w:rPr>
          </w:pPr>
          <w:hyperlink w:anchor="_Toc207290465" w:history="1">
            <w:r w:rsidR="00BF01C3" w:rsidRPr="00BC1557">
              <w:rPr>
                <w:rStyle w:val="Hipervnculo"/>
                <w:smallCaps/>
                <w:noProof/>
              </w:rPr>
              <w:t>QUINTO.</w:t>
            </w:r>
            <w:r w:rsidR="00BF01C3" w:rsidRPr="00BC1557">
              <w:rPr>
                <w:rStyle w:val="Hipervnculo"/>
                <w:noProof/>
              </w:rPr>
              <w:t xml:space="preserve"> Estudio de Fondo</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_Toc207290465 \h </w:instrText>
            </w:r>
            <w:r w:rsidR="00BF01C3" w:rsidRPr="00BC1557">
              <w:rPr>
                <w:noProof/>
                <w:webHidden/>
              </w:rPr>
            </w:r>
            <w:r w:rsidR="00BF01C3" w:rsidRPr="00BC1557">
              <w:rPr>
                <w:noProof/>
                <w:webHidden/>
              </w:rPr>
              <w:fldChar w:fldCharType="separate"/>
            </w:r>
            <w:r w:rsidR="00E00EAD">
              <w:rPr>
                <w:noProof/>
                <w:webHidden/>
              </w:rPr>
              <w:t>10</w:t>
            </w:r>
            <w:r w:rsidR="00BF01C3" w:rsidRPr="00BC1557">
              <w:rPr>
                <w:noProof/>
                <w:webHidden/>
              </w:rPr>
              <w:fldChar w:fldCharType="end"/>
            </w:r>
          </w:hyperlink>
        </w:p>
        <w:p w14:paraId="218716B9" w14:textId="35594BF7" w:rsidR="00BF01C3" w:rsidRPr="00BC1557" w:rsidRDefault="004A0CA0">
          <w:pPr>
            <w:pStyle w:val="TDC1"/>
            <w:tabs>
              <w:tab w:val="right" w:leader="dot" w:pos="9204"/>
            </w:tabs>
            <w:rPr>
              <w:rFonts w:asciiTheme="minorHAnsi" w:eastAsiaTheme="minorEastAsia" w:hAnsiTheme="minorHAnsi" w:cstheme="minorBidi"/>
              <w:noProof/>
            </w:rPr>
          </w:pPr>
          <w:hyperlink w:anchor="_Toc207290466" w:history="1">
            <w:r w:rsidR="00BF01C3" w:rsidRPr="00BC1557">
              <w:rPr>
                <w:rStyle w:val="Hipervnculo"/>
                <w:noProof/>
              </w:rPr>
              <w:t>R E S U E L V E</w:t>
            </w:r>
            <w:r w:rsidR="00BF01C3" w:rsidRPr="00BC1557">
              <w:rPr>
                <w:noProof/>
                <w:webHidden/>
              </w:rPr>
              <w:tab/>
            </w:r>
            <w:r w:rsidR="00BF01C3" w:rsidRPr="00BC1557">
              <w:rPr>
                <w:noProof/>
                <w:webHidden/>
              </w:rPr>
              <w:fldChar w:fldCharType="begin"/>
            </w:r>
            <w:r w:rsidR="00BF01C3" w:rsidRPr="00BC1557">
              <w:rPr>
                <w:noProof/>
                <w:webHidden/>
              </w:rPr>
              <w:instrText xml:space="preserve"> PAGEREF _Toc207290466 \h </w:instrText>
            </w:r>
            <w:r w:rsidR="00BF01C3" w:rsidRPr="00BC1557">
              <w:rPr>
                <w:noProof/>
                <w:webHidden/>
              </w:rPr>
            </w:r>
            <w:r w:rsidR="00BF01C3" w:rsidRPr="00BC1557">
              <w:rPr>
                <w:noProof/>
                <w:webHidden/>
              </w:rPr>
              <w:fldChar w:fldCharType="separate"/>
            </w:r>
            <w:r w:rsidR="00E00EAD">
              <w:rPr>
                <w:noProof/>
                <w:webHidden/>
              </w:rPr>
              <w:t>19</w:t>
            </w:r>
            <w:r w:rsidR="00BF01C3" w:rsidRPr="00BC1557">
              <w:rPr>
                <w:noProof/>
                <w:webHidden/>
              </w:rPr>
              <w:fldChar w:fldCharType="end"/>
            </w:r>
          </w:hyperlink>
        </w:p>
        <w:p w14:paraId="11D10A43" w14:textId="7DF9BBB7" w:rsidR="001E39D7" w:rsidRPr="00BC1557" w:rsidRDefault="001E39D7">
          <w:r w:rsidRPr="00BC1557">
            <w:rPr>
              <w:b/>
              <w:bCs/>
              <w:lang w:val="es-ES"/>
            </w:rPr>
            <w:fldChar w:fldCharType="end"/>
          </w:r>
        </w:p>
      </w:sdtContent>
    </w:sdt>
    <w:p w14:paraId="2B764597" w14:textId="77777777" w:rsidR="001D10C1" w:rsidRPr="00BC1557" w:rsidRDefault="001E39D7">
      <w:pPr>
        <w:pStyle w:val="Ttulo2"/>
        <w:spacing w:before="0" w:after="0"/>
        <w:rPr>
          <w:color w:val="2F5496"/>
        </w:rPr>
      </w:pPr>
      <w:r w:rsidRPr="00BC1557">
        <w:br w:type="page"/>
      </w:r>
    </w:p>
    <w:p w14:paraId="73586E78" w14:textId="77777777" w:rsidR="001D10C1" w:rsidRPr="00BC1557" w:rsidRDefault="001D10C1">
      <w:pPr>
        <w:widowControl w:val="0"/>
        <w:pBdr>
          <w:top w:val="nil"/>
          <w:left w:val="nil"/>
          <w:bottom w:val="nil"/>
          <w:right w:val="nil"/>
          <w:between w:val="nil"/>
        </w:pBdr>
        <w:spacing w:after="0" w:line="360" w:lineRule="auto"/>
        <w:jc w:val="left"/>
      </w:pPr>
    </w:p>
    <w:p w14:paraId="2292EFC6" w14:textId="77777777" w:rsidR="001D10C1" w:rsidRPr="00BC1557" w:rsidRDefault="001E39D7">
      <w:pPr>
        <w:spacing w:after="0" w:line="360" w:lineRule="auto"/>
      </w:pPr>
      <w:r w:rsidRPr="00BC1557">
        <w:t>Resolución del Pleno del Instituto de Transparencia, Acceso a la Información Pública y Protección de Datos Personales del Estado de México y Municipios, con domicilio en Metepec, Estado de México, de fecha veintisiete de agosto de dos mil veinticinco.</w:t>
      </w:r>
    </w:p>
    <w:p w14:paraId="7A055445" w14:textId="77777777" w:rsidR="001D10C1" w:rsidRPr="00BC1557" w:rsidRDefault="001D10C1">
      <w:pPr>
        <w:spacing w:after="0" w:line="360" w:lineRule="auto"/>
        <w:rPr>
          <w:b/>
        </w:rPr>
      </w:pPr>
    </w:p>
    <w:p w14:paraId="397ED700" w14:textId="724DFF97" w:rsidR="001D10C1" w:rsidRPr="00BC1557" w:rsidRDefault="001E39D7">
      <w:pPr>
        <w:spacing w:after="0" w:line="360" w:lineRule="auto"/>
      </w:pPr>
      <w:r w:rsidRPr="00BC1557">
        <w:rPr>
          <w:b/>
        </w:rPr>
        <w:t>VISTO</w:t>
      </w:r>
      <w:r w:rsidRPr="00BC1557">
        <w:t xml:space="preserve"> el expediente conformado con motivo del Recurso de Revisión </w:t>
      </w:r>
      <w:r w:rsidRPr="00BC1557">
        <w:rPr>
          <w:b/>
        </w:rPr>
        <w:t>07311/INFOEM/IP/RR/2025</w:t>
      </w:r>
      <w:r w:rsidRPr="00BC1557">
        <w:t>, interpuesto por</w:t>
      </w:r>
      <w:r w:rsidRPr="00BC1557">
        <w:rPr>
          <w:b/>
        </w:rPr>
        <w:t xml:space="preserve"> </w:t>
      </w:r>
      <w:r w:rsidR="004A0CA0">
        <w:rPr>
          <w:b/>
          <w:highlight w:val="black"/>
        </w:rPr>
        <w:t>XXXXXXXXXXXXXXXXXXXX</w:t>
      </w:r>
      <w:bookmarkStart w:id="1" w:name="_GoBack"/>
      <w:bookmarkEnd w:id="1"/>
      <w:r w:rsidRPr="00BC1557">
        <w:t xml:space="preserve">, en lo sucesivo, la persona Recurrente o Particular, en contra de la respuesta del Sujeto Obligado, </w:t>
      </w:r>
      <w:r w:rsidRPr="00BC1557">
        <w:rPr>
          <w:b/>
        </w:rPr>
        <w:t>Ayuntamiento de Tenancingo</w:t>
      </w:r>
      <w:r w:rsidRPr="00BC1557">
        <w:t xml:space="preserve"> se emite la presente Resolución, con base en los antecedentes y considerandos que se exponen a continuación:</w:t>
      </w:r>
    </w:p>
    <w:p w14:paraId="520ADF42" w14:textId="77777777" w:rsidR="001D10C1" w:rsidRPr="00BC1557" w:rsidRDefault="001D10C1">
      <w:pPr>
        <w:spacing w:after="0" w:line="360" w:lineRule="auto"/>
      </w:pPr>
    </w:p>
    <w:p w14:paraId="0623D307" w14:textId="77777777" w:rsidR="001D10C1" w:rsidRPr="00BC1557" w:rsidRDefault="001E39D7">
      <w:pPr>
        <w:pStyle w:val="Ttulo1"/>
        <w:spacing w:before="0" w:after="0"/>
        <w:rPr>
          <w:sz w:val="22"/>
          <w:szCs w:val="22"/>
        </w:rPr>
      </w:pPr>
      <w:bookmarkStart w:id="2" w:name="_heading=h.ql8gph3ass12" w:colFirst="0" w:colLast="0"/>
      <w:bookmarkStart w:id="3" w:name="_Toc207290455"/>
      <w:bookmarkEnd w:id="2"/>
      <w:r w:rsidRPr="00BC1557">
        <w:rPr>
          <w:sz w:val="22"/>
          <w:szCs w:val="22"/>
        </w:rPr>
        <w:t>A N T E C E D E N T E S</w:t>
      </w:r>
      <w:bookmarkEnd w:id="3"/>
    </w:p>
    <w:p w14:paraId="2763642C" w14:textId="77777777" w:rsidR="001D10C1" w:rsidRPr="00BC1557" w:rsidRDefault="001D10C1">
      <w:pPr>
        <w:spacing w:after="0" w:line="360" w:lineRule="auto"/>
      </w:pPr>
      <w:bookmarkStart w:id="4" w:name="_heading=h.gjdgxs" w:colFirst="0" w:colLast="0"/>
      <w:bookmarkEnd w:id="4"/>
    </w:p>
    <w:p w14:paraId="2B06C167" w14:textId="77777777" w:rsidR="001D10C1" w:rsidRPr="00BC1557" w:rsidRDefault="001E39D7">
      <w:pPr>
        <w:pStyle w:val="Ttulo2"/>
        <w:spacing w:before="0" w:after="0"/>
      </w:pPr>
      <w:bookmarkStart w:id="5" w:name="_heading=h.dt4uo4rjtzyo" w:colFirst="0" w:colLast="0"/>
      <w:bookmarkStart w:id="6" w:name="_Toc207290456"/>
      <w:bookmarkEnd w:id="5"/>
      <w:r w:rsidRPr="00BC1557">
        <w:t>I. Presentación de la solicitud de información</w:t>
      </w:r>
      <w:bookmarkEnd w:id="6"/>
    </w:p>
    <w:p w14:paraId="3D3668F4" w14:textId="77777777" w:rsidR="001D10C1" w:rsidRPr="00BC1557" w:rsidRDefault="001D10C1">
      <w:pPr>
        <w:tabs>
          <w:tab w:val="left" w:pos="567"/>
        </w:tabs>
        <w:spacing w:after="0" w:line="360" w:lineRule="auto"/>
      </w:pPr>
    </w:p>
    <w:p w14:paraId="6B653EFE" w14:textId="77777777" w:rsidR="001D10C1" w:rsidRPr="00BC1557" w:rsidRDefault="001E39D7">
      <w:pPr>
        <w:spacing w:after="0" w:line="360" w:lineRule="auto"/>
        <w:rPr>
          <w:color w:val="000000"/>
        </w:rPr>
      </w:pPr>
      <w:r w:rsidRPr="00BC1557">
        <w:t xml:space="preserve">Con fecha doce de mayo de dos mil veinticinco, </w:t>
      </w:r>
      <w:r w:rsidRPr="00BC1557">
        <w:rPr>
          <w:color w:val="000000"/>
        </w:rPr>
        <w:t>la parte Solicitante presentó una solicitud de acceso a la información pública,</w:t>
      </w:r>
      <w:r w:rsidRPr="00BC1557">
        <w:t xml:space="preserve"> a través del</w:t>
      </w:r>
      <w:r w:rsidRPr="00BC1557">
        <w:rPr>
          <w:color w:val="000000"/>
        </w:rPr>
        <w:t xml:space="preserve"> Sistema de Acceso a la Información Mexiquense, en lo sucesivo el SAIMEX, ante el </w:t>
      </w:r>
      <w:r w:rsidRPr="00BC1557">
        <w:rPr>
          <w:b/>
          <w:color w:val="000000"/>
        </w:rPr>
        <w:t>Ayuntamiento de Tenancingo</w:t>
      </w:r>
      <w:r w:rsidRPr="00BC1557">
        <w:rPr>
          <w:color w:val="000000"/>
        </w:rPr>
        <w:t xml:space="preserve"> en la que requirió lo siguiente:</w:t>
      </w:r>
    </w:p>
    <w:p w14:paraId="262E74C3" w14:textId="77777777" w:rsidR="001D10C1" w:rsidRPr="00BC1557" w:rsidRDefault="001D10C1">
      <w:pPr>
        <w:spacing w:after="0" w:line="360" w:lineRule="auto"/>
        <w:rPr>
          <w:color w:val="000000"/>
        </w:rPr>
      </w:pPr>
    </w:p>
    <w:p w14:paraId="5F421243" w14:textId="77777777" w:rsidR="001D10C1" w:rsidRPr="00BC1557" w:rsidRDefault="001E39D7">
      <w:pPr>
        <w:tabs>
          <w:tab w:val="left" w:pos="567"/>
        </w:tabs>
        <w:spacing w:after="0" w:line="360" w:lineRule="auto"/>
        <w:ind w:left="567" w:right="709"/>
        <w:rPr>
          <w:b/>
          <w:sz w:val="20"/>
          <w:szCs w:val="20"/>
        </w:rPr>
      </w:pPr>
      <w:r w:rsidRPr="00BC1557">
        <w:rPr>
          <w:b/>
          <w:sz w:val="20"/>
          <w:szCs w:val="20"/>
        </w:rPr>
        <w:t>Folio de la solicitud: 00387/TENANCIN/IP/2025</w:t>
      </w:r>
    </w:p>
    <w:p w14:paraId="04C381BD" w14:textId="77777777" w:rsidR="001D10C1" w:rsidRPr="00BC1557" w:rsidRDefault="001E39D7">
      <w:pPr>
        <w:tabs>
          <w:tab w:val="left" w:pos="567"/>
        </w:tabs>
        <w:spacing w:after="0" w:line="360" w:lineRule="auto"/>
        <w:ind w:left="567" w:right="709"/>
        <w:rPr>
          <w:b/>
          <w:sz w:val="20"/>
          <w:szCs w:val="20"/>
        </w:rPr>
      </w:pPr>
      <w:r w:rsidRPr="00BC1557">
        <w:rPr>
          <w:b/>
          <w:sz w:val="20"/>
          <w:szCs w:val="20"/>
        </w:rPr>
        <w:t>DESCRIPCIÓN CLARA Y PRECISA DE LA INFORMACIÓN SOLICITADA</w:t>
      </w:r>
    </w:p>
    <w:p w14:paraId="5B54EAA1" w14:textId="77777777" w:rsidR="001D10C1" w:rsidRPr="00BC1557" w:rsidRDefault="001E39D7">
      <w:pPr>
        <w:tabs>
          <w:tab w:val="left" w:pos="4667"/>
        </w:tabs>
        <w:spacing w:after="0" w:line="360" w:lineRule="auto"/>
        <w:ind w:left="567" w:right="709"/>
        <w:rPr>
          <w:i/>
          <w:sz w:val="20"/>
          <w:szCs w:val="20"/>
        </w:rPr>
      </w:pPr>
      <w:r w:rsidRPr="00BC1557">
        <w:rPr>
          <w:i/>
          <w:sz w:val="20"/>
          <w:szCs w:val="20"/>
        </w:rPr>
        <w:t>“ME SEA EXPEDIDA COPIA DEL CONVENIO REGIONAL QUE LA PRESIDENTE MUNICIPAL DE TENANCINGO, MEXICO FIRMO EL DIA CUATRO DE ABRIL DEL PRESENTE AÑO 2025 EN PRESENCIA DEL SECRETARIO DE MOVILIDAD DEL GOBIERNO DEL ESTADO DE MEXICO.” (Sic).</w:t>
      </w:r>
    </w:p>
    <w:p w14:paraId="63B9FA74" w14:textId="77777777" w:rsidR="001D10C1" w:rsidRPr="00BC1557" w:rsidRDefault="001D10C1">
      <w:pPr>
        <w:tabs>
          <w:tab w:val="left" w:pos="4667"/>
        </w:tabs>
        <w:spacing w:after="0" w:line="360" w:lineRule="auto"/>
        <w:ind w:left="567" w:right="709"/>
        <w:rPr>
          <w:b/>
          <w:sz w:val="20"/>
          <w:szCs w:val="20"/>
        </w:rPr>
      </w:pPr>
    </w:p>
    <w:p w14:paraId="70CA176B" w14:textId="77777777" w:rsidR="001D10C1" w:rsidRPr="00BC1557" w:rsidRDefault="001E39D7">
      <w:pPr>
        <w:tabs>
          <w:tab w:val="left" w:pos="4667"/>
        </w:tabs>
        <w:spacing w:after="0" w:line="360" w:lineRule="auto"/>
        <w:ind w:left="567" w:right="709"/>
        <w:rPr>
          <w:b/>
          <w:sz w:val="20"/>
          <w:szCs w:val="20"/>
        </w:rPr>
      </w:pPr>
      <w:r w:rsidRPr="00BC1557">
        <w:rPr>
          <w:b/>
          <w:sz w:val="20"/>
          <w:szCs w:val="20"/>
        </w:rPr>
        <w:t xml:space="preserve">MODALIDAD DE ENTREGA </w:t>
      </w:r>
      <w:r w:rsidRPr="00BC1557">
        <w:rPr>
          <w:i/>
          <w:sz w:val="20"/>
          <w:szCs w:val="20"/>
        </w:rPr>
        <w:t>“A través del SAIMEX.”</w:t>
      </w:r>
    </w:p>
    <w:p w14:paraId="13F15790" w14:textId="77777777" w:rsidR="001D10C1" w:rsidRPr="00BC1557" w:rsidRDefault="001E39D7">
      <w:pPr>
        <w:pStyle w:val="Ttulo2"/>
        <w:spacing w:before="0" w:after="0"/>
      </w:pPr>
      <w:bookmarkStart w:id="7" w:name="_heading=h.x5u01pa2qvhy" w:colFirst="0" w:colLast="0"/>
      <w:bookmarkStart w:id="8" w:name="_Toc207290457"/>
      <w:bookmarkEnd w:id="7"/>
      <w:r w:rsidRPr="00BC1557">
        <w:lastRenderedPageBreak/>
        <w:t>II. Respuesta del Sujeto Obligado</w:t>
      </w:r>
      <w:bookmarkEnd w:id="8"/>
    </w:p>
    <w:p w14:paraId="2CB8F42C" w14:textId="77777777" w:rsidR="001D10C1" w:rsidRPr="00BC1557" w:rsidRDefault="001D10C1">
      <w:pPr>
        <w:spacing w:after="0" w:line="360" w:lineRule="auto"/>
      </w:pPr>
    </w:p>
    <w:p w14:paraId="4E7C130D" w14:textId="77777777" w:rsidR="001D10C1" w:rsidRPr="00BC1557" w:rsidRDefault="001E39D7">
      <w:pPr>
        <w:spacing w:after="0" w:line="360" w:lineRule="auto"/>
      </w:pPr>
      <w:r w:rsidRPr="00BC1557">
        <w:t>El treinta de mayo de dos mil veinticinco, el Sujeto Obligado a través de SAIMEX, dio respuesta mediante un oficio suscrito por el Secretario Técnico, en el que informó:</w:t>
      </w:r>
    </w:p>
    <w:p w14:paraId="08F3B61D" w14:textId="77777777" w:rsidR="001D10C1" w:rsidRPr="00BC1557" w:rsidRDefault="001D10C1">
      <w:pPr>
        <w:spacing w:after="0" w:line="360" w:lineRule="auto"/>
      </w:pPr>
    </w:p>
    <w:p w14:paraId="089E2897" w14:textId="77777777" w:rsidR="001D10C1" w:rsidRPr="00BC1557" w:rsidRDefault="001E39D7">
      <w:pPr>
        <w:spacing w:after="0" w:line="360" w:lineRule="auto"/>
        <w:ind w:left="567" w:right="709"/>
        <w:rPr>
          <w:i/>
          <w:sz w:val="20"/>
          <w:szCs w:val="20"/>
        </w:rPr>
      </w:pPr>
      <w:r w:rsidRPr="00BC1557">
        <w:rPr>
          <w:i/>
          <w:sz w:val="20"/>
          <w:szCs w:val="20"/>
        </w:rPr>
        <w:t xml:space="preserve">“Con fundamento en los artículos 12, 19, 23 fracción IV, 160 у 162 de la Ley de Transparencia y Acceso a la Información Pública del Estado de México Municipios; al respecto le informo que, derivado de una búsqueda exhaustiva en los archivos que obran en la oficina de Presidencia, </w:t>
      </w:r>
      <w:r w:rsidRPr="00BC1557">
        <w:rPr>
          <w:b/>
          <w:i/>
          <w:sz w:val="20"/>
          <w:szCs w:val="20"/>
        </w:rPr>
        <w:t>le informo que el convenio al que hace referencia, al tratarse de un convenio intermunicipal, se encuentra en proceso de formalización de todas las partes que conforman el mismo.</w:t>
      </w:r>
      <w:r w:rsidRPr="00BC1557">
        <w:rPr>
          <w:i/>
          <w:sz w:val="20"/>
          <w:szCs w:val="20"/>
        </w:rPr>
        <w:t>” (Énfasis añadido)</w:t>
      </w:r>
    </w:p>
    <w:p w14:paraId="3687E938" w14:textId="77777777" w:rsidR="001D10C1" w:rsidRPr="00BC1557" w:rsidRDefault="001D10C1">
      <w:pPr>
        <w:pBdr>
          <w:top w:val="nil"/>
          <w:left w:val="nil"/>
          <w:bottom w:val="nil"/>
          <w:right w:val="nil"/>
          <w:between w:val="nil"/>
        </w:pBdr>
        <w:spacing w:after="0" w:line="360" w:lineRule="auto"/>
        <w:rPr>
          <w:i/>
          <w:color w:val="000000"/>
        </w:rPr>
      </w:pPr>
    </w:p>
    <w:p w14:paraId="170AE44F" w14:textId="77777777" w:rsidR="001D10C1" w:rsidRPr="00BC1557" w:rsidRDefault="001E39D7">
      <w:pPr>
        <w:pStyle w:val="Ttulo2"/>
        <w:spacing w:before="0" w:after="0"/>
      </w:pPr>
      <w:bookmarkStart w:id="9" w:name="_heading=h.6p4j18xd196h" w:colFirst="0" w:colLast="0"/>
      <w:bookmarkStart w:id="10" w:name="_Toc207290458"/>
      <w:bookmarkEnd w:id="9"/>
      <w:r w:rsidRPr="00BC1557">
        <w:t>III. Interposición del Recurso de Revisión</w:t>
      </w:r>
      <w:bookmarkEnd w:id="10"/>
    </w:p>
    <w:p w14:paraId="17E571CF" w14:textId="77777777" w:rsidR="001D10C1" w:rsidRPr="00BC1557" w:rsidRDefault="001D10C1">
      <w:pPr>
        <w:spacing w:after="0" w:line="360" w:lineRule="auto"/>
        <w:rPr>
          <w:b/>
        </w:rPr>
      </w:pPr>
    </w:p>
    <w:p w14:paraId="584BD423" w14:textId="77777777" w:rsidR="001D10C1" w:rsidRPr="00BC1557" w:rsidRDefault="001E39D7">
      <w:pPr>
        <w:spacing w:after="0" w:line="360" w:lineRule="auto"/>
      </w:pPr>
      <w:bookmarkStart w:id="11" w:name="_heading=h.2et92p0" w:colFirst="0" w:colLast="0"/>
      <w:bookmarkEnd w:id="11"/>
      <w:r w:rsidRPr="00BC1557">
        <w:t>Con fecha diecisiete de junio de dos mil veinticinco, se recibió en este Instituto, a través del SAIMEX, el Recurso de Revisión interpuesto por la persona Recurrente, en los siguientes términos:</w:t>
      </w:r>
    </w:p>
    <w:p w14:paraId="7016168F" w14:textId="77777777" w:rsidR="001D10C1" w:rsidRPr="00BC1557" w:rsidRDefault="001D10C1">
      <w:pPr>
        <w:spacing w:after="0" w:line="360" w:lineRule="auto"/>
      </w:pPr>
    </w:p>
    <w:p w14:paraId="1A6C4F9B" w14:textId="77777777" w:rsidR="001D10C1" w:rsidRPr="00BC1557" w:rsidRDefault="001E39D7">
      <w:pPr>
        <w:spacing w:after="0" w:line="360" w:lineRule="auto"/>
        <w:ind w:left="567" w:right="709"/>
        <w:rPr>
          <w:b/>
          <w:sz w:val="20"/>
          <w:szCs w:val="20"/>
        </w:rPr>
      </w:pPr>
      <w:r w:rsidRPr="00BC1557">
        <w:rPr>
          <w:b/>
          <w:sz w:val="20"/>
          <w:szCs w:val="20"/>
        </w:rPr>
        <w:t>ACTO IMPUGNADO</w:t>
      </w:r>
      <w:r w:rsidRPr="00BC1557">
        <w:rPr>
          <w:b/>
          <w:sz w:val="20"/>
          <w:szCs w:val="20"/>
        </w:rPr>
        <w:tab/>
      </w:r>
    </w:p>
    <w:p w14:paraId="4836B743" w14:textId="77777777" w:rsidR="001D10C1" w:rsidRPr="00BC1557" w:rsidRDefault="001E39D7">
      <w:pPr>
        <w:spacing w:after="0" w:line="360" w:lineRule="auto"/>
        <w:ind w:left="567" w:right="709"/>
        <w:rPr>
          <w:i/>
          <w:sz w:val="20"/>
          <w:szCs w:val="20"/>
        </w:rPr>
      </w:pPr>
      <w:r w:rsidRPr="00BC1557">
        <w:rPr>
          <w:i/>
          <w:sz w:val="20"/>
          <w:szCs w:val="20"/>
        </w:rPr>
        <w:t>“</w:t>
      </w:r>
      <w:proofErr w:type="spellStart"/>
      <w:r w:rsidRPr="00BC1557">
        <w:rPr>
          <w:i/>
          <w:sz w:val="20"/>
          <w:szCs w:val="20"/>
        </w:rPr>
        <w:t>lLA</w:t>
      </w:r>
      <w:proofErr w:type="spellEnd"/>
      <w:r w:rsidRPr="00BC1557">
        <w:rPr>
          <w:i/>
          <w:sz w:val="20"/>
          <w:szCs w:val="20"/>
        </w:rPr>
        <w:t xml:space="preserve"> NEGATIVA DEL SIJETO OBLIGADO A ENTREGARME LA INFORMACION SOLICITADA SIN ESTAR DEBIDAMENTE FUNDADO Y MOTIVADO QUE LE FUE SOLICITADA A TRAVES DE SAIMEX CON EL NUMERO FOLIO 00387/TENANCIN/IP/2025” (Sic).</w:t>
      </w:r>
    </w:p>
    <w:p w14:paraId="762169E4" w14:textId="77777777" w:rsidR="001D10C1" w:rsidRPr="00BC1557" w:rsidRDefault="001D10C1">
      <w:pPr>
        <w:spacing w:after="0" w:line="360" w:lineRule="auto"/>
        <w:ind w:left="567" w:right="709"/>
        <w:rPr>
          <w:sz w:val="20"/>
          <w:szCs w:val="20"/>
        </w:rPr>
      </w:pPr>
    </w:p>
    <w:p w14:paraId="7AE846E3" w14:textId="77777777" w:rsidR="001D10C1" w:rsidRPr="00BC1557" w:rsidRDefault="001E39D7">
      <w:pPr>
        <w:spacing w:after="0" w:line="360" w:lineRule="auto"/>
        <w:ind w:left="567" w:right="709"/>
        <w:rPr>
          <w:b/>
          <w:sz w:val="20"/>
          <w:szCs w:val="20"/>
        </w:rPr>
      </w:pPr>
      <w:r w:rsidRPr="00BC1557">
        <w:rPr>
          <w:b/>
          <w:sz w:val="20"/>
          <w:szCs w:val="20"/>
        </w:rPr>
        <w:t>RAZONES O MOTIVOS DE LA INCONFORMIDAD</w:t>
      </w:r>
      <w:r w:rsidRPr="00BC1557">
        <w:rPr>
          <w:b/>
          <w:sz w:val="20"/>
          <w:szCs w:val="20"/>
        </w:rPr>
        <w:tab/>
      </w:r>
    </w:p>
    <w:p w14:paraId="3BF4646E" w14:textId="77777777" w:rsidR="001D10C1" w:rsidRPr="00BC1557" w:rsidRDefault="001E39D7">
      <w:pPr>
        <w:tabs>
          <w:tab w:val="left" w:pos="4667"/>
        </w:tabs>
        <w:spacing w:after="0" w:line="360" w:lineRule="auto"/>
        <w:ind w:left="567" w:right="709"/>
        <w:rPr>
          <w:i/>
          <w:sz w:val="20"/>
          <w:szCs w:val="20"/>
        </w:rPr>
      </w:pPr>
      <w:r w:rsidRPr="00BC1557">
        <w:rPr>
          <w:i/>
          <w:sz w:val="20"/>
          <w:szCs w:val="20"/>
        </w:rPr>
        <w:t xml:space="preserve">“EL SUJETO OBLIGADO SE EXCUSA EN ENTREGAR LA INFORMACION SOLICITADA, RELATIVO AL CONVENIO INTERMUNICIPAL QUE EL AYUNTAMIENTO DE TENANCINGO, MEXICO A TRAVES DE SU PRESIDENTA MUNICIPAL NANCY </w:t>
      </w:r>
      <w:r w:rsidRPr="00BC1557">
        <w:rPr>
          <w:i/>
          <w:sz w:val="20"/>
          <w:szCs w:val="20"/>
        </w:rPr>
        <w:lastRenderedPageBreak/>
        <w:t>NAPOLES PACHECO FIRMO EN FECHA CUATRO DE ABRIL EN PRESENCIA DEL SECRETARIO DE MOVILIDAD, PORQUE A SU DECIR AL SER UN CONVENIO REGIONAL SE ENCUENTRA EN PROCESO DE FORMALIZACION DE TODAS LAS PARTES. SIN EMBARGO</w:t>
      </w:r>
      <w:r w:rsidRPr="00BC1557">
        <w:rPr>
          <w:b/>
          <w:i/>
          <w:sz w:val="20"/>
          <w:szCs w:val="20"/>
        </w:rPr>
        <w:t>, LA RAZÓN POR LA QUE NIEGA LA ENTREGA DE LA INFORMACION NO ESTÁ DEBIDAMENTE FUNDADA Y MOTIVADA,</w:t>
      </w:r>
      <w:r w:rsidRPr="00BC1557">
        <w:rPr>
          <w:i/>
          <w:sz w:val="20"/>
          <w:szCs w:val="20"/>
        </w:rPr>
        <w:t xml:space="preserve"> SIENDO MAS BIEN UNA PRACTICA PARA O NO ENTREGAR O DILATAR EL MAYOR TIEMPO POSIBLE LA ENTREGA DE LA INFORMACION, YA QUE EN PRIMER LUGAR EL SUJETO OBLIGADO ESTÁ ACEPTANDO LA EXISTENCIA DEL CONVENIO INTERMUNICIPAL FIRMADO EL CUATRO DE ABRIL DE 2025 Y EN SEGUNDO </w:t>
      </w:r>
      <w:r w:rsidRPr="00BC1557">
        <w:rPr>
          <w:b/>
          <w:i/>
          <w:sz w:val="20"/>
          <w:szCs w:val="20"/>
        </w:rPr>
        <w:t>LUGAR NO ES CREIBLE QUE A MAS DE DOS MESES NO HAYAN FIRMADO TODAS LAS PARTES</w:t>
      </w:r>
      <w:r w:rsidRPr="00BC1557">
        <w:rPr>
          <w:i/>
          <w:sz w:val="20"/>
          <w:szCs w:val="20"/>
        </w:rPr>
        <w:t>, CUANDO EN LA PUBLICACION QUE EL PROPIO AYUNTAMIENTO SUBIO EN SU CUENTA OFICIAL DE FACEBOOK, INFORMARON A LA CIUDADANIA QUE LA FIRMA DEL CONVENIO SE LLEVO A CABO EN LA PRESENCIA DEL SECRETARIO DE MOVILIDAD Y CON PRESIDENTES MUNICIPALES DE LA REGIÓN, SUBIENDO UNA FOTOGRAFIA DONDE DIVERSAS PERSONAS POSAN CON UN DOCUMENTO EN MANOS, POR LO QUE SE PRESUME QUE EL EVENTO ANUNCIADO FUE PARA LA FIRMA DE LOS INVOLUCRADOS, COMO SE DEMUESTRA CON UNA CAPTURA DE PANTALLA DE LA PUBLICACION REALIZADA EN LA PAGINA DE FACEBOOK DEL AYUNTAMIENTO DE TENANCINGO, MEXICO. POR LO ANTERIOR CONSIDERO QUE EL SUJETO OBLIGADO PRETENDE RETARDAR O EN SU CASO NO ENTREGAR LA INFORMACION SOLICITADA, VULNERANDO CON ELLO MI DERECHO HUMANO A LA INFORMACION PUBLICA. EL CONVENIO SE HIZO.” (Sic).</w:t>
      </w:r>
    </w:p>
    <w:p w14:paraId="29BDB471" w14:textId="77777777" w:rsidR="001D10C1" w:rsidRPr="00BC1557" w:rsidRDefault="001D10C1">
      <w:pPr>
        <w:tabs>
          <w:tab w:val="left" w:pos="4667"/>
        </w:tabs>
        <w:spacing w:after="0" w:line="360" w:lineRule="auto"/>
      </w:pPr>
    </w:p>
    <w:p w14:paraId="6DC01CC7" w14:textId="1BB27CB7" w:rsidR="001D10C1" w:rsidRPr="00BC1557" w:rsidRDefault="001E39D7">
      <w:pPr>
        <w:tabs>
          <w:tab w:val="left" w:pos="4667"/>
        </w:tabs>
        <w:spacing w:after="0" w:line="360" w:lineRule="auto"/>
      </w:pPr>
      <w:r w:rsidRPr="00BC1557">
        <w:t xml:space="preserve">La persona Recurrente adjuntó al Recurso de Revisión un archivo en formato </w:t>
      </w:r>
      <w:proofErr w:type="spellStart"/>
      <w:r w:rsidRPr="00BC1557">
        <w:rPr>
          <w:i/>
        </w:rPr>
        <w:t>jpg</w:t>
      </w:r>
      <w:proofErr w:type="spellEnd"/>
      <w:r w:rsidRPr="00BC1557">
        <w:rPr>
          <w:i/>
        </w:rPr>
        <w:t xml:space="preserve"> </w:t>
      </w:r>
      <w:r w:rsidRPr="00BC1557">
        <w:t>en el que se advierte medularmente lo siguiente:</w:t>
      </w:r>
    </w:p>
    <w:p w14:paraId="7E1CF44D" w14:textId="77777777" w:rsidR="001D10C1" w:rsidRPr="00BC1557" w:rsidRDefault="001D10C1">
      <w:pPr>
        <w:tabs>
          <w:tab w:val="left" w:pos="4667"/>
        </w:tabs>
        <w:spacing w:after="0" w:line="360" w:lineRule="auto"/>
      </w:pPr>
    </w:p>
    <w:p w14:paraId="37D53179" w14:textId="6777AF33" w:rsidR="001D10C1" w:rsidRPr="00BC1557" w:rsidRDefault="001E39D7">
      <w:pPr>
        <w:pBdr>
          <w:top w:val="nil"/>
          <w:left w:val="nil"/>
          <w:bottom w:val="nil"/>
          <w:right w:val="nil"/>
          <w:between w:val="nil"/>
        </w:pBdr>
        <w:spacing w:after="0" w:line="360" w:lineRule="auto"/>
        <w:jc w:val="center"/>
        <w:rPr>
          <w:color w:val="000000"/>
        </w:rPr>
      </w:pPr>
      <w:r w:rsidRPr="00BC1557">
        <w:rPr>
          <w:noProof/>
        </w:rPr>
        <w:lastRenderedPageBreak/>
        <w:drawing>
          <wp:inline distT="0" distB="0" distL="0" distR="0" wp14:anchorId="758915C9" wp14:editId="51C7933D">
            <wp:extent cx="5850890" cy="2289810"/>
            <wp:effectExtent l="0" t="0" r="0" b="0"/>
            <wp:docPr id="1784001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1899" name=""/>
                    <pic:cNvPicPr/>
                  </pic:nvPicPr>
                  <pic:blipFill>
                    <a:blip r:embed="rId9"/>
                    <a:stretch>
                      <a:fillRect/>
                    </a:stretch>
                  </pic:blipFill>
                  <pic:spPr>
                    <a:xfrm>
                      <a:off x="0" y="0"/>
                      <a:ext cx="5850890" cy="2289810"/>
                    </a:xfrm>
                    <a:prstGeom prst="rect">
                      <a:avLst/>
                    </a:prstGeom>
                  </pic:spPr>
                </pic:pic>
              </a:graphicData>
            </a:graphic>
          </wp:inline>
        </w:drawing>
      </w:r>
    </w:p>
    <w:p w14:paraId="08D7C068" w14:textId="77777777" w:rsidR="001D10C1" w:rsidRPr="00BC1557" w:rsidRDefault="001D10C1">
      <w:pPr>
        <w:pBdr>
          <w:top w:val="nil"/>
          <w:left w:val="nil"/>
          <w:bottom w:val="nil"/>
          <w:right w:val="nil"/>
          <w:between w:val="nil"/>
        </w:pBdr>
        <w:spacing w:after="0" w:line="360" w:lineRule="auto"/>
        <w:jc w:val="center"/>
        <w:rPr>
          <w:color w:val="000000"/>
        </w:rPr>
      </w:pPr>
    </w:p>
    <w:p w14:paraId="57FD1A44" w14:textId="77777777" w:rsidR="001D10C1" w:rsidRPr="00BC1557" w:rsidRDefault="001E39D7">
      <w:pPr>
        <w:pStyle w:val="Ttulo2"/>
        <w:spacing w:before="0" w:after="0"/>
      </w:pPr>
      <w:bookmarkStart w:id="12" w:name="_heading=h.ohlgeiov48ph" w:colFirst="0" w:colLast="0"/>
      <w:bookmarkStart w:id="13" w:name="_Toc207290459"/>
      <w:bookmarkEnd w:id="12"/>
      <w:r w:rsidRPr="00BC1557">
        <w:t>IV. Trámite del Recurso de Revisión ante este Instituto</w:t>
      </w:r>
      <w:bookmarkEnd w:id="13"/>
    </w:p>
    <w:p w14:paraId="23E57D4B" w14:textId="77777777" w:rsidR="001D10C1" w:rsidRPr="00BC1557" w:rsidRDefault="001D10C1">
      <w:pPr>
        <w:spacing w:after="0" w:line="360" w:lineRule="auto"/>
        <w:rPr>
          <w:b/>
        </w:rPr>
      </w:pPr>
    </w:p>
    <w:p w14:paraId="360470E0" w14:textId="77777777" w:rsidR="001D10C1" w:rsidRPr="00BC1557" w:rsidRDefault="001E39D7">
      <w:pPr>
        <w:spacing w:after="0" w:line="360" w:lineRule="auto"/>
        <w:rPr>
          <w:color w:val="000000"/>
        </w:rPr>
      </w:pPr>
      <w:r w:rsidRPr="00BC1557">
        <w:rPr>
          <w:b/>
        </w:rPr>
        <w:t>a) Turno del Medio de Impugnación.</w:t>
      </w:r>
      <w:r w:rsidRPr="00BC1557">
        <w:t xml:space="preserve"> </w:t>
      </w:r>
      <w:r w:rsidRPr="00BC1557">
        <w:rPr>
          <w:color w:val="000000"/>
        </w:rPr>
        <w:t>El diecisiete de junio de dos mil veinticinco, el SAIMEX, asignó el número de expediente</w:t>
      </w:r>
      <w:r w:rsidRPr="00BC1557">
        <w:rPr>
          <w:b/>
          <w:color w:val="000000"/>
        </w:rPr>
        <w:t xml:space="preserve"> 07311/INFOEM/IP/RR/2025, </w:t>
      </w:r>
      <w:r w:rsidRPr="00BC1557">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36B17EA" w14:textId="77777777" w:rsidR="001D10C1" w:rsidRPr="00BC1557" w:rsidRDefault="001D10C1">
      <w:pPr>
        <w:spacing w:after="0" w:line="360" w:lineRule="auto"/>
      </w:pPr>
    </w:p>
    <w:p w14:paraId="1E816458" w14:textId="77777777" w:rsidR="001D10C1" w:rsidRPr="00BC1557" w:rsidRDefault="001E39D7">
      <w:pPr>
        <w:spacing w:after="0" w:line="360" w:lineRule="auto"/>
        <w:rPr>
          <w:color w:val="000000"/>
        </w:rPr>
      </w:pPr>
      <w:r w:rsidRPr="00BC1557">
        <w:rPr>
          <w:b/>
        </w:rPr>
        <w:t>b) Admisión del Recurso de Revisión.</w:t>
      </w:r>
      <w:r w:rsidRPr="00BC1557">
        <w:t xml:space="preserve"> </w:t>
      </w:r>
      <w:r w:rsidRPr="00BC1557">
        <w:rPr>
          <w:color w:val="000000"/>
        </w:rPr>
        <w:t xml:space="preserve">El </w:t>
      </w:r>
      <w:r w:rsidRPr="00BC1557">
        <w:t>veinte de junio de dos mil veinticinco</w:t>
      </w:r>
      <w:r w:rsidRPr="00BC1557">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BC1557">
        <w:t>manifestara</w:t>
      </w:r>
      <w:r w:rsidRPr="00BC1557">
        <w:rPr>
          <w:color w:val="000000"/>
        </w:rPr>
        <w:t xml:space="preserve"> lo que a su derecho conviniera y </w:t>
      </w:r>
      <w:r w:rsidRPr="00BC1557">
        <w:t>formularán</w:t>
      </w:r>
      <w:r w:rsidRPr="00BC1557">
        <w:rPr>
          <w:color w:val="000000"/>
        </w:rPr>
        <w:t xml:space="preserve"> alegatos.</w:t>
      </w:r>
    </w:p>
    <w:p w14:paraId="64F352DE" w14:textId="77777777" w:rsidR="001D10C1" w:rsidRPr="00BC1557" w:rsidRDefault="001D10C1">
      <w:pPr>
        <w:spacing w:after="0" w:line="360" w:lineRule="auto"/>
        <w:rPr>
          <w:color w:val="000000"/>
        </w:rPr>
      </w:pPr>
    </w:p>
    <w:p w14:paraId="65BEF2C0" w14:textId="77777777" w:rsidR="001D10C1" w:rsidRPr="00BC1557" w:rsidRDefault="001E39D7">
      <w:pPr>
        <w:spacing w:after="0" w:line="360" w:lineRule="auto"/>
        <w:rPr>
          <w:color w:val="000000"/>
        </w:rPr>
      </w:pPr>
      <w:r w:rsidRPr="00BC1557">
        <w:rPr>
          <w:b/>
          <w:color w:val="000000"/>
        </w:rPr>
        <w:lastRenderedPageBreak/>
        <w:t xml:space="preserve">c) Informe Justificado. </w:t>
      </w:r>
      <w:r w:rsidRPr="00BC1557">
        <w:rPr>
          <w:color w:val="000000"/>
        </w:rPr>
        <w:t>En fecha</w:t>
      </w:r>
      <w:r w:rsidRPr="00BC1557">
        <w:rPr>
          <w:b/>
          <w:color w:val="000000"/>
        </w:rPr>
        <w:t xml:space="preserve"> </w:t>
      </w:r>
      <w:r w:rsidRPr="00BC1557">
        <w:rPr>
          <w:color w:val="000000"/>
        </w:rPr>
        <w:t>veintitrés de julio de dos mil veinticinco, el Sujeto Obligado rindió informe justificado a través de SAIMEX, mediante un oficio suscrito por el Tesorero Municipal, en el que se pronunció sobre montos recaudados por diversos aspectos, ello, en atención a Recursos de Revisión diversos al que nos ocupa.</w:t>
      </w:r>
    </w:p>
    <w:p w14:paraId="6973A35D" w14:textId="77777777" w:rsidR="001D10C1" w:rsidRPr="00BC1557" w:rsidRDefault="001D10C1">
      <w:pPr>
        <w:spacing w:after="0" w:line="360" w:lineRule="auto"/>
        <w:rPr>
          <w:color w:val="000000"/>
        </w:rPr>
      </w:pPr>
    </w:p>
    <w:p w14:paraId="144F0B0B" w14:textId="77777777" w:rsidR="001D10C1" w:rsidRPr="00BC1557" w:rsidRDefault="001E39D7">
      <w:pPr>
        <w:spacing w:after="0" w:line="360" w:lineRule="auto"/>
        <w:rPr>
          <w:b/>
        </w:rPr>
      </w:pPr>
      <w:r w:rsidRPr="00BC1557">
        <w:rPr>
          <w:b/>
          <w:color w:val="000000"/>
        </w:rPr>
        <w:t>d) Vista del Informe Justificado.</w:t>
      </w:r>
      <w:r w:rsidRPr="00BC1557">
        <w:t xml:space="preserve"> El diecinueve de agosto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p>
    <w:p w14:paraId="376759D2" w14:textId="77777777" w:rsidR="001D10C1" w:rsidRPr="00BC1557" w:rsidRDefault="001D10C1">
      <w:pPr>
        <w:spacing w:after="0" w:line="360" w:lineRule="auto"/>
        <w:rPr>
          <w:b/>
        </w:rPr>
      </w:pPr>
    </w:p>
    <w:p w14:paraId="12EDA94E" w14:textId="77777777" w:rsidR="001D10C1" w:rsidRPr="00BC1557" w:rsidRDefault="001E39D7">
      <w:pPr>
        <w:spacing w:after="0" w:line="360" w:lineRule="auto"/>
        <w:rPr>
          <w:color w:val="000000"/>
        </w:rPr>
      </w:pPr>
      <w:r w:rsidRPr="00BC1557">
        <w:rPr>
          <w:b/>
        </w:rPr>
        <w:t xml:space="preserve">e) Manifestaciones de la parte Recurrente. </w:t>
      </w:r>
      <w:r w:rsidRPr="00BC1557">
        <w:t xml:space="preserve">De las constancias que obran en el expediente en el que nos ocupa, se aprecia que la parte Recurrente no añadió elementos de análisis. </w:t>
      </w:r>
    </w:p>
    <w:p w14:paraId="4284CAE9" w14:textId="77777777" w:rsidR="001D10C1" w:rsidRPr="00BC1557" w:rsidRDefault="001D10C1">
      <w:pPr>
        <w:pBdr>
          <w:top w:val="nil"/>
          <w:left w:val="nil"/>
          <w:bottom w:val="nil"/>
          <w:right w:val="nil"/>
          <w:between w:val="nil"/>
        </w:pBdr>
        <w:tabs>
          <w:tab w:val="left" w:pos="426"/>
        </w:tabs>
        <w:spacing w:after="0" w:line="360" w:lineRule="auto"/>
        <w:rPr>
          <w:b/>
          <w:color w:val="000000"/>
        </w:rPr>
      </w:pPr>
    </w:p>
    <w:p w14:paraId="7B69219C" w14:textId="77777777" w:rsidR="001D10C1" w:rsidRPr="00BC1557" w:rsidRDefault="001E39D7">
      <w:pPr>
        <w:spacing w:after="0" w:line="360" w:lineRule="auto"/>
      </w:pPr>
      <w:r w:rsidRPr="00BC1557">
        <w:rPr>
          <w:b/>
        </w:rPr>
        <w:t>f) Ampliación de plazo para resolver.</w:t>
      </w:r>
      <w:r w:rsidRPr="00BC1557">
        <w:t xml:space="preserve"> El diecinueve de agosto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el mismo día mediante el SAIMEX.</w:t>
      </w:r>
    </w:p>
    <w:p w14:paraId="0B3B5D21" w14:textId="77777777" w:rsidR="001D10C1" w:rsidRPr="00BC1557" w:rsidRDefault="001D10C1">
      <w:pPr>
        <w:pBdr>
          <w:top w:val="nil"/>
          <w:left w:val="nil"/>
          <w:bottom w:val="nil"/>
          <w:right w:val="nil"/>
          <w:between w:val="nil"/>
        </w:pBdr>
        <w:tabs>
          <w:tab w:val="left" w:pos="426"/>
        </w:tabs>
        <w:spacing w:after="0" w:line="360" w:lineRule="auto"/>
        <w:rPr>
          <w:b/>
          <w:color w:val="000000"/>
        </w:rPr>
      </w:pPr>
    </w:p>
    <w:p w14:paraId="7F706D69" w14:textId="6A0B8638" w:rsidR="001D10C1" w:rsidRPr="00BC1557" w:rsidRDefault="001E39D7">
      <w:pPr>
        <w:spacing w:after="0" w:line="360" w:lineRule="auto"/>
      </w:pPr>
      <w:r w:rsidRPr="00BC1557">
        <w:rPr>
          <w:b/>
        </w:rPr>
        <w:t>g) Cierre de instrucción.</w:t>
      </w:r>
      <w:r w:rsidRPr="00BC1557">
        <w:t xml:space="preserve"> El veintiséis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7225EB7" w14:textId="77777777" w:rsidR="001D10C1" w:rsidRPr="00BC1557" w:rsidRDefault="001D10C1">
      <w:pPr>
        <w:spacing w:after="0" w:line="360" w:lineRule="auto"/>
      </w:pPr>
    </w:p>
    <w:p w14:paraId="1C9858D7" w14:textId="77777777" w:rsidR="001D10C1" w:rsidRPr="00BC1557" w:rsidRDefault="001E39D7">
      <w:pPr>
        <w:spacing w:after="0" w:line="360" w:lineRule="auto"/>
      </w:pPr>
      <w:r w:rsidRPr="00BC1557">
        <w:lastRenderedPageBreak/>
        <w:t xml:space="preserve">En razón de que fue debidamente sustanciado e integrado el expediente electrónico y no existir diligencia pendiente de desahogo, se emite la resolución que conforme a Derecho proceda, de acuerdo a los siguientes: </w:t>
      </w:r>
    </w:p>
    <w:p w14:paraId="1B94F917" w14:textId="77777777" w:rsidR="001D10C1" w:rsidRPr="00BC1557" w:rsidRDefault="001D10C1">
      <w:pPr>
        <w:spacing w:after="0" w:line="360" w:lineRule="auto"/>
      </w:pPr>
    </w:p>
    <w:p w14:paraId="3D2497AF" w14:textId="77777777" w:rsidR="001D10C1" w:rsidRPr="00BC1557" w:rsidRDefault="001E39D7">
      <w:pPr>
        <w:pStyle w:val="Ttulo1"/>
        <w:spacing w:before="0" w:after="0"/>
        <w:rPr>
          <w:sz w:val="22"/>
          <w:szCs w:val="22"/>
        </w:rPr>
      </w:pPr>
      <w:bookmarkStart w:id="14" w:name="_heading=h.9rgbxj1oue89" w:colFirst="0" w:colLast="0"/>
      <w:bookmarkStart w:id="15" w:name="_Toc207290460"/>
      <w:bookmarkEnd w:id="14"/>
      <w:r w:rsidRPr="00BC1557">
        <w:rPr>
          <w:sz w:val="22"/>
          <w:szCs w:val="22"/>
        </w:rPr>
        <w:t>C O N S I D E R A N D O S</w:t>
      </w:r>
      <w:bookmarkEnd w:id="15"/>
    </w:p>
    <w:p w14:paraId="3FDBF47C" w14:textId="77777777" w:rsidR="001D10C1" w:rsidRPr="00BC1557" w:rsidRDefault="001D10C1">
      <w:pPr>
        <w:spacing w:after="0" w:line="360" w:lineRule="auto"/>
        <w:rPr>
          <w:b/>
        </w:rPr>
      </w:pPr>
    </w:p>
    <w:p w14:paraId="743EFFB4" w14:textId="77777777" w:rsidR="001D10C1" w:rsidRPr="00BC1557" w:rsidRDefault="001E39D7">
      <w:pPr>
        <w:pStyle w:val="Ttulo2"/>
        <w:spacing w:before="0" w:after="0"/>
      </w:pPr>
      <w:bookmarkStart w:id="16" w:name="_heading=h.cdja176vn346" w:colFirst="0" w:colLast="0"/>
      <w:bookmarkStart w:id="17" w:name="_Toc207290461"/>
      <w:bookmarkEnd w:id="16"/>
      <w:r w:rsidRPr="00BC1557">
        <w:t>PRIMERO. Competencia</w:t>
      </w:r>
      <w:bookmarkEnd w:id="17"/>
    </w:p>
    <w:p w14:paraId="2FE4813F" w14:textId="77777777" w:rsidR="001D10C1" w:rsidRPr="00BC1557" w:rsidRDefault="001D10C1">
      <w:pPr>
        <w:spacing w:after="0" w:line="360" w:lineRule="auto"/>
      </w:pPr>
    </w:p>
    <w:p w14:paraId="6C3F143E" w14:textId="77777777" w:rsidR="001D10C1" w:rsidRPr="00BC1557" w:rsidRDefault="001E39D7">
      <w:pPr>
        <w:spacing w:after="0" w:line="360" w:lineRule="auto"/>
      </w:pPr>
      <w:r w:rsidRPr="00BC1557">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AF87DDE" w14:textId="77777777" w:rsidR="001D10C1" w:rsidRPr="00BC1557" w:rsidRDefault="001D10C1">
      <w:pPr>
        <w:spacing w:after="0" w:line="360" w:lineRule="auto"/>
      </w:pPr>
    </w:p>
    <w:p w14:paraId="3A01847E" w14:textId="77777777" w:rsidR="001D10C1" w:rsidRPr="00BC1557" w:rsidRDefault="001E39D7">
      <w:pPr>
        <w:pStyle w:val="Ttulo2"/>
        <w:spacing w:before="0" w:after="0"/>
      </w:pPr>
      <w:bookmarkStart w:id="18" w:name="_heading=h.mwrmm02ntnnf" w:colFirst="0" w:colLast="0"/>
      <w:bookmarkStart w:id="19" w:name="_Toc207290462"/>
      <w:bookmarkEnd w:id="18"/>
      <w:r w:rsidRPr="00BC1557">
        <w:t>SEGUNDO. Causales de improcedencia y sobreseimiento</w:t>
      </w:r>
      <w:bookmarkEnd w:id="19"/>
    </w:p>
    <w:p w14:paraId="67449D41" w14:textId="77777777" w:rsidR="001D10C1" w:rsidRPr="00BC1557" w:rsidRDefault="001D10C1">
      <w:pPr>
        <w:spacing w:after="0" w:line="360" w:lineRule="auto"/>
      </w:pPr>
    </w:p>
    <w:p w14:paraId="4E51AB64" w14:textId="77777777" w:rsidR="001D10C1" w:rsidRPr="00BC1557" w:rsidRDefault="001E39D7">
      <w:pPr>
        <w:spacing w:after="0" w:line="360" w:lineRule="auto"/>
      </w:pPr>
      <w:r w:rsidRPr="00BC1557">
        <w:t xml:space="preserve">De las constancias que forman parte del Recurso de Revisión que se analiza, se advierte que previo al estudio del fondo de la </w:t>
      </w:r>
      <w:r w:rsidRPr="00BC1557">
        <w:rPr>
          <w:i/>
        </w:rPr>
        <w:t>litis</w:t>
      </w:r>
      <w:r w:rsidRPr="00BC1557">
        <w:t>, es necesario estudiar las causales de improcedencia y sobreseimiento que se adviertan, para determinar lo que en Derecho proceda.</w:t>
      </w:r>
    </w:p>
    <w:p w14:paraId="2E2900EF" w14:textId="77777777" w:rsidR="001D10C1" w:rsidRPr="00BC1557" w:rsidRDefault="001D10C1">
      <w:pPr>
        <w:spacing w:after="0" w:line="360" w:lineRule="auto"/>
      </w:pPr>
    </w:p>
    <w:p w14:paraId="76158FFC" w14:textId="77777777" w:rsidR="001D10C1" w:rsidRPr="00BC1557" w:rsidRDefault="001E39D7">
      <w:pPr>
        <w:spacing w:after="0" w:line="360" w:lineRule="auto"/>
        <w:rPr>
          <w:b/>
        </w:rPr>
      </w:pPr>
      <w:r w:rsidRPr="00BC1557">
        <w:rPr>
          <w:b/>
        </w:rPr>
        <w:t>Causales de improcedencia</w:t>
      </w:r>
    </w:p>
    <w:p w14:paraId="3441BB79" w14:textId="77777777" w:rsidR="001D10C1" w:rsidRPr="00BC1557" w:rsidRDefault="001D10C1">
      <w:pPr>
        <w:spacing w:after="0" w:line="360" w:lineRule="auto"/>
      </w:pPr>
    </w:p>
    <w:p w14:paraId="58C1CD6C" w14:textId="77777777" w:rsidR="001D10C1" w:rsidRPr="00BC1557" w:rsidRDefault="001E39D7">
      <w:pPr>
        <w:spacing w:after="0" w:line="360" w:lineRule="auto"/>
      </w:pPr>
      <w:r w:rsidRPr="00BC1557">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C1557">
        <w:rPr>
          <w:b/>
        </w:rPr>
        <w:t xml:space="preserve"> </w:t>
      </w:r>
      <w:r w:rsidRPr="00BC155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DF2987B" w14:textId="77777777" w:rsidR="001D10C1" w:rsidRPr="00BC1557" w:rsidRDefault="001D10C1">
      <w:pPr>
        <w:spacing w:after="0" w:line="360" w:lineRule="auto"/>
      </w:pPr>
    </w:p>
    <w:p w14:paraId="7ED05DE7" w14:textId="77777777" w:rsidR="001D10C1" w:rsidRPr="00BC1557" w:rsidRDefault="001E39D7">
      <w:pPr>
        <w:spacing w:after="0" w:line="360" w:lineRule="auto"/>
      </w:pPr>
      <w:r w:rsidRPr="00BC1557">
        <w:t xml:space="preserve">En el presente caso, </w:t>
      </w:r>
      <w:r w:rsidRPr="00BC1557">
        <w:rPr>
          <w:b/>
        </w:rPr>
        <w:t>no se actualiza ninguna de las causales de improcedencia</w:t>
      </w:r>
      <w:r w:rsidRPr="00BC155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AAF621A" w14:textId="77777777" w:rsidR="001D10C1" w:rsidRPr="00BC1557" w:rsidRDefault="001D10C1">
      <w:pPr>
        <w:spacing w:after="0" w:line="360" w:lineRule="auto"/>
        <w:rPr>
          <w:b/>
        </w:rPr>
      </w:pPr>
    </w:p>
    <w:p w14:paraId="55534A99" w14:textId="77777777" w:rsidR="001D10C1" w:rsidRPr="00BC1557" w:rsidRDefault="001E39D7">
      <w:pPr>
        <w:spacing w:after="0" w:line="360" w:lineRule="auto"/>
        <w:ind w:right="-28"/>
        <w:rPr>
          <w:b/>
          <w:color w:val="000000"/>
        </w:rPr>
      </w:pPr>
      <w:r w:rsidRPr="00BC1557">
        <w:rPr>
          <w:b/>
          <w:color w:val="000000"/>
        </w:rPr>
        <w:t>Causales de sobreseimiento</w:t>
      </w:r>
    </w:p>
    <w:p w14:paraId="7761B089" w14:textId="77777777" w:rsidR="001D10C1" w:rsidRPr="00BC1557" w:rsidRDefault="001D10C1">
      <w:pPr>
        <w:spacing w:after="0" w:line="360" w:lineRule="auto"/>
        <w:ind w:right="-28"/>
        <w:rPr>
          <w:color w:val="000000"/>
        </w:rPr>
      </w:pPr>
    </w:p>
    <w:p w14:paraId="79BE799E" w14:textId="77777777" w:rsidR="001D10C1" w:rsidRPr="00BC1557" w:rsidRDefault="001E39D7">
      <w:pPr>
        <w:spacing w:after="0" w:line="360" w:lineRule="auto"/>
        <w:rPr>
          <w:color w:val="000000"/>
        </w:rPr>
      </w:pPr>
      <w:r w:rsidRPr="00BC1557">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BC1557">
        <w:rPr>
          <w:b/>
          <w:color w:val="0D0D0D"/>
        </w:rPr>
        <w:t xml:space="preserve"> </w:t>
      </w:r>
      <w:r w:rsidRPr="00BC1557">
        <w:rPr>
          <w:color w:val="0D0D0D"/>
        </w:rPr>
        <w:t>toda vez que no hay constancias en el expediente en que se actúa, de que la persona Recurrente se haya desistido, fallecido, que el Sujeto Obligado hubiese modificado o revocado el acto impugnado o bien,</w:t>
      </w:r>
      <w:r w:rsidRPr="00BC1557">
        <w:t xml:space="preserve"> </w:t>
      </w:r>
      <w:r w:rsidRPr="00BC1557">
        <w:rPr>
          <w:color w:val="0D0D0D"/>
        </w:rPr>
        <w:t>que admitido una vez admitido el Recurso de Revisión, aparezca alguna causal de improcedencia o haya quedado sin materia.</w:t>
      </w:r>
    </w:p>
    <w:p w14:paraId="1B4C9A5C" w14:textId="77777777" w:rsidR="001D10C1" w:rsidRPr="00BC1557" w:rsidRDefault="001D10C1">
      <w:pPr>
        <w:spacing w:after="0" w:line="360" w:lineRule="auto"/>
        <w:rPr>
          <w:color w:val="000000"/>
        </w:rPr>
      </w:pPr>
    </w:p>
    <w:p w14:paraId="64CA8DEA" w14:textId="77777777" w:rsidR="001D10C1" w:rsidRPr="00BC1557" w:rsidRDefault="001E39D7">
      <w:pPr>
        <w:pStyle w:val="Ttulo2"/>
        <w:spacing w:before="0" w:after="0"/>
      </w:pPr>
      <w:bookmarkStart w:id="20" w:name="_heading=h.jxhcuj2or8za" w:colFirst="0" w:colLast="0"/>
      <w:bookmarkStart w:id="21" w:name="_Toc207290463"/>
      <w:bookmarkEnd w:id="20"/>
      <w:r w:rsidRPr="00BC1557">
        <w:lastRenderedPageBreak/>
        <w:t>TERCERO. Determinación de la Controversia</w:t>
      </w:r>
      <w:bookmarkEnd w:id="21"/>
    </w:p>
    <w:p w14:paraId="49B349AF" w14:textId="77777777" w:rsidR="001D10C1" w:rsidRPr="00BC1557" w:rsidRDefault="001D10C1">
      <w:pPr>
        <w:tabs>
          <w:tab w:val="left" w:pos="4962"/>
        </w:tabs>
        <w:spacing w:after="0" w:line="360" w:lineRule="auto"/>
      </w:pPr>
    </w:p>
    <w:p w14:paraId="7E1EAC31" w14:textId="77777777" w:rsidR="001D10C1" w:rsidRPr="00BC1557" w:rsidRDefault="001E39D7">
      <w:pPr>
        <w:tabs>
          <w:tab w:val="left" w:pos="4962"/>
        </w:tabs>
        <w:spacing w:after="0" w:line="360" w:lineRule="auto"/>
      </w:pPr>
      <w:r w:rsidRPr="00BC1557">
        <w:t xml:space="preserve">La parte Solicitante requirió copia del Convenio Regional que la Presidenta Municipal firmó el día 4 de abril de 2025, en presencia del Secretario de Movilidad del Gobierno del Estado de México. En respuesta, el Secretario Técnico, indicó que derivado de la búsqueda de la información la oficina de Presidencia, el convenio en cuestión es intermunicipal, por lo que se encuentra en proceso de formalización de todas las partes que conforman el mismo. </w:t>
      </w:r>
    </w:p>
    <w:p w14:paraId="79C0CA09" w14:textId="77777777" w:rsidR="001D10C1" w:rsidRPr="00BC1557" w:rsidRDefault="001D10C1">
      <w:pPr>
        <w:tabs>
          <w:tab w:val="left" w:pos="4962"/>
        </w:tabs>
        <w:spacing w:after="0" w:line="360" w:lineRule="auto"/>
        <w:rPr>
          <w:color w:val="000000"/>
        </w:rPr>
      </w:pPr>
    </w:p>
    <w:p w14:paraId="7413AD62" w14:textId="77777777" w:rsidR="001D10C1" w:rsidRPr="00BC1557" w:rsidRDefault="001E39D7">
      <w:pPr>
        <w:tabs>
          <w:tab w:val="left" w:pos="4962"/>
        </w:tabs>
        <w:spacing w:after="0" w:line="360" w:lineRule="auto"/>
      </w:pPr>
      <w:r w:rsidRPr="00BC1557">
        <w:rPr>
          <w:color w:val="000000"/>
        </w:rPr>
        <w:t xml:space="preserve">Derivado de la respuesta, la parte Recurrente se inconformó al señalar que la respuesta no se encuentra debidamente fundada y motivada, dado que hicieron la publicación de la firma del convenio y por tanto, debe contar con la información. </w:t>
      </w:r>
      <w:r w:rsidRPr="00BC1557">
        <w:t>Durante la sustanciación del Recurso de Revisión, el Sujeto Obligado rindió informe justificado, sin embargo, no se relaciona con el presente asunto. Por su parte, la persona Recurrente no añadió manifestaciones adicionales.</w:t>
      </w:r>
    </w:p>
    <w:p w14:paraId="31EF7B05" w14:textId="77777777" w:rsidR="001D10C1" w:rsidRPr="00BC1557" w:rsidRDefault="001D10C1">
      <w:pPr>
        <w:tabs>
          <w:tab w:val="left" w:pos="4962"/>
        </w:tabs>
        <w:spacing w:after="0" w:line="360" w:lineRule="auto"/>
      </w:pPr>
    </w:p>
    <w:p w14:paraId="4B4F3061" w14:textId="77777777" w:rsidR="001D10C1" w:rsidRPr="00BC1557" w:rsidRDefault="001E39D7">
      <w:pPr>
        <w:tabs>
          <w:tab w:val="left" w:pos="4962"/>
        </w:tabs>
        <w:spacing w:after="0" w:line="360" w:lineRule="auto"/>
      </w:pPr>
      <w:r w:rsidRPr="00BC1557">
        <w:t xml:space="preserve">Así pues, de las constancias que integran el expediente, se advierte que </w:t>
      </w:r>
      <w:r w:rsidRPr="00BC1557">
        <w:rPr>
          <w:color w:val="000000"/>
        </w:rPr>
        <w:t xml:space="preserve">en el asunto que nos ocupa se actualiza la causal de procedencia señalada en el </w:t>
      </w:r>
      <w:r w:rsidRPr="00BC1557">
        <w:t>artículo 179, fracción I, de la Ley de la materia; por la negativa a la información solicitada.</w:t>
      </w:r>
    </w:p>
    <w:p w14:paraId="37FFD09B" w14:textId="77777777" w:rsidR="001D10C1" w:rsidRPr="00BC1557" w:rsidRDefault="001D10C1">
      <w:pPr>
        <w:tabs>
          <w:tab w:val="left" w:pos="4962"/>
        </w:tabs>
        <w:spacing w:after="0" w:line="360" w:lineRule="auto"/>
      </w:pPr>
    </w:p>
    <w:p w14:paraId="6BF29C34" w14:textId="77777777" w:rsidR="001D10C1" w:rsidRPr="00BC1557" w:rsidRDefault="001E39D7">
      <w:pPr>
        <w:tabs>
          <w:tab w:val="left" w:pos="4962"/>
        </w:tabs>
        <w:spacing w:after="0" w:line="360" w:lineRule="auto"/>
      </w:pPr>
      <w:r w:rsidRPr="00BC1557">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55F652F" w14:textId="77777777" w:rsidR="001D10C1" w:rsidRPr="00BC1557" w:rsidRDefault="001D10C1">
      <w:pPr>
        <w:spacing w:after="0" w:line="360" w:lineRule="auto"/>
      </w:pPr>
    </w:p>
    <w:p w14:paraId="47B9A44D" w14:textId="77777777" w:rsidR="001D10C1" w:rsidRPr="00BC1557" w:rsidRDefault="001E39D7">
      <w:pPr>
        <w:pStyle w:val="Ttulo2"/>
        <w:spacing w:before="0" w:after="0"/>
      </w:pPr>
      <w:bookmarkStart w:id="22" w:name="_heading=h.4m8iz71fik0i" w:colFirst="0" w:colLast="0"/>
      <w:bookmarkStart w:id="23" w:name="_Toc207290464"/>
      <w:bookmarkEnd w:id="22"/>
      <w:r w:rsidRPr="00BC1557">
        <w:t>CUARTO. Marco normativo aplicable en materia de transparencia y acceso a la información pública</w:t>
      </w:r>
      <w:bookmarkEnd w:id="23"/>
    </w:p>
    <w:p w14:paraId="37E0EADA" w14:textId="77777777" w:rsidR="001D10C1" w:rsidRPr="00BC1557" w:rsidRDefault="001D10C1">
      <w:pPr>
        <w:spacing w:after="0" w:line="360" w:lineRule="auto"/>
        <w:rPr>
          <w:color w:val="000000"/>
        </w:rPr>
      </w:pPr>
    </w:p>
    <w:p w14:paraId="4A9E6E9B" w14:textId="77777777" w:rsidR="001D10C1" w:rsidRPr="00BC1557" w:rsidRDefault="001E39D7">
      <w:pPr>
        <w:spacing w:after="0" w:line="360" w:lineRule="auto"/>
        <w:rPr>
          <w:color w:val="000000"/>
        </w:rPr>
      </w:pPr>
      <w:r w:rsidRPr="00BC1557">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B06201A" w14:textId="77777777" w:rsidR="001D10C1" w:rsidRPr="00BC1557" w:rsidRDefault="001D10C1">
      <w:pPr>
        <w:spacing w:after="0" w:line="360" w:lineRule="auto"/>
        <w:rPr>
          <w:color w:val="000000"/>
        </w:rPr>
      </w:pPr>
    </w:p>
    <w:p w14:paraId="750A5F95" w14:textId="77777777" w:rsidR="001D10C1" w:rsidRPr="00BC1557" w:rsidRDefault="001E39D7">
      <w:pPr>
        <w:spacing w:after="0" w:line="360" w:lineRule="auto"/>
        <w:rPr>
          <w:color w:val="000000"/>
        </w:rPr>
      </w:pPr>
      <w:r w:rsidRPr="00BC1557">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A01C4AD" w14:textId="77777777" w:rsidR="001D10C1" w:rsidRPr="00BC1557" w:rsidRDefault="001D10C1">
      <w:pPr>
        <w:spacing w:after="0" w:line="360" w:lineRule="auto"/>
        <w:rPr>
          <w:color w:val="000000"/>
        </w:rPr>
      </w:pPr>
    </w:p>
    <w:p w14:paraId="20E2E9E8" w14:textId="77777777" w:rsidR="001D10C1" w:rsidRPr="00BC1557" w:rsidRDefault="001E39D7">
      <w:pPr>
        <w:spacing w:after="0" w:line="360" w:lineRule="auto"/>
        <w:rPr>
          <w:color w:val="000000"/>
        </w:rPr>
      </w:pPr>
      <w:r w:rsidRPr="00BC1557">
        <w:rPr>
          <w:color w:val="000000"/>
        </w:rPr>
        <w:t>Por su parte, la Ley de Transparencia y Acceso a la Información Pública del Estado de México y Municipios (Reglamentaria del artículo 5° de la Constitución Local), establece lo siguiente:</w:t>
      </w:r>
    </w:p>
    <w:p w14:paraId="3C342094" w14:textId="77777777" w:rsidR="001D10C1" w:rsidRPr="00BC1557" w:rsidRDefault="001D10C1">
      <w:pPr>
        <w:spacing w:after="0" w:line="360" w:lineRule="auto"/>
        <w:rPr>
          <w:color w:val="000000"/>
        </w:rPr>
      </w:pPr>
    </w:p>
    <w:p w14:paraId="36D2A98E" w14:textId="77777777" w:rsidR="001D10C1" w:rsidRPr="00BC1557" w:rsidRDefault="001E39D7">
      <w:pPr>
        <w:spacing w:after="0" w:line="360" w:lineRule="auto"/>
        <w:rPr>
          <w:color w:val="000000"/>
        </w:rPr>
      </w:pPr>
      <w:r w:rsidRPr="00BC1557">
        <w:rPr>
          <w:color w:val="000000"/>
        </w:rPr>
        <w:t>El artículo 12, que, quienes generen, recopilen, administren, manejen, procesen, archiven o conserven información pública serán responsables de la misma.</w:t>
      </w:r>
    </w:p>
    <w:p w14:paraId="4ABF739E" w14:textId="77777777" w:rsidR="001D10C1" w:rsidRPr="00BC1557" w:rsidRDefault="001D10C1">
      <w:pPr>
        <w:spacing w:after="0" w:line="360" w:lineRule="auto"/>
        <w:rPr>
          <w:color w:val="000000"/>
        </w:rPr>
      </w:pPr>
    </w:p>
    <w:p w14:paraId="2DC355BB" w14:textId="77777777" w:rsidR="001D10C1" w:rsidRPr="00BC1557" w:rsidRDefault="001E39D7">
      <w:pPr>
        <w:spacing w:after="0" w:line="360" w:lineRule="auto"/>
        <w:rPr>
          <w:color w:val="000000"/>
        </w:rPr>
      </w:pPr>
      <w:r w:rsidRPr="00BC1557">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9BCBEE6" w14:textId="77777777" w:rsidR="001D10C1" w:rsidRPr="00BC1557" w:rsidRDefault="001D10C1">
      <w:pPr>
        <w:spacing w:after="0" w:line="360" w:lineRule="auto"/>
        <w:rPr>
          <w:color w:val="000000"/>
        </w:rPr>
      </w:pPr>
    </w:p>
    <w:p w14:paraId="18F460D6" w14:textId="77777777" w:rsidR="001D10C1" w:rsidRPr="00BC1557" w:rsidRDefault="001E39D7">
      <w:pPr>
        <w:spacing w:after="0" w:line="360" w:lineRule="auto"/>
        <w:rPr>
          <w:color w:val="000000"/>
        </w:rPr>
      </w:pPr>
      <w:r w:rsidRPr="00BC1557">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233BF11" w14:textId="77777777" w:rsidR="001D10C1" w:rsidRPr="00BC1557" w:rsidRDefault="001D10C1">
      <w:pPr>
        <w:pStyle w:val="Ttulo2"/>
        <w:spacing w:before="0" w:after="0"/>
        <w:rPr>
          <w:smallCaps/>
        </w:rPr>
      </w:pPr>
    </w:p>
    <w:p w14:paraId="4635DA66" w14:textId="77777777" w:rsidR="001D10C1" w:rsidRPr="00BC1557" w:rsidRDefault="001E39D7">
      <w:pPr>
        <w:pStyle w:val="Ttulo2"/>
        <w:spacing w:before="0" w:after="0"/>
      </w:pPr>
      <w:bookmarkStart w:id="24" w:name="_heading=h.kwlva2g0ouk3" w:colFirst="0" w:colLast="0"/>
      <w:bookmarkStart w:id="25" w:name="_Toc207290465"/>
      <w:bookmarkEnd w:id="24"/>
      <w:r w:rsidRPr="00BC1557">
        <w:rPr>
          <w:smallCaps/>
        </w:rPr>
        <w:t>QUINTO.</w:t>
      </w:r>
      <w:r w:rsidRPr="00BC1557">
        <w:t xml:space="preserve"> Estudio de Fondo</w:t>
      </w:r>
      <w:bookmarkEnd w:id="25"/>
    </w:p>
    <w:p w14:paraId="1B085233" w14:textId="77777777" w:rsidR="001D10C1" w:rsidRPr="00BC1557" w:rsidRDefault="001D10C1">
      <w:pPr>
        <w:spacing w:after="0" w:line="360" w:lineRule="auto"/>
      </w:pPr>
    </w:p>
    <w:p w14:paraId="29462B85" w14:textId="77777777" w:rsidR="001D10C1" w:rsidRPr="00BC1557" w:rsidRDefault="001E39D7">
      <w:pPr>
        <w:spacing w:after="0" w:line="360" w:lineRule="auto"/>
      </w:pPr>
      <w:r w:rsidRPr="00BC1557">
        <w:lastRenderedPageBreak/>
        <w:t>Al respecto, vale la pena contextualizar la solicitud de información, la cual versa sobre un convenio regional, de fecha 4 de abril de 2025.</w:t>
      </w:r>
    </w:p>
    <w:p w14:paraId="0400619D" w14:textId="77777777" w:rsidR="001D10C1" w:rsidRPr="00BC1557" w:rsidRDefault="001D10C1">
      <w:pPr>
        <w:spacing w:after="0" w:line="360" w:lineRule="auto"/>
      </w:pPr>
    </w:p>
    <w:p w14:paraId="1DAD84C7" w14:textId="02EAD171" w:rsidR="001D10C1" w:rsidRPr="00BC1557" w:rsidRDefault="001E39D7">
      <w:pPr>
        <w:spacing w:after="0" w:line="360" w:lineRule="auto"/>
      </w:pPr>
      <w:r w:rsidRPr="00BC1557">
        <w:t xml:space="preserve">En este tenor es preciso señalar que el artículo </w:t>
      </w:r>
      <w:r w:rsidR="00CB0148" w:rsidRPr="00BC1557">
        <w:t xml:space="preserve">2º </w:t>
      </w:r>
      <w:r w:rsidRPr="00BC1557">
        <w:t xml:space="preserve">de la Ley Orgánica Municipal del Estado de México refiere que las autoridades municipales tienen, entre otras atribuciones, las derivadas de los convenios que celebren con el Gobierno del Estado o con otros Municipios, por lo que se parecía que el Sujeto Obligado tiene atribuciones para celebrar convenios interinstitucionales. </w:t>
      </w:r>
    </w:p>
    <w:p w14:paraId="24CB775F" w14:textId="77777777" w:rsidR="001D10C1" w:rsidRPr="00BC1557" w:rsidRDefault="001D10C1">
      <w:pPr>
        <w:spacing w:after="0" w:line="360" w:lineRule="auto"/>
      </w:pPr>
    </w:p>
    <w:p w14:paraId="2CAF5061" w14:textId="05719D64" w:rsidR="001D10C1" w:rsidRPr="00BC1557" w:rsidRDefault="001E39D7">
      <w:pPr>
        <w:spacing w:after="0" w:line="360" w:lineRule="auto"/>
      </w:pPr>
      <w:r w:rsidRPr="00BC1557">
        <w:t>Lo anterior se robustece con lo dispuesto en el artículo 31, fracción II</w:t>
      </w:r>
      <w:r w:rsidR="00CB0148" w:rsidRPr="00BC1557">
        <w:t>,</w:t>
      </w:r>
      <w:r w:rsidRPr="00BC1557">
        <w:t xml:space="preserve"> de la misma Ley Orgánica Municipal del Estado de México, mediante el cual, se señala que son atribuciones de los Ayuntamientos las de celebrar convenios, cuando fuese necesario, con autoridades estatales competentes, respecto a la prestación de servicios públicos a que se refiere el artículo 115, fracción III de la Constitución General, en consecuencia, el Sujeto Obligado puede conocer y celebrar convenios con otros entes públicos. </w:t>
      </w:r>
    </w:p>
    <w:p w14:paraId="5CAB5D0C" w14:textId="77777777" w:rsidR="001D10C1" w:rsidRPr="00BC1557" w:rsidRDefault="001D10C1">
      <w:pPr>
        <w:spacing w:after="0" w:line="360" w:lineRule="auto"/>
      </w:pPr>
    </w:p>
    <w:p w14:paraId="351D7DF6" w14:textId="77777777" w:rsidR="001D10C1" w:rsidRPr="00BC1557" w:rsidRDefault="001E39D7">
      <w:pPr>
        <w:spacing w:after="0" w:line="360" w:lineRule="auto"/>
      </w:pPr>
      <w:r w:rsidRPr="00BC1557">
        <w:t>Por su parte, el artículo 48, fracción VI de la Ley Orgánica Municipal del Estado de México prevé que la persona titular de la Presidencia Municipal, tiene entre sus atribuciones la de asumir la representación jurídica del Municipio y del Ayuntamiento, así como de las dependencias de la Administración Pública Municipal, lo que le faculta a suscribir convenios de colaboración.</w:t>
      </w:r>
    </w:p>
    <w:p w14:paraId="47760FB9" w14:textId="77777777" w:rsidR="001D10C1" w:rsidRPr="00BC1557" w:rsidRDefault="001D10C1">
      <w:pPr>
        <w:spacing w:after="0" w:line="360" w:lineRule="auto"/>
      </w:pPr>
    </w:p>
    <w:p w14:paraId="1745FF61" w14:textId="77777777" w:rsidR="001D10C1" w:rsidRPr="00BC1557" w:rsidRDefault="001E39D7">
      <w:pPr>
        <w:widowControl w:val="0"/>
        <w:spacing w:after="0" w:line="360" w:lineRule="auto"/>
        <w:rPr>
          <w:color w:val="000000"/>
        </w:rPr>
      </w:pPr>
      <w:r w:rsidRPr="00BC1557">
        <w:rPr>
          <w:color w:val="000000"/>
        </w:rPr>
        <w:t>Así mismo, el artículo 92, fracción XXXVII, de la Ley de Transparencia y Acceso a la Información Pública del Estado de México y Municipios, precisa que es información que es pública de oficio, la información sobre los convenios de coordinación que se suscriban con otros entes de los sectores públicos, sociales y privados</w:t>
      </w:r>
      <w:r w:rsidRPr="00BC1557">
        <w:rPr>
          <w:b/>
          <w:color w:val="000000"/>
        </w:rPr>
        <w:t>.</w:t>
      </w:r>
      <w:r w:rsidRPr="00BC1557">
        <w:rPr>
          <w:color w:val="000000"/>
        </w:rPr>
        <w:t xml:space="preserve">  </w:t>
      </w:r>
      <w:r w:rsidRPr="00BC1557">
        <w:t xml:space="preserve">Así pues, se aprecia que </w:t>
      </w:r>
      <w:r w:rsidRPr="00BC1557">
        <w:rPr>
          <w:b/>
        </w:rPr>
        <w:t xml:space="preserve">la información requerida tiene el carácter de pública. </w:t>
      </w:r>
    </w:p>
    <w:p w14:paraId="7362F78A" w14:textId="77777777" w:rsidR="001D10C1" w:rsidRPr="00BC1557" w:rsidRDefault="001D10C1">
      <w:pPr>
        <w:spacing w:after="0" w:line="360" w:lineRule="auto"/>
      </w:pPr>
    </w:p>
    <w:p w14:paraId="36BF5807" w14:textId="77777777" w:rsidR="001D10C1" w:rsidRPr="00BC1557" w:rsidRDefault="001E39D7">
      <w:pPr>
        <w:spacing w:after="0" w:line="360" w:lineRule="auto"/>
      </w:pPr>
      <w:r w:rsidRPr="00BC1557">
        <w:lastRenderedPageBreak/>
        <w:t>Aunado a lo anterior, este Organismo Garante localizó publicaciones en las que se hace alusión al convenio en cuestión, a saber:</w:t>
      </w:r>
    </w:p>
    <w:p w14:paraId="65A0D7C9" w14:textId="77777777" w:rsidR="001D10C1" w:rsidRPr="00BC1557" w:rsidRDefault="001D10C1">
      <w:pPr>
        <w:spacing w:after="0" w:line="360" w:lineRule="auto"/>
      </w:pPr>
    </w:p>
    <w:p w14:paraId="23520DD4" w14:textId="3173431A" w:rsidR="00CB0148" w:rsidRPr="00BC1557" w:rsidRDefault="00CB0148" w:rsidP="00CB0148">
      <w:pPr>
        <w:numPr>
          <w:ilvl w:val="0"/>
          <w:numId w:val="1"/>
        </w:numPr>
        <w:pBdr>
          <w:top w:val="nil"/>
          <w:left w:val="nil"/>
          <w:bottom w:val="nil"/>
          <w:right w:val="nil"/>
          <w:between w:val="nil"/>
        </w:pBdr>
        <w:spacing w:after="0" w:line="360" w:lineRule="auto"/>
        <w:rPr>
          <w:color w:val="000000"/>
        </w:rPr>
      </w:pPr>
      <w:r w:rsidRPr="00BC1557">
        <w:rPr>
          <w:color w:val="000000"/>
        </w:rPr>
        <w:t xml:space="preserve">Publicación en red social </w:t>
      </w:r>
      <w:r w:rsidRPr="00BC1557">
        <w:rPr>
          <w:i/>
          <w:color w:val="000000"/>
        </w:rPr>
        <w:t xml:space="preserve">Facebook, </w:t>
      </w:r>
      <w:r w:rsidRPr="00BC1557">
        <w:rPr>
          <w:color w:val="000000"/>
        </w:rPr>
        <w:t>del perfil del Ayuntamiento de la Secretaría de Movilidad del Estado de México</w:t>
      </w:r>
      <w:r w:rsidRPr="00BC1557">
        <w:rPr>
          <w:i/>
          <w:color w:val="000000"/>
        </w:rPr>
        <w:t>,</w:t>
      </w:r>
      <w:r w:rsidRPr="00BC1557">
        <w:rPr>
          <w:color w:val="000000"/>
        </w:rPr>
        <w:t xml:space="preserve"> de fecha 4 de abril del año en curso, en el que se señala lo siguiente:</w:t>
      </w:r>
    </w:p>
    <w:p w14:paraId="5649D702" w14:textId="77777777" w:rsidR="00CB0148" w:rsidRPr="00BC1557" w:rsidRDefault="00CB0148" w:rsidP="00CB0148">
      <w:pPr>
        <w:pBdr>
          <w:top w:val="nil"/>
          <w:left w:val="nil"/>
          <w:bottom w:val="nil"/>
          <w:right w:val="nil"/>
          <w:between w:val="nil"/>
        </w:pBdr>
        <w:spacing w:after="0" w:line="360" w:lineRule="auto"/>
        <w:ind w:left="720"/>
        <w:rPr>
          <w:color w:val="000000"/>
        </w:rPr>
      </w:pPr>
    </w:p>
    <w:p w14:paraId="1155F16D" w14:textId="47F5E2C6" w:rsidR="00CB0148" w:rsidRPr="00BC1557" w:rsidRDefault="009D59E9" w:rsidP="00CB0148">
      <w:pPr>
        <w:pBdr>
          <w:top w:val="nil"/>
          <w:left w:val="nil"/>
          <w:bottom w:val="nil"/>
          <w:right w:val="nil"/>
          <w:between w:val="nil"/>
        </w:pBdr>
        <w:spacing w:after="0" w:line="360" w:lineRule="auto"/>
        <w:ind w:left="720"/>
        <w:rPr>
          <w:color w:val="000000"/>
        </w:rPr>
      </w:pPr>
      <w:r w:rsidRPr="00BC1557">
        <w:rPr>
          <w:noProof/>
          <w:color w:val="000000"/>
        </w:rPr>
        <w:drawing>
          <wp:inline distT="0" distB="0" distL="0" distR="0" wp14:anchorId="7C301060" wp14:editId="70DE27BE">
            <wp:extent cx="4991100" cy="3581400"/>
            <wp:effectExtent l="0" t="0" r="0" b="0"/>
            <wp:docPr id="1972997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053"/>
                    <a:stretch/>
                  </pic:blipFill>
                  <pic:spPr bwMode="auto">
                    <a:xfrm>
                      <a:off x="0" y="0"/>
                      <a:ext cx="499110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36422A00" w14:textId="77777777" w:rsidR="00CB0148" w:rsidRPr="00BC1557" w:rsidRDefault="00CB0148">
      <w:pPr>
        <w:spacing w:after="0" w:line="360" w:lineRule="auto"/>
      </w:pPr>
    </w:p>
    <w:p w14:paraId="668332A7" w14:textId="1A0F6B4C" w:rsidR="001D10C1" w:rsidRPr="00BC1557" w:rsidRDefault="001E39D7">
      <w:pPr>
        <w:numPr>
          <w:ilvl w:val="0"/>
          <w:numId w:val="1"/>
        </w:numPr>
        <w:pBdr>
          <w:top w:val="nil"/>
          <w:left w:val="nil"/>
          <w:bottom w:val="nil"/>
          <w:right w:val="nil"/>
          <w:between w:val="nil"/>
        </w:pBdr>
        <w:spacing w:after="0" w:line="360" w:lineRule="auto"/>
        <w:rPr>
          <w:color w:val="000000"/>
        </w:rPr>
      </w:pPr>
      <w:r w:rsidRPr="00BC1557">
        <w:rPr>
          <w:color w:val="000000"/>
        </w:rPr>
        <w:t xml:space="preserve">Publicación en red social </w:t>
      </w:r>
      <w:r w:rsidRPr="00BC1557">
        <w:rPr>
          <w:i/>
          <w:color w:val="000000"/>
        </w:rPr>
        <w:t xml:space="preserve">Facebook, </w:t>
      </w:r>
      <w:r w:rsidRPr="00BC1557">
        <w:rPr>
          <w:color w:val="000000"/>
        </w:rPr>
        <w:t>del perfil del Ayuntamiento de Tenancingo 2025-2027</w:t>
      </w:r>
      <w:r w:rsidRPr="00BC1557">
        <w:rPr>
          <w:i/>
          <w:color w:val="000000"/>
        </w:rPr>
        <w:t>,</w:t>
      </w:r>
      <w:r w:rsidRPr="00BC1557">
        <w:rPr>
          <w:color w:val="000000"/>
        </w:rPr>
        <w:t xml:space="preserve"> de fecha 3 de abril del año </w:t>
      </w:r>
      <w:r w:rsidR="00CB0148" w:rsidRPr="00BC1557">
        <w:rPr>
          <w:color w:val="000000"/>
        </w:rPr>
        <w:t>en curso</w:t>
      </w:r>
      <w:r w:rsidRPr="00BC1557">
        <w:rPr>
          <w:color w:val="000000"/>
        </w:rPr>
        <w:t>, en el que se señala lo siguiente:</w:t>
      </w:r>
    </w:p>
    <w:p w14:paraId="5C9085A3" w14:textId="77777777" w:rsidR="00CB0148" w:rsidRPr="00BC1557" w:rsidRDefault="00CB0148" w:rsidP="00CB0148">
      <w:pPr>
        <w:pBdr>
          <w:top w:val="nil"/>
          <w:left w:val="nil"/>
          <w:bottom w:val="nil"/>
          <w:right w:val="nil"/>
          <w:between w:val="nil"/>
        </w:pBdr>
        <w:spacing w:after="0" w:line="360" w:lineRule="auto"/>
        <w:ind w:left="720"/>
        <w:rPr>
          <w:color w:val="000000"/>
        </w:rPr>
      </w:pPr>
    </w:p>
    <w:p w14:paraId="523B1B71" w14:textId="589EEA01" w:rsidR="001D10C1" w:rsidRPr="00BC1557" w:rsidRDefault="001D10C1">
      <w:pPr>
        <w:spacing w:after="0" w:line="360" w:lineRule="auto"/>
        <w:jc w:val="center"/>
      </w:pPr>
    </w:p>
    <w:p w14:paraId="04E5002D" w14:textId="6044806F" w:rsidR="00CB0148" w:rsidRPr="00BC1557" w:rsidRDefault="00CB0148">
      <w:pPr>
        <w:spacing w:after="0" w:line="360" w:lineRule="auto"/>
        <w:jc w:val="center"/>
      </w:pPr>
      <w:r w:rsidRPr="00BC1557">
        <w:rPr>
          <w:noProof/>
        </w:rPr>
        <w:lastRenderedPageBreak/>
        <w:drawing>
          <wp:inline distT="0" distB="0" distL="0" distR="0" wp14:anchorId="3F00041B" wp14:editId="768560E2">
            <wp:extent cx="3838575" cy="4514850"/>
            <wp:effectExtent l="0" t="0" r="9525" b="0"/>
            <wp:docPr id="8588716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1"/>
                    <a:srcRect t="7117"/>
                    <a:stretch/>
                  </pic:blipFill>
                  <pic:spPr bwMode="auto">
                    <a:xfrm>
                      <a:off x="0" y="0"/>
                      <a:ext cx="3839533" cy="4515977"/>
                    </a:xfrm>
                    <a:prstGeom prst="rect">
                      <a:avLst/>
                    </a:prstGeom>
                    <a:ln>
                      <a:noFill/>
                    </a:ln>
                    <a:extLst>
                      <a:ext uri="{53640926-AAD7-44D8-BBD7-CCE9431645EC}">
                        <a14:shadowObscured xmlns:a14="http://schemas.microsoft.com/office/drawing/2010/main"/>
                      </a:ext>
                    </a:extLst>
                  </pic:spPr>
                </pic:pic>
              </a:graphicData>
            </a:graphic>
          </wp:inline>
        </w:drawing>
      </w:r>
    </w:p>
    <w:p w14:paraId="3819423C" w14:textId="77777777" w:rsidR="001D10C1" w:rsidRPr="00BC1557" w:rsidRDefault="001D10C1">
      <w:pPr>
        <w:spacing w:after="0" w:line="360" w:lineRule="auto"/>
      </w:pPr>
    </w:p>
    <w:p w14:paraId="1DE950F7" w14:textId="452BDA80" w:rsidR="00CB0148" w:rsidRPr="00BC1557" w:rsidRDefault="00CB0148" w:rsidP="00CB0148">
      <w:pPr>
        <w:numPr>
          <w:ilvl w:val="0"/>
          <w:numId w:val="1"/>
        </w:numPr>
        <w:pBdr>
          <w:top w:val="nil"/>
          <w:left w:val="nil"/>
          <w:bottom w:val="nil"/>
          <w:right w:val="nil"/>
          <w:between w:val="nil"/>
        </w:pBdr>
        <w:spacing w:after="0" w:line="360" w:lineRule="auto"/>
        <w:rPr>
          <w:color w:val="000000"/>
        </w:rPr>
      </w:pPr>
      <w:r w:rsidRPr="00BC1557">
        <w:rPr>
          <w:color w:val="000000"/>
        </w:rPr>
        <w:t xml:space="preserve">Publicación en red social </w:t>
      </w:r>
      <w:r w:rsidRPr="00BC1557">
        <w:rPr>
          <w:i/>
          <w:color w:val="000000"/>
        </w:rPr>
        <w:t xml:space="preserve">Facebook, </w:t>
      </w:r>
      <w:r w:rsidRPr="00BC1557">
        <w:rPr>
          <w:color w:val="000000"/>
        </w:rPr>
        <w:t xml:space="preserve">del perfil del Ayuntamiento de </w:t>
      </w:r>
      <w:r w:rsidR="009D59E9" w:rsidRPr="00BC1557">
        <w:rPr>
          <w:color w:val="000000"/>
        </w:rPr>
        <w:t>Ixtapan de la Sal</w:t>
      </w:r>
      <w:r w:rsidRPr="00BC1557">
        <w:rPr>
          <w:color w:val="000000"/>
        </w:rPr>
        <w:t xml:space="preserve"> 2025-2027</w:t>
      </w:r>
      <w:r w:rsidRPr="00BC1557">
        <w:rPr>
          <w:i/>
          <w:color w:val="000000"/>
        </w:rPr>
        <w:t>,</w:t>
      </w:r>
      <w:r w:rsidRPr="00BC1557">
        <w:rPr>
          <w:color w:val="000000"/>
        </w:rPr>
        <w:t xml:space="preserve"> de fecha </w:t>
      </w:r>
      <w:r w:rsidR="009D59E9" w:rsidRPr="00BC1557">
        <w:rPr>
          <w:color w:val="000000"/>
        </w:rPr>
        <w:t>4</w:t>
      </w:r>
      <w:r w:rsidRPr="00BC1557">
        <w:rPr>
          <w:color w:val="000000"/>
        </w:rPr>
        <w:t xml:space="preserve"> de abril del año en curso, en el que se señala lo siguiente:</w:t>
      </w:r>
    </w:p>
    <w:p w14:paraId="1F00523A" w14:textId="55B46710" w:rsidR="001D10C1" w:rsidRPr="00BC1557" w:rsidRDefault="009D59E9">
      <w:pPr>
        <w:spacing w:after="0" w:line="360" w:lineRule="auto"/>
        <w:jc w:val="center"/>
      </w:pPr>
      <w:r w:rsidRPr="00BC1557">
        <w:rPr>
          <w:noProof/>
        </w:rPr>
        <w:lastRenderedPageBreak/>
        <w:drawing>
          <wp:inline distT="0" distB="0" distL="0" distR="0" wp14:anchorId="6001EAB8" wp14:editId="2A212C7C">
            <wp:extent cx="4991100" cy="4419600"/>
            <wp:effectExtent l="0" t="0" r="0" b="0"/>
            <wp:docPr id="6531775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4419600"/>
                    </a:xfrm>
                    <a:prstGeom prst="rect">
                      <a:avLst/>
                    </a:prstGeom>
                    <a:noFill/>
                    <a:ln>
                      <a:noFill/>
                    </a:ln>
                  </pic:spPr>
                </pic:pic>
              </a:graphicData>
            </a:graphic>
          </wp:inline>
        </w:drawing>
      </w:r>
    </w:p>
    <w:p w14:paraId="6A5F3836" w14:textId="77777777" w:rsidR="001D10C1" w:rsidRPr="00BC1557" w:rsidRDefault="001D10C1">
      <w:pPr>
        <w:spacing w:after="0" w:line="360" w:lineRule="auto"/>
        <w:jc w:val="center"/>
      </w:pPr>
    </w:p>
    <w:p w14:paraId="27DCD0B1" w14:textId="3C5D46B0" w:rsidR="001D10C1" w:rsidRPr="00BC1557" w:rsidRDefault="001E39D7">
      <w:pPr>
        <w:spacing w:after="0" w:line="360" w:lineRule="auto"/>
      </w:pPr>
      <w:r w:rsidRPr="00BC1557">
        <w:t>Derivado de lo anterior, se advierte que el convenio al que hace referencia la persona Recurrente, se celebró entre el Sujeto Obligado, la Secretaría de Movilidad y diversos entes municipales, es decir que se trata de información que implica la participación de diversas autoridades</w:t>
      </w:r>
      <w:r w:rsidR="009D59E9" w:rsidRPr="00BC1557">
        <w:t xml:space="preserve">; por lo que el Ayuntamiento al suscribirlo debe de </w:t>
      </w:r>
      <w:r w:rsidRPr="00BC1557">
        <w:t xml:space="preserve">conocer del mismo. </w:t>
      </w:r>
    </w:p>
    <w:p w14:paraId="5D3EEE7D" w14:textId="77777777" w:rsidR="001D10C1" w:rsidRPr="00BC1557" w:rsidRDefault="001D10C1">
      <w:pPr>
        <w:spacing w:after="0" w:line="360" w:lineRule="auto"/>
      </w:pPr>
    </w:p>
    <w:p w14:paraId="52502998" w14:textId="1EFCC55B" w:rsidR="001D10C1" w:rsidRPr="00BC1557" w:rsidRDefault="001E39D7">
      <w:pPr>
        <w:spacing w:after="0" w:line="360" w:lineRule="auto"/>
      </w:pPr>
      <w:r w:rsidRPr="00BC1557">
        <w:rPr>
          <w:color w:val="000000"/>
        </w:rPr>
        <w:t xml:space="preserve">Así, se procede analizar la información proporcionada por el Sujeto Obligado, para lo cual, cabe señalar que este dio respuesta </w:t>
      </w:r>
      <w:r w:rsidR="009D59E9" w:rsidRPr="00BC1557">
        <w:rPr>
          <w:color w:val="000000"/>
        </w:rPr>
        <w:t>la oficina de</w:t>
      </w:r>
      <w:r w:rsidRPr="00BC1557">
        <w:t xml:space="preserve"> la Presidencia Municipal</w:t>
      </w:r>
      <w:r w:rsidR="00C57844" w:rsidRPr="00BC1557">
        <w:t xml:space="preserve"> (pues si bien se pronunció la Secretaría Técnica, esta forma parte del área mencionada)</w:t>
      </w:r>
      <w:r w:rsidRPr="00BC1557">
        <w:rPr>
          <w:color w:val="000000"/>
        </w:rPr>
        <w:t xml:space="preserve">; por lo que, </w:t>
      </w:r>
      <w:r w:rsidRPr="00BC1557">
        <w:t xml:space="preserve">es oportuno hacer referencia al </w:t>
      </w:r>
      <w:r w:rsidRPr="00BC1557">
        <w:rPr>
          <w:b/>
        </w:rPr>
        <w:t>procedimiento de búsqueda que deben de seguir los Sujetos Obligados para localizar la información</w:t>
      </w:r>
      <w:r w:rsidRPr="00BC1557">
        <w:t xml:space="preserve">, el cual se encuentra previsto en el artículo 162 de la Ley de </w:t>
      </w:r>
      <w:r w:rsidRPr="00BC1557">
        <w:lastRenderedPageBreak/>
        <w:t>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1EC4B538" w14:textId="77777777" w:rsidR="009D59E9" w:rsidRPr="00BC1557" w:rsidRDefault="009D59E9">
      <w:pPr>
        <w:spacing w:after="0" w:line="360" w:lineRule="auto"/>
      </w:pPr>
    </w:p>
    <w:p w14:paraId="292127D8" w14:textId="235FDA3B" w:rsidR="001D10C1" w:rsidRPr="00BC1557" w:rsidRDefault="009D59E9" w:rsidP="00C57844">
      <w:pPr>
        <w:spacing w:after="0" w:line="360" w:lineRule="auto"/>
      </w:pPr>
      <w:r w:rsidRPr="00BC1557">
        <w:t xml:space="preserve">Al respecto, conforme al Manual General de Organización de la Administración Pública del Municipio de Tenancingo, la Presidencia Municipal contará con diversas unidades administrativas para el ejercicio de sus funciones, entre las cuales se encuentra la Secretaría </w:t>
      </w:r>
      <w:r w:rsidR="00C57844" w:rsidRPr="00BC1557">
        <w:t>Particular encargada de conocer de la celebración de contratos y convenios, así como el seguimiento de los mismos; por lo que, se logra vislumbrar que el Sujeto Obligado cumplió con el procedimiento de búsqueda.</w:t>
      </w:r>
    </w:p>
    <w:p w14:paraId="780255F8" w14:textId="77777777" w:rsidR="001D10C1" w:rsidRPr="00BC1557" w:rsidRDefault="001D10C1">
      <w:pPr>
        <w:spacing w:after="0" w:line="360" w:lineRule="auto"/>
      </w:pPr>
    </w:p>
    <w:p w14:paraId="0CA8F665" w14:textId="1E58A967" w:rsidR="001D10C1" w:rsidRPr="00BC1557" w:rsidRDefault="001E39D7">
      <w:pPr>
        <w:spacing w:after="0" w:line="360" w:lineRule="auto"/>
      </w:pPr>
      <w:r w:rsidRPr="00BC1557">
        <w:t xml:space="preserve">En este contexto, resulta trascendente mencionar que el Sujeto Obligado mediante </w:t>
      </w:r>
      <w:r w:rsidRPr="00BC1557">
        <w:rPr>
          <w:b/>
        </w:rPr>
        <w:t>respuesta</w:t>
      </w:r>
      <w:r w:rsidRPr="00BC1557">
        <w:t xml:space="preserve"> indicó que la información requerida se </w:t>
      </w:r>
      <w:r w:rsidR="00C57844" w:rsidRPr="00BC1557">
        <w:t>encontraba en proceso de formalización de las partes, lo cual se traduce que estaba firmado por las partes que lo integraron</w:t>
      </w:r>
      <w:r w:rsidRPr="00BC1557">
        <w:t>, ello, en virtud de que se trata</w:t>
      </w:r>
      <w:r w:rsidR="00C57844" w:rsidRPr="00BC1557">
        <w:t xml:space="preserve">ba </w:t>
      </w:r>
      <w:r w:rsidRPr="00BC1557">
        <w:t>de un convenio intermunicipal, por lo que no era posible hacer entrega de la información</w:t>
      </w:r>
      <w:r w:rsidR="00C57844" w:rsidRPr="00BC1557">
        <w:t>, al no obrar en sus archivos.</w:t>
      </w:r>
    </w:p>
    <w:p w14:paraId="4901385D" w14:textId="77777777" w:rsidR="001D10C1" w:rsidRPr="00BC1557" w:rsidRDefault="001D10C1">
      <w:pPr>
        <w:spacing w:after="0" w:line="360" w:lineRule="auto"/>
      </w:pPr>
    </w:p>
    <w:p w14:paraId="154EACD3" w14:textId="0CD58D43" w:rsidR="00C57844" w:rsidRPr="00BC1557" w:rsidRDefault="00C57844" w:rsidP="00C57844">
      <w:pPr>
        <w:widowControl w:val="0"/>
        <w:spacing w:after="0" w:line="360" w:lineRule="auto"/>
        <w:rPr>
          <w:lang w:val="es-ES"/>
        </w:rPr>
      </w:pPr>
      <w:r w:rsidRPr="00BC1557">
        <w:rPr>
          <w:rFonts w:eastAsia="Calibri" w:cs="Tahoma"/>
          <w:bCs/>
        </w:rPr>
        <w:t>Sobre el tema</w:t>
      </w:r>
      <w:r w:rsidRPr="00BC1557">
        <w:rPr>
          <w:rFonts w:eastAsia="Times New Roman" w:cs="Tahoma"/>
          <w:bCs/>
          <w:lang w:eastAsia="es-ES"/>
        </w:rPr>
        <w:t xml:space="preserve">, resulta necesario traer a colación el </w:t>
      </w:r>
      <w:r w:rsidRPr="00BC1557">
        <w:rPr>
          <w:rFonts w:eastAsia="Calibri" w:cs="Tahoma"/>
          <w:bCs/>
          <w:lang w:val="es-ES"/>
        </w:rPr>
        <w:t>Criterio de Interpretación</w:t>
      </w:r>
      <w:r w:rsidRPr="00BC1557">
        <w:rPr>
          <w:rFonts w:eastAsia="Calibri" w:cs="Tahoma"/>
          <w:bCs/>
          <w:lang w:val="x-none"/>
        </w:rPr>
        <w:t xml:space="preserve">, con clave de control SO/016/2023, de la Tercera </w:t>
      </w:r>
      <w:r w:rsidRPr="00BC1557">
        <w:rPr>
          <w:rFonts w:eastAsia="Calibri" w:cs="Tahoma"/>
          <w:bCs/>
          <w:lang w:val="es-ES_tradnl"/>
        </w:rPr>
        <w:t>Época,</w:t>
      </w:r>
      <w:r w:rsidRPr="00BC1557">
        <w:rPr>
          <w:rFonts w:eastAsia="Calibri" w:cs="Tahoma"/>
          <w:bCs/>
          <w:lang w:val="x-none"/>
        </w:rPr>
        <w:t xml:space="preserve"> </w:t>
      </w:r>
      <w:r w:rsidRPr="00BC1557">
        <w:rPr>
          <w:rFonts w:eastAsia="Calibri" w:cs="Tahoma"/>
          <w:bCs/>
          <w:lang w:val="es-ES"/>
        </w:rPr>
        <w:t>emitido por el Instituto Nacional de Transparencia, Acceso a la Información y Protección de Datos Personales</w:t>
      </w:r>
      <w:r w:rsidRPr="00BC1557">
        <w:rPr>
          <w:rFonts w:eastAsia="Times New Roman" w:cs="Tahoma"/>
          <w:lang w:eastAsia="es-ES"/>
        </w:rPr>
        <w:t xml:space="preserve">, que establece que cuando un documento, sea producto de un proceso, este será inexistente hasta en tanto, no concluya su emisión. Además, es de señalar que conforme al artículo 1.8, fracción VI, del Código Administrativo del Estado de México, que precisa que para que tenga validez un acto administrativo, deberá contener la firma autógrafa de los servidores públicos que lo emanen. </w:t>
      </w:r>
    </w:p>
    <w:p w14:paraId="0648C631" w14:textId="77777777" w:rsidR="00C57844" w:rsidRPr="00BC1557" w:rsidRDefault="00C57844" w:rsidP="00C57844">
      <w:pPr>
        <w:spacing w:after="0" w:line="360" w:lineRule="auto"/>
        <w:rPr>
          <w:rFonts w:eastAsia="Times New Roman" w:cs="Tahoma"/>
          <w:lang w:eastAsia="es-ES"/>
        </w:rPr>
      </w:pPr>
    </w:p>
    <w:p w14:paraId="35CF889A" w14:textId="77777777" w:rsidR="00C57844" w:rsidRPr="00BC1557" w:rsidRDefault="00C57844" w:rsidP="00C57844">
      <w:pPr>
        <w:spacing w:after="0" w:line="360" w:lineRule="auto"/>
        <w:rPr>
          <w:color w:val="000000"/>
        </w:rPr>
      </w:pPr>
      <w:r w:rsidRPr="00BC1557">
        <w:lastRenderedPageBreak/>
        <w:t xml:space="preserve">Sobre el tema, el Criterio orientador, con clave de control SO/014/2017, emitido por el entonces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14:paraId="75B83A0F" w14:textId="77777777" w:rsidR="00C57844" w:rsidRPr="00BC1557" w:rsidRDefault="00C57844" w:rsidP="00C57844">
      <w:pPr>
        <w:spacing w:after="0" w:line="360" w:lineRule="auto"/>
      </w:pPr>
    </w:p>
    <w:p w14:paraId="3798418B" w14:textId="77777777" w:rsidR="00C57844" w:rsidRPr="00BC1557" w:rsidRDefault="00C57844" w:rsidP="00C57844">
      <w:pPr>
        <w:spacing w:after="0" w:line="360" w:lineRule="auto"/>
      </w:pPr>
      <w:r w:rsidRPr="00BC1557">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7174125" w14:textId="77777777" w:rsidR="00C57844" w:rsidRPr="00BC1557" w:rsidRDefault="00C57844" w:rsidP="00C57844">
      <w:pPr>
        <w:spacing w:after="0" w:line="360" w:lineRule="auto"/>
      </w:pPr>
    </w:p>
    <w:p w14:paraId="022B0582" w14:textId="77777777" w:rsidR="00C57844" w:rsidRPr="00BC1557" w:rsidRDefault="00C57844" w:rsidP="00C57844">
      <w:pPr>
        <w:spacing w:after="0" w:line="360" w:lineRule="auto"/>
      </w:pPr>
      <w:r w:rsidRPr="00BC1557">
        <w:t xml:space="preserve">Así, es posible concluir que la </w:t>
      </w:r>
      <w:r w:rsidRPr="00BC1557">
        <w:rPr>
          <w:b/>
        </w:rPr>
        <w:t>inexistencia</w:t>
      </w:r>
      <w:r w:rsidRPr="00BC1557">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6502585" w14:textId="77777777" w:rsidR="00C57844" w:rsidRPr="00BC1557" w:rsidRDefault="00C57844">
      <w:pPr>
        <w:spacing w:after="0" w:line="360" w:lineRule="auto"/>
      </w:pPr>
    </w:p>
    <w:p w14:paraId="4EDC200D" w14:textId="00D2C8CC" w:rsidR="001D10C1" w:rsidRPr="00BC1557" w:rsidRDefault="001E39D7">
      <w:pPr>
        <w:spacing w:after="0" w:line="360" w:lineRule="auto"/>
      </w:pPr>
      <w:r w:rsidRPr="00BC1557">
        <w:t xml:space="preserve">En este sentido, es menester destacar </w:t>
      </w:r>
      <w:r w:rsidR="00C57844" w:rsidRPr="00BC1557">
        <w:t>que,</w:t>
      </w:r>
      <w:r w:rsidRPr="00BC1557">
        <w:t xml:space="preserve"> de las publicaciones localizadas por este Organismo Garante, se advierte la participación de la Secretaría de Movilidad y de 11 municipios más, incluyendo al Sujeto Obligado, por lo que se aprecia que diversos entes públicos participaron y forman parte del convenio requerido</w:t>
      </w:r>
      <w:r w:rsidR="00C57844" w:rsidRPr="00BC1557">
        <w:t>.</w:t>
      </w:r>
    </w:p>
    <w:p w14:paraId="6DC66B83" w14:textId="77777777" w:rsidR="001D10C1" w:rsidRPr="00BC1557" w:rsidRDefault="001D10C1">
      <w:pPr>
        <w:spacing w:after="0" w:line="360" w:lineRule="auto"/>
      </w:pPr>
    </w:p>
    <w:p w14:paraId="0E489333" w14:textId="1A64139F" w:rsidR="00C57844" w:rsidRPr="00BC1557" w:rsidRDefault="001E39D7">
      <w:pPr>
        <w:spacing w:after="0" w:line="360" w:lineRule="auto"/>
      </w:pPr>
      <w:r w:rsidRPr="00BC1557">
        <w:t xml:space="preserve">En este sentido, destaca también de las publicaciones, que al evento asistieron Titulares de Presidencias Municipales y otras autoridades municipales, por lo que, no se cuenta con completa certeza de que, al evento de firma al que hace alusión la parte Recurrente, se encontraran presentes todas las personas que cuentan con la capacidad y legitimidad legal para suscribir el convenio, o bien, en algunos casos, que las autoridades municipales, hayan </w:t>
      </w:r>
      <w:r w:rsidRPr="00BC1557">
        <w:lastRenderedPageBreak/>
        <w:t>participado en representación del Titular de la Presidencia Municipal</w:t>
      </w:r>
      <w:r w:rsidR="00C57844" w:rsidRPr="00BC1557">
        <w:t>; de ahí que el documento necesitará la revisión y firma de los participantes.</w:t>
      </w:r>
    </w:p>
    <w:p w14:paraId="6D628DC9" w14:textId="77777777" w:rsidR="00C57844" w:rsidRPr="00BC1557" w:rsidRDefault="00C57844">
      <w:pPr>
        <w:spacing w:after="0" w:line="360" w:lineRule="auto"/>
      </w:pPr>
    </w:p>
    <w:p w14:paraId="0C6177A7" w14:textId="5C5C7E11" w:rsidR="001D10C1" w:rsidRPr="00BC1557" w:rsidRDefault="00C57844">
      <w:pPr>
        <w:spacing w:after="0" w:line="360" w:lineRule="auto"/>
      </w:pPr>
      <w:r w:rsidRPr="00BC1557">
        <w:t>Además, este Organismo Garante procedió a revisar el IPOMEX tanto del Sujeto Obligado</w:t>
      </w:r>
      <w:r w:rsidR="00B606FC" w:rsidRPr="00BC1557">
        <w:t>, de Ixtapan de la Sal,</w:t>
      </w:r>
      <w:r w:rsidRPr="00BC1557">
        <w:t xml:space="preserve"> como de la Secretaría de Movilidad, con la intención de localizar el convenio en cuestión, sin embargo, de los registros correspondientes al año en curso, no se advierte el convenio identificado en la solicitud de información, lo que refuerza que dicho documento aún no ha sido publicado, dado que aún se encuentre en proceso de firma.</w:t>
      </w:r>
    </w:p>
    <w:p w14:paraId="1237F8F8" w14:textId="77777777" w:rsidR="001D10C1" w:rsidRPr="00BC1557" w:rsidRDefault="001D10C1">
      <w:pPr>
        <w:spacing w:after="0" w:line="360" w:lineRule="auto"/>
      </w:pPr>
    </w:p>
    <w:p w14:paraId="0856F785" w14:textId="4F2C47D5" w:rsidR="001D10C1" w:rsidRPr="00BC1557" w:rsidRDefault="001E39D7">
      <w:pPr>
        <w:spacing w:after="0" w:line="360" w:lineRule="auto"/>
      </w:pPr>
      <w:r w:rsidRPr="00BC1557">
        <w:t>Así pues, se aprecian elementos suficientes para considerar que el Sujeto Obligado no está en posibilidades de la entrega del documento, dado que no obra en sus archivos, porque, a la fecha de la solicitud se encontraba en proceso de firma de las personas que participaron,</w:t>
      </w:r>
      <w:r w:rsidR="00B606FC" w:rsidRPr="00BC1557">
        <w:t xml:space="preserve"> y,</w:t>
      </w:r>
      <w:r w:rsidRPr="00BC1557">
        <w:t xml:space="preserve"> por tanto, nos encontramos ante la inexistencia de la información. </w:t>
      </w:r>
    </w:p>
    <w:p w14:paraId="131FBBFE" w14:textId="77777777" w:rsidR="001D10C1" w:rsidRPr="00BC1557" w:rsidRDefault="001D10C1">
      <w:pPr>
        <w:spacing w:after="0" w:line="360" w:lineRule="auto"/>
      </w:pPr>
    </w:p>
    <w:p w14:paraId="437BB153" w14:textId="77777777" w:rsidR="001D10C1" w:rsidRPr="00BC1557" w:rsidRDefault="001E39D7">
      <w:pPr>
        <w:spacing w:after="0" w:line="360" w:lineRule="auto"/>
        <w:rPr>
          <w:color w:val="000000"/>
        </w:rPr>
      </w:pPr>
      <w:r w:rsidRPr="00BC1557">
        <w:t>En ese sentido</w:t>
      </w:r>
      <w:r w:rsidRPr="00BC1557">
        <w:rPr>
          <w:color w:val="000000"/>
        </w:rPr>
        <w:t>,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7B4EA3E0" w14:textId="77777777" w:rsidR="001D10C1" w:rsidRPr="00BC1557" w:rsidRDefault="001D10C1">
      <w:pPr>
        <w:spacing w:after="0" w:line="360" w:lineRule="auto"/>
        <w:rPr>
          <w:color w:val="000000"/>
        </w:rPr>
      </w:pPr>
    </w:p>
    <w:p w14:paraId="12F1C9B4" w14:textId="77777777" w:rsidR="001D10C1" w:rsidRPr="00BC1557" w:rsidRDefault="001E39D7">
      <w:pPr>
        <w:spacing w:after="0" w:line="360" w:lineRule="auto"/>
        <w:rPr>
          <w:color w:val="000000"/>
        </w:rPr>
      </w:pPr>
      <w:r w:rsidRPr="00BC1557">
        <w:rPr>
          <w:color w:val="000000"/>
        </w:rPr>
        <w:t xml:space="preserve">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w:t>
      </w:r>
      <w:r w:rsidRPr="00BC1557">
        <w:rPr>
          <w:color w:val="000000"/>
        </w:rPr>
        <w:lastRenderedPageBreak/>
        <w:t xml:space="preserve">desprenda obligación alguna de contar con la información solicitada, ni se advierta algún otro elemento de convicción que </w:t>
      </w:r>
      <w:r w:rsidRPr="00BC1557">
        <w:t>apuntó</w:t>
      </w:r>
      <w:r w:rsidRPr="00BC1557">
        <w:rPr>
          <w:color w:val="000000"/>
        </w:rPr>
        <w:t xml:space="preserve"> a su existencia.</w:t>
      </w:r>
    </w:p>
    <w:p w14:paraId="60D3C5A5" w14:textId="77777777" w:rsidR="001D10C1" w:rsidRPr="00BC1557" w:rsidRDefault="001D10C1">
      <w:pPr>
        <w:spacing w:after="0" w:line="360" w:lineRule="auto"/>
        <w:rPr>
          <w:color w:val="000000"/>
        </w:rPr>
      </w:pPr>
    </w:p>
    <w:p w14:paraId="3752412E" w14:textId="49D880BF" w:rsidR="001D10C1" w:rsidRPr="00BC1557" w:rsidRDefault="001E39D7">
      <w:pPr>
        <w:spacing w:after="0" w:line="360" w:lineRule="auto"/>
        <w:rPr>
          <w:color w:val="000000"/>
        </w:rPr>
      </w:pPr>
      <w:r w:rsidRPr="00BC1557">
        <w:rPr>
          <w:color w:val="000000"/>
        </w:rPr>
        <w:t>Al respecto, dicho criterio aplica al caso en concreto, ya que, no se localizó algún indicio de que el Sujeto Obligado cuente con la información requerida</w:t>
      </w:r>
      <w:r w:rsidR="00B606FC" w:rsidRPr="00BC1557">
        <w:rPr>
          <w:color w:val="000000"/>
        </w:rPr>
        <w:t>, ya que al no existir el documento final, no obra en sus archivos</w:t>
      </w:r>
      <w:r w:rsidRPr="00BC1557">
        <w:rPr>
          <w:color w:val="000000"/>
        </w:rPr>
        <w:t>;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699B4D50" w14:textId="77777777" w:rsidR="001D10C1" w:rsidRPr="00BC1557" w:rsidRDefault="001D10C1">
      <w:pPr>
        <w:spacing w:after="0" w:line="360" w:lineRule="auto"/>
      </w:pPr>
    </w:p>
    <w:p w14:paraId="05F1DA78" w14:textId="7FD71995" w:rsidR="001D10C1" w:rsidRPr="00BC1557" w:rsidRDefault="001E39D7">
      <w:pPr>
        <w:tabs>
          <w:tab w:val="left" w:pos="3962"/>
        </w:tabs>
        <w:spacing w:after="0" w:line="360" w:lineRule="auto"/>
      </w:pPr>
      <w:r w:rsidRPr="00BC1557">
        <w:t xml:space="preserve">Así, se concluye que, el Sujeto Obligado indicó debidamente que no cuenta con la información y explicó las razones por las que no cuenta con la misma, cabe precisar que si bien tuvo lugar un acto protocolario de la firma del convenio, lo cierto es, pudo requerir de la firma de algunas personas que no se encontraban presentes, así al encontrarse el documento en firma, se aprecia que aún no cuenta con el documento definitivo y no se localizaron elementos suficientes que permitan advertir que ya se emitió el documento definitivo; por lo que, se considera que el agravio es </w:t>
      </w:r>
      <w:r w:rsidRPr="00BC1557">
        <w:rPr>
          <w:b/>
        </w:rPr>
        <w:t>INFUNDADO</w:t>
      </w:r>
      <w:r w:rsidR="00B606FC" w:rsidRPr="00BC1557">
        <w:rPr>
          <w:b/>
        </w:rPr>
        <w:t>.</w:t>
      </w:r>
    </w:p>
    <w:p w14:paraId="5EBFEFB3" w14:textId="0699D7D7" w:rsidR="001D10C1" w:rsidRPr="00BC1557" w:rsidRDefault="001E39D7" w:rsidP="00B606FC">
      <w:pPr>
        <w:spacing w:after="0" w:line="360" w:lineRule="auto"/>
        <w:rPr>
          <w:b/>
        </w:rPr>
      </w:pPr>
      <w:r w:rsidRPr="00BC1557">
        <w:br/>
      </w:r>
      <w:bookmarkStart w:id="26" w:name="_heading=h.f9qjwl8a7kk8" w:colFirst="0" w:colLast="0"/>
      <w:bookmarkEnd w:id="26"/>
      <w:r w:rsidRPr="00BC1557">
        <w:rPr>
          <w:b/>
        </w:rPr>
        <w:t>SEXTO. Decisión</w:t>
      </w:r>
    </w:p>
    <w:p w14:paraId="045B9A52" w14:textId="77777777" w:rsidR="001D10C1" w:rsidRPr="00BC1557" w:rsidRDefault="001D10C1">
      <w:pPr>
        <w:spacing w:after="0" w:line="360" w:lineRule="auto"/>
        <w:rPr>
          <w:b/>
        </w:rPr>
      </w:pPr>
    </w:p>
    <w:p w14:paraId="493BEBAB" w14:textId="77777777" w:rsidR="001D10C1" w:rsidRPr="00BC1557" w:rsidRDefault="001E39D7">
      <w:pPr>
        <w:tabs>
          <w:tab w:val="left" w:pos="4962"/>
        </w:tabs>
        <w:spacing w:after="0" w:line="360" w:lineRule="auto"/>
      </w:pPr>
      <w:r w:rsidRPr="00BC1557">
        <w:t xml:space="preserve">Con fundamento en el artículo 186, fracción II, de la Ley de Transparencia y Acceso a la Información Pública del Estado de México y Municipios, este Instituto considera procedente </w:t>
      </w:r>
      <w:r w:rsidRPr="00BC1557">
        <w:rPr>
          <w:b/>
        </w:rPr>
        <w:t xml:space="preserve">CONFIRMAR </w:t>
      </w:r>
      <w:r w:rsidRPr="00BC1557">
        <w:t xml:space="preserve">la respuesta otorgada por el Sujeto Obligado. </w:t>
      </w:r>
    </w:p>
    <w:p w14:paraId="1ACCDB96" w14:textId="77777777" w:rsidR="001D10C1" w:rsidRPr="00BC1557" w:rsidRDefault="001D10C1">
      <w:pPr>
        <w:spacing w:after="0" w:line="360" w:lineRule="auto"/>
      </w:pPr>
    </w:p>
    <w:p w14:paraId="4010C283" w14:textId="77777777" w:rsidR="001D10C1" w:rsidRPr="00BC1557" w:rsidRDefault="001E39D7">
      <w:pPr>
        <w:spacing w:after="0" w:line="360" w:lineRule="auto"/>
        <w:rPr>
          <w:b/>
          <w:u w:val="single"/>
        </w:rPr>
      </w:pPr>
      <w:r w:rsidRPr="00BC1557">
        <w:rPr>
          <w:b/>
          <w:u w:val="single"/>
        </w:rPr>
        <w:t>Términos de la Resolución para la parte Recurrente:</w:t>
      </w:r>
    </w:p>
    <w:p w14:paraId="5E02FE32" w14:textId="77777777" w:rsidR="001D10C1" w:rsidRPr="00BC1557" w:rsidRDefault="001D10C1">
      <w:pPr>
        <w:spacing w:after="0" w:line="360" w:lineRule="auto"/>
        <w:rPr>
          <w:u w:val="single"/>
        </w:rPr>
      </w:pPr>
    </w:p>
    <w:p w14:paraId="33DE9F81" w14:textId="77777777" w:rsidR="001D10C1" w:rsidRPr="00BC1557" w:rsidRDefault="001E39D7">
      <w:pPr>
        <w:spacing w:after="0" w:line="360" w:lineRule="auto"/>
        <w:rPr>
          <w:u w:val="single"/>
        </w:rPr>
      </w:pPr>
      <w:r w:rsidRPr="00BC1557">
        <w:rPr>
          <w:u w:val="single"/>
        </w:rPr>
        <w:t xml:space="preserve">Se hace del conocimiento de parte Recurrente que este Organismo Garante determinó confirmar la respuesta, en virtud de que, desde respuesta el Sujeto Obligado manifestó que no cuenta con </w:t>
      </w:r>
      <w:r w:rsidRPr="00BC1557">
        <w:rPr>
          <w:u w:val="single"/>
        </w:rPr>
        <w:lastRenderedPageBreak/>
        <w:t xml:space="preserve">el documento puesto que se encuentra en firma, al respecto, se aprecia que el convenio involucra a diversas autoridades y no se localizó ningún indició para considerar que pudiera haberse emitido el documento definitivo. </w:t>
      </w:r>
    </w:p>
    <w:p w14:paraId="7E99DB72" w14:textId="77777777" w:rsidR="001D10C1" w:rsidRPr="00BC1557" w:rsidRDefault="001D10C1">
      <w:pPr>
        <w:spacing w:after="0" w:line="360" w:lineRule="auto"/>
        <w:rPr>
          <w:u w:val="single"/>
        </w:rPr>
      </w:pPr>
    </w:p>
    <w:p w14:paraId="6F849E78" w14:textId="77777777" w:rsidR="001D10C1" w:rsidRPr="00BC1557" w:rsidRDefault="001E39D7">
      <w:pPr>
        <w:spacing w:after="0" w:line="360" w:lineRule="auto"/>
        <w:rPr>
          <w:u w:val="single"/>
        </w:rPr>
      </w:pPr>
      <w:r w:rsidRPr="00BC1557">
        <w:rPr>
          <w:u w:val="single"/>
        </w:rPr>
        <w:t>Se dejan a salvo los derechos de la parte Recurrente, para volver a solicitar la información con una fecha reciente, o bien realizarlo ante la Secretaría de Movilidad o cualquier otro entre que participó en el acto, mediante una nueva solicitud de información vía SAIMEX.</w:t>
      </w:r>
    </w:p>
    <w:p w14:paraId="4DC05DC0" w14:textId="77777777" w:rsidR="001D10C1" w:rsidRPr="00BC1557" w:rsidRDefault="001D10C1">
      <w:pPr>
        <w:spacing w:after="0" w:line="360" w:lineRule="auto"/>
        <w:rPr>
          <w:u w:val="single"/>
        </w:rPr>
      </w:pPr>
    </w:p>
    <w:p w14:paraId="67D967D6" w14:textId="77777777" w:rsidR="001D10C1" w:rsidRPr="00BC1557" w:rsidRDefault="001E39D7">
      <w:pPr>
        <w:spacing w:after="0" w:line="360" w:lineRule="auto"/>
        <w:rPr>
          <w:u w:val="single"/>
        </w:rPr>
      </w:pPr>
      <w:r w:rsidRPr="00BC1557">
        <w:rPr>
          <w:u w:val="single"/>
        </w:rPr>
        <w:t>La labor del INFOEM, es apoyar a la población para acceder a la información pública y garantizar la protección de sus datos personales.</w:t>
      </w:r>
    </w:p>
    <w:p w14:paraId="1A717BD3" w14:textId="77777777" w:rsidR="001D10C1" w:rsidRPr="00BC1557" w:rsidRDefault="001D10C1">
      <w:pPr>
        <w:spacing w:after="0" w:line="360" w:lineRule="auto"/>
        <w:rPr>
          <w:u w:val="single"/>
        </w:rPr>
      </w:pPr>
    </w:p>
    <w:p w14:paraId="0EA80387" w14:textId="77777777" w:rsidR="001D10C1" w:rsidRPr="00BC1557" w:rsidRDefault="001E39D7">
      <w:pPr>
        <w:pStyle w:val="Ttulo1"/>
        <w:spacing w:before="0" w:after="0"/>
        <w:rPr>
          <w:b w:val="0"/>
          <w:sz w:val="22"/>
          <w:szCs w:val="22"/>
        </w:rPr>
      </w:pPr>
      <w:bookmarkStart w:id="27" w:name="_heading=h.gycqb1h2vslt" w:colFirst="0" w:colLast="0"/>
      <w:bookmarkStart w:id="28" w:name="_Toc207290466"/>
      <w:bookmarkEnd w:id="27"/>
      <w:r w:rsidRPr="00BC1557">
        <w:rPr>
          <w:sz w:val="22"/>
          <w:szCs w:val="22"/>
        </w:rPr>
        <w:t>R E S U E L V E</w:t>
      </w:r>
      <w:bookmarkEnd w:id="28"/>
    </w:p>
    <w:p w14:paraId="5E9C1C85" w14:textId="77777777" w:rsidR="001D10C1" w:rsidRPr="00BC1557" w:rsidRDefault="001D10C1">
      <w:pPr>
        <w:spacing w:after="0" w:line="360" w:lineRule="auto"/>
        <w:rPr>
          <w:b/>
        </w:rPr>
      </w:pPr>
    </w:p>
    <w:p w14:paraId="25FF094A" w14:textId="77777777" w:rsidR="001D10C1" w:rsidRPr="00BC1557" w:rsidRDefault="001E39D7">
      <w:pPr>
        <w:tabs>
          <w:tab w:val="left" w:pos="4962"/>
        </w:tabs>
        <w:spacing w:after="0" w:line="360" w:lineRule="auto"/>
      </w:pPr>
      <w:r w:rsidRPr="00BC1557">
        <w:rPr>
          <w:b/>
        </w:rPr>
        <w:t>PRIMERO.</w:t>
      </w:r>
      <w:r w:rsidRPr="00BC1557">
        <w:t xml:space="preserve"> Se </w:t>
      </w:r>
      <w:r w:rsidRPr="00BC1557">
        <w:rPr>
          <w:b/>
        </w:rPr>
        <w:t xml:space="preserve">CONFIRMA </w:t>
      </w:r>
      <w:r w:rsidRPr="00BC1557">
        <w:t xml:space="preserve">la respuesta entregada por el Sujeto Obligado a la solicitud de acceso a la información con número de folio </w:t>
      </w:r>
      <w:r w:rsidRPr="00BC1557">
        <w:rPr>
          <w:bCs/>
        </w:rPr>
        <w:t>00387/TENANCIN/IP/2025,</w:t>
      </w:r>
      <w:r w:rsidRPr="00BC1557">
        <w:t xml:space="preserve"> por resultar </w:t>
      </w:r>
      <w:r w:rsidRPr="00BC1557">
        <w:rPr>
          <w:b/>
        </w:rPr>
        <w:t>INFUNDADAS</w:t>
      </w:r>
      <w:r w:rsidRPr="00BC1557">
        <w:t xml:space="preserve"> las razones o motivos de inconformidad hechas valer por la persona Recurrente, en términos de los Considerandos QUINTO y SEXTO de esta Resolución.</w:t>
      </w:r>
    </w:p>
    <w:p w14:paraId="44140FBC" w14:textId="77777777" w:rsidR="001D10C1" w:rsidRPr="00BC1557" w:rsidRDefault="001D10C1">
      <w:pPr>
        <w:spacing w:after="0" w:line="360" w:lineRule="auto"/>
      </w:pPr>
    </w:p>
    <w:p w14:paraId="50AC6D72" w14:textId="77777777" w:rsidR="001D10C1" w:rsidRPr="00BC1557" w:rsidRDefault="001E39D7">
      <w:pPr>
        <w:tabs>
          <w:tab w:val="left" w:pos="4962"/>
        </w:tabs>
        <w:spacing w:after="0" w:line="360" w:lineRule="auto"/>
        <w:rPr>
          <w:b/>
        </w:rPr>
      </w:pPr>
      <w:bookmarkStart w:id="29" w:name="_heading=h.argy21qnkmhr" w:colFirst="0" w:colLast="0"/>
      <w:bookmarkEnd w:id="29"/>
      <w:r w:rsidRPr="00BC1557">
        <w:rPr>
          <w:b/>
        </w:rPr>
        <w:t xml:space="preserve">SEGUNDO. NOTIFÍQUESE POR SAIMEX </w:t>
      </w:r>
      <w:r w:rsidRPr="00BC1557">
        <w:t>la presente Resolución, al Titular de la Unidad de Transparencia del Sujeto Obligado.</w:t>
      </w:r>
    </w:p>
    <w:p w14:paraId="01EF9991" w14:textId="77777777" w:rsidR="001D10C1" w:rsidRPr="00BC1557" w:rsidRDefault="001D10C1">
      <w:pPr>
        <w:tabs>
          <w:tab w:val="left" w:pos="4962"/>
        </w:tabs>
        <w:spacing w:after="0" w:line="360" w:lineRule="auto"/>
        <w:rPr>
          <w:b/>
          <w:i/>
        </w:rPr>
      </w:pPr>
    </w:p>
    <w:p w14:paraId="5FE2F969" w14:textId="77777777" w:rsidR="001D10C1" w:rsidRPr="00BC1557" w:rsidRDefault="001E39D7">
      <w:pPr>
        <w:tabs>
          <w:tab w:val="left" w:pos="4962"/>
        </w:tabs>
        <w:spacing w:after="0" w:line="360" w:lineRule="auto"/>
        <w:rPr>
          <w:b/>
        </w:rPr>
      </w:pPr>
      <w:r w:rsidRPr="00BC1557">
        <w:rPr>
          <w:b/>
        </w:rPr>
        <w:t xml:space="preserve">TERCERO. NOTIFÍQUESE POR SAIMEX </w:t>
      </w:r>
      <w:r w:rsidRPr="00BC1557">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18711A8" w14:textId="77777777" w:rsidR="001D10C1" w:rsidRPr="00BC1557" w:rsidRDefault="001D10C1">
      <w:pPr>
        <w:spacing w:after="0" w:line="360" w:lineRule="auto"/>
      </w:pPr>
    </w:p>
    <w:p w14:paraId="55BD22B6" w14:textId="0B8FA870" w:rsidR="001D10C1" w:rsidRDefault="001E39D7">
      <w:pPr>
        <w:spacing w:after="0" w:line="360" w:lineRule="auto"/>
      </w:pPr>
      <w:r w:rsidRPr="00BC1557">
        <w:lastRenderedPageBreak/>
        <w:t xml:space="preserve">ASÍ LO RESUELVE, POR </w:t>
      </w:r>
      <w:r w:rsidRPr="00BC1557">
        <w:rPr>
          <w:b/>
        </w:rPr>
        <w:t>UNANIMIDAD</w:t>
      </w:r>
      <w:r w:rsidRPr="00BC155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E00EAD">
        <w:t xml:space="preserve"> NORIEGA</w:t>
      </w:r>
      <w:r w:rsidRPr="00BC1557">
        <w:t xml:space="preserve"> Y GUADALUPE RAMÍREZ PEÑA, EN LA TRIGÉSIMA SESIÓN ORDINARIA, CELEBRADA EL VEINTISIETE DE AGOSTO DE DOS MIL VEINTICINCO, ANTE EL SECRETARIO TÉCNICO DEL PLENO, ALEXIS TAPIA RAMÍREZ.</w:t>
      </w:r>
    </w:p>
    <w:p w14:paraId="53E9814C" w14:textId="77777777" w:rsidR="001D10C1" w:rsidRDefault="001D10C1">
      <w:pPr>
        <w:pStyle w:val="Ttulo2"/>
        <w:spacing w:before="0" w:after="0"/>
        <w:rPr>
          <w:b w:val="0"/>
        </w:rPr>
      </w:pPr>
    </w:p>
    <w:p w14:paraId="40123101" w14:textId="77777777" w:rsidR="001D10C1" w:rsidRDefault="001D10C1">
      <w:pPr>
        <w:spacing w:after="0" w:line="360" w:lineRule="auto"/>
      </w:pPr>
    </w:p>
    <w:p w14:paraId="14EEB886" w14:textId="77777777" w:rsidR="001D10C1" w:rsidRDefault="001D10C1">
      <w:pPr>
        <w:spacing w:after="0" w:line="360" w:lineRule="auto"/>
      </w:pPr>
    </w:p>
    <w:p w14:paraId="2529B942" w14:textId="77777777" w:rsidR="001D10C1" w:rsidRDefault="001D10C1">
      <w:pPr>
        <w:spacing w:after="0" w:line="360" w:lineRule="auto"/>
      </w:pPr>
    </w:p>
    <w:p w14:paraId="4CB4E4E1" w14:textId="77777777" w:rsidR="001D10C1" w:rsidRDefault="001D10C1">
      <w:pPr>
        <w:spacing w:after="0" w:line="360" w:lineRule="auto"/>
      </w:pPr>
    </w:p>
    <w:p w14:paraId="52BD65A7" w14:textId="77777777" w:rsidR="001D10C1" w:rsidRDefault="001D10C1">
      <w:pPr>
        <w:spacing w:after="0" w:line="360" w:lineRule="auto"/>
      </w:pPr>
    </w:p>
    <w:p w14:paraId="46F1904F" w14:textId="77777777" w:rsidR="001D10C1" w:rsidRDefault="001D10C1">
      <w:pPr>
        <w:spacing w:after="0" w:line="360" w:lineRule="auto"/>
      </w:pPr>
    </w:p>
    <w:p w14:paraId="3C39FBF8" w14:textId="77777777" w:rsidR="001D10C1" w:rsidRDefault="001D10C1">
      <w:pPr>
        <w:spacing w:after="0" w:line="360" w:lineRule="auto"/>
      </w:pPr>
    </w:p>
    <w:p w14:paraId="178427B2" w14:textId="77777777" w:rsidR="001D10C1" w:rsidRDefault="001D10C1">
      <w:pPr>
        <w:spacing w:after="0" w:line="360" w:lineRule="auto"/>
      </w:pPr>
    </w:p>
    <w:p w14:paraId="43F39FE5" w14:textId="77777777" w:rsidR="001D10C1" w:rsidRDefault="001D10C1">
      <w:pPr>
        <w:spacing w:after="0" w:line="360" w:lineRule="auto"/>
      </w:pPr>
    </w:p>
    <w:p w14:paraId="7449F1ED" w14:textId="77777777" w:rsidR="001D10C1" w:rsidRDefault="001D10C1">
      <w:pPr>
        <w:spacing w:after="0" w:line="360" w:lineRule="auto"/>
      </w:pPr>
    </w:p>
    <w:p w14:paraId="53D2F3DA" w14:textId="77777777" w:rsidR="001D10C1" w:rsidRDefault="001D10C1">
      <w:pPr>
        <w:spacing w:after="0" w:line="360" w:lineRule="auto"/>
      </w:pPr>
    </w:p>
    <w:p w14:paraId="5EE1DB9E" w14:textId="77777777" w:rsidR="001D10C1" w:rsidRDefault="001D10C1">
      <w:pPr>
        <w:spacing w:after="0" w:line="360" w:lineRule="auto"/>
      </w:pPr>
    </w:p>
    <w:p w14:paraId="19B32C0B" w14:textId="77777777" w:rsidR="001D10C1" w:rsidRDefault="001D10C1">
      <w:pPr>
        <w:spacing w:after="0" w:line="360" w:lineRule="auto"/>
      </w:pPr>
    </w:p>
    <w:p w14:paraId="09AD6E34" w14:textId="77777777" w:rsidR="001D10C1" w:rsidRDefault="001D10C1">
      <w:pPr>
        <w:spacing w:after="0" w:line="360" w:lineRule="auto"/>
      </w:pPr>
    </w:p>
    <w:p w14:paraId="5D6969F3" w14:textId="77777777" w:rsidR="001D10C1" w:rsidRDefault="001D10C1">
      <w:pPr>
        <w:spacing w:after="0" w:line="360" w:lineRule="auto"/>
      </w:pPr>
    </w:p>
    <w:p w14:paraId="30127DCC" w14:textId="77777777" w:rsidR="001D10C1" w:rsidRDefault="001D10C1">
      <w:pPr>
        <w:spacing w:after="0" w:line="360" w:lineRule="auto"/>
      </w:pPr>
    </w:p>
    <w:p w14:paraId="5070D1E0" w14:textId="77777777" w:rsidR="001D10C1" w:rsidRDefault="001D10C1">
      <w:pPr>
        <w:spacing w:after="0" w:line="360" w:lineRule="auto"/>
      </w:pPr>
    </w:p>
    <w:p w14:paraId="13306541" w14:textId="77777777" w:rsidR="001D10C1" w:rsidRDefault="001D10C1">
      <w:pPr>
        <w:spacing w:after="0" w:line="360" w:lineRule="auto"/>
      </w:pPr>
    </w:p>
    <w:p w14:paraId="42A93126" w14:textId="77777777" w:rsidR="001D10C1" w:rsidRDefault="001D10C1">
      <w:pPr>
        <w:spacing w:after="0" w:line="360" w:lineRule="auto"/>
      </w:pPr>
    </w:p>
    <w:sectPr w:rsidR="001D10C1">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A1B94" w14:textId="77777777" w:rsidR="007945B6" w:rsidRDefault="007945B6">
      <w:pPr>
        <w:spacing w:after="0" w:line="240" w:lineRule="auto"/>
      </w:pPr>
      <w:r>
        <w:separator/>
      </w:r>
    </w:p>
  </w:endnote>
  <w:endnote w:type="continuationSeparator" w:id="0">
    <w:p w14:paraId="7E92485E" w14:textId="77777777" w:rsidR="007945B6" w:rsidRDefault="00794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3F7E" w14:textId="4FC7B3A5" w:rsidR="001D10C1" w:rsidRDefault="001E39D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00EAD">
      <w:rPr>
        <w:b/>
        <w:noProof/>
        <w:color w:val="000000"/>
        <w:sz w:val="24"/>
        <w:szCs w:val="24"/>
      </w:rPr>
      <w:t>21</w:t>
    </w:r>
    <w:r>
      <w:rPr>
        <w:b/>
        <w:color w:val="000000"/>
        <w:sz w:val="24"/>
        <w:szCs w:val="24"/>
      </w:rPr>
      <w:fldChar w:fldCharType="end"/>
    </w:r>
  </w:p>
  <w:p w14:paraId="1E997CD2" w14:textId="77777777" w:rsidR="001D10C1" w:rsidRDefault="001D10C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27274" w14:textId="77777777" w:rsidR="001D10C1" w:rsidRDefault="001E39D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A0CA0">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A0CA0">
      <w:rPr>
        <w:b/>
        <w:noProof/>
        <w:color w:val="000000"/>
        <w:sz w:val="24"/>
        <w:szCs w:val="24"/>
      </w:rPr>
      <w:t>21</w:t>
    </w:r>
    <w:r>
      <w:rPr>
        <w:b/>
        <w:color w:val="000000"/>
        <w:sz w:val="24"/>
        <w:szCs w:val="24"/>
      </w:rPr>
      <w:fldChar w:fldCharType="end"/>
    </w:r>
  </w:p>
  <w:p w14:paraId="3B0DB138" w14:textId="77777777" w:rsidR="001D10C1" w:rsidRDefault="001D10C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6AE8" w14:textId="77777777" w:rsidR="001D10C1" w:rsidRDefault="001E39D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A0CA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A0CA0">
      <w:rPr>
        <w:b/>
        <w:noProof/>
        <w:color w:val="000000"/>
        <w:sz w:val="24"/>
        <w:szCs w:val="24"/>
      </w:rPr>
      <w:t>21</w:t>
    </w:r>
    <w:r>
      <w:rPr>
        <w:b/>
        <w:color w:val="000000"/>
        <w:sz w:val="24"/>
        <w:szCs w:val="24"/>
      </w:rPr>
      <w:fldChar w:fldCharType="end"/>
    </w:r>
  </w:p>
  <w:p w14:paraId="4E58042C" w14:textId="77777777" w:rsidR="001D10C1" w:rsidRDefault="001D10C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91524" w14:textId="77777777" w:rsidR="007945B6" w:rsidRDefault="007945B6">
      <w:pPr>
        <w:spacing w:after="0" w:line="240" w:lineRule="auto"/>
      </w:pPr>
      <w:r>
        <w:separator/>
      </w:r>
    </w:p>
  </w:footnote>
  <w:footnote w:type="continuationSeparator" w:id="0">
    <w:p w14:paraId="177A2E22" w14:textId="77777777" w:rsidR="007945B6" w:rsidRDefault="00794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75DB" w14:textId="77777777" w:rsidR="001D10C1" w:rsidRDefault="001D10C1">
    <w:pPr>
      <w:widowControl w:val="0"/>
      <w:pBdr>
        <w:top w:val="nil"/>
        <w:left w:val="nil"/>
        <w:bottom w:val="nil"/>
        <w:right w:val="nil"/>
        <w:between w:val="nil"/>
      </w:pBdr>
      <w:spacing w:after="0" w:line="276" w:lineRule="auto"/>
      <w:jc w:val="left"/>
      <w:rPr>
        <w:color w:val="000000"/>
      </w:rPr>
    </w:pPr>
  </w:p>
  <w:tbl>
    <w:tblPr>
      <w:tblStyle w:val="afffff"/>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1D10C1" w14:paraId="150BA7CC" w14:textId="77777777">
      <w:trPr>
        <w:trHeight w:val="141"/>
      </w:trPr>
      <w:tc>
        <w:tcPr>
          <w:tcW w:w="2404" w:type="dxa"/>
        </w:tcPr>
        <w:p w14:paraId="18E4382A" w14:textId="77777777" w:rsidR="001D10C1" w:rsidRDefault="001E39D7">
          <w:pPr>
            <w:tabs>
              <w:tab w:val="right" w:pos="8838"/>
            </w:tabs>
            <w:ind w:right="-105"/>
            <w:rPr>
              <w:b/>
            </w:rPr>
          </w:pPr>
          <w:r>
            <w:rPr>
              <w:b/>
            </w:rPr>
            <w:t>Recurso de Revisión:</w:t>
          </w:r>
        </w:p>
      </w:tc>
      <w:tc>
        <w:tcPr>
          <w:tcW w:w="3587" w:type="dxa"/>
        </w:tcPr>
        <w:p w14:paraId="064B626D" w14:textId="77777777" w:rsidR="001D10C1" w:rsidRDefault="001E39D7">
          <w:pPr>
            <w:tabs>
              <w:tab w:val="right" w:pos="8838"/>
            </w:tabs>
            <w:ind w:left="-28" w:right="683"/>
          </w:pPr>
          <w:r>
            <w:t>04196/INFOEM/IP/RR/2020</w:t>
          </w:r>
        </w:p>
      </w:tc>
    </w:tr>
    <w:tr w:rsidR="001D10C1" w14:paraId="733EFFBE" w14:textId="77777777">
      <w:trPr>
        <w:trHeight w:val="276"/>
      </w:trPr>
      <w:tc>
        <w:tcPr>
          <w:tcW w:w="2404" w:type="dxa"/>
        </w:tcPr>
        <w:p w14:paraId="7B30F96C" w14:textId="77777777" w:rsidR="001D10C1" w:rsidRDefault="001E39D7">
          <w:pPr>
            <w:tabs>
              <w:tab w:val="right" w:pos="8838"/>
            </w:tabs>
            <w:ind w:right="-105"/>
            <w:rPr>
              <w:b/>
            </w:rPr>
          </w:pPr>
          <w:r>
            <w:rPr>
              <w:b/>
            </w:rPr>
            <w:t>Sujeto Obligado:</w:t>
          </w:r>
        </w:p>
      </w:tc>
      <w:tc>
        <w:tcPr>
          <w:tcW w:w="3587" w:type="dxa"/>
        </w:tcPr>
        <w:p w14:paraId="20DDACE8" w14:textId="77777777" w:rsidR="001D10C1" w:rsidRDefault="001E39D7">
          <w:pPr>
            <w:tabs>
              <w:tab w:val="right" w:pos="8838"/>
            </w:tabs>
            <w:ind w:right="116"/>
          </w:pPr>
          <w:r>
            <w:t>Ayuntamiento de Chapultepec</w:t>
          </w:r>
        </w:p>
      </w:tc>
    </w:tr>
    <w:tr w:rsidR="001D10C1" w14:paraId="55756E92" w14:textId="77777777">
      <w:trPr>
        <w:trHeight w:val="276"/>
      </w:trPr>
      <w:tc>
        <w:tcPr>
          <w:tcW w:w="2404" w:type="dxa"/>
        </w:tcPr>
        <w:p w14:paraId="52E61675" w14:textId="77777777" w:rsidR="001D10C1" w:rsidRDefault="001E39D7">
          <w:pPr>
            <w:tabs>
              <w:tab w:val="right" w:pos="8838"/>
            </w:tabs>
            <w:ind w:right="-105"/>
            <w:rPr>
              <w:b/>
            </w:rPr>
          </w:pPr>
          <w:r>
            <w:rPr>
              <w:b/>
            </w:rPr>
            <w:t>Comisionado Ponente:</w:t>
          </w:r>
        </w:p>
      </w:tc>
      <w:tc>
        <w:tcPr>
          <w:tcW w:w="3587" w:type="dxa"/>
        </w:tcPr>
        <w:p w14:paraId="5FF858D9" w14:textId="77777777" w:rsidR="001D10C1" w:rsidRDefault="001E39D7">
          <w:pPr>
            <w:tabs>
              <w:tab w:val="right" w:pos="8838"/>
            </w:tabs>
            <w:ind w:right="-32"/>
          </w:pPr>
          <w:r>
            <w:t>Luis Gustavo Parra Noriega</w:t>
          </w:r>
        </w:p>
      </w:tc>
    </w:tr>
  </w:tbl>
  <w:p w14:paraId="151FCCE7" w14:textId="77777777" w:rsidR="001D10C1" w:rsidRDefault="004A0CA0">
    <w:pPr>
      <w:pBdr>
        <w:top w:val="nil"/>
        <w:left w:val="nil"/>
        <w:bottom w:val="nil"/>
        <w:right w:val="nil"/>
        <w:between w:val="nil"/>
      </w:pBdr>
      <w:tabs>
        <w:tab w:val="center" w:pos="4419"/>
        <w:tab w:val="right" w:pos="8838"/>
      </w:tabs>
      <w:spacing w:after="0" w:line="240" w:lineRule="auto"/>
      <w:rPr>
        <w:color w:val="000000"/>
      </w:rPr>
    </w:pPr>
    <w:r>
      <w:rPr>
        <w:color w:val="000000"/>
      </w:rPr>
      <w:pict w14:anchorId="565A3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A3DA4" w14:textId="77777777" w:rsidR="001D10C1" w:rsidRDefault="001D10C1">
    <w:pPr>
      <w:rPr>
        <w:sz w:val="16"/>
        <w:szCs w:val="16"/>
      </w:rPr>
    </w:pPr>
  </w:p>
  <w:tbl>
    <w:tblPr>
      <w:tblStyle w:val="afffff0"/>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1D10C1" w14:paraId="52FF7863" w14:textId="77777777">
      <w:trPr>
        <w:trHeight w:val="141"/>
      </w:trPr>
      <w:tc>
        <w:tcPr>
          <w:tcW w:w="2409" w:type="dxa"/>
        </w:tcPr>
        <w:p w14:paraId="28EBA3D5" w14:textId="77777777" w:rsidR="001D10C1" w:rsidRDefault="001E39D7">
          <w:pPr>
            <w:tabs>
              <w:tab w:val="right" w:pos="8838"/>
            </w:tabs>
            <w:ind w:left="-395" w:right="-105" w:firstLine="395"/>
            <w:rPr>
              <w:b/>
            </w:rPr>
          </w:pPr>
          <w:r>
            <w:rPr>
              <w:b/>
            </w:rPr>
            <w:t>Recurso de Revisión:</w:t>
          </w:r>
        </w:p>
      </w:tc>
      <w:tc>
        <w:tcPr>
          <w:tcW w:w="3686" w:type="dxa"/>
        </w:tcPr>
        <w:p w14:paraId="72F8EF41" w14:textId="77777777" w:rsidR="001D10C1" w:rsidRPr="009D59E9" w:rsidRDefault="001E39D7">
          <w:pPr>
            <w:tabs>
              <w:tab w:val="right" w:pos="8838"/>
            </w:tabs>
            <w:ind w:right="176"/>
            <w:rPr>
              <w:bCs/>
            </w:rPr>
          </w:pPr>
          <w:r w:rsidRPr="009D59E9">
            <w:rPr>
              <w:bCs/>
            </w:rPr>
            <w:t>07311/INFOEM/IP/RR/2025</w:t>
          </w:r>
        </w:p>
      </w:tc>
    </w:tr>
    <w:tr w:rsidR="001D10C1" w14:paraId="01A99F7A" w14:textId="77777777">
      <w:trPr>
        <w:trHeight w:val="276"/>
      </w:trPr>
      <w:tc>
        <w:tcPr>
          <w:tcW w:w="2409" w:type="dxa"/>
        </w:tcPr>
        <w:p w14:paraId="2DBA5DD6" w14:textId="77777777" w:rsidR="001D10C1" w:rsidRDefault="001E39D7">
          <w:pPr>
            <w:tabs>
              <w:tab w:val="right" w:pos="8838"/>
            </w:tabs>
            <w:ind w:right="-105"/>
            <w:rPr>
              <w:b/>
            </w:rPr>
          </w:pPr>
          <w:r>
            <w:rPr>
              <w:b/>
            </w:rPr>
            <w:t>Sujeto Obligado:</w:t>
          </w:r>
        </w:p>
      </w:tc>
      <w:tc>
        <w:tcPr>
          <w:tcW w:w="3686" w:type="dxa"/>
        </w:tcPr>
        <w:p w14:paraId="61AE957C" w14:textId="77777777" w:rsidR="001D10C1" w:rsidRDefault="001E39D7">
          <w:pPr>
            <w:tabs>
              <w:tab w:val="left" w:pos="3158"/>
              <w:tab w:val="left" w:pos="4292"/>
              <w:tab w:val="right" w:pos="8838"/>
            </w:tabs>
            <w:ind w:right="176"/>
          </w:pPr>
          <w:r>
            <w:t>Ayuntamiento de Tenancingo</w:t>
          </w:r>
        </w:p>
      </w:tc>
    </w:tr>
    <w:tr w:rsidR="001D10C1" w14:paraId="4EEDE4FC" w14:textId="77777777">
      <w:trPr>
        <w:trHeight w:val="276"/>
      </w:trPr>
      <w:tc>
        <w:tcPr>
          <w:tcW w:w="2409" w:type="dxa"/>
        </w:tcPr>
        <w:p w14:paraId="6357AE3C" w14:textId="77777777" w:rsidR="001D10C1" w:rsidRDefault="001E39D7">
          <w:pPr>
            <w:tabs>
              <w:tab w:val="right" w:pos="8838"/>
            </w:tabs>
            <w:ind w:right="-105"/>
            <w:rPr>
              <w:b/>
            </w:rPr>
          </w:pPr>
          <w:r>
            <w:rPr>
              <w:b/>
            </w:rPr>
            <w:t>Comisionado Ponente:</w:t>
          </w:r>
        </w:p>
      </w:tc>
      <w:tc>
        <w:tcPr>
          <w:tcW w:w="3686" w:type="dxa"/>
        </w:tcPr>
        <w:p w14:paraId="35C4265D" w14:textId="77777777" w:rsidR="001D10C1" w:rsidRDefault="001E39D7">
          <w:pPr>
            <w:tabs>
              <w:tab w:val="right" w:pos="8838"/>
            </w:tabs>
            <w:ind w:right="176"/>
          </w:pPr>
          <w:r>
            <w:t>Luis Gustavo Parra Noriega</w:t>
          </w:r>
        </w:p>
        <w:p w14:paraId="410098AC" w14:textId="77777777" w:rsidR="001D10C1" w:rsidRDefault="001D10C1">
          <w:pPr>
            <w:tabs>
              <w:tab w:val="right" w:pos="8838"/>
            </w:tabs>
            <w:ind w:right="176"/>
          </w:pPr>
        </w:p>
      </w:tc>
    </w:tr>
  </w:tbl>
  <w:p w14:paraId="177683F9" w14:textId="77777777" w:rsidR="001D10C1" w:rsidRDefault="004A0CA0">
    <w:pPr>
      <w:pBdr>
        <w:top w:val="nil"/>
        <w:left w:val="nil"/>
        <w:bottom w:val="nil"/>
        <w:right w:val="nil"/>
        <w:between w:val="nil"/>
      </w:pBdr>
      <w:tabs>
        <w:tab w:val="center" w:pos="4419"/>
        <w:tab w:val="right" w:pos="8838"/>
      </w:tabs>
      <w:spacing w:after="0" w:line="240" w:lineRule="auto"/>
      <w:rPr>
        <w:color w:val="000000"/>
      </w:rPr>
    </w:pPr>
    <w:r>
      <w:rPr>
        <w:color w:val="000000"/>
      </w:rPr>
      <w:pict w14:anchorId="5E393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505C3" w14:textId="77777777" w:rsidR="001D10C1" w:rsidRDefault="004A0CA0">
    <w:pPr>
      <w:widowControl w:val="0"/>
      <w:pBdr>
        <w:top w:val="nil"/>
        <w:left w:val="nil"/>
        <w:bottom w:val="nil"/>
        <w:right w:val="nil"/>
        <w:between w:val="nil"/>
      </w:pBdr>
      <w:spacing w:after="0" w:line="276" w:lineRule="auto"/>
      <w:jc w:val="left"/>
      <w:rPr>
        <w:color w:val="000000"/>
      </w:rPr>
    </w:pPr>
    <w:r>
      <w:rPr>
        <w:color w:val="000000"/>
      </w:rPr>
      <w:pict w14:anchorId="539AF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1"/>
      <w:tblW w:w="9214" w:type="dxa"/>
      <w:tblInd w:w="0" w:type="dxa"/>
      <w:tblLayout w:type="fixed"/>
      <w:tblLook w:val="0400" w:firstRow="0" w:lastRow="0" w:firstColumn="0" w:lastColumn="0" w:noHBand="0" w:noVBand="1"/>
    </w:tblPr>
    <w:tblGrid>
      <w:gridCol w:w="2127"/>
      <w:gridCol w:w="7087"/>
    </w:tblGrid>
    <w:tr w:rsidR="001D10C1" w14:paraId="1E72D5DA" w14:textId="77777777">
      <w:trPr>
        <w:trHeight w:val="1546"/>
      </w:trPr>
      <w:tc>
        <w:tcPr>
          <w:tcW w:w="2127" w:type="dxa"/>
        </w:tcPr>
        <w:p w14:paraId="0FCAD931" w14:textId="77777777" w:rsidR="001D10C1" w:rsidRDefault="001D10C1">
          <w:pPr>
            <w:tabs>
              <w:tab w:val="right" w:pos="4273"/>
            </w:tabs>
            <w:rPr>
              <w:rFonts w:ascii="Garamond" w:eastAsia="Garamond" w:hAnsi="Garamond" w:cs="Garamond"/>
              <w:sz w:val="16"/>
              <w:szCs w:val="16"/>
            </w:rPr>
          </w:pPr>
        </w:p>
      </w:tc>
      <w:tc>
        <w:tcPr>
          <w:tcW w:w="7087" w:type="dxa"/>
        </w:tcPr>
        <w:p w14:paraId="73FAEDFC" w14:textId="77777777" w:rsidR="001D10C1" w:rsidRDefault="001D10C1">
          <w:pPr>
            <w:rPr>
              <w:sz w:val="10"/>
              <w:szCs w:val="10"/>
            </w:rPr>
          </w:pPr>
        </w:p>
        <w:tbl>
          <w:tblPr>
            <w:tblStyle w:val="afffff2"/>
            <w:tblW w:w="5812" w:type="dxa"/>
            <w:tblInd w:w="1167" w:type="dxa"/>
            <w:tblLayout w:type="fixed"/>
            <w:tblLook w:val="0400" w:firstRow="0" w:lastRow="0" w:firstColumn="0" w:lastColumn="0" w:noHBand="0" w:noVBand="1"/>
          </w:tblPr>
          <w:tblGrid>
            <w:gridCol w:w="2410"/>
            <w:gridCol w:w="3402"/>
          </w:tblGrid>
          <w:tr w:rsidR="001D10C1" w14:paraId="400537F3" w14:textId="77777777">
            <w:trPr>
              <w:trHeight w:val="427"/>
            </w:trPr>
            <w:tc>
              <w:tcPr>
                <w:tcW w:w="2410" w:type="dxa"/>
                <w:vAlign w:val="bottom"/>
              </w:tcPr>
              <w:p w14:paraId="7C88DDCB" w14:textId="77777777" w:rsidR="001D10C1" w:rsidRDefault="001E39D7">
                <w:pPr>
                  <w:tabs>
                    <w:tab w:val="right" w:pos="8838"/>
                  </w:tabs>
                  <w:ind w:right="-105"/>
                  <w:rPr>
                    <w:b/>
                  </w:rPr>
                </w:pPr>
                <w:r>
                  <w:rPr>
                    <w:b/>
                  </w:rPr>
                  <w:t>Recurso de Revisión:</w:t>
                </w:r>
              </w:p>
            </w:tc>
            <w:tc>
              <w:tcPr>
                <w:tcW w:w="3402" w:type="dxa"/>
              </w:tcPr>
              <w:p w14:paraId="29B1C1B0" w14:textId="77777777" w:rsidR="001D10C1" w:rsidRDefault="001D10C1">
                <w:pPr>
                  <w:tabs>
                    <w:tab w:val="right" w:pos="8838"/>
                  </w:tabs>
                  <w:ind w:left="-28" w:right="-107"/>
                  <w:rPr>
                    <w:b/>
                  </w:rPr>
                </w:pPr>
              </w:p>
              <w:p w14:paraId="23604A0A" w14:textId="77777777" w:rsidR="001D10C1" w:rsidRDefault="001E39D7">
                <w:pPr>
                  <w:tabs>
                    <w:tab w:val="right" w:pos="8838"/>
                  </w:tabs>
                  <w:ind w:left="-28" w:right="-107"/>
                  <w:rPr>
                    <w:b/>
                  </w:rPr>
                </w:pPr>
                <w:r>
                  <w:rPr>
                    <w:b/>
                  </w:rPr>
                  <w:t>07311/INFOEM/IP/RR/2025</w:t>
                </w:r>
              </w:p>
            </w:tc>
          </w:tr>
          <w:tr w:rsidR="001D10C1" w14:paraId="4276336F" w14:textId="77777777">
            <w:trPr>
              <w:trHeight w:val="141"/>
            </w:trPr>
            <w:tc>
              <w:tcPr>
                <w:tcW w:w="2410" w:type="dxa"/>
              </w:tcPr>
              <w:p w14:paraId="234048B6" w14:textId="77777777" w:rsidR="001D10C1" w:rsidRDefault="001E39D7">
                <w:pPr>
                  <w:tabs>
                    <w:tab w:val="right" w:pos="8838"/>
                  </w:tabs>
                  <w:ind w:right="-105"/>
                  <w:rPr>
                    <w:b/>
                  </w:rPr>
                </w:pPr>
                <w:r>
                  <w:rPr>
                    <w:b/>
                  </w:rPr>
                  <w:t>Recurrente:</w:t>
                </w:r>
              </w:p>
            </w:tc>
            <w:tc>
              <w:tcPr>
                <w:tcW w:w="3402" w:type="dxa"/>
              </w:tcPr>
              <w:p w14:paraId="74322304" w14:textId="0F3BCFE2" w:rsidR="001D10C1" w:rsidRDefault="001E39D7">
                <w:pPr>
                  <w:tabs>
                    <w:tab w:val="right" w:pos="8838"/>
                  </w:tabs>
                  <w:ind w:right="-107"/>
                </w:pPr>
                <w:r>
                  <w:t> </w:t>
                </w:r>
                <w:r w:rsidR="004A0CA0">
                  <w:rPr>
                    <w:b/>
                    <w:highlight w:val="black"/>
                  </w:rPr>
                  <w:t>XXXXXXXXXXXXXXXXXXXX</w:t>
                </w:r>
              </w:p>
            </w:tc>
          </w:tr>
          <w:tr w:rsidR="001D10C1" w14:paraId="53FC49B1" w14:textId="77777777">
            <w:trPr>
              <w:trHeight w:val="276"/>
            </w:trPr>
            <w:tc>
              <w:tcPr>
                <w:tcW w:w="2410" w:type="dxa"/>
              </w:tcPr>
              <w:p w14:paraId="4BA00137" w14:textId="77777777" w:rsidR="001D10C1" w:rsidRDefault="001E39D7">
                <w:pPr>
                  <w:tabs>
                    <w:tab w:val="right" w:pos="8838"/>
                  </w:tabs>
                  <w:ind w:right="-105"/>
                  <w:rPr>
                    <w:b/>
                  </w:rPr>
                </w:pPr>
                <w:r>
                  <w:rPr>
                    <w:b/>
                  </w:rPr>
                  <w:t>Sujeto Obligado:</w:t>
                </w:r>
              </w:p>
            </w:tc>
            <w:tc>
              <w:tcPr>
                <w:tcW w:w="3402" w:type="dxa"/>
              </w:tcPr>
              <w:p w14:paraId="545B774B" w14:textId="77777777" w:rsidR="001D10C1" w:rsidRDefault="001E39D7">
                <w:pPr>
                  <w:tabs>
                    <w:tab w:val="right" w:pos="8838"/>
                  </w:tabs>
                  <w:ind w:right="33"/>
                </w:pPr>
                <w:r>
                  <w:t>Ayuntamiento de Tenancingo</w:t>
                </w:r>
              </w:p>
            </w:tc>
          </w:tr>
          <w:tr w:rsidR="001D10C1" w14:paraId="58FAEF52" w14:textId="77777777">
            <w:trPr>
              <w:trHeight w:val="276"/>
            </w:trPr>
            <w:tc>
              <w:tcPr>
                <w:tcW w:w="2410" w:type="dxa"/>
              </w:tcPr>
              <w:p w14:paraId="10A3F627" w14:textId="77777777" w:rsidR="001D10C1" w:rsidRDefault="001E39D7">
                <w:pPr>
                  <w:tabs>
                    <w:tab w:val="right" w:pos="8838"/>
                  </w:tabs>
                  <w:ind w:right="-105"/>
                  <w:rPr>
                    <w:b/>
                  </w:rPr>
                </w:pPr>
                <w:r>
                  <w:rPr>
                    <w:b/>
                  </w:rPr>
                  <w:t>Comisionado Ponente:</w:t>
                </w:r>
              </w:p>
            </w:tc>
            <w:tc>
              <w:tcPr>
                <w:tcW w:w="3402" w:type="dxa"/>
              </w:tcPr>
              <w:p w14:paraId="7D26EA64" w14:textId="77777777" w:rsidR="001D10C1" w:rsidRDefault="001E39D7">
                <w:pPr>
                  <w:tabs>
                    <w:tab w:val="right" w:pos="8838"/>
                  </w:tabs>
                  <w:ind w:right="-107"/>
                </w:pPr>
                <w:r>
                  <w:t>Luis Gustavo Parra Noriega</w:t>
                </w:r>
              </w:p>
            </w:tc>
          </w:tr>
        </w:tbl>
        <w:p w14:paraId="2DBBF355" w14:textId="77777777" w:rsidR="001D10C1" w:rsidRDefault="001D10C1">
          <w:pPr>
            <w:tabs>
              <w:tab w:val="right" w:pos="8838"/>
            </w:tabs>
            <w:ind w:left="-28"/>
            <w:rPr>
              <w:rFonts w:ascii="Arial" w:eastAsia="Arial" w:hAnsi="Arial" w:cs="Arial"/>
              <w:b/>
            </w:rPr>
          </w:pPr>
        </w:p>
      </w:tc>
    </w:tr>
  </w:tbl>
  <w:p w14:paraId="3682DB19" w14:textId="77777777" w:rsidR="001D10C1" w:rsidRDefault="001D10C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74040C"/>
    <w:multiLevelType w:val="multilevel"/>
    <w:tmpl w:val="CA26BA98"/>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0C1"/>
    <w:rsid w:val="00044D18"/>
    <w:rsid w:val="001D10C1"/>
    <w:rsid w:val="001E39D7"/>
    <w:rsid w:val="004A0CA0"/>
    <w:rsid w:val="00604691"/>
    <w:rsid w:val="00624217"/>
    <w:rsid w:val="00782C6D"/>
    <w:rsid w:val="007945B6"/>
    <w:rsid w:val="009D59E9"/>
    <w:rsid w:val="009D778F"/>
    <w:rsid w:val="00A34777"/>
    <w:rsid w:val="00B606FC"/>
    <w:rsid w:val="00BC1557"/>
    <w:rsid w:val="00BF01C3"/>
    <w:rsid w:val="00C57844"/>
    <w:rsid w:val="00CB0148"/>
    <w:rsid w:val="00E00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D6CA2"/>
  <w15:docId w15:val="{0F0CAAFD-89AE-4B52-8D55-86909E9F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e"/>
    <w:pPr>
      <w:spacing w:after="0" w:line="240" w:lineRule="auto"/>
    </w:pPr>
    <w:tblPr>
      <w:tblStyleRowBandSize w:val="1"/>
      <w:tblStyleColBandSize w:val="1"/>
      <w:tblCellMar>
        <w:left w:w="108" w:type="dxa"/>
        <w:right w:w="108" w:type="dxa"/>
      </w:tblCellMar>
    </w:tblPr>
  </w:style>
  <w:style w:type="table" w:customStyle="1" w:styleId="a0">
    <w:basedOn w:val="TableNormale"/>
    <w:pPr>
      <w:spacing w:after="0" w:line="240" w:lineRule="auto"/>
    </w:pPr>
    <w:tblPr>
      <w:tblStyleRowBandSize w:val="1"/>
      <w:tblStyleColBandSize w:val="1"/>
      <w:tblCellMar>
        <w:left w:w="108" w:type="dxa"/>
        <w:right w:w="108" w:type="dxa"/>
      </w:tblCellMar>
    </w:tblPr>
  </w:style>
  <w:style w:type="table" w:customStyle="1" w:styleId="a1">
    <w:basedOn w:val="TableNormale"/>
    <w:tblPr>
      <w:tblStyleRowBandSize w:val="1"/>
      <w:tblStyleColBandSize w:val="1"/>
      <w:tblCellMar>
        <w:left w:w="115" w:type="dxa"/>
        <w:right w:w="115" w:type="dxa"/>
      </w:tblCellMar>
    </w:tblPr>
  </w:style>
  <w:style w:type="table" w:customStyle="1" w:styleId="a2">
    <w:basedOn w:val="TableNormale"/>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e"/>
    <w:pPr>
      <w:spacing w:after="0" w:line="240" w:lineRule="auto"/>
    </w:pPr>
    <w:tblPr>
      <w:tblStyleRowBandSize w:val="1"/>
      <w:tblStyleColBandSize w:val="1"/>
      <w:tblCellMar>
        <w:left w:w="108" w:type="dxa"/>
        <w:right w:w="108" w:type="dxa"/>
      </w:tblCellMar>
    </w:tblPr>
  </w:style>
  <w:style w:type="table" w:customStyle="1" w:styleId="a4">
    <w:basedOn w:val="TableNormale"/>
    <w:pPr>
      <w:spacing w:after="0" w:line="240" w:lineRule="auto"/>
    </w:pPr>
    <w:tblPr>
      <w:tblStyleRowBandSize w:val="1"/>
      <w:tblStyleColBandSize w:val="1"/>
      <w:tblCellMar>
        <w:left w:w="108" w:type="dxa"/>
        <w:right w:w="108" w:type="dxa"/>
      </w:tblCellMar>
    </w:tblPr>
  </w:style>
  <w:style w:type="table" w:customStyle="1" w:styleId="a5">
    <w:basedOn w:val="TableNormale"/>
    <w:pPr>
      <w:spacing w:after="0" w:line="240" w:lineRule="auto"/>
    </w:pPr>
    <w:tblPr>
      <w:tblStyleRowBandSize w:val="1"/>
      <w:tblStyleColBandSize w:val="1"/>
      <w:tblCellMar>
        <w:left w:w="108" w:type="dxa"/>
        <w:right w:w="108" w:type="dxa"/>
      </w:tblCellMar>
    </w:tblPr>
  </w:style>
  <w:style w:type="table" w:customStyle="1" w:styleId="a6">
    <w:basedOn w:val="TableNormale"/>
    <w:pPr>
      <w:spacing w:after="0" w:line="240" w:lineRule="auto"/>
    </w:pPr>
    <w:tblPr>
      <w:tblStyleRowBandSize w:val="1"/>
      <w:tblStyleColBandSize w:val="1"/>
      <w:tblCellMar>
        <w:left w:w="108" w:type="dxa"/>
        <w:right w:w="108" w:type="dxa"/>
      </w:tblCellMar>
    </w:tblPr>
  </w:style>
  <w:style w:type="table" w:customStyle="1" w:styleId="a7">
    <w:basedOn w:val="TableNormald"/>
    <w:pPr>
      <w:spacing w:after="0" w:line="240" w:lineRule="auto"/>
    </w:pPr>
    <w:tblPr>
      <w:tblStyleRowBandSize w:val="1"/>
      <w:tblStyleColBandSize w:val="1"/>
      <w:tblCellMar>
        <w:left w:w="108" w:type="dxa"/>
        <w:right w:w="108" w:type="dxa"/>
      </w:tblCellMar>
    </w:tblPr>
  </w:style>
  <w:style w:type="table" w:customStyle="1" w:styleId="a8">
    <w:basedOn w:val="TableNormald"/>
    <w:pPr>
      <w:spacing w:after="0" w:line="240" w:lineRule="auto"/>
    </w:pPr>
    <w:tblPr>
      <w:tblStyleRowBandSize w:val="1"/>
      <w:tblStyleColBandSize w:val="1"/>
      <w:tblCellMar>
        <w:left w:w="108" w:type="dxa"/>
        <w:right w:w="108" w:type="dxa"/>
      </w:tblCellMar>
    </w:tblPr>
  </w:style>
  <w:style w:type="table" w:customStyle="1" w:styleId="a9">
    <w:basedOn w:val="TableNormald"/>
    <w:pPr>
      <w:spacing w:after="0" w:line="240" w:lineRule="auto"/>
    </w:pPr>
    <w:tblPr>
      <w:tblStyleRowBandSize w:val="1"/>
      <w:tblStyleColBandSize w:val="1"/>
      <w:tblCellMar>
        <w:left w:w="108" w:type="dxa"/>
        <w:right w:w="108" w:type="dxa"/>
      </w:tblCellMar>
    </w:tblPr>
  </w:style>
  <w:style w:type="table" w:customStyle="1" w:styleId="aa">
    <w:basedOn w:val="TableNormald"/>
    <w:pPr>
      <w:spacing w:after="0" w:line="240" w:lineRule="auto"/>
    </w:pPr>
    <w:tblPr>
      <w:tblStyleRowBandSize w:val="1"/>
      <w:tblStyleColBandSize w:val="1"/>
      <w:tblCellMar>
        <w:left w:w="108" w:type="dxa"/>
        <w:right w:w="108" w:type="dxa"/>
      </w:tblCellMar>
    </w:tblPr>
  </w:style>
  <w:style w:type="table" w:customStyle="1" w:styleId="ab">
    <w:basedOn w:val="TableNormalc"/>
    <w:pPr>
      <w:spacing w:after="0" w:line="240" w:lineRule="auto"/>
    </w:pPr>
    <w:tblPr>
      <w:tblStyleRowBandSize w:val="1"/>
      <w:tblStyleColBandSize w:val="1"/>
      <w:tblCellMar>
        <w:left w:w="108" w:type="dxa"/>
        <w:right w:w="108" w:type="dxa"/>
      </w:tblCellMar>
    </w:tblPr>
  </w:style>
  <w:style w:type="table" w:customStyle="1" w:styleId="ac">
    <w:basedOn w:val="TableNormalc"/>
    <w:pPr>
      <w:spacing w:after="0" w:line="240" w:lineRule="auto"/>
    </w:pPr>
    <w:tblPr>
      <w:tblStyleRowBandSize w:val="1"/>
      <w:tblStyleColBandSize w:val="1"/>
      <w:tblCellMar>
        <w:left w:w="108" w:type="dxa"/>
        <w:right w:w="108" w:type="dxa"/>
      </w:tblCellMar>
    </w:tblPr>
  </w:style>
  <w:style w:type="table" w:customStyle="1" w:styleId="ad">
    <w:basedOn w:val="TableNormalc"/>
    <w:pPr>
      <w:spacing w:after="0" w:line="240" w:lineRule="auto"/>
    </w:pPr>
    <w:tblPr>
      <w:tblStyleRowBandSize w:val="1"/>
      <w:tblStyleColBandSize w:val="1"/>
      <w:tblCellMar>
        <w:left w:w="108" w:type="dxa"/>
        <w:right w:w="108" w:type="dxa"/>
      </w:tblCellMar>
    </w:tblPr>
  </w:style>
  <w:style w:type="table" w:customStyle="1" w:styleId="ae">
    <w:basedOn w:val="TableNormalc"/>
    <w:pPr>
      <w:spacing w:after="0" w:line="240" w:lineRule="auto"/>
    </w:pPr>
    <w:tblPr>
      <w:tblStyleRowBandSize w:val="1"/>
      <w:tblStyleColBandSize w:val="1"/>
      <w:tblCellMar>
        <w:left w:w="108" w:type="dxa"/>
        <w:right w:w="108" w:type="dxa"/>
      </w:tblCellMar>
    </w:tblPr>
  </w:style>
  <w:style w:type="table" w:customStyle="1" w:styleId="af">
    <w:basedOn w:val="TableNormalb"/>
    <w:pPr>
      <w:spacing w:after="0" w:line="240" w:lineRule="auto"/>
    </w:pPr>
    <w:tblPr>
      <w:tblStyleRowBandSize w:val="1"/>
      <w:tblStyleColBandSize w:val="1"/>
      <w:tblCellMar>
        <w:left w:w="108" w:type="dxa"/>
        <w:right w:w="108" w:type="dxa"/>
      </w:tblCellMar>
    </w:tblPr>
  </w:style>
  <w:style w:type="table" w:customStyle="1" w:styleId="af0">
    <w:basedOn w:val="TableNormalb"/>
    <w:pPr>
      <w:spacing w:after="0" w:line="240" w:lineRule="auto"/>
    </w:pPr>
    <w:tblPr>
      <w:tblStyleRowBandSize w:val="1"/>
      <w:tblStyleColBandSize w:val="1"/>
      <w:tblCellMar>
        <w:left w:w="108" w:type="dxa"/>
        <w:right w:w="108" w:type="dxa"/>
      </w:tblCellMar>
    </w:tblPr>
  </w:style>
  <w:style w:type="table" w:customStyle="1" w:styleId="af1">
    <w:basedOn w:val="TableNormalb"/>
    <w:pPr>
      <w:spacing w:after="0" w:line="240" w:lineRule="auto"/>
    </w:pPr>
    <w:tblPr>
      <w:tblStyleRowBandSize w:val="1"/>
      <w:tblStyleColBandSize w:val="1"/>
      <w:tblCellMar>
        <w:left w:w="108" w:type="dxa"/>
        <w:right w:w="108" w:type="dxa"/>
      </w:tblCellMar>
    </w:tblPr>
  </w:style>
  <w:style w:type="table" w:customStyle="1" w:styleId="af2">
    <w:basedOn w:val="TableNormalb"/>
    <w:pPr>
      <w:spacing w:after="0" w:line="240" w:lineRule="auto"/>
    </w:pPr>
    <w:tblPr>
      <w:tblStyleRowBandSize w:val="1"/>
      <w:tblStyleColBandSize w:val="1"/>
      <w:tblCellMar>
        <w:left w:w="108" w:type="dxa"/>
        <w:right w:w="108" w:type="dxa"/>
      </w:tblCellMar>
    </w:tblPr>
  </w:style>
  <w:style w:type="table" w:customStyle="1" w:styleId="af3">
    <w:basedOn w:val="TableNormala"/>
    <w:pPr>
      <w:spacing w:after="0" w:line="240" w:lineRule="auto"/>
    </w:pPr>
    <w:tblPr>
      <w:tblStyleRowBandSize w:val="1"/>
      <w:tblStyleColBandSize w:val="1"/>
      <w:tblCellMar>
        <w:left w:w="108" w:type="dxa"/>
        <w:right w:w="108" w:type="dxa"/>
      </w:tblCellMar>
    </w:tblPr>
  </w:style>
  <w:style w:type="table" w:customStyle="1" w:styleId="af4">
    <w:basedOn w:val="TableNormala"/>
    <w:pPr>
      <w:spacing w:after="0" w:line="240" w:lineRule="auto"/>
    </w:pPr>
    <w:tblPr>
      <w:tblStyleRowBandSize w:val="1"/>
      <w:tblStyleColBandSize w:val="1"/>
      <w:tblCellMar>
        <w:left w:w="108" w:type="dxa"/>
        <w:right w:w="108" w:type="dxa"/>
      </w:tblCellMar>
    </w:tblPr>
  </w:style>
  <w:style w:type="table" w:customStyle="1" w:styleId="af5">
    <w:basedOn w:val="TableNormala"/>
    <w:pPr>
      <w:spacing w:after="0" w:line="240" w:lineRule="auto"/>
    </w:pPr>
    <w:tblPr>
      <w:tblStyleRowBandSize w:val="1"/>
      <w:tblStyleColBandSize w:val="1"/>
      <w:tblCellMar>
        <w:left w:w="108" w:type="dxa"/>
        <w:right w:w="108" w:type="dxa"/>
      </w:tblCellMar>
    </w:tblPr>
  </w:style>
  <w:style w:type="table" w:customStyle="1" w:styleId="af6">
    <w:basedOn w:val="TableNormala"/>
    <w:pPr>
      <w:spacing w:after="0" w:line="240" w:lineRule="auto"/>
    </w:pPr>
    <w:tblPr>
      <w:tblStyleRowBandSize w:val="1"/>
      <w:tblStyleColBandSize w:val="1"/>
      <w:tblCellMar>
        <w:left w:w="108" w:type="dxa"/>
        <w:right w:w="108" w:type="dxa"/>
      </w:tblCellMar>
    </w:tblPr>
  </w:style>
  <w:style w:type="table" w:customStyle="1" w:styleId="af7">
    <w:basedOn w:val="TableNormal9"/>
    <w:pPr>
      <w:spacing w:after="0" w:line="240" w:lineRule="auto"/>
    </w:pPr>
    <w:tblPr>
      <w:tblStyleRowBandSize w:val="1"/>
      <w:tblStyleColBandSize w:val="1"/>
      <w:tblCellMar>
        <w:left w:w="108" w:type="dxa"/>
        <w:right w:w="108" w:type="dxa"/>
      </w:tblCellMar>
    </w:tblPr>
  </w:style>
  <w:style w:type="table" w:customStyle="1" w:styleId="af8">
    <w:basedOn w:val="TableNormal9"/>
    <w:pPr>
      <w:spacing w:after="0" w:line="240" w:lineRule="auto"/>
    </w:pPr>
    <w:tblPr>
      <w:tblStyleRowBandSize w:val="1"/>
      <w:tblStyleColBandSize w:val="1"/>
      <w:tblCellMar>
        <w:left w:w="108" w:type="dxa"/>
        <w:right w:w="108" w:type="dxa"/>
      </w:tblCellMar>
    </w:tblPr>
  </w:style>
  <w:style w:type="table" w:customStyle="1" w:styleId="af9">
    <w:basedOn w:val="TableNormal9"/>
    <w:pPr>
      <w:spacing w:after="0" w:line="240" w:lineRule="auto"/>
    </w:pPr>
    <w:tblPr>
      <w:tblStyleRowBandSize w:val="1"/>
      <w:tblStyleColBandSize w:val="1"/>
      <w:tblCellMar>
        <w:left w:w="108" w:type="dxa"/>
        <w:right w:w="108" w:type="dxa"/>
      </w:tblCellMar>
    </w:tblPr>
  </w:style>
  <w:style w:type="table" w:customStyle="1" w:styleId="afa">
    <w:basedOn w:val="TableNormal9"/>
    <w:pPr>
      <w:spacing w:after="0" w:line="240" w:lineRule="auto"/>
    </w:pPr>
    <w:tblPr>
      <w:tblStyleRowBandSize w:val="1"/>
      <w:tblStyleColBandSize w:val="1"/>
      <w:tblCellMar>
        <w:left w:w="108" w:type="dxa"/>
        <w:right w:w="108" w:type="dxa"/>
      </w:tblCellMar>
    </w:tblPr>
  </w:style>
  <w:style w:type="table" w:customStyle="1" w:styleId="afb">
    <w:basedOn w:val="TableNormal8"/>
    <w:pPr>
      <w:spacing w:after="0" w:line="240" w:lineRule="auto"/>
    </w:pPr>
    <w:tblPr>
      <w:tblStyleRowBandSize w:val="1"/>
      <w:tblStyleColBandSize w:val="1"/>
      <w:tblCellMar>
        <w:left w:w="108" w:type="dxa"/>
        <w:right w:w="108" w:type="dxa"/>
      </w:tblCellMar>
    </w:tblPr>
  </w:style>
  <w:style w:type="table" w:customStyle="1" w:styleId="afc">
    <w:basedOn w:val="TableNormal8"/>
    <w:pPr>
      <w:spacing w:after="0" w:line="240" w:lineRule="auto"/>
    </w:pPr>
    <w:tblPr>
      <w:tblStyleRowBandSize w:val="1"/>
      <w:tblStyleColBandSize w:val="1"/>
      <w:tblCellMar>
        <w:left w:w="108" w:type="dxa"/>
        <w:right w:w="108" w:type="dxa"/>
      </w:tblCellMar>
    </w:tblPr>
  </w:style>
  <w:style w:type="table" w:customStyle="1" w:styleId="afd">
    <w:basedOn w:val="TableNormal8"/>
    <w:pPr>
      <w:spacing w:after="0" w:line="240" w:lineRule="auto"/>
    </w:pPr>
    <w:tblPr>
      <w:tblStyleRowBandSize w:val="1"/>
      <w:tblStyleColBandSize w:val="1"/>
      <w:tblCellMar>
        <w:left w:w="108" w:type="dxa"/>
        <w:right w:w="108" w:type="dxa"/>
      </w:tblCellMar>
    </w:tblPr>
  </w:style>
  <w:style w:type="table" w:customStyle="1" w:styleId="afe">
    <w:basedOn w:val="TableNormal8"/>
    <w:pPr>
      <w:spacing w:after="0" w:line="240" w:lineRule="auto"/>
    </w:pPr>
    <w:tblPr>
      <w:tblStyleRowBandSize w:val="1"/>
      <w:tblStyleColBandSize w:val="1"/>
      <w:tblCellMar>
        <w:left w:w="108" w:type="dxa"/>
        <w:right w:w="108" w:type="dxa"/>
      </w:tblCellMar>
    </w:tblPr>
  </w:style>
  <w:style w:type="table" w:customStyle="1" w:styleId="aff">
    <w:basedOn w:val="TableNormal7"/>
    <w:pPr>
      <w:spacing w:after="0" w:line="240" w:lineRule="auto"/>
    </w:pPr>
    <w:tblPr>
      <w:tblStyleRowBandSize w:val="1"/>
      <w:tblStyleColBandSize w:val="1"/>
      <w:tblCellMar>
        <w:left w:w="108" w:type="dxa"/>
        <w:right w:w="108" w:type="dxa"/>
      </w:tblCellMar>
    </w:tblPr>
  </w:style>
  <w:style w:type="table" w:customStyle="1" w:styleId="aff0">
    <w:basedOn w:val="TableNormal7"/>
    <w:pPr>
      <w:spacing w:after="0" w:line="240" w:lineRule="auto"/>
    </w:pPr>
    <w:tblPr>
      <w:tblStyleRowBandSize w:val="1"/>
      <w:tblStyleColBandSize w:val="1"/>
      <w:tblCellMar>
        <w:left w:w="108" w:type="dxa"/>
        <w:right w:w="108" w:type="dxa"/>
      </w:tblCellMar>
    </w:tblPr>
  </w:style>
  <w:style w:type="table" w:customStyle="1" w:styleId="aff1">
    <w:basedOn w:val="TableNormal7"/>
    <w:pPr>
      <w:spacing w:after="0" w:line="240" w:lineRule="auto"/>
    </w:pPr>
    <w:tblPr>
      <w:tblStyleRowBandSize w:val="1"/>
      <w:tblStyleColBandSize w:val="1"/>
      <w:tblCellMar>
        <w:left w:w="108" w:type="dxa"/>
        <w:right w:w="108" w:type="dxa"/>
      </w:tblCellMar>
    </w:tblPr>
  </w:style>
  <w:style w:type="table" w:customStyle="1" w:styleId="aff2">
    <w:basedOn w:val="TableNormal7"/>
    <w:pPr>
      <w:spacing w:after="0" w:line="240" w:lineRule="auto"/>
    </w:pPr>
    <w:tblPr>
      <w:tblStyleRowBandSize w:val="1"/>
      <w:tblStyleColBandSize w:val="1"/>
      <w:tblCellMar>
        <w:left w:w="108" w:type="dxa"/>
        <w:right w:w="108" w:type="dxa"/>
      </w:tblCellMar>
    </w:tblPr>
  </w:style>
  <w:style w:type="table" w:customStyle="1" w:styleId="aff3">
    <w:basedOn w:val="TableNormal6"/>
    <w:pPr>
      <w:spacing w:after="0" w:line="240" w:lineRule="auto"/>
    </w:pPr>
    <w:tblPr>
      <w:tblStyleRowBandSize w:val="1"/>
      <w:tblStyleColBandSize w:val="1"/>
      <w:tblCellMar>
        <w:left w:w="108" w:type="dxa"/>
        <w:right w:w="108" w:type="dxa"/>
      </w:tblCellMar>
    </w:tblPr>
  </w:style>
  <w:style w:type="table" w:customStyle="1" w:styleId="aff4">
    <w:basedOn w:val="TableNormal6"/>
    <w:pPr>
      <w:spacing w:after="0" w:line="240" w:lineRule="auto"/>
    </w:pPr>
    <w:tblPr>
      <w:tblStyleRowBandSize w:val="1"/>
      <w:tblStyleColBandSize w:val="1"/>
      <w:tblCellMar>
        <w:left w:w="108" w:type="dxa"/>
        <w:right w:w="108" w:type="dxa"/>
      </w:tblCellMar>
    </w:tblPr>
  </w:style>
  <w:style w:type="table" w:customStyle="1" w:styleId="aff5">
    <w:basedOn w:val="TableNormal6"/>
    <w:pPr>
      <w:spacing w:after="0" w:line="240" w:lineRule="auto"/>
    </w:pPr>
    <w:tblPr>
      <w:tblStyleRowBandSize w:val="1"/>
      <w:tblStyleColBandSize w:val="1"/>
      <w:tblCellMar>
        <w:left w:w="108" w:type="dxa"/>
        <w:right w:w="108" w:type="dxa"/>
      </w:tblCellMar>
    </w:tblPr>
  </w:style>
  <w:style w:type="table" w:customStyle="1" w:styleId="aff6">
    <w:basedOn w:val="TableNormal6"/>
    <w:pPr>
      <w:spacing w:after="0" w:line="240" w:lineRule="auto"/>
    </w:pPr>
    <w:tblPr>
      <w:tblStyleRowBandSize w:val="1"/>
      <w:tblStyleColBandSize w:val="1"/>
      <w:tblCellMar>
        <w:left w:w="108" w:type="dxa"/>
        <w:right w:w="108" w:type="dxa"/>
      </w:tblCellMar>
    </w:tblPr>
  </w:style>
  <w:style w:type="table" w:customStyle="1" w:styleId="aff7">
    <w:basedOn w:val="TableNormal5"/>
    <w:pPr>
      <w:spacing w:after="0" w:line="240" w:lineRule="auto"/>
    </w:pPr>
    <w:tblPr>
      <w:tblStyleRowBandSize w:val="1"/>
      <w:tblStyleColBandSize w:val="1"/>
      <w:tblCellMar>
        <w:left w:w="108" w:type="dxa"/>
        <w:right w:w="108" w:type="dxa"/>
      </w:tblCellMar>
    </w:tblPr>
  </w:style>
  <w:style w:type="table" w:customStyle="1" w:styleId="aff8">
    <w:basedOn w:val="TableNormal5"/>
    <w:pPr>
      <w:spacing w:after="0" w:line="240" w:lineRule="auto"/>
    </w:pPr>
    <w:tblPr>
      <w:tblStyleRowBandSize w:val="1"/>
      <w:tblStyleColBandSize w:val="1"/>
      <w:tblCellMar>
        <w:left w:w="108" w:type="dxa"/>
        <w:right w:w="108" w:type="dxa"/>
      </w:tblCellMar>
    </w:tblPr>
  </w:style>
  <w:style w:type="table" w:customStyle="1" w:styleId="aff9">
    <w:basedOn w:val="TableNormal5"/>
    <w:pPr>
      <w:spacing w:after="0" w:line="240" w:lineRule="auto"/>
    </w:pPr>
    <w:tblPr>
      <w:tblStyleRowBandSize w:val="1"/>
      <w:tblStyleColBandSize w:val="1"/>
      <w:tblCellMar>
        <w:left w:w="108" w:type="dxa"/>
        <w:right w:w="108" w:type="dxa"/>
      </w:tblCellMar>
    </w:tblPr>
  </w:style>
  <w:style w:type="table" w:customStyle="1" w:styleId="affa">
    <w:basedOn w:val="TableNormal5"/>
    <w:pPr>
      <w:spacing w:after="0" w:line="240" w:lineRule="auto"/>
    </w:pPr>
    <w:tblPr>
      <w:tblStyleRowBandSize w:val="1"/>
      <w:tblStyleColBandSize w:val="1"/>
      <w:tblCellMar>
        <w:left w:w="108" w:type="dxa"/>
        <w:right w:w="108" w:type="dxa"/>
      </w:tblCellMar>
    </w:tblPr>
  </w:style>
  <w:style w:type="table" w:customStyle="1" w:styleId="affb">
    <w:basedOn w:val="TableNormal5"/>
    <w:pPr>
      <w:spacing w:after="0" w:line="240" w:lineRule="auto"/>
    </w:pPr>
    <w:tblPr>
      <w:tblStyleRowBandSize w:val="1"/>
      <w:tblStyleColBandSize w:val="1"/>
      <w:tblCellMar>
        <w:left w:w="108" w:type="dxa"/>
        <w:right w:w="108" w:type="dxa"/>
      </w:tblCellMar>
    </w:tblPr>
  </w:style>
  <w:style w:type="table" w:customStyle="1" w:styleId="affc">
    <w:basedOn w:val="TableNormal5"/>
    <w:pPr>
      <w:spacing w:after="0" w:line="240" w:lineRule="auto"/>
    </w:pPr>
    <w:tblPr>
      <w:tblStyleRowBandSize w:val="1"/>
      <w:tblStyleColBandSize w:val="1"/>
      <w:tblCellMar>
        <w:left w:w="108" w:type="dxa"/>
        <w:right w:w="108" w:type="dxa"/>
      </w:tblCellMar>
    </w:tblPr>
  </w:style>
  <w:style w:type="table" w:customStyle="1" w:styleId="affd">
    <w:basedOn w:val="TableNormal5"/>
    <w:pPr>
      <w:spacing w:after="0" w:line="240" w:lineRule="auto"/>
    </w:pPr>
    <w:tblPr>
      <w:tblStyleRowBandSize w:val="1"/>
      <w:tblStyleColBandSize w:val="1"/>
      <w:tblCellMar>
        <w:left w:w="108" w:type="dxa"/>
        <w:right w:w="108" w:type="dxa"/>
      </w:tblCellMar>
    </w:tblPr>
  </w:style>
  <w:style w:type="table" w:customStyle="1" w:styleId="affe">
    <w:basedOn w:val="TableNormal5"/>
    <w:pPr>
      <w:spacing w:after="0" w:line="240" w:lineRule="auto"/>
    </w:pPr>
    <w:tblPr>
      <w:tblStyleRowBandSize w:val="1"/>
      <w:tblStyleColBandSize w:val="1"/>
      <w:tblCellMar>
        <w:left w:w="108" w:type="dxa"/>
        <w:right w:w="108" w:type="dxa"/>
      </w:tblCellMar>
    </w:tblPr>
  </w:style>
  <w:style w:type="table" w:customStyle="1" w:styleId="afff">
    <w:basedOn w:val="TableNormal5"/>
    <w:pPr>
      <w:spacing w:after="0" w:line="240" w:lineRule="auto"/>
    </w:pPr>
    <w:tblPr>
      <w:tblStyleRowBandSize w:val="1"/>
      <w:tblStyleColBandSize w:val="1"/>
      <w:tblCellMar>
        <w:left w:w="108" w:type="dxa"/>
        <w:right w:w="108" w:type="dxa"/>
      </w:tblCellMar>
    </w:tblPr>
  </w:style>
  <w:style w:type="table" w:customStyle="1" w:styleId="afff0">
    <w:basedOn w:val="TableNormal5"/>
    <w:pPr>
      <w:spacing w:after="0" w:line="240" w:lineRule="auto"/>
    </w:pPr>
    <w:tblPr>
      <w:tblStyleRowBandSize w:val="1"/>
      <w:tblStyleColBandSize w:val="1"/>
      <w:tblCellMar>
        <w:left w:w="108" w:type="dxa"/>
        <w:right w:w="108" w:type="dxa"/>
      </w:tblCellMar>
    </w:tblPr>
  </w:style>
  <w:style w:type="table" w:customStyle="1" w:styleId="afff1">
    <w:basedOn w:val="TableNormal5"/>
    <w:pPr>
      <w:spacing w:after="0" w:line="240" w:lineRule="auto"/>
    </w:pPr>
    <w:tblPr>
      <w:tblStyleRowBandSize w:val="1"/>
      <w:tblStyleColBandSize w:val="1"/>
      <w:tblCellMar>
        <w:left w:w="108" w:type="dxa"/>
        <w:right w:w="108" w:type="dxa"/>
      </w:tblCellMar>
    </w:tblPr>
  </w:style>
  <w:style w:type="table" w:customStyle="1" w:styleId="afff2">
    <w:basedOn w:val="TableNormal5"/>
    <w:pPr>
      <w:spacing w:after="0" w:line="240" w:lineRule="auto"/>
    </w:pPr>
    <w:tblPr>
      <w:tblStyleRowBandSize w:val="1"/>
      <w:tblStyleColBandSize w:val="1"/>
      <w:tblCellMar>
        <w:left w:w="108" w:type="dxa"/>
        <w:right w:w="108" w:type="dxa"/>
      </w:tblCellMar>
    </w:tblPr>
  </w:style>
  <w:style w:type="table" w:customStyle="1" w:styleId="afff3">
    <w:basedOn w:val="TableNormal5"/>
    <w:pPr>
      <w:spacing w:after="0" w:line="240" w:lineRule="auto"/>
    </w:pPr>
    <w:tblPr>
      <w:tblStyleRowBandSize w:val="1"/>
      <w:tblStyleColBandSize w:val="1"/>
      <w:tblCellMar>
        <w:left w:w="108" w:type="dxa"/>
        <w:right w:w="108" w:type="dxa"/>
      </w:tblCellMar>
    </w:tblPr>
  </w:style>
  <w:style w:type="table" w:customStyle="1" w:styleId="afff4">
    <w:basedOn w:val="TableNormal5"/>
    <w:pPr>
      <w:spacing w:after="0" w:line="240" w:lineRule="auto"/>
    </w:pPr>
    <w:tblPr>
      <w:tblStyleRowBandSize w:val="1"/>
      <w:tblStyleColBandSize w:val="1"/>
      <w:tblCellMar>
        <w:left w:w="108" w:type="dxa"/>
        <w:right w:w="108" w:type="dxa"/>
      </w:tblCellMar>
    </w:tblPr>
  </w:style>
  <w:style w:type="table" w:customStyle="1" w:styleId="afff5">
    <w:basedOn w:val="TableNormal5"/>
    <w:pPr>
      <w:spacing w:after="0" w:line="240" w:lineRule="auto"/>
    </w:pPr>
    <w:tblPr>
      <w:tblStyleRowBandSize w:val="1"/>
      <w:tblStyleColBandSize w:val="1"/>
      <w:tblCellMar>
        <w:left w:w="108" w:type="dxa"/>
        <w:right w:w="108" w:type="dxa"/>
      </w:tblCellMar>
    </w:tblPr>
  </w:style>
  <w:style w:type="table" w:customStyle="1" w:styleId="afff6">
    <w:basedOn w:val="TableNormal5"/>
    <w:pPr>
      <w:spacing w:after="0" w:line="240" w:lineRule="auto"/>
    </w:pPr>
    <w:tblPr>
      <w:tblStyleRowBandSize w:val="1"/>
      <w:tblStyleColBandSize w:val="1"/>
      <w:tblCellMar>
        <w:left w:w="108" w:type="dxa"/>
        <w:right w:w="108" w:type="dxa"/>
      </w:tblCellMar>
    </w:tblPr>
  </w:style>
  <w:style w:type="table" w:customStyle="1" w:styleId="afff7">
    <w:basedOn w:val="TableNormal5"/>
    <w:pPr>
      <w:spacing w:after="0" w:line="240" w:lineRule="auto"/>
    </w:pPr>
    <w:tblPr>
      <w:tblStyleRowBandSize w:val="1"/>
      <w:tblStyleColBandSize w:val="1"/>
      <w:tblCellMar>
        <w:left w:w="108" w:type="dxa"/>
        <w:right w:w="108" w:type="dxa"/>
      </w:tblCellMar>
    </w:tblPr>
  </w:style>
  <w:style w:type="table" w:customStyle="1" w:styleId="afff8">
    <w:basedOn w:val="TableNormal5"/>
    <w:pPr>
      <w:spacing w:after="0" w:line="240" w:lineRule="auto"/>
    </w:pPr>
    <w:tblPr>
      <w:tblStyleRowBandSize w:val="1"/>
      <w:tblStyleColBandSize w:val="1"/>
      <w:tblCellMar>
        <w:left w:w="108" w:type="dxa"/>
        <w:right w:w="108" w:type="dxa"/>
      </w:tblCellMar>
    </w:tblPr>
  </w:style>
  <w:style w:type="table" w:customStyle="1" w:styleId="afff9">
    <w:basedOn w:val="TableNormal5"/>
    <w:pPr>
      <w:spacing w:after="0" w:line="240" w:lineRule="auto"/>
    </w:pPr>
    <w:tblPr>
      <w:tblStyleRowBandSize w:val="1"/>
      <w:tblStyleColBandSize w:val="1"/>
      <w:tblCellMar>
        <w:left w:w="108" w:type="dxa"/>
        <w:right w:w="108" w:type="dxa"/>
      </w:tblCellMar>
    </w:tblPr>
  </w:style>
  <w:style w:type="table" w:customStyle="1" w:styleId="afffa">
    <w:basedOn w:val="TableNormal5"/>
    <w:pPr>
      <w:spacing w:after="0" w:line="240" w:lineRule="auto"/>
    </w:pPr>
    <w:tblPr>
      <w:tblStyleRowBandSize w:val="1"/>
      <w:tblStyleColBandSize w:val="1"/>
      <w:tblCellMar>
        <w:left w:w="108" w:type="dxa"/>
        <w:right w:w="108" w:type="dxa"/>
      </w:tblCellMar>
    </w:tblPr>
  </w:style>
  <w:style w:type="table" w:customStyle="1" w:styleId="afffb">
    <w:basedOn w:val="TableNormal5"/>
    <w:pPr>
      <w:spacing w:after="0" w:line="240" w:lineRule="auto"/>
    </w:pPr>
    <w:tblPr>
      <w:tblStyleRowBandSize w:val="1"/>
      <w:tblStyleColBandSize w:val="1"/>
      <w:tblCellMar>
        <w:left w:w="108" w:type="dxa"/>
        <w:right w:w="108" w:type="dxa"/>
      </w:tblCellMar>
    </w:tblPr>
  </w:style>
  <w:style w:type="table" w:customStyle="1" w:styleId="afffc">
    <w:basedOn w:val="TableNormal5"/>
    <w:pPr>
      <w:spacing w:after="0" w:line="240" w:lineRule="auto"/>
    </w:pPr>
    <w:tblPr>
      <w:tblStyleRowBandSize w:val="1"/>
      <w:tblStyleColBandSize w:val="1"/>
      <w:tblCellMar>
        <w:left w:w="108" w:type="dxa"/>
        <w:right w:w="108" w:type="dxa"/>
      </w:tblCellMar>
    </w:tblPr>
  </w:style>
  <w:style w:type="table" w:customStyle="1" w:styleId="afffd">
    <w:basedOn w:val="TableNormal4"/>
    <w:pPr>
      <w:spacing w:after="0" w:line="240" w:lineRule="auto"/>
    </w:pPr>
    <w:tblPr>
      <w:tblStyleRowBandSize w:val="1"/>
      <w:tblStyleColBandSize w:val="1"/>
      <w:tblCellMar>
        <w:left w:w="108" w:type="dxa"/>
        <w:right w:w="108" w:type="dxa"/>
      </w:tblCellMar>
    </w:tblPr>
  </w:style>
  <w:style w:type="table" w:customStyle="1" w:styleId="afffe">
    <w:basedOn w:val="TableNormal4"/>
    <w:pPr>
      <w:spacing w:after="0" w:line="240" w:lineRule="auto"/>
    </w:pPr>
    <w:tblPr>
      <w:tblStyleRowBandSize w:val="1"/>
      <w:tblStyleColBandSize w:val="1"/>
      <w:tblCellMar>
        <w:left w:w="108" w:type="dxa"/>
        <w:right w:w="108" w:type="dxa"/>
      </w:tblCellMar>
    </w:tblPr>
  </w:style>
  <w:style w:type="table" w:customStyle="1" w:styleId="affff">
    <w:basedOn w:val="TableNormal4"/>
    <w:pPr>
      <w:spacing w:after="0" w:line="240" w:lineRule="auto"/>
    </w:pPr>
    <w:tblPr>
      <w:tblStyleRowBandSize w:val="1"/>
      <w:tblStyleColBandSize w:val="1"/>
      <w:tblCellMar>
        <w:left w:w="108" w:type="dxa"/>
        <w:right w:w="108" w:type="dxa"/>
      </w:tblCellMar>
    </w:tblPr>
  </w:style>
  <w:style w:type="table" w:customStyle="1" w:styleId="affff0">
    <w:basedOn w:val="TableNormal4"/>
    <w:pPr>
      <w:spacing w:after="0" w:line="240" w:lineRule="auto"/>
    </w:pPr>
    <w:tblPr>
      <w:tblStyleRowBandSize w:val="1"/>
      <w:tblStyleColBandSize w:val="1"/>
      <w:tblCellMar>
        <w:left w:w="108" w:type="dxa"/>
        <w:right w:w="108" w:type="dxa"/>
      </w:tblCellMar>
    </w:tblPr>
  </w:style>
  <w:style w:type="table" w:customStyle="1" w:styleId="affff1">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3"/>
    <w:pPr>
      <w:spacing w:after="0" w:line="240" w:lineRule="auto"/>
    </w:pPr>
    <w:tblPr>
      <w:tblStyleRowBandSize w:val="1"/>
      <w:tblStyleColBandSize w:val="1"/>
      <w:tblCellMar>
        <w:left w:w="108" w:type="dxa"/>
        <w:right w:w="108" w:type="dxa"/>
      </w:tblCellMar>
    </w:tblPr>
  </w:style>
  <w:style w:type="table" w:customStyle="1" w:styleId="affff3">
    <w:basedOn w:val="TableNormal3"/>
    <w:pPr>
      <w:spacing w:after="0" w:line="240" w:lineRule="auto"/>
    </w:pPr>
    <w:tblPr>
      <w:tblStyleRowBandSize w:val="1"/>
      <w:tblStyleColBandSize w:val="1"/>
      <w:tblCellMar>
        <w:left w:w="108" w:type="dxa"/>
        <w:right w:w="108" w:type="dxa"/>
      </w:tblCellMar>
    </w:tblPr>
  </w:style>
  <w:style w:type="table" w:customStyle="1" w:styleId="affff4">
    <w:basedOn w:val="TableNormal3"/>
    <w:pPr>
      <w:spacing w:after="0" w:line="240" w:lineRule="auto"/>
    </w:pPr>
    <w:tblPr>
      <w:tblStyleRowBandSize w:val="1"/>
      <w:tblStyleColBandSize w:val="1"/>
      <w:tblCellMar>
        <w:left w:w="108" w:type="dxa"/>
        <w:right w:w="108" w:type="dxa"/>
      </w:tblCellMar>
    </w:tblPr>
  </w:style>
  <w:style w:type="table" w:customStyle="1" w:styleId="affff5">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2"/>
    <w:pPr>
      <w:spacing w:after="0" w:line="240" w:lineRule="auto"/>
    </w:pPr>
    <w:tblPr>
      <w:tblStyleRowBandSize w:val="1"/>
      <w:tblStyleColBandSize w:val="1"/>
      <w:tblCellMar>
        <w:left w:w="108" w:type="dxa"/>
        <w:right w:w="108" w:type="dxa"/>
      </w:tblCellMar>
    </w:tblPr>
  </w:style>
  <w:style w:type="table" w:customStyle="1" w:styleId="affff7">
    <w:basedOn w:val="TableNormal2"/>
    <w:pPr>
      <w:spacing w:after="0" w:line="240" w:lineRule="auto"/>
    </w:pPr>
    <w:tblPr>
      <w:tblStyleRowBandSize w:val="1"/>
      <w:tblStyleColBandSize w:val="1"/>
      <w:tblCellMar>
        <w:left w:w="108" w:type="dxa"/>
        <w:right w:w="108" w:type="dxa"/>
      </w:tblCellMar>
    </w:tblPr>
  </w:style>
  <w:style w:type="table" w:customStyle="1" w:styleId="affff8">
    <w:basedOn w:val="TableNormal2"/>
    <w:pPr>
      <w:spacing w:after="0" w:line="240" w:lineRule="auto"/>
    </w:pPr>
    <w:tblPr>
      <w:tblStyleRowBandSize w:val="1"/>
      <w:tblStyleColBandSize w:val="1"/>
      <w:tblCellMar>
        <w:left w:w="108" w:type="dxa"/>
        <w:right w:w="108" w:type="dxa"/>
      </w:tblCellMar>
    </w:tblPr>
  </w:style>
  <w:style w:type="table" w:customStyle="1" w:styleId="affff9">
    <w:basedOn w:val="TableNormal2"/>
    <w:pPr>
      <w:spacing w:after="0" w:line="240" w:lineRule="auto"/>
    </w:pPr>
    <w:tblPr>
      <w:tblStyleRowBandSize w:val="1"/>
      <w:tblStyleColBandSize w:val="1"/>
      <w:tblCellMar>
        <w:left w:w="108" w:type="dxa"/>
        <w:right w:w="108" w:type="dxa"/>
      </w:tblCellMar>
    </w:tblPr>
  </w:style>
  <w:style w:type="table" w:customStyle="1" w:styleId="affffa">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1"/>
    <w:pPr>
      <w:spacing w:after="0" w:line="240" w:lineRule="auto"/>
    </w:pPr>
    <w:tblPr>
      <w:tblStyleRowBandSize w:val="1"/>
      <w:tblStyleColBandSize w:val="1"/>
      <w:tblCellMar>
        <w:left w:w="108" w:type="dxa"/>
        <w:right w:w="108" w:type="dxa"/>
      </w:tblCellMar>
    </w:tblPr>
  </w:style>
  <w:style w:type="table" w:customStyle="1" w:styleId="affffc">
    <w:basedOn w:val="TableNormal1"/>
    <w:pPr>
      <w:spacing w:after="0" w:line="240" w:lineRule="auto"/>
    </w:pPr>
    <w:tblPr>
      <w:tblStyleRowBandSize w:val="1"/>
      <w:tblStyleColBandSize w:val="1"/>
      <w:tblCellMar>
        <w:left w:w="108" w:type="dxa"/>
        <w:right w:w="108" w:type="dxa"/>
      </w:tblCellMar>
    </w:tblPr>
  </w:style>
  <w:style w:type="table" w:customStyle="1" w:styleId="affffd">
    <w:basedOn w:val="TableNormal1"/>
    <w:pPr>
      <w:spacing w:after="0" w:line="240" w:lineRule="auto"/>
    </w:pPr>
    <w:tblPr>
      <w:tblStyleRowBandSize w:val="1"/>
      <w:tblStyleColBandSize w:val="1"/>
      <w:tblCellMar>
        <w:left w:w="108" w:type="dxa"/>
        <w:right w:w="108" w:type="dxa"/>
      </w:tblCellMar>
    </w:tblPr>
  </w:style>
  <w:style w:type="table" w:customStyle="1" w:styleId="affffe">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tuIDeFRGKg5gDusLRybo0kdqw==">CgMxLjAyDmgueDYxYWoxejNxMmF6Mg5oLnFsOGdwaDNhc3MxMjIIaC5namRneHMyDmguZHQ0dW80cmp0enlvMg5oLng1dTAxcGEycXZoeTIOaC42cDRqMTh4ZDE5NmgyCWguMmV0OTJwMDIOaC5vaGxnZWlvdjQ4cGgyDmguOXJnYnhqMW91ZTg5Mg5oLmNkamExNzZ2bjM0NjIOaC5td3JtbTAybnRubmYyDmguanhoY3VqMm9yOHphMg5oLjRtOGl6NzFmaWswaTIOaC5rd2x2YTJnMG91azMyDmguZjlxandsOGE3a2s4Mg5oLmd5Y3FiMWgydnNsdDIOaC5hcmd5MjFxbmttaHI4AHIhMWZjSGx3T3J6dVZTOWJUd2pyMHlaVzFOMl9fRTFKcUd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41EBB4-7286-41AB-8DE5-80FA5604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4287</Words>
  <Characters>23581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3</cp:revision>
  <cp:lastPrinted>2025-08-29T12:32:00Z</cp:lastPrinted>
  <dcterms:created xsi:type="dcterms:W3CDTF">2025-08-29T13:33:00Z</dcterms:created>
  <dcterms:modified xsi:type="dcterms:W3CDTF">2025-09-25T21:27:00Z</dcterms:modified>
</cp:coreProperties>
</file>