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FD6D"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veinte de agosto de dos mil veinticinco. </w:t>
      </w:r>
    </w:p>
    <w:p w14:paraId="27AA42FF" w14:textId="1A94B0BE" w:rsidR="005576BB" w:rsidRPr="00C954EE" w:rsidRDefault="00302DF8">
      <w:pPr>
        <w:tabs>
          <w:tab w:val="left" w:pos="5812"/>
        </w:tabs>
        <w:spacing w:before="240" w:after="240" w:line="360" w:lineRule="auto"/>
        <w:jc w:val="both"/>
        <w:rPr>
          <w:rFonts w:ascii="Palatino Linotype" w:eastAsia="Palatino Linotype" w:hAnsi="Palatino Linotype" w:cs="Palatino Linotype"/>
          <w:sz w:val="22"/>
          <w:szCs w:val="22"/>
        </w:rPr>
      </w:pPr>
      <w:bookmarkStart w:id="0" w:name="_heading=h.daj3j2xo6q66" w:colFirst="0" w:colLast="0"/>
      <w:bookmarkEnd w:id="0"/>
      <w:r w:rsidRPr="00C954EE">
        <w:rPr>
          <w:rFonts w:ascii="Palatino Linotype" w:eastAsia="Palatino Linotype" w:hAnsi="Palatino Linotype" w:cs="Palatino Linotype"/>
          <w:b/>
          <w:sz w:val="22"/>
          <w:szCs w:val="22"/>
        </w:rPr>
        <w:t>VISTO</w:t>
      </w:r>
      <w:r w:rsidRPr="00C954EE">
        <w:rPr>
          <w:rFonts w:ascii="Palatino Linotype" w:eastAsia="Palatino Linotype" w:hAnsi="Palatino Linotype" w:cs="Palatino Linotype"/>
          <w:sz w:val="22"/>
          <w:szCs w:val="22"/>
        </w:rPr>
        <w:t xml:space="preserve"> el expediente formado con motivo del recurso de revisión </w:t>
      </w:r>
      <w:r w:rsidRPr="00C954EE">
        <w:rPr>
          <w:rFonts w:ascii="Palatino Linotype" w:eastAsia="Palatino Linotype" w:hAnsi="Palatino Linotype" w:cs="Palatino Linotype"/>
          <w:b/>
          <w:sz w:val="22"/>
          <w:szCs w:val="22"/>
        </w:rPr>
        <w:t>05234/INFOEM/IP/RR/2025</w:t>
      </w:r>
      <w:r w:rsidRPr="00C954EE">
        <w:rPr>
          <w:rFonts w:ascii="Palatino Linotype" w:eastAsia="Palatino Linotype" w:hAnsi="Palatino Linotype" w:cs="Palatino Linotype"/>
          <w:sz w:val="22"/>
          <w:szCs w:val="22"/>
        </w:rPr>
        <w:t>, interpuesto por</w:t>
      </w:r>
      <w:r w:rsidRPr="00C954EE">
        <w:rPr>
          <w:rFonts w:ascii="Palatino Linotype" w:eastAsia="Palatino Linotype" w:hAnsi="Palatino Linotype" w:cs="Palatino Linotype"/>
          <w:b/>
          <w:sz w:val="22"/>
          <w:szCs w:val="22"/>
        </w:rPr>
        <w:t xml:space="preserve"> </w:t>
      </w:r>
      <w:r w:rsidR="002D5B35">
        <w:rPr>
          <w:rFonts w:ascii="Palatino Linotype" w:eastAsia="Palatino Linotype" w:hAnsi="Palatino Linotype" w:cs="Palatino Linotype"/>
          <w:b/>
          <w:sz w:val="22"/>
          <w:szCs w:val="22"/>
        </w:rPr>
        <w:t>XXXXX XXXXXX XXXXX XXXX</w:t>
      </w:r>
      <w:r w:rsidRPr="00C954EE">
        <w:rPr>
          <w:rFonts w:ascii="Palatino Linotype" w:eastAsia="Palatino Linotype" w:hAnsi="Palatino Linotype" w:cs="Palatino Linotype"/>
          <w:b/>
          <w:sz w:val="22"/>
          <w:szCs w:val="22"/>
        </w:rPr>
        <w:t>,</w:t>
      </w:r>
      <w:r w:rsidRPr="00C954EE">
        <w:rPr>
          <w:rFonts w:ascii="Palatino Linotype" w:eastAsia="Palatino Linotype" w:hAnsi="Palatino Linotype" w:cs="Palatino Linotype"/>
          <w:sz w:val="22"/>
          <w:szCs w:val="22"/>
        </w:rPr>
        <w:t xml:space="preserve"> en lo sucesivo</w:t>
      </w:r>
      <w:r w:rsidRPr="00C954EE">
        <w:rPr>
          <w:rFonts w:ascii="Palatino Linotype" w:eastAsia="Palatino Linotype" w:hAnsi="Palatino Linotype" w:cs="Palatino Linotype"/>
          <w:b/>
          <w:sz w:val="22"/>
          <w:szCs w:val="22"/>
        </w:rPr>
        <w:t xml:space="preserve"> </w:t>
      </w:r>
      <w:r w:rsidRPr="00C954EE">
        <w:rPr>
          <w:rFonts w:ascii="Palatino Linotype" w:eastAsia="Palatino Linotype" w:hAnsi="Palatino Linotype" w:cs="Palatino Linotype"/>
          <w:sz w:val="22"/>
          <w:szCs w:val="22"/>
        </w:rPr>
        <w:t xml:space="preserve">la parte </w:t>
      </w:r>
      <w:r w:rsidRPr="00C954EE">
        <w:rPr>
          <w:rFonts w:ascii="Palatino Linotype" w:eastAsia="Palatino Linotype" w:hAnsi="Palatino Linotype" w:cs="Palatino Linotype"/>
          <w:b/>
          <w:sz w:val="22"/>
          <w:szCs w:val="22"/>
        </w:rPr>
        <w:t>Recurrente,</w:t>
      </w:r>
      <w:r w:rsidRPr="00C954EE">
        <w:rPr>
          <w:rFonts w:ascii="Palatino Linotype" w:eastAsia="Palatino Linotype" w:hAnsi="Palatino Linotype" w:cs="Palatino Linotype"/>
          <w:sz w:val="22"/>
          <w:szCs w:val="22"/>
        </w:rPr>
        <w:t xml:space="preserve"> en contra de la respuesta a la solicitud de información con número de folio</w:t>
      </w:r>
      <w:r w:rsidRPr="00C954EE">
        <w:rPr>
          <w:rFonts w:ascii="Palatino Linotype" w:eastAsia="Palatino Linotype" w:hAnsi="Palatino Linotype" w:cs="Palatino Linotype"/>
          <w:b/>
          <w:sz w:val="22"/>
          <w:szCs w:val="22"/>
        </w:rPr>
        <w:t xml:space="preserve"> 00047/TMASCALC/IP/2025, </w:t>
      </w:r>
      <w:r w:rsidRPr="00C954EE">
        <w:rPr>
          <w:rFonts w:ascii="Palatino Linotype" w:eastAsia="Palatino Linotype" w:hAnsi="Palatino Linotype" w:cs="Palatino Linotype"/>
          <w:sz w:val="22"/>
          <w:szCs w:val="22"/>
        </w:rPr>
        <w:t xml:space="preserve">por parte del </w:t>
      </w:r>
      <w:r w:rsidRPr="00C954EE">
        <w:rPr>
          <w:rFonts w:ascii="Palatino Linotype" w:eastAsia="Palatino Linotype" w:hAnsi="Palatino Linotype" w:cs="Palatino Linotype"/>
          <w:b/>
          <w:sz w:val="22"/>
          <w:szCs w:val="22"/>
        </w:rPr>
        <w:t xml:space="preserve">Ayuntamiento de Temascalcingo, </w:t>
      </w:r>
      <w:r w:rsidRPr="00C954EE">
        <w:rPr>
          <w:rFonts w:ascii="Palatino Linotype" w:eastAsia="Palatino Linotype" w:hAnsi="Palatino Linotype" w:cs="Palatino Linotype"/>
          <w:sz w:val="22"/>
          <w:szCs w:val="22"/>
        </w:rPr>
        <w:t xml:space="preserve">en lo sucesivo el </w:t>
      </w:r>
      <w:r w:rsidRPr="00C954EE">
        <w:rPr>
          <w:rFonts w:ascii="Palatino Linotype" w:eastAsia="Palatino Linotype" w:hAnsi="Palatino Linotype" w:cs="Palatino Linotype"/>
          <w:b/>
          <w:sz w:val="22"/>
          <w:szCs w:val="22"/>
        </w:rPr>
        <w:t xml:space="preserve">Sujeto Obligado, </w:t>
      </w:r>
      <w:r w:rsidRPr="00C954EE">
        <w:rPr>
          <w:rFonts w:ascii="Palatino Linotype" w:eastAsia="Palatino Linotype" w:hAnsi="Palatino Linotype" w:cs="Palatino Linotype"/>
          <w:sz w:val="22"/>
          <w:szCs w:val="22"/>
        </w:rPr>
        <w:t xml:space="preserve">se procede a dictar la presente resolución con base en los siguientes: </w:t>
      </w:r>
    </w:p>
    <w:p w14:paraId="49D908FA" w14:textId="77777777" w:rsidR="005576BB" w:rsidRPr="00C954EE" w:rsidRDefault="00302DF8">
      <w:pPr>
        <w:spacing w:before="240" w:after="240" w:line="360" w:lineRule="auto"/>
        <w:jc w:val="center"/>
        <w:rPr>
          <w:rFonts w:ascii="Palatino Linotype" w:eastAsia="Palatino Linotype" w:hAnsi="Palatino Linotype" w:cs="Palatino Linotype"/>
          <w:b/>
          <w:sz w:val="22"/>
          <w:szCs w:val="22"/>
        </w:rPr>
      </w:pPr>
      <w:r w:rsidRPr="00C954EE">
        <w:rPr>
          <w:rFonts w:ascii="Palatino Linotype" w:eastAsia="Palatino Linotype" w:hAnsi="Palatino Linotype" w:cs="Palatino Linotype"/>
          <w:b/>
          <w:sz w:val="22"/>
          <w:szCs w:val="22"/>
        </w:rPr>
        <w:t>I. A N T E C E D E N T E S</w:t>
      </w:r>
    </w:p>
    <w:p w14:paraId="263A3E95"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bookmarkStart w:id="1" w:name="_heading=h.gjdgxs" w:colFirst="0" w:colLast="0"/>
      <w:bookmarkEnd w:id="1"/>
      <w:r w:rsidRPr="00C954EE">
        <w:rPr>
          <w:rFonts w:ascii="Palatino Linotype" w:eastAsia="Palatino Linotype" w:hAnsi="Palatino Linotype" w:cs="Palatino Linotype"/>
          <w:b/>
          <w:sz w:val="22"/>
          <w:szCs w:val="22"/>
        </w:rPr>
        <w:t>1. Solicitud de acceso a la información.</w:t>
      </w:r>
      <w:r w:rsidRPr="00C954EE">
        <w:rPr>
          <w:rFonts w:ascii="Palatino Linotype" w:eastAsia="Palatino Linotype" w:hAnsi="Palatino Linotype" w:cs="Palatino Linotype"/>
          <w:sz w:val="22"/>
          <w:szCs w:val="22"/>
        </w:rPr>
        <w:t xml:space="preserve"> El </w:t>
      </w:r>
      <w:r w:rsidRPr="00C954EE">
        <w:rPr>
          <w:rFonts w:ascii="Palatino Linotype" w:eastAsia="Palatino Linotype" w:hAnsi="Palatino Linotype" w:cs="Palatino Linotype"/>
          <w:b/>
          <w:sz w:val="22"/>
          <w:szCs w:val="22"/>
        </w:rPr>
        <w:t>cinco de abril de dos mil veinticinco,</w:t>
      </w:r>
      <w:r w:rsidRPr="00C954EE">
        <w:rPr>
          <w:rFonts w:ascii="Palatino Linotype" w:eastAsia="Palatino Linotype" w:hAnsi="Palatino Linotype" w:cs="Palatino Linotype"/>
          <w:sz w:val="22"/>
          <w:szCs w:val="22"/>
        </w:rPr>
        <w:t xml:space="preserve"> la parte </w:t>
      </w:r>
      <w:r w:rsidRPr="00C954EE">
        <w:rPr>
          <w:rFonts w:ascii="Palatino Linotype" w:eastAsia="Palatino Linotype" w:hAnsi="Palatino Linotype" w:cs="Palatino Linotype"/>
          <w:b/>
          <w:sz w:val="22"/>
          <w:szCs w:val="22"/>
        </w:rPr>
        <w:t xml:space="preserve">Recurrente </w:t>
      </w:r>
      <w:r w:rsidRPr="00C954EE">
        <w:rPr>
          <w:rFonts w:ascii="Palatino Linotype" w:eastAsia="Palatino Linotype" w:hAnsi="Palatino Linotype" w:cs="Palatino Linotype"/>
          <w:sz w:val="22"/>
          <w:szCs w:val="22"/>
        </w:rPr>
        <w:t xml:space="preserve">presentó la solicitud de acceso a la información pública ante el </w:t>
      </w:r>
      <w:r w:rsidRPr="00C954EE">
        <w:rPr>
          <w:rFonts w:ascii="Palatino Linotype" w:eastAsia="Palatino Linotype" w:hAnsi="Palatino Linotype" w:cs="Palatino Linotype"/>
          <w:b/>
          <w:sz w:val="22"/>
          <w:szCs w:val="22"/>
        </w:rPr>
        <w:t>Sujeto Obligado</w:t>
      </w:r>
      <w:r w:rsidRPr="00C954EE">
        <w:rPr>
          <w:rFonts w:ascii="Palatino Linotype" w:eastAsia="Palatino Linotype" w:hAnsi="Palatino Linotype" w:cs="Palatino Linotype"/>
          <w:sz w:val="22"/>
          <w:szCs w:val="22"/>
        </w:rPr>
        <w:t xml:space="preserve">, a través del Sistema de Acceso a la Información Mexiquense, no obstante, por corresponder a un día inhábil, se registró el </w:t>
      </w:r>
      <w:r w:rsidRPr="00C954EE">
        <w:rPr>
          <w:rFonts w:ascii="Palatino Linotype" w:eastAsia="Palatino Linotype" w:hAnsi="Palatino Linotype" w:cs="Palatino Linotype"/>
          <w:b/>
          <w:sz w:val="22"/>
          <w:szCs w:val="22"/>
        </w:rPr>
        <w:t xml:space="preserve">siete de abril de dos mil veinticinco </w:t>
      </w:r>
      <w:r w:rsidRPr="00C954EE">
        <w:rPr>
          <w:rFonts w:ascii="Palatino Linotype" w:eastAsia="Palatino Linotype" w:hAnsi="Palatino Linotype" w:cs="Palatino Linotype"/>
          <w:sz w:val="22"/>
          <w:szCs w:val="22"/>
        </w:rPr>
        <w:t xml:space="preserve">en lo subsecuente el </w:t>
      </w:r>
      <w:r w:rsidRPr="00C954EE">
        <w:rPr>
          <w:rFonts w:ascii="Palatino Linotype" w:eastAsia="Palatino Linotype" w:hAnsi="Palatino Linotype" w:cs="Palatino Linotype"/>
          <w:b/>
          <w:sz w:val="22"/>
          <w:szCs w:val="22"/>
        </w:rPr>
        <w:t>SAIMEX,</w:t>
      </w:r>
      <w:r w:rsidRPr="00C954EE">
        <w:rPr>
          <w:rFonts w:ascii="Palatino Linotype" w:eastAsia="Palatino Linotype" w:hAnsi="Palatino Linotype" w:cs="Palatino Linotype"/>
          <w:sz w:val="22"/>
          <w:szCs w:val="22"/>
        </w:rPr>
        <w:t xml:space="preserve"> mediante la cual requirió lo siguiente:</w:t>
      </w:r>
    </w:p>
    <w:p w14:paraId="237F92DA" w14:textId="77777777" w:rsidR="005576BB" w:rsidRPr="00C954EE" w:rsidRDefault="00302DF8">
      <w:pPr>
        <w:spacing w:before="240" w:after="240" w:line="276" w:lineRule="auto"/>
        <w:ind w:left="851" w:right="902"/>
        <w:jc w:val="both"/>
        <w:rPr>
          <w:rFonts w:ascii="Palatino Linotype" w:eastAsia="Palatino Linotype" w:hAnsi="Palatino Linotype" w:cs="Palatino Linotype"/>
          <w:b/>
          <w:i/>
          <w:sz w:val="22"/>
          <w:szCs w:val="22"/>
        </w:rPr>
      </w:pPr>
      <w:r w:rsidRPr="00C954EE">
        <w:rPr>
          <w:rFonts w:ascii="Palatino Linotype" w:eastAsia="Palatino Linotype" w:hAnsi="Palatino Linotype" w:cs="Palatino Linotype"/>
          <w:i/>
          <w:sz w:val="22"/>
          <w:szCs w:val="22"/>
        </w:rPr>
        <w:t xml:space="preserve"> “requiero la siguiente </w:t>
      </w:r>
      <w:proofErr w:type="spellStart"/>
      <w:r w:rsidRPr="00C954EE">
        <w:rPr>
          <w:rFonts w:ascii="Palatino Linotype" w:eastAsia="Palatino Linotype" w:hAnsi="Palatino Linotype" w:cs="Palatino Linotype"/>
          <w:i/>
          <w:sz w:val="22"/>
          <w:szCs w:val="22"/>
        </w:rPr>
        <w:t>informacion</w:t>
      </w:r>
      <w:proofErr w:type="spellEnd"/>
      <w:r w:rsidRPr="00C954EE">
        <w:rPr>
          <w:rFonts w:ascii="Palatino Linotype" w:eastAsia="Palatino Linotype" w:hAnsi="Palatino Linotype" w:cs="Palatino Linotype"/>
          <w:i/>
          <w:sz w:val="22"/>
          <w:szCs w:val="22"/>
        </w:rPr>
        <w:t xml:space="preserve"> del 01 de enero al 31 de marzo del 2025 </w:t>
      </w:r>
      <w:proofErr w:type="spellStart"/>
      <w:r w:rsidRPr="00C954EE">
        <w:rPr>
          <w:rFonts w:ascii="Palatino Linotype" w:eastAsia="Palatino Linotype" w:hAnsi="Palatino Linotype" w:cs="Palatino Linotype"/>
          <w:i/>
          <w:sz w:val="22"/>
          <w:szCs w:val="22"/>
        </w:rPr>
        <w:t>osea</w:t>
      </w:r>
      <w:proofErr w:type="spellEnd"/>
      <w:r w:rsidRPr="00C954EE">
        <w:rPr>
          <w:rFonts w:ascii="Palatino Linotype" w:eastAsia="Palatino Linotype" w:hAnsi="Palatino Linotype" w:cs="Palatino Linotype"/>
          <w:i/>
          <w:sz w:val="22"/>
          <w:szCs w:val="22"/>
        </w:rPr>
        <w:t xml:space="preserve"> del primer trimestre lo </w:t>
      </w:r>
      <w:proofErr w:type="spellStart"/>
      <w:r w:rsidRPr="00C954EE">
        <w:rPr>
          <w:rFonts w:ascii="Palatino Linotype" w:eastAsia="Palatino Linotype" w:hAnsi="Palatino Linotype" w:cs="Palatino Linotype"/>
          <w:i/>
          <w:sz w:val="22"/>
          <w:szCs w:val="22"/>
        </w:rPr>
        <w:t>correspodiente</w:t>
      </w:r>
      <w:proofErr w:type="spellEnd"/>
      <w:r w:rsidRPr="00C954EE">
        <w:rPr>
          <w:rFonts w:ascii="Palatino Linotype" w:eastAsia="Palatino Linotype" w:hAnsi="Palatino Linotype" w:cs="Palatino Linotype"/>
          <w:i/>
          <w:sz w:val="22"/>
          <w:szCs w:val="22"/>
        </w:rPr>
        <w:t xml:space="preserve"> al </w:t>
      </w:r>
      <w:proofErr w:type="spellStart"/>
      <w:r w:rsidRPr="00C954EE">
        <w:rPr>
          <w:rFonts w:ascii="Palatino Linotype" w:eastAsia="Palatino Linotype" w:hAnsi="Palatino Linotype" w:cs="Palatino Linotype"/>
          <w:i/>
          <w:sz w:val="22"/>
          <w:szCs w:val="22"/>
        </w:rPr>
        <w:t>artuculo</w:t>
      </w:r>
      <w:proofErr w:type="spellEnd"/>
      <w:r w:rsidRPr="00C954EE">
        <w:rPr>
          <w:rFonts w:ascii="Palatino Linotype" w:eastAsia="Palatino Linotype" w:hAnsi="Palatino Linotype" w:cs="Palatino Linotype"/>
          <w:i/>
          <w:sz w:val="22"/>
          <w:szCs w:val="22"/>
        </w:rPr>
        <w:t xml:space="preserve"> 92 de la ley de la materia I - Normatividad Aplicable II A - Estructura orgánica II B - Organigrama III - Facultades de cada área IV - Objetivos y metas institucionales V A - Indicadores de interés público V B - Matriz de Indicadores para Resultados relacionados con temas de interés público o trascendencia social VI A - Indicadores de objetivos y resultados VI B - Matriz de Indicadores de Resultados VII - El directorio de todos los servidores públicos VIII A - Remuneraciones VIII B - Tabulador de sueldos y salarios IX - Gastos por concepto de viáticos y gastos de representación X A - Plazas vacantes X B - Total de plazas vacantes y ocupadas XI - Contrataciones </w:t>
      </w:r>
      <w:r w:rsidRPr="00C954EE">
        <w:rPr>
          <w:rFonts w:ascii="Palatino Linotype" w:eastAsia="Palatino Linotype" w:hAnsi="Palatino Linotype" w:cs="Palatino Linotype"/>
          <w:i/>
          <w:sz w:val="22"/>
          <w:szCs w:val="22"/>
        </w:rPr>
        <w:lastRenderedPageBreak/>
        <w:t xml:space="preserve">de servicios profesionales por honorarios XII - Perfil de los puestos de los servidores públicos XIII - Declaraciones patrimoniales de los servidores públicos XIV A - Programas de subsidios, estímulos y apoyos XIV B - Padrón de beneficiarios XV - Agenda de reuniones XVI - Domicilio de la unidad de transparencia XVII - Registro de solicitudes de acceso a la información recibidas y atendidas XVIII - Convocatorias a concursos para ocupar cargos públicos XIX - Índices de los expedientes clasificados como reservados XX A - Normatividad laboral XX B - Recursos públicos entregados a sindicatos XXI - Información curricular y sanciones administrativas XXII - Servidores públicos con sanciones administrativas definitivas XXIII - Servicios requisitos para acceder a ellos XXIV - Trámites, requisitos y formatos que ofrecen XXVII A - Programa anual de comunicación social o equivalente XXVII C - Utilización de los tiempos oficiales XXVII D - Mensaje e hipervínculo a la información relacionada con los Tiempos Oficiales XXVIII - Resultados de auditorías realizadas XXIX - Resultados de procedimientos de adjudicación directa, licitación pública e invitación restringida XXIX A - Resultados de procedimientos de licitación pública e invitación a cuando menos tres personas realiza XXIX B - Resultados de procedimientos de adjudicación directa realizados XXX - Resultados de la dictaminación de los estados financieros XXXI - Personas que usan recursos públicos XXXII - Las concesiones, contratos, convenios, permisos, licencias o autorizaciones otorgados XXXIII - Informes emitidos XXXIV - Estadísticas generadas XXXVI - Padrón de proveedores y contratistas XXXVII - Convenios de coordinación, de concertación con el sector social o privado XXXIX A - Recomendaciones emitidas por la Comisión Nacional de Derechos Humanos XXXIX B - Casos especiales emitidos por la CNDH u otros organismos XXXIX C - Recomendaciones emitidas por organismos internacionales XL - Resoluciones y laudos emitidos XLI A - Mecanismos de participación ciudadana XLI B - Resultado de los mecanismos de participación XLII A - Programas que ofrecen XLII B - Trámites para acceder a programas que ofrecen XLIII A - Informe de sesiones del comité de transparencia XLIII B - Informe de resoluciones del comité de transparencia XLIII C - Integrantes del comité de transparencia XLIII D - Calendario de sesiones ordinarias del comité de transparencia XLIV - Evaluaciones y encuestas a programas financiados con recursos públicos XLIV - Evaluaciones y encuestas a programas financiados con recursos públicos XLIV A - Evaluaciones y </w:t>
      </w:r>
      <w:r w:rsidRPr="00C954EE">
        <w:rPr>
          <w:rFonts w:ascii="Palatino Linotype" w:eastAsia="Palatino Linotype" w:hAnsi="Palatino Linotype" w:cs="Palatino Linotype"/>
          <w:i/>
          <w:sz w:val="22"/>
          <w:szCs w:val="22"/>
        </w:rPr>
        <w:lastRenderedPageBreak/>
        <w:t>encuestas a programas financiados con recursos públicos XLIV B - Encuestas sobre programas financiados con recursos XLV - Estudios financiados con recursos públicos XLVI A - Hipervínculo al listado de pensionados y jubilados XLVI A - Hipervínculo al listado de pensionados y jubilados XLVI B - Listado de jubilados y pensionados y el monto que reciben XLVI B - Listado de jubilados y pensionados y el monto que reciben XLVII A - Ingresos recibidos por cualquier concepto por el sujeto obligado XLVII B - Responsables de recibir, administrar y ejercer los ingresos XLVIII - Donaciones en dinero y en especie realizadas XLVIII - Donaciones en dinero y en especie realizadas XLVIII A - Donaciones en dinero realizadas XLVIII B - Donaciones en especie realizadas XLIX A - Inventarios documentales XLIX A - Inventarios documentales XLIX B - Índice de expedientes clasificados como reservados XLIX B - Índice de expedientes clasificados como reservados XLIX C - Cuadro general de clasificación archivística, Catálogo de disposición documental, Guía de archivo documental XLIX C - Cuadro general de clasificación archivística, Catálogo de disposición documental, Guía de archivo documental L A - Actas del consejo consultivo L B - Opiniones y recomendaciones del consejo consultivo LI A - Solicitudes de intervención de comunicaciones LI B - Solicitudes de registro de comunicaciones y de registro de localización geográfica LI C - Mensaje LII A - Información de interés público LII B - Preguntas frecuentes LII C - Transparencia proactiva XXV A - Presupuesto asignado XXV B - Ejercicio de los egresos presupuestarios XXV C - Información financiera de cuenta pública XXVI - Deuda pública XXVII B - Erogación de recursos por contratación de servicios XXXV A - Gasto por capítulo, concepto y partida XXXV B - Informes financieros contables, presupuestales XXXVIII A - Inventario de bienes muebles XXXVIII B - Inventario de altas practicadas a bienes muebles XXXVIII C - Inventario de bajas practicadas a bienes muebles XXXVIII D - Inventario de bienes inmuebles XXXVIII E - Inventario de altas practicadas a bienes inmuebles XXXVIII F - Inventario de bajas practicadas a bienes inmuebles XXXVIII G - Inventario de bienes muebles e inmuebles donados articulo</w:t>
      </w:r>
      <w:r w:rsidRPr="00C954EE">
        <w:rPr>
          <w:rFonts w:ascii="Palatino Linotype" w:eastAsia="Palatino Linotype" w:hAnsi="Palatino Linotype" w:cs="Palatino Linotype"/>
          <w:b/>
          <w:i/>
          <w:sz w:val="22"/>
          <w:szCs w:val="22"/>
        </w:rPr>
        <w:t>”</w:t>
      </w:r>
      <w:r w:rsidRPr="00C954EE">
        <w:rPr>
          <w:rFonts w:ascii="Palatino Linotype" w:eastAsia="Palatino Linotype" w:hAnsi="Palatino Linotype" w:cs="Palatino Linotype"/>
          <w:i/>
          <w:sz w:val="22"/>
          <w:szCs w:val="22"/>
        </w:rPr>
        <w:t xml:space="preserve"> (sic) </w:t>
      </w:r>
    </w:p>
    <w:p w14:paraId="70317BED"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C954EE">
        <w:rPr>
          <w:rFonts w:ascii="Palatino Linotype" w:eastAsia="Palatino Linotype" w:hAnsi="Palatino Linotype" w:cs="Palatino Linotype"/>
          <w:b/>
          <w:sz w:val="22"/>
          <w:szCs w:val="22"/>
        </w:rPr>
        <w:t>Modalidad de Entrega:</w:t>
      </w:r>
      <w:r w:rsidRPr="00C954EE">
        <w:rPr>
          <w:rFonts w:ascii="Palatino Linotype" w:eastAsia="Palatino Linotype" w:hAnsi="Palatino Linotype" w:cs="Palatino Linotype"/>
          <w:sz w:val="22"/>
          <w:szCs w:val="22"/>
        </w:rPr>
        <w:t xml:space="preserve"> a través del</w:t>
      </w:r>
      <w:r w:rsidRPr="00C954EE">
        <w:rPr>
          <w:rFonts w:ascii="Palatino Linotype" w:eastAsia="Palatino Linotype" w:hAnsi="Palatino Linotype" w:cs="Palatino Linotype"/>
          <w:b/>
          <w:sz w:val="22"/>
          <w:szCs w:val="22"/>
        </w:rPr>
        <w:t xml:space="preserve"> SAIMEX.</w:t>
      </w:r>
    </w:p>
    <w:p w14:paraId="356C1EEC"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bookmarkStart w:id="3" w:name="_heading=h.t5bbruubx45x" w:colFirst="0" w:colLast="0"/>
      <w:bookmarkEnd w:id="3"/>
      <w:r w:rsidRPr="00C954EE">
        <w:rPr>
          <w:rFonts w:ascii="Palatino Linotype" w:eastAsia="Palatino Linotype" w:hAnsi="Palatino Linotype" w:cs="Palatino Linotype"/>
          <w:b/>
          <w:sz w:val="22"/>
          <w:szCs w:val="22"/>
        </w:rPr>
        <w:lastRenderedPageBreak/>
        <w:t xml:space="preserve">2. Respuesta. </w:t>
      </w:r>
      <w:r w:rsidRPr="00C954EE">
        <w:rPr>
          <w:rFonts w:ascii="Palatino Linotype" w:eastAsia="Palatino Linotype" w:hAnsi="Palatino Linotype" w:cs="Palatino Linotype"/>
          <w:sz w:val="22"/>
          <w:szCs w:val="22"/>
        </w:rPr>
        <w:t xml:space="preserve">El </w:t>
      </w:r>
      <w:r w:rsidRPr="00C954EE">
        <w:rPr>
          <w:rFonts w:ascii="Palatino Linotype" w:eastAsia="Palatino Linotype" w:hAnsi="Palatino Linotype" w:cs="Palatino Linotype"/>
          <w:b/>
          <w:sz w:val="22"/>
          <w:szCs w:val="22"/>
        </w:rPr>
        <w:t>siete de mayo de dos mil veinticinco,</w:t>
      </w:r>
      <w:r w:rsidRPr="00C954EE">
        <w:rPr>
          <w:rFonts w:ascii="Palatino Linotype" w:eastAsia="Palatino Linotype" w:hAnsi="Palatino Linotype" w:cs="Palatino Linotype"/>
          <w:sz w:val="22"/>
          <w:szCs w:val="22"/>
        </w:rPr>
        <w:t xml:space="preserve"> el </w:t>
      </w:r>
      <w:r w:rsidRPr="00C954EE">
        <w:rPr>
          <w:rFonts w:ascii="Palatino Linotype" w:eastAsia="Palatino Linotype" w:hAnsi="Palatino Linotype" w:cs="Palatino Linotype"/>
          <w:b/>
          <w:sz w:val="22"/>
          <w:szCs w:val="22"/>
        </w:rPr>
        <w:t xml:space="preserve">Sujeto Obligado </w:t>
      </w:r>
      <w:r w:rsidRPr="00C954EE">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0FEB05E6" w14:textId="77777777" w:rsidR="005576BB" w:rsidRPr="00C954EE" w:rsidRDefault="00302DF8">
      <w:pPr>
        <w:spacing w:before="240" w:after="240" w:line="276" w:lineRule="auto"/>
        <w:ind w:left="851" w:right="902"/>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“…Folio de la solicitud: 00047/TMASCALC/IP/2025</w:t>
      </w:r>
    </w:p>
    <w:p w14:paraId="464E0AF1" w14:textId="77777777" w:rsidR="005576BB" w:rsidRPr="00C954EE" w:rsidRDefault="00302DF8">
      <w:pPr>
        <w:spacing w:before="240" w:after="240" w:line="276" w:lineRule="auto"/>
        <w:ind w:left="851" w:right="902"/>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0696D8" w14:textId="77777777" w:rsidR="005576BB" w:rsidRPr="00C954EE" w:rsidRDefault="00302DF8">
      <w:pPr>
        <w:spacing w:before="240" w:after="240" w:line="276" w:lineRule="auto"/>
        <w:ind w:left="851" w:right="902"/>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POR MEDIO DEL PRESENTE SE ENVIA INFORMACIÓN CORRESPONDIENTE A LA OLICITUD 00047/TMASCALC/IP/2025</w:t>
      </w:r>
    </w:p>
    <w:p w14:paraId="06D5A767" w14:textId="77777777" w:rsidR="005576BB" w:rsidRPr="00C954EE" w:rsidRDefault="00302DF8">
      <w:pPr>
        <w:spacing w:before="240" w:after="240" w:line="276" w:lineRule="auto"/>
        <w:ind w:left="851" w:right="902"/>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ATENTAMENTE</w:t>
      </w:r>
    </w:p>
    <w:p w14:paraId="4D83C01B" w14:textId="77777777" w:rsidR="005576BB" w:rsidRPr="00C954EE" w:rsidRDefault="00302DF8">
      <w:pPr>
        <w:spacing w:before="240" w:after="240" w:line="276" w:lineRule="auto"/>
        <w:ind w:left="851" w:right="902"/>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C. Micaela Hernández Reynoso...” (sic)</w:t>
      </w:r>
    </w:p>
    <w:p w14:paraId="526DB3A9" w14:textId="77777777" w:rsidR="005576BB" w:rsidRPr="00C954EE" w:rsidRDefault="00302DF8">
      <w:pPr>
        <w:spacing w:before="240" w:after="240" w:line="360" w:lineRule="auto"/>
        <w:ind w:right="49"/>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El </w:t>
      </w:r>
      <w:r w:rsidRPr="00C954EE">
        <w:rPr>
          <w:rFonts w:ascii="Palatino Linotype" w:eastAsia="Palatino Linotype" w:hAnsi="Palatino Linotype" w:cs="Palatino Linotype"/>
          <w:b/>
          <w:sz w:val="22"/>
          <w:szCs w:val="22"/>
        </w:rPr>
        <w:t xml:space="preserve">Sujeto Obligado </w:t>
      </w:r>
      <w:r w:rsidRPr="00C954EE">
        <w:rPr>
          <w:rFonts w:ascii="Palatino Linotype" w:eastAsia="Palatino Linotype" w:hAnsi="Palatino Linotype" w:cs="Palatino Linotype"/>
          <w:sz w:val="22"/>
          <w:szCs w:val="22"/>
        </w:rPr>
        <w:t>adjuntó lo siguiente:</w:t>
      </w:r>
    </w:p>
    <w:p w14:paraId="55922ACB" w14:textId="77777777" w:rsidR="005576BB" w:rsidRPr="00C954EE" w:rsidRDefault="00302DF8">
      <w:pPr>
        <w:spacing w:before="240" w:after="240" w:line="360" w:lineRule="auto"/>
        <w:ind w:right="49"/>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 </w:t>
      </w:r>
      <w:r w:rsidRPr="00C954EE">
        <w:rPr>
          <w:rFonts w:ascii="Palatino Linotype" w:eastAsia="Palatino Linotype" w:hAnsi="Palatino Linotype" w:cs="Palatino Linotype"/>
          <w:b/>
          <w:i/>
          <w:sz w:val="22"/>
          <w:szCs w:val="22"/>
          <w:u w:val="single"/>
        </w:rPr>
        <w:t>00047TMASCALCIP2025.pdf.</w:t>
      </w:r>
      <w:r w:rsidRPr="00C954EE">
        <w:rPr>
          <w:rFonts w:ascii="Palatino Linotype" w:eastAsia="Palatino Linotype" w:hAnsi="Palatino Linotype" w:cs="Palatino Linotype"/>
          <w:sz w:val="22"/>
          <w:szCs w:val="22"/>
        </w:rPr>
        <w:t xml:space="preserve"> Oficio número MTM/UT/317/05/2025 de fecha siete de mayo de dos mil veinticinco, signado por la Titular de la Unidad de Transparencia y Acceso a la Información, mediante </w:t>
      </w:r>
      <w:proofErr w:type="spellStart"/>
      <w:r w:rsidRPr="00C954EE">
        <w:rPr>
          <w:rFonts w:ascii="Palatino Linotype" w:eastAsia="Palatino Linotype" w:hAnsi="Palatino Linotype" w:cs="Palatino Linotype"/>
          <w:sz w:val="22"/>
          <w:szCs w:val="22"/>
        </w:rPr>
        <w:t>e</w:t>
      </w:r>
      <w:proofErr w:type="spellEnd"/>
      <w:r w:rsidRPr="00C954EE">
        <w:rPr>
          <w:rFonts w:ascii="Palatino Linotype" w:eastAsia="Palatino Linotype" w:hAnsi="Palatino Linotype" w:cs="Palatino Linotype"/>
          <w:sz w:val="22"/>
          <w:szCs w:val="22"/>
        </w:rPr>
        <w:t xml:space="preserve"> cual le informa al particular que dicha información la podía visualizar en una liga de acceso la cual se encuentra en formato cerrado. </w:t>
      </w:r>
    </w:p>
    <w:p w14:paraId="638083C3" w14:textId="77777777" w:rsidR="005576BB" w:rsidRPr="00C954EE" w:rsidRDefault="00302DF8">
      <w:pPr>
        <w:spacing w:before="240" w:after="240" w:line="360" w:lineRule="auto"/>
        <w:ind w:right="49"/>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b/>
          <w:sz w:val="22"/>
          <w:szCs w:val="22"/>
        </w:rPr>
        <w:t xml:space="preserve">3. Interposición del recurso de revisión. </w:t>
      </w:r>
      <w:r w:rsidRPr="00C954EE">
        <w:rPr>
          <w:rFonts w:ascii="Palatino Linotype" w:eastAsia="Palatino Linotype" w:hAnsi="Palatino Linotype" w:cs="Palatino Linotype"/>
          <w:sz w:val="22"/>
          <w:szCs w:val="22"/>
        </w:rPr>
        <w:t xml:space="preserve">Inconforme con los términos de la respuesta emitida por parte del </w:t>
      </w:r>
      <w:r w:rsidRPr="00C954EE">
        <w:rPr>
          <w:rFonts w:ascii="Palatino Linotype" w:eastAsia="Palatino Linotype" w:hAnsi="Palatino Linotype" w:cs="Palatino Linotype"/>
          <w:b/>
          <w:sz w:val="22"/>
          <w:szCs w:val="22"/>
        </w:rPr>
        <w:t>Sujeto Obligado</w:t>
      </w:r>
      <w:r w:rsidRPr="00C954EE">
        <w:rPr>
          <w:rFonts w:ascii="Palatino Linotype" w:eastAsia="Palatino Linotype" w:hAnsi="Palatino Linotype" w:cs="Palatino Linotype"/>
          <w:sz w:val="22"/>
          <w:szCs w:val="22"/>
        </w:rPr>
        <w:t xml:space="preserve">, el </w:t>
      </w:r>
      <w:r w:rsidRPr="00C954EE">
        <w:rPr>
          <w:rFonts w:ascii="Palatino Linotype" w:eastAsia="Palatino Linotype" w:hAnsi="Palatino Linotype" w:cs="Palatino Linotype"/>
          <w:b/>
          <w:sz w:val="22"/>
          <w:szCs w:val="22"/>
        </w:rPr>
        <w:t>ocho de mayo de dos mil veinticinco,</w:t>
      </w:r>
      <w:r w:rsidRPr="00C954EE">
        <w:rPr>
          <w:rFonts w:ascii="Palatino Linotype" w:eastAsia="Palatino Linotype" w:hAnsi="Palatino Linotype" w:cs="Palatino Linotype"/>
          <w:sz w:val="22"/>
          <w:szCs w:val="22"/>
        </w:rPr>
        <w:t xml:space="preserve"> la parte </w:t>
      </w:r>
      <w:r w:rsidRPr="00C954EE">
        <w:rPr>
          <w:rFonts w:ascii="Palatino Linotype" w:eastAsia="Palatino Linotype" w:hAnsi="Palatino Linotype" w:cs="Palatino Linotype"/>
          <w:b/>
          <w:sz w:val="22"/>
          <w:szCs w:val="22"/>
        </w:rPr>
        <w:t>Recurrente</w:t>
      </w:r>
      <w:r w:rsidRPr="00C954EE">
        <w:rPr>
          <w:rFonts w:ascii="Palatino Linotype" w:eastAsia="Palatino Linotype" w:hAnsi="Palatino Linotype" w:cs="Palatino Linotype"/>
          <w:sz w:val="22"/>
          <w:szCs w:val="22"/>
        </w:rPr>
        <w:t xml:space="preserve"> interpuso el recurso de revisión a través de </w:t>
      </w:r>
      <w:r w:rsidRPr="00C954EE">
        <w:rPr>
          <w:rFonts w:ascii="Palatino Linotype" w:eastAsia="Palatino Linotype" w:hAnsi="Palatino Linotype" w:cs="Palatino Linotype"/>
          <w:b/>
          <w:sz w:val="22"/>
          <w:szCs w:val="22"/>
        </w:rPr>
        <w:t xml:space="preserve">SAIMEX, </w:t>
      </w:r>
      <w:r w:rsidRPr="00C954EE">
        <w:rPr>
          <w:rFonts w:ascii="Palatino Linotype" w:eastAsia="Palatino Linotype" w:hAnsi="Palatino Linotype" w:cs="Palatino Linotype"/>
          <w:sz w:val="22"/>
          <w:szCs w:val="22"/>
        </w:rPr>
        <w:t>en donde se manifestó de la siguiente manera:</w:t>
      </w:r>
    </w:p>
    <w:p w14:paraId="544BBDC2" w14:textId="77777777" w:rsidR="005576BB" w:rsidRPr="00C954EE" w:rsidRDefault="00302DF8">
      <w:pPr>
        <w:spacing w:before="240" w:after="240" w:line="360" w:lineRule="auto"/>
        <w:ind w:right="49"/>
        <w:jc w:val="both"/>
        <w:rPr>
          <w:rFonts w:ascii="Palatino Linotype" w:eastAsia="Palatino Linotype" w:hAnsi="Palatino Linotype" w:cs="Palatino Linotype"/>
          <w:b/>
          <w:sz w:val="22"/>
          <w:szCs w:val="22"/>
        </w:rPr>
      </w:pPr>
      <w:r w:rsidRPr="00C954EE">
        <w:rPr>
          <w:rFonts w:ascii="Palatino Linotype" w:eastAsia="Palatino Linotype" w:hAnsi="Palatino Linotype" w:cs="Palatino Linotype"/>
          <w:b/>
          <w:sz w:val="22"/>
          <w:szCs w:val="22"/>
        </w:rPr>
        <w:t xml:space="preserve">Acto impugnado: </w:t>
      </w:r>
    </w:p>
    <w:p w14:paraId="78BBA738" w14:textId="77777777" w:rsidR="005576BB" w:rsidRPr="00C954EE" w:rsidRDefault="00302DF8">
      <w:pPr>
        <w:tabs>
          <w:tab w:val="left" w:pos="2745"/>
        </w:tabs>
        <w:spacing w:before="240" w:after="240" w:line="360" w:lineRule="auto"/>
        <w:ind w:left="851" w:right="900"/>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lastRenderedPageBreak/>
        <w:t>“</w:t>
      </w:r>
      <w:r w:rsidRPr="00C954EE">
        <w:rPr>
          <w:rFonts w:ascii="Palatino Linotype" w:eastAsia="Palatino Linotype" w:hAnsi="Palatino Linotype" w:cs="Palatino Linotype"/>
          <w:b/>
          <w:i/>
          <w:sz w:val="22"/>
          <w:szCs w:val="22"/>
          <w:u w:val="single"/>
        </w:rPr>
        <w:t>faltan muchas información de fracciones las cuales tienen que ser llenadas</w:t>
      </w:r>
      <w:r w:rsidRPr="00C954EE">
        <w:rPr>
          <w:rFonts w:ascii="Palatino Linotype" w:eastAsia="Palatino Linotype" w:hAnsi="Palatino Linotype" w:cs="Palatino Linotype"/>
          <w:i/>
          <w:sz w:val="22"/>
          <w:szCs w:val="22"/>
        </w:rPr>
        <w:t xml:space="preserve">, se solicita que por favor el pleno del </w:t>
      </w:r>
      <w:proofErr w:type="spellStart"/>
      <w:r w:rsidRPr="00C954EE">
        <w:rPr>
          <w:rFonts w:ascii="Palatino Linotype" w:eastAsia="Palatino Linotype" w:hAnsi="Palatino Linotype" w:cs="Palatino Linotype"/>
          <w:i/>
          <w:sz w:val="22"/>
          <w:szCs w:val="22"/>
        </w:rPr>
        <w:t>infoem</w:t>
      </w:r>
      <w:proofErr w:type="spellEnd"/>
      <w:r w:rsidRPr="00C954EE">
        <w:rPr>
          <w:rFonts w:ascii="Palatino Linotype" w:eastAsia="Palatino Linotype" w:hAnsi="Palatino Linotype" w:cs="Palatino Linotype"/>
          <w:i/>
          <w:sz w:val="22"/>
          <w:szCs w:val="22"/>
        </w:rPr>
        <w:t xml:space="preserve"> realice el ordenamiento para que el servidor </w:t>
      </w:r>
      <w:proofErr w:type="spellStart"/>
      <w:r w:rsidRPr="00C954EE">
        <w:rPr>
          <w:rFonts w:ascii="Palatino Linotype" w:eastAsia="Palatino Linotype" w:hAnsi="Palatino Linotype" w:cs="Palatino Linotype"/>
          <w:i/>
          <w:sz w:val="22"/>
          <w:szCs w:val="22"/>
        </w:rPr>
        <w:t>publico</w:t>
      </w:r>
      <w:proofErr w:type="spellEnd"/>
      <w:r w:rsidRPr="00C954EE">
        <w:rPr>
          <w:rFonts w:ascii="Palatino Linotype" w:eastAsia="Palatino Linotype" w:hAnsi="Palatino Linotype" w:cs="Palatino Linotype"/>
          <w:i/>
          <w:sz w:val="22"/>
          <w:szCs w:val="22"/>
        </w:rPr>
        <w:t xml:space="preserve"> realice su labor y </w:t>
      </w:r>
      <w:r w:rsidRPr="00C954EE">
        <w:rPr>
          <w:rFonts w:ascii="Palatino Linotype" w:eastAsia="Palatino Linotype" w:hAnsi="Palatino Linotype" w:cs="Palatino Linotype"/>
          <w:b/>
          <w:i/>
          <w:sz w:val="22"/>
          <w:szCs w:val="22"/>
          <w:u w:val="single"/>
        </w:rPr>
        <w:t>complemente la información</w:t>
      </w:r>
      <w:r w:rsidRPr="00C954EE">
        <w:rPr>
          <w:rFonts w:ascii="Palatino Linotype" w:eastAsia="Palatino Linotype" w:hAnsi="Palatino Linotype" w:cs="Palatino Linotype"/>
          <w:i/>
          <w:sz w:val="22"/>
          <w:szCs w:val="22"/>
        </w:rPr>
        <w:t xml:space="preserve"> en la plataforma” (sic)</w:t>
      </w:r>
    </w:p>
    <w:p w14:paraId="520B1730"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bookmarkStart w:id="4" w:name="_heading=h.30j0zll" w:colFirst="0" w:colLast="0"/>
      <w:bookmarkEnd w:id="4"/>
      <w:r w:rsidRPr="00C954EE">
        <w:rPr>
          <w:rFonts w:ascii="Palatino Linotype" w:eastAsia="Palatino Linotype" w:hAnsi="Palatino Linotype" w:cs="Palatino Linotype"/>
          <w:b/>
          <w:sz w:val="22"/>
          <w:szCs w:val="22"/>
        </w:rPr>
        <w:t>Y, Razones o motivos de inconformidad</w:t>
      </w:r>
      <w:r w:rsidRPr="00C954EE">
        <w:rPr>
          <w:rFonts w:ascii="Palatino Linotype" w:eastAsia="Palatino Linotype" w:hAnsi="Palatino Linotype" w:cs="Palatino Linotype"/>
          <w:sz w:val="22"/>
          <w:szCs w:val="22"/>
        </w:rPr>
        <w:t>:</w:t>
      </w:r>
    </w:p>
    <w:p w14:paraId="0E85726B" w14:textId="77777777" w:rsidR="005576BB" w:rsidRPr="00C954EE" w:rsidRDefault="00302DF8">
      <w:pPr>
        <w:tabs>
          <w:tab w:val="left" w:pos="2745"/>
        </w:tabs>
        <w:spacing w:before="240" w:after="240" w:line="360" w:lineRule="auto"/>
        <w:ind w:left="851" w:right="900"/>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 xml:space="preserve">“faltan muchas información de fracciones las cuales tienen que ser llenadas, se solicita que por favor el pleno del </w:t>
      </w:r>
      <w:proofErr w:type="spellStart"/>
      <w:r w:rsidRPr="00C954EE">
        <w:rPr>
          <w:rFonts w:ascii="Palatino Linotype" w:eastAsia="Palatino Linotype" w:hAnsi="Palatino Linotype" w:cs="Palatino Linotype"/>
          <w:i/>
          <w:sz w:val="22"/>
          <w:szCs w:val="22"/>
        </w:rPr>
        <w:t>infoem</w:t>
      </w:r>
      <w:proofErr w:type="spellEnd"/>
      <w:r w:rsidRPr="00C954EE">
        <w:rPr>
          <w:rFonts w:ascii="Palatino Linotype" w:eastAsia="Palatino Linotype" w:hAnsi="Palatino Linotype" w:cs="Palatino Linotype"/>
          <w:i/>
          <w:sz w:val="22"/>
          <w:szCs w:val="22"/>
        </w:rPr>
        <w:t xml:space="preserve"> realice el ordenamiento para que el servidor </w:t>
      </w:r>
      <w:proofErr w:type="spellStart"/>
      <w:r w:rsidRPr="00C954EE">
        <w:rPr>
          <w:rFonts w:ascii="Palatino Linotype" w:eastAsia="Palatino Linotype" w:hAnsi="Palatino Linotype" w:cs="Palatino Linotype"/>
          <w:i/>
          <w:sz w:val="22"/>
          <w:szCs w:val="22"/>
        </w:rPr>
        <w:t>publico</w:t>
      </w:r>
      <w:proofErr w:type="spellEnd"/>
      <w:r w:rsidRPr="00C954EE">
        <w:rPr>
          <w:rFonts w:ascii="Palatino Linotype" w:eastAsia="Palatino Linotype" w:hAnsi="Palatino Linotype" w:cs="Palatino Linotype"/>
          <w:i/>
          <w:sz w:val="22"/>
          <w:szCs w:val="22"/>
        </w:rPr>
        <w:t xml:space="preserve"> realice su labor y complemente la información en la plataforma” (sic)</w:t>
      </w:r>
    </w:p>
    <w:p w14:paraId="30832E84"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b/>
          <w:sz w:val="22"/>
          <w:szCs w:val="22"/>
        </w:rPr>
        <w:t xml:space="preserve">4. Turno. </w:t>
      </w:r>
      <w:r w:rsidRPr="00C954E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954EE">
        <w:rPr>
          <w:rFonts w:ascii="Palatino Linotype" w:eastAsia="Palatino Linotype" w:hAnsi="Palatino Linotype" w:cs="Palatino Linotype"/>
          <w:b/>
          <w:sz w:val="22"/>
          <w:szCs w:val="22"/>
        </w:rPr>
        <w:t xml:space="preserve">Guadalupe Ramírez Peña, </w:t>
      </w:r>
      <w:r w:rsidRPr="00C954EE">
        <w:rPr>
          <w:rFonts w:ascii="Palatino Linotype" w:eastAsia="Palatino Linotype" w:hAnsi="Palatino Linotype" w:cs="Palatino Linotype"/>
          <w:sz w:val="22"/>
          <w:szCs w:val="22"/>
        </w:rPr>
        <w:t xml:space="preserve">a efecto de que analizara sobre su admisión o su </w:t>
      </w:r>
      <w:proofErr w:type="spellStart"/>
      <w:r w:rsidRPr="00C954EE">
        <w:rPr>
          <w:rFonts w:ascii="Palatino Linotype" w:eastAsia="Palatino Linotype" w:hAnsi="Palatino Linotype" w:cs="Palatino Linotype"/>
          <w:sz w:val="22"/>
          <w:szCs w:val="22"/>
        </w:rPr>
        <w:t>desechamiento</w:t>
      </w:r>
      <w:proofErr w:type="spellEnd"/>
      <w:r w:rsidRPr="00C954EE">
        <w:rPr>
          <w:rFonts w:ascii="Palatino Linotype" w:eastAsia="Palatino Linotype" w:hAnsi="Palatino Linotype" w:cs="Palatino Linotype"/>
          <w:sz w:val="22"/>
          <w:szCs w:val="22"/>
        </w:rPr>
        <w:t>.</w:t>
      </w:r>
    </w:p>
    <w:p w14:paraId="339C47E9" w14:textId="77777777" w:rsidR="005576BB" w:rsidRPr="00C954EE" w:rsidRDefault="00302DF8">
      <w:pPr>
        <w:spacing w:before="240" w:after="240" w:line="360" w:lineRule="auto"/>
        <w:jc w:val="both"/>
        <w:rPr>
          <w:rFonts w:ascii="Palatino Linotype" w:eastAsia="Palatino Linotype" w:hAnsi="Palatino Linotype" w:cs="Palatino Linotype"/>
          <w:b/>
          <w:sz w:val="22"/>
          <w:szCs w:val="22"/>
        </w:rPr>
      </w:pPr>
      <w:r w:rsidRPr="00C954EE">
        <w:rPr>
          <w:rFonts w:ascii="Palatino Linotype" w:eastAsia="Palatino Linotype" w:hAnsi="Palatino Linotype" w:cs="Palatino Linotype"/>
          <w:b/>
          <w:sz w:val="22"/>
          <w:szCs w:val="22"/>
        </w:rPr>
        <w:t>5. Admisión del Recurso de revisión.</w:t>
      </w:r>
      <w:r w:rsidRPr="00C954EE">
        <w:rPr>
          <w:rFonts w:ascii="Palatino Linotype" w:eastAsia="Palatino Linotype" w:hAnsi="Palatino Linotype" w:cs="Palatino Linotype"/>
          <w:sz w:val="22"/>
          <w:szCs w:val="22"/>
        </w:rPr>
        <w:t xml:space="preserve"> El</w:t>
      </w:r>
      <w:r w:rsidRPr="00C954EE">
        <w:rPr>
          <w:rFonts w:ascii="Palatino Linotype" w:eastAsia="Palatino Linotype" w:hAnsi="Palatino Linotype" w:cs="Palatino Linotype"/>
          <w:b/>
          <w:sz w:val="22"/>
          <w:szCs w:val="22"/>
        </w:rPr>
        <w:t xml:space="preserve"> trece de mayo de dos mil veinticinco, </w:t>
      </w:r>
      <w:r w:rsidRPr="00C954E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954EE">
        <w:rPr>
          <w:rFonts w:ascii="Palatino Linotype" w:eastAsia="Palatino Linotype" w:hAnsi="Palatino Linotype" w:cs="Palatino Linotype"/>
          <w:b/>
          <w:sz w:val="22"/>
          <w:szCs w:val="22"/>
        </w:rPr>
        <w:t xml:space="preserve">Sujeto Obligado </w:t>
      </w:r>
      <w:r w:rsidRPr="00C954EE">
        <w:rPr>
          <w:rFonts w:ascii="Palatino Linotype" w:eastAsia="Palatino Linotype" w:hAnsi="Palatino Linotype" w:cs="Palatino Linotype"/>
          <w:sz w:val="22"/>
          <w:szCs w:val="22"/>
        </w:rPr>
        <w:t>presentara su informe justificado.</w:t>
      </w:r>
    </w:p>
    <w:p w14:paraId="0D7F73D7"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C954EE">
        <w:rPr>
          <w:rFonts w:ascii="Palatino Linotype" w:eastAsia="Palatino Linotype" w:hAnsi="Palatino Linotype" w:cs="Palatino Linotype"/>
          <w:b/>
          <w:sz w:val="22"/>
          <w:szCs w:val="22"/>
        </w:rPr>
        <w:t>6. Manifestaciones</w:t>
      </w:r>
      <w:r w:rsidRPr="00C954EE">
        <w:rPr>
          <w:rFonts w:ascii="Palatino Linotype" w:eastAsia="Palatino Linotype" w:hAnsi="Palatino Linotype" w:cs="Palatino Linotype"/>
          <w:sz w:val="22"/>
          <w:szCs w:val="22"/>
        </w:rPr>
        <w:t xml:space="preserve">. El </w:t>
      </w:r>
      <w:r w:rsidRPr="00C954EE">
        <w:rPr>
          <w:rFonts w:ascii="Palatino Linotype" w:eastAsia="Palatino Linotype" w:hAnsi="Palatino Linotype" w:cs="Palatino Linotype"/>
          <w:b/>
          <w:sz w:val="22"/>
          <w:szCs w:val="22"/>
        </w:rPr>
        <w:t xml:space="preserve">Sujeto Obligado </w:t>
      </w:r>
      <w:r w:rsidRPr="00C954EE">
        <w:rPr>
          <w:rFonts w:ascii="Palatino Linotype" w:eastAsia="Palatino Linotype" w:hAnsi="Palatino Linotype" w:cs="Palatino Linotype"/>
          <w:sz w:val="22"/>
          <w:szCs w:val="22"/>
        </w:rPr>
        <w:t xml:space="preserve">hizo no rindió informe justificado, ni el particular emitió manifestaciones, tal como se advierte a continuación: </w:t>
      </w:r>
    </w:p>
    <w:p w14:paraId="3295F3D0" w14:textId="3B4B84FB" w:rsidR="00C40E29" w:rsidRPr="00C954EE" w:rsidRDefault="00C40E29" w:rsidP="00C40E29">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b/>
          <w:sz w:val="22"/>
          <w:szCs w:val="22"/>
        </w:rPr>
        <w:lastRenderedPageBreak/>
        <w:t xml:space="preserve">7. Cierre de instrucción. </w:t>
      </w:r>
      <w:r w:rsidRPr="00C954E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C954EE">
        <w:rPr>
          <w:rFonts w:ascii="Palatino Linotype" w:eastAsia="Palatino Linotype" w:hAnsi="Palatino Linotype" w:cs="Palatino Linotype"/>
          <w:b/>
          <w:sz w:val="22"/>
          <w:szCs w:val="22"/>
        </w:rPr>
        <w:t>catorce de agosto de dos mil veinticinco</w:t>
      </w:r>
      <w:r w:rsidRPr="00C954E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D8BA970" w14:textId="4228153E" w:rsidR="005576BB" w:rsidRPr="00C954EE" w:rsidRDefault="00C40E29">
      <w:pPr>
        <w:spacing w:before="240" w:after="240" w:line="360" w:lineRule="auto"/>
        <w:jc w:val="both"/>
        <w:rPr>
          <w:rFonts w:ascii="Palatino Linotype" w:eastAsia="Palatino Linotype" w:hAnsi="Palatino Linotype" w:cs="Palatino Linotype"/>
          <w:b/>
          <w:sz w:val="22"/>
          <w:szCs w:val="22"/>
        </w:rPr>
      </w:pPr>
      <w:r w:rsidRPr="00C954EE">
        <w:rPr>
          <w:rFonts w:ascii="Palatino Linotype" w:eastAsia="Palatino Linotype" w:hAnsi="Palatino Linotype" w:cs="Palatino Linotype"/>
          <w:b/>
          <w:sz w:val="22"/>
          <w:szCs w:val="22"/>
        </w:rPr>
        <w:t>8</w:t>
      </w:r>
      <w:r w:rsidR="00302DF8" w:rsidRPr="00C954EE">
        <w:rPr>
          <w:rFonts w:ascii="Palatino Linotype" w:eastAsia="Palatino Linotype" w:hAnsi="Palatino Linotype" w:cs="Palatino Linotype"/>
          <w:b/>
          <w:sz w:val="22"/>
          <w:szCs w:val="22"/>
        </w:rPr>
        <w:t>. Ampliación del término para resolver</w:t>
      </w:r>
      <w:r w:rsidR="00302DF8" w:rsidRPr="00C954EE">
        <w:rPr>
          <w:rFonts w:ascii="Palatino Linotype" w:eastAsia="Palatino Linotype" w:hAnsi="Palatino Linotype" w:cs="Palatino Linotype"/>
          <w:sz w:val="22"/>
          <w:szCs w:val="22"/>
        </w:rPr>
        <w:t xml:space="preserve">. El </w:t>
      </w:r>
      <w:r w:rsidR="00302DF8" w:rsidRPr="00C954EE">
        <w:rPr>
          <w:rFonts w:ascii="Palatino Linotype" w:eastAsia="Palatino Linotype" w:hAnsi="Palatino Linotype" w:cs="Palatino Linotype"/>
          <w:b/>
          <w:sz w:val="22"/>
          <w:szCs w:val="22"/>
        </w:rPr>
        <w:t>catorce de agosto de dos mil veinticinco</w:t>
      </w:r>
      <w:r w:rsidR="00302DF8" w:rsidRPr="00C954EE">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1F01F95"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3F84E34"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7DCE7C6"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B46A53"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5FD25D" w14:textId="77777777" w:rsidR="005576BB" w:rsidRPr="00C954EE" w:rsidRDefault="00302DF8">
      <w:pPr>
        <w:spacing w:before="240" w:after="240" w:line="360" w:lineRule="auto"/>
        <w:jc w:val="both"/>
        <w:rPr>
          <w:rFonts w:ascii="Palatino Linotype" w:eastAsia="Palatino Linotype" w:hAnsi="Palatino Linotype" w:cs="Palatino Linotype"/>
          <w:strike/>
          <w:sz w:val="22"/>
          <w:szCs w:val="22"/>
        </w:rPr>
      </w:pPr>
      <w:r w:rsidRPr="00C954E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B15F5F4" w14:textId="77777777" w:rsidR="005576BB" w:rsidRPr="00C954EE" w:rsidRDefault="00302DF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4896602" w14:textId="77777777" w:rsidR="005576BB" w:rsidRPr="00C954EE" w:rsidRDefault="00302DF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Actividad Procesal del interesado. Acciones u omisiones del interesado.</w:t>
      </w:r>
    </w:p>
    <w:p w14:paraId="361B48CC" w14:textId="77777777" w:rsidR="005576BB" w:rsidRPr="00C954EE" w:rsidRDefault="00302DF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FC48D6E" w14:textId="77777777" w:rsidR="005576BB" w:rsidRPr="00C954EE" w:rsidRDefault="00302DF8">
      <w:pPr>
        <w:tabs>
          <w:tab w:val="left" w:pos="567"/>
        </w:tabs>
        <w:spacing w:before="240" w:after="240" w:line="360" w:lineRule="auto"/>
        <w:ind w:left="284"/>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42728E33"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FC6212E" w14:textId="77777777" w:rsidR="005576BB" w:rsidRPr="00C954EE" w:rsidRDefault="00302DF8">
      <w:pPr>
        <w:spacing w:before="240" w:after="240" w:line="360" w:lineRule="auto"/>
        <w:jc w:val="both"/>
        <w:rPr>
          <w:rFonts w:ascii="Palatino Linotype" w:eastAsia="Palatino Linotype" w:hAnsi="Palatino Linotype" w:cs="Palatino Linotype"/>
          <w:b/>
          <w:sz w:val="22"/>
          <w:szCs w:val="22"/>
        </w:rPr>
      </w:pPr>
      <w:r w:rsidRPr="00C954EE">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954EE">
        <w:rPr>
          <w:rFonts w:ascii="Palatino Linotype" w:eastAsia="Palatino Linotype" w:hAnsi="Palatino Linotype" w:cs="Palatino Linotype"/>
          <w:i/>
          <w:sz w:val="22"/>
          <w:szCs w:val="22"/>
        </w:rPr>
        <w:t xml:space="preserve">“TÉRMINOS PROCESALES. PARA DETERMINAR SI UN FUNCIONARIO JUDICIAL ACTUÓ INDEBIDAMENTE POR NO </w:t>
      </w:r>
      <w:r w:rsidRPr="00C954EE">
        <w:rPr>
          <w:rFonts w:ascii="Palatino Linotype" w:eastAsia="Palatino Linotype" w:hAnsi="Palatino Linotype" w:cs="Palatino Linotype"/>
          <w:i/>
          <w:sz w:val="22"/>
          <w:szCs w:val="22"/>
        </w:rPr>
        <w:lastRenderedPageBreak/>
        <w:t>RESPETARLOS SE DEBE ATENDER AL PRESUPUESTO QUE CONSIDERÓ EL LEGISLADOR AL FIJARLOS Y LAS CARACTERÍSTICAS DEL CASO.”</w:t>
      </w:r>
      <w:r w:rsidRPr="00C954EE">
        <w:rPr>
          <w:rFonts w:ascii="Palatino Linotype" w:eastAsia="Palatino Linotype" w:hAnsi="Palatino Linotype" w:cs="Palatino Linotype"/>
          <w:sz w:val="22"/>
          <w:szCs w:val="22"/>
        </w:rPr>
        <w:t>, visible en la Gaceta del Seminario Judicial de la Federación con el registro digital 205635.</w:t>
      </w:r>
    </w:p>
    <w:p w14:paraId="2EF3B5B5"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8EABFB"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A68A41C" w14:textId="77777777" w:rsidR="005576BB" w:rsidRPr="00C954EE" w:rsidRDefault="00302DF8">
      <w:pPr>
        <w:spacing w:before="240" w:after="240" w:line="360" w:lineRule="auto"/>
        <w:ind w:left="851" w:right="902"/>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 </w:t>
      </w:r>
      <w:r w:rsidRPr="00C954EE">
        <w:rPr>
          <w:rFonts w:ascii="Palatino Linotype" w:eastAsia="Palatino Linotype" w:hAnsi="Palatino Linotype" w:cs="Palatino Linotype"/>
          <w:i/>
          <w:sz w:val="22"/>
          <w:szCs w:val="22"/>
        </w:rPr>
        <w:t>“</w:t>
      </w:r>
      <w:r w:rsidRPr="00C954EE">
        <w:rPr>
          <w:rFonts w:ascii="Palatino Linotype" w:eastAsia="Palatino Linotype" w:hAnsi="Palatino Linotype" w:cs="Palatino Linotype"/>
          <w:b/>
          <w:i/>
          <w:sz w:val="22"/>
          <w:szCs w:val="22"/>
        </w:rPr>
        <w:t>PLAZO RAZONABLE PARA RESOLVER. DIMENSIÓN Y EFECTOS DE ESTE CONCEPTO CUANDO SE ADUCE EXCESIVA CARGA DE TRABAJO</w:t>
      </w:r>
      <w:r w:rsidRPr="00C954EE">
        <w:rPr>
          <w:rFonts w:ascii="Palatino Linotype" w:eastAsia="Palatino Linotype" w:hAnsi="Palatino Linotype" w:cs="Palatino Linotype"/>
          <w:i/>
          <w:sz w:val="22"/>
          <w:szCs w:val="22"/>
        </w:rPr>
        <w:t>.”</w:t>
      </w:r>
      <w:r w:rsidRPr="00C954EE">
        <w:rPr>
          <w:rFonts w:ascii="Palatino Linotype" w:eastAsia="Palatino Linotype" w:hAnsi="Palatino Linotype" w:cs="Palatino Linotype"/>
          <w:sz w:val="22"/>
          <w:szCs w:val="22"/>
        </w:rPr>
        <w:t xml:space="preserve"> consultable en el Seminario Judicial de la Federación y su gaceta, con el registro digital 2002351.</w:t>
      </w:r>
    </w:p>
    <w:p w14:paraId="5B6C9D89" w14:textId="77777777" w:rsidR="005576BB" w:rsidRPr="00C954EE" w:rsidRDefault="00302DF8">
      <w:pPr>
        <w:spacing w:before="240" w:after="240" w:line="360" w:lineRule="auto"/>
        <w:ind w:left="851" w:right="902"/>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i/>
          <w:sz w:val="22"/>
          <w:szCs w:val="22"/>
        </w:rPr>
        <w:t>“</w:t>
      </w:r>
      <w:r w:rsidRPr="00C954E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954EE">
        <w:rPr>
          <w:rFonts w:ascii="Palatino Linotype" w:eastAsia="Palatino Linotype" w:hAnsi="Palatino Linotype" w:cs="Palatino Linotype"/>
          <w:i/>
          <w:sz w:val="22"/>
          <w:szCs w:val="22"/>
        </w:rPr>
        <w:t>.”</w:t>
      </w:r>
      <w:r w:rsidRPr="00C954EE">
        <w:rPr>
          <w:rFonts w:ascii="Palatino Linotype" w:eastAsia="Palatino Linotype" w:hAnsi="Palatino Linotype" w:cs="Palatino Linotype"/>
          <w:sz w:val="22"/>
          <w:szCs w:val="22"/>
        </w:rPr>
        <w:t>, visible en el Seminario Judicial de la Federación y su gaceta, con el registro digital 2002350.</w:t>
      </w:r>
    </w:p>
    <w:p w14:paraId="70E48907"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del plazo legal para resolver el presente asunto, resulta de carácter excepcional.</w:t>
      </w:r>
    </w:p>
    <w:p w14:paraId="15F15CF8"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78862F8" w14:textId="77777777" w:rsidR="005576BB" w:rsidRPr="00C954EE" w:rsidRDefault="005576BB">
      <w:pPr>
        <w:spacing w:before="240" w:after="240" w:line="360" w:lineRule="auto"/>
        <w:jc w:val="both"/>
        <w:rPr>
          <w:rFonts w:ascii="Palatino Linotype" w:eastAsia="Palatino Linotype" w:hAnsi="Palatino Linotype" w:cs="Palatino Linotype"/>
          <w:sz w:val="22"/>
          <w:szCs w:val="22"/>
        </w:rPr>
      </w:pPr>
    </w:p>
    <w:p w14:paraId="7649ABDE" w14:textId="77777777" w:rsidR="005576BB" w:rsidRPr="00C954EE" w:rsidRDefault="00302DF8">
      <w:pPr>
        <w:widowControl w:val="0"/>
        <w:spacing w:before="240" w:after="240" w:line="360" w:lineRule="auto"/>
        <w:jc w:val="center"/>
        <w:rPr>
          <w:rFonts w:ascii="Palatino Linotype" w:eastAsia="Palatino Linotype" w:hAnsi="Palatino Linotype" w:cs="Palatino Linotype"/>
          <w:b/>
          <w:sz w:val="22"/>
          <w:szCs w:val="22"/>
        </w:rPr>
      </w:pPr>
      <w:r w:rsidRPr="00C954EE">
        <w:rPr>
          <w:rFonts w:ascii="Palatino Linotype" w:eastAsia="Palatino Linotype" w:hAnsi="Palatino Linotype" w:cs="Palatino Linotype"/>
          <w:b/>
          <w:sz w:val="22"/>
          <w:szCs w:val="22"/>
        </w:rPr>
        <w:t>II. C O N S I D E R A N D O S</w:t>
      </w:r>
    </w:p>
    <w:p w14:paraId="03535372"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b/>
          <w:sz w:val="22"/>
          <w:szCs w:val="22"/>
        </w:rPr>
        <w:t>Primero. Competencia.</w:t>
      </w:r>
      <w:r w:rsidRPr="00C954E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B4F031"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C954EE">
        <w:rPr>
          <w:rFonts w:ascii="Palatino Linotype" w:eastAsia="Palatino Linotype" w:hAnsi="Palatino Linotype" w:cs="Palatino Linotype"/>
          <w:b/>
          <w:sz w:val="22"/>
          <w:szCs w:val="22"/>
        </w:rPr>
        <w:t>Segundo. Oportunidad y Procedibilidad del Recurso de Revisión</w:t>
      </w:r>
      <w:r w:rsidRPr="00C954E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E6F4EFC" w14:textId="77777777" w:rsidR="005576BB" w:rsidRPr="00C954EE" w:rsidRDefault="00302DF8">
      <w:pPr>
        <w:spacing w:before="240" w:after="240"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C954EE">
        <w:rPr>
          <w:rFonts w:ascii="Palatino Linotype" w:eastAsia="Palatino Linotype" w:hAnsi="Palatino Linotype" w:cs="Palatino Linotype"/>
          <w:b/>
          <w:sz w:val="22"/>
          <w:szCs w:val="22"/>
        </w:rPr>
        <w:t xml:space="preserve">Sujeto Obligado </w:t>
      </w:r>
      <w:r w:rsidRPr="00C954EE">
        <w:rPr>
          <w:rFonts w:ascii="Palatino Linotype" w:eastAsia="Palatino Linotype" w:hAnsi="Palatino Linotype" w:cs="Palatino Linotype"/>
          <w:sz w:val="22"/>
          <w:szCs w:val="22"/>
        </w:rPr>
        <w:t xml:space="preserve">remitió la respuesta a la solicitud de información el día </w:t>
      </w:r>
      <w:r w:rsidRPr="00C954EE">
        <w:rPr>
          <w:rFonts w:ascii="Palatino Linotype" w:eastAsia="Palatino Linotype" w:hAnsi="Palatino Linotype" w:cs="Palatino Linotype"/>
          <w:b/>
          <w:sz w:val="22"/>
          <w:szCs w:val="22"/>
        </w:rPr>
        <w:t xml:space="preserve">siete de mayo de dos mil veinticinco, </w:t>
      </w:r>
      <w:r w:rsidRPr="00C954EE">
        <w:rPr>
          <w:rFonts w:ascii="Palatino Linotype" w:eastAsia="Palatino Linotype" w:hAnsi="Palatino Linotype" w:cs="Palatino Linotype"/>
          <w:sz w:val="22"/>
          <w:szCs w:val="22"/>
        </w:rPr>
        <w:t xml:space="preserve">mientras que el recurso de revisión interpuesto por la parte </w:t>
      </w:r>
      <w:r w:rsidRPr="00C954EE">
        <w:rPr>
          <w:rFonts w:ascii="Palatino Linotype" w:eastAsia="Palatino Linotype" w:hAnsi="Palatino Linotype" w:cs="Palatino Linotype"/>
          <w:b/>
          <w:sz w:val="22"/>
          <w:szCs w:val="22"/>
        </w:rPr>
        <w:t xml:space="preserve">Recurrente, </w:t>
      </w:r>
      <w:r w:rsidRPr="00C954EE">
        <w:rPr>
          <w:rFonts w:ascii="Palatino Linotype" w:eastAsia="Palatino Linotype" w:hAnsi="Palatino Linotype" w:cs="Palatino Linotype"/>
          <w:sz w:val="22"/>
          <w:szCs w:val="22"/>
        </w:rPr>
        <w:t>se tuvo por presentado el día</w:t>
      </w:r>
      <w:r w:rsidRPr="00C954EE">
        <w:rPr>
          <w:rFonts w:ascii="Palatino Linotype" w:eastAsia="Palatino Linotype" w:hAnsi="Palatino Linotype" w:cs="Palatino Linotype"/>
          <w:b/>
          <w:sz w:val="22"/>
          <w:szCs w:val="22"/>
        </w:rPr>
        <w:t xml:space="preserve"> ocho de mayo de dos mil veinticinco, </w:t>
      </w:r>
      <w:r w:rsidRPr="00C954EE">
        <w:rPr>
          <w:rFonts w:ascii="Palatino Linotype" w:eastAsia="Palatino Linotype" w:hAnsi="Palatino Linotype" w:cs="Palatino Linotype"/>
          <w:sz w:val="22"/>
          <w:szCs w:val="22"/>
        </w:rPr>
        <w:t>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3F35F975" w14:textId="77777777" w:rsidR="005576BB" w:rsidRPr="00C954EE" w:rsidRDefault="00302DF8">
      <w:pPr>
        <w:spacing w:before="240" w:after="240" w:line="360" w:lineRule="auto"/>
        <w:jc w:val="both"/>
        <w:rPr>
          <w:rFonts w:ascii="Palatino Linotype" w:eastAsia="Palatino Linotype" w:hAnsi="Palatino Linotype" w:cs="Palatino Linotype"/>
          <w:b/>
          <w:sz w:val="22"/>
          <w:szCs w:val="22"/>
        </w:rPr>
      </w:pPr>
      <w:bookmarkStart w:id="7" w:name="_heading=h.3znysh7" w:colFirst="0" w:colLast="0"/>
      <w:bookmarkEnd w:id="7"/>
      <w:r w:rsidRPr="00C954EE">
        <w:rPr>
          <w:rFonts w:ascii="Palatino Linotype" w:eastAsia="Palatino Linotype" w:hAnsi="Palatino Linotype" w:cs="Palatino Linotype"/>
          <w:sz w:val="22"/>
          <w:szCs w:val="22"/>
        </w:rPr>
        <w:t>Además, por cuanto hace a la procedibilidad del recurso de revisión, es de suma importancia señalar que 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C954EE">
        <w:rPr>
          <w:rFonts w:ascii="Palatino Linotype" w:eastAsia="Palatino Linotype" w:hAnsi="Palatino Linotype" w:cs="Palatino Linotype"/>
          <w:b/>
          <w:sz w:val="22"/>
          <w:szCs w:val="22"/>
        </w:rPr>
        <w:t xml:space="preserve"> SAIMEX.</w:t>
      </w:r>
    </w:p>
    <w:p w14:paraId="4FAD2768" w14:textId="77777777" w:rsidR="00ED1336" w:rsidRPr="00C954EE" w:rsidRDefault="00302DF8" w:rsidP="00ED1336">
      <w:pPr>
        <w:pStyle w:val="NormalWeb"/>
        <w:spacing w:before="0" w:beforeAutospacing="0" w:after="0" w:afterAutospacing="0" w:line="360" w:lineRule="auto"/>
        <w:ind w:right="49"/>
        <w:jc w:val="both"/>
      </w:pPr>
      <w:r w:rsidRPr="00C954EE">
        <w:rPr>
          <w:rFonts w:ascii="Palatino Linotype" w:eastAsia="Palatino Linotype" w:hAnsi="Palatino Linotype" w:cs="Palatino Linotype"/>
          <w:sz w:val="22"/>
          <w:szCs w:val="22"/>
        </w:rPr>
        <w:t xml:space="preserve">Finalmente, </w:t>
      </w:r>
      <w:r w:rsidR="00ED1336" w:rsidRPr="00C954EE">
        <w:rPr>
          <w:rFonts w:ascii="Palatino Linotype" w:hAnsi="Palatino Linotype"/>
          <w:sz w:val="22"/>
          <w:szCs w:val="22"/>
        </w:rPr>
        <w:t>es de destacar que, no fue posible encuadrar los motivos de inconformidad en algunos de los supuestos que contempla el artículo 179 de la Ley de Transparencia y Acceso a la Información Pública del Estado de México y Municipios. </w:t>
      </w:r>
    </w:p>
    <w:p w14:paraId="7619EE1B" w14:textId="77777777" w:rsidR="00ED1336" w:rsidRPr="00C954EE" w:rsidRDefault="00ED1336">
      <w:pPr>
        <w:spacing w:line="360" w:lineRule="auto"/>
        <w:jc w:val="both"/>
        <w:rPr>
          <w:rFonts w:ascii="Palatino Linotype" w:eastAsia="Palatino Linotype" w:hAnsi="Palatino Linotype" w:cs="Palatino Linotype"/>
          <w:b/>
          <w:sz w:val="22"/>
          <w:szCs w:val="22"/>
        </w:rPr>
      </w:pPr>
    </w:p>
    <w:p w14:paraId="75D8206D" w14:textId="15298D2F" w:rsidR="005576BB" w:rsidRPr="00C954EE" w:rsidRDefault="00302DF8">
      <w:pPr>
        <w:spacing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b/>
          <w:sz w:val="22"/>
          <w:szCs w:val="22"/>
        </w:rPr>
        <w:t xml:space="preserve">TERCERO. Análisis de las causales de sobreseimiento. </w:t>
      </w:r>
      <w:r w:rsidRPr="00C954EE">
        <w:rPr>
          <w:rFonts w:ascii="Palatino Linotype" w:eastAsia="Palatino Linotype" w:hAnsi="Palatino Linotype" w:cs="Palatino Linotype"/>
          <w:sz w:val="22"/>
          <w:szCs w:val="22"/>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w:t>
      </w:r>
      <w:r w:rsidRPr="00C954EE">
        <w:rPr>
          <w:rFonts w:ascii="Palatino Linotype" w:eastAsia="Palatino Linotype" w:hAnsi="Palatino Linotype" w:cs="Palatino Linotype"/>
          <w:sz w:val="22"/>
          <w:szCs w:val="22"/>
        </w:rPr>
        <w:lastRenderedPageBreak/>
        <w:t>y Municipios, en correlación con la seguridad jurídica que debe generar lo actuado ante este Organismo Garante.</w:t>
      </w:r>
    </w:p>
    <w:p w14:paraId="7F60E0AB" w14:textId="77777777" w:rsidR="005576BB" w:rsidRPr="00C954EE" w:rsidRDefault="005576BB">
      <w:pPr>
        <w:spacing w:line="360" w:lineRule="auto"/>
        <w:jc w:val="both"/>
        <w:rPr>
          <w:rFonts w:ascii="Palatino Linotype" w:eastAsia="Palatino Linotype" w:hAnsi="Palatino Linotype" w:cs="Palatino Linotype"/>
          <w:sz w:val="22"/>
          <w:szCs w:val="22"/>
        </w:rPr>
      </w:pPr>
    </w:p>
    <w:p w14:paraId="4297EFB1" w14:textId="77777777" w:rsidR="005576BB" w:rsidRPr="00C954EE" w:rsidRDefault="00302DF8">
      <w:pPr>
        <w:spacing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9D31E9C" w14:textId="77777777" w:rsidR="005576BB" w:rsidRPr="00C954EE" w:rsidRDefault="005576BB">
      <w:pPr>
        <w:spacing w:line="360" w:lineRule="auto"/>
        <w:jc w:val="both"/>
        <w:rPr>
          <w:rFonts w:ascii="Palatino Linotype" w:eastAsia="Palatino Linotype" w:hAnsi="Palatino Linotype" w:cs="Palatino Linotype"/>
          <w:sz w:val="22"/>
          <w:szCs w:val="22"/>
        </w:rPr>
      </w:pPr>
    </w:p>
    <w:p w14:paraId="134A2130" w14:textId="77777777" w:rsidR="005576BB" w:rsidRPr="00C954EE" w:rsidRDefault="00302DF8">
      <w:pPr>
        <w:spacing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Es así, que del análisis a la solicitud se advierte que en el presente asunto la parte Recurrente requirió al Sujeto Obligado le proporcione, información consistente en obligaciones de transparencia. </w:t>
      </w:r>
    </w:p>
    <w:p w14:paraId="1DE7F21A" w14:textId="77777777" w:rsidR="005576BB" w:rsidRPr="00C954EE" w:rsidRDefault="005576B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63F83BE" w14:textId="77777777" w:rsidR="005576BB" w:rsidRPr="00C954EE" w:rsidRDefault="00302DF8">
      <w:pPr>
        <w:spacing w:line="360" w:lineRule="auto"/>
        <w:ind w:right="51"/>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En respuesta, el </w:t>
      </w:r>
      <w:r w:rsidRPr="00C954EE">
        <w:rPr>
          <w:rFonts w:ascii="Palatino Linotype" w:eastAsia="Palatino Linotype" w:hAnsi="Palatino Linotype" w:cs="Palatino Linotype"/>
          <w:b/>
          <w:sz w:val="22"/>
          <w:szCs w:val="22"/>
        </w:rPr>
        <w:t>Sujeto Obligado</w:t>
      </w:r>
      <w:r w:rsidRPr="00C954EE">
        <w:rPr>
          <w:rFonts w:ascii="Palatino Linotype" w:eastAsia="Palatino Linotype" w:hAnsi="Palatino Linotype" w:cs="Palatino Linotype"/>
          <w:sz w:val="22"/>
          <w:szCs w:val="22"/>
        </w:rPr>
        <w:t xml:space="preserve">, por conducto de la Titular de la Unidad de Transparencia hizo entrega de una liga electrónica en la que se podía consultar la información solicitada, no se omite mencionar que dicha liga se encuentra en formato cerrado. </w:t>
      </w:r>
    </w:p>
    <w:p w14:paraId="2DAE07FC" w14:textId="77777777" w:rsidR="005576BB" w:rsidRPr="00C954EE" w:rsidRDefault="005576BB">
      <w:pPr>
        <w:spacing w:line="360" w:lineRule="auto"/>
        <w:ind w:right="51"/>
        <w:jc w:val="both"/>
        <w:rPr>
          <w:rFonts w:ascii="Palatino Linotype" w:eastAsia="Palatino Linotype" w:hAnsi="Palatino Linotype" w:cs="Palatino Linotype"/>
          <w:sz w:val="22"/>
          <w:szCs w:val="22"/>
        </w:rPr>
      </w:pPr>
    </w:p>
    <w:p w14:paraId="087520F9" w14:textId="77777777" w:rsidR="005576BB" w:rsidRPr="00C954EE" w:rsidRDefault="00302DF8">
      <w:pPr>
        <w:pBdr>
          <w:top w:val="nil"/>
          <w:left w:val="nil"/>
          <w:bottom w:val="nil"/>
          <w:right w:val="nil"/>
          <w:between w:val="nil"/>
        </w:pBdr>
        <w:tabs>
          <w:tab w:val="left" w:pos="993"/>
        </w:tabs>
        <w:spacing w:line="360" w:lineRule="auto"/>
        <w:ind w:right="51"/>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Al no estar conforme con los términos de la respuesta proporcionada por el Sujeto Obligado, la persona solicitante interpuso el recurso de revisión, mediante el cual se inconformó textualmente por lo siguiente: </w:t>
      </w:r>
      <w:r w:rsidRPr="00C954EE">
        <w:rPr>
          <w:rFonts w:ascii="Palatino Linotype" w:eastAsia="Palatino Linotype" w:hAnsi="Palatino Linotype" w:cs="Palatino Linotype"/>
          <w:i/>
          <w:sz w:val="22"/>
          <w:szCs w:val="22"/>
        </w:rPr>
        <w:t xml:space="preserve">“faltan muchas información de </w:t>
      </w:r>
      <w:r w:rsidRPr="00C954EE">
        <w:rPr>
          <w:rFonts w:ascii="Palatino Linotype" w:eastAsia="Palatino Linotype" w:hAnsi="Palatino Linotype" w:cs="Palatino Linotype"/>
          <w:b/>
          <w:i/>
          <w:sz w:val="22"/>
          <w:szCs w:val="22"/>
          <w:u w:val="single"/>
        </w:rPr>
        <w:t>fracciones las cuales tienen que ser llenadas</w:t>
      </w:r>
      <w:r w:rsidRPr="00C954EE">
        <w:rPr>
          <w:rFonts w:ascii="Palatino Linotype" w:eastAsia="Palatino Linotype" w:hAnsi="Palatino Linotype" w:cs="Palatino Linotype"/>
          <w:i/>
          <w:sz w:val="22"/>
          <w:szCs w:val="22"/>
        </w:rPr>
        <w:t xml:space="preserve">, se solicita que por favor el pleno del </w:t>
      </w:r>
      <w:proofErr w:type="spellStart"/>
      <w:r w:rsidRPr="00C954EE">
        <w:rPr>
          <w:rFonts w:ascii="Palatino Linotype" w:eastAsia="Palatino Linotype" w:hAnsi="Palatino Linotype" w:cs="Palatino Linotype"/>
          <w:i/>
          <w:sz w:val="22"/>
          <w:szCs w:val="22"/>
        </w:rPr>
        <w:t>infoem</w:t>
      </w:r>
      <w:proofErr w:type="spellEnd"/>
      <w:r w:rsidRPr="00C954EE">
        <w:rPr>
          <w:rFonts w:ascii="Palatino Linotype" w:eastAsia="Palatino Linotype" w:hAnsi="Palatino Linotype" w:cs="Palatino Linotype"/>
          <w:i/>
          <w:sz w:val="22"/>
          <w:szCs w:val="22"/>
        </w:rPr>
        <w:t xml:space="preserve"> r</w:t>
      </w:r>
      <w:r w:rsidRPr="00C954EE">
        <w:rPr>
          <w:rFonts w:ascii="Palatino Linotype" w:eastAsia="Palatino Linotype" w:hAnsi="Palatino Linotype" w:cs="Palatino Linotype"/>
          <w:b/>
          <w:i/>
          <w:sz w:val="22"/>
          <w:szCs w:val="22"/>
          <w:u w:val="single"/>
        </w:rPr>
        <w:t>ealice el ordenamiento para que el servidor público realice su labor y complemente la información en la plataforma</w:t>
      </w:r>
      <w:r w:rsidRPr="00C954EE">
        <w:rPr>
          <w:rFonts w:ascii="Palatino Linotype" w:eastAsia="Palatino Linotype" w:hAnsi="Palatino Linotype" w:cs="Palatino Linotype"/>
          <w:i/>
          <w:sz w:val="22"/>
          <w:szCs w:val="22"/>
        </w:rPr>
        <w:t>”</w:t>
      </w:r>
    </w:p>
    <w:p w14:paraId="107E9C71" w14:textId="77777777" w:rsidR="005576BB" w:rsidRPr="00C954EE" w:rsidRDefault="005576BB">
      <w:pPr>
        <w:pBdr>
          <w:top w:val="nil"/>
          <w:left w:val="nil"/>
          <w:bottom w:val="nil"/>
          <w:right w:val="nil"/>
          <w:between w:val="nil"/>
        </w:pBdr>
        <w:tabs>
          <w:tab w:val="left" w:pos="993"/>
        </w:tabs>
        <w:spacing w:line="360" w:lineRule="auto"/>
        <w:ind w:right="51"/>
        <w:jc w:val="both"/>
        <w:rPr>
          <w:rFonts w:ascii="Palatino Linotype" w:eastAsia="Palatino Linotype" w:hAnsi="Palatino Linotype" w:cs="Palatino Linotype"/>
          <w:sz w:val="22"/>
          <w:szCs w:val="22"/>
        </w:rPr>
      </w:pPr>
    </w:p>
    <w:p w14:paraId="6444666D" w14:textId="77777777" w:rsidR="005576BB" w:rsidRPr="00C954EE" w:rsidRDefault="00302DF8">
      <w:pPr>
        <w:spacing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El Sujeto Obligado no rindió informe justificado, mientras que la parte Recurrente fue omisa en hacer valer manifestaciones o rendir alegatos que conforme a derecho resultaran procedentes, por lo tanto, se tiene por precluido su derecho.</w:t>
      </w:r>
    </w:p>
    <w:p w14:paraId="2F1A5976" w14:textId="77777777" w:rsidR="005576BB" w:rsidRPr="00C954EE" w:rsidRDefault="005576B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0E6D2FE" w14:textId="77777777" w:rsidR="005576BB" w:rsidRPr="00C954EE" w:rsidRDefault="00302DF8">
      <w:pPr>
        <w:spacing w:line="360" w:lineRule="auto"/>
        <w:jc w:val="both"/>
        <w:rPr>
          <w:rFonts w:ascii="Palatino Linotype" w:eastAsia="Palatino Linotype" w:hAnsi="Palatino Linotype" w:cs="Palatino Linotype"/>
          <w:b/>
          <w:sz w:val="22"/>
          <w:szCs w:val="22"/>
          <w:u w:val="single"/>
        </w:rPr>
      </w:pPr>
      <w:r w:rsidRPr="00C954EE">
        <w:rPr>
          <w:rFonts w:ascii="Palatino Linotype" w:eastAsia="Palatino Linotype" w:hAnsi="Palatino Linotype" w:cs="Palatino Linotype"/>
          <w:sz w:val="22"/>
          <w:szCs w:val="22"/>
        </w:rPr>
        <w:t xml:space="preserve">Una vez establecidas las posturas de las partes, resulta necesario señalar que, del análisis a los motivos de inconformidad hechos valer por la parte Recurrente, se advierte que se inconforma porque considera que falta mucha información en el portal de IPOMEX del sujeto obligado, por lo que su pretensión es que se ordene, a través del recurso de revisión, al sujeto obligado </w:t>
      </w:r>
      <w:r w:rsidRPr="00C954EE">
        <w:rPr>
          <w:rFonts w:ascii="Palatino Linotype" w:eastAsia="Palatino Linotype" w:hAnsi="Palatino Linotype" w:cs="Palatino Linotype"/>
          <w:b/>
          <w:sz w:val="22"/>
          <w:szCs w:val="22"/>
          <w:u w:val="single"/>
        </w:rPr>
        <w:t>la carga de la información faltante.</w:t>
      </w:r>
    </w:p>
    <w:p w14:paraId="52392CEB" w14:textId="77777777" w:rsidR="005576BB" w:rsidRPr="00C954EE" w:rsidRDefault="005576BB">
      <w:pPr>
        <w:spacing w:line="360" w:lineRule="auto"/>
        <w:jc w:val="both"/>
        <w:rPr>
          <w:rFonts w:ascii="Palatino Linotype" w:eastAsia="Palatino Linotype" w:hAnsi="Palatino Linotype" w:cs="Palatino Linotype"/>
          <w:b/>
          <w:sz w:val="22"/>
          <w:szCs w:val="22"/>
          <w:u w:val="single"/>
        </w:rPr>
      </w:pPr>
    </w:p>
    <w:p w14:paraId="767D1A9F" w14:textId="4A9FDAD9" w:rsidR="005576BB" w:rsidRPr="00C954EE" w:rsidRDefault="00ED1336">
      <w:pPr>
        <w:spacing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Dicho lo anterior, resulta procedente pronunciarse es respecto al procedimiento para obligar a los sujetos obligados a realizar la carga de </w:t>
      </w:r>
      <w:r w:rsidR="00302DF8" w:rsidRPr="00C954EE">
        <w:rPr>
          <w:rFonts w:ascii="Palatino Linotype" w:eastAsia="Palatino Linotype" w:hAnsi="Palatino Linotype" w:cs="Palatino Linotype"/>
          <w:sz w:val="22"/>
          <w:szCs w:val="22"/>
        </w:rPr>
        <w:t xml:space="preserve">información relacionada con obligaciones de transparencia, </w:t>
      </w:r>
      <w:r w:rsidRPr="00C954EE">
        <w:rPr>
          <w:rFonts w:ascii="Palatino Linotype" w:eastAsia="Palatino Linotype" w:hAnsi="Palatino Linotype" w:cs="Palatino Linotype"/>
          <w:sz w:val="22"/>
          <w:szCs w:val="22"/>
        </w:rPr>
        <w:t xml:space="preserve">conforme a </w:t>
      </w:r>
      <w:r w:rsidR="00302DF8" w:rsidRPr="00C954EE">
        <w:rPr>
          <w:rFonts w:ascii="Palatino Linotype" w:eastAsia="Palatino Linotype" w:hAnsi="Palatino Linotype" w:cs="Palatino Linotype"/>
          <w:sz w:val="22"/>
          <w:szCs w:val="22"/>
        </w:rPr>
        <w:t xml:space="preserve"> lo siguiente: </w:t>
      </w:r>
    </w:p>
    <w:p w14:paraId="354AD4C7"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b/>
          <w:i/>
          <w:sz w:val="22"/>
          <w:szCs w:val="22"/>
        </w:rPr>
      </w:pPr>
      <w:r w:rsidRPr="00C954EE">
        <w:rPr>
          <w:rFonts w:ascii="Palatino Linotype" w:eastAsia="Palatino Linotype" w:hAnsi="Palatino Linotype" w:cs="Palatino Linotype"/>
          <w:b/>
          <w:i/>
          <w:sz w:val="22"/>
          <w:szCs w:val="22"/>
        </w:rPr>
        <w:t xml:space="preserve">LEY DE TRANSPARENCIA Y ACCESO A LA INFORMACIÓN PÚBLICA DEL ESTADO DE MÉXICO Y MUNICIPIOS. </w:t>
      </w:r>
    </w:p>
    <w:p w14:paraId="12D1A1D3" w14:textId="77777777" w:rsidR="005576BB" w:rsidRPr="00C954EE" w:rsidRDefault="005576BB">
      <w:pPr>
        <w:shd w:val="clear" w:color="auto" w:fill="FFFFFF"/>
        <w:spacing w:line="276" w:lineRule="auto"/>
        <w:ind w:left="993" w:right="1041"/>
        <w:jc w:val="both"/>
        <w:rPr>
          <w:rFonts w:ascii="Palatino Linotype" w:eastAsia="Palatino Linotype" w:hAnsi="Palatino Linotype" w:cs="Palatino Linotype"/>
          <w:b/>
          <w:i/>
          <w:sz w:val="22"/>
          <w:szCs w:val="22"/>
        </w:rPr>
      </w:pPr>
    </w:p>
    <w:p w14:paraId="0F39D2BA"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b/>
          <w:i/>
          <w:sz w:val="22"/>
          <w:szCs w:val="22"/>
        </w:rPr>
        <w:t xml:space="preserve">“Artículo 36. </w:t>
      </w:r>
      <w:r w:rsidRPr="00C954EE">
        <w:rPr>
          <w:rFonts w:ascii="Palatino Linotype" w:eastAsia="Palatino Linotype" w:hAnsi="Palatino Linotype" w:cs="Palatino Linotype"/>
          <w:i/>
          <w:sz w:val="22"/>
          <w:szCs w:val="22"/>
        </w:rPr>
        <w:t xml:space="preserve">El Instituto tendrá, en el ámbito de su competencia, las atribuciones siguientes: </w:t>
      </w:r>
    </w:p>
    <w:p w14:paraId="3855F074"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 xml:space="preserve">(...) </w:t>
      </w:r>
    </w:p>
    <w:p w14:paraId="53F66589"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 xml:space="preserve">VIII. Proporcionar a los sujetos obligados un sitio web dentro de sus ordenadores o servidores, el cual deberá contener cuando menos las obligaciones de transparencia comunes y específicas que correspondan, así como cualquier otra información que considere conveniente difundir en materia de transparencia y acceso a la información; </w:t>
      </w:r>
    </w:p>
    <w:p w14:paraId="2EA218FB"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 xml:space="preserve">(...) </w:t>
      </w:r>
    </w:p>
    <w:p w14:paraId="1BA5115B"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XXXIX. Determinar y ejecutar según corresponda las sanciones por el incumplimiento a las disposiciones de la presente Ley;</w:t>
      </w:r>
    </w:p>
    <w:p w14:paraId="26977E11" w14:textId="77777777" w:rsidR="005576BB" w:rsidRPr="00C954EE" w:rsidRDefault="005576BB">
      <w:pPr>
        <w:shd w:val="clear" w:color="auto" w:fill="FFFFFF"/>
        <w:spacing w:line="276" w:lineRule="auto"/>
        <w:ind w:left="993" w:right="1041"/>
        <w:jc w:val="both"/>
        <w:rPr>
          <w:rFonts w:ascii="Palatino Linotype" w:eastAsia="Palatino Linotype" w:hAnsi="Palatino Linotype" w:cs="Palatino Linotype"/>
          <w:i/>
          <w:sz w:val="22"/>
          <w:szCs w:val="22"/>
        </w:rPr>
      </w:pPr>
    </w:p>
    <w:p w14:paraId="1CCC19E2"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b/>
          <w:i/>
          <w:sz w:val="22"/>
          <w:szCs w:val="22"/>
        </w:rPr>
        <w:lastRenderedPageBreak/>
        <w:t xml:space="preserve">Artículo 75. </w:t>
      </w:r>
      <w:r w:rsidRPr="00C954EE">
        <w:rPr>
          <w:rFonts w:ascii="Palatino Linotype" w:eastAsia="Palatino Linotype" w:hAnsi="Palatino Linotype" w:cs="Palatino Linotype"/>
          <w:i/>
          <w:sz w:val="22"/>
          <w:szCs w:val="22"/>
        </w:rPr>
        <w:t>Es obligación de los sujetos obligados el poner a disposición de los particulares la información a que se refiere esta Ley a través de sus sitios de Internet y de la Plataforma Nacional. La Plataforma electrónica promoverá el uso de la información original escaneada y las versiones en datos abiertos y/o formatos editables, según corresponda, de los documentos fuente.</w:t>
      </w:r>
    </w:p>
    <w:p w14:paraId="5D09C66C" w14:textId="77777777" w:rsidR="005576BB" w:rsidRPr="00C954EE" w:rsidRDefault="005576BB">
      <w:pPr>
        <w:shd w:val="clear" w:color="auto" w:fill="FFFFFF"/>
        <w:spacing w:line="276" w:lineRule="auto"/>
        <w:ind w:left="993" w:right="1041"/>
        <w:jc w:val="both"/>
        <w:rPr>
          <w:rFonts w:ascii="Palatino Linotype" w:eastAsia="Palatino Linotype" w:hAnsi="Palatino Linotype" w:cs="Palatino Linotype"/>
          <w:i/>
          <w:sz w:val="22"/>
          <w:szCs w:val="22"/>
        </w:rPr>
      </w:pPr>
    </w:p>
    <w:p w14:paraId="5B0DF679"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b/>
          <w:i/>
          <w:sz w:val="22"/>
          <w:szCs w:val="22"/>
        </w:rPr>
        <w:t>Artículo 76.</w:t>
      </w:r>
      <w:r w:rsidRPr="00C954EE">
        <w:rPr>
          <w:rFonts w:ascii="Palatino Linotype" w:eastAsia="Palatino Linotype" w:hAnsi="Palatino Linotype" w:cs="Palatino Linotype"/>
          <w:i/>
          <w:sz w:val="22"/>
          <w:szCs w:val="22"/>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41B5669C" w14:textId="77777777" w:rsidR="005576BB" w:rsidRPr="00C954EE" w:rsidRDefault="005576BB">
      <w:pPr>
        <w:shd w:val="clear" w:color="auto" w:fill="FFFFFF"/>
        <w:spacing w:line="276" w:lineRule="auto"/>
        <w:ind w:left="993" w:right="1041"/>
        <w:jc w:val="both"/>
        <w:rPr>
          <w:rFonts w:ascii="Palatino Linotype" w:eastAsia="Palatino Linotype" w:hAnsi="Palatino Linotype" w:cs="Palatino Linotype"/>
          <w:i/>
          <w:sz w:val="22"/>
          <w:szCs w:val="22"/>
        </w:rPr>
      </w:pPr>
    </w:p>
    <w:p w14:paraId="672E42AA"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La publicación de la información derivada de las obligaciones de transparencia deberá sujetarse a los lineamientos para la homologación en la presentación de la información a la que hace referencia este Título por parte de los sujetos obligados.</w:t>
      </w:r>
    </w:p>
    <w:p w14:paraId="74C06559" w14:textId="77777777" w:rsidR="005576BB" w:rsidRPr="00C954EE" w:rsidRDefault="005576BB">
      <w:pPr>
        <w:shd w:val="clear" w:color="auto" w:fill="FFFFFF"/>
        <w:spacing w:line="276" w:lineRule="auto"/>
        <w:ind w:left="993" w:right="1041"/>
        <w:jc w:val="both"/>
        <w:rPr>
          <w:rFonts w:ascii="Palatino Linotype" w:eastAsia="Palatino Linotype" w:hAnsi="Palatino Linotype" w:cs="Palatino Linotype"/>
          <w:i/>
          <w:sz w:val="22"/>
          <w:szCs w:val="22"/>
        </w:rPr>
      </w:pPr>
    </w:p>
    <w:p w14:paraId="13FCEF43"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b/>
          <w:i/>
          <w:sz w:val="22"/>
          <w:szCs w:val="22"/>
        </w:rPr>
        <w:t>Artículo 77.</w:t>
      </w:r>
      <w:r w:rsidRPr="00C954EE">
        <w:rPr>
          <w:rFonts w:ascii="Palatino Linotype" w:eastAsia="Palatino Linotype" w:hAnsi="Palatino Linotype" w:cs="Palatino Linotype"/>
          <w:i/>
          <w:sz w:val="22"/>
          <w:szCs w:val="22"/>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La publicación de la información deberá indicar el sujeto obligado encargado de generarla, así como la fecha de su última actualización.</w:t>
      </w:r>
    </w:p>
    <w:p w14:paraId="69738E6A" w14:textId="77777777" w:rsidR="005576BB" w:rsidRPr="00C954EE" w:rsidRDefault="005576BB">
      <w:pPr>
        <w:shd w:val="clear" w:color="auto" w:fill="FFFFFF"/>
        <w:spacing w:line="276" w:lineRule="auto"/>
        <w:ind w:left="993" w:right="1041"/>
        <w:jc w:val="both"/>
        <w:rPr>
          <w:rFonts w:ascii="Palatino Linotype" w:eastAsia="Palatino Linotype" w:hAnsi="Palatino Linotype" w:cs="Palatino Linotype"/>
          <w:i/>
          <w:sz w:val="22"/>
          <w:szCs w:val="22"/>
        </w:rPr>
      </w:pPr>
    </w:p>
    <w:p w14:paraId="112B77BD" w14:textId="77777777" w:rsidR="005576BB" w:rsidRPr="00C954EE" w:rsidRDefault="00302DF8">
      <w:pPr>
        <w:shd w:val="clear" w:color="auto" w:fill="FFFFFF"/>
        <w:spacing w:line="276" w:lineRule="auto"/>
        <w:ind w:left="993" w:right="1041"/>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b/>
          <w:i/>
          <w:sz w:val="22"/>
          <w:szCs w:val="22"/>
        </w:rPr>
        <w:t>Artículo 78.</w:t>
      </w:r>
      <w:r w:rsidRPr="00C954EE">
        <w:rPr>
          <w:rFonts w:ascii="Palatino Linotype" w:eastAsia="Palatino Linotype" w:hAnsi="Palatino Linotype" w:cs="Palatino Linotype"/>
          <w:i/>
          <w:sz w:val="22"/>
          <w:szCs w:val="22"/>
        </w:rPr>
        <w:t xml:space="preserve"> El Instituto, de oficio o a petición de los particulares, verificarán el cumplimiento que los sujetos obligados den a las disposiciones previstas en esta Ley y demás disposiciones aplicables.”(Sic)</w:t>
      </w:r>
    </w:p>
    <w:p w14:paraId="4B9D5178" w14:textId="77777777" w:rsidR="005576BB" w:rsidRPr="00C954EE" w:rsidRDefault="005576BB">
      <w:pPr>
        <w:shd w:val="clear" w:color="auto" w:fill="FFFFFF"/>
        <w:spacing w:line="276" w:lineRule="auto"/>
        <w:ind w:left="993" w:right="1041"/>
        <w:jc w:val="both"/>
        <w:rPr>
          <w:rFonts w:ascii="Palatino Linotype" w:eastAsia="Palatino Linotype" w:hAnsi="Palatino Linotype" w:cs="Palatino Linotype"/>
          <w:i/>
          <w:sz w:val="22"/>
          <w:szCs w:val="22"/>
        </w:rPr>
      </w:pPr>
    </w:p>
    <w:p w14:paraId="6D4B5131" w14:textId="77777777" w:rsidR="005576BB" w:rsidRPr="00C954EE" w:rsidRDefault="00302DF8">
      <w:pPr>
        <w:spacing w:line="360" w:lineRule="auto"/>
        <w:jc w:val="both"/>
        <w:rPr>
          <w:rFonts w:ascii="Palatino Linotype" w:eastAsia="Palatino Linotype" w:hAnsi="Palatino Linotype" w:cs="Palatino Linotype"/>
        </w:rPr>
      </w:pPr>
      <w:r w:rsidRPr="00C954EE">
        <w:rPr>
          <w:rFonts w:ascii="Palatino Linotype" w:eastAsia="Palatino Linotype" w:hAnsi="Palatino Linotype" w:cs="Palatino Linotype"/>
        </w:rPr>
        <w:lastRenderedPageBreak/>
        <w:t>De lo anterior se colige que el Instituto, como el ente encargado de tutelar el derecho de acceso a la información dentro del Estado de México, proporcionará a los Sujetos Obligados un portal donde éstos puedan publicar su información reconocida como una obligación de transparencia, a fin de mantenerla a disposición de la ciudadanía de forma permanente. Del mismo modo, el Instituto tendrá facultades para determinar y sancionar el incumplimiento detectado por los Sujetos Obligados a las disposiciones de la Ley de Transparencia y Acceso a la Información Pública del Estado de México y Municipios.</w:t>
      </w:r>
    </w:p>
    <w:p w14:paraId="7D76B484" w14:textId="77777777" w:rsidR="005576BB" w:rsidRPr="00C954EE" w:rsidRDefault="005576BB">
      <w:pPr>
        <w:spacing w:line="360" w:lineRule="auto"/>
        <w:jc w:val="both"/>
        <w:rPr>
          <w:rFonts w:ascii="Palatino Linotype" w:eastAsia="Palatino Linotype" w:hAnsi="Palatino Linotype" w:cs="Palatino Linotype"/>
        </w:rPr>
      </w:pPr>
    </w:p>
    <w:p w14:paraId="4DF82590" w14:textId="77777777" w:rsidR="005576BB" w:rsidRPr="00C954EE" w:rsidRDefault="00302DF8">
      <w:pPr>
        <w:spacing w:line="360" w:lineRule="auto"/>
        <w:jc w:val="both"/>
        <w:rPr>
          <w:rFonts w:ascii="Palatino Linotype" w:eastAsia="Palatino Linotype" w:hAnsi="Palatino Linotype" w:cs="Palatino Linotype"/>
        </w:rPr>
      </w:pPr>
      <w:r w:rsidRPr="00C954EE">
        <w:rPr>
          <w:rFonts w:ascii="Palatino Linotype" w:eastAsia="Palatino Linotype" w:hAnsi="Palatino Linotype" w:cs="Palatino Linotype"/>
        </w:rPr>
        <w:t>Ahora bien, el artículo 92 de la Ley de la materia, enlista y reconoce a toda la información que, dada por su naturaleza, los Sujetos Obligados estarán constreñidos a publicar y difundir de manera permanente a la ciudadanía. Por su parte, los artículos 94, 95, 96, 97, 98, 99, 100, 101, 102, 103, 104 y 105 enlistan y reconocen las obligaciones de transparencia específicas a las que estarán supeditados dependiendo de su naturaleza, competencia o atribuciones</w:t>
      </w:r>
    </w:p>
    <w:p w14:paraId="43C5D7A9" w14:textId="77777777" w:rsidR="005576BB" w:rsidRPr="00C954EE" w:rsidRDefault="005576BB">
      <w:pPr>
        <w:spacing w:line="360" w:lineRule="auto"/>
        <w:jc w:val="both"/>
        <w:rPr>
          <w:rFonts w:ascii="Palatino Linotype" w:eastAsia="Palatino Linotype" w:hAnsi="Palatino Linotype" w:cs="Palatino Linotype"/>
        </w:rPr>
      </w:pPr>
    </w:p>
    <w:p w14:paraId="17EF39C6" w14:textId="776AF1AE" w:rsidR="005576BB" w:rsidRPr="00C954EE" w:rsidRDefault="00C40E29">
      <w:pPr>
        <w:spacing w:line="360" w:lineRule="auto"/>
        <w:jc w:val="both"/>
        <w:rPr>
          <w:rFonts w:ascii="Palatino Linotype" w:eastAsia="Palatino Linotype" w:hAnsi="Palatino Linotype" w:cs="Palatino Linotype"/>
        </w:rPr>
      </w:pPr>
      <w:r w:rsidRPr="00C954EE">
        <w:rPr>
          <w:rFonts w:ascii="Palatino Linotype" w:eastAsia="Palatino Linotype" w:hAnsi="Palatino Linotype" w:cs="Palatino Linotype"/>
        </w:rPr>
        <w:t>R</w:t>
      </w:r>
      <w:r w:rsidR="00302DF8" w:rsidRPr="00C954EE">
        <w:rPr>
          <w:rFonts w:ascii="Palatino Linotype" w:eastAsia="Palatino Linotype" w:hAnsi="Palatino Linotype" w:cs="Palatino Linotype"/>
        </w:rPr>
        <w:t xml:space="preserve">especto al </w:t>
      </w:r>
      <w:r w:rsidRPr="00C954EE">
        <w:rPr>
          <w:rFonts w:ascii="Palatino Linotype" w:eastAsia="Palatino Linotype" w:hAnsi="Palatino Linotype" w:cs="Palatino Linotype"/>
        </w:rPr>
        <w:t xml:space="preserve">incumplimiento de obligaciones de transparencia, la ley en la materia pone a disposición de los particulares mecanismos específicos para hacer del conocimiento de la autoridad competente dicha circunstancia, tal como se advierte a continuación: </w:t>
      </w:r>
    </w:p>
    <w:p w14:paraId="4F88306E" w14:textId="77777777" w:rsidR="005576BB" w:rsidRPr="00C954EE" w:rsidRDefault="005576BB">
      <w:pPr>
        <w:spacing w:line="360" w:lineRule="auto"/>
        <w:jc w:val="both"/>
        <w:rPr>
          <w:rFonts w:ascii="Palatino Linotype" w:eastAsia="Palatino Linotype" w:hAnsi="Palatino Linotype" w:cs="Palatino Linotype"/>
        </w:rPr>
      </w:pPr>
    </w:p>
    <w:p w14:paraId="2BB6555B" w14:textId="0CF53B49" w:rsidR="00C40E29" w:rsidRPr="00C954EE" w:rsidRDefault="00C40E29" w:rsidP="00C40E29">
      <w:pPr>
        <w:ind w:left="567" w:right="616"/>
        <w:jc w:val="center"/>
        <w:rPr>
          <w:rFonts w:ascii="Palatino Linotype" w:hAnsi="Palatino Linotype"/>
          <w:i/>
          <w:iCs/>
          <w:sz w:val="22"/>
          <w:szCs w:val="22"/>
        </w:rPr>
      </w:pPr>
      <w:r w:rsidRPr="00C954EE">
        <w:rPr>
          <w:rFonts w:ascii="Palatino Linotype" w:hAnsi="Palatino Linotype"/>
          <w:i/>
          <w:iCs/>
          <w:sz w:val="22"/>
          <w:szCs w:val="22"/>
        </w:rPr>
        <w:t>Capítulo VI</w:t>
      </w:r>
    </w:p>
    <w:p w14:paraId="776104AF" w14:textId="36F00DFA" w:rsidR="00C40E29" w:rsidRPr="00C954EE" w:rsidRDefault="00C40E29" w:rsidP="00C40E29">
      <w:pPr>
        <w:ind w:left="567" w:right="616"/>
        <w:jc w:val="center"/>
        <w:rPr>
          <w:rFonts w:ascii="Palatino Linotype" w:hAnsi="Palatino Linotype"/>
          <w:i/>
          <w:iCs/>
          <w:sz w:val="22"/>
          <w:szCs w:val="22"/>
        </w:rPr>
      </w:pPr>
      <w:r w:rsidRPr="00C954EE">
        <w:rPr>
          <w:rFonts w:ascii="Palatino Linotype" w:hAnsi="Palatino Linotype"/>
          <w:i/>
          <w:iCs/>
          <w:sz w:val="22"/>
          <w:szCs w:val="22"/>
        </w:rPr>
        <w:t>Del Incumplimiento a las Obligaciones de Transparencia</w:t>
      </w:r>
    </w:p>
    <w:p w14:paraId="21346626" w14:textId="77777777" w:rsidR="00C40E29" w:rsidRPr="00C954EE" w:rsidRDefault="00C40E29" w:rsidP="00C40E29">
      <w:pPr>
        <w:ind w:left="567" w:right="616"/>
        <w:jc w:val="both"/>
        <w:rPr>
          <w:rFonts w:ascii="Palatino Linotype" w:hAnsi="Palatino Linotype"/>
          <w:i/>
          <w:iCs/>
          <w:sz w:val="22"/>
          <w:szCs w:val="22"/>
        </w:rPr>
      </w:pPr>
    </w:p>
    <w:p w14:paraId="0ABFDA18"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lastRenderedPageBreak/>
        <w:t xml:space="preserve">Artículo 111. Cualquier persona podrá denunciar ante el Instituto la falta de publicación de las obligaciones de transparencia previstas en la presente Ley y demás disposiciones jurídicas aplicables, en sus respectivos ámbitos de competencia. Las denuncias presentadas por los particulares podrán realizarse en cualquier momento, de conformidad con el procedimiento señalado en la presente Ley. </w:t>
      </w:r>
    </w:p>
    <w:p w14:paraId="16BC4BC0" w14:textId="77777777" w:rsidR="00C40E29" w:rsidRPr="00C954EE" w:rsidRDefault="00C40E29" w:rsidP="00C40E29">
      <w:pPr>
        <w:ind w:left="567" w:right="616"/>
        <w:jc w:val="both"/>
        <w:rPr>
          <w:rFonts w:ascii="Palatino Linotype" w:hAnsi="Palatino Linotype"/>
          <w:i/>
          <w:iCs/>
          <w:sz w:val="22"/>
          <w:szCs w:val="22"/>
        </w:rPr>
      </w:pPr>
    </w:p>
    <w:p w14:paraId="76D33264"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Artículo 112. El procedimiento de la denuncia se integra por las etapas siguientes: </w:t>
      </w:r>
    </w:p>
    <w:p w14:paraId="1E67E413" w14:textId="77777777" w:rsidR="00C40E29" w:rsidRPr="00C954EE" w:rsidRDefault="00C40E29" w:rsidP="00C40E29">
      <w:pPr>
        <w:ind w:left="567" w:right="616"/>
        <w:jc w:val="both"/>
        <w:rPr>
          <w:rFonts w:ascii="Palatino Linotype" w:hAnsi="Palatino Linotype"/>
          <w:i/>
          <w:iCs/>
          <w:sz w:val="22"/>
          <w:szCs w:val="22"/>
        </w:rPr>
      </w:pPr>
    </w:p>
    <w:p w14:paraId="6E6F0F66"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I. Presentación de la denuncia ante el Instituto; </w:t>
      </w:r>
    </w:p>
    <w:p w14:paraId="082EC7B2"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II. Solicitud por parte del Instituto de un informe al sujeto obligado; </w:t>
      </w:r>
    </w:p>
    <w:p w14:paraId="3E458143"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III. Resolución de la denuncia; y </w:t>
      </w:r>
    </w:p>
    <w:p w14:paraId="4973D142"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IV. Ejecución de la resolución de la denuncia. </w:t>
      </w:r>
    </w:p>
    <w:p w14:paraId="6D9692A8" w14:textId="77777777" w:rsidR="00C40E29" w:rsidRPr="00C954EE" w:rsidRDefault="00C40E29" w:rsidP="00C40E29">
      <w:pPr>
        <w:ind w:left="567" w:right="616"/>
        <w:jc w:val="both"/>
        <w:rPr>
          <w:rFonts w:ascii="Palatino Linotype" w:hAnsi="Palatino Linotype"/>
          <w:i/>
          <w:iCs/>
          <w:sz w:val="22"/>
          <w:szCs w:val="22"/>
        </w:rPr>
      </w:pPr>
    </w:p>
    <w:p w14:paraId="44B91526"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Artículo 113. La denuncia por incumplimiento a las obligaciones de transparencia deberá cumplir, al menos, los requisitos siguientes: </w:t>
      </w:r>
    </w:p>
    <w:p w14:paraId="7636E908"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I. Nombre del sujeto obligado denunciado; </w:t>
      </w:r>
    </w:p>
    <w:p w14:paraId="3DE790BE"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II. Descripción clara y precisa del incumplimiento denunciado; </w:t>
      </w:r>
    </w:p>
    <w:p w14:paraId="1B856992"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III. El denunciante podrá adjuntar los medios de prueba que estime necesarios para respaldar el incumplimiento denunciado; </w:t>
      </w:r>
    </w:p>
    <w:p w14:paraId="1E841AF6"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IV. En caso de que la denuncia se presente por escrito, el denunciante deberá señalar el domicilio en la jurisdicción que corresponda o la dirección de correo electrónico para recibir notificaciones. En caso de que la denuncia se presente por medios electrónicos, se entenderá que se acepta que las notificaciones se efectúen por el mismo medio. En caso de que no se señale domicilio o dirección de correo electrónico o se señale un domicilio fuera de la jurisdicción respectiva, las notificaciones, aún las de carácter personal, se practicarán a través de los estrados físicos del Instituto; y </w:t>
      </w:r>
    </w:p>
    <w:p w14:paraId="64E2B9FE" w14:textId="4D0B24EF" w:rsidR="005576BB"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V. El nombre del denunciante y, opcionalmente su perfil, únicamente para propósitos estadísticos. Esta información será proporcionada por el denunciante de manera voluntaria. En ningún caso el dato sobre el nombre y el perfil podrán ser un requisito para la procedencia y trámite de la denuncia.</w:t>
      </w:r>
    </w:p>
    <w:p w14:paraId="3F94CF4C" w14:textId="4AE174B8" w:rsidR="00C40E29" w:rsidRPr="00C954EE" w:rsidRDefault="00C40E29" w:rsidP="00C40E29">
      <w:pPr>
        <w:ind w:left="567" w:right="616"/>
        <w:jc w:val="both"/>
        <w:rPr>
          <w:rFonts w:ascii="Palatino Linotype" w:hAnsi="Palatino Linotype"/>
          <w:i/>
          <w:iCs/>
          <w:sz w:val="22"/>
          <w:szCs w:val="22"/>
        </w:rPr>
      </w:pPr>
    </w:p>
    <w:p w14:paraId="7B63E1C6"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Artículo 114. La denuncia podrá presentarse de la forma siguiente: </w:t>
      </w:r>
    </w:p>
    <w:p w14:paraId="4DAB8333"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b/>
          <w:bCs/>
          <w:i/>
          <w:iCs/>
          <w:sz w:val="22"/>
          <w:szCs w:val="22"/>
          <w:u w:val="single"/>
        </w:rPr>
        <w:t>I. Por medio electrónico</w:t>
      </w:r>
      <w:r w:rsidRPr="00C954EE">
        <w:rPr>
          <w:rFonts w:ascii="Palatino Linotype" w:hAnsi="Palatino Linotype"/>
          <w:i/>
          <w:iCs/>
          <w:sz w:val="22"/>
          <w:szCs w:val="22"/>
        </w:rPr>
        <w:t>: A través del sitio o plataforma electrónica respectiva que se habilite, o por correo electrónico, dirigido a la dirección electrónica que al efecto se establezca; y</w:t>
      </w:r>
    </w:p>
    <w:p w14:paraId="564815CF" w14:textId="77777777" w:rsidR="00C40E29" w:rsidRPr="00C954EE" w:rsidRDefault="00C40E29" w:rsidP="00C40E29">
      <w:pPr>
        <w:ind w:left="567" w:right="616"/>
        <w:jc w:val="both"/>
        <w:rPr>
          <w:rFonts w:ascii="Palatino Linotype" w:hAnsi="Palatino Linotype"/>
          <w:b/>
          <w:bCs/>
          <w:i/>
          <w:iCs/>
          <w:sz w:val="22"/>
          <w:szCs w:val="22"/>
          <w:u w:val="single"/>
        </w:rPr>
      </w:pPr>
      <w:r w:rsidRPr="00C954EE">
        <w:rPr>
          <w:rFonts w:ascii="Palatino Linotype" w:hAnsi="Palatino Linotype"/>
          <w:i/>
          <w:iCs/>
          <w:sz w:val="22"/>
          <w:szCs w:val="22"/>
        </w:rPr>
        <w:t xml:space="preserve"> </w:t>
      </w:r>
      <w:r w:rsidRPr="00C954EE">
        <w:rPr>
          <w:rFonts w:ascii="Palatino Linotype" w:hAnsi="Palatino Linotype"/>
          <w:b/>
          <w:bCs/>
          <w:i/>
          <w:iCs/>
          <w:sz w:val="22"/>
          <w:szCs w:val="22"/>
          <w:u w:val="single"/>
        </w:rPr>
        <w:t xml:space="preserve">II. Por escrito: presentado físicamente, ante la Unidad de Transparencia del Instituto. </w:t>
      </w:r>
    </w:p>
    <w:p w14:paraId="1F54243F" w14:textId="77777777" w:rsidR="00C40E29" w:rsidRPr="00C954EE" w:rsidRDefault="00C40E29" w:rsidP="00C40E29">
      <w:pPr>
        <w:ind w:left="567" w:right="616"/>
        <w:jc w:val="both"/>
        <w:rPr>
          <w:rFonts w:ascii="Palatino Linotype" w:hAnsi="Palatino Linotype"/>
          <w:i/>
          <w:iCs/>
          <w:sz w:val="22"/>
          <w:szCs w:val="22"/>
        </w:rPr>
      </w:pPr>
    </w:p>
    <w:p w14:paraId="4FEE3046"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lastRenderedPageBreak/>
        <w:t xml:space="preserve">Artículo 115. El Instituto pondrá a disposición de los particulares el formato de denuncia correspondiente, a efecto de que estos, si así lo deciden, puedan utilizarlos. Asimismo, los particulares podrán optar por un escrito libre, conforme a lo previsto en esta Ley. </w:t>
      </w:r>
    </w:p>
    <w:p w14:paraId="57061BAF" w14:textId="77777777" w:rsidR="00C40E29" w:rsidRPr="00C954EE" w:rsidRDefault="00C40E29" w:rsidP="00C40E29">
      <w:pPr>
        <w:ind w:left="567" w:right="616"/>
        <w:jc w:val="both"/>
        <w:rPr>
          <w:rFonts w:ascii="Palatino Linotype" w:hAnsi="Palatino Linotype"/>
          <w:i/>
          <w:iCs/>
          <w:sz w:val="22"/>
          <w:szCs w:val="22"/>
        </w:rPr>
      </w:pPr>
    </w:p>
    <w:p w14:paraId="3FE64DAA"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Artículo 116. El Instituto, en el ámbito de su competencia, debe resolver sobre la admisión de la denuncia, dentro de los tres días hábiles siguientes a su recepción. El instituto, en el ámbito de su competencia, debe notificar al sujeto obligado la denuncia dentro de los tres días hábiles siguientes a su admisión. </w:t>
      </w:r>
    </w:p>
    <w:p w14:paraId="4B83B87B" w14:textId="77777777" w:rsidR="00C40E29" w:rsidRPr="00C954EE" w:rsidRDefault="00C40E29" w:rsidP="00C40E29">
      <w:pPr>
        <w:ind w:left="567" w:right="616"/>
        <w:jc w:val="both"/>
        <w:rPr>
          <w:rFonts w:ascii="Palatino Linotype" w:hAnsi="Palatino Linotype"/>
          <w:i/>
          <w:iCs/>
          <w:sz w:val="22"/>
          <w:szCs w:val="22"/>
        </w:rPr>
      </w:pPr>
    </w:p>
    <w:p w14:paraId="6CF8803A"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Artículo 117. El sujeto obligado debe enviar al Instituto, un informe con la justificación respecto de los hechos o motivos de la denuncia dentro de los tres días hábiles siguientes a la notificación anterior. </w:t>
      </w:r>
    </w:p>
    <w:p w14:paraId="2B157337" w14:textId="77777777" w:rsidR="00C40E29" w:rsidRPr="00C954EE" w:rsidRDefault="00C40E29" w:rsidP="00C40E29">
      <w:pPr>
        <w:ind w:left="567" w:right="616"/>
        <w:jc w:val="both"/>
        <w:rPr>
          <w:rFonts w:ascii="Palatino Linotype" w:hAnsi="Palatino Linotype"/>
          <w:i/>
          <w:iCs/>
          <w:sz w:val="22"/>
          <w:szCs w:val="22"/>
        </w:rPr>
      </w:pPr>
    </w:p>
    <w:p w14:paraId="0A068F94"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El Instituto, en el ámbito de su competencia, puede realizar las verificaciones virtuales que procedan, así como solicitar los informes complementarios al sujeto obligado que requiera, para allegarse de los elementos de juicio que considere necesarios para resolver la denuncia. En el caso de los informes complementarios, el sujeto obligado deberá responder a los mismos, en el término de tres días hábiles siguientes a la notificación correspondiente. </w:t>
      </w:r>
    </w:p>
    <w:p w14:paraId="09F8762F" w14:textId="77777777" w:rsidR="00C40E29" w:rsidRPr="00C954EE" w:rsidRDefault="00C40E29" w:rsidP="00C40E29">
      <w:pPr>
        <w:ind w:left="567" w:right="616"/>
        <w:jc w:val="both"/>
        <w:rPr>
          <w:rFonts w:ascii="Palatino Linotype" w:hAnsi="Palatino Linotype"/>
          <w:i/>
          <w:iCs/>
          <w:sz w:val="22"/>
          <w:szCs w:val="22"/>
        </w:rPr>
      </w:pPr>
    </w:p>
    <w:p w14:paraId="2E248E58"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Artículo 118. El Instituto, en el ámbito de su competencia, debe resolver la denuncia dentro de los veinte días hábiles siguientes al término del plazo en que el sujeto obligado debe presentar su informe o, en su caso, los informes complementarios. La resolución debe ser fundada y motivada e invariablemente debe pronunciarse sobre el cumplimiento de la publicación de la información por parte del sujeto obligado. </w:t>
      </w:r>
    </w:p>
    <w:p w14:paraId="761F8C4E" w14:textId="77777777" w:rsidR="00C40E29" w:rsidRPr="00C954EE" w:rsidRDefault="00C40E29" w:rsidP="00C40E29">
      <w:pPr>
        <w:ind w:left="567" w:right="616"/>
        <w:jc w:val="both"/>
        <w:rPr>
          <w:rFonts w:ascii="Palatino Linotype" w:hAnsi="Palatino Linotype"/>
          <w:i/>
          <w:iCs/>
          <w:sz w:val="22"/>
          <w:szCs w:val="22"/>
        </w:rPr>
      </w:pPr>
    </w:p>
    <w:p w14:paraId="19ADE3A4"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Artículo 119. El Instituto, en el ámbito de su competencia, debe notificar la resolución al denunciante y al sujeto obligado, dentro de los tres días hábiles siguientes a su emisión. </w:t>
      </w:r>
    </w:p>
    <w:p w14:paraId="6ACB6805" w14:textId="77777777" w:rsidR="00C40E29" w:rsidRPr="00C954EE" w:rsidRDefault="00C40E29" w:rsidP="00C40E29">
      <w:pPr>
        <w:ind w:left="567" w:right="616"/>
        <w:jc w:val="both"/>
        <w:rPr>
          <w:rFonts w:ascii="Palatino Linotype" w:hAnsi="Palatino Linotype"/>
          <w:i/>
          <w:iCs/>
          <w:sz w:val="22"/>
          <w:szCs w:val="22"/>
        </w:rPr>
      </w:pPr>
    </w:p>
    <w:p w14:paraId="122691C0"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Las resoluciones que emita el Instituto, a que se refiere este capítulo, son definitivas e inatacables para los sujetos obligados. El particular podrá impugnar la resolución por la vía del juicio de amparo que corresponda, en los términos de la legislación aplicable. </w:t>
      </w:r>
    </w:p>
    <w:p w14:paraId="07D08380" w14:textId="77777777" w:rsidR="00C40E29" w:rsidRPr="00C954EE" w:rsidRDefault="00C40E29" w:rsidP="00C40E29">
      <w:pPr>
        <w:ind w:left="567" w:right="616"/>
        <w:jc w:val="both"/>
        <w:rPr>
          <w:rFonts w:ascii="Palatino Linotype" w:hAnsi="Palatino Linotype"/>
          <w:i/>
          <w:iCs/>
          <w:sz w:val="22"/>
          <w:szCs w:val="22"/>
        </w:rPr>
      </w:pPr>
    </w:p>
    <w:p w14:paraId="7F1CBD33" w14:textId="77777777"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t xml:space="preserve">El sujeto obligado deberá cumplir con la resolución en el plazo de quince días hábiles, a partir del día siguiente al en que se le notifique la misma. </w:t>
      </w:r>
    </w:p>
    <w:p w14:paraId="09285B8C" w14:textId="77777777" w:rsidR="00C40E29" w:rsidRPr="00C954EE" w:rsidRDefault="00C40E29" w:rsidP="00C40E29">
      <w:pPr>
        <w:ind w:left="567" w:right="616"/>
        <w:jc w:val="both"/>
        <w:rPr>
          <w:rFonts w:ascii="Palatino Linotype" w:hAnsi="Palatino Linotype"/>
          <w:i/>
          <w:iCs/>
          <w:sz w:val="22"/>
          <w:szCs w:val="22"/>
        </w:rPr>
      </w:pPr>
    </w:p>
    <w:p w14:paraId="3B352168" w14:textId="66289AB8" w:rsidR="00C40E29" w:rsidRPr="00C954EE" w:rsidRDefault="00C40E29" w:rsidP="00C40E29">
      <w:pPr>
        <w:ind w:left="567" w:right="616"/>
        <w:jc w:val="both"/>
        <w:rPr>
          <w:rFonts w:ascii="Palatino Linotype" w:hAnsi="Palatino Linotype"/>
          <w:i/>
          <w:iCs/>
          <w:sz w:val="22"/>
          <w:szCs w:val="22"/>
        </w:rPr>
      </w:pPr>
      <w:r w:rsidRPr="00C954EE">
        <w:rPr>
          <w:rFonts w:ascii="Palatino Linotype" w:hAnsi="Palatino Linotype"/>
          <w:i/>
          <w:iCs/>
          <w:sz w:val="22"/>
          <w:szCs w:val="22"/>
        </w:rPr>
        <w:lastRenderedPageBreak/>
        <w:t xml:space="preserve">Artículo 120. Transcurrido el plazo señalado en el artículo anterior, el sujeto obligado deberá informar al Instituto sobre el cumplimiento de la resolución. El Instituto verificará el cumplimiento a la resolución si considera que se dio cumplimiento a la resolución, se emitirá un acuerdo de cumplimiento y se ordenará el cierre del expediente. Cuando el Instituto considere que exista un incumplimiento total o parcial de la resolución, le notificarán por conducto de la Unidad de Transparencia del sujeto obligado, al superior jerárquico del servidor público responsable de dar cumplimiento, para el efecto que en un plazo no mayor a cinco días hábiles, se dé cumplimiento a la resolución. </w:t>
      </w:r>
    </w:p>
    <w:p w14:paraId="3EC46B32" w14:textId="77777777" w:rsidR="00C40E29" w:rsidRPr="00C954EE" w:rsidRDefault="00C40E29" w:rsidP="00C40E29">
      <w:pPr>
        <w:ind w:left="567" w:right="616"/>
        <w:jc w:val="both"/>
        <w:rPr>
          <w:rFonts w:ascii="Palatino Linotype" w:hAnsi="Palatino Linotype"/>
          <w:i/>
          <w:iCs/>
          <w:sz w:val="22"/>
          <w:szCs w:val="22"/>
        </w:rPr>
      </w:pPr>
    </w:p>
    <w:p w14:paraId="223AD8C8" w14:textId="3C67E15F" w:rsidR="00C40E29" w:rsidRPr="00C954EE" w:rsidRDefault="00C40E29" w:rsidP="00C40E29">
      <w:pPr>
        <w:ind w:left="567" w:right="616"/>
        <w:jc w:val="both"/>
      </w:pPr>
      <w:r w:rsidRPr="00C954EE">
        <w:rPr>
          <w:rFonts w:ascii="Palatino Linotype" w:hAnsi="Palatino Linotype"/>
          <w:i/>
          <w:iCs/>
          <w:sz w:val="22"/>
          <w:szCs w:val="22"/>
        </w:rPr>
        <w:t>Artículo 121. En caso de que el Instituto considere que subsiste el incumplimiento total o parcial de la resolución, en un plazo no mayor a cinco días hábiles posteriores al aviso de incumplimiento al superior jerárquico del servidor público responsable del mismo, se emitirá un acuerdo de incumplimiento y se informará al Pleno para que, en su caso, imponga las medidas de apremio o determinaciones que resulten procedentes</w:t>
      </w:r>
      <w:r w:rsidRPr="00C954EE">
        <w:t>.</w:t>
      </w:r>
    </w:p>
    <w:p w14:paraId="4ADF85D7" w14:textId="10513BA7" w:rsidR="00C40E29" w:rsidRPr="00C954EE" w:rsidRDefault="00C40E29">
      <w:pPr>
        <w:spacing w:line="360" w:lineRule="auto"/>
        <w:jc w:val="both"/>
      </w:pPr>
    </w:p>
    <w:p w14:paraId="176A2B05" w14:textId="3BE9CB33" w:rsidR="00C40E29" w:rsidRPr="00C954EE" w:rsidRDefault="00C40E29">
      <w:pPr>
        <w:spacing w:line="360" w:lineRule="auto"/>
        <w:jc w:val="both"/>
      </w:pPr>
      <w:r w:rsidRPr="00C954EE">
        <w:t xml:space="preserve">De lo anterior se advierte que las denuncias por incumplimiento de obligaciones de transparencia si bien se hacen ante el instituto, dichas denuncias se hacen a través de un procedimiento especifico, el cual da inicio a través de la presentación de las mismas mediante la plataforma o correo electrónico, establecido para tales efectos o bien mediante escrito, el cual debe ser presentado físicamente ante la Unidad de Transparencia de este Instituto. </w:t>
      </w:r>
    </w:p>
    <w:p w14:paraId="38F75A09" w14:textId="0445CF75" w:rsidR="00C40E29" w:rsidRPr="00C954EE" w:rsidRDefault="00C40E29">
      <w:pPr>
        <w:spacing w:line="360" w:lineRule="auto"/>
        <w:jc w:val="both"/>
        <w:rPr>
          <w:rFonts w:ascii="Palatino Linotype" w:hAnsi="Palatino Linotype"/>
          <w:sz w:val="22"/>
          <w:szCs w:val="22"/>
        </w:rPr>
      </w:pPr>
    </w:p>
    <w:p w14:paraId="05347A39" w14:textId="452BC409" w:rsidR="00C40E29" w:rsidRPr="00C954EE" w:rsidRDefault="00C40E29">
      <w:pPr>
        <w:spacing w:line="360" w:lineRule="auto"/>
        <w:jc w:val="both"/>
        <w:rPr>
          <w:rFonts w:ascii="Palatino Linotype" w:hAnsi="Palatino Linotype"/>
          <w:sz w:val="22"/>
          <w:szCs w:val="22"/>
        </w:rPr>
      </w:pPr>
      <w:r w:rsidRPr="00C954EE">
        <w:rPr>
          <w:rFonts w:ascii="Palatino Linotype" w:hAnsi="Palatino Linotype"/>
          <w:sz w:val="22"/>
          <w:szCs w:val="22"/>
        </w:rPr>
        <w:t xml:space="preserve">Dichas denuncias deben cumplir los requisitos mínimos establecidos en el artículo 113 de la Ley en la materia, entre los que se encuentra la descripción clara y precisa del incumplimiento denunciado. Una vez recibida la denuncia, el instituto resolverá en los plazos establecidos en la propia Ley. </w:t>
      </w:r>
    </w:p>
    <w:p w14:paraId="5824F11C" w14:textId="1C42A6A6" w:rsidR="00C40E29" w:rsidRPr="00C954EE" w:rsidRDefault="00C40E29">
      <w:pPr>
        <w:spacing w:line="360" w:lineRule="auto"/>
        <w:jc w:val="both"/>
      </w:pPr>
    </w:p>
    <w:p w14:paraId="69062268" w14:textId="17606B4B" w:rsidR="005576BB" w:rsidRPr="00C954EE" w:rsidRDefault="00302DF8">
      <w:pPr>
        <w:spacing w:line="360" w:lineRule="auto"/>
        <w:jc w:val="both"/>
        <w:rPr>
          <w:rFonts w:ascii="Palatino Linotype" w:eastAsia="Palatino Linotype" w:hAnsi="Palatino Linotype" w:cs="Palatino Linotype"/>
        </w:rPr>
      </w:pPr>
      <w:r w:rsidRPr="00C954EE">
        <w:rPr>
          <w:rFonts w:ascii="Palatino Linotype" w:eastAsia="Palatino Linotype" w:hAnsi="Palatino Linotype" w:cs="Palatino Linotype"/>
        </w:rPr>
        <w:t xml:space="preserve">Aunado a ello, </w:t>
      </w:r>
      <w:r w:rsidR="00C40E29" w:rsidRPr="00C954EE">
        <w:rPr>
          <w:rFonts w:ascii="Palatino Linotype" w:eastAsia="Palatino Linotype" w:hAnsi="Palatino Linotype" w:cs="Palatino Linotype"/>
        </w:rPr>
        <w:t xml:space="preserve">es de mencionar que </w:t>
      </w:r>
      <w:r w:rsidRPr="00C954EE">
        <w:rPr>
          <w:rFonts w:ascii="Palatino Linotype" w:eastAsia="Palatino Linotype" w:hAnsi="Palatino Linotype" w:cs="Palatino Linotype"/>
        </w:rPr>
        <w:t>la Dirección Jurídica y de Verificación Interior del Instituto de Transparencia, Acceso a la Información Pública y Protección de Datos Personales del Estado de México y Municipios</w:t>
      </w:r>
      <w:r w:rsidR="00C40E29" w:rsidRPr="00C954EE">
        <w:rPr>
          <w:rFonts w:ascii="Palatino Linotype" w:eastAsia="Palatino Linotype" w:hAnsi="Palatino Linotype" w:cs="Palatino Linotype"/>
        </w:rPr>
        <w:t xml:space="preserve"> es la Unidad Administrativa competente de este Instituto para tramitar</w:t>
      </w:r>
      <w:r w:rsidRPr="00C954EE">
        <w:rPr>
          <w:rFonts w:ascii="Palatino Linotype" w:eastAsia="Palatino Linotype" w:hAnsi="Palatino Linotype" w:cs="Palatino Linotype"/>
        </w:rPr>
        <w:t xml:space="preserve"> y resolver las denuncias que se </w:t>
      </w:r>
      <w:r w:rsidRPr="00C954EE">
        <w:rPr>
          <w:rFonts w:ascii="Palatino Linotype" w:eastAsia="Palatino Linotype" w:hAnsi="Palatino Linotype" w:cs="Palatino Linotype"/>
        </w:rPr>
        <w:lastRenderedPageBreak/>
        <w:t>promuevan por la falta de publicación de las obligaciones de transparencia, en los términos que establecen las Leyes de la Materia, lineamientos y demás disposiciones jurídicas aplicables, de acuerdo a lo establecido en la siguiente reglamentación:</w:t>
      </w:r>
    </w:p>
    <w:p w14:paraId="2B62E785" w14:textId="77777777" w:rsidR="005576BB" w:rsidRPr="00C954EE" w:rsidRDefault="005576BB">
      <w:pPr>
        <w:spacing w:line="360" w:lineRule="auto"/>
        <w:jc w:val="both"/>
        <w:rPr>
          <w:rFonts w:ascii="Palatino Linotype" w:eastAsia="Palatino Linotype" w:hAnsi="Palatino Linotype" w:cs="Palatino Linotype"/>
        </w:rPr>
      </w:pPr>
    </w:p>
    <w:p w14:paraId="0C5896D6" w14:textId="77777777" w:rsidR="005576BB" w:rsidRPr="00C954EE" w:rsidRDefault="00302DF8">
      <w:pPr>
        <w:spacing w:line="276" w:lineRule="auto"/>
        <w:ind w:left="567" w:right="567"/>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w:t>
      </w:r>
      <w:r w:rsidRPr="00C954EE">
        <w:rPr>
          <w:rFonts w:ascii="Palatino Linotype" w:eastAsia="Palatino Linotype" w:hAnsi="Palatino Linotype" w:cs="Palatino Linotype"/>
          <w:b/>
          <w:i/>
          <w:sz w:val="22"/>
          <w:szCs w:val="22"/>
        </w:rPr>
        <w:t>REGLAMENTO INTERIOR DEL INSTITUTO DE TRANSPARENCIA, ACCESO A LA INFORMACIÓN PÚBLICA Y PROTECCIÓN DE DATOS PERSONALES DEL ESTADO DE MÉXICO</w:t>
      </w:r>
    </w:p>
    <w:p w14:paraId="3D9F4817" w14:textId="77777777" w:rsidR="005576BB" w:rsidRPr="00C954EE" w:rsidRDefault="005576BB">
      <w:pPr>
        <w:spacing w:line="276" w:lineRule="auto"/>
        <w:ind w:left="567" w:right="567"/>
        <w:jc w:val="both"/>
        <w:rPr>
          <w:rFonts w:ascii="Palatino Linotype" w:eastAsia="Palatino Linotype" w:hAnsi="Palatino Linotype" w:cs="Palatino Linotype"/>
          <w:i/>
          <w:sz w:val="22"/>
          <w:szCs w:val="22"/>
        </w:rPr>
      </w:pPr>
    </w:p>
    <w:p w14:paraId="229D649D" w14:textId="77777777" w:rsidR="005576BB" w:rsidRPr="00C954EE" w:rsidRDefault="00302DF8">
      <w:pPr>
        <w:spacing w:line="276" w:lineRule="auto"/>
        <w:ind w:left="567" w:right="567"/>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b/>
          <w:i/>
          <w:sz w:val="22"/>
          <w:szCs w:val="22"/>
        </w:rPr>
        <w:t>Artículo 23.</w:t>
      </w:r>
      <w:r w:rsidRPr="00C954EE">
        <w:rPr>
          <w:rFonts w:ascii="Palatino Linotype" w:eastAsia="Palatino Linotype" w:hAnsi="Palatino Linotype" w:cs="Palatino Linotype"/>
          <w:i/>
          <w:sz w:val="22"/>
          <w:szCs w:val="22"/>
        </w:rPr>
        <w:t xml:space="preserve"> Corresponde a la Dirección Jurídica y de Verificación ejercer las atribuciones siguientes: </w:t>
      </w:r>
    </w:p>
    <w:p w14:paraId="0B298EBD" w14:textId="77777777" w:rsidR="005576BB" w:rsidRPr="00C954EE" w:rsidRDefault="00302DF8">
      <w:pPr>
        <w:tabs>
          <w:tab w:val="left" w:pos="1515"/>
        </w:tabs>
        <w:spacing w:line="276" w:lineRule="auto"/>
        <w:ind w:left="567" w:right="567"/>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w:t>
      </w:r>
      <w:r w:rsidRPr="00C954EE">
        <w:rPr>
          <w:rFonts w:ascii="Palatino Linotype" w:eastAsia="Palatino Linotype" w:hAnsi="Palatino Linotype" w:cs="Palatino Linotype"/>
          <w:i/>
          <w:sz w:val="22"/>
          <w:szCs w:val="22"/>
        </w:rPr>
        <w:tab/>
      </w:r>
    </w:p>
    <w:p w14:paraId="5455A8DF" w14:textId="77777777" w:rsidR="005576BB" w:rsidRPr="00C954EE" w:rsidRDefault="00302DF8">
      <w:pPr>
        <w:spacing w:line="276" w:lineRule="auto"/>
        <w:ind w:left="567" w:right="567"/>
        <w:jc w:val="both"/>
        <w:rPr>
          <w:rFonts w:ascii="Palatino Linotype" w:eastAsia="Palatino Linotype" w:hAnsi="Palatino Linotype" w:cs="Palatino Linotype"/>
          <w:i/>
          <w:sz w:val="22"/>
          <w:szCs w:val="22"/>
        </w:rPr>
      </w:pPr>
      <w:r w:rsidRPr="00C954EE">
        <w:rPr>
          <w:rFonts w:ascii="Palatino Linotype" w:eastAsia="Palatino Linotype" w:hAnsi="Palatino Linotype" w:cs="Palatino Linotype"/>
          <w:i/>
          <w:sz w:val="22"/>
          <w:szCs w:val="22"/>
        </w:rPr>
        <w:t xml:space="preserve">XIX. Tramitar y resolver las denuncias que se promuevan por la falta de publicación de las obligaciones de transparencia, en los términos que establecen las Leyes de la Materia, lineamientos y demás disposiciones jurídicas aplicables; </w:t>
      </w:r>
      <w:proofErr w:type="gramStart"/>
      <w:r w:rsidRPr="00C954EE">
        <w:rPr>
          <w:rFonts w:ascii="Palatino Linotype" w:eastAsia="Palatino Linotype" w:hAnsi="Palatino Linotype" w:cs="Palatino Linotype"/>
          <w:i/>
          <w:sz w:val="22"/>
          <w:szCs w:val="22"/>
        </w:rPr>
        <w:t>…”(</w:t>
      </w:r>
      <w:proofErr w:type="gramEnd"/>
      <w:r w:rsidRPr="00C954EE">
        <w:rPr>
          <w:rFonts w:ascii="Palatino Linotype" w:eastAsia="Palatino Linotype" w:hAnsi="Palatino Linotype" w:cs="Palatino Linotype"/>
          <w:i/>
          <w:sz w:val="22"/>
          <w:szCs w:val="22"/>
        </w:rPr>
        <w:t>Sic)</w:t>
      </w:r>
    </w:p>
    <w:p w14:paraId="753C6666" w14:textId="77777777" w:rsidR="005576BB" w:rsidRPr="00C954EE" w:rsidRDefault="005576BB">
      <w:pPr>
        <w:spacing w:line="360" w:lineRule="auto"/>
        <w:jc w:val="both"/>
        <w:rPr>
          <w:rFonts w:ascii="Palatino Linotype" w:eastAsia="Palatino Linotype" w:hAnsi="Palatino Linotype" w:cs="Palatino Linotype"/>
        </w:rPr>
      </w:pPr>
    </w:p>
    <w:p w14:paraId="29314CC5" w14:textId="49B6E53C" w:rsidR="005576BB" w:rsidRPr="00C954EE" w:rsidRDefault="00302DF8">
      <w:pPr>
        <w:spacing w:line="360" w:lineRule="auto"/>
        <w:jc w:val="both"/>
        <w:rPr>
          <w:rFonts w:ascii="Palatino Linotype" w:eastAsia="Palatino Linotype" w:hAnsi="Palatino Linotype" w:cs="Palatino Linotype"/>
        </w:rPr>
      </w:pPr>
      <w:r w:rsidRPr="00C954EE">
        <w:rPr>
          <w:rFonts w:ascii="Palatino Linotype" w:eastAsia="Palatino Linotype" w:hAnsi="Palatino Linotype" w:cs="Palatino Linotype"/>
        </w:rPr>
        <w:t>Aclarado lo anterior, resulta, conviene mencionar el desarrollo de la verificación virtual</w:t>
      </w:r>
      <w:r w:rsidR="00C40E29" w:rsidRPr="00C954EE">
        <w:rPr>
          <w:rFonts w:ascii="Palatino Linotype" w:eastAsia="Palatino Linotype" w:hAnsi="Palatino Linotype" w:cs="Palatino Linotype"/>
        </w:rPr>
        <w:t xml:space="preserve"> por denuncia</w:t>
      </w:r>
      <w:r w:rsidRPr="00C954EE">
        <w:rPr>
          <w:rFonts w:ascii="Palatino Linotype" w:eastAsia="Palatino Linotype" w:hAnsi="Palatino Linotype" w:cs="Palatino Linotype"/>
        </w:rPr>
        <w:t>:</w:t>
      </w:r>
    </w:p>
    <w:p w14:paraId="635AE2D4" w14:textId="77777777" w:rsidR="005576BB" w:rsidRPr="00C954EE" w:rsidRDefault="005576BB">
      <w:pPr>
        <w:spacing w:line="360" w:lineRule="auto"/>
        <w:jc w:val="both"/>
        <w:rPr>
          <w:rFonts w:ascii="Palatino Linotype" w:eastAsia="Palatino Linotype" w:hAnsi="Palatino Linotype" w:cs="Palatino Linotype"/>
        </w:rPr>
      </w:pPr>
    </w:p>
    <w:p w14:paraId="30BCC0E0" w14:textId="77777777" w:rsidR="005576BB" w:rsidRPr="00C954EE" w:rsidRDefault="00302DF8">
      <w:pPr>
        <w:ind w:left="1080" w:right="918"/>
        <w:jc w:val="both"/>
        <w:rPr>
          <w:rFonts w:ascii="Palatino Linotype" w:eastAsia="Palatino Linotype" w:hAnsi="Palatino Linotype" w:cs="Palatino Linotype"/>
          <w:b/>
          <w:i/>
          <w:sz w:val="22"/>
          <w:szCs w:val="22"/>
        </w:rPr>
      </w:pPr>
      <w:r w:rsidRPr="00C954EE">
        <w:rPr>
          <w:rFonts w:ascii="Palatino Linotype" w:eastAsia="Palatino Linotype" w:hAnsi="Palatino Linotype" w:cs="Palatino Linotype"/>
          <w:b/>
          <w:i/>
          <w:sz w:val="22"/>
          <w:szCs w:val="22"/>
        </w:rPr>
        <w:t>“LINEAMIENTOS PARA LA VERIFICACIÓN VIRTUAL OFICIOSA Y POR DENUNCIA A LOS PORTALES DE INTERNET DE LAS OBLIGACIONES DE TRANSPARENCIA DE LOS SUJETOS OBLIGADOS O DE LA PLATAFORMA NACIONAL DE TRANSPARENCIA</w:t>
      </w:r>
    </w:p>
    <w:p w14:paraId="54400D64" w14:textId="77777777" w:rsidR="005576BB" w:rsidRPr="00C954EE" w:rsidRDefault="005576BB">
      <w:pPr>
        <w:ind w:left="1080" w:right="918"/>
        <w:jc w:val="both"/>
        <w:rPr>
          <w:rFonts w:ascii="Palatino Linotype" w:eastAsia="Palatino Linotype" w:hAnsi="Palatino Linotype" w:cs="Palatino Linotype"/>
          <w:i/>
          <w:sz w:val="22"/>
          <w:szCs w:val="22"/>
        </w:rPr>
      </w:pPr>
    </w:p>
    <w:p w14:paraId="384EA220" w14:textId="77777777" w:rsidR="005576BB"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Cs/>
          <w:i/>
          <w:sz w:val="22"/>
          <w:szCs w:val="22"/>
        </w:rPr>
      </w:pPr>
      <w:r w:rsidRPr="00C954EE">
        <w:rPr>
          <w:rFonts w:ascii="Palatino Linotype" w:eastAsia="Palatino Linotype" w:hAnsi="Palatino Linotype" w:cs="Palatino Linotype"/>
          <w:bCs/>
          <w:i/>
          <w:sz w:val="22"/>
          <w:szCs w:val="22"/>
        </w:rPr>
        <w:t>SEGUNDO. Para efectos de estos lineamientos se entenderá por:</w:t>
      </w:r>
    </w:p>
    <w:p w14:paraId="3BAE7593" w14:textId="77777777" w:rsidR="005576BB"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Cs/>
          <w:i/>
          <w:sz w:val="22"/>
          <w:szCs w:val="22"/>
        </w:rPr>
      </w:pPr>
      <w:r w:rsidRPr="00C954EE">
        <w:rPr>
          <w:rFonts w:ascii="Palatino Linotype" w:eastAsia="Palatino Linotype" w:hAnsi="Palatino Linotype" w:cs="Palatino Linotype"/>
          <w:bCs/>
          <w:i/>
          <w:sz w:val="22"/>
          <w:szCs w:val="22"/>
        </w:rPr>
        <w:t>VII. Denuncia: Acto mediante el cual se hace del conocimiento el probable incumplimiento a las obligaciones de transparencia establecidas en la Ley General o Ley de Transparencia Local.</w:t>
      </w:r>
    </w:p>
    <w:p w14:paraId="166BE2BE" w14:textId="1F8494DF" w:rsidR="005576BB" w:rsidRPr="00C954EE" w:rsidRDefault="00302DF8" w:rsidP="00C40E29">
      <w:pPr>
        <w:tabs>
          <w:tab w:val="left" w:pos="426"/>
          <w:tab w:val="left" w:pos="7938"/>
        </w:tabs>
        <w:spacing w:before="240" w:line="276" w:lineRule="auto"/>
        <w:ind w:left="567" w:right="616"/>
        <w:jc w:val="center"/>
        <w:rPr>
          <w:rFonts w:ascii="Palatino Linotype" w:eastAsia="Palatino Linotype" w:hAnsi="Palatino Linotype" w:cs="Palatino Linotype"/>
          <w:bCs/>
          <w:i/>
          <w:sz w:val="22"/>
          <w:szCs w:val="22"/>
        </w:rPr>
      </w:pPr>
      <w:r w:rsidRPr="00C954EE">
        <w:rPr>
          <w:rFonts w:ascii="Palatino Linotype" w:eastAsia="Palatino Linotype" w:hAnsi="Palatino Linotype" w:cs="Palatino Linotype"/>
          <w:bCs/>
          <w:i/>
          <w:sz w:val="22"/>
          <w:szCs w:val="22"/>
        </w:rPr>
        <w:t>De la verificación virtual por denuncia</w:t>
      </w:r>
    </w:p>
    <w:p w14:paraId="76843324" w14:textId="77777777" w:rsidR="005576BB"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Cs/>
          <w:i/>
          <w:sz w:val="22"/>
          <w:szCs w:val="22"/>
        </w:rPr>
      </w:pPr>
      <w:r w:rsidRPr="00C954EE">
        <w:rPr>
          <w:rFonts w:ascii="Palatino Linotype" w:eastAsia="Palatino Linotype" w:hAnsi="Palatino Linotype" w:cs="Palatino Linotype"/>
          <w:bCs/>
          <w:i/>
          <w:sz w:val="22"/>
          <w:szCs w:val="22"/>
        </w:rPr>
        <w:lastRenderedPageBreak/>
        <w:t xml:space="preserve">VIGÉSIMO TERCERO. Cualquier persona podrá denunciar ante el Instituto la falta de publicación y/o actualización de la información de las obligaciones de transparencia previstas en la Ley de Transparencia Local y demás disposiciones aplicables. </w:t>
      </w:r>
    </w:p>
    <w:p w14:paraId="6495EEB2" w14:textId="77777777" w:rsidR="00C40E29"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Cs/>
          <w:i/>
          <w:sz w:val="22"/>
          <w:szCs w:val="22"/>
        </w:rPr>
      </w:pPr>
      <w:r w:rsidRPr="00C954EE">
        <w:rPr>
          <w:rFonts w:ascii="Palatino Linotype" w:eastAsia="Palatino Linotype" w:hAnsi="Palatino Linotype" w:cs="Palatino Linotype"/>
          <w:bCs/>
          <w:i/>
          <w:sz w:val="22"/>
          <w:szCs w:val="22"/>
        </w:rPr>
        <w:t>VIGÉSIMO CUARTO. La denuncia podrá presentarse de las formas siguientes: a) Vía electrónica: A través del sitio o plataforma electrónica respectiva o al correo electrónico: denunciaipo@itaipem.org.mx, y</w:t>
      </w:r>
    </w:p>
    <w:p w14:paraId="5D8E16A0" w14:textId="3C500328" w:rsidR="005576BB"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Cs/>
          <w:i/>
          <w:sz w:val="22"/>
          <w:szCs w:val="22"/>
        </w:rPr>
      </w:pPr>
      <w:r w:rsidRPr="00C954EE">
        <w:rPr>
          <w:rFonts w:ascii="Palatino Linotype" w:eastAsia="Palatino Linotype" w:hAnsi="Palatino Linotype" w:cs="Palatino Linotype"/>
          <w:bCs/>
          <w:i/>
          <w:sz w:val="22"/>
          <w:szCs w:val="22"/>
        </w:rPr>
        <w:t xml:space="preserve"> b) Por escrito: Presentando en la Unidad de Transparencia del Instituto dentro del horario hábil, ya sea mediante escrito libre o a través del formato oficial anexo a los presentes Lineamientos. </w:t>
      </w:r>
    </w:p>
    <w:p w14:paraId="385AACBC" w14:textId="77777777" w:rsidR="005576BB"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Cs/>
          <w:i/>
          <w:sz w:val="22"/>
          <w:szCs w:val="22"/>
        </w:rPr>
      </w:pPr>
      <w:r w:rsidRPr="00C954EE">
        <w:rPr>
          <w:rFonts w:ascii="Palatino Linotype" w:eastAsia="Palatino Linotype" w:hAnsi="Palatino Linotype" w:cs="Palatino Linotype"/>
          <w:bCs/>
          <w:i/>
          <w:sz w:val="22"/>
          <w:szCs w:val="22"/>
        </w:rPr>
        <w:t xml:space="preserve">VIGÉSIMO QUINTO. La denuncia deberá cumplir con los siguientes requisitos mínimos: a) Nombre del Sujeto Obligado denunciado. </w:t>
      </w:r>
    </w:p>
    <w:p w14:paraId="09A16B70" w14:textId="77777777" w:rsidR="005576BB"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Cs/>
          <w:i/>
          <w:sz w:val="22"/>
          <w:szCs w:val="22"/>
        </w:rPr>
      </w:pPr>
      <w:r w:rsidRPr="00C954EE">
        <w:rPr>
          <w:rFonts w:ascii="Palatino Linotype" w:eastAsia="Palatino Linotype" w:hAnsi="Palatino Linotype" w:cs="Palatino Linotype"/>
          <w:bCs/>
          <w:i/>
          <w:sz w:val="22"/>
          <w:szCs w:val="22"/>
        </w:rPr>
        <w:t xml:space="preserve">b) Descripción clara y precisa del incumplimiento denunciado, señalando el artículo, fracción o inciso de la obligación de transparencia que será materia del procedimiento de denuncia, así como formato, ejercicio y periodo o periodos denunciados. </w:t>
      </w:r>
    </w:p>
    <w:p w14:paraId="10A35193" w14:textId="77777777" w:rsidR="005576BB"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Cs/>
          <w:i/>
          <w:sz w:val="22"/>
          <w:szCs w:val="22"/>
        </w:rPr>
      </w:pPr>
      <w:r w:rsidRPr="00C954EE">
        <w:rPr>
          <w:rFonts w:ascii="Palatino Linotype" w:eastAsia="Palatino Linotype" w:hAnsi="Palatino Linotype" w:cs="Palatino Linotype"/>
          <w:bCs/>
          <w:i/>
          <w:sz w:val="22"/>
          <w:szCs w:val="22"/>
        </w:rPr>
        <w:t xml:space="preserve">Se considerará que no es claro ni preciso el incumplimiento denunciado cuando se señale que el Sujeto Obligado no publica ninguna información o señale de manera genérica la falta de publicación o actualización de las obligaciones de transparencia, lo que dará lugar a prevenir a la o el denunciante para que refiera de manera puntual el artículo, fracción o inciso de la obligación de transparencia que será materia del procedimiento de denuncia, el formato, ejercicio y periodo o periodos denunciados, así como los hechos o motivos en que sustente la denuncia; </w:t>
      </w:r>
    </w:p>
    <w:p w14:paraId="647D3C7B" w14:textId="77777777" w:rsidR="005576BB" w:rsidRPr="00C954EE" w:rsidRDefault="005576BB" w:rsidP="00C40E29">
      <w:pPr>
        <w:tabs>
          <w:tab w:val="left" w:pos="426"/>
          <w:tab w:val="left" w:pos="7938"/>
        </w:tabs>
        <w:spacing w:before="240" w:line="276" w:lineRule="auto"/>
        <w:ind w:left="567" w:right="616"/>
        <w:jc w:val="both"/>
        <w:rPr>
          <w:rFonts w:ascii="Palatino Linotype" w:eastAsia="Palatino Linotype" w:hAnsi="Palatino Linotype" w:cs="Palatino Linotype"/>
          <w:b/>
          <w:i/>
          <w:sz w:val="22"/>
          <w:szCs w:val="22"/>
        </w:rPr>
      </w:pPr>
    </w:p>
    <w:p w14:paraId="338630D9" w14:textId="77777777" w:rsidR="005576BB"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
          <w:i/>
          <w:sz w:val="22"/>
          <w:szCs w:val="22"/>
        </w:rPr>
      </w:pPr>
      <w:r w:rsidRPr="00C954EE">
        <w:rPr>
          <w:rFonts w:ascii="Palatino Linotype" w:eastAsia="Palatino Linotype" w:hAnsi="Palatino Linotype" w:cs="Palatino Linotype"/>
          <w:b/>
          <w:i/>
          <w:sz w:val="22"/>
          <w:szCs w:val="22"/>
        </w:rPr>
        <w:t xml:space="preserve">c) Domicilio o dirección de correo electrónico para recibir notificaciones. </w:t>
      </w:r>
    </w:p>
    <w:p w14:paraId="3E0CB977" w14:textId="77777777" w:rsidR="005576BB"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
          <w:i/>
          <w:sz w:val="22"/>
          <w:szCs w:val="22"/>
        </w:rPr>
      </w:pPr>
      <w:r w:rsidRPr="00C954EE">
        <w:rPr>
          <w:rFonts w:ascii="Palatino Linotype" w:eastAsia="Palatino Linotype" w:hAnsi="Palatino Linotype" w:cs="Palatino Linotype"/>
          <w:b/>
          <w:i/>
          <w:sz w:val="22"/>
          <w:szCs w:val="22"/>
        </w:rPr>
        <w:t xml:space="preserve">d) La o el denunciante podrá adjuntar las pruebas que estime necesarias para respaldar su denuncia; y </w:t>
      </w:r>
    </w:p>
    <w:p w14:paraId="0933F2C2" w14:textId="77777777" w:rsidR="005576BB" w:rsidRPr="00C954EE" w:rsidRDefault="00302DF8" w:rsidP="00C40E29">
      <w:pPr>
        <w:tabs>
          <w:tab w:val="left" w:pos="426"/>
          <w:tab w:val="left" w:pos="7938"/>
        </w:tabs>
        <w:spacing w:before="240" w:line="276" w:lineRule="auto"/>
        <w:ind w:left="567" w:right="616"/>
        <w:jc w:val="both"/>
        <w:rPr>
          <w:rFonts w:ascii="Palatino Linotype" w:eastAsia="Palatino Linotype" w:hAnsi="Palatino Linotype" w:cs="Palatino Linotype"/>
          <w:b/>
          <w:i/>
          <w:sz w:val="22"/>
          <w:szCs w:val="22"/>
        </w:rPr>
      </w:pPr>
      <w:r w:rsidRPr="00C954EE">
        <w:rPr>
          <w:rFonts w:ascii="Palatino Linotype" w:eastAsia="Palatino Linotype" w:hAnsi="Palatino Linotype" w:cs="Palatino Linotype"/>
          <w:b/>
          <w:i/>
          <w:sz w:val="22"/>
          <w:szCs w:val="22"/>
        </w:rPr>
        <w:t xml:space="preserve">e) Opcionalmente nombre o perfil de la o el denunciante, ello con fines estadísticos. En ningún caso será requisito para la presentación, trámite y resolución de la denuncia. </w:t>
      </w:r>
    </w:p>
    <w:p w14:paraId="28F4BEDD" w14:textId="77777777" w:rsidR="005576BB" w:rsidRPr="00C954EE" w:rsidRDefault="005576BB">
      <w:pPr>
        <w:tabs>
          <w:tab w:val="left" w:pos="426"/>
        </w:tabs>
        <w:spacing w:line="360" w:lineRule="auto"/>
        <w:ind w:right="51"/>
        <w:jc w:val="both"/>
        <w:rPr>
          <w:rFonts w:ascii="Palatino Linotype" w:eastAsia="Palatino Linotype" w:hAnsi="Palatino Linotype" w:cs="Palatino Linotype"/>
        </w:rPr>
      </w:pPr>
    </w:p>
    <w:p w14:paraId="4C700C47" w14:textId="5AE6E088" w:rsidR="005576BB"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VIGÉSIMO SEXTO. La verificación virtual por denuncia se integrará por las etapas contempladas en el artículo 112 de la Ley de Transparencia Local y conforme a lo siguiente:</w:t>
      </w:r>
    </w:p>
    <w:p w14:paraId="6640A8E1" w14:textId="599BBA05"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p>
    <w:p w14:paraId="463C3C70" w14:textId="1B3F9210"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I. Cuando se presente una denuncia física en la Unidad de Transparencia del Instituto, ésta deberá remitirla a la Dirección General Jurídica y de Verificación el mismo día de su recepción.</w:t>
      </w:r>
    </w:p>
    <w:p w14:paraId="70D32F33" w14:textId="6B3B487C"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II. Cuando el escrito de denuncia no cumpla con los requisitos establecidos en el numeral VIGÉSIMO QUINTO, incisos a) y b) de los Lineamientos de Verificación y no se cuente con elementos para subsanarlos dentro de dicho escrito, se prevendrá por una sola ocasión a la o el denunciante, dentro de los tres días hábiles siguientes a su presentación, para que subsane los requisitos omitidos.</w:t>
      </w:r>
    </w:p>
    <w:p w14:paraId="5C58B169"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3E239C39" w14:textId="519AE66E"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También se prevendrá a la o el denunciante para que exhiba el documento con el que acredite personalidad en caso de haber presentado la denuncia como representante de persona física o moral.</w:t>
      </w:r>
    </w:p>
    <w:p w14:paraId="3E86E945"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09DCEDCA" w14:textId="414A5DB2"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El acuerdo de prevención se notificará a la o el denunciante, dentro de los tres días hábiles siguientes a su emisión.</w:t>
      </w:r>
    </w:p>
    <w:p w14:paraId="6CF2F3D9"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570959D4" w14:textId="77777777" w:rsidR="0095068D"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La o el denunciante deberá subsanar las omisiones dentro de un plazo no mayor a tres días hábiles contados a partir del día hábil siguiente a su notificación, con el apercibimiento de que, en caso de no atender la prevención en sus términos, se desechará la denuncia.</w:t>
      </w:r>
    </w:p>
    <w:p w14:paraId="4191BFD0"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55441671" w14:textId="0F785EF7"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El acuerdo de </w:t>
      </w:r>
      <w:proofErr w:type="spellStart"/>
      <w:r w:rsidRPr="00C954EE">
        <w:rPr>
          <w:rFonts w:ascii="Palatino Linotype" w:hAnsi="Palatino Linotype"/>
          <w:i/>
          <w:iCs/>
          <w:sz w:val="22"/>
          <w:szCs w:val="22"/>
        </w:rPr>
        <w:t>desechamiento</w:t>
      </w:r>
      <w:proofErr w:type="spellEnd"/>
      <w:r w:rsidRPr="00C954EE">
        <w:rPr>
          <w:rFonts w:ascii="Palatino Linotype" w:hAnsi="Palatino Linotype"/>
          <w:i/>
          <w:iCs/>
          <w:sz w:val="22"/>
          <w:szCs w:val="22"/>
        </w:rPr>
        <w:t xml:space="preserve"> se emitirá dentro de los tres días hábiles siguientes a que fenezca el plazo otorgado para cumplir la prevención y se le notificará dentro de los tres días hábiles siguientes a su emisión.</w:t>
      </w:r>
    </w:p>
    <w:p w14:paraId="17DFD963"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7FD8BEA5" w14:textId="01A37287"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III. Si la denuncia cumple con los requisitos para su presentación o la persona denunciante atendió la prevención que se le realizó, se dictará acuerdo de admisión dentro de los tres días hábiles siguientes al que se tenga por presentada la denuncia o se haya </w:t>
      </w:r>
      <w:r w:rsidRPr="00C954EE">
        <w:rPr>
          <w:rFonts w:ascii="Palatino Linotype" w:hAnsi="Palatino Linotype"/>
          <w:i/>
          <w:iCs/>
          <w:sz w:val="22"/>
          <w:szCs w:val="22"/>
        </w:rPr>
        <w:lastRenderedPageBreak/>
        <w:t>cumplido la prevención, mismo que se notificará a la o el denunciante y al Sujeto Obligado, dentro de los tres días hábiles siguientes al día en que se emita.</w:t>
      </w:r>
    </w:p>
    <w:p w14:paraId="766D440F"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11FD2B55" w14:textId="58D8FB4B"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En dicho acuerdo se requerirá al Titular de la Unidad de Transparencia del Sujeto Obligado para que envíe al Instituto un informe con la justificación sobre los hechos o motivos de la denuncia, dentro los tres días hábiles siguientes a la notificación de la admisión, con el apercibimiento de que, de no remitirlo, se le impondrá una de las medidas de apremio previstas en la Ley de Transparencia Local.</w:t>
      </w:r>
    </w:p>
    <w:p w14:paraId="172D5DC4"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0EE1D817" w14:textId="4272E2CC"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En caso de que el informe justificado sea enviado de manera extemporánea, la Dirección General Jurídica y de Verificación no estará obligada a atender la información remitida y las pruebas ofrecidas por el Sujeto Obligado</w:t>
      </w:r>
    </w:p>
    <w:p w14:paraId="4C738799"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029117BD" w14:textId="0725CA1C"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El Sujeto Obligado podrá enviar un alcance a su informe con justificación si se encuentra dentro del término de tres días hábiles que tiene para rendirlo.</w:t>
      </w:r>
    </w:p>
    <w:p w14:paraId="4FC73943"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46E683C2" w14:textId="28EC95CF"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No se tomarán en consideración las manifestaciones que el Sujeto Obligado exponga o los documentos que exhiba en su informe justificado, si no tienen relación con el incumplimiento denunciado.</w:t>
      </w:r>
    </w:p>
    <w:p w14:paraId="173BF135"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09A52F48" w14:textId="71A12AE9" w:rsidR="00C40E29" w:rsidRPr="00C954EE" w:rsidRDefault="00C40E29"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IV. La o el denunciante podrá manifestar lo que considere oportuno hasta antes de que concluya el término para la emisión de la resolución. Se desecharán las promociones o peticiones notoriamente improcedentes o aquellas manifestaciones de la o el denunciante, por medio de las cuales pretenda interponer algún medio de defensa o ampliar el incumplimiento denunciado.</w:t>
      </w:r>
    </w:p>
    <w:p w14:paraId="4EF81060"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72D6D741" w14:textId="602C1468"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V. Se realizarán las verificaciones virtuales y requerimientos que sean necesarios con el fin de allegarse de los elementos suficientes para resolver la denuncia, misma que deberá resolverse dentro de los veinte días hábiles siguientes al término del plazo en que el Sujeto Obligado debe enviar su informe o, en su caso, atender los requerimientos o informes complementarios solicitados.</w:t>
      </w:r>
    </w:p>
    <w:p w14:paraId="1230A9AD"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1617C78E" w14:textId="1D9903BA"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VI. La resolución deberá contener los elementos siguientes:</w:t>
      </w:r>
    </w:p>
    <w:p w14:paraId="611008BF"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a) Nombre del Sujeto Obligado denunciado; </w:t>
      </w:r>
    </w:p>
    <w:p w14:paraId="267DAA04"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lastRenderedPageBreak/>
        <w:t xml:space="preserve">b) Fecha de presentación y admisión de la denuncia; </w:t>
      </w:r>
    </w:p>
    <w:p w14:paraId="42E313CC"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c) Presentación del informe con la justificación respecto de los hechos o motivos de la denuncia, de su presentación extemporánea o la omisión de su envío por parte del Sujeto Obligado; </w:t>
      </w:r>
    </w:p>
    <w:p w14:paraId="436077FB"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d) Análisis y valoración de las pruebas ofrecidas por las partes o allegadas al expediente; </w:t>
      </w:r>
    </w:p>
    <w:p w14:paraId="63DE883E"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e) La fecha y hora de inicio y conclusión de la verificación virtual; </w:t>
      </w:r>
    </w:p>
    <w:p w14:paraId="6BC06DDD"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f) Precisión de la obligación u obligaciones de transparencia que serán objeto de resolución, así como el ejercicio y el periodo o periodos de conservación y actualización sobre los que se resuelva; </w:t>
      </w:r>
    </w:p>
    <w:p w14:paraId="4DC9ABDA"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g) Fundamentos y motivos que sustenten la resolución; </w:t>
      </w:r>
    </w:p>
    <w:p w14:paraId="46E06AF8"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h) Término otorgado al Sujeto Obligado para el cumplimiento de los requerimientos establecidos en la resolución; </w:t>
      </w:r>
    </w:p>
    <w:p w14:paraId="532354EB"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i) Término para que el Sujeto Obligado informe el cumplimiento a la resolución; </w:t>
      </w:r>
    </w:p>
    <w:p w14:paraId="26CC1F0A"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j) Apercibimiento al Titular de la Unidad de Transparencia del Sujeto Obligado de que, en caso de no cumplir con la resolución y de no informar sobre su cumplimiento, se le impondrá una de las medidas de apremio previstas en la Ley de Transparencia Local; y </w:t>
      </w:r>
    </w:p>
    <w:p w14:paraId="143021C1" w14:textId="7FCF8EC2"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k) Firma autógrafa o electrónica de la o el titular de la Dirección General Jurídica y de Verificación o, en su caso, de quien lo supla.</w:t>
      </w:r>
    </w:p>
    <w:p w14:paraId="58A4974B" w14:textId="0CBD08F9"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VII. La resolución de la denuncia se notificará al Sujeto Obligado y a la o el denunciante dentro de los tres días hábiles siguientes a su emisión.</w:t>
      </w:r>
    </w:p>
    <w:p w14:paraId="4B0DE7E3" w14:textId="7BDD3B55"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El o la Titular de la Unidad de Transparencia del Sujeto Obligado deberá cumplir con la resolución en el plazo de quince días hábiles contados a partir del día hábil siguiente al que se le notifique.</w:t>
      </w:r>
    </w:p>
    <w:p w14:paraId="713A28EE" w14:textId="064077FA"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Transcurrido el plazo señalado en el párrafo anterior, el sujeto obligado deberá enviar al Instituto un informe sobre su cumplimiento, en el que deberá proporcionar el nombre y cargo del servidor o servidores públicos habilitados responsables de publicar o actualizar la información requerida en la obligación de transparencia sobre la que se haya declarado fundada la denuncia, con el apercibimiento de que, en caso de no cumplir la resolución y/o de no atender los requerimientos sobre su cumplimiento se le impondrá alguna de las medidas de apremio previstas en la Ley de Transparencia Local. </w:t>
      </w:r>
    </w:p>
    <w:p w14:paraId="7F28DAD7"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72475363" w14:textId="6FEA00AD"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VIII. Transcurrido el plazo para informar sobre el cumplimiento, con o sin informe, se procederá a verificar el cumplimiento o incumplimiento total o parcial a los requerimientos establecidos en la resolución.</w:t>
      </w:r>
    </w:p>
    <w:p w14:paraId="042433EC" w14:textId="719B8D72"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lastRenderedPageBreak/>
        <w:t>La verificación de cumplimiento a la resolución se realizará dentro de los cinco días hábiles siguientes a que concluya el plazo en que el Sujeto Obligado debe informar sobre el cumplimiento.</w:t>
      </w:r>
    </w:p>
    <w:p w14:paraId="778E4DB7" w14:textId="77777777" w:rsidR="00ED1336" w:rsidRPr="00C954EE" w:rsidRDefault="00ED1336" w:rsidP="0095068D">
      <w:pPr>
        <w:tabs>
          <w:tab w:val="left" w:pos="426"/>
        </w:tabs>
        <w:spacing w:line="276" w:lineRule="auto"/>
        <w:ind w:left="426" w:right="616"/>
        <w:jc w:val="both"/>
        <w:rPr>
          <w:rFonts w:ascii="Palatino Linotype" w:hAnsi="Palatino Linotype"/>
          <w:i/>
          <w:iCs/>
          <w:sz w:val="22"/>
          <w:szCs w:val="22"/>
        </w:rPr>
      </w:pPr>
    </w:p>
    <w:p w14:paraId="3D4EA89F" w14:textId="6379D2BC"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En caso de verificarse el cumplimiento total a la resolución, se emitirá acuerdo de cumplimiento dentro de los tres días hábiles siguientes a la verificación de cumplimiento, en el que se ordenará el cierre y archivo del expediente. Dicho acuerdo se notificará al denunciante y al Sujeto Obligado dentro de los tres días hábiles siguientes a su emisión.</w:t>
      </w:r>
    </w:p>
    <w:p w14:paraId="54D5C1B9"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539662F1" w14:textId="2775C374"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IX. Cuando de la verificación se observe que existe incumplimiento total o parcial a la resolución, dentro de los tres días hábiles siguientes se emitirá un aviso de incumplimiento, que se notificará a la o el denunciante dentro de los tres días hábiles siguientes, y se remitirá al Titular de la Unidad de Transparencia del Sujeto Obligado para que, en el plazo de tres días hábiles, por su conducto lo notifique al superior jerárquico del responsable de cumplir la resolución, por lo que, al día hábil siguiente de que practique la notificación deberá enviar al Instituto el acuse correspondiente, que deberá contener fecha, hora, nombre, firma y cargo del notificado, con el apercibimiento de que, en caso de no enviar el acuse de la notificación requerida se le tendrá como único responsable del cumplimiento, independientemente de que se le imponga alguna de las medidas de apremio prevista en la Ley de Transparencia Local.</w:t>
      </w:r>
    </w:p>
    <w:p w14:paraId="6BD80C89"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34134F3F" w14:textId="5A65C3FA"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En el aviso de incumplimiento se requerirá al superior jerárquico del servidor público responsable de cumplir la resolución para que, en un plazo no mayor a cinco días hábiles instruya se dé cumplimiento a la misma, con el apercibimiento de que en caso de no cumplirse la resolución se le impondrá alguna de las medidas de apremio establecidas en la Ley de Transparencia Local.</w:t>
      </w:r>
    </w:p>
    <w:p w14:paraId="0D1C305B"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696C8291" w14:textId="56A1214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Derivado del incumplimiento a la resolución de la denuncia, se procederá a realizar la calificación de la gravedad de la falta, para que se proponga al Pleno del Instituto la medida de apremio que se deba imponer al o los responsables del cumplimiento a la resolución y/o por la falta de atención a los requerimientos que se hayan realizado al tramitarse la denuncia. </w:t>
      </w:r>
    </w:p>
    <w:p w14:paraId="58D51520"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7E867875" w14:textId="0D77C111"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lastRenderedPageBreak/>
        <w:t>X. Transcurrido el plazo para que el superior jerárquico instruya a cumplir sin demora la resolución, dentro de los cinco días hábiles siguientes se verificará su cumplimiento, de encontrarse cumplida la resolución, se emitirá acuerdo de cumplimiento que se notificará a la o el denunciante y al Sujeto Obligado dentro de los tres días hábiles siguientes a su emisión, con lo que se dará por concluido el procedimiento, ordenándose el cierre y archivo del expediente.</w:t>
      </w:r>
    </w:p>
    <w:p w14:paraId="463670E2"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4E3AE235" w14:textId="3195616C"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En caso de subsistir el incumplimiento total o parcial de la resolución, se emitirá un acuerdo de incumplimiento, que se notificará a la o el denunciante y al Sujeto Obligado dentro de los tres días hábiles siguientes a su emisión. Con base en dicho acuerdo se calificará la gravedad de la falta, para que se proponga al Pleno del Instituto la medida de apremio que se deba imponer al superior jerárquico por la subsistencia del incumplimiento a la resolución de la denuncia.</w:t>
      </w:r>
    </w:p>
    <w:p w14:paraId="4AC74579"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14CA46FB" w14:textId="59C1199C"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r w:rsidRPr="00C954EE">
        <w:rPr>
          <w:rFonts w:ascii="Palatino Linotype" w:hAnsi="Palatino Linotype"/>
          <w:i/>
          <w:iCs/>
          <w:sz w:val="22"/>
          <w:szCs w:val="22"/>
        </w:rPr>
        <w:t xml:space="preserve">De la misma manera, se calificará la gravedad de la falta del Titular de la Unidad de Transparencia del Sujeto Obligado, en caso de no haber atendido el requerimiento de enviar al Instituto el acuse de notificación al superior jerárquico del aviso de incumplimiento. </w:t>
      </w:r>
    </w:p>
    <w:p w14:paraId="600049AA" w14:textId="77777777" w:rsidR="0095068D" w:rsidRPr="00C954EE" w:rsidRDefault="0095068D" w:rsidP="0095068D">
      <w:pPr>
        <w:tabs>
          <w:tab w:val="left" w:pos="426"/>
        </w:tabs>
        <w:spacing w:line="276" w:lineRule="auto"/>
        <w:ind w:left="426" w:right="616"/>
        <w:jc w:val="both"/>
        <w:rPr>
          <w:rFonts w:ascii="Palatino Linotype" w:hAnsi="Palatino Linotype"/>
          <w:i/>
          <w:iCs/>
          <w:sz w:val="22"/>
          <w:szCs w:val="22"/>
        </w:rPr>
      </w:pPr>
    </w:p>
    <w:p w14:paraId="3E92024C" w14:textId="2E4730E9" w:rsidR="0095068D" w:rsidRPr="00C954EE" w:rsidRDefault="0095068D" w:rsidP="0095068D">
      <w:pPr>
        <w:tabs>
          <w:tab w:val="left" w:pos="426"/>
        </w:tabs>
        <w:spacing w:line="276" w:lineRule="auto"/>
        <w:ind w:left="426" w:right="616"/>
        <w:jc w:val="both"/>
        <w:rPr>
          <w:rFonts w:ascii="Palatino Linotype" w:eastAsia="Palatino Linotype" w:hAnsi="Palatino Linotype" w:cs="Palatino Linotype"/>
          <w:i/>
          <w:iCs/>
          <w:sz w:val="22"/>
          <w:szCs w:val="22"/>
        </w:rPr>
      </w:pPr>
      <w:r w:rsidRPr="00C954EE">
        <w:rPr>
          <w:rFonts w:ascii="Palatino Linotype" w:hAnsi="Palatino Linotype"/>
          <w:i/>
          <w:iCs/>
          <w:sz w:val="22"/>
          <w:szCs w:val="22"/>
        </w:rPr>
        <w:t>Para la determinación de las sanciones que correspondan, al no haberse atendido los requerimientos y/o no acatarse la resolución de la denuncia, se remitirá al Órgano Interno de Control del Sujeto Obligado o a la autoridad que corresponda, en físico o en medio electrónico, copia certificada del expediente del procedimiento de la denuncia en que se contengan todos los elementos que sustenten la presunta responsabilidad administrativa para que se investigue y se determine el grado de responsabilidad de quienes hayan incumplido con las obligaciones establecidas en la Ley de Transparencia Local.</w:t>
      </w:r>
    </w:p>
    <w:p w14:paraId="0193D5D1" w14:textId="77777777" w:rsidR="005576BB" w:rsidRPr="00C954EE" w:rsidRDefault="005576BB">
      <w:pPr>
        <w:tabs>
          <w:tab w:val="left" w:pos="426"/>
        </w:tabs>
        <w:spacing w:line="360" w:lineRule="auto"/>
        <w:ind w:right="51"/>
        <w:jc w:val="both"/>
        <w:rPr>
          <w:rFonts w:ascii="Palatino Linotype" w:eastAsia="Palatino Linotype" w:hAnsi="Palatino Linotype" w:cs="Palatino Linotype"/>
        </w:rPr>
      </w:pPr>
    </w:p>
    <w:p w14:paraId="08DD3DF3" w14:textId="4512E5AE" w:rsidR="005576BB" w:rsidRPr="00C954EE" w:rsidRDefault="0095068D" w:rsidP="0095068D">
      <w:pPr>
        <w:tabs>
          <w:tab w:val="left" w:pos="426"/>
        </w:tabs>
        <w:spacing w:line="360" w:lineRule="auto"/>
        <w:ind w:right="51"/>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 xml:space="preserve">De lo anterior podemos concluir que a través de la denuncia se puede instruir al sujeto obligado a cumplir son sus obligaciones de transparencia y en caso de que </w:t>
      </w:r>
      <w:r w:rsidRPr="00C954EE">
        <w:rPr>
          <w:rFonts w:ascii="Palatino Linotype" w:hAnsi="Palatino Linotype"/>
          <w:sz w:val="22"/>
          <w:szCs w:val="22"/>
        </w:rPr>
        <w:t>exista incumplimiento total o parcial, se le podrán imponer en su caso las medidas de apremio previstas en la Ley. Lo cual se ajusta con la pretensión del particular a través del medio de impugnación que ahora se resuelve, es por ello que se determina que</w:t>
      </w:r>
      <w:r w:rsidR="00302DF8" w:rsidRPr="00C954EE">
        <w:rPr>
          <w:rFonts w:ascii="Palatino Linotype" w:eastAsia="Palatino Linotype" w:hAnsi="Palatino Linotype" w:cs="Palatino Linotype"/>
          <w:sz w:val="22"/>
          <w:szCs w:val="22"/>
        </w:rPr>
        <w:t xml:space="preserve"> el recurso de revisión </w:t>
      </w:r>
      <w:r w:rsidR="00302DF8" w:rsidRPr="00C954EE">
        <w:rPr>
          <w:rFonts w:ascii="Palatino Linotype" w:eastAsia="Palatino Linotype" w:hAnsi="Palatino Linotype" w:cs="Palatino Linotype"/>
          <w:sz w:val="22"/>
          <w:szCs w:val="22"/>
        </w:rPr>
        <w:lastRenderedPageBreak/>
        <w:t xml:space="preserve">no es la vía para hacer del conocimiento el incumplimiento en la carga de obligaciones de transparencia, y tampoco para ordenar el cumplimiento de las mismas, en razón de que existen procedimientos e instancias encargadas de llevar a cabo la verificación de las obligaciones de transparencia. </w:t>
      </w:r>
    </w:p>
    <w:p w14:paraId="2A9E4555" w14:textId="77777777" w:rsidR="005576BB" w:rsidRPr="00C954EE" w:rsidRDefault="005576BB">
      <w:pPr>
        <w:spacing w:line="360" w:lineRule="auto"/>
        <w:jc w:val="both"/>
        <w:rPr>
          <w:rFonts w:ascii="Palatino Linotype" w:eastAsia="Palatino Linotype" w:hAnsi="Palatino Linotype" w:cs="Palatino Linotype"/>
          <w:sz w:val="22"/>
          <w:szCs w:val="22"/>
        </w:rPr>
      </w:pPr>
    </w:p>
    <w:p w14:paraId="061BBB7E" w14:textId="0434FD88" w:rsidR="005576BB" w:rsidRPr="00C954EE" w:rsidRDefault="00302DF8">
      <w:pPr>
        <w:spacing w:line="360" w:lineRule="auto"/>
        <w:jc w:val="both"/>
        <w:rPr>
          <w:rFonts w:ascii="Palatino Linotype" w:eastAsia="Palatino Linotype" w:hAnsi="Palatino Linotype" w:cs="Palatino Linotype"/>
          <w:b/>
          <w:i/>
          <w:sz w:val="22"/>
          <w:szCs w:val="22"/>
        </w:rPr>
      </w:pPr>
      <w:r w:rsidRPr="00C954EE">
        <w:rPr>
          <w:rFonts w:ascii="Palatino Linotype" w:eastAsia="Palatino Linotype" w:hAnsi="Palatino Linotype" w:cs="Palatino Linotype"/>
          <w:sz w:val="22"/>
          <w:szCs w:val="22"/>
        </w:rPr>
        <w:t>Es así que, se dejan a salvo los derechos del particular por si desea presentar una denuncia en contra de un Sujeto Obligado por falta de publicación y/o actualización de la información de sus obligaciones de transparencia en el Sistema de Información Pública de Oficio Mexiquense (</w:t>
      </w:r>
      <w:proofErr w:type="spellStart"/>
      <w:r w:rsidRPr="00C954EE">
        <w:rPr>
          <w:rFonts w:ascii="Palatino Linotype" w:eastAsia="Palatino Linotype" w:hAnsi="Palatino Linotype" w:cs="Palatino Linotype"/>
          <w:sz w:val="22"/>
          <w:szCs w:val="22"/>
        </w:rPr>
        <w:t>Ipomex</w:t>
      </w:r>
      <w:proofErr w:type="spellEnd"/>
      <w:r w:rsidRPr="00C954EE">
        <w:rPr>
          <w:rFonts w:ascii="Palatino Linotype" w:eastAsia="Palatino Linotype" w:hAnsi="Palatino Linotype" w:cs="Palatino Linotype"/>
          <w:sz w:val="22"/>
          <w:szCs w:val="22"/>
        </w:rPr>
        <w:t xml:space="preserve">), de la información señalada en la Ley de Transparencia y Acceso a la Información Pública del Estado de México y Municipios que debe publicar en </w:t>
      </w:r>
      <w:proofErr w:type="spellStart"/>
      <w:r w:rsidRPr="00C954EE">
        <w:rPr>
          <w:rFonts w:ascii="Palatino Linotype" w:eastAsia="Palatino Linotype" w:hAnsi="Palatino Linotype" w:cs="Palatino Linotype"/>
          <w:sz w:val="22"/>
          <w:szCs w:val="22"/>
        </w:rPr>
        <w:t>Ipomex</w:t>
      </w:r>
      <w:proofErr w:type="spellEnd"/>
      <w:r w:rsidRPr="00C954EE">
        <w:rPr>
          <w:rFonts w:ascii="Palatino Linotype" w:eastAsia="Palatino Linotype" w:hAnsi="Palatino Linotype" w:cs="Palatino Linotype"/>
          <w:sz w:val="22"/>
          <w:szCs w:val="22"/>
        </w:rPr>
        <w:t xml:space="preserve">, podrá hacerlo a través del Sistema de Registro de Denuncias del Instituto, disponible en el siguiente vinculo electrónico </w:t>
      </w:r>
      <w:hyperlink r:id="rId9">
        <w:r w:rsidRPr="00C954EE">
          <w:rPr>
            <w:rFonts w:ascii="Palatino Linotype" w:eastAsia="Palatino Linotype" w:hAnsi="Palatino Linotype" w:cs="Palatino Linotype"/>
            <w:sz w:val="22"/>
            <w:szCs w:val="22"/>
            <w:u w:val="single"/>
          </w:rPr>
          <w:t>https://sistemas2.infoem.org.mx/denuncias/ip</w:t>
        </w:r>
      </w:hyperlink>
      <w:r w:rsidR="0095068D" w:rsidRPr="00C954EE">
        <w:rPr>
          <w:rFonts w:ascii="Palatino Linotype" w:eastAsia="Palatino Linotype" w:hAnsi="Palatino Linotype" w:cs="Palatino Linotype"/>
          <w:sz w:val="22"/>
          <w:szCs w:val="22"/>
          <w:u w:val="single"/>
        </w:rPr>
        <w:t xml:space="preserve"> o bien a través del correo </w:t>
      </w:r>
      <w:r w:rsidR="00E10BE3" w:rsidRPr="00C954EE">
        <w:rPr>
          <w:rFonts w:ascii="Palatino Linotype" w:eastAsia="Palatino Linotype" w:hAnsi="Palatino Linotype" w:cs="Palatino Linotype"/>
          <w:sz w:val="22"/>
          <w:szCs w:val="22"/>
          <w:u w:val="single"/>
        </w:rPr>
        <w:t>electrónico</w:t>
      </w:r>
      <w:r w:rsidR="0095068D" w:rsidRPr="00C954EE">
        <w:rPr>
          <w:rFonts w:ascii="Palatino Linotype" w:eastAsia="Palatino Linotype" w:hAnsi="Palatino Linotype" w:cs="Palatino Linotype"/>
          <w:sz w:val="22"/>
          <w:szCs w:val="22"/>
          <w:u w:val="single"/>
        </w:rPr>
        <w:t xml:space="preserve"> </w:t>
      </w:r>
      <w:hyperlink r:id="rId10" w:history="1">
        <w:r w:rsidR="0095068D" w:rsidRPr="00C954EE">
          <w:rPr>
            <w:rStyle w:val="Hipervnculo"/>
            <w:rFonts w:ascii="Palatino Linotype" w:eastAsia="Palatino Linotype" w:hAnsi="Palatino Linotype" w:cs="Palatino Linotype"/>
            <w:b/>
            <w:i/>
            <w:color w:val="auto"/>
            <w:sz w:val="22"/>
            <w:szCs w:val="22"/>
          </w:rPr>
          <w:t>denunciaipo@itaipem.org.mx</w:t>
        </w:r>
      </w:hyperlink>
      <w:r w:rsidR="00E10BE3" w:rsidRPr="00C954EE">
        <w:rPr>
          <w:rFonts w:ascii="Palatino Linotype" w:eastAsia="Palatino Linotype" w:hAnsi="Palatino Linotype" w:cs="Palatino Linotype"/>
          <w:bCs/>
          <w:iCs/>
          <w:sz w:val="22"/>
          <w:szCs w:val="22"/>
        </w:rPr>
        <w:t xml:space="preserve">, </w:t>
      </w:r>
      <w:r w:rsidR="0095068D" w:rsidRPr="00C954EE">
        <w:rPr>
          <w:rFonts w:ascii="Palatino Linotype" w:eastAsia="Palatino Linotype" w:hAnsi="Palatino Linotype" w:cs="Palatino Linotype"/>
          <w:bCs/>
          <w:iCs/>
          <w:sz w:val="22"/>
          <w:szCs w:val="22"/>
        </w:rPr>
        <w:t xml:space="preserve">o si lo prefiere </w:t>
      </w:r>
      <w:r w:rsidR="00E10BE3" w:rsidRPr="00C954EE">
        <w:rPr>
          <w:rFonts w:ascii="Palatino Linotype" w:eastAsia="Palatino Linotype" w:hAnsi="Palatino Linotype" w:cs="Palatino Linotype"/>
          <w:bCs/>
          <w:iCs/>
          <w:sz w:val="22"/>
          <w:szCs w:val="22"/>
        </w:rPr>
        <w:t>p</w:t>
      </w:r>
      <w:r w:rsidR="0095068D" w:rsidRPr="00C954EE">
        <w:rPr>
          <w:rFonts w:ascii="Palatino Linotype" w:eastAsia="Palatino Linotype" w:hAnsi="Palatino Linotype" w:cs="Palatino Linotype"/>
          <w:bCs/>
          <w:iCs/>
          <w:sz w:val="22"/>
          <w:szCs w:val="22"/>
        </w:rPr>
        <w:t>or escrito</w:t>
      </w:r>
      <w:r w:rsidR="00E10BE3" w:rsidRPr="00C954EE">
        <w:rPr>
          <w:rFonts w:ascii="Palatino Linotype" w:eastAsia="Palatino Linotype" w:hAnsi="Palatino Linotype" w:cs="Palatino Linotype"/>
          <w:bCs/>
          <w:iCs/>
          <w:sz w:val="22"/>
          <w:szCs w:val="22"/>
        </w:rPr>
        <w:t xml:space="preserve"> p</w:t>
      </w:r>
      <w:r w:rsidR="0095068D" w:rsidRPr="00C954EE">
        <w:rPr>
          <w:rFonts w:ascii="Palatino Linotype" w:eastAsia="Palatino Linotype" w:hAnsi="Palatino Linotype" w:cs="Palatino Linotype"/>
          <w:bCs/>
          <w:iCs/>
          <w:sz w:val="22"/>
          <w:szCs w:val="22"/>
        </w:rPr>
        <w:t>resentando en la Unidad de Transparencia del Instituto dentro del horario hábil</w:t>
      </w:r>
      <w:r w:rsidR="00E10BE3" w:rsidRPr="00C954EE">
        <w:rPr>
          <w:rFonts w:ascii="Palatino Linotype" w:eastAsia="Palatino Linotype" w:hAnsi="Palatino Linotype" w:cs="Palatino Linotype"/>
          <w:bCs/>
          <w:iCs/>
          <w:sz w:val="22"/>
          <w:szCs w:val="22"/>
        </w:rPr>
        <w:t xml:space="preserve"> ya sea mediante escrito libre o a través del formato que se inserta a continuación: </w:t>
      </w:r>
    </w:p>
    <w:p w14:paraId="7FEEF4AA" w14:textId="0D2D08AF" w:rsidR="00E10BE3" w:rsidRPr="00C954EE" w:rsidRDefault="00E10BE3">
      <w:pPr>
        <w:spacing w:line="360" w:lineRule="auto"/>
        <w:jc w:val="both"/>
        <w:rPr>
          <w:rFonts w:ascii="Palatino Linotype" w:eastAsia="Palatino Linotype" w:hAnsi="Palatino Linotype" w:cs="Palatino Linotype"/>
          <w:b/>
          <w:i/>
          <w:sz w:val="22"/>
          <w:szCs w:val="22"/>
        </w:rPr>
      </w:pPr>
    </w:p>
    <w:p w14:paraId="70F47184" w14:textId="7A7736D4" w:rsidR="005576BB" w:rsidRPr="00C954EE" w:rsidRDefault="00E10BE3" w:rsidP="00E10BE3">
      <w:pPr>
        <w:spacing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noProof/>
          <w:sz w:val="22"/>
          <w:szCs w:val="22"/>
        </w:rPr>
        <w:lastRenderedPageBreak/>
        <w:drawing>
          <wp:inline distT="0" distB="0" distL="0" distR="0" wp14:anchorId="42DA2498" wp14:editId="45BAB07D">
            <wp:extent cx="5277587" cy="51823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7587" cy="5182323"/>
                    </a:xfrm>
                    <a:prstGeom prst="rect">
                      <a:avLst/>
                    </a:prstGeom>
                  </pic:spPr>
                </pic:pic>
              </a:graphicData>
            </a:graphic>
          </wp:inline>
        </w:drawing>
      </w:r>
      <w:r w:rsidRPr="00C954EE">
        <w:rPr>
          <w:noProof/>
        </w:rPr>
        <w:t xml:space="preserve"> </w:t>
      </w:r>
      <w:r w:rsidRPr="00C954EE">
        <w:rPr>
          <w:rFonts w:ascii="Palatino Linotype" w:eastAsia="Palatino Linotype" w:hAnsi="Palatino Linotype" w:cs="Palatino Linotype"/>
          <w:noProof/>
          <w:sz w:val="22"/>
          <w:szCs w:val="22"/>
        </w:rPr>
        <w:lastRenderedPageBreak/>
        <w:drawing>
          <wp:inline distT="0" distB="0" distL="0" distR="0" wp14:anchorId="12C0959E" wp14:editId="3F5D5448">
            <wp:extent cx="5612130" cy="22745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274570"/>
                    </a:xfrm>
                    <a:prstGeom prst="rect">
                      <a:avLst/>
                    </a:prstGeom>
                  </pic:spPr>
                </pic:pic>
              </a:graphicData>
            </a:graphic>
          </wp:inline>
        </w:drawing>
      </w:r>
    </w:p>
    <w:p w14:paraId="666BA88C" w14:textId="5AD68D75" w:rsidR="00ED1336" w:rsidRPr="00C954EE" w:rsidRDefault="00302DF8" w:rsidP="00ED1336">
      <w:pPr>
        <w:pStyle w:val="NormalWeb"/>
        <w:spacing w:before="0" w:beforeAutospacing="0" w:after="0" w:afterAutospacing="0" w:line="360" w:lineRule="auto"/>
        <w:ind w:right="96"/>
        <w:jc w:val="both"/>
      </w:pPr>
      <w:r w:rsidRPr="00C954EE">
        <w:rPr>
          <w:rFonts w:ascii="Palatino Linotype" w:eastAsia="Palatino Linotype" w:hAnsi="Palatino Linotype" w:cs="Palatino Linotype"/>
          <w:sz w:val="22"/>
          <w:szCs w:val="22"/>
        </w:rPr>
        <w:t xml:space="preserve">Por lo anterior, </w:t>
      </w:r>
      <w:r w:rsidR="00ED1336" w:rsidRPr="00C954EE">
        <w:rPr>
          <w:rFonts w:ascii="Palatino Linotype" w:eastAsia="Palatino Linotype" w:hAnsi="Palatino Linotype" w:cs="Palatino Linotype"/>
          <w:sz w:val="22"/>
          <w:szCs w:val="22"/>
        </w:rPr>
        <w:t xml:space="preserve">el </w:t>
      </w:r>
      <w:r w:rsidR="00ED1336" w:rsidRPr="00C954EE">
        <w:rPr>
          <w:rFonts w:ascii="Palatino Linotype" w:hAnsi="Palatino Linotype"/>
          <w:sz w:val="22"/>
          <w:szCs w:val="22"/>
        </w:rPr>
        <w:t xml:space="preserve">acto impugnado es </w:t>
      </w:r>
      <w:r w:rsidR="00ED1336" w:rsidRPr="00C954EE">
        <w:rPr>
          <w:rFonts w:ascii="Palatino Linotype" w:hAnsi="Palatino Linotype"/>
          <w:b/>
          <w:bCs/>
          <w:sz w:val="22"/>
          <w:szCs w:val="22"/>
        </w:rPr>
        <w:t xml:space="preserve">improcedente en el sentido </w:t>
      </w:r>
      <w:r w:rsidR="00574A60" w:rsidRPr="00C954EE">
        <w:rPr>
          <w:rFonts w:ascii="Palatino Linotype" w:hAnsi="Palatino Linotype"/>
          <w:b/>
          <w:bCs/>
          <w:sz w:val="22"/>
          <w:szCs w:val="22"/>
        </w:rPr>
        <w:t xml:space="preserve">de </w:t>
      </w:r>
      <w:r w:rsidR="00ED1336" w:rsidRPr="00C954EE">
        <w:rPr>
          <w:rFonts w:ascii="Palatino Linotype" w:hAnsi="Palatino Linotype"/>
          <w:b/>
          <w:bCs/>
          <w:sz w:val="22"/>
          <w:szCs w:val="22"/>
          <w:u w:val="single"/>
        </w:rPr>
        <w:t>solicitar qu</w:t>
      </w:r>
      <w:r w:rsidR="00217320" w:rsidRPr="00C954EE">
        <w:rPr>
          <w:rFonts w:ascii="Palatino Linotype" w:hAnsi="Palatino Linotype"/>
          <w:b/>
          <w:bCs/>
          <w:sz w:val="22"/>
          <w:szCs w:val="22"/>
          <w:u w:val="single"/>
        </w:rPr>
        <w:t>e</w:t>
      </w:r>
      <w:r w:rsidR="00ED1336" w:rsidRPr="00C954EE">
        <w:rPr>
          <w:rFonts w:ascii="Palatino Linotype" w:hAnsi="Palatino Linotype"/>
          <w:b/>
          <w:bCs/>
          <w:sz w:val="22"/>
          <w:szCs w:val="22"/>
          <w:u w:val="single"/>
        </w:rPr>
        <w:t xml:space="preserve"> a través de este medio de impugnación se ordene</w:t>
      </w:r>
      <w:r w:rsidR="00574A60" w:rsidRPr="00C954EE">
        <w:rPr>
          <w:rFonts w:ascii="Palatino Linotype" w:hAnsi="Palatino Linotype"/>
          <w:b/>
          <w:bCs/>
          <w:sz w:val="22"/>
          <w:szCs w:val="22"/>
          <w:u w:val="single"/>
        </w:rPr>
        <w:t xml:space="preserve"> al sujeto obligado</w:t>
      </w:r>
      <w:r w:rsidR="00ED1336" w:rsidRPr="00C954EE">
        <w:rPr>
          <w:rFonts w:ascii="Palatino Linotype" w:hAnsi="Palatino Linotype"/>
          <w:b/>
          <w:bCs/>
          <w:sz w:val="22"/>
          <w:szCs w:val="22"/>
          <w:u w:val="single"/>
        </w:rPr>
        <w:t xml:space="preserve"> la carga de la información</w:t>
      </w:r>
      <w:r w:rsidR="00574A60" w:rsidRPr="00C954EE">
        <w:rPr>
          <w:rFonts w:ascii="Palatino Linotype" w:hAnsi="Palatino Linotype"/>
          <w:b/>
          <w:bCs/>
          <w:sz w:val="22"/>
          <w:szCs w:val="22"/>
          <w:u w:val="single"/>
        </w:rPr>
        <w:t xml:space="preserve"> faltante, en el IPOMEX</w:t>
      </w:r>
      <w:r w:rsidR="00ED1336" w:rsidRPr="00C954EE">
        <w:rPr>
          <w:rFonts w:ascii="Palatino Linotype" w:hAnsi="Palatino Linotype"/>
          <w:b/>
          <w:bCs/>
          <w:sz w:val="22"/>
          <w:szCs w:val="22"/>
        </w:rPr>
        <w:t xml:space="preserve">, situación que no se ajusta a ninguno </w:t>
      </w:r>
      <w:r w:rsidR="00ED1336" w:rsidRPr="00C954EE">
        <w:rPr>
          <w:rFonts w:ascii="Palatino Linotype" w:hAnsi="Palatino Linotype"/>
          <w:sz w:val="22"/>
          <w:szCs w:val="22"/>
        </w:rPr>
        <w:t>de los</w:t>
      </w:r>
      <w:r w:rsidR="00ED1336" w:rsidRPr="00C954EE">
        <w:rPr>
          <w:rFonts w:ascii="Palatino Linotype" w:hAnsi="Palatino Linotype"/>
          <w:b/>
          <w:bCs/>
          <w:sz w:val="22"/>
          <w:szCs w:val="22"/>
        </w:rPr>
        <w:t xml:space="preserve"> </w:t>
      </w:r>
      <w:r w:rsidR="00217320" w:rsidRPr="00C954EE">
        <w:rPr>
          <w:rFonts w:ascii="Palatino Linotype" w:hAnsi="Palatino Linotype"/>
          <w:sz w:val="22"/>
          <w:szCs w:val="22"/>
        </w:rPr>
        <w:t>supuestos</w:t>
      </w:r>
      <w:r w:rsidR="00ED1336" w:rsidRPr="00C954EE">
        <w:rPr>
          <w:rFonts w:ascii="Palatino Linotype" w:hAnsi="Palatino Linotype"/>
          <w:sz w:val="22"/>
          <w:szCs w:val="22"/>
        </w:rPr>
        <w:t xml:space="preserve"> establecid</w:t>
      </w:r>
      <w:r w:rsidR="00217320" w:rsidRPr="00C954EE">
        <w:rPr>
          <w:rFonts w:ascii="Palatino Linotype" w:hAnsi="Palatino Linotype"/>
          <w:sz w:val="22"/>
          <w:szCs w:val="22"/>
        </w:rPr>
        <w:t>o</w:t>
      </w:r>
      <w:r w:rsidR="00ED1336" w:rsidRPr="00C954EE">
        <w:rPr>
          <w:rFonts w:ascii="Palatino Linotype" w:hAnsi="Palatino Linotype"/>
          <w:sz w:val="22"/>
          <w:szCs w:val="22"/>
        </w:rPr>
        <w:t xml:space="preserve">s en el artículo 179 de la Ley de Transparencia y Acceso a la Información Pública del Estado de México y Municipios, </w:t>
      </w:r>
      <w:r w:rsidR="00217320" w:rsidRPr="00C954EE">
        <w:rPr>
          <w:rFonts w:ascii="Palatino Linotype" w:hAnsi="Palatino Linotype"/>
          <w:sz w:val="22"/>
          <w:szCs w:val="22"/>
        </w:rPr>
        <w:t xml:space="preserve">por lo que el Pleno de este </w:t>
      </w:r>
      <w:proofErr w:type="spellStart"/>
      <w:r w:rsidR="00217320" w:rsidRPr="00C954EE">
        <w:rPr>
          <w:rFonts w:ascii="Palatino Linotype" w:hAnsi="Palatino Linotype"/>
          <w:sz w:val="22"/>
          <w:szCs w:val="22"/>
        </w:rPr>
        <w:t>Intituto</w:t>
      </w:r>
      <w:proofErr w:type="spellEnd"/>
      <w:r w:rsidR="00217320" w:rsidRPr="00C954EE">
        <w:rPr>
          <w:rFonts w:ascii="Palatino Linotype" w:hAnsi="Palatino Linotype"/>
          <w:sz w:val="22"/>
          <w:szCs w:val="22"/>
        </w:rPr>
        <w:t xml:space="preserve">, </w:t>
      </w:r>
      <w:r w:rsidR="00ED1336" w:rsidRPr="00C954EE">
        <w:rPr>
          <w:rFonts w:ascii="Palatino Linotype" w:hAnsi="Palatino Linotype"/>
          <w:sz w:val="22"/>
          <w:szCs w:val="22"/>
        </w:rPr>
        <w:t xml:space="preserve">determina </w:t>
      </w:r>
      <w:r w:rsidR="00ED1336" w:rsidRPr="00C954EE">
        <w:rPr>
          <w:rFonts w:ascii="Palatino Linotype" w:hAnsi="Palatino Linotype"/>
          <w:b/>
          <w:bCs/>
          <w:sz w:val="22"/>
          <w:szCs w:val="22"/>
        </w:rPr>
        <w:t>SOBRESEER</w:t>
      </w:r>
      <w:r w:rsidR="00ED1336" w:rsidRPr="00C954EE">
        <w:rPr>
          <w:rFonts w:ascii="Palatino Linotype" w:hAnsi="Palatino Linotype"/>
          <w:sz w:val="22"/>
          <w:szCs w:val="22"/>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AC6FD86" w14:textId="11BCD1FD" w:rsidR="00ED1336" w:rsidRPr="00C954EE" w:rsidRDefault="00ED1336" w:rsidP="00ED1336">
      <w:pPr>
        <w:pStyle w:val="NormalWeb"/>
        <w:spacing w:before="0" w:beforeAutospacing="0" w:after="0" w:afterAutospacing="0" w:line="360" w:lineRule="auto"/>
        <w:ind w:right="96"/>
        <w:jc w:val="both"/>
      </w:pPr>
    </w:p>
    <w:p w14:paraId="09E0828D" w14:textId="77777777" w:rsidR="00ED1336" w:rsidRPr="00C954EE" w:rsidRDefault="00ED1336" w:rsidP="00ED1336">
      <w:pPr>
        <w:pStyle w:val="NormalWeb"/>
        <w:spacing w:before="0" w:beforeAutospacing="0" w:after="0" w:afterAutospacing="0"/>
        <w:ind w:left="720" w:right="902" w:hanging="153"/>
        <w:jc w:val="both"/>
      </w:pPr>
      <w:r w:rsidRPr="00C954EE">
        <w:rPr>
          <w:rFonts w:ascii="Palatino Linotype" w:hAnsi="Palatino Linotype"/>
          <w:i/>
          <w:iCs/>
          <w:sz w:val="22"/>
          <w:szCs w:val="22"/>
        </w:rPr>
        <w:t>“</w:t>
      </w:r>
      <w:r w:rsidRPr="00C954EE">
        <w:rPr>
          <w:rFonts w:ascii="Palatino Linotype" w:hAnsi="Palatino Linotype"/>
          <w:b/>
          <w:bCs/>
          <w:i/>
          <w:iCs/>
          <w:sz w:val="22"/>
          <w:szCs w:val="22"/>
        </w:rPr>
        <w:t>Artículo 191</w:t>
      </w:r>
      <w:r w:rsidRPr="00C954EE">
        <w:rPr>
          <w:rFonts w:ascii="Palatino Linotype" w:hAnsi="Palatino Linotype"/>
          <w:i/>
          <w:iCs/>
          <w:sz w:val="22"/>
          <w:szCs w:val="22"/>
        </w:rPr>
        <w:t xml:space="preserve">. </w:t>
      </w:r>
      <w:r w:rsidRPr="00C954EE">
        <w:rPr>
          <w:rFonts w:ascii="Palatino Linotype" w:hAnsi="Palatino Linotype"/>
          <w:b/>
          <w:bCs/>
          <w:i/>
          <w:iCs/>
          <w:sz w:val="22"/>
          <w:szCs w:val="22"/>
        </w:rPr>
        <w:t>El recurso</w:t>
      </w:r>
      <w:r w:rsidRPr="00C954EE">
        <w:rPr>
          <w:rFonts w:ascii="Palatino Linotype" w:hAnsi="Palatino Linotype"/>
          <w:i/>
          <w:iCs/>
          <w:sz w:val="22"/>
          <w:szCs w:val="22"/>
        </w:rPr>
        <w:t xml:space="preserve"> </w:t>
      </w:r>
      <w:r w:rsidRPr="00C954EE">
        <w:rPr>
          <w:rFonts w:ascii="Palatino Linotype" w:hAnsi="Palatino Linotype"/>
          <w:b/>
          <w:bCs/>
          <w:i/>
          <w:iCs/>
          <w:sz w:val="22"/>
          <w:szCs w:val="22"/>
        </w:rPr>
        <w:t xml:space="preserve">será </w:t>
      </w:r>
      <w:r w:rsidRPr="00C954EE">
        <w:rPr>
          <w:rFonts w:ascii="Palatino Linotype" w:hAnsi="Palatino Linotype"/>
          <w:i/>
          <w:iCs/>
          <w:sz w:val="22"/>
          <w:szCs w:val="22"/>
        </w:rPr>
        <w:t xml:space="preserve">desechado por </w:t>
      </w:r>
      <w:r w:rsidRPr="00C954EE">
        <w:rPr>
          <w:rFonts w:ascii="Palatino Linotype" w:hAnsi="Palatino Linotype"/>
          <w:b/>
          <w:bCs/>
          <w:i/>
          <w:iCs/>
          <w:sz w:val="22"/>
          <w:szCs w:val="22"/>
        </w:rPr>
        <w:t>improcedente cuando</w:t>
      </w:r>
      <w:r w:rsidRPr="00C954EE">
        <w:rPr>
          <w:rFonts w:ascii="Palatino Linotype" w:hAnsi="Palatino Linotype"/>
          <w:i/>
          <w:iCs/>
          <w:sz w:val="22"/>
          <w:szCs w:val="22"/>
        </w:rPr>
        <w:t>:</w:t>
      </w:r>
    </w:p>
    <w:p w14:paraId="04FD10CD" w14:textId="77777777" w:rsidR="00ED1336" w:rsidRPr="00C954EE" w:rsidRDefault="00ED1336" w:rsidP="00ED1336">
      <w:pPr>
        <w:pStyle w:val="NormalWeb"/>
        <w:spacing w:before="0" w:beforeAutospacing="0" w:after="0" w:afterAutospacing="0"/>
        <w:ind w:left="567" w:right="902"/>
        <w:jc w:val="both"/>
      </w:pPr>
      <w:r w:rsidRPr="00C954EE">
        <w:rPr>
          <w:rFonts w:ascii="Palatino Linotype" w:hAnsi="Palatino Linotype"/>
          <w:i/>
          <w:iCs/>
          <w:sz w:val="22"/>
          <w:szCs w:val="22"/>
        </w:rPr>
        <w:t>…</w:t>
      </w:r>
    </w:p>
    <w:p w14:paraId="7B7A3713" w14:textId="77777777" w:rsidR="00ED1336" w:rsidRPr="00C954EE" w:rsidRDefault="00ED1336" w:rsidP="00ED1336">
      <w:pPr>
        <w:pStyle w:val="NormalWeb"/>
        <w:spacing w:before="0" w:beforeAutospacing="0" w:after="0" w:afterAutospacing="0"/>
        <w:ind w:left="567" w:right="902"/>
        <w:jc w:val="both"/>
      </w:pPr>
      <w:r w:rsidRPr="00C954EE">
        <w:rPr>
          <w:rFonts w:ascii="Palatino Linotype" w:hAnsi="Palatino Linotype"/>
          <w:b/>
          <w:bCs/>
          <w:i/>
          <w:iCs/>
          <w:sz w:val="22"/>
          <w:szCs w:val="22"/>
        </w:rPr>
        <w:t>III. No actualice alguno de los supuestos previstos en la presente Ley;</w:t>
      </w:r>
      <w:r w:rsidRPr="00C954EE">
        <w:rPr>
          <w:rFonts w:ascii="Palatino Linotype" w:hAnsi="Palatino Linotype"/>
          <w:b/>
          <w:bCs/>
          <w:i/>
          <w:iCs/>
          <w:sz w:val="22"/>
          <w:szCs w:val="22"/>
        </w:rPr>
        <w:br/>
      </w:r>
      <w:r w:rsidRPr="00C954EE">
        <w:rPr>
          <w:rFonts w:ascii="Palatino Linotype" w:hAnsi="Palatino Linotype"/>
          <w:i/>
          <w:iCs/>
          <w:sz w:val="22"/>
          <w:szCs w:val="22"/>
        </w:rPr>
        <w:t>…</w:t>
      </w:r>
    </w:p>
    <w:p w14:paraId="1A9FD35C" w14:textId="77777777" w:rsidR="00ED1336" w:rsidRPr="00C954EE" w:rsidRDefault="00ED1336" w:rsidP="00ED1336">
      <w:pPr>
        <w:pStyle w:val="NormalWeb"/>
        <w:spacing w:before="0" w:beforeAutospacing="0" w:after="0" w:afterAutospacing="0"/>
        <w:ind w:left="567" w:right="902"/>
        <w:jc w:val="both"/>
      </w:pPr>
      <w:r w:rsidRPr="00C954EE">
        <w:rPr>
          <w:rFonts w:ascii="Palatino Linotype" w:hAnsi="Palatino Linotype"/>
          <w:b/>
          <w:bCs/>
          <w:i/>
          <w:iCs/>
          <w:sz w:val="22"/>
          <w:szCs w:val="22"/>
        </w:rPr>
        <w:t>Artículo 192.</w:t>
      </w:r>
      <w:r w:rsidRPr="00C954EE">
        <w:rPr>
          <w:rFonts w:ascii="Palatino Linotype" w:hAnsi="Palatino Linotype"/>
          <w:i/>
          <w:iCs/>
          <w:sz w:val="22"/>
          <w:szCs w:val="22"/>
        </w:rPr>
        <w:t xml:space="preserve"> El recurso será sobreseído, en todo o en parte, cuando una vez admitido, se actualicen alguno de los siguientes supuestos:</w:t>
      </w:r>
    </w:p>
    <w:p w14:paraId="007C22DA" w14:textId="77777777" w:rsidR="00ED1336" w:rsidRPr="00C954EE" w:rsidRDefault="00ED1336" w:rsidP="00ED1336">
      <w:pPr>
        <w:pStyle w:val="NormalWeb"/>
        <w:spacing w:before="0" w:beforeAutospacing="0" w:after="0" w:afterAutospacing="0"/>
        <w:ind w:left="567" w:right="902"/>
        <w:jc w:val="both"/>
      </w:pPr>
      <w:r w:rsidRPr="00C954EE">
        <w:rPr>
          <w:rFonts w:ascii="Palatino Linotype" w:hAnsi="Palatino Linotype"/>
          <w:i/>
          <w:iCs/>
          <w:sz w:val="22"/>
          <w:szCs w:val="22"/>
        </w:rPr>
        <w:t>…</w:t>
      </w:r>
    </w:p>
    <w:p w14:paraId="13D08A64" w14:textId="3551C20A" w:rsidR="00ED1336" w:rsidRPr="00C954EE" w:rsidRDefault="00ED1336" w:rsidP="00ED1336">
      <w:pPr>
        <w:pStyle w:val="NormalWeb"/>
        <w:spacing w:before="0" w:beforeAutospacing="0" w:after="0" w:afterAutospacing="0" w:line="360" w:lineRule="auto"/>
        <w:ind w:right="96"/>
        <w:jc w:val="both"/>
      </w:pPr>
      <w:r w:rsidRPr="00C954EE">
        <w:rPr>
          <w:rFonts w:ascii="Palatino Linotype" w:hAnsi="Palatino Linotype"/>
          <w:b/>
          <w:bCs/>
          <w:i/>
          <w:iCs/>
          <w:sz w:val="22"/>
          <w:szCs w:val="22"/>
        </w:rPr>
        <w:t>IV</w:t>
      </w:r>
      <w:r w:rsidRPr="00C954EE">
        <w:rPr>
          <w:rFonts w:ascii="Palatino Linotype" w:hAnsi="Palatino Linotype"/>
          <w:i/>
          <w:iCs/>
          <w:sz w:val="22"/>
          <w:szCs w:val="22"/>
        </w:rPr>
        <w:t xml:space="preserve">. Admitido el recurso de revisión, </w:t>
      </w:r>
      <w:r w:rsidRPr="00C954EE">
        <w:rPr>
          <w:rFonts w:ascii="Palatino Linotype" w:hAnsi="Palatino Linotype"/>
          <w:b/>
          <w:bCs/>
          <w:i/>
          <w:iCs/>
          <w:sz w:val="22"/>
          <w:szCs w:val="22"/>
        </w:rPr>
        <w:t>aparezca alguna causal de improcedencia</w:t>
      </w:r>
      <w:r w:rsidRPr="00C954EE">
        <w:rPr>
          <w:rFonts w:ascii="Palatino Linotype" w:hAnsi="Palatino Linotype"/>
          <w:i/>
          <w:iCs/>
          <w:sz w:val="22"/>
          <w:szCs w:val="22"/>
        </w:rPr>
        <w:t xml:space="preserve"> en los términos de la presente Ley.</w:t>
      </w:r>
    </w:p>
    <w:p w14:paraId="2C20BF40" w14:textId="77BD6247" w:rsidR="005576BB" w:rsidRPr="00C954EE" w:rsidRDefault="00302DF8">
      <w:pPr>
        <w:spacing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lastRenderedPageBreak/>
        <w:t xml:space="preserve">Ello es así, debido a que los motivos de inconformidad relacionados con ordenar que se realice el llenado de la plataforma de </w:t>
      </w:r>
      <w:proofErr w:type="spellStart"/>
      <w:r w:rsidRPr="00C954EE">
        <w:rPr>
          <w:rFonts w:ascii="Palatino Linotype" w:eastAsia="Palatino Linotype" w:hAnsi="Palatino Linotype" w:cs="Palatino Linotype"/>
          <w:sz w:val="22"/>
          <w:szCs w:val="22"/>
        </w:rPr>
        <w:t>Ipomex</w:t>
      </w:r>
      <w:proofErr w:type="spellEnd"/>
      <w:r w:rsidRPr="00C954EE">
        <w:rPr>
          <w:rFonts w:ascii="Palatino Linotype" w:eastAsia="Palatino Linotype" w:hAnsi="Palatino Linotype" w:cs="Palatino Linotype"/>
          <w:sz w:val="22"/>
          <w:szCs w:val="22"/>
        </w:rPr>
        <w:t>, no pueden ser atendidos en razón de que, el medio de impugnación no es la vía para tales efectos, ya que, existen procedimientos e instancias encargadas de llevar a cabo la verificación de las obligaciones de transparencia.</w:t>
      </w:r>
    </w:p>
    <w:p w14:paraId="37704856" w14:textId="77777777" w:rsidR="00574A60" w:rsidRPr="00C954EE" w:rsidRDefault="00574A60">
      <w:pPr>
        <w:spacing w:line="360" w:lineRule="auto"/>
        <w:jc w:val="both"/>
        <w:rPr>
          <w:rFonts w:ascii="Palatino Linotype" w:eastAsia="Palatino Linotype" w:hAnsi="Palatino Linotype" w:cs="Palatino Linotype"/>
          <w:sz w:val="22"/>
          <w:szCs w:val="22"/>
        </w:rPr>
      </w:pPr>
    </w:p>
    <w:p w14:paraId="21852EF0" w14:textId="77777777" w:rsidR="00ED1336" w:rsidRPr="00C954EE" w:rsidRDefault="00ED1336" w:rsidP="00ED1336">
      <w:pPr>
        <w:pStyle w:val="NormalWeb"/>
        <w:spacing w:before="0" w:beforeAutospacing="0" w:after="0" w:afterAutospacing="0" w:line="360" w:lineRule="auto"/>
        <w:jc w:val="both"/>
      </w:pPr>
      <w:r w:rsidRPr="00C954EE">
        <w:rPr>
          <w:rFonts w:ascii="Palatino Linotype" w:hAnsi="Palatino Linotype"/>
          <w:sz w:val="22"/>
          <w:szCs w:val="22"/>
        </w:rPr>
        <w:t xml:space="preserve">Siendo el </w:t>
      </w:r>
      <w:r w:rsidRPr="00C954EE">
        <w:rPr>
          <w:rFonts w:ascii="Palatino Linotype" w:hAnsi="Palatino Linotype"/>
          <w:b/>
          <w:bCs/>
          <w:i/>
          <w:iCs/>
          <w:sz w:val="22"/>
          <w:szCs w:val="22"/>
        </w:rPr>
        <w:t>sobreseimiento</w:t>
      </w:r>
      <w:r w:rsidRPr="00C954EE">
        <w:rPr>
          <w:rFonts w:ascii="Palatino Linotype" w:hAnsi="Palatino Linotype"/>
          <w:b/>
          <w:bCs/>
          <w:sz w:val="22"/>
          <w:szCs w:val="22"/>
        </w:rPr>
        <w:t xml:space="preserve"> </w:t>
      </w:r>
      <w:r w:rsidRPr="00C954EE">
        <w:rPr>
          <w:rFonts w:ascii="Palatino Linotype" w:hAnsi="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D666D08" w14:textId="77777777" w:rsidR="00ED1336" w:rsidRPr="00C954EE" w:rsidRDefault="00ED1336" w:rsidP="00ED1336"/>
    <w:p w14:paraId="2D717618" w14:textId="77777777" w:rsidR="00ED1336" w:rsidRPr="00C954EE" w:rsidRDefault="00ED1336" w:rsidP="00ED1336">
      <w:pPr>
        <w:pStyle w:val="NormalWeb"/>
        <w:spacing w:before="0" w:beforeAutospacing="0" w:after="0" w:afterAutospacing="0"/>
        <w:ind w:left="567" w:right="902"/>
        <w:jc w:val="both"/>
      </w:pPr>
      <w:r w:rsidRPr="00C954EE">
        <w:rPr>
          <w:rFonts w:ascii="Palatino Linotype" w:hAnsi="Palatino Linotype"/>
          <w:i/>
          <w:iCs/>
          <w:sz w:val="22"/>
          <w:szCs w:val="22"/>
        </w:rPr>
        <w:t>“</w:t>
      </w:r>
      <w:r w:rsidRPr="00C954EE">
        <w:rPr>
          <w:rFonts w:ascii="Palatino Linotype" w:hAnsi="Palatino Linotype"/>
          <w:b/>
          <w:bCs/>
          <w:i/>
          <w:iCs/>
          <w:sz w:val="22"/>
          <w:szCs w:val="22"/>
        </w:rPr>
        <w:t xml:space="preserve">SOBRESEIMIENTO, NO PERMITE ENTRAR AL ESTUDIO DE LAS CUESTIONES DE FONDO. </w:t>
      </w:r>
      <w:r w:rsidRPr="00C954EE">
        <w:rPr>
          <w:rFonts w:ascii="Palatino Linotype" w:hAnsi="Palatino Linotype"/>
          <w:i/>
          <w:iCs/>
          <w:sz w:val="22"/>
          <w:szCs w:val="22"/>
        </w:rPr>
        <w:t>No causa agravio la sentencia que no se ocupa de los razonamientos tendientes a demostrar la inconstitucionalidad de los actos reclamados de las autoridades responsables, que constituyen el problema de fondo, si se decreta el sobreseimiento del juicio.” </w:t>
      </w:r>
    </w:p>
    <w:p w14:paraId="74CC344F" w14:textId="77777777" w:rsidR="00ED1336" w:rsidRPr="00C954EE" w:rsidRDefault="00ED1336" w:rsidP="00ED1336"/>
    <w:p w14:paraId="58FFA060" w14:textId="77777777" w:rsidR="00ED1336" w:rsidRPr="00C954EE" w:rsidRDefault="00ED1336" w:rsidP="00ED1336">
      <w:pPr>
        <w:pStyle w:val="NormalWeb"/>
        <w:spacing w:before="0" w:beforeAutospacing="0" w:after="0" w:afterAutospacing="0" w:line="360" w:lineRule="auto"/>
        <w:jc w:val="both"/>
      </w:pPr>
      <w:r w:rsidRPr="00C954EE">
        <w:rPr>
          <w:rFonts w:ascii="Palatino Linotype" w:hAnsi="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1B86F72" w14:textId="77777777" w:rsidR="00ED1336" w:rsidRPr="00C954EE" w:rsidRDefault="00ED1336" w:rsidP="00ED1336"/>
    <w:p w14:paraId="7B9849D1" w14:textId="77777777" w:rsidR="00ED1336" w:rsidRPr="00C954EE" w:rsidRDefault="00ED1336" w:rsidP="00ED1336">
      <w:pPr>
        <w:pStyle w:val="NormalWeb"/>
        <w:spacing w:before="0" w:beforeAutospacing="0" w:after="0" w:afterAutospacing="0"/>
        <w:ind w:left="567" w:right="567"/>
        <w:jc w:val="both"/>
      </w:pPr>
      <w:r w:rsidRPr="00C954EE">
        <w:rPr>
          <w:rFonts w:ascii="Palatino Linotype" w:hAnsi="Palatino Linotype"/>
          <w:b/>
          <w:bCs/>
          <w:i/>
          <w:iCs/>
          <w:sz w:val="22"/>
          <w:szCs w:val="22"/>
        </w:rPr>
        <w:t xml:space="preserve">“DESECHAMIENTO O SOBRESEIMIENTO EN EL JUICIO DE AMPARO. NO IMPLICA DENEGACIÓN DE JUSTICIA NI GENERA INSEGURIDAD JURÍDICA” </w:t>
      </w:r>
      <w:r w:rsidRPr="00C954EE">
        <w:rPr>
          <w:rFonts w:ascii="Palatino Linotype" w:hAnsi="Palatino Linotype"/>
          <w:i/>
          <w:iCs/>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w:t>
      </w:r>
      <w:r w:rsidRPr="00C954EE">
        <w:rPr>
          <w:rFonts w:ascii="Palatino Linotype" w:hAnsi="Palatino Linotype"/>
          <w:i/>
          <w:iCs/>
          <w:sz w:val="22"/>
          <w:szCs w:val="22"/>
        </w:rPr>
        <w:lastRenderedPageBreak/>
        <w:t>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63A5D8B9" w14:textId="77777777" w:rsidR="00ED1336" w:rsidRPr="00C954EE" w:rsidRDefault="00ED1336">
      <w:pPr>
        <w:spacing w:line="360" w:lineRule="auto"/>
        <w:jc w:val="both"/>
        <w:rPr>
          <w:rFonts w:ascii="Palatino Linotype" w:eastAsia="Palatino Linotype" w:hAnsi="Palatino Linotype" w:cs="Palatino Linotype"/>
          <w:sz w:val="22"/>
          <w:szCs w:val="22"/>
        </w:rPr>
      </w:pPr>
    </w:p>
    <w:p w14:paraId="1937F93B" w14:textId="50DDA073" w:rsidR="005576BB" w:rsidRPr="00C954EE" w:rsidRDefault="00302DF8">
      <w:pPr>
        <w:spacing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Por lo que, con fundamento en la fracción I del artículo 186,</w:t>
      </w:r>
      <w:r w:rsidRPr="00C954EE">
        <w:rPr>
          <w:rFonts w:ascii="Palatino Linotype" w:eastAsia="Palatino Linotype" w:hAnsi="Palatino Linotype" w:cs="Palatino Linotype"/>
          <w:b/>
          <w:sz w:val="22"/>
          <w:szCs w:val="22"/>
        </w:rPr>
        <w:t xml:space="preserve"> </w:t>
      </w:r>
      <w:r w:rsidRPr="00C954EE">
        <w:rPr>
          <w:rFonts w:ascii="Palatino Linotype" w:eastAsia="Palatino Linotype" w:hAnsi="Palatino Linotype" w:cs="Palatino Linotype"/>
          <w:sz w:val="22"/>
          <w:szCs w:val="22"/>
        </w:rPr>
        <w:t xml:space="preserve">de la Ley de Transparencia y Acceso a la Información Pública del Estado de México y Municipios, se </w:t>
      </w:r>
      <w:r w:rsidRPr="00C954EE">
        <w:rPr>
          <w:rFonts w:ascii="Palatino Linotype" w:eastAsia="Palatino Linotype" w:hAnsi="Palatino Linotype" w:cs="Palatino Linotype"/>
          <w:b/>
          <w:sz w:val="22"/>
          <w:szCs w:val="22"/>
        </w:rPr>
        <w:t xml:space="preserve">SOBRESEE </w:t>
      </w:r>
      <w:r w:rsidRPr="00C954EE">
        <w:rPr>
          <w:rFonts w:ascii="Palatino Linotype" w:eastAsia="Palatino Linotype" w:hAnsi="Palatino Linotype" w:cs="Palatino Linotype"/>
          <w:sz w:val="22"/>
          <w:szCs w:val="22"/>
        </w:rPr>
        <w:t xml:space="preserve">el recurso de revisión </w:t>
      </w:r>
      <w:r w:rsidRPr="00C954EE">
        <w:rPr>
          <w:rFonts w:ascii="Palatino Linotype" w:eastAsia="Palatino Linotype" w:hAnsi="Palatino Linotype" w:cs="Palatino Linotype"/>
          <w:b/>
          <w:sz w:val="22"/>
          <w:szCs w:val="22"/>
        </w:rPr>
        <w:t>05234/INFOEM/IP/RR/2025</w:t>
      </w:r>
      <w:r w:rsidRPr="00C954EE">
        <w:rPr>
          <w:rFonts w:ascii="Palatino Linotype" w:eastAsia="Palatino Linotype" w:hAnsi="Palatino Linotype" w:cs="Palatino Linotype"/>
          <w:sz w:val="22"/>
          <w:szCs w:val="22"/>
        </w:rPr>
        <w:t xml:space="preserve">, que ha sido materia del presente fallo dejándose a salvo sus derechos para presentar nuevamente su solicitud de Acceso a la Información Pública. </w:t>
      </w:r>
    </w:p>
    <w:p w14:paraId="61613670" w14:textId="77777777" w:rsidR="00ED1336" w:rsidRPr="00C954EE" w:rsidRDefault="00ED1336">
      <w:pPr>
        <w:spacing w:line="360" w:lineRule="auto"/>
        <w:jc w:val="both"/>
        <w:rPr>
          <w:rFonts w:ascii="Palatino Linotype" w:eastAsia="Palatino Linotype" w:hAnsi="Palatino Linotype" w:cs="Palatino Linotype"/>
          <w:sz w:val="22"/>
          <w:szCs w:val="22"/>
        </w:rPr>
      </w:pPr>
    </w:p>
    <w:p w14:paraId="0CDE8CF5" w14:textId="77777777" w:rsidR="005576BB" w:rsidRPr="00C954EE" w:rsidRDefault="00302DF8">
      <w:pPr>
        <w:spacing w:line="360" w:lineRule="auto"/>
        <w:ind w:right="49"/>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0D23C4A" w14:textId="77777777" w:rsidR="005576BB" w:rsidRPr="00C954EE" w:rsidRDefault="005576BB">
      <w:pPr>
        <w:spacing w:line="360" w:lineRule="auto"/>
        <w:ind w:right="49"/>
        <w:jc w:val="both"/>
        <w:rPr>
          <w:rFonts w:ascii="Palatino Linotype" w:eastAsia="Palatino Linotype" w:hAnsi="Palatino Linotype" w:cs="Palatino Linotype"/>
          <w:sz w:val="22"/>
          <w:szCs w:val="22"/>
        </w:rPr>
      </w:pPr>
    </w:p>
    <w:p w14:paraId="2C5FBFF2" w14:textId="77777777" w:rsidR="005576BB" w:rsidRPr="00C954EE" w:rsidRDefault="00302DF8">
      <w:pPr>
        <w:spacing w:line="360" w:lineRule="auto"/>
        <w:jc w:val="center"/>
        <w:rPr>
          <w:rFonts w:ascii="Palatino Linotype" w:eastAsia="Palatino Linotype" w:hAnsi="Palatino Linotype" w:cs="Palatino Linotype"/>
          <w:b/>
          <w:sz w:val="22"/>
          <w:szCs w:val="22"/>
        </w:rPr>
      </w:pPr>
      <w:r w:rsidRPr="00C954EE">
        <w:rPr>
          <w:rFonts w:ascii="Palatino Linotype" w:eastAsia="Palatino Linotype" w:hAnsi="Palatino Linotype" w:cs="Palatino Linotype"/>
          <w:b/>
          <w:sz w:val="22"/>
          <w:szCs w:val="22"/>
        </w:rPr>
        <w:t>R E S U E L V E:</w:t>
      </w:r>
    </w:p>
    <w:p w14:paraId="70537151" w14:textId="77777777" w:rsidR="005576BB" w:rsidRPr="00C954EE" w:rsidRDefault="005576BB">
      <w:pPr>
        <w:spacing w:line="360" w:lineRule="auto"/>
        <w:rPr>
          <w:rFonts w:ascii="Palatino Linotype" w:eastAsia="Palatino Linotype" w:hAnsi="Palatino Linotype" w:cs="Palatino Linotype"/>
          <w:b/>
          <w:sz w:val="22"/>
          <w:szCs w:val="22"/>
        </w:rPr>
      </w:pPr>
    </w:p>
    <w:p w14:paraId="4C2F186D" w14:textId="2B273F1D" w:rsidR="005576BB" w:rsidRPr="00C954EE" w:rsidRDefault="00302DF8">
      <w:pPr>
        <w:spacing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b/>
          <w:sz w:val="22"/>
          <w:szCs w:val="22"/>
        </w:rPr>
        <w:t xml:space="preserve">PRIMERO. </w:t>
      </w:r>
      <w:r w:rsidRPr="00C954EE">
        <w:rPr>
          <w:rFonts w:ascii="Palatino Linotype" w:eastAsia="Palatino Linotype" w:hAnsi="Palatino Linotype" w:cs="Palatino Linotype"/>
          <w:sz w:val="22"/>
          <w:szCs w:val="22"/>
        </w:rPr>
        <w:t xml:space="preserve">Se </w:t>
      </w:r>
      <w:r w:rsidRPr="00C954EE">
        <w:rPr>
          <w:rFonts w:ascii="Palatino Linotype" w:eastAsia="Palatino Linotype" w:hAnsi="Palatino Linotype" w:cs="Palatino Linotype"/>
          <w:b/>
          <w:sz w:val="22"/>
          <w:szCs w:val="22"/>
        </w:rPr>
        <w:t xml:space="preserve">SOBRESEE </w:t>
      </w:r>
      <w:r w:rsidRPr="00C954EE">
        <w:rPr>
          <w:rFonts w:ascii="Palatino Linotype" w:eastAsia="Palatino Linotype" w:hAnsi="Palatino Linotype" w:cs="Palatino Linotype"/>
          <w:sz w:val="22"/>
          <w:szCs w:val="22"/>
        </w:rPr>
        <w:t>el recurso de revisión número</w:t>
      </w:r>
      <w:r w:rsidRPr="00C954EE">
        <w:rPr>
          <w:rFonts w:ascii="Palatino Linotype" w:eastAsia="Palatino Linotype" w:hAnsi="Palatino Linotype" w:cs="Palatino Linotype"/>
          <w:b/>
          <w:sz w:val="22"/>
          <w:szCs w:val="22"/>
        </w:rPr>
        <w:t xml:space="preserve"> 05234/INFOEM/IP/RR/2025</w:t>
      </w:r>
      <w:r w:rsidRPr="00C954EE">
        <w:rPr>
          <w:rFonts w:ascii="Palatino Linotype" w:eastAsia="Palatino Linotype" w:hAnsi="Palatino Linotype" w:cs="Palatino Linotype"/>
          <w:sz w:val="22"/>
          <w:szCs w:val="22"/>
        </w:rPr>
        <w:t xml:space="preserve">, por quedarse sin materia, de conformidad con la fracción </w:t>
      </w:r>
      <w:r w:rsidR="00ED1336" w:rsidRPr="00C954EE">
        <w:rPr>
          <w:rFonts w:ascii="Palatino Linotype" w:eastAsia="Palatino Linotype" w:hAnsi="Palatino Linotype" w:cs="Palatino Linotype"/>
          <w:sz w:val="22"/>
          <w:szCs w:val="22"/>
        </w:rPr>
        <w:t>I</w:t>
      </w:r>
      <w:r w:rsidRPr="00C954EE">
        <w:rPr>
          <w:rFonts w:ascii="Palatino Linotype" w:eastAsia="Palatino Linotype" w:hAnsi="Palatino Linotype" w:cs="Palatino Linotype"/>
          <w:sz w:val="22"/>
          <w:szCs w:val="22"/>
        </w:rPr>
        <w:t>V del artículo 192</w:t>
      </w:r>
      <w:r w:rsidR="00ED1336" w:rsidRPr="00C954EE">
        <w:rPr>
          <w:rFonts w:ascii="Palatino Linotype" w:eastAsia="Palatino Linotype" w:hAnsi="Palatino Linotype" w:cs="Palatino Linotype"/>
          <w:sz w:val="22"/>
          <w:szCs w:val="22"/>
        </w:rPr>
        <w:t xml:space="preserve">, </w:t>
      </w:r>
      <w:r w:rsidR="00ED1336" w:rsidRPr="00C954EE">
        <w:rPr>
          <w:rFonts w:ascii="Palatino Linotype" w:hAnsi="Palatino Linotype"/>
          <w:sz w:val="22"/>
          <w:szCs w:val="22"/>
        </w:rPr>
        <w:t>en relación con la fracción III del artículo 191, ambos</w:t>
      </w:r>
      <w:r w:rsidRPr="00C954EE">
        <w:rPr>
          <w:rFonts w:ascii="Palatino Linotype" w:eastAsia="Palatino Linotype" w:hAnsi="Palatino Linotype" w:cs="Palatino Linotype"/>
          <w:sz w:val="22"/>
          <w:szCs w:val="22"/>
        </w:rPr>
        <w:t xml:space="preserve"> de la Ley de Transparencia y Acceso a la Información Pública del Estado de México y Municipios, en términos del Considerando Tercero de la presente resolución.  </w:t>
      </w:r>
    </w:p>
    <w:p w14:paraId="45C8EBEF" w14:textId="77777777" w:rsidR="005576BB" w:rsidRPr="00C954EE" w:rsidRDefault="005576BB">
      <w:pPr>
        <w:spacing w:line="360" w:lineRule="auto"/>
        <w:jc w:val="both"/>
        <w:rPr>
          <w:rFonts w:ascii="Palatino Linotype" w:eastAsia="Palatino Linotype" w:hAnsi="Palatino Linotype" w:cs="Palatino Linotype"/>
          <w:sz w:val="22"/>
          <w:szCs w:val="22"/>
        </w:rPr>
      </w:pPr>
    </w:p>
    <w:p w14:paraId="480FFD9A" w14:textId="77777777" w:rsidR="005576BB" w:rsidRPr="00C954EE" w:rsidRDefault="00302DF8">
      <w:pPr>
        <w:spacing w:line="360" w:lineRule="auto"/>
        <w:jc w:val="both"/>
        <w:rPr>
          <w:rFonts w:ascii="Palatino Linotype" w:eastAsia="Palatino Linotype" w:hAnsi="Palatino Linotype" w:cs="Palatino Linotype"/>
          <w:b/>
          <w:sz w:val="22"/>
          <w:szCs w:val="22"/>
        </w:rPr>
      </w:pPr>
      <w:r w:rsidRPr="00C954EE">
        <w:rPr>
          <w:rFonts w:ascii="Palatino Linotype" w:eastAsia="Palatino Linotype" w:hAnsi="Palatino Linotype" w:cs="Palatino Linotype"/>
          <w:b/>
          <w:sz w:val="22"/>
          <w:szCs w:val="22"/>
        </w:rPr>
        <w:lastRenderedPageBreak/>
        <w:t xml:space="preserve">SEGUNDO. Notifíquese </w:t>
      </w:r>
      <w:r w:rsidRPr="00C954EE">
        <w:rPr>
          <w:rFonts w:ascii="Palatino Linotype" w:eastAsia="Palatino Linotype" w:hAnsi="Palatino Linotype" w:cs="Palatino Linotype"/>
          <w:sz w:val="22"/>
          <w:szCs w:val="22"/>
        </w:rPr>
        <w:t xml:space="preserve">a través del Sistema de Acceso a la Información Mexiquense </w:t>
      </w:r>
      <w:r w:rsidRPr="00C954EE">
        <w:rPr>
          <w:rFonts w:ascii="Palatino Linotype" w:eastAsia="Palatino Linotype" w:hAnsi="Palatino Linotype" w:cs="Palatino Linotype"/>
          <w:b/>
          <w:sz w:val="22"/>
          <w:szCs w:val="22"/>
        </w:rPr>
        <w:t xml:space="preserve">(SAIMEX) </w:t>
      </w:r>
      <w:r w:rsidRPr="00C954EE">
        <w:rPr>
          <w:rFonts w:ascii="Palatino Linotype" w:eastAsia="Palatino Linotype" w:hAnsi="Palatino Linotype" w:cs="Palatino Linotype"/>
          <w:sz w:val="22"/>
          <w:szCs w:val="22"/>
        </w:rPr>
        <w:t>la presente resolución a la Titular de la Unidad de Transparencia del</w:t>
      </w:r>
      <w:r w:rsidRPr="00C954EE">
        <w:rPr>
          <w:rFonts w:ascii="Palatino Linotype" w:eastAsia="Palatino Linotype" w:hAnsi="Palatino Linotype" w:cs="Palatino Linotype"/>
          <w:b/>
          <w:sz w:val="22"/>
          <w:szCs w:val="22"/>
        </w:rPr>
        <w:t xml:space="preserve"> SUJETO OBLIGADO. </w:t>
      </w:r>
    </w:p>
    <w:p w14:paraId="2880C541" w14:textId="77777777" w:rsidR="005576BB" w:rsidRPr="00C954EE" w:rsidRDefault="005576BB">
      <w:pPr>
        <w:spacing w:line="360" w:lineRule="auto"/>
        <w:jc w:val="both"/>
        <w:rPr>
          <w:rFonts w:ascii="Palatino Linotype" w:eastAsia="Palatino Linotype" w:hAnsi="Palatino Linotype" w:cs="Palatino Linotype"/>
          <w:b/>
          <w:sz w:val="22"/>
          <w:szCs w:val="22"/>
        </w:rPr>
      </w:pPr>
    </w:p>
    <w:p w14:paraId="6F1C0CF3" w14:textId="77777777" w:rsidR="005576BB" w:rsidRPr="00C954EE" w:rsidRDefault="00302DF8">
      <w:pPr>
        <w:spacing w:line="360" w:lineRule="auto"/>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b/>
          <w:sz w:val="22"/>
          <w:szCs w:val="22"/>
        </w:rPr>
        <w:t xml:space="preserve">TERCERO. Notifíquese </w:t>
      </w:r>
      <w:r w:rsidRPr="00C954EE">
        <w:rPr>
          <w:rFonts w:ascii="Palatino Linotype" w:eastAsia="Palatino Linotype" w:hAnsi="Palatino Linotype" w:cs="Palatino Linotype"/>
          <w:sz w:val="22"/>
          <w:szCs w:val="22"/>
        </w:rPr>
        <w:t xml:space="preserve">a través del Sistema de Acceso a la Información Mexiquense a la parte </w:t>
      </w:r>
      <w:r w:rsidRPr="00C954EE">
        <w:rPr>
          <w:rFonts w:ascii="Palatino Linotype" w:eastAsia="Palatino Linotype" w:hAnsi="Palatino Linotype" w:cs="Palatino Linotype"/>
          <w:b/>
          <w:sz w:val="22"/>
          <w:szCs w:val="22"/>
        </w:rPr>
        <w:t>RECURRENTE</w:t>
      </w:r>
      <w:r w:rsidRPr="00C954EE">
        <w:rPr>
          <w:rFonts w:ascii="Palatino Linotype" w:eastAsia="Palatino Linotype" w:hAnsi="Palatino Linotype" w:cs="Palatino Linotype"/>
          <w:sz w:val="22"/>
          <w:szCs w:val="22"/>
        </w:rPr>
        <w:t>,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2229CB47" w14:textId="77777777" w:rsidR="005576BB" w:rsidRPr="00C954EE" w:rsidRDefault="005576BB">
      <w:pPr>
        <w:spacing w:line="360" w:lineRule="auto"/>
        <w:jc w:val="both"/>
        <w:rPr>
          <w:rFonts w:ascii="Palatino Linotype" w:eastAsia="Palatino Linotype" w:hAnsi="Palatino Linotype" w:cs="Palatino Linotype"/>
          <w:sz w:val="22"/>
          <w:szCs w:val="22"/>
        </w:rPr>
      </w:pPr>
    </w:p>
    <w:p w14:paraId="38682627" w14:textId="571BA276" w:rsidR="005576BB" w:rsidRPr="00F2779D" w:rsidRDefault="00302DF8">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C954E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C954EE" w:rsidRPr="00C954EE">
        <w:rPr>
          <w:rFonts w:ascii="Palatino Linotype" w:eastAsia="Palatino Linotype" w:hAnsi="Palatino Linotype" w:cs="Palatino Linotype"/>
          <w:sz w:val="22"/>
          <w:szCs w:val="22"/>
        </w:rPr>
        <w:t xml:space="preserve"> </w:t>
      </w:r>
      <w:r w:rsidR="00C954EE" w:rsidRPr="00C954EE">
        <w:rPr>
          <w:rFonts w:ascii="Palatino Linotype" w:hAnsi="Palatino Linotype"/>
          <w:sz w:val="22"/>
          <w:szCs w:val="22"/>
        </w:rPr>
        <w:t>(AUSENCIA JUSTIFICADA)</w:t>
      </w:r>
      <w:r w:rsidRPr="00C954EE">
        <w:rPr>
          <w:rFonts w:ascii="Palatino Linotype" w:eastAsia="Palatino Linotype" w:hAnsi="Palatino Linotype" w:cs="Palatino Linotype"/>
          <w:sz w:val="22"/>
          <w:szCs w:val="22"/>
        </w:rP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p>
    <w:p w14:paraId="0E8C8B53" w14:textId="77777777" w:rsidR="005576BB" w:rsidRPr="00F2779D" w:rsidRDefault="005576BB">
      <w:pPr>
        <w:spacing w:before="240" w:after="240" w:line="360" w:lineRule="auto"/>
        <w:jc w:val="center"/>
        <w:rPr>
          <w:rFonts w:ascii="Palatino Linotype" w:eastAsia="Palatino Linotype" w:hAnsi="Palatino Linotype" w:cs="Palatino Linotype"/>
          <w:sz w:val="22"/>
          <w:szCs w:val="22"/>
        </w:rPr>
      </w:pPr>
    </w:p>
    <w:p w14:paraId="40C9AADF"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13ACFDF0"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6E969A41"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22A8A70D"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3B1D65E1"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71DA3F81"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5CC31EBD"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615EBA15"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0A15B536"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7DD59C93"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06E4A9F1"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0D5843D1"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0E2E646C"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24CF3F41"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3DBA670C"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3310074F"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08F53446"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41E31B59"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p w14:paraId="409D0ED5" w14:textId="77777777" w:rsidR="005576BB" w:rsidRPr="00F2779D" w:rsidRDefault="005576BB">
      <w:pPr>
        <w:spacing w:before="240" w:after="240" w:line="360" w:lineRule="auto"/>
        <w:jc w:val="both"/>
        <w:rPr>
          <w:rFonts w:ascii="Palatino Linotype" w:eastAsia="Palatino Linotype" w:hAnsi="Palatino Linotype" w:cs="Palatino Linotype"/>
          <w:sz w:val="22"/>
          <w:szCs w:val="22"/>
        </w:rPr>
      </w:pPr>
    </w:p>
    <w:sectPr w:rsidR="005576BB" w:rsidRPr="00F2779D">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B8CC" w14:textId="77777777" w:rsidR="00770117" w:rsidRDefault="00770117">
      <w:r>
        <w:separator/>
      </w:r>
    </w:p>
  </w:endnote>
  <w:endnote w:type="continuationSeparator" w:id="0">
    <w:p w14:paraId="3E1CA796" w14:textId="77777777" w:rsidR="00770117" w:rsidRDefault="0077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2CD9" w14:textId="77777777" w:rsidR="005576BB" w:rsidRDefault="00302DF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160DC">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160DC">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626581DB" w14:textId="77777777" w:rsidR="005576BB" w:rsidRDefault="005576B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D908" w14:textId="77777777" w:rsidR="005576BB" w:rsidRDefault="00302DF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160D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160DC">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0594C7F9" w14:textId="77777777" w:rsidR="005576BB" w:rsidRDefault="005576B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E6E2" w14:textId="77777777" w:rsidR="00770117" w:rsidRDefault="00770117">
      <w:r>
        <w:separator/>
      </w:r>
    </w:p>
  </w:footnote>
  <w:footnote w:type="continuationSeparator" w:id="0">
    <w:p w14:paraId="47341228" w14:textId="77777777" w:rsidR="00770117" w:rsidRDefault="0077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FC85" w14:textId="77777777" w:rsidR="005576BB" w:rsidRDefault="00302DF8">
    <w:pPr>
      <w:rPr>
        <w:rFonts w:ascii="Cambria" w:eastAsia="Cambria" w:hAnsi="Cambria" w:cs="Cambria"/>
        <w:color w:val="000000"/>
      </w:rPr>
    </w:pPr>
    <w:r>
      <w:rPr>
        <w:noProof/>
      </w:rPr>
      <w:drawing>
        <wp:anchor distT="0" distB="0" distL="0" distR="0" simplePos="0" relativeHeight="251658240" behindDoc="1" locked="0" layoutInCell="1" hidden="0" allowOverlap="1" wp14:anchorId="58541694" wp14:editId="2CF30DB3">
          <wp:simplePos x="0" y="0"/>
          <wp:positionH relativeFrom="column">
            <wp:posOffset>-688974</wp:posOffset>
          </wp:positionH>
          <wp:positionV relativeFrom="paragraph">
            <wp:posOffset>-363854</wp:posOffset>
          </wp:positionV>
          <wp:extent cx="7809865" cy="10165715"/>
          <wp:effectExtent l="0" t="0" r="0" b="0"/>
          <wp:wrapNone/>
          <wp:docPr id="21401318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0"/>
      <w:tblW w:w="5953" w:type="dxa"/>
      <w:tblInd w:w="3261" w:type="dxa"/>
      <w:tblLayout w:type="fixed"/>
      <w:tblLook w:val="0400" w:firstRow="0" w:lastRow="0" w:firstColumn="0" w:lastColumn="0" w:noHBand="0" w:noVBand="1"/>
    </w:tblPr>
    <w:tblGrid>
      <w:gridCol w:w="2489"/>
      <w:gridCol w:w="3464"/>
    </w:tblGrid>
    <w:tr w:rsidR="005576BB" w14:paraId="27DFEBBA" w14:textId="77777777">
      <w:tc>
        <w:tcPr>
          <w:tcW w:w="2489" w:type="dxa"/>
          <w:shd w:val="clear" w:color="auto" w:fill="auto"/>
        </w:tcPr>
        <w:p w14:paraId="5A4A623E" w14:textId="77777777" w:rsidR="005576BB" w:rsidRDefault="00302D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2A7BBE3" w14:textId="77777777" w:rsidR="005576BB" w:rsidRDefault="00302DF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05234/INFOEM/IP/RR/2025</w:t>
          </w:r>
        </w:p>
      </w:tc>
    </w:tr>
    <w:tr w:rsidR="005576BB" w14:paraId="7E88CA55" w14:textId="77777777">
      <w:trPr>
        <w:trHeight w:val="228"/>
      </w:trPr>
      <w:tc>
        <w:tcPr>
          <w:tcW w:w="2489" w:type="dxa"/>
          <w:shd w:val="clear" w:color="auto" w:fill="auto"/>
          <w:vAlign w:val="center"/>
        </w:tcPr>
        <w:p w14:paraId="54630693" w14:textId="77777777" w:rsidR="005576BB" w:rsidRDefault="00302D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6002498" w14:textId="77777777" w:rsidR="005576BB" w:rsidRDefault="00302DF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Temascalcingo</w:t>
          </w:r>
        </w:p>
      </w:tc>
    </w:tr>
    <w:tr w:rsidR="005576BB" w14:paraId="229BC03E" w14:textId="77777777">
      <w:tc>
        <w:tcPr>
          <w:tcW w:w="2489" w:type="dxa"/>
          <w:shd w:val="clear" w:color="auto" w:fill="auto"/>
          <w:vAlign w:val="center"/>
        </w:tcPr>
        <w:p w14:paraId="60C72D77" w14:textId="77777777" w:rsidR="005576BB" w:rsidRDefault="00302DF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428218B" w14:textId="77777777" w:rsidR="005576BB" w:rsidRDefault="00302DF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2ACFD5" w14:textId="77777777" w:rsidR="005576BB" w:rsidRDefault="00302DF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CE7B" w14:textId="77777777" w:rsidR="005576BB" w:rsidRDefault="00302DF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3614F04" wp14:editId="47210EC4">
          <wp:simplePos x="0" y="0"/>
          <wp:positionH relativeFrom="column">
            <wp:posOffset>-727074</wp:posOffset>
          </wp:positionH>
          <wp:positionV relativeFrom="paragraph">
            <wp:posOffset>-169544</wp:posOffset>
          </wp:positionV>
          <wp:extent cx="7809865" cy="10165715"/>
          <wp:effectExtent l="0" t="0" r="0" b="0"/>
          <wp:wrapNone/>
          <wp:docPr id="21401318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1"/>
      <w:tblW w:w="5953" w:type="dxa"/>
      <w:tblInd w:w="3261" w:type="dxa"/>
      <w:tblLayout w:type="fixed"/>
      <w:tblLook w:val="0400" w:firstRow="0" w:lastRow="0" w:firstColumn="0" w:lastColumn="0" w:noHBand="0" w:noVBand="1"/>
    </w:tblPr>
    <w:tblGrid>
      <w:gridCol w:w="2489"/>
      <w:gridCol w:w="3464"/>
    </w:tblGrid>
    <w:tr w:rsidR="005576BB" w14:paraId="036868D5" w14:textId="77777777">
      <w:tc>
        <w:tcPr>
          <w:tcW w:w="2489" w:type="dxa"/>
          <w:shd w:val="clear" w:color="auto" w:fill="auto"/>
        </w:tcPr>
        <w:p w14:paraId="56370EF0" w14:textId="77777777" w:rsidR="005576BB" w:rsidRDefault="00302D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944E741" w14:textId="77777777" w:rsidR="005576BB" w:rsidRDefault="00302DF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05234/INFOEM/IP/RR/2025</w:t>
          </w:r>
        </w:p>
      </w:tc>
    </w:tr>
    <w:tr w:rsidR="005576BB" w14:paraId="1ACB4286" w14:textId="77777777">
      <w:tc>
        <w:tcPr>
          <w:tcW w:w="2489" w:type="dxa"/>
          <w:shd w:val="clear" w:color="auto" w:fill="auto"/>
        </w:tcPr>
        <w:p w14:paraId="578A5A0A" w14:textId="77777777" w:rsidR="005576BB" w:rsidRDefault="00302D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1AD2758" w14:textId="7FD4D507" w:rsidR="005576BB" w:rsidRDefault="002D5B35">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XXXXX XXXXXX XXXXX XXXX </w:t>
          </w:r>
        </w:p>
      </w:tc>
    </w:tr>
    <w:tr w:rsidR="005576BB" w14:paraId="101E2489" w14:textId="77777777">
      <w:trPr>
        <w:trHeight w:val="228"/>
      </w:trPr>
      <w:tc>
        <w:tcPr>
          <w:tcW w:w="2489" w:type="dxa"/>
          <w:shd w:val="clear" w:color="auto" w:fill="auto"/>
          <w:vAlign w:val="center"/>
        </w:tcPr>
        <w:p w14:paraId="02C3C35C" w14:textId="77777777" w:rsidR="005576BB" w:rsidRDefault="00302D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2A4823" w14:textId="77777777" w:rsidR="005576BB" w:rsidRDefault="00302DF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Temascalcingo </w:t>
          </w:r>
        </w:p>
      </w:tc>
    </w:tr>
    <w:tr w:rsidR="005576BB" w14:paraId="13313F20" w14:textId="77777777">
      <w:tc>
        <w:tcPr>
          <w:tcW w:w="2489" w:type="dxa"/>
          <w:shd w:val="clear" w:color="auto" w:fill="auto"/>
          <w:vAlign w:val="center"/>
        </w:tcPr>
        <w:p w14:paraId="6F6C60A0" w14:textId="77777777" w:rsidR="005576BB" w:rsidRDefault="00302DF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BC3D78E" w14:textId="77777777" w:rsidR="005576BB" w:rsidRDefault="00302DF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4F6E9D" w14:textId="77777777" w:rsidR="005576BB" w:rsidRDefault="005576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0828"/>
    <w:multiLevelType w:val="multilevel"/>
    <w:tmpl w:val="23468E6A"/>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BB"/>
    <w:rsid w:val="000C312B"/>
    <w:rsid w:val="00217320"/>
    <w:rsid w:val="002C7165"/>
    <w:rsid w:val="002D5B35"/>
    <w:rsid w:val="00302DF8"/>
    <w:rsid w:val="004E5BBA"/>
    <w:rsid w:val="005576BB"/>
    <w:rsid w:val="00574A60"/>
    <w:rsid w:val="006A6E34"/>
    <w:rsid w:val="007160DC"/>
    <w:rsid w:val="00770117"/>
    <w:rsid w:val="007E3AE0"/>
    <w:rsid w:val="00860C22"/>
    <w:rsid w:val="0095068D"/>
    <w:rsid w:val="009C396A"/>
    <w:rsid w:val="00A000AC"/>
    <w:rsid w:val="00A7041C"/>
    <w:rsid w:val="00AF3CE2"/>
    <w:rsid w:val="00C40E29"/>
    <w:rsid w:val="00C954EE"/>
    <w:rsid w:val="00E10BE3"/>
    <w:rsid w:val="00ED1336"/>
    <w:rsid w:val="00F277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1B17"/>
  <w15:docId w15:val="{88AEB79B-88D3-474B-939C-4D1D3E71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a">
    <w:basedOn w:val="TableNormalf4"/>
    <w:tblPr>
      <w:tblStyleRowBandSize w:val="1"/>
      <w:tblStyleColBandSize w:val="1"/>
      <w:tblCellMar>
        <w:left w:w="115" w:type="dxa"/>
        <w:right w:w="115" w:type="dxa"/>
      </w:tblCellMar>
    </w:tblPr>
  </w:style>
  <w:style w:type="table" w:customStyle="1" w:styleId="a0">
    <w:basedOn w:val="TableNormalf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3"/>
    <w:tblPr>
      <w:tblStyleRowBandSize w:val="1"/>
      <w:tblStyleColBandSize w:val="1"/>
      <w:tblCellMar>
        <w:left w:w="115" w:type="dxa"/>
        <w:right w:w="115" w:type="dxa"/>
      </w:tblCellMar>
    </w:tblPr>
  </w:style>
  <w:style w:type="table" w:customStyle="1" w:styleId="a4">
    <w:basedOn w:val="TableNormalf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2"/>
    <w:tblPr>
      <w:tblStyleRowBandSize w:val="1"/>
      <w:tblStyleColBandSize w:val="1"/>
      <w:tblCellMar>
        <w:left w:w="108" w:type="dxa"/>
        <w:right w:w="108" w:type="dxa"/>
      </w:tblCellMar>
    </w:tblPr>
  </w:style>
  <w:style w:type="table" w:customStyle="1" w:styleId="a6">
    <w:basedOn w:val="TableNormalf2"/>
    <w:tblPr>
      <w:tblStyleRowBandSize w:val="1"/>
      <w:tblStyleColBandSize w:val="1"/>
      <w:tblCellMar>
        <w:left w:w="108" w:type="dxa"/>
        <w:right w:w="108" w:type="dxa"/>
      </w:tblCellMar>
    </w:tblPr>
  </w:style>
  <w:style w:type="table" w:customStyle="1" w:styleId="a7">
    <w:basedOn w:val="TableNormalf2"/>
    <w:tblPr>
      <w:tblStyleRowBandSize w:val="1"/>
      <w:tblStyleColBandSize w:val="1"/>
      <w:tblCellMar>
        <w:left w:w="108" w:type="dxa"/>
        <w:right w:w="108" w:type="dxa"/>
      </w:tblCellMar>
    </w:tblPr>
  </w:style>
  <w:style w:type="table" w:customStyle="1" w:styleId="a8">
    <w:basedOn w:val="TableNormalf2"/>
    <w:tblPr>
      <w:tblStyleRowBandSize w:val="1"/>
      <w:tblStyleColBandSize w:val="1"/>
      <w:tblCellMar>
        <w:left w:w="108" w:type="dxa"/>
        <w:right w:w="108" w:type="dxa"/>
      </w:tblCellMar>
    </w:tblPr>
  </w:style>
  <w:style w:type="table" w:customStyle="1" w:styleId="a9">
    <w:basedOn w:val="TableNormalf2"/>
    <w:tblPr>
      <w:tblStyleRowBandSize w:val="1"/>
      <w:tblStyleColBandSize w:val="1"/>
      <w:tblCellMar>
        <w:left w:w="108" w:type="dxa"/>
        <w:right w:w="108" w:type="dxa"/>
      </w:tblCellMar>
    </w:tblPr>
  </w:style>
  <w:style w:type="table" w:customStyle="1" w:styleId="aa">
    <w:basedOn w:val="TableNormalf2"/>
    <w:tblPr>
      <w:tblStyleRowBandSize w:val="1"/>
      <w:tblStyleColBandSize w:val="1"/>
      <w:tblCellMar>
        <w:left w:w="115" w:type="dxa"/>
        <w:right w:w="115" w:type="dxa"/>
      </w:tblCellMar>
    </w:tblPr>
  </w:style>
  <w:style w:type="table" w:customStyle="1" w:styleId="ab">
    <w:basedOn w:val="TableNormalf2"/>
    <w:tblPr>
      <w:tblStyleRowBandSize w:val="1"/>
      <w:tblStyleColBandSize w:val="1"/>
      <w:tblCellMar>
        <w:left w:w="115" w:type="dxa"/>
        <w:right w:w="115" w:type="dxa"/>
      </w:tblCellMar>
    </w:tblPr>
  </w:style>
  <w:style w:type="table" w:customStyle="1" w:styleId="ac">
    <w:basedOn w:val="TableNormalf1"/>
    <w:tblPr>
      <w:tblStyleRowBandSize w:val="1"/>
      <w:tblStyleColBandSize w:val="1"/>
      <w:tblCellMar>
        <w:left w:w="108" w:type="dxa"/>
        <w:right w:w="108" w:type="dxa"/>
      </w:tblCellMar>
    </w:tblPr>
  </w:style>
  <w:style w:type="table" w:customStyle="1" w:styleId="ad">
    <w:basedOn w:val="TableNormalf1"/>
    <w:tblPr>
      <w:tblStyleRowBandSize w:val="1"/>
      <w:tblStyleColBandSize w:val="1"/>
      <w:tblCellMar>
        <w:left w:w="115" w:type="dxa"/>
        <w:right w:w="115" w:type="dxa"/>
      </w:tblCellMar>
    </w:tblPr>
  </w:style>
  <w:style w:type="table" w:customStyle="1" w:styleId="ae">
    <w:basedOn w:val="TableNormalf1"/>
    <w:tblPr>
      <w:tblStyleRowBandSize w:val="1"/>
      <w:tblStyleColBandSize w:val="1"/>
      <w:tblCellMar>
        <w:left w:w="115" w:type="dxa"/>
        <w:right w:w="115" w:type="dxa"/>
      </w:tblCellMar>
    </w:tblPr>
  </w:style>
  <w:style w:type="table" w:customStyle="1" w:styleId="af">
    <w:basedOn w:val="TableNormalf0"/>
    <w:tblPr>
      <w:tblStyleRowBandSize w:val="1"/>
      <w:tblStyleColBandSize w:val="1"/>
      <w:tblCellMar>
        <w:left w:w="115" w:type="dxa"/>
        <w:right w:w="115" w:type="dxa"/>
      </w:tblCellMar>
    </w:tblPr>
  </w:style>
  <w:style w:type="table" w:customStyle="1" w:styleId="af0">
    <w:basedOn w:val="TableNormalf0"/>
    <w:tblPr>
      <w:tblStyleRowBandSize w:val="1"/>
      <w:tblStyleColBandSize w:val="1"/>
      <w:tblCellMar>
        <w:left w:w="115" w:type="dxa"/>
        <w:right w:w="115" w:type="dxa"/>
      </w:tblCellMar>
    </w:tblPr>
  </w:style>
  <w:style w:type="table" w:customStyle="1" w:styleId="af1">
    <w:basedOn w:val="TableNormalf0"/>
    <w:tblPr>
      <w:tblStyleRowBandSize w:val="1"/>
      <w:tblStyleColBandSize w:val="1"/>
      <w:tblCellMar>
        <w:left w:w="115" w:type="dxa"/>
        <w:right w:w="115" w:type="dxa"/>
      </w:tblCellMar>
    </w:tblPr>
  </w:style>
  <w:style w:type="table" w:customStyle="1" w:styleId="af2">
    <w:basedOn w:val="TableNormalf"/>
    <w:tblPr>
      <w:tblStyleRowBandSize w:val="1"/>
      <w:tblStyleColBandSize w:val="1"/>
      <w:tblCellMar>
        <w:left w:w="115" w:type="dxa"/>
        <w:right w:w="115" w:type="dxa"/>
      </w:tblCellMar>
    </w:tblPr>
  </w:style>
  <w:style w:type="table" w:customStyle="1" w:styleId="af3">
    <w:basedOn w:val="TableNormalf"/>
    <w:tblPr>
      <w:tblStyleRowBandSize w:val="1"/>
      <w:tblStyleColBandSize w:val="1"/>
      <w:tblCellMar>
        <w:left w:w="115" w:type="dxa"/>
        <w:right w:w="115" w:type="dxa"/>
      </w:tblCellMar>
    </w:tblPr>
  </w:style>
  <w:style w:type="table" w:customStyle="1" w:styleId="af4">
    <w:basedOn w:val="TableNormale"/>
    <w:tblPr>
      <w:tblStyleRowBandSize w:val="1"/>
      <w:tblStyleColBandSize w:val="1"/>
      <w:tblCellMar>
        <w:left w:w="115" w:type="dxa"/>
        <w:right w:w="115" w:type="dxa"/>
      </w:tblCellMar>
    </w:tblPr>
  </w:style>
  <w:style w:type="table" w:customStyle="1" w:styleId="af5">
    <w:basedOn w:val="TableNormale"/>
    <w:tblPr>
      <w:tblStyleRowBandSize w:val="1"/>
      <w:tblStyleColBandSize w:val="1"/>
      <w:tblCellMar>
        <w:left w:w="115" w:type="dxa"/>
        <w:right w:w="115" w:type="dxa"/>
      </w:tblCellMar>
    </w:tblPr>
  </w:style>
  <w:style w:type="table" w:customStyle="1" w:styleId="af6">
    <w:basedOn w:val="TableNormald"/>
    <w:tblPr>
      <w:tblStyleRowBandSize w:val="1"/>
      <w:tblStyleColBandSize w:val="1"/>
      <w:tblCellMar>
        <w:left w:w="115" w:type="dxa"/>
        <w:right w:w="115" w:type="dxa"/>
      </w:tblCellMar>
    </w:tblPr>
  </w:style>
  <w:style w:type="table" w:customStyle="1" w:styleId="af7">
    <w:basedOn w:val="TableNormald"/>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c"/>
    <w:tblPr>
      <w:tblStyleRowBandSize w:val="1"/>
      <w:tblStyleColBandSize w:val="1"/>
      <w:tblCellMar>
        <w:left w:w="115" w:type="dxa"/>
        <w:right w:w="115" w:type="dxa"/>
      </w:tblCellMar>
    </w:tblPr>
  </w:style>
  <w:style w:type="table" w:customStyle="1" w:styleId="af9">
    <w:basedOn w:val="TableNormalc"/>
    <w:tblPr>
      <w:tblStyleRowBandSize w:val="1"/>
      <w:tblStyleColBandSize w:val="1"/>
      <w:tblCellMar>
        <w:left w:w="115" w:type="dxa"/>
        <w:right w:w="115" w:type="dxa"/>
      </w:tblCellMar>
    </w:tblPr>
  </w:style>
  <w:style w:type="table" w:customStyle="1" w:styleId="afa">
    <w:basedOn w:val="TableNormalb"/>
    <w:tblPr>
      <w:tblStyleRowBandSize w:val="1"/>
      <w:tblStyleColBandSize w:val="1"/>
      <w:tblCellMar>
        <w:left w:w="115" w:type="dxa"/>
        <w:right w:w="115" w:type="dxa"/>
      </w:tblCellMar>
    </w:tblPr>
  </w:style>
  <w:style w:type="table" w:customStyle="1" w:styleId="afb">
    <w:basedOn w:val="TableNormalb"/>
    <w:tblPr>
      <w:tblStyleRowBandSize w:val="1"/>
      <w:tblStyleColBandSize w:val="1"/>
      <w:tblCellMar>
        <w:left w:w="115" w:type="dxa"/>
        <w:right w:w="115" w:type="dxa"/>
      </w:tblCellMar>
    </w:tblPr>
  </w:style>
  <w:style w:type="table" w:customStyle="1" w:styleId="afc">
    <w:basedOn w:val="TableNormala"/>
    <w:tblPr>
      <w:tblStyleRowBandSize w:val="1"/>
      <w:tblStyleColBandSize w:val="1"/>
      <w:tblCellMar>
        <w:left w:w="115" w:type="dxa"/>
        <w:right w:w="115" w:type="dxa"/>
      </w:tblCellMar>
    </w:tblPr>
  </w:style>
  <w:style w:type="table" w:customStyle="1" w:styleId="afd">
    <w:basedOn w:val="TableNormala"/>
    <w:tblPr>
      <w:tblStyleRowBandSize w:val="1"/>
      <w:tblStyleColBandSize w:val="1"/>
      <w:tblCellMar>
        <w:left w:w="115" w:type="dxa"/>
        <w:right w:w="115" w:type="dxa"/>
      </w:tblCellMar>
    </w:tblPr>
  </w:style>
  <w:style w:type="table" w:customStyle="1" w:styleId="afe">
    <w:basedOn w:val="TableNormal9"/>
    <w:tblPr>
      <w:tblStyleRowBandSize w:val="1"/>
      <w:tblStyleColBandSize w:val="1"/>
      <w:tblCellMar>
        <w:left w:w="115" w:type="dxa"/>
        <w:right w:w="115" w:type="dxa"/>
      </w:tblCellMar>
    </w:tblPr>
  </w:style>
  <w:style w:type="table" w:customStyle="1" w:styleId="aff">
    <w:basedOn w:val="TableNormal9"/>
    <w:tblPr>
      <w:tblStyleRowBandSize w:val="1"/>
      <w:tblStyleColBandSize w:val="1"/>
      <w:tblCellMar>
        <w:left w:w="115" w:type="dxa"/>
        <w:right w:w="115" w:type="dxa"/>
      </w:tblCellMar>
    </w:tblPr>
  </w:style>
  <w:style w:type="table" w:customStyle="1" w:styleId="aff0">
    <w:basedOn w:val="TableNormal8"/>
    <w:tblPr>
      <w:tblStyleRowBandSize w:val="1"/>
      <w:tblStyleColBandSize w:val="1"/>
      <w:tblCellMar>
        <w:left w:w="115" w:type="dxa"/>
        <w:right w:w="115" w:type="dxa"/>
      </w:tblCellMar>
    </w:tblPr>
  </w:style>
  <w:style w:type="table" w:customStyle="1" w:styleId="aff1">
    <w:basedOn w:val="TableNormal8"/>
    <w:tblPr>
      <w:tblStyleRowBandSize w:val="1"/>
      <w:tblStyleColBandSize w:val="1"/>
      <w:tblCellMar>
        <w:left w:w="115" w:type="dxa"/>
        <w:right w:w="115" w:type="dxa"/>
      </w:tblCellMar>
    </w:tblPr>
  </w:style>
  <w:style w:type="table" w:customStyle="1" w:styleId="aff2">
    <w:basedOn w:val="TableNormal7"/>
    <w:tblPr>
      <w:tblStyleRowBandSize w:val="1"/>
      <w:tblStyleColBandSize w:val="1"/>
      <w:tblCellMar>
        <w:left w:w="115" w:type="dxa"/>
        <w:right w:w="115" w:type="dxa"/>
      </w:tblCellMar>
    </w:tblPr>
  </w:style>
  <w:style w:type="table" w:customStyle="1" w:styleId="aff3">
    <w:basedOn w:val="TableNormal7"/>
    <w:tblPr>
      <w:tblStyleRowBandSize w:val="1"/>
      <w:tblStyleColBandSize w:val="1"/>
      <w:tblCellMar>
        <w:left w:w="115" w:type="dxa"/>
        <w:right w:w="115" w:type="dxa"/>
      </w:tblCellMar>
    </w:tblPr>
  </w:style>
  <w:style w:type="table" w:customStyle="1" w:styleId="aff4">
    <w:basedOn w:val="TableNormal6"/>
    <w:tblPr>
      <w:tblStyleRowBandSize w:val="1"/>
      <w:tblStyleColBandSize w:val="1"/>
      <w:tblCellMar>
        <w:left w:w="115" w:type="dxa"/>
        <w:right w:w="115" w:type="dxa"/>
      </w:tblCellMar>
    </w:tblPr>
  </w:style>
  <w:style w:type="table" w:customStyle="1" w:styleId="aff5">
    <w:basedOn w:val="TableNormal6"/>
    <w:tblPr>
      <w:tblStyleRowBandSize w:val="1"/>
      <w:tblStyleColBandSize w:val="1"/>
      <w:tblCellMar>
        <w:left w:w="115" w:type="dxa"/>
        <w:right w:w="115" w:type="dxa"/>
      </w:tblCellMar>
    </w:tblPr>
  </w:style>
  <w:style w:type="table" w:customStyle="1" w:styleId="aff6">
    <w:basedOn w:val="TableNormal5"/>
    <w:tblPr>
      <w:tblStyleRowBandSize w:val="1"/>
      <w:tblStyleColBandSize w:val="1"/>
      <w:tblCellMar>
        <w:left w:w="115" w:type="dxa"/>
        <w:right w:w="115" w:type="dxa"/>
      </w:tblCellMar>
    </w:tblPr>
  </w:style>
  <w:style w:type="table" w:customStyle="1" w:styleId="aff7">
    <w:basedOn w:val="TableNormal5"/>
    <w:tblPr>
      <w:tblStyleRowBandSize w:val="1"/>
      <w:tblStyleColBandSize w:val="1"/>
      <w:tblCellMar>
        <w:left w:w="115" w:type="dxa"/>
        <w:right w:w="115" w:type="dxa"/>
      </w:tblCellMar>
    </w:tblPr>
  </w:style>
  <w:style w:type="table" w:customStyle="1" w:styleId="aff8">
    <w:basedOn w:val="TableNormal4"/>
    <w:tblPr>
      <w:tblStyleRowBandSize w:val="1"/>
      <w:tblStyleColBandSize w:val="1"/>
      <w:tblCellMar>
        <w:left w:w="115" w:type="dxa"/>
        <w:right w:w="115" w:type="dxa"/>
      </w:tblCellMar>
    </w:tblPr>
  </w:style>
  <w:style w:type="table" w:customStyle="1" w:styleId="aff9">
    <w:basedOn w:val="TableNormal4"/>
    <w:tblPr>
      <w:tblStyleRowBandSize w:val="1"/>
      <w:tblStyleColBandSize w:val="1"/>
      <w:tblCellMar>
        <w:left w:w="115" w:type="dxa"/>
        <w:right w:w="115" w:type="dxa"/>
      </w:tblCellMar>
    </w:tblPr>
  </w:style>
  <w:style w:type="table" w:customStyle="1" w:styleId="affa">
    <w:basedOn w:val="TableNormal3"/>
    <w:tblPr>
      <w:tblStyleRowBandSize w:val="1"/>
      <w:tblStyleColBandSize w:val="1"/>
      <w:tblCellMar>
        <w:left w:w="115" w:type="dxa"/>
        <w:right w:w="115" w:type="dxa"/>
      </w:tblCellMar>
    </w:tblPr>
  </w:style>
  <w:style w:type="table" w:customStyle="1" w:styleId="affb">
    <w:basedOn w:val="TableNormal3"/>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character" w:styleId="nfasis">
    <w:name w:val="Emphasis"/>
    <w:basedOn w:val="Fuentedeprrafopredeter"/>
    <w:uiPriority w:val="20"/>
    <w:qFormat/>
    <w:rsid w:val="00E157F0"/>
    <w:rPr>
      <w:i/>
      <w:iCs/>
    </w:rPr>
  </w:style>
  <w:style w:type="character" w:customStyle="1" w:styleId="Mencinsinresolver3">
    <w:name w:val="Mención sin resolver3"/>
    <w:basedOn w:val="Fuentedeprrafopredeter"/>
    <w:uiPriority w:val="99"/>
    <w:semiHidden/>
    <w:unhideWhenUsed/>
    <w:rsid w:val="00E157F0"/>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950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67626">
      <w:bodyDiv w:val="1"/>
      <w:marLeft w:val="0"/>
      <w:marRight w:val="0"/>
      <w:marTop w:val="0"/>
      <w:marBottom w:val="0"/>
      <w:divBdr>
        <w:top w:val="none" w:sz="0" w:space="0" w:color="auto"/>
        <w:left w:val="none" w:sz="0" w:space="0" w:color="auto"/>
        <w:bottom w:val="none" w:sz="0" w:space="0" w:color="auto"/>
        <w:right w:val="none" w:sz="0" w:space="0" w:color="auto"/>
      </w:divBdr>
    </w:div>
    <w:div w:id="309293830">
      <w:bodyDiv w:val="1"/>
      <w:marLeft w:val="0"/>
      <w:marRight w:val="0"/>
      <w:marTop w:val="0"/>
      <w:marBottom w:val="0"/>
      <w:divBdr>
        <w:top w:val="none" w:sz="0" w:space="0" w:color="auto"/>
        <w:left w:val="none" w:sz="0" w:space="0" w:color="auto"/>
        <w:bottom w:val="none" w:sz="0" w:space="0" w:color="auto"/>
        <w:right w:val="none" w:sz="0" w:space="0" w:color="auto"/>
      </w:divBdr>
    </w:div>
    <w:div w:id="327366370">
      <w:bodyDiv w:val="1"/>
      <w:marLeft w:val="0"/>
      <w:marRight w:val="0"/>
      <w:marTop w:val="0"/>
      <w:marBottom w:val="0"/>
      <w:divBdr>
        <w:top w:val="none" w:sz="0" w:space="0" w:color="auto"/>
        <w:left w:val="none" w:sz="0" w:space="0" w:color="auto"/>
        <w:bottom w:val="none" w:sz="0" w:space="0" w:color="auto"/>
        <w:right w:val="none" w:sz="0" w:space="0" w:color="auto"/>
      </w:divBdr>
    </w:div>
    <w:div w:id="738287687">
      <w:bodyDiv w:val="1"/>
      <w:marLeft w:val="0"/>
      <w:marRight w:val="0"/>
      <w:marTop w:val="0"/>
      <w:marBottom w:val="0"/>
      <w:divBdr>
        <w:top w:val="none" w:sz="0" w:space="0" w:color="auto"/>
        <w:left w:val="none" w:sz="0" w:space="0" w:color="auto"/>
        <w:bottom w:val="none" w:sz="0" w:space="0" w:color="auto"/>
        <w:right w:val="none" w:sz="0" w:space="0" w:color="auto"/>
      </w:divBdr>
    </w:div>
    <w:div w:id="149248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enunciaipo@itaipem.org.mx" TargetMode="External"/><Relationship Id="rId4" Type="http://schemas.openxmlformats.org/officeDocument/2006/relationships/styles" Target="styles.xml"/><Relationship Id="rId9" Type="http://schemas.openxmlformats.org/officeDocument/2006/relationships/hyperlink" Target="https://sistemas2.infoem.org.mx/denuncias/i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l1dGSibooy46qpax7GNMWkk6w==">CgMxLjAyDmguZGFqM2oyeG82cTY2MghoLmdqZGd4czIJaC4zZHk2dmttMg5oLnQ1YmJydXVieDQ1eDIJaC4zMGowemxsMgloLjJzOGV5bzEyCGgudHlqY3d0MgloLjN6bnlzaDc4AHIhMWt1SUgtbElCSDRxSFJvZ2NvRmpCZ25EY3hmWDJ2cVFl</go:docsCustomData>
</go:gDocsCustomXmlDataStorage>
</file>

<file path=customXml/itemProps1.xml><?xml version="1.0" encoding="utf-8"?>
<ds:datastoreItem xmlns:ds="http://schemas.openxmlformats.org/officeDocument/2006/customXml" ds:itemID="{BC7697DB-B884-4FAB-B51F-0A7882E15F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8196</Words>
  <Characters>45078</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2025-08-22T18:43:00Z</cp:lastPrinted>
  <dcterms:created xsi:type="dcterms:W3CDTF">2025-09-04T22:22:00Z</dcterms:created>
  <dcterms:modified xsi:type="dcterms:W3CDTF">2025-09-04T22:22:00Z</dcterms:modified>
</cp:coreProperties>
</file>