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65AC3003" w:rsidR="00611EC6" w:rsidRPr="00F46E4F" w:rsidRDefault="00947C3B" w:rsidP="00F46E4F">
      <w:pPr>
        <w:tabs>
          <w:tab w:val="left" w:pos="3465"/>
        </w:tabs>
        <w:spacing w:line="360" w:lineRule="auto"/>
        <w:jc w:val="both"/>
        <w:rPr>
          <w:rFonts w:ascii="Palatino Linotype" w:hAnsi="Palatino Linotype"/>
          <w:color w:val="000000" w:themeColor="text1"/>
          <w:lang w:val="es-MX"/>
        </w:rPr>
      </w:pPr>
      <w:bookmarkStart w:id="0" w:name="_GoBack"/>
      <w:bookmarkEnd w:id="0"/>
      <w:r w:rsidRPr="00F46E4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46E4F">
        <w:rPr>
          <w:rFonts w:ascii="Palatino Linotype" w:hAnsi="Palatino Linotype"/>
          <w:b/>
          <w:color w:val="000000" w:themeColor="text1"/>
        </w:rPr>
        <w:t xml:space="preserve">de fecha </w:t>
      </w:r>
      <w:r w:rsidR="001173EF" w:rsidRPr="00F46E4F">
        <w:rPr>
          <w:rFonts w:ascii="Palatino Linotype" w:hAnsi="Palatino Linotype"/>
          <w:b/>
          <w:color w:val="000000" w:themeColor="text1"/>
        </w:rPr>
        <w:t>un</w:t>
      </w:r>
      <w:r w:rsidR="00F6469F" w:rsidRPr="00F46E4F">
        <w:rPr>
          <w:rFonts w:ascii="Palatino Linotype" w:hAnsi="Palatino Linotype"/>
          <w:b/>
          <w:color w:val="000000" w:themeColor="text1"/>
        </w:rPr>
        <w:t>o</w:t>
      </w:r>
      <w:r w:rsidR="006B6F23">
        <w:rPr>
          <w:rFonts w:ascii="Palatino Linotype" w:hAnsi="Palatino Linotype"/>
          <w:b/>
          <w:color w:val="000000" w:themeColor="text1"/>
        </w:rPr>
        <w:t xml:space="preserve"> (01) </w:t>
      </w:r>
      <w:r w:rsidR="00A74392" w:rsidRPr="00F46E4F">
        <w:rPr>
          <w:rFonts w:ascii="Palatino Linotype" w:hAnsi="Palatino Linotype"/>
          <w:b/>
          <w:color w:val="000000" w:themeColor="text1"/>
        </w:rPr>
        <w:t xml:space="preserve">de </w:t>
      </w:r>
      <w:r w:rsidR="001173EF" w:rsidRPr="00F46E4F">
        <w:rPr>
          <w:rFonts w:ascii="Palatino Linotype" w:hAnsi="Palatino Linotype"/>
          <w:b/>
          <w:color w:val="000000" w:themeColor="text1"/>
        </w:rPr>
        <w:t>octu</w:t>
      </w:r>
      <w:r w:rsidR="00A74392" w:rsidRPr="00F46E4F">
        <w:rPr>
          <w:rFonts w:ascii="Palatino Linotype" w:hAnsi="Palatino Linotype"/>
          <w:b/>
          <w:color w:val="000000" w:themeColor="text1"/>
        </w:rPr>
        <w:t>bre</w:t>
      </w:r>
      <w:r w:rsidR="00C86A6F" w:rsidRPr="00F46E4F">
        <w:rPr>
          <w:rFonts w:ascii="Palatino Linotype" w:hAnsi="Palatino Linotype"/>
          <w:b/>
          <w:color w:val="000000" w:themeColor="text1"/>
        </w:rPr>
        <w:t xml:space="preserve"> de </w:t>
      </w:r>
      <w:r w:rsidR="0041452A" w:rsidRPr="00F46E4F">
        <w:rPr>
          <w:rFonts w:ascii="Palatino Linotype" w:hAnsi="Palatino Linotype"/>
          <w:b/>
          <w:color w:val="000000" w:themeColor="text1"/>
        </w:rPr>
        <w:t>dos mil veinticinco</w:t>
      </w:r>
      <w:r w:rsidR="00611EC6" w:rsidRPr="00F46E4F">
        <w:rPr>
          <w:rFonts w:ascii="Palatino Linotype" w:hAnsi="Palatino Linotype"/>
          <w:color w:val="000000" w:themeColor="text1"/>
        </w:rPr>
        <w:t>.</w:t>
      </w:r>
    </w:p>
    <w:p w14:paraId="70BA5E97" w14:textId="77777777" w:rsidR="00947C3B" w:rsidRPr="00F46E4F" w:rsidRDefault="00947C3B" w:rsidP="00F46E4F">
      <w:pPr>
        <w:tabs>
          <w:tab w:val="left" w:pos="3465"/>
        </w:tabs>
        <w:spacing w:line="360" w:lineRule="auto"/>
        <w:jc w:val="both"/>
        <w:rPr>
          <w:rFonts w:ascii="Palatino Linotype" w:hAnsi="Palatino Linotype"/>
          <w:color w:val="000000" w:themeColor="text1"/>
        </w:rPr>
      </w:pPr>
    </w:p>
    <w:p w14:paraId="38CBC7E2" w14:textId="7BC2332B" w:rsidR="00947C3B" w:rsidRPr="00F46E4F" w:rsidRDefault="00947C3B" w:rsidP="00F46E4F">
      <w:pPr>
        <w:spacing w:line="360" w:lineRule="auto"/>
        <w:jc w:val="both"/>
        <w:rPr>
          <w:rFonts w:ascii="Palatino Linotype" w:hAnsi="Palatino Linotype"/>
          <w:color w:val="000000" w:themeColor="text1"/>
        </w:rPr>
      </w:pPr>
      <w:r w:rsidRPr="00F46E4F">
        <w:rPr>
          <w:rFonts w:ascii="Palatino Linotype" w:hAnsi="Palatino Linotype"/>
          <w:b/>
          <w:color w:val="000000" w:themeColor="text1"/>
        </w:rPr>
        <w:t>VISTO</w:t>
      </w:r>
      <w:r w:rsidRPr="00F46E4F">
        <w:rPr>
          <w:rFonts w:ascii="Palatino Linotype" w:hAnsi="Palatino Linotype"/>
          <w:color w:val="000000" w:themeColor="text1"/>
        </w:rPr>
        <w:t xml:space="preserve"> el expediente electrónico formado con motivo del </w:t>
      </w:r>
      <w:r w:rsidR="006F721C" w:rsidRPr="00F46E4F">
        <w:rPr>
          <w:rFonts w:ascii="Palatino Linotype" w:hAnsi="Palatino Linotype"/>
          <w:color w:val="000000" w:themeColor="text1"/>
        </w:rPr>
        <w:t>Recurso de R</w:t>
      </w:r>
      <w:r w:rsidRPr="00F46E4F">
        <w:rPr>
          <w:rFonts w:ascii="Palatino Linotype" w:hAnsi="Palatino Linotype"/>
          <w:color w:val="000000" w:themeColor="text1"/>
        </w:rPr>
        <w:t xml:space="preserve">evisión </w:t>
      </w:r>
      <w:r w:rsidR="001173EF" w:rsidRPr="00F46E4F">
        <w:rPr>
          <w:rFonts w:ascii="Palatino Linotype" w:hAnsi="Palatino Linotype"/>
          <w:b/>
          <w:color w:val="000000" w:themeColor="text1"/>
        </w:rPr>
        <w:t>05108/INFOEM/IP/RR/2025</w:t>
      </w:r>
      <w:r w:rsidRPr="00F46E4F">
        <w:rPr>
          <w:rFonts w:ascii="Palatino Linotype" w:hAnsi="Palatino Linotype"/>
          <w:color w:val="000000" w:themeColor="text1"/>
        </w:rPr>
        <w:t>,</w:t>
      </w:r>
      <w:r w:rsidRPr="00F46E4F">
        <w:rPr>
          <w:rFonts w:ascii="Palatino Linotype" w:hAnsi="Palatino Linotype" w:cs="Arial"/>
          <w:b/>
          <w:bCs/>
          <w:color w:val="000000" w:themeColor="text1"/>
        </w:rPr>
        <w:t xml:space="preserve"> </w:t>
      </w:r>
      <w:r w:rsidRPr="00F46E4F">
        <w:rPr>
          <w:rFonts w:ascii="Palatino Linotype" w:hAnsi="Palatino Linotype"/>
          <w:color w:val="000000" w:themeColor="text1"/>
        </w:rPr>
        <w:t xml:space="preserve">promovido por </w:t>
      </w:r>
      <w:r w:rsidR="00E37317" w:rsidRPr="00F46E4F">
        <w:rPr>
          <w:rFonts w:ascii="Palatino Linotype" w:hAnsi="Palatino Linotype"/>
          <w:b/>
          <w:color w:val="000000" w:themeColor="text1"/>
        </w:rPr>
        <w:t>una persona que no proporcionó datos para ser reconocido</w:t>
      </w:r>
      <w:r w:rsidRPr="00F46E4F">
        <w:rPr>
          <w:rFonts w:ascii="Palatino Linotype" w:hAnsi="Palatino Linotype"/>
          <w:b/>
          <w:color w:val="000000" w:themeColor="text1"/>
        </w:rPr>
        <w:t>,</w:t>
      </w:r>
      <w:r w:rsidRPr="00F46E4F">
        <w:rPr>
          <w:rFonts w:ascii="Palatino Linotype" w:hAnsi="Palatino Linotype"/>
          <w:color w:val="000000" w:themeColor="text1"/>
        </w:rPr>
        <w:t xml:space="preserve"> a quien en lo sucesivo se le identificará como </w:t>
      </w:r>
      <w:r w:rsidR="00C862A5" w:rsidRPr="00F46E4F">
        <w:rPr>
          <w:rFonts w:ascii="Palatino Linotype" w:hAnsi="Palatino Linotype"/>
          <w:b/>
          <w:color w:val="000000" w:themeColor="text1"/>
        </w:rPr>
        <w:t>EL RECURRENTE</w:t>
      </w:r>
      <w:r w:rsidRPr="00F46E4F">
        <w:rPr>
          <w:rFonts w:ascii="Palatino Linotype" w:hAnsi="Palatino Linotype" w:cs="Arial"/>
          <w:color w:val="000000" w:themeColor="text1"/>
        </w:rPr>
        <w:t xml:space="preserve">, en contra de la respuesta del </w:t>
      </w:r>
      <w:r w:rsidR="006E6FA3" w:rsidRPr="00F46E4F">
        <w:rPr>
          <w:rFonts w:ascii="Palatino Linotype" w:hAnsi="Palatino Linotype" w:cs="Arial"/>
          <w:b/>
          <w:bCs/>
          <w:color w:val="000000" w:themeColor="text1"/>
        </w:rPr>
        <w:t xml:space="preserve">Ayuntamiento de </w:t>
      </w:r>
      <w:r w:rsidR="00507A59" w:rsidRPr="00F46E4F">
        <w:rPr>
          <w:rFonts w:ascii="Palatino Linotype" w:hAnsi="Palatino Linotype" w:cs="Arial"/>
          <w:b/>
          <w:bCs/>
          <w:color w:val="000000" w:themeColor="text1"/>
        </w:rPr>
        <w:t>Zinacantepec</w:t>
      </w:r>
      <w:r w:rsidRPr="00F46E4F">
        <w:rPr>
          <w:rFonts w:ascii="Palatino Linotype" w:hAnsi="Palatino Linotype" w:cs="Arial"/>
          <w:b/>
          <w:color w:val="000000" w:themeColor="text1"/>
        </w:rPr>
        <w:t>,</w:t>
      </w:r>
      <w:r w:rsidRPr="00F46E4F">
        <w:rPr>
          <w:rFonts w:ascii="Palatino Linotype" w:hAnsi="Palatino Linotype"/>
          <w:b/>
          <w:color w:val="000000" w:themeColor="text1"/>
        </w:rPr>
        <w:t xml:space="preserve"> </w:t>
      </w:r>
      <w:r w:rsidRPr="00F46E4F">
        <w:rPr>
          <w:rFonts w:ascii="Palatino Linotype" w:hAnsi="Palatino Linotype"/>
          <w:color w:val="000000" w:themeColor="text1"/>
        </w:rPr>
        <w:t xml:space="preserve">en </w:t>
      </w:r>
      <w:r w:rsidR="006E01FE">
        <w:rPr>
          <w:rFonts w:ascii="Palatino Linotype" w:hAnsi="Palatino Linotype"/>
          <w:color w:val="000000" w:themeColor="text1"/>
        </w:rPr>
        <w:t>adelante</w:t>
      </w:r>
      <w:r w:rsidRPr="00F46E4F">
        <w:rPr>
          <w:rFonts w:ascii="Palatino Linotype" w:hAnsi="Palatino Linotype"/>
          <w:color w:val="000000" w:themeColor="text1"/>
        </w:rPr>
        <w:t xml:space="preserve"> el</w:t>
      </w:r>
      <w:r w:rsidRPr="00F46E4F">
        <w:rPr>
          <w:rFonts w:ascii="Palatino Linotype" w:hAnsi="Palatino Linotype"/>
          <w:b/>
          <w:color w:val="000000" w:themeColor="text1"/>
        </w:rPr>
        <w:t xml:space="preserve"> SUJETO OBLIGADO</w:t>
      </w:r>
      <w:r w:rsidRPr="00F46E4F">
        <w:rPr>
          <w:rFonts w:ascii="Palatino Linotype" w:hAnsi="Palatino Linotype"/>
          <w:color w:val="000000" w:themeColor="text1"/>
        </w:rPr>
        <w:t xml:space="preserve">, se procede a dictar la presente </w:t>
      </w:r>
      <w:r w:rsidR="009366E5" w:rsidRPr="00F46E4F">
        <w:rPr>
          <w:rFonts w:ascii="Palatino Linotype" w:hAnsi="Palatino Linotype"/>
          <w:color w:val="000000" w:themeColor="text1"/>
        </w:rPr>
        <w:t>R</w:t>
      </w:r>
      <w:r w:rsidRPr="00F46E4F">
        <w:rPr>
          <w:rFonts w:ascii="Palatino Linotype" w:hAnsi="Palatino Linotype"/>
          <w:color w:val="000000" w:themeColor="text1"/>
        </w:rPr>
        <w:t>esolución, con base en los siguientes:</w:t>
      </w:r>
    </w:p>
    <w:p w14:paraId="7CBFFAD8" w14:textId="77777777" w:rsidR="00947C3B" w:rsidRPr="00F46E4F" w:rsidRDefault="00947C3B" w:rsidP="00F46E4F">
      <w:pPr>
        <w:spacing w:line="360" w:lineRule="auto"/>
        <w:jc w:val="both"/>
        <w:rPr>
          <w:rFonts w:ascii="Palatino Linotype" w:hAnsi="Palatino Linotype"/>
          <w:color w:val="000000" w:themeColor="text1"/>
        </w:rPr>
      </w:pPr>
    </w:p>
    <w:p w14:paraId="6C073730" w14:textId="35401E6F" w:rsidR="00947C3B" w:rsidRPr="00F46E4F" w:rsidRDefault="00947C3B" w:rsidP="00F46E4F">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F46E4F">
        <w:rPr>
          <w:rFonts w:ascii="Palatino Linotype" w:hAnsi="Palatino Linotype"/>
          <w:b/>
          <w:color w:val="000000" w:themeColor="text1"/>
          <w:sz w:val="24"/>
          <w:szCs w:val="24"/>
        </w:rPr>
        <w:t>A</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N</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T</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E</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C</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E</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D</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E</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N</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T</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E</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S</w:t>
      </w:r>
      <w:bookmarkEnd w:id="1"/>
      <w:bookmarkEnd w:id="2"/>
      <w:bookmarkEnd w:id="3"/>
    </w:p>
    <w:p w14:paraId="6BDD1D0D" w14:textId="77777777" w:rsidR="00947C3B" w:rsidRPr="00F46E4F" w:rsidRDefault="00947C3B" w:rsidP="00F46E4F">
      <w:pPr>
        <w:pStyle w:val="Prrafodelista"/>
        <w:spacing w:line="360" w:lineRule="auto"/>
        <w:ind w:left="0"/>
        <w:jc w:val="both"/>
        <w:rPr>
          <w:rFonts w:ascii="Palatino Linotype" w:eastAsia="Calibri" w:hAnsi="Palatino Linotype" w:cs="Arial"/>
          <w:color w:val="000000" w:themeColor="text1"/>
          <w:lang w:val="es-ES"/>
        </w:rPr>
      </w:pPr>
    </w:p>
    <w:p w14:paraId="1CB07C3A" w14:textId="377143A2" w:rsidR="00947C3B" w:rsidRPr="00F46E4F" w:rsidRDefault="00947C3B" w:rsidP="00F46E4F">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F46E4F">
        <w:rPr>
          <w:rFonts w:ascii="Palatino Linotype" w:eastAsia="Calibri" w:hAnsi="Palatino Linotype" w:cs="Arial"/>
          <w:color w:val="000000" w:themeColor="text1"/>
          <w:lang w:val="es-ES"/>
        </w:rPr>
        <w:t xml:space="preserve">El día </w:t>
      </w:r>
      <w:r w:rsidR="001173EF" w:rsidRPr="00F46E4F">
        <w:rPr>
          <w:rFonts w:ascii="Palatino Linotype" w:eastAsia="Calibri" w:hAnsi="Palatino Linotype" w:cs="Arial"/>
          <w:b/>
          <w:color w:val="000000" w:themeColor="text1"/>
          <w:lang w:val="es-ES"/>
        </w:rPr>
        <w:t>veinticuatro de marzo</w:t>
      </w:r>
      <w:r w:rsidR="00C86A6F" w:rsidRPr="00F46E4F">
        <w:rPr>
          <w:rFonts w:ascii="Palatino Linotype" w:eastAsia="Calibri" w:hAnsi="Palatino Linotype" w:cs="Arial"/>
          <w:b/>
          <w:color w:val="000000" w:themeColor="text1"/>
          <w:lang w:val="es-ES"/>
        </w:rPr>
        <w:t xml:space="preserve"> de dos mil veinticinco</w:t>
      </w:r>
      <w:r w:rsidRPr="00F46E4F">
        <w:rPr>
          <w:rFonts w:ascii="Palatino Linotype" w:hAnsi="Palatino Linotype"/>
          <w:b/>
          <w:color w:val="000000" w:themeColor="text1"/>
        </w:rPr>
        <w:t xml:space="preserve">, </w:t>
      </w:r>
      <w:r w:rsidRPr="00F46E4F">
        <w:rPr>
          <w:rFonts w:ascii="Palatino Linotype" w:eastAsia="Calibri" w:hAnsi="Palatino Linotype" w:cs="Arial"/>
          <w:color w:val="000000" w:themeColor="text1"/>
          <w:lang w:val="es-ES"/>
        </w:rPr>
        <w:t xml:space="preserve">se presentó ante el </w:t>
      </w:r>
      <w:r w:rsidRPr="00F46E4F">
        <w:rPr>
          <w:rFonts w:ascii="Palatino Linotype" w:eastAsia="Calibri" w:hAnsi="Palatino Linotype" w:cs="Arial"/>
          <w:b/>
          <w:color w:val="000000" w:themeColor="text1"/>
          <w:lang w:val="es-ES"/>
        </w:rPr>
        <w:t>SUJETO OBLIGADO</w:t>
      </w:r>
      <w:r w:rsidRPr="00F46E4F">
        <w:rPr>
          <w:rFonts w:ascii="Palatino Linotype" w:eastAsia="Calibri" w:hAnsi="Palatino Linotype" w:cs="Arial"/>
          <w:color w:val="000000" w:themeColor="text1"/>
        </w:rPr>
        <w:t xml:space="preserve"> vía </w:t>
      </w:r>
      <w:r w:rsidR="00D177AD" w:rsidRPr="00F46E4F">
        <w:rPr>
          <w:rFonts w:ascii="Palatino Linotype" w:eastAsia="Calibri" w:hAnsi="Palatino Linotype" w:cs="Arial"/>
          <w:color w:val="000000" w:themeColor="text1"/>
        </w:rPr>
        <w:t>Sistema de Acceso a la Información Mexiquense (</w:t>
      </w:r>
      <w:r w:rsidRPr="00F46E4F">
        <w:rPr>
          <w:rFonts w:ascii="Palatino Linotype" w:eastAsia="Calibri" w:hAnsi="Palatino Linotype" w:cs="Arial"/>
          <w:color w:val="000000" w:themeColor="text1"/>
          <w:lang w:val="es-ES"/>
        </w:rPr>
        <w:t>SAIMEX</w:t>
      </w:r>
      <w:r w:rsidR="00D177AD" w:rsidRPr="00F46E4F">
        <w:rPr>
          <w:rFonts w:ascii="Palatino Linotype" w:eastAsia="Calibri" w:hAnsi="Palatino Linotype" w:cs="Arial"/>
          <w:color w:val="000000" w:themeColor="text1"/>
          <w:lang w:val="es-ES"/>
        </w:rPr>
        <w:t>)</w:t>
      </w:r>
      <w:r w:rsidRPr="00F46E4F">
        <w:rPr>
          <w:rFonts w:ascii="Palatino Linotype" w:eastAsia="Calibri" w:hAnsi="Palatino Linotype" w:cs="Arial"/>
          <w:color w:val="000000" w:themeColor="text1"/>
          <w:lang w:val="es-ES"/>
        </w:rPr>
        <w:t xml:space="preserve">, la </w:t>
      </w:r>
      <w:r w:rsidR="00ED6C32" w:rsidRPr="00F46E4F">
        <w:rPr>
          <w:rFonts w:ascii="Palatino Linotype" w:eastAsia="Calibri" w:hAnsi="Palatino Linotype" w:cs="Arial"/>
          <w:color w:val="000000" w:themeColor="text1"/>
          <w:lang w:val="es-ES"/>
        </w:rPr>
        <w:t>S</w:t>
      </w:r>
      <w:r w:rsidRPr="00F46E4F">
        <w:rPr>
          <w:rFonts w:ascii="Palatino Linotype" w:eastAsia="Calibri" w:hAnsi="Palatino Linotype" w:cs="Arial"/>
          <w:color w:val="000000" w:themeColor="text1"/>
          <w:lang w:val="es-ES"/>
        </w:rPr>
        <w:t xml:space="preserve">olicitud de </w:t>
      </w:r>
      <w:r w:rsidR="00ED6C32" w:rsidRPr="00F46E4F">
        <w:rPr>
          <w:rFonts w:ascii="Palatino Linotype" w:eastAsia="Calibri" w:hAnsi="Palatino Linotype" w:cs="Arial"/>
          <w:color w:val="000000" w:themeColor="text1"/>
          <w:lang w:val="es-ES"/>
        </w:rPr>
        <w:t>Información P</w:t>
      </w:r>
      <w:r w:rsidRPr="00F46E4F">
        <w:rPr>
          <w:rFonts w:ascii="Palatino Linotype" w:eastAsia="Calibri" w:hAnsi="Palatino Linotype" w:cs="Arial"/>
          <w:color w:val="000000" w:themeColor="text1"/>
          <w:lang w:val="es-ES"/>
        </w:rPr>
        <w:t>ública registrada con el número</w:t>
      </w:r>
      <w:r w:rsidRPr="00F46E4F">
        <w:rPr>
          <w:rFonts w:ascii="Palatino Linotype" w:hAnsi="Palatino Linotype"/>
          <w:b/>
          <w:bCs/>
          <w:color w:val="000000" w:themeColor="text1"/>
        </w:rPr>
        <w:t xml:space="preserve"> </w:t>
      </w:r>
      <w:r w:rsidR="001173EF" w:rsidRPr="00F46E4F">
        <w:rPr>
          <w:rFonts w:ascii="Palatino Linotype" w:hAnsi="Palatino Linotype"/>
          <w:b/>
          <w:bCs/>
          <w:color w:val="000000" w:themeColor="text1"/>
        </w:rPr>
        <w:t>00121/ZINACANT/IP/2025</w:t>
      </w:r>
      <w:r w:rsidRPr="00F46E4F">
        <w:rPr>
          <w:rFonts w:ascii="Palatino Linotype" w:hAnsi="Palatino Linotype"/>
          <w:b/>
          <w:bCs/>
          <w:color w:val="000000" w:themeColor="text1"/>
        </w:rPr>
        <w:t xml:space="preserve">; </w:t>
      </w:r>
      <w:r w:rsidR="006E01FE">
        <w:rPr>
          <w:rFonts w:ascii="Palatino Linotype" w:eastAsia="Calibri" w:hAnsi="Palatino Linotype" w:cs="Arial"/>
          <w:color w:val="000000" w:themeColor="text1"/>
          <w:lang w:val="es-ES"/>
        </w:rPr>
        <w:t>en la que</w:t>
      </w:r>
      <w:r w:rsidRPr="00F46E4F">
        <w:rPr>
          <w:rFonts w:ascii="Palatino Linotype" w:eastAsia="Calibri" w:hAnsi="Palatino Linotype" w:cs="Arial"/>
          <w:color w:val="000000" w:themeColor="text1"/>
          <w:lang w:val="es-ES"/>
        </w:rPr>
        <w:t xml:space="preserve"> se solicitó la siguiente información:</w:t>
      </w:r>
    </w:p>
    <w:p w14:paraId="6B526C57" w14:textId="77777777" w:rsidR="005F346E" w:rsidRPr="00F46E4F" w:rsidRDefault="005F346E" w:rsidP="00F46E4F">
      <w:pPr>
        <w:pStyle w:val="Prrafodelista"/>
        <w:spacing w:line="360" w:lineRule="auto"/>
        <w:ind w:left="0"/>
        <w:jc w:val="both"/>
        <w:rPr>
          <w:rFonts w:ascii="Palatino Linotype" w:eastAsia="Calibri" w:hAnsi="Palatino Linotype" w:cs="Arial"/>
          <w:color w:val="000000" w:themeColor="text1"/>
          <w:lang w:val="es-ES"/>
        </w:rPr>
      </w:pPr>
    </w:p>
    <w:p w14:paraId="399A8454" w14:textId="0017DA9F" w:rsidR="00947C3B" w:rsidRDefault="00C86A6F" w:rsidP="00F46E4F">
      <w:pPr>
        <w:pStyle w:val="Prrafodelista"/>
        <w:spacing w:line="360" w:lineRule="auto"/>
        <w:ind w:left="0"/>
        <w:jc w:val="both"/>
        <w:rPr>
          <w:rFonts w:ascii="Palatino Linotype" w:hAnsi="Palatino Linotype"/>
          <w:i/>
          <w:color w:val="000000" w:themeColor="text1"/>
        </w:rPr>
      </w:pPr>
      <w:r w:rsidRPr="00F46E4F">
        <w:rPr>
          <w:rFonts w:ascii="Palatino Linotype" w:hAnsi="Palatino Linotype"/>
          <w:i/>
          <w:color w:val="000000" w:themeColor="text1"/>
        </w:rPr>
        <w:t>“</w:t>
      </w:r>
      <w:r w:rsidR="001173EF" w:rsidRPr="00F46E4F">
        <w:rPr>
          <w:rFonts w:ascii="Palatino Linotype" w:hAnsi="Palatino Linotype"/>
          <w:i/>
          <w:color w:val="000000" w:themeColor="text1"/>
        </w:rPr>
        <w:t>Solicito un desglose de los recursos destinados al presupuesto de publicidad y comunicación social del Ayuntamiento en los últimos 5 años, incluyendo información sobre campañas publicitarias, montos gastados y las entidades contratadas para dichas campañas</w:t>
      </w:r>
      <w:r w:rsidR="00947C3B" w:rsidRPr="00F46E4F">
        <w:rPr>
          <w:rFonts w:ascii="Palatino Linotype" w:hAnsi="Palatino Linotype"/>
          <w:i/>
          <w:color w:val="000000" w:themeColor="text1"/>
        </w:rPr>
        <w:t>”</w:t>
      </w:r>
    </w:p>
    <w:p w14:paraId="77DC6130" w14:textId="77777777" w:rsidR="006B6F23" w:rsidRDefault="006B6F23" w:rsidP="00F46E4F">
      <w:pPr>
        <w:pStyle w:val="Prrafodelista"/>
        <w:spacing w:line="360" w:lineRule="auto"/>
        <w:ind w:left="0"/>
        <w:jc w:val="both"/>
        <w:rPr>
          <w:rFonts w:ascii="Palatino Linotype" w:hAnsi="Palatino Linotype"/>
          <w:i/>
          <w:color w:val="000000" w:themeColor="text1"/>
        </w:rPr>
      </w:pPr>
    </w:p>
    <w:p w14:paraId="5C89589C" w14:textId="77777777" w:rsidR="006B6F23" w:rsidRPr="00F46E4F" w:rsidRDefault="006B6F23" w:rsidP="00F46E4F">
      <w:pPr>
        <w:pStyle w:val="Prrafodelista"/>
        <w:spacing w:line="360" w:lineRule="auto"/>
        <w:ind w:left="0"/>
        <w:jc w:val="both"/>
        <w:rPr>
          <w:rFonts w:ascii="Palatino Linotype" w:hAnsi="Palatino Linotype"/>
          <w:i/>
          <w:color w:val="000000" w:themeColor="text1"/>
        </w:rPr>
      </w:pPr>
    </w:p>
    <w:p w14:paraId="3D5318FE" w14:textId="4CB298F4" w:rsidR="00F46CF8" w:rsidRPr="00F46E4F" w:rsidRDefault="00F443D1" w:rsidP="00F46E4F">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F46E4F">
        <w:rPr>
          <w:rFonts w:ascii="Palatino Linotype" w:hAnsi="Palatino Linotype" w:cs="Arial"/>
          <w:color w:val="000000" w:themeColor="text1"/>
          <w:lang w:val="es-ES"/>
        </w:rPr>
        <w:t>Modalidad de entrega de la información</w:t>
      </w:r>
      <w:r w:rsidR="00F46CF8" w:rsidRPr="00F46E4F">
        <w:rPr>
          <w:rFonts w:ascii="Palatino Linotype" w:hAnsi="Palatino Linotype" w:cs="Arial"/>
          <w:color w:val="000000" w:themeColor="text1"/>
          <w:lang w:val="es-ES"/>
        </w:rPr>
        <w:t xml:space="preserve">: </w:t>
      </w:r>
      <w:r w:rsidR="00BC2E4D" w:rsidRPr="00F46E4F">
        <w:rPr>
          <w:rFonts w:ascii="Palatino Linotype" w:hAnsi="Palatino Linotype" w:cs="Arial"/>
          <w:color w:val="000000" w:themeColor="text1"/>
          <w:lang w:val="es-ES"/>
        </w:rPr>
        <w:t>Vía SAIMEX</w:t>
      </w:r>
      <w:r w:rsidR="001B7993" w:rsidRPr="00F46E4F">
        <w:rPr>
          <w:rFonts w:ascii="Palatino Linotype" w:hAnsi="Palatino Linotype" w:cs="Arial"/>
          <w:color w:val="000000" w:themeColor="text1"/>
          <w:lang w:val="es-ES"/>
        </w:rPr>
        <w:t>.</w:t>
      </w:r>
    </w:p>
    <w:p w14:paraId="1867221F" w14:textId="06FAA747" w:rsidR="009059B4" w:rsidRPr="00F46E4F" w:rsidRDefault="00600CAF" w:rsidP="00F46E4F">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color w:val="000000" w:themeColor="text1"/>
        </w:rPr>
        <w:lastRenderedPageBreak/>
        <w:t>El</w:t>
      </w:r>
      <w:r w:rsidRPr="00F46E4F">
        <w:rPr>
          <w:rFonts w:ascii="Palatino Linotype" w:eastAsia="Palatino Linotype" w:hAnsi="Palatino Linotype" w:cs="Palatino Linotype"/>
          <w:b/>
          <w:color w:val="000000" w:themeColor="text1"/>
        </w:rPr>
        <w:t xml:space="preserve"> </w:t>
      </w:r>
      <w:r w:rsidR="001173EF" w:rsidRPr="00F46E4F">
        <w:rPr>
          <w:rFonts w:ascii="Palatino Linotype" w:eastAsia="Palatino Linotype" w:hAnsi="Palatino Linotype" w:cs="Palatino Linotype"/>
          <w:b/>
          <w:color w:val="000000" w:themeColor="text1"/>
        </w:rPr>
        <w:t>veintiuno de abril</w:t>
      </w:r>
      <w:r w:rsidR="0028796B" w:rsidRPr="00F46E4F">
        <w:rPr>
          <w:rFonts w:ascii="Palatino Linotype" w:eastAsia="Palatino Linotype" w:hAnsi="Palatino Linotype" w:cs="Palatino Linotype"/>
          <w:b/>
          <w:color w:val="000000" w:themeColor="text1"/>
        </w:rPr>
        <w:t xml:space="preserve"> </w:t>
      </w:r>
      <w:r w:rsidRPr="00F46E4F">
        <w:rPr>
          <w:rFonts w:ascii="Palatino Linotype" w:eastAsia="Palatino Linotype" w:hAnsi="Palatino Linotype" w:cs="Palatino Linotype"/>
          <w:b/>
          <w:color w:val="000000" w:themeColor="text1"/>
        </w:rPr>
        <w:t>de dos mil veinticinco,</w:t>
      </w:r>
      <w:r w:rsidRPr="00F46E4F">
        <w:rPr>
          <w:rFonts w:ascii="Palatino Linotype" w:eastAsia="Palatino Linotype" w:hAnsi="Palatino Linotype" w:cs="Palatino Linotype"/>
          <w:color w:val="000000" w:themeColor="text1"/>
        </w:rPr>
        <w:t xml:space="preserve"> 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w:t>
      </w:r>
      <w:r w:rsidR="009E5F74" w:rsidRPr="00F46E4F">
        <w:rPr>
          <w:rFonts w:ascii="Palatino Linotype" w:hAnsi="Palatino Linotype" w:cs="Arial"/>
          <w:color w:val="000000" w:themeColor="text1"/>
        </w:rPr>
        <w:t xml:space="preserve">en respuesta remitió </w:t>
      </w:r>
      <w:r w:rsidR="0028796B" w:rsidRPr="00F46E4F">
        <w:rPr>
          <w:rFonts w:ascii="Palatino Linotype" w:hAnsi="Palatino Linotype" w:cs="Arial"/>
          <w:color w:val="000000" w:themeColor="text1"/>
        </w:rPr>
        <w:t>tre</w:t>
      </w:r>
      <w:r w:rsidR="009059B4" w:rsidRPr="00F46E4F">
        <w:rPr>
          <w:rFonts w:ascii="Palatino Linotype" w:hAnsi="Palatino Linotype" w:cs="Arial"/>
          <w:color w:val="000000" w:themeColor="text1"/>
        </w:rPr>
        <w:t>s</w:t>
      </w:r>
      <w:r w:rsidR="003310EF" w:rsidRPr="00F46E4F">
        <w:rPr>
          <w:rFonts w:ascii="Palatino Linotype" w:hAnsi="Palatino Linotype" w:cs="Arial"/>
          <w:color w:val="000000" w:themeColor="text1"/>
        </w:rPr>
        <w:t xml:space="preserve"> archivo</w:t>
      </w:r>
      <w:r w:rsidR="009059B4" w:rsidRPr="00F46E4F">
        <w:rPr>
          <w:rFonts w:ascii="Palatino Linotype" w:hAnsi="Palatino Linotype" w:cs="Arial"/>
          <w:color w:val="000000" w:themeColor="text1"/>
        </w:rPr>
        <w:t>s</w:t>
      </w:r>
      <w:r w:rsidR="003310EF" w:rsidRPr="00F46E4F">
        <w:rPr>
          <w:rFonts w:ascii="Palatino Linotype" w:hAnsi="Palatino Linotype" w:cs="Arial"/>
          <w:color w:val="000000" w:themeColor="text1"/>
        </w:rPr>
        <w:t xml:space="preserve"> electrónico</w:t>
      </w:r>
      <w:r w:rsidR="009059B4" w:rsidRPr="00F46E4F">
        <w:rPr>
          <w:rFonts w:ascii="Palatino Linotype" w:hAnsi="Palatino Linotype" w:cs="Arial"/>
          <w:color w:val="000000" w:themeColor="text1"/>
        </w:rPr>
        <w:t>s</w:t>
      </w:r>
      <w:r w:rsidR="003310EF" w:rsidRPr="00F46E4F">
        <w:rPr>
          <w:rFonts w:ascii="Palatino Linotype" w:hAnsi="Palatino Linotype" w:cs="Arial"/>
          <w:color w:val="000000" w:themeColor="text1"/>
        </w:rPr>
        <w:t xml:space="preserve"> </w:t>
      </w:r>
      <w:r w:rsidR="009059B4" w:rsidRPr="00F46E4F">
        <w:rPr>
          <w:rFonts w:ascii="Palatino Linotype" w:hAnsi="Palatino Linotype" w:cs="Arial"/>
          <w:color w:val="000000" w:themeColor="text1"/>
        </w:rPr>
        <w:t>a saber:</w:t>
      </w:r>
    </w:p>
    <w:p w14:paraId="3192D389" w14:textId="46FD83A3" w:rsidR="0028796B" w:rsidRPr="00F46E4F" w:rsidRDefault="001173EF" w:rsidP="00F46E4F">
      <w:pPr>
        <w:pStyle w:val="Prrafodelista"/>
        <w:numPr>
          <w:ilvl w:val="0"/>
          <w:numId w:val="3"/>
        </w:numPr>
        <w:spacing w:line="360" w:lineRule="auto"/>
        <w:ind w:left="0" w:firstLine="0"/>
        <w:jc w:val="both"/>
        <w:rPr>
          <w:rFonts w:ascii="Palatino Linotype" w:hAnsi="Palatino Linotype" w:cs="Arial"/>
          <w:b/>
          <w:i/>
          <w:color w:val="000000" w:themeColor="text1"/>
        </w:rPr>
      </w:pPr>
      <w:r w:rsidRPr="00F46E4F">
        <w:rPr>
          <w:rFonts w:ascii="Palatino Linotype" w:hAnsi="Palatino Linotype" w:cs="Arial"/>
          <w:b/>
          <w:i/>
          <w:color w:val="000000" w:themeColor="text1"/>
        </w:rPr>
        <w:t>RESPUESTA SOLICITUD 1212025(2).pdf</w:t>
      </w:r>
      <w:r w:rsidR="0028796B" w:rsidRPr="00F46E4F">
        <w:rPr>
          <w:rFonts w:ascii="Palatino Linotype" w:hAnsi="Palatino Linotype" w:cs="Arial"/>
          <w:b/>
          <w:i/>
          <w:color w:val="000000" w:themeColor="text1"/>
        </w:rPr>
        <w:t xml:space="preserve">, </w:t>
      </w:r>
      <w:r w:rsidRPr="00F46E4F">
        <w:rPr>
          <w:rFonts w:ascii="Palatino Linotype" w:hAnsi="Palatino Linotype" w:cs="Arial"/>
          <w:color w:val="000000" w:themeColor="text1"/>
        </w:rPr>
        <w:t xml:space="preserve">cuyo contenido corresponde a un oficio signado por el Subdirector de Recursos Materiales a través del cual informa que se localizó las entidades contratadas para la difusión de información </w:t>
      </w:r>
      <w:r w:rsidR="00861622" w:rsidRPr="00F46E4F">
        <w:rPr>
          <w:rFonts w:ascii="Palatino Linotype" w:hAnsi="Palatino Linotype" w:cs="Arial"/>
          <w:color w:val="000000" w:themeColor="text1"/>
        </w:rPr>
        <w:t>institucional</w:t>
      </w:r>
      <w:r w:rsidRPr="00F46E4F">
        <w:rPr>
          <w:rFonts w:ascii="Palatino Linotype" w:hAnsi="Palatino Linotype" w:cs="Arial"/>
          <w:color w:val="000000" w:themeColor="text1"/>
        </w:rPr>
        <w:t xml:space="preserve"> en los últimos 5 años; asimismo hace mención que en lo correspondiente a los datos que se describen para los ejercicios 2020 y 2021, son los que se </w:t>
      </w:r>
      <w:r w:rsidR="00861622" w:rsidRPr="00F46E4F">
        <w:rPr>
          <w:rFonts w:ascii="Palatino Linotype" w:hAnsi="Palatino Linotype" w:cs="Arial"/>
          <w:color w:val="000000" w:themeColor="text1"/>
        </w:rPr>
        <w:t>identificaron</w:t>
      </w:r>
      <w:r w:rsidRPr="00F46E4F">
        <w:rPr>
          <w:rFonts w:ascii="Palatino Linotype" w:hAnsi="Palatino Linotype" w:cs="Arial"/>
          <w:color w:val="000000" w:themeColor="text1"/>
        </w:rPr>
        <w:t xml:space="preserve"> en los archivos de concentración, anexando para tal efecto los listados correspondientes desglosados por anualidad.</w:t>
      </w:r>
      <w:r w:rsidR="0028796B" w:rsidRPr="00F46E4F">
        <w:rPr>
          <w:rFonts w:ascii="Palatino Linotype" w:hAnsi="Palatino Linotype" w:cs="Arial"/>
          <w:color w:val="000000" w:themeColor="text1"/>
        </w:rPr>
        <w:t>.</w:t>
      </w:r>
    </w:p>
    <w:p w14:paraId="68C9FCD8" w14:textId="34303BBA" w:rsidR="0028796B" w:rsidRPr="00F46E4F" w:rsidRDefault="001173EF" w:rsidP="00F46E4F">
      <w:pPr>
        <w:pStyle w:val="Prrafodelista"/>
        <w:numPr>
          <w:ilvl w:val="0"/>
          <w:numId w:val="3"/>
        </w:numPr>
        <w:spacing w:line="360" w:lineRule="auto"/>
        <w:ind w:left="0" w:firstLine="0"/>
        <w:jc w:val="both"/>
        <w:rPr>
          <w:rFonts w:ascii="Palatino Linotype" w:hAnsi="Palatino Linotype" w:cs="Arial"/>
          <w:b/>
          <w:i/>
          <w:color w:val="000000" w:themeColor="text1"/>
        </w:rPr>
      </w:pPr>
      <w:r w:rsidRPr="00F46E4F">
        <w:rPr>
          <w:rFonts w:ascii="Palatino Linotype" w:hAnsi="Palatino Linotype" w:cs="Arial"/>
          <w:b/>
          <w:i/>
          <w:color w:val="000000" w:themeColor="text1"/>
        </w:rPr>
        <w:t>Oficio 0457 Solicitud 0121.pdf</w:t>
      </w:r>
      <w:r w:rsidR="0028796B" w:rsidRPr="00F46E4F">
        <w:rPr>
          <w:rFonts w:ascii="Palatino Linotype" w:hAnsi="Palatino Linotype" w:cs="Arial"/>
          <w:b/>
          <w:i/>
          <w:color w:val="000000" w:themeColor="text1"/>
        </w:rPr>
        <w:t xml:space="preserve">, </w:t>
      </w:r>
      <w:r w:rsidR="00861622" w:rsidRPr="00F46E4F">
        <w:rPr>
          <w:rFonts w:ascii="Palatino Linotype" w:hAnsi="Palatino Linotype" w:cs="Arial"/>
          <w:color w:val="000000" w:themeColor="text1"/>
        </w:rPr>
        <w:t>que corresponde a un oficio signado por el Tesorero Municipal; a mediante el cual informa que la información financiera generada es de conformidad a lo señalado en el artículo 56 del Título V de la Ley General de Contabilidad Gubernamental, por lo que la información requerida puede ser localizada en la página oficial del Ayuntamiento (https://www.zinacantepec.gob.mx/conac.php)</w:t>
      </w:r>
      <w:r w:rsidR="00D2278B" w:rsidRPr="00F46E4F">
        <w:rPr>
          <w:rFonts w:ascii="Palatino Linotype" w:hAnsi="Palatino Linotype" w:cs="Arial"/>
          <w:color w:val="000000" w:themeColor="text1"/>
        </w:rPr>
        <w:t>.</w:t>
      </w:r>
    </w:p>
    <w:p w14:paraId="5091C4A5" w14:textId="135342A2" w:rsidR="00D2278B" w:rsidRPr="00F46E4F" w:rsidRDefault="001173EF" w:rsidP="00F46E4F">
      <w:pPr>
        <w:pStyle w:val="Prrafodelista"/>
        <w:numPr>
          <w:ilvl w:val="0"/>
          <w:numId w:val="3"/>
        </w:numPr>
        <w:spacing w:line="360" w:lineRule="auto"/>
        <w:ind w:left="0" w:firstLine="0"/>
        <w:jc w:val="both"/>
        <w:rPr>
          <w:rFonts w:ascii="Palatino Linotype" w:hAnsi="Palatino Linotype" w:cs="Arial"/>
          <w:b/>
          <w:i/>
          <w:color w:val="000000" w:themeColor="text1"/>
        </w:rPr>
      </w:pPr>
      <w:r w:rsidRPr="00F46E4F">
        <w:rPr>
          <w:rFonts w:ascii="Palatino Linotype" w:hAnsi="Palatino Linotype" w:cs="Arial"/>
          <w:b/>
          <w:i/>
          <w:color w:val="000000" w:themeColor="text1"/>
        </w:rPr>
        <w:t>RESPUESTA SOLICITUD 121.pdf</w:t>
      </w:r>
      <w:r w:rsidR="0028796B" w:rsidRPr="00F46E4F">
        <w:rPr>
          <w:rFonts w:ascii="Palatino Linotype" w:hAnsi="Palatino Linotype" w:cs="Arial"/>
          <w:b/>
          <w:i/>
          <w:color w:val="000000" w:themeColor="text1"/>
        </w:rPr>
        <w:t xml:space="preserve">, </w:t>
      </w:r>
      <w:r w:rsidR="00861622" w:rsidRPr="00F46E4F">
        <w:rPr>
          <w:rFonts w:ascii="Palatino Linotype" w:hAnsi="Palatino Linotype" w:cs="Arial"/>
          <w:color w:val="000000" w:themeColor="text1"/>
        </w:rPr>
        <w:t>que corresponde a un oficio signado por la Titular de la Unidad de Transparencia, a través del cual informa de la respuesta emitida por los servidores públicos habilitados.</w:t>
      </w:r>
    </w:p>
    <w:p w14:paraId="060586DC" w14:textId="77777777" w:rsidR="004425EC" w:rsidRPr="00F46E4F" w:rsidRDefault="004425EC" w:rsidP="00F46E4F">
      <w:pPr>
        <w:pStyle w:val="Prrafodelista"/>
        <w:ind w:left="0"/>
        <w:rPr>
          <w:rFonts w:ascii="Palatino Linotype" w:hAnsi="Palatino Linotype" w:cs="Arial"/>
          <w:b/>
          <w:i/>
          <w:color w:val="000000" w:themeColor="text1"/>
        </w:rPr>
      </w:pPr>
    </w:p>
    <w:p w14:paraId="7231C6E3" w14:textId="30E9B24D" w:rsidR="00C86A6F" w:rsidRPr="00F46E4F" w:rsidRDefault="005B3CB5" w:rsidP="00F46E4F">
      <w:pPr>
        <w:pStyle w:val="Prrafodelista"/>
        <w:numPr>
          <w:ilvl w:val="0"/>
          <w:numId w:val="1"/>
        </w:numPr>
        <w:spacing w:line="360" w:lineRule="auto"/>
        <w:ind w:left="0" w:firstLine="0"/>
        <w:jc w:val="both"/>
        <w:rPr>
          <w:rFonts w:ascii="Palatino Linotype" w:hAnsi="Palatino Linotype" w:cs="Arial"/>
          <w:color w:val="000000" w:themeColor="text1"/>
        </w:rPr>
      </w:pPr>
      <w:r w:rsidRPr="00F46E4F">
        <w:rPr>
          <w:rFonts w:ascii="Palatino Linotype" w:hAnsi="Palatino Linotype" w:cs="Arial"/>
          <w:bCs/>
          <w:color w:val="000000" w:themeColor="text1"/>
        </w:rPr>
        <w:t>Inconforme con la respuesta emitida</w:t>
      </w:r>
      <w:r w:rsidR="00C86A6F" w:rsidRPr="00F46E4F">
        <w:rPr>
          <w:rFonts w:ascii="Palatino Linotype" w:hAnsi="Palatino Linotype" w:cs="Arial"/>
          <w:color w:val="000000" w:themeColor="text1"/>
        </w:rPr>
        <w:t xml:space="preserve">, </w:t>
      </w:r>
      <w:r w:rsidR="003A4C01" w:rsidRPr="00F46E4F">
        <w:rPr>
          <w:rFonts w:ascii="Palatino Linotype" w:hAnsi="Palatino Linotype" w:cs="Arial"/>
          <w:color w:val="000000" w:themeColor="text1"/>
        </w:rPr>
        <w:t xml:space="preserve">el </w:t>
      </w:r>
      <w:r w:rsidR="00861622" w:rsidRPr="00F46E4F">
        <w:rPr>
          <w:rFonts w:ascii="Palatino Linotype" w:hAnsi="Palatino Linotype" w:cs="Arial"/>
          <w:b/>
          <w:color w:val="000000" w:themeColor="text1"/>
        </w:rPr>
        <w:t>seis de mayo</w:t>
      </w:r>
      <w:r w:rsidR="003A4C01" w:rsidRPr="00F46E4F">
        <w:rPr>
          <w:rFonts w:ascii="Palatino Linotype" w:hAnsi="Palatino Linotype" w:cs="Arial"/>
          <w:b/>
          <w:color w:val="000000" w:themeColor="text1"/>
        </w:rPr>
        <w:t xml:space="preserve"> de dos mil veinticinco</w:t>
      </w:r>
      <w:r w:rsidR="003A4C01" w:rsidRPr="00F46E4F">
        <w:rPr>
          <w:rFonts w:ascii="Palatino Linotype" w:hAnsi="Palatino Linotype" w:cs="Arial"/>
          <w:color w:val="000000" w:themeColor="text1"/>
        </w:rPr>
        <w:t xml:space="preserve">, </w:t>
      </w:r>
      <w:r w:rsidR="00C86A6F" w:rsidRPr="00F46E4F">
        <w:rPr>
          <w:rFonts w:ascii="Palatino Linotype" w:hAnsi="Palatino Linotype" w:cs="Arial"/>
          <w:color w:val="000000" w:themeColor="text1"/>
        </w:rPr>
        <w:t xml:space="preserve">la parte </w:t>
      </w:r>
      <w:r w:rsidRPr="00F46E4F">
        <w:rPr>
          <w:rFonts w:ascii="Palatino Linotype" w:hAnsi="Palatino Linotype" w:cs="Arial"/>
          <w:b/>
          <w:color w:val="000000" w:themeColor="text1"/>
        </w:rPr>
        <w:t>RECURRENTE</w:t>
      </w:r>
      <w:r w:rsidRPr="00F46E4F">
        <w:rPr>
          <w:rFonts w:ascii="Palatino Linotype" w:hAnsi="Palatino Linotype" w:cs="Arial"/>
          <w:color w:val="000000" w:themeColor="text1"/>
        </w:rPr>
        <w:t xml:space="preserve"> </w:t>
      </w:r>
      <w:r w:rsidR="00C86A6F" w:rsidRPr="00F46E4F">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F46E4F" w:rsidRDefault="007D6876" w:rsidP="00F46E4F">
      <w:pPr>
        <w:pStyle w:val="Prrafodelista"/>
        <w:spacing w:line="360" w:lineRule="auto"/>
        <w:ind w:left="0"/>
        <w:jc w:val="both"/>
        <w:rPr>
          <w:rFonts w:ascii="Palatino Linotype" w:hAnsi="Palatino Linotype" w:cs="Arial"/>
          <w:i/>
          <w:color w:val="000000" w:themeColor="text1"/>
        </w:rPr>
      </w:pPr>
    </w:p>
    <w:p w14:paraId="5D8BD90A" w14:textId="77777777" w:rsidR="00D5494C" w:rsidRPr="00F46E4F" w:rsidRDefault="00D5494C" w:rsidP="006B6F23">
      <w:pPr>
        <w:pStyle w:val="Prrafodelista"/>
        <w:numPr>
          <w:ilvl w:val="0"/>
          <w:numId w:val="19"/>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F46E4F">
        <w:rPr>
          <w:rStyle w:val="Ttulo2Car"/>
          <w:rFonts w:ascii="Palatino Linotype" w:hAnsi="Palatino Linotype"/>
          <w:b/>
          <w:color w:val="000000" w:themeColor="text1"/>
          <w:sz w:val="24"/>
          <w:szCs w:val="24"/>
        </w:rPr>
        <w:t>ACTO IMPUGNADO:</w:t>
      </w:r>
    </w:p>
    <w:p w14:paraId="332B30C8" w14:textId="01FDFF02" w:rsidR="00961A06" w:rsidRPr="00F46E4F" w:rsidRDefault="00D5494C" w:rsidP="006E01FE">
      <w:pPr>
        <w:pStyle w:val="Prrafodelista"/>
        <w:spacing w:line="360" w:lineRule="auto"/>
        <w:ind w:left="0" w:firstLine="360"/>
        <w:jc w:val="both"/>
        <w:rPr>
          <w:rStyle w:val="Ttulo2Car"/>
          <w:rFonts w:ascii="Palatino Linotype" w:hAnsi="Palatino Linotype"/>
          <w:i/>
          <w:color w:val="000000" w:themeColor="text1"/>
          <w:sz w:val="24"/>
          <w:szCs w:val="24"/>
        </w:rPr>
      </w:pPr>
      <w:r w:rsidRPr="00F46E4F">
        <w:rPr>
          <w:rStyle w:val="Ttulo2Car"/>
          <w:rFonts w:ascii="Palatino Linotype" w:hAnsi="Palatino Linotype"/>
          <w:i/>
          <w:color w:val="000000" w:themeColor="text1"/>
          <w:sz w:val="24"/>
          <w:szCs w:val="24"/>
        </w:rPr>
        <w:t>“</w:t>
      </w:r>
      <w:r w:rsidR="00861622" w:rsidRPr="00F46E4F">
        <w:rPr>
          <w:rStyle w:val="Ttulo2Car"/>
          <w:rFonts w:ascii="Palatino Linotype" w:hAnsi="Palatino Linotype"/>
          <w:i/>
          <w:color w:val="000000" w:themeColor="text1"/>
          <w:sz w:val="24"/>
          <w:szCs w:val="24"/>
        </w:rPr>
        <w:t>NO ENTREGA INFORMACION</w:t>
      </w:r>
      <w:r w:rsidRPr="00F46E4F">
        <w:rPr>
          <w:rStyle w:val="Ttulo2Car"/>
          <w:rFonts w:ascii="Palatino Linotype" w:hAnsi="Palatino Linotype"/>
          <w:i/>
          <w:color w:val="000000" w:themeColor="text1"/>
          <w:sz w:val="24"/>
          <w:szCs w:val="24"/>
        </w:rPr>
        <w:t>”</w:t>
      </w:r>
    </w:p>
    <w:p w14:paraId="0E3238EF" w14:textId="77777777" w:rsidR="00EA6CE3" w:rsidRPr="00F46E4F" w:rsidRDefault="00EA6CE3" w:rsidP="00F46E4F">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F46E4F" w:rsidRDefault="00942B6E" w:rsidP="006B6F23">
      <w:pPr>
        <w:pStyle w:val="Prrafodelista"/>
        <w:numPr>
          <w:ilvl w:val="0"/>
          <w:numId w:val="19"/>
        </w:numPr>
        <w:spacing w:line="360" w:lineRule="auto"/>
        <w:jc w:val="both"/>
        <w:rPr>
          <w:rStyle w:val="Ttulo2Car"/>
          <w:rFonts w:ascii="Palatino Linotype" w:hAnsi="Palatino Linotype"/>
          <w:b/>
          <w:color w:val="000000" w:themeColor="text1"/>
          <w:sz w:val="24"/>
          <w:szCs w:val="24"/>
        </w:rPr>
      </w:pPr>
      <w:r w:rsidRPr="00F46E4F">
        <w:rPr>
          <w:rStyle w:val="Ttulo2Car"/>
          <w:rFonts w:ascii="Palatino Linotype" w:hAnsi="Palatino Linotype"/>
          <w:b/>
          <w:color w:val="000000" w:themeColor="text1"/>
          <w:sz w:val="24"/>
          <w:szCs w:val="24"/>
        </w:rPr>
        <w:lastRenderedPageBreak/>
        <w:t>RAZONES O MOTIVOS DE LA INCONFORMIDAD</w:t>
      </w:r>
      <w:r w:rsidRPr="00F46E4F">
        <w:rPr>
          <w:rStyle w:val="Ttulo2Car"/>
          <w:rFonts w:ascii="Palatino Linotype" w:hAnsi="Palatino Linotype"/>
          <w:b/>
          <w:color w:val="000000" w:themeColor="text1"/>
          <w:sz w:val="24"/>
          <w:szCs w:val="24"/>
        </w:rPr>
        <w:tab/>
      </w:r>
    </w:p>
    <w:p w14:paraId="66898454" w14:textId="7C2E7A8D" w:rsidR="00942B6E" w:rsidRPr="00F46E4F" w:rsidRDefault="00942B6E" w:rsidP="006E01FE">
      <w:pPr>
        <w:pStyle w:val="Prrafodelista"/>
        <w:spacing w:line="360" w:lineRule="auto"/>
        <w:ind w:left="0" w:firstLine="360"/>
        <w:jc w:val="both"/>
        <w:rPr>
          <w:rStyle w:val="Ttulo2Car"/>
          <w:rFonts w:ascii="Palatino Linotype" w:hAnsi="Palatino Linotype"/>
          <w:i/>
          <w:color w:val="000000" w:themeColor="text1"/>
          <w:sz w:val="24"/>
          <w:szCs w:val="24"/>
        </w:rPr>
      </w:pPr>
      <w:r w:rsidRPr="00F46E4F">
        <w:rPr>
          <w:rStyle w:val="Ttulo2Car"/>
          <w:rFonts w:ascii="Palatino Linotype" w:hAnsi="Palatino Linotype"/>
          <w:i/>
          <w:color w:val="000000" w:themeColor="text1"/>
          <w:sz w:val="24"/>
          <w:szCs w:val="24"/>
        </w:rPr>
        <w:t>“</w:t>
      </w:r>
      <w:r w:rsidR="00861622" w:rsidRPr="00F46E4F">
        <w:rPr>
          <w:rStyle w:val="Ttulo2Car"/>
          <w:rFonts w:ascii="Palatino Linotype" w:hAnsi="Palatino Linotype"/>
          <w:i/>
          <w:color w:val="000000" w:themeColor="text1"/>
          <w:sz w:val="24"/>
          <w:szCs w:val="24"/>
        </w:rPr>
        <w:t>NO ENTREGA INFORMACION</w:t>
      </w:r>
      <w:r w:rsidRPr="00F46E4F">
        <w:rPr>
          <w:rStyle w:val="Ttulo2Car"/>
          <w:rFonts w:ascii="Palatino Linotype" w:hAnsi="Palatino Linotype"/>
          <w:i/>
          <w:color w:val="000000" w:themeColor="text1"/>
          <w:sz w:val="24"/>
          <w:szCs w:val="24"/>
        </w:rPr>
        <w:t>”</w:t>
      </w:r>
    </w:p>
    <w:p w14:paraId="0EE8D61B" w14:textId="77777777" w:rsidR="00067EAC" w:rsidRPr="00F46E4F" w:rsidRDefault="00067EAC" w:rsidP="00F46E4F">
      <w:pPr>
        <w:spacing w:line="360" w:lineRule="auto"/>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3213C1D3" w:rsidR="00947C3B" w:rsidRPr="00F46E4F" w:rsidRDefault="00947C3B" w:rsidP="00F46E4F">
      <w:pPr>
        <w:pStyle w:val="Prrafodelista"/>
        <w:numPr>
          <w:ilvl w:val="0"/>
          <w:numId w:val="1"/>
        </w:numPr>
        <w:spacing w:line="360" w:lineRule="auto"/>
        <w:ind w:left="0" w:firstLine="0"/>
        <w:jc w:val="both"/>
        <w:rPr>
          <w:rFonts w:ascii="Palatino Linotype" w:hAnsi="Palatino Linotype"/>
          <w:i/>
          <w:color w:val="000000" w:themeColor="text1"/>
        </w:rPr>
      </w:pPr>
      <w:r w:rsidRPr="00F46E4F">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861622" w:rsidRPr="00F46E4F">
        <w:rPr>
          <w:rFonts w:ascii="Palatino Linotype" w:eastAsia="Calibri" w:hAnsi="Palatino Linotype" w:cs="Arial"/>
          <w:b/>
          <w:color w:val="000000" w:themeColor="text1"/>
          <w:lang w:val="es-ES"/>
        </w:rPr>
        <w:t>doce de mayo</w:t>
      </w:r>
      <w:r w:rsidR="005F78BC" w:rsidRPr="00F46E4F">
        <w:rPr>
          <w:rFonts w:ascii="Palatino Linotype" w:eastAsia="Calibri" w:hAnsi="Palatino Linotype" w:cs="Arial"/>
          <w:b/>
          <w:color w:val="000000" w:themeColor="text1"/>
          <w:lang w:val="es-ES"/>
        </w:rPr>
        <w:t xml:space="preserve"> </w:t>
      </w:r>
      <w:r w:rsidR="005E75E6" w:rsidRPr="00F46E4F">
        <w:rPr>
          <w:rFonts w:ascii="Palatino Linotype" w:eastAsia="Calibri" w:hAnsi="Palatino Linotype" w:cs="Arial"/>
          <w:b/>
          <w:color w:val="000000" w:themeColor="text1"/>
          <w:lang w:val="es-ES"/>
        </w:rPr>
        <w:t xml:space="preserve">dos mil </w:t>
      </w:r>
      <w:r w:rsidR="00067EAC" w:rsidRPr="00F46E4F">
        <w:rPr>
          <w:rFonts w:ascii="Palatino Linotype" w:eastAsia="Calibri" w:hAnsi="Palatino Linotype" w:cs="Arial"/>
          <w:b/>
          <w:color w:val="000000" w:themeColor="text1"/>
          <w:lang w:val="es-ES"/>
        </w:rPr>
        <w:t>vein</w:t>
      </w:r>
      <w:r w:rsidR="00DA5EB8" w:rsidRPr="00F46E4F">
        <w:rPr>
          <w:rFonts w:ascii="Palatino Linotype" w:eastAsia="Calibri" w:hAnsi="Palatino Linotype" w:cs="Arial"/>
          <w:b/>
          <w:color w:val="000000" w:themeColor="text1"/>
          <w:lang w:val="es-ES"/>
        </w:rPr>
        <w:t>ticinco</w:t>
      </w:r>
      <w:r w:rsidRPr="00F46E4F">
        <w:rPr>
          <w:rFonts w:ascii="Palatino Linotype" w:eastAsia="Calibri" w:hAnsi="Palatino Linotype" w:cs="Arial"/>
          <w:color w:val="000000" w:themeColor="text1"/>
          <w:lang w:val="es-ES"/>
        </w:rPr>
        <w:t xml:space="preserve">, puso a disposición de las partes el expediente electrónico </w:t>
      </w:r>
      <w:r w:rsidRPr="00F46E4F">
        <w:rPr>
          <w:rFonts w:ascii="Palatino Linotype" w:eastAsia="Calibri" w:hAnsi="Palatino Linotype" w:cs="Arial"/>
          <w:color w:val="000000" w:themeColor="text1"/>
        </w:rPr>
        <w:t xml:space="preserve">vía </w:t>
      </w:r>
      <w:r w:rsidRPr="00F46E4F">
        <w:rPr>
          <w:rFonts w:ascii="Palatino Linotype" w:eastAsia="Calibri" w:hAnsi="Palatino Linotype" w:cs="Arial"/>
          <w:b/>
          <w:color w:val="000000" w:themeColor="text1"/>
          <w:lang w:val="es-ES"/>
        </w:rPr>
        <w:t xml:space="preserve">SAIMEX </w:t>
      </w:r>
      <w:r w:rsidRPr="00F46E4F">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F46E4F">
        <w:rPr>
          <w:rFonts w:ascii="Palatino Linotype" w:eastAsia="Calibri" w:hAnsi="Palatino Linotype" w:cs="Arial"/>
          <w:b/>
          <w:color w:val="000000" w:themeColor="text1"/>
          <w:lang w:val="es-ES"/>
        </w:rPr>
        <w:t>SUJETO OBLIGADO</w:t>
      </w:r>
      <w:r w:rsidRPr="00F46E4F">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F46E4F" w:rsidRDefault="00947C3B" w:rsidP="00F46E4F">
      <w:pPr>
        <w:pStyle w:val="Prrafodelista"/>
        <w:spacing w:line="360" w:lineRule="auto"/>
        <w:ind w:left="0"/>
        <w:jc w:val="both"/>
        <w:rPr>
          <w:rFonts w:ascii="Palatino Linotype" w:hAnsi="Palatino Linotype"/>
          <w:color w:val="000000" w:themeColor="text1"/>
        </w:rPr>
      </w:pPr>
    </w:p>
    <w:p w14:paraId="06973C56" w14:textId="68216D73" w:rsidR="004C3E30" w:rsidRPr="00F46E4F" w:rsidRDefault="00D177AD" w:rsidP="00F46E4F">
      <w:pPr>
        <w:pStyle w:val="Prrafodelista"/>
        <w:numPr>
          <w:ilvl w:val="0"/>
          <w:numId w:val="1"/>
        </w:numPr>
        <w:spacing w:line="360" w:lineRule="auto"/>
        <w:ind w:left="0" w:firstLine="0"/>
        <w:jc w:val="both"/>
        <w:rPr>
          <w:rFonts w:ascii="Palatino Linotype" w:hAnsi="Palatino Linotype"/>
          <w:color w:val="000000" w:themeColor="text1"/>
        </w:rPr>
      </w:pPr>
      <w:r w:rsidRPr="00F46E4F">
        <w:rPr>
          <w:rFonts w:ascii="Palatino Linotype" w:hAnsi="Palatino Linotype"/>
          <w:color w:val="000000" w:themeColor="text1"/>
        </w:rPr>
        <w:t xml:space="preserve">El </w:t>
      </w:r>
      <w:r w:rsidRPr="00F46E4F">
        <w:rPr>
          <w:rFonts w:ascii="Palatino Linotype" w:hAnsi="Palatino Linotype"/>
          <w:b/>
          <w:color w:val="000000" w:themeColor="text1"/>
        </w:rPr>
        <w:t xml:space="preserve">SUJETO </w:t>
      </w:r>
      <w:r w:rsidRPr="00F46E4F">
        <w:rPr>
          <w:rFonts w:ascii="Palatino Linotype" w:eastAsia="Calibri" w:hAnsi="Palatino Linotype" w:cs="Arial"/>
          <w:b/>
          <w:color w:val="000000" w:themeColor="text1"/>
          <w:lang w:val="es-ES"/>
        </w:rPr>
        <w:t>OBLIGADO</w:t>
      </w:r>
      <w:r w:rsidRPr="00F46E4F">
        <w:rPr>
          <w:rFonts w:ascii="Palatino Linotype" w:hAnsi="Palatino Linotype"/>
          <w:color w:val="000000" w:themeColor="text1"/>
        </w:rPr>
        <w:t xml:space="preserve"> </w:t>
      </w:r>
      <w:r w:rsidR="001A7D36" w:rsidRPr="00F46E4F">
        <w:rPr>
          <w:rFonts w:ascii="Palatino Linotype" w:hAnsi="Palatino Linotype"/>
          <w:color w:val="000000" w:themeColor="text1"/>
        </w:rPr>
        <w:t xml:space="preserve">en fecha </w:t>
      </w:r>
      <w:r w:rsidR="00B302F6" w:rsidRPr="00F46E4F">
        <w:rPr>
          <w:rFonts w:ascii="Palatino Linotype" w:eastAsia="Calibri" w:hAnsi="Palatino Linotype" w:cs="Arial"/>
          <w:color w:val="000000" w:themeColor="text1"/>
          <w:lang w:val="es-ES"/>
        </w:rPr>
        <w:t>veintiuno</w:t>
      </w:r>
      <w:r w:rsidR="003505DC" w:rsidRPr="00F46E4F">
        <w:rPr>
          <w:rFonts w:ascii="Palatino Linotype" w:hAnsi="Palatino Linotype"/>
          <w:b/>
          <w:color w:val="000000" w:themeColor="text1"/>
        </w:rPr>
        <w:t xml:space="preserve"> </w:t>
      </w:r>
      <w:r w:rsidR="004C3E30" w:rsidRPr="00F46E4F">
        <w:rPr>
          <w:rFonts w:ascii="Palatino Linotype" w:hAnsi="Palatino Linotype"/>
          <w:b/>
          <w:color w:val="000000" w:themeColor="text1"/>
        </w:rPr>
        <w:t>de</w:t>
      </w:r>
      <w:r w:rsidR="00B302F6" w:rsidRPr="00F46E4F">
        <w:rPr>
          <w:rFonts w:ascii="Palatino Linotype" w:hAnsi="Palatino Linotype"/>
          <w:b/>
          <w:color w:val="000000" w:themeColor="text1"/>
        </w:rPr>
        <w:t xml:space="preserve"> mayo</w:t>
      </w:r>
      <w:r w:rsidR="004C3E30" w:rsidRPr="00F46E4F">
        <w:rPr>
          <w:rFonts w:ascii="Palatino Linotype" w:hAnsi="Palatino Linotype"/>
          <w:b/>
          <w:color w:val="000000" w:themeColor="text1"/>
        </w:rPr>
        <w:t xml:space="preserve"> dos mil veinticinco</w:t>
      </w:r>
      <w:r w:rsidR="00CD6CD8" w:rsidRPr="00F46E4F">
        <w:rPr>
          <w:rFonts w:ascii="Palatino Linotype" w:hAnsi="Palatino Linotype"/>
          <w:color w:val="000000" w:themeColor="text1"/>
        </w:rPr>
        <w:t>,</w:t>
      </w:r>
      <w:r w:rsidR="00CB1F02" w:rsidRPr="00F46E4F">
        <w:rPr>
          <w:rFonts w:ascii="Palatino Linotype" w:hAnsi="Palatino Linotype"/>
          <w:color w:val="000000" w:themeColor="text1"/>
        </w:rPr>
        <w:t xml:space="preserve"> </w:t>
      </w:r>
      <w:r w:rsidR="00CB1F02" w:rsidRPr="00F46E4F">
        <w:rPr>
          <w:rFonts w:ascii="Palatino Linotype" w:eastAsia="Calibri" w:hAnsi="Palatino Linotype" w:cs="Arial"/>
          <w:color w:val="000000" w:themeColor="text1"/>
          <w:lang w:val="es-ES"/>
        </w:rPr>
        <w:t>rindió</w:t>
      </w:r>
      <w:r w:rsidR="00CB1F02" w:rsidRPr="00F46E4F">
        <w:rPr>
          <w:rFonts w:ascii="Palatino Linotype" w:hAnsi="Palatino Linotype"/>
          <w:color w:val="000000" w:themeColor="text1"/>
        </w:rPr>
        <w:t xml:space="preserve"> el informe </w:t>
      </w:r>
      <w:r w:rsidR="00CB1F02" w:rsidRPr="00F46E4F">
        <w:rPr>
          <w:rFonts w:ascii="Palatino Linotype" w:eastAsia="Calibri" w:hAnsi="Palatino Linotype" w:cs="Arial"/>
          <w:color w:val="000000" w:themeColor="text1"/>
          <w:lang w:val="es-ES"/>
        </w:rPr>
        <w:t>justific</w:t>
      </w:r>
      <w:r w:rsidR="00C47088" w:rsidRPr="00F46E4F">
        <w:rPr>
          <w:rFonts w:ascii="Palatino Linotype" w:eastAsia="Calibri" w:hAnsi="Palatino Linotype" w:cs="Arial"/>
          <w:color w:val="000000" w:themeColor="text1"/>
          <w:lang w:val="es-ES"/>
        </w:rPr>
        <w:t>ado</w:t>
      </w:r>
      <w:r w:rsidR="003310EF" w:rsidRPr="00F46E4F">
        <w:rPr>
          <w:rFonts w:ascii="Palatino Linotype" w:hAnsi="Palatino Linotype"/>
          <w:color w:val="000000" w:themeColor="text1"/>
        </w:rPr>
        <w:t xml:space="preserve"> correspondiente por </w:t>
      </w:r>
      <w:r w:rsidR="003310EF" w:rsidRPr="00F46E4F">
        <w:rPr>
          <w:rFonts w:ascii="Palatino Linotype" w:eastAsia="Palatino Linotype" w:hAnsi="Palatino Linotype" w:cs="Palatino Linotype"/>
          <w:color w:val="000000" w:themeColor="text1"/>
        </w:rPr>
        <w:t>medio</w:t>
      </w:r>
      <w:r w:rsidR="00D3761C" w:rsidRPr="00F46E4F">
        <w:rPr>
          <w:rFonts w:ascii="Palatino Linotype" w:hAnsi="Palatino Linotype"/>
          <w:color w:val="000000" w:themeColor="text1"/>
        </w:rPr>
        <w:t xml:space="preserve"> de </w:t>
      </w:r>
      <w:r w:rsidR="003505DC" w:rsidRPr="00F46E4F">
        <w:rPr>
          <w:rFonts w:ascii="Palatino Linotype" w:hAnsi="Palatino Linotype"/>
          <w:color w:val="000000" w:themeColor="text1"/>
        </w:rPr>
        <w:t>dos</w:t>
      </w:r>
      <w:r w:rsidR="00D3761C" w:rsidRPr="00F46E4F">
        <w:rPr>
          <w:rFonts w:ascii="Palatino Linotype" w:hAnsi="Palatino Linotype"/>
          <w:color w:val="000000" w:themeColor="text1"/>
        </w:rPr>
        <w:t xml:space="preserve"> archivo</w:t>
      </w:r>
      <w:r w:rsidR="003505DC" w:rsidRPr="00F46E4F">
        <w:rPr>
          <w:rFonts w:ascii="Palatino Linotype" w:hAnsi="Palatino Linotype"/>
          <w:color w:val="000000" w:themeColor="text1"/>
        </w:rPr>
        <w:t>s</w:t>
      </w:r>
      <w:r w:rsidR="003310EF" w:rsidRPr="00F46E4F">
        <w:rPr>
          <w:rFonts w:ascii="Palatino Linotype" w:hAnsi="Palatino Linotype"/>
          <w:color w:val="000000" w:themeColor="text1"/>
        </w:rPr>
        <w:t xml:space="preserve"> denominado</w:t>
      </w:r>
      <w:r w:rsidR="003505DC" w:rsidRPr="00F46E4F">
        <w:rPr>
          <w:rFonts w:ascii="Palatino Linotype" w:hAnsi="Palatino Linotype"/>
          <w:color w:val="000000" w:themeColor="text1"/>
        </w:rPr>
        <w:t>s</w:t>
      </w:r>
      <w:r w:rsidR="003310EF" w:rsidRPr="00F46E4F">
        <w:rPr>
          <w:rFonts w:ascii="Palatino Linotype" w:hAnsi="Palatino Linotype"/>
          <w:color w:val="000000" w:themeColor="text1"/>
        </w:rPr>
        <w:t xml:space="preserve"> </w:t>
      </w:r>
      <w:r w:rsidR="00B302F6" w:rsidRPr="00F46E4F">
        <w:rPr>
          <w:rFonts w:ascii="Palatino Linotype" w:hAnsi="Palatino Linotype"/>
          <w:i/>
          <w:color w:val="000000" w:themeColor="text1"/>
        </w:rPr>
        <w:t xml:space="preserve">IJ 5108 2025..pdf </w:t>
      </w:r>
      <w:r w:rsidR="00B302F6" w:rsidRPr="00F46E4F">
        <w:rPr>
          <w:rFonts w:ascii="Palatino Linotype" w:hAnsi="Palatino Linotype"/>
          <w:color w:val="000000" w:themeColor="text1"/>
        </w:rPr>
        <w:t>y</w:t>
      </w:r>
      <w:r w:rsidR="00B302F6" w:rsidRPr="00F46E4F">
        <w:rPr>
          <w:rFonts w:ascii="Palatino Linotype" w:hAnsi="Palatino Linotype"/>
          <w:i/>
          <w:color w:val="000000" w:themeColor="text1"/>
        </w:rPr>
        <w:t xml:space="preserve"> TESORERIA SOL 121.pdf</w:t>
      </w:r>
      <w:r w:rsidR="003310EF" w:rsidRPr="00F46E4F">
        <w:rPr>
          <w:rFonts w:ascii="Palatino Linotype" w:hAnsi="Palatino Linotype"/>
          <w:color w:val="000000" w:themeColor="text1"/>
        </w:rPr>
        <w:t xml:space="preserve">, </w:t>
      </w:r>
      <w:r w:rsidR="009E04DF" w:rsidRPr="00F46E4F">
        <w:rPr>
          <w:rFonts w:ascii="Palatino Linotype" w:hAnsi="Palatino Linotype"/>
          <w:color w:val="000000" w:themeColor="text1"/>
        </w:rPr>
        <w:t xml:space="preserve">a un escrito suscrito por la Titular de la Unidad de Transparencia, quien confirmó la respuesta inicial y solicita se sobresea el recurso de revisión. Asimismo se remitió informe justificado remitido por el Tesorero Municipal, quien remite un hipervínculo diverso del inicialmente entregado (https://www.zinacantepec.gob.mx/index.php) en formato abierto, así como una serie de instrucciones a seguir para poder obtener información financiera relacionada con la requerida en la solicitud de información. Por su parte el </w:t>
      </w:r>
      <w:r w:rsidR="009E04DF" w:rsidRPr="00F46E4F">
        <w:rPr>
          <w:rFonts w:ascii="Palatino Linotype" w:hAnsi="Palatino Linotype"/>
          <w:b/>
          <w:color w:val="000000" w:themeColor="text1"/>
        </w:rPr>
        <w:t xml:space="preserve">RECURRENTE </w:t>
      </w:r>
      <w:r w:rsidR="009E04DF" w:rsidRPr="00F46E4F">
        <w:rPr>
          <w:rFonts w:ascii="Palatino Linotype" w:hAnsi="Palatino Linotype"/>
          <w:color w:val="000000" w:themeColor="text1"/>
        </w:rPr>
        <w:t>fue omiso en realizar manifestaciones que a su derecho conviniera y asistiera.</w:t>
      </w:r>
    </w:p>
    <w:p w14:paraId="548F5806" w14:textId="77777777" w:rsidR="006A284C" w:rsidRPr="00F46E4F" w:rsidRDefault="006A284C" w:rsidP="00F46E4F">
      <w:pPr>
        <w:pStyle w:val="Prrafodelista"/>
        <w:spacing w:line="360" w:lineRule="auto"/>
        <w:ind w:left="0"/>
        <w:rPr>
          <w:rFonts w:ascii="Palatino Linotype" w:hAnsi="Palatino Linotype"/>
          <w:color w:val="000000" w:themeColor="text1"/>
        </w:rPr>
      </w:pPr>
    </w:p>
    <w:p w14:paraId="000B9257" w14:textId="5F18C1AC" w:rsidR="006A284C" w:rsidRPr="00F46E4F" w:rsidRDefault="006A284C"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El </w:t>
      </w:r>
      <w:r w:rsidR="009E04DF" w:rsidRPr="00F46E4F">
        <w:rPr>
          <w:rFonts w:ascii="Palatino Linotype" w:eastAsia="Palatino Linotype" w:hAnsi="Palatino Linotype" w:cs="Palatino Linotype"/>
          <w:b/>
          <w:color w:val="000000" w:themeColor="text1"/>
        </w:rPr>
        <w:t>veinticinco</w:t>
      </w:r>
      <w:r w:rsidR="00D3761C" w:rsidRPr="00F46E4F">
        <w:rPr>
          <w:rFonts w:ascii="Palatino Linotype" w:eastAsia="Palatino Linotype" w:hAnsi="Palatino Linotype" w:cs="Palatino Linotype"/>
          <w:b/>
          <w:color w:val="000000" w:themeColor="text1"/>
        </w:rPr>
        <w:t xml:space="preserve"> de septiembre</w:t>
      </w:r>
      <w:r w:rsidRPr="00F46E4F">
        <w:rPr>
          <w:rFonts w:ascii="Palatino Linotype" w:eastAsia="Palatino Linotype" w:hAnsi="Palatino Linotype" w:cs="Palatino Linotype"/>
          <w:b/>
          <w:color w:val="000000" w:themeColor="text1"/>
        </w:rPr>
        <w:t xml:space="preserve"> del año en curso</w:t>
      </w:r>
      <w:r w:rsidRPr="00F46E4F">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w:t>
      </w:r>
      <w:r w:rsidRPr="00F46E4F">
        <w:rPr>
          <w:rFonts w:ascii="Palatino Linotype" w:eastAsia="Palatino Linotype" w:hAnsi="Palatino Linotype" w:cs="Palatino Linotype"/>
          <w:color w:val="000000" w:themeColor="text1"/>
        </w:rPr>
        <w:lastRenderedPageBreak/>
        <w:t xml:space="preserve">México y Municipios se </w:t>
      </w:r>
      <w:r w:rsidRPr="00F46E4F">
        <w:rPr>
          <w:rFonts w:ascii="Palatino Linotype" w:hAnsi="Palatino Linotype"/>
          <w:color w:val="000000" w:themeColor="text1"/>
        </w:rPr>
        <w:t>notificó</w:t>
      </w:r>
      <w:r w:rsidRPr="00F46E4F">
        <w:rPr>
          <w:rFonts w:ascii="Palatino Linotype" w:eastAsia="Palatino Linotype" w:hAnsi="Palatino Linotype" w:cs="Palatino Linotype"/>
          <w:color w:val="000000" w:themeColor="text1"/>
        </w:rPr>
        <w:t xml:space="preserve"> que el plazo de treinta días para resolver el </w:t>
      </w:r>
      <w:r w:rsidR="00ED6C32" w:rsidRPr="00F46E4F">
        <w:rPr>
          <w:rFonts w:ascii="Palatino Linotype" w:eastAsia="Palatino Linotype" w:hAnsi="Palatino Linotype" w:cs="Palatino Linotype"/>
          <w:color w:val="000000" w:themeColor="text1"/>
        </w:rPr>
        <w:t>Recurso de R</w:t>
      </w:r>
      <w:r w:rsidRPr="00F46E4F">
        <w:rPr>
          <w:rFonts w:ascii="Palatino Linotype" w:eastAsia="Palatino Linotype" w:hAnsi="Palatino Linotype" w:cs="Palatino Linotype"/>
          <w:color w:val="000000" w:themeColor="text1"/>
        </w:rPr>
        <w:t>evisión sería ampliado por un periodo de quince días hábiles adicionales.</w:t>
      </w:r>
    </w:p>
    <w:p w14:paraId="34C9F14E" w14:textId="77777777" w:rsidR="009E04DF" w:rsidRPr="00F46E4F" w:rsidRDefault="009E04DF" w:rsidP="00F46E4F">
      <w:pPr>
        <w:pStyle w:val="Prrafodelista"/>
        <w:spacing w:line="360" w:lineRule="auto"/>
        <w:ind w:left="0"/>
        <w:rPr>
          <w:rFonts w:ascii="Palatino Linotype" w:eastAsia="Palatino Linotype" w:hAnsi="Palatino Linotype" w:cs="Palatino Linotype"/>
          <w:color w:val="000000" w:themeColor="text1"/>
        </w:rPr>
      </w:pPr>
    </w:p>
    <w:p w14:paraId="49962870" w14:textId="06907128" w:rsidR="006A284C" w:rsidRPr="00F46E4F" w:rsidRDefault="006A284C"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Este </w:t>
      </w:r>
      <w:r w:rsidR="006F721C" w:rsidRPr="00F46E4F">
        <w:rPr>
          <w:rFonts w:ascii="Palatino Linotype" w:eastAsia="Palatino Linotype" w:hAnsi="Palatino Linotype" w:cs="Palatino Linotype"/>
          <w:color w:val="000000" w:themeColor="text1"/>
        </w:rPr>
        <w:t>O</w:t>
      </w:r>
      <w:r w:rsidRPr="00F46E4F">
        <w:rPr>
          <w:rFonts w:ascii="Palatino Linotype" w:eastAsia="Palatino Linotype" w:hAnsi="Palatino Linotype" w:cs="Palatino Linotype"/>
          <w:color w:val="000000" w:themeColor="text1"/>
        </w:rPr>
        <w:t xml:space="preserve">rganismo </w:t>
      </w:r>
      <w:r w:rsidR="006F721C" w:rsidRPr="00F46E4F">
        <w:rPr>
          <w:rFonts w:ascii="Palatino Linotype" w:eastAsia="Palatino Linotype" w:hAnsi="Palatino Linotype" w:cs="Palatino Linotype"/>
          <w:color w:val="000000" w:themeColor="text1"/>
        </w:rPr>
        <w:t>G</w:t>
      </w:r>
      <w:r w:rsidRPr="00F46E4F">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F46E4F" w:rsidRDefault="00C96D93" w:rsidP="00F46E4F">
      <w:pPr>
        <w:pStyle w:val="Prrafodelista"/>
        <w:spacing w:line="360" w:lineRule="auto"/>
        <w:ind w:left="0"/>
        <w:rPr>
          <w:rFonts w:ascii="Palatino Linotype" w:eastAsia="Palatino Linotype" w:hAnsi="Palatino Linotype" w:cs="Palatino Linotype"/>
          <w:color w:val="000000" w:themeColor="text1"/>
        </w:rPr>
      </w:pPr>
    </w:p>
    <w:p w14:paraId="7370C9C3" w14:textId="376F059F" w:rsidR="00CA3F0F" w:rsidRPr="00F46E4F" w:rsidRDefault="00CA3F0F"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Seguidamente</w:t>
      </w:r>
      <w:r w:rsidR="005F78BC" w:rsidRPr="00F46E4F">
        <w:rPr>
          <w:rFonts w:ascii="Palatino Linotype" w:eastAsia="Palatino Linotype" w:hAnsi="Palatino Linotype" w:cs="Palatino Linotype"/>
          <w:color w:val="000000" w:themeColor="text1"/>
        </w:rPr>
        <w:t xml:space="preserve"> al no existir pendientes o diligencia por desahogar,</w:t>
      </w:r>
      <w:r w:rsidRPr="00F46E4F">
        <w:rPr>
          <w:rFonts w:ascii="Palatino Linotype" w:eastAsia="Palatino Linotype" w:hAnsi="Palatino Linotype" w:cs="Palatino Linotype"/>
          <w:color w:val="000000" w:themeColor="text1"/>
        </w:rPr>
        <w:t xml:space="preserve"> mediante Acuerdo de </w:t>
      </w:r>
      <w:r w:rsidR="009E04DF" w:rsidRPr="00F46E4F">
        <w:rPr>
          <w:rFonts w:ascii="Palatino Linotype" w:eastAsia="Palatino Linotype" w:hAnsi="Palatino Linotype" w:cs="Palatino Linotype"/>
          <w:color w:val="000000" w:themeColor="text1"/>
        </w:rPr>
        <w:t>misma fecha</w:t>
      </w:r>
      <w:r w:rsidR="009D3E7B" w:rsidRPr="00F46E4F">
        <w:rPr>
          <w:rFonts w:ascii="Palatino Linotype" w:eastAsia="Palatino Linotype" w:hAnsi="Palatino Linotype" w:cs="Palatino Linotype"/>
          <w:color w:val="000000" w:themeColor="text1"/>
        </w:rPr>
        <w:t xml:space="preserve"> </w:t>
      </w:r>
      <w:r w:rsidR="00CE6F0C" w:rsidRPr="00F46E4F">
        <w:rPr>
          <w:rFonts w:ascii="Palatino Linotype" w:eastAsia="Palatino Linotype" w:hAnsi="Palatino Linotype" w:cs="Palatino Linotype"/>
          <w:color w:val="000000" w:themeColor="text1"/>
        </w:rPr>
        <w:t xml:space="preserve">se </w:t>
      </w:r>
      <w:r w:rsidRPr="00F46E4F">
        <w:rPr>
          <w:rFonts w:ascii="Palatino Linotype" w:eastAsia="Palatino Linotype" w:hAnsi="Palatino Linotype" w:cs="Palatino Linotype"/>
          <w:color w:val="000000" w:themeColor="text1"/>
        </w:rPr>
        <w:t xml:space="preserve">decretó el cierre de instrucción, por lo que: </w:t>
      </w:r>
    </w:p>
    <w:p w14:paraId="57D0B568" w14:textId="77777777" w:rsidR="003B2BC8" w:rsidRPr="00F46E4F" w:rsidRDefault="003B2BC8" w:rsidP="00F46E4F">
      <w:pPr>
        <w:pStyle w:val="Prrafodelista"/>
        <w:spacing w:line="360" w:lineRule="auto"/>
        <w:ind w:left="0"/>
        <w:jc w:val="both"/>
        <w:rPr>
          <w:rFonts w:ascii="Palatino Linotype" w:eastAsia="Palatino Linotype" w:hAnsi="Palatino Linotype" w:cs="Palatino Linotype"/>
          <w:color w:val="000000" w:themeColor="text1"/>
        </w:rPr>
      </w:pPr>
    </w:p>
    <w:p w14:paraId="6967D00B" w14:textId="7AFA580B" w:rsidR="00947C3B" w:rsidRPr="00F46E4F" w:rsidRDefault="00947C3B" w:rsidP="00F46E4F">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F46E4F">
        <w:rPr>
          <w:rFonts w:ascii="Palatino Linotype" w:hAnsi="Palatino Linotype"/>
          <w:b/>
          <w:color w:val="000000" w:themeColor="text1"/>
          <w:sz w:val="24"/>
          <w:szCs w:val="24"/>
        </w:rPr>
        <w:t>C</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O</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N</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S</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I</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D</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E</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R</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A</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N</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D</w:t>
      </w:r>
      <w:r w:rsidR="006B6F23">
        <w:rPr>
          <w:rFonts w:ascii="Palatino Linotype" w:hAnsi="Palatino Linotype"/>
          <w:b/>
          <w:color w:val="000000" w:themeColor="text1"/>
          <w:sz w:val="24"/>
          <w:szCs w:val="24"/>
        </w:rPr>
        <w:t xml:space="preserve"> </w:t>
      </w:r>
      <w:r w:rsidRPr="00F46E4F">
        <w:rPr>
          <w:rFonts w:ascii="Palatino Linotype" w:hAnsi="Palatino Linotype"/>
          <w:b/>
          <w:color w:val="000000" w:themeColor="text1"/>
          <w:sz w:val="24"/>
          <w:szCs w:val="24"/>
        </w:rPr>
        <w:t>O</w:t>
      </w:r>
      <w:bookmarkEnd w:id="63"/>
      <w:bookmarkEnd w:id="64"/>
    </w:p>
    <w:p w14:paraId="4EA515D4" w14:textId="77777777" w:rsidR="00947C3B" w:rsidRPr="00F46E4F" w:rsidRDefault="00947C3B" w:rsidP="00F46E4F">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F46E4F" w:rsidRDefault="00947C3B" w:rsidP="00F46E4F">
      <w:pPr>
        <w:pStyle w:val="Ttulo2"/>
        <w:spacing w:before="0" w:line="360" w:lineRule="auto"/>
        <w:rPr>
          <w:rFonts w:ascii="Palatino Linotype" w:hAnsi="Palatino Linotype"/>
          <w:b/>
          <w:color w:val="000000" w:themeColor="text1"/>
          <w:sz w:val="24"/>
          <w:szCs w:val="24"/>
        </w:rPr>
      </w:pPr>
      <w:r w:rsidRPr="00F46E4F">
        <w:rPr>
          <w:rFonts w:ascii="Palatino Linotype" w:hAnsi="Palatino Linotype"/>
          <w:b/>
          <w:color w:val="000000" w:themeColor="text1"/>
          <w:sz w:val="24"/>
          <w:szCs w:val="24"/>
        </w:rPr>
        <w:t>PRIMERO. De la competencia</w:t>
      </w:r>
      <w:bookmarkEnd w:id="65"/>
      <w:bookmarkEnd w:id="66"/>
    </w:p>
    <w:p w14:paraId="66CA1126" w14:textId="31E37E13" w:rsidR="00947C3B" w:rsidRPr="00F46E4F" w:rsidRDefault="009D3E7B" w:rsidP="00F46E4F">
      <w:pPr>
        <w:pStyle w:val="Prrafodelista"/>
        <w:numPr>
          <w:ilvl w:val="0"/>
          <w:numId w:val="1"/>
        </w:numPr>
        <w:spacing w:line="360" w:lineRule="auto"/>
        <w:ind w:left="0" w:firstLine="0"/>
        <w:jc w:val="both"/>
        <w:rPr>
          <w:rFonts w:ascii="Palatino Linotype" w:hAnsi="Palatino Linotype"/>
          <w:color w:val="000000" w:themeColor="text1"/>
        </w:rPr>
      </w:pPr>
      <w:r w:rsidRPr="00F46E4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F46E4F">
        <w:rPr>
          <w:rFonts w:ascii="Palatino Linotype" w:eastAsia="Palatino Linotype" w:hAnsi="Palatino Linotype" w:cs="Palatino Linotype"/>
          <w:color w:val="000000" w:themeColor="text1"/>
        </w:rPr>
        <w:t>trigésimo</w:t>
      </w:r>
      <w:r w:rsidRPr="00F46E4F">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F46E4F">
        <w:rPr>
          <w:rFonts w:ascii="Palatino Linotype" w:hAnsi="Palatino Linotype"/>
          <w:color w:val="000000" w:themeColor="text1"/>
        </w:rPr>
        <w:lastRenderedPageBreak/>
        <w:t>XXIII y 11 del Reglamento Interior del Instituto de Transparencia, Acceso a la Información Pública y Protección de Datos Personales del Estado de México y Municipios.</w:t>
      </w:r>
    </w:p>
    <w:p w14:paraId="2E4166AF" w14:textId="77777777" w:rsidR="00C47088" w:rsidRPr="00F46E4F" w:rsidRDefault="00C47088" w:rsidP="00F46E4F">
      <w:pPr>
        <w:spacing w:line="360" w:lineRule="auto"/>
        <w:contextualSpacing/>
        <w:jc w:val="both"/>
        <w:rPr>
          <w:rFonts w:ascii="Palatino Linotype" w:hAnsi="Palatino Linotype"/>
          <w:color w:val="000000" w:themeColor="text1"/>
        </w:rPr>
      </w:pPr>
    </w:p>
    <w:p w14:paraId="4678A3EE" w14:textId="1F5DA7A0" w:rsidR="00947C3B" w:rsidRPr="00F46E4F" w:rsidRDefault="00947C3B" w:rsidP="00F46E4F">
      <w:pPr>
        <w:spacing w:line="360" w:lineRule="auto"/>
        <w:contextualSpacing/>
        <w:jc w:val="both"/>
        <w:rPr>
          <w:rFonts w:ascii="Palatino Linotype" w:hAnsi="Palatino Linotype"/>
          <w:b/>
          <w:color w:val="000000" w:themeColor="text1"/>
        </w:rPr>
      </w:pPr>
      <w:r w:rsidRPr="00F46E4F">
        <w:rPr>
          <w:rFonts w:ascii="Palatino Linotype" w:hAnsi="Palatino Linotype"/>
          <w:color w:val="000000" w:themeColor="text1"/>
        </w:rPr>
        <w:t xml:space="preserve"> </w:t>
      </w:r>
      <w:bookmarkStart w:id="67" w:name="_Toc491791304"/>
      <w:bookmarkStart w:id="68" w:name="_Toc83128580"/>
      <w:r w:rsidRPr="00F46E4F">
        <w:rPr>
          <w:rFonts w:ascii="Palatino Linotype" w:hAnsi="Palatino Linotype"/>
          <w:b/>
          <w:color w:val="000000" w:themeColor="text1"/>
        </w:rPr>
        <w:t>SEGUNDO. De la oportunidad y procedencia.</w:t>
      </w:r>
      <w:bookmarkEnd w:id="67"/>
      <w:bookmarkEnd w:id="68"/>
    </w:p>
    <w:p w14:paraId="60E72AD3" w14:textId="77777777" w:rsidR="00A72EED" w:rsidRPr="00F46E4F" w:rsidRDefault="00A72EED" w:rsidP="00F46E4F">
      <w:pPr>
        <w:numPr>
          <w:ilvl w:val="0"/>
          <w:numId w:val="1"/>
        </w:numPr>
        <w:spacing w:line="360" w:lineRule="auto"/>
        <w:ind w:left="0" w:firstLine="0"/>
        <w:contextualSpacing/>
        <w:jc w:val="both"/>
        <w:rPr>
          <w:rFonts w:ascii="Palatino Linotype" w:hAnsi="Palatino Linotype"/>
          <w:color w:val="000000" w:themeColor="text1"/>
        </w:rPr>
      </w:pPr>
      <w:r w:rsidRPr="00F46E4F">
        <w:rPr>
          <w:rFonts w:ascii="Palatino Linotype" w:eastAsia="Calibri" w:hAnsi="Palatino Linotype" w:cs="Arial"/>
          <w:color w:val="000000" w:themeColor="text1"/>
        </w:rPr>
        <w:t xml:space="preserve">Este Órgano Garante considera que el medio de impugnación reúne los requisitos de procedencia </w:t>
      </w:r>
      <w:r w:rsidRPr="00F46E4F">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F46E4F">
        <w:rPr>
          <w:rFonts w:ascii="Palatino Linotype" w:eastAsia="Calibri" w:hAnsi="Palatino Linotype" w:cs="Tahoma"/>
          <w:b/>
          <w:color w:val="000000" w:themeColor="text1"/>
          <w:lang w:eastAsia="es-MX"/>
        </w:rPr>
        <w:t>LA RECURRENTE</w:t>
      </w:r>
      <w:r w:rsidRPr="00F46E4F">
        <w:rPr>
          <w:rFonts w:ascii="Palatino Linotype" w:eastAsia="Calibri" w:hAnsi="Palatino Linotype" w:cs="Tahoma"/>
          <w:color w:val="000000" w:themeColor="text1"/>
          <w:lang w:eastAsia="es-MX"/>
        </w:rPr>
        <w:t xml:space="preserve"> ante otra instancia.</w:t>
      </w:r>
    </w:p>
    <w:p w14:paraId="1A78436E" w14:textId="77777777" w:rsidR="004425EC" w:rsidRPr="00F46E4F" w:rsidRDefault="004425EC" w:rsidP="00F46E4F">
      <w:pPr>
        <w:spacing w:line="360" w:lineRule="auto"/>
        <w:contextualSpacing/>
        <w:jc w:val="both"/>
        <w:rPr>
          <w:rFonts w:ascii="Palatino Linotype" w:hAnsi="Palatino Linotype"/>
          <w:color w:val="000000" w:themeColor="text1"/>
        </w:rPr>
      </w:pPr>
    </w:p>
    <w:p w14:paraId="1C46471B" w14:textId="77777777" w:rsidR="008A5B46" w:rsidRPr="00F46E4F" w:rsidRDefault="008A5B46"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F46E4F">
        <w:rPr>
          <w:rFonts w:ascii="Palatino Linotype" w:eastAsia="Calibri" w:hAnsi="Palatino Linotype" w:cs="Arial"/>
          <w:color w:val="000000" w:themeColor="text1"/>
        </w:rPr>
        <w:t>archivar</w:t>
      </w:r>
      <w:r w:rsidRPr="00F46E4F">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F46E4F" w:rsidRDefault="008A5B46"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r w:rsidRPr="00F46E4F">
        <w:rPr>
          <w:rFonts w:ascii="Palatino Linotype" w:eastAsia="Palatino Linotype" w:hAnsi="Palatino Linotype" w:cs="Palatino Linotype"/>
          <w:b/>
          <w:i/>
          <w:color w:val="000000" w:themeColor="text1"/>
        </w:rPr>
        <w:t>Las solicitudes anónimas</w:t>
      </w:r>
      <w:r w:rsidRPr="00F46E4F">
        <w:rPr>
          <w:rFonts w:ascii="Palatino Linotype" w:eastAsia="Palatino Linotype" w:hAnsi="Palatino Linotype" w:cs="Palatino Linotype"/>
          <w:i/>
          <w:color w:val="000000" w:themeColor="text1"/>
        </w:rPr>
        <w:t xml:space="preserve">, con nombre incompleto o seudónimo </w:t>
      </w:r>
      <w:r w:rsidRPr="00F46E4F">
        <w:rPr>
          <w:rFonts w:ascii="Palatino Linotype" w:eastAsia="Palatino Linotype" w:hAnsi="Palatino Linotype" w:cs="Palatino Linotype"/>
          <w:b/>
          <w:i/>
          <w:color w:val="000000" w:themeColor="text1"/>
        </w:rPr>
        <w:t>serán procedentes para su trámite por parte del sujeto obligado ante quien se presente</w:t>
      </w:r>
      <w:r w:rsidRPr="00F46E4F">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F46E4F" w:rsidRDefault="008A5B46" w:rsidP="00F46E4F">
      <w:pPr>
        <w:spacing w:line="360" w:lineRule="auto"/>
        <w:rPr>
          <w:rFonts w:ascii="Palatino Linotype" w:eastAsia="Calibri" w:hAnsi="Palatino Linotype" w:cs="Arial"/>
          <w:color w:val="000000" w:themeColor="text1"/>
        </w:rPr>
      </w:pPr>
    </w:p>
    <w:p w14:paraId="2D05FE01" w14:textId="77777777" w:rsidR="00A72EED" w:rsidRPr="00F46E4F" w:rsidRDefault="00A72EED" w:rsidP="00F46E4F">
      <w:pPr>
        <w:numPr>
          <w:ilvl w:val="0"/>
          <w:numId w:val="1"/>
        </w:numPr>
        <w:spacing w:line="360" w:lineRule="auto"/>
        <w:ind w:left="0" w:firstLine="0"/>
        <w:contextualSpacing/>
        <w:jc w:val="both"/>
        <w:rPr>
          <w:rFonts w:ascii="Palatino Linotype" w:eastAsia="Calibri" w:hAnsi="Palatino Linotype" w:cs="Arial"/>
          <w:color w:val="000000" w:themeColor="text1"/>
        </w:rPr>
      </w:pPr>
      <w:r w:rsidRPr="00F46E4F">
        <w:rPr>
          <w:rFonts w:ascii="Palatino Linotype" w:eastAsia="Calibri" w:hAnsi="Palatino Linotype" w:cs="Arial"/>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F46E4F" w:rsidRDefault="00ED6C32" w:rsidP="00F46E4F">
      <w:pPr>
        <w:spacing w:line="360" w:lineRule="auto"/>
        <w:contextualSpacing/>
        <w:jc w:val="both"/>
        <w:rPr>
          <w:rFonts w:ascii="Palatino Linotype" w:eastAsia="Calibri" w:hAnsi="Palatino Linotype" w:cs="Arial"/>
          <w:color w:val="000000" w:themeColor="text1"/>
        </w:rPr>
      </w:pPr>
    </w:p>
    <w:p w14:paraId="016C3D4C" w14:textId="77777777" w:rsidR="00947C3B" w:rsidRPr="00F46E4F" w:rsidRDefault="00947C3B" w:rsidP="00F46E4F">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F46E4F">
        <w:rPr>
          <w:rFonts w:ascii="Palatino Linotype" w:hAnsi="Palatino Linotype"/>
          <w:b/>
          <w:color w:val="000000" w:themeColor="text1"/>
          <w:sz w:val="24"/>
          <w:szCs w:val="24"/>
        </w:rPr>
        <w:t xml:space="preserve">TERCERO. </w:t>
      </w:r>
      <w:bookmarkEnd w:id="69"/>
      <w:bookmarkEnd w:id="70"/>
      <w:bookmarkEnd w:id="71"/>
      <w:bookmarkEnd w:id="72"/>
      <w:r w:rsidRPr="00F46E4F">
        <w:rPr>
          <w:rFonts w:ascii="Palatino Linotype" w:hAnsi="Palatino Linotype"/>
          <w:b/>
          <w:color w:val="000000" w:themeColor="text1"/>
          <w:sz w:val="24"/>
          <w:szCs w:val="24"/>
        </w:rPr>
        <w:t>Del planteamiento de la</w:t>
      </w:r>
      <w:r w:rsidRPr="00F46E4F">
        <w:rPr>
          <w:rFonts w:ascii="Palatino Linotype" w:hAnsi="Palatino Linotype"/>
          <w:b/>
          <w:i/>
          <w:color w:val="000000" w:themeColor="text1"/>
          <w:sz w:val="24"/>
          <w:szCs w:val="24"/>
        </w:rPr>
        <w:t xml:space="preserve"> Litis</w:t>
      </w:r>
    </w:p>
    <w:p w14:paraId="0E599386" w14:textId="45F0EF7D" w:rsidR="00947C3B" w:rsidRPr="00F46E4F" w:rsidRDefault="00947C3B" w:rsidP="00F46E4F">
      <w:pPr>
        <w:pStyle w:val="Prrafodelista"/>
        <w:numPr>
          <w:ilvl w:val="0"/>
          <w:numId w:val="1"/>
        </w:numPr>
        <w:spacing w:line="360" w:lineRule="auto"/>
        <w:ind w:left="0" w:firstLine="0"/>
        <w:jc w:val="both"/>
        <w:rPr>
          <w:rFonts w:ascii="Palatino Linotype" w:hAnsi="Palatino Linotype" w:cs="Arial"/>
          <w:color w:val="000000" w:themeColor="text1"/>
        </w:rPr>
      </w:pPr>
      <w:r w:rsidRPr="00F46E4F">
        <w:rPr>
          <w:rFonts w:ascii="Palatino Linotype" w:hAnsi="Palatino Linotype" w:cs="Arial"/>
          <w:color w:val="000000" w:themeColor="text1"/>
        </w:rPr>
        <w:t xml:space="preserve">Se </w:t>
      </w:r>
      <w:r w:rsidRPr="00F46E4F">
        <w:rPr>
          <w:rFonts w:ascii="Palatino Linotype" w:eastAsia="Calibri" w:hAnsi="Palatino Linotype" w:cs="Arial"/>
          <w:color w:val="000000" w:themeColor="text1"/>
        </w:rPr>
        <w:t>solicitó</w:t>
      </w:r>
      <w:r w:rsidRPr="00F46E4F">
        <w:rPr>
          <w:rFonts w:ascii="Palatino Linotype" w:hAnsi="Palatino Linotype" w:cs="Arial"/>
          <w:color w:val="000000" w:themeColor="text1"/>
        </w:rPr>
        <w:t xml:space="preserve"> tener acceso, a la información</w:t>
      </w:r>
      <w:r w:rsidR="00432F10" w:rsidRPr="00F46E4F">
        <w:rPr>
          <w:rFonts w:ascii="Palatino Linotype" w:hAnsi="Palatino Linotype" w:cs="Arial"/>
          <w:color w:val="000000" w:themeColor="text1"/>
        </w:rPr>
        <w:t xml:space="preserve"> que a continuación se desagrega:</w:t>
      </w:r>
    </w:p>
    <w:p w14:paraId="3A1DFE1D" w14:textId="77777777" w:rsidR="009E04DF" w:rsidRPr="00F46E4F" w:rsidRDefault="009E04DF" w:rsidP="00F46E4F">
      <w:pPr>
        <w:pStyle w:val="Prrafodelista"/>
        <w:numPr>
          <w:ilvl w:val="0"/>
          <w:numId w:val="2"/>
        </w:numPr>
        <w:spacing w:line="360" w:lineRule="auto"/>
        <w:ind w:left="0" w:firstLine="0"/>
        <w:jc w:val="both"/>
        <w:rPr>
          <w:rFonts w:ascii="Palatino Linotype" w:hAnsi="Palatino Linotype" w:cs="Arial"/>
          <w:b/>
          <w:color w:val="000000" w:themeColor="text1"/>
        </w:rPr>
      </w:pPr>
      <w:r w:rsidRPr="00F46E4F">
        <w:rPr>
          <w:rFonts w:ascii="Palatino Linotype" w:hAnsi="Palatino Linotype" w:cs="Arial"/>
          <w:b/>
          <w:color w:val="000000" w:themeColor="text1"/>
        </w:rPr>
        <w:t>Desglose de los recursos destinados a los rubros de publicidad y comunicación social del Ayuntamiento en los últimos 5 años; incluyendo información sobre campañas publicitarias, montos erogados; y</w:t>
      </w:r>
    </w:p>
    <w:p w14:paraId="752B54B3" w14:textId="7B33A24C" w:rsidR="00E0091E" w:rsidRPr="00F46E4F" w:rsidRDefault="009E04DF" w:rsidP="00F46E4F">
      <w:pPr>
        <w:pStyle w:val="Prrafodelista"/>
        <w:numPr>
          <w:ilvl w:val="0"/>
          <w:numId w:val="2"/>
        </w:numPr>
        <w:spacing w:line="360" w:lineRule="auto"/>
        <w:ind w:left="0" w:firstLine="0"/>
        <w:jc w:val="both"/>
        <w:rPr>
          <w:rFonts w:ascii="Palatino Linotype" w:hAnsi="Palatino Linotype" w:cs="Arial"/>
          <w:b/>
          <w:color w:val="000000" w:themeColor="text1"/>
        </w:rPr>
      </w:pPr>
      <w:r w:rsidRPr="00F46E4F">
        <w:rPr>
          <w:rFonts w:ascii="Palatino Linotype" w:hAnsi="Palatino Linotype" w:cs="Arial"/>
          <w:b/>
          <w:color w:val="000000" w:themeColor="text1"/>
        </w:rPr>
        <w:t>El nombre de las entidades o empresas contratadas.</w:t>
      </w:r>
    </w:p>
    <w:p w14:paraId="2A7877D4" w14:textId="77777777" w:rsidR="00436406" w:rsidRPr="00F46E4F" w:rsidRDefault="00436406" w:rsidP="00F46E4F">
      <w:pPr>
        <w:spacing w:line="360" w:lineRule="auto"/>
        <w:jc w:val="both"/>
        <w:rPr>
          <w:rFonts w:ascii="Palatino Linotype" w:hAnsi="Palatino Linotype" w:cs="Arial"/>
          <w:b/>
          <w:color w:val="000000" w:themeColor="text1"/>
        </w:rPr>
      </w:pPr>
    </w:p>
    <w:p w14:paraId="08D07717" w14:textId="326A3FF3" w:rsidR="00947C3B" w:rsidRPr="00F46E4F" w:rsidRDefault="00947C3B" w:rsidP="00F46E4F">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F46E4F">
        <w:rPr>
          <w:rFonts w:ascii="Palatino Linotype" w:hAnsi="Palatino Linotype" w:cs="Arial"/>
          <w:color w:val="000000" w:themeColor="text1"/>
        </w:rPr>
        <w:t xml:space="preserve">En respuesta, el </w:t>
      </w:r>
      <w:r w:rsidRPr="00F46E4F">
        <w:rPr>
          <w:rFonts w:ascii="Palatino Linotype" w:hAnsi="Palatino Linotype" w:cs="Arial"/>
          <w:b/>
          <w:color w:val="000000" w:themeColor="text1"/>
        </w:rPr>
        <w:t xml:space="preserve">SUJETO OBLIGADO </w:t>
      </w:r>
      <w:r w:rsidR="007B20F5" w:rsidRPr="00F46E4F">
        <w:rPr>
          <w:rFonts w:ascii="Palatino Linotype" w:hAnsi="Palatino Linotype" w:cs="Arial"/>
          <w:color w:val="000000" w:themeColor="text1"/>
        </w:rPr>
        <w:t xml:space="preserve">remitió </w:t>
      </w:r>
      <w:r w:rsidR="00822FD3" w:rsidRPr="00F46E4F">
        <w:rPr>
          <w:rFonts w:ascii="Palatino Linotype" w:hAnsi="Palatino Linotype" w:cs="Arial"/>
          <w:color w:val="000000" w:themeColor="text1"/>
        </w:rPr>
        <w:t>l</w:t>
      </w:r>
      <w:r w:rsidR="006C4519" w:rsidRPr="00F46E4F">
        <w:rPr>
          <w:rFonts w:ascii="Palatino Linotype" w:hAnsi="Palatino Linotype" w:cs="Arial"/>
          <w:color w:val="000000" w:themeColor="text1"/>
        </w:rPr>
        <w:t>os</w:t>
      </w:r>
      <w:r w:rsidR="003C7116" w:rsidRPr="00F46E4F">
        <w:rPr>
          <w:rFonts w:ascii="Palatino Linotype" w:hAnsi="Palatino Linotype" w:cs="Arial"/>
          <w:color w:val="000000" w:themeColor="text1"/>
        </w:rPr>
        <w:t xml:space="preserve"> archivo</w:t>
      </w:r>
      <w:r w:rsidR="006C4519" w:rsidRPr="00F46E4F">
        <w:rPr>
          <w:rFonts w:ascii="Palatino Linotype" w:hAnsi="Palatino Linotype" w:cs="Arial"/>
          <w:color w:val="000000" w:themeColor="text1"/>
        </w:rPr>
        <w:t>s</w:t>
      </w:r>
      <w:r w:rsidR="00CF045D" w:rsidRPr="00F46E4F">
        <w:rPr>
          <w:rFonts w:ascii="Palatino Linotype" w:hAnsi="Palatino Linotype" w:cs="Arial"/>
          <w:color w:val="000000" w:themeColor="text1"/>
        </w:rPr>
        <w:t xml:space="preserve"> ya descrito</w:t>
      </w:r>
      <w:r w:rsidR="006C4519" w:rsidRPr="00F46E4F">
        <w:rPr>
          <w:rFonts w:ascii="Palatino Linotype" w:hAnsi="Palatino Linotype" w:cs="Arial"/>
          <w:color w:val="000000" w:themeColor="text1"/>
        </w:rPr>
        <w:t>s</w:t>
      </w:r>
      <w:r w:rsidR="00B77121" w:rsidRPr="00F46E4F">
        <w:rPr>
          <w:rFonts w:ascii="Palatino Linotype" w:hAnsi="Palatino Linotype" w:cs="Arial"/>
          <w:color w:val="000000" w:themeColor="text1"/>
        </w:rPr>
        <w:t xml:space="preserve"> en el </w:t>
      </w:r>
      <w:r w:rsidR="00B77121" w:rsidRPr="00F46E4F">
        <w:rPr>
          <w:rFonts w:ascii="Palatino Linotype" w:eastAsia="Calibri" w:hAnsi="Palatino Linotype" w:cs="Arial"/>
          <w:color w:val="000000" w:themeColor="text1"/>
        </w:rPr>
        <w:t>anterior</w:t>
      </w:r>
      <w:r w:rsidR="00B77121" w:rsidRPr="00F46E4F">
        <w:rPr>
          <w:rFonts w:ascii="Palatino Linotype" w:hAnsi="Palatino Linotype" w:cs="Arial"/>
          <w:color w:val="000000" w:themeColor="text1"/>
        </w:rPr>
        <w:t xml:space="preserve"> Párrafo 2; n</w:t>
      </w:r>
      <w:r w:rsidR="008A7A76" w:rsidRPr="00F46E4F">
        <w:rPr>
          <w:rFonts w:ascii="Palatino Linotype" w:eastAsia="MS Mincho" w:hAnsi="Palatino Linotype" w:cs="Arial"/>
          <w:color w:val="000000" w:themeColor="text1"/>
        </w:rPr>
        <w:t>o obstante el particular se inconform</w:t>
      </w:r>
      <w:r w:rsidR="003C7116" w:rsidRPr="00F46E4F">
        <w:rPr>
          <w:rFonts w:ascii="Palatino Linotype" w:eastAsia="MS Mincho" w:hAnsi="Palatino Linotype" w:cs="Arial"/>
          <w:color w:val="000000" w:themeColor="text1"/>
        </w:rPr>
        <w:t>ó</w:t>
      </w:r>
      <w:r w:rsidR="000E6238" w:rsidRPr="00F46E4F">
        <w:rPr>
          <w:rFonts w:ascii="Palatino Linotype" w:eastAsia="MS Mincho" w:hAnsi="Palatino Linotype" w:cs="Arial"/>
          <w:color w:val="000000" w:themeColor="text1"/>
        </w:rPr>
        <w:t xml:space="preserve">, </w:t>
      </w:r>
      <w:r w:rsidR="003C7116" w:rsidRPr="00F46E4F">
        <w:rPr>
          <w:rFonts w:ascii="Palatino Linotype" w:eastAsia="MS Mincho" w:hAnsi="Palatino Linotype" w:cs="Arial"/>
          <w:color w:val="000000" w:themeColor="text1"/>
        </w:rPr>
        <w:t xml:space="preserve">por </w:t>
      </w:r>
      <w:r w:rsidR="00B70988" w:rsidRPr="00F46E4F">
        <w:rPr>
          <w:rFonts w:ascii="Palatino Linotype" w:eastAsia="MS Mincho" w:hAnsi="Palatino Linotype" w:cs="Arial"/>
          <w:color w:val="000000" w:themeColor="text1"/>
        </w:rPr>
        <w:t xml:space="preserve">la </w:t>
      </w:r>
      <w:r w:rsidR="008E2C92" w:rsidRPr="00F46E4F">
        <w:rPr>
          <w:rFonts w:ascii="Palatino Linotype" w:eastAsia="MS Mincho" w:hAnsi="Palatino Linotype" w:cs="Arial"/>
          <w:color w:val="000000" w:themeColor="text1"/>
        </w:rPr>
        <w:t>negativa a la entrega de la información</w:t>
      </w:r>
      <w:r w:rsidR="000E6238" w:rsidRPr="00F46E4F">
        <w:rPr>
          <w:rFonts w:ascii="Palatino Linotype" w:eastAsia="MS Mincho" w:hAnsi="Palatino Linotype" w:cs="Arial"/>
          <w:color w:val="000000" w:themeColor="text1"/>
        </w:rPr>
        <w:t>; e</w:t>
      </w:r>
      <w:r w:rsidRPr="00F46E4F">
        <w:rPr>
          <w:rFonts w:ascii="Palatino Linotype" w:eastAsia="MS Mincho" w:hAnsi="Palatino Linotype" w:cs="Arial"/>
          <w:color w:val="000000" w:themeColor="text1"/>
        </w:rPr>
        <w:t xml:space="preserve">n </w:t>
      </w:r>
      <w:r w:rsidRPr="00F46E4F">
        <w:rPr>
          <w:rFonts w:ascii="Palatino Linotype" w:hAnsi="Palatino Linotype" w:cs="Arial"/>
          <w:color w:val="000000" w:themeColor="text1"/>
          <w:lang w:eastAsia="es-MX"/>
        </w:rPr>
        <w:t>dichas</w:t>
      </w:r>
      <w:r w:rsidRPr="00F46E4F">
        <w:rPr>
          <w:rFonts w:ascii="Palatino Linotype" w:eastAsia="Times New Roman" w:hAnsi="Palatino Linotype" w:cs="Arial"/>
          <w:color w:val="000000" w:themeColor="text1"/>
        </w:rPr>
        <w:t xml:space="preserve"> condiciones, la </w:t>
      </w:r>
      <w:r w:rsidRPr="00F46E4F">
        <w:rPr>
          <w:rFonts w:ascii="Palatino Linotype" w:eastAsia="Times New Roman" w:hAnsi="Palatino Linotype" w:cs="Arial"/>
          <w:i/>
          <w:color w:val="000000" w:themeColor="text1"/>
        </w:rPr>
        <w:t>Litis</w:t>
      </w:r>
      <w:r w:rsidR="003C4C55" w:rsidRPr="00F46E4F">
        <w:rPr>
          <w:rFonts w:ascii="Palatino Linotype" w:eastAsia="Times New Roman" w:hAnsi="Palatino Linotype" w:cs="Arial"/>
          <w:color w:val="000000" w:themeColor="text1"/>
        </w:rPr>
        <w:t xml:space="preserve"> a resolver en el</w:t>
      </w:r>
      <w:r w:rsidRPr="00F46E4F">
        <w:rPr>
          <w:rFonts w:ascii="Palatino Linotype" w:eastAsia="Times New Roman" w:hAnsi="Palatino Linotype" w:cs="Arial"/>
          <w:color w:val="000000" w:themeColor="text1"/>
        </w:rPr>
        <w:t xml:space="preserve"> recurso</w:t>
      </w:r>
      <w:r w:rsidR="003C4C55" w:rsidRPr="00F46E4F">
        <w:rPr>
          <w:rFonts w:ascii="Palatino Linotype" w:eastAsia="Times New Roman" w:hAnsi="Palatino Linotype" w:cs="Arial"/>
          <w:color w:val="000000" w:themeColor="text1"/>
        </w:rPr>
        <w:t xml:space="preserve"> de revisión</w:t>
      </w:r>
      <w:r w:rsidRPr="00F46E4F">
        <w:rPr>
          <w:rFonts w:ascii="Palatino Linotype" w:eastAsia="Times New Roman" w:hAnsi="Palatino Linotype" w:cs="Arial"/>
          <w:color w:val="000000" w:themeColor="text1"/>
        </w:rPr>
        <w:t xml:space="preserve"> se circunscribe a determinar si </w:t>
      </w:r>
      <w:r w:rsidRPr="00F46E4F">
        <w:rPr>
          <w:rFonts w:ascii="Palatino Linotype" w:hAnsi="Palatino Linotype" w:cs="Arial"/>
          <w:color w:val="000000" w:themeColor="text1"/>
        </w:rPr>
        <w:t>se</w:t>
      </w:r>
      <w:r w:rsidRPr="00F46E4F">
        <w:rPr>
          <w:rFonts w:ascii="Palatino Linotype" w:eastAsia="MS Mincho" w:hAnsi="Palatino Linotype" w:cs="Arial"/>
          <w:color w:val="000000" w:themeColor="text1"/>
        </w:rPr>
        <w:t xml:space="preserve"> actualiza la </w:t>
      </w:r>
      <w:r w:rsidR="00822FD3" w:rsidRPr="00F46E4F">
        <w:rPr>
          <w:rFonts w:ascii="Palatino Linotype" w:eastAsia="MS Mincho" w:hAnsi="Palatino Linotype" w:cs="Arial"/>
          <w:color w:val="000000" w:themeColor="text1"/>
        </w:rPr>
        <w:t>causal</w:t>
      </w:r>
      <w:r w:rsidRPr="00F46E4F">
        <w:rPr>
          <w:rFonts w:ascii="Palatino Linotype" w:eastAsia="MS Mincho" w:hAnsi="Palatino Linotype" w:cs="Arial"/>
          <w:color w:val="000000" w:themeColor="text1"/>
        </w:rPr>
        <w:t xml:space="preserve"> de procedencia prevista en el artículo 179, </w:t>
      </w:r>
      <w:r w:rsidR="00822FD3" w:rsidRPr="00F46E4F">
        <w:rPr>
          <w:rFonts w:ascii="Palatino Linotype" w:eastAsia="MS Mincho" w:hAnsi="Palatino Linotype" w:cs="Arial"/>
          <w:b/>
          <w:color w:val="000000" w:themeColor="text1"/>
        </w:rPr>
        <w:t>fracción</w:t>
      </w:r>
      <w:r w:rsidRPr="00F46E4F">
        <w:rPr>
          <w:rFonts w:ascii="Palatino Linotype" w:eastAsia="MS Mincho" w:hAnsi="Palatino Linotype" w:cs="Arial"/>
          <w:b/>
          <w:color w:val="000000" w:themeColor="text1"/>
        </w:rPr>
        <w:t xml:space="preserve"> </w:t>
      </w:r>
      <w:r w:rsidR="004D0A62" w:rsidRPr="00F46E4F">
        <w:rPr>
          <w:rFonts w:ascii="Palatino Linotype" w:eastAsia="MS Mincho" w:hAnsi="Palatino Linotype" w:cs="Arial"/>
          <w:b/>
          <w:color w:val="000000" w:themeColor="text1"/>
        </w:rPr>
        <w:t>I</w:t>
      </w:r>
      <w:r w:rsidR="005F239F" w:rsidRPr="00F46E4F">
        <w:rPr>
          <w:rFonts w:ascii="Palatino Linotype" w:eastAsia="MS Mincho" w:hAnsi="Palatino Linotype" w:cs="Arial"/>
          <w:b/>
          <w:color w:val="000000" w:themeColor="text1"/>
        </w:rPr>
        <w:t xml:space="preserve"> </w:t>
      </w:r>
      <w:r w:rsidRPr="00F46E4F">
        <w:rPr>
          <w:rFonts w:ascii="Palatino Linotype" w:eastAsia="MS Mincho" w:hAnsi="Palatino Linotype" w:cs="Arial"/>
          <w:color w:val="000000" w:themeColor="text1"/>
        </w:rPr>
        <w:t xml:space="preserve">de la </w:t>
      </w:r>
      <w:r w:rsidRPr="00F46E4F">
        <w:rPr>
          <w:rFonts w:ascii="Palatino Linotype" w:eastAsia="MS Mincho" w:hAnsi="Palatino Linotype" w:cs="Arial"/>
          <w:b/>
          <w:color w:val="000000" w:themeColor="text1"/>
        </w:rPr>
        <w:t>Ley de Transparencia y Acceso a la Información Pública del Estado de México y Municipios</w:t>
      </w:r>
      <w:r w:rsidRPr="00F46E4F">
        <w:rPr>
          <w:rFonts w:ascii="Palatino Linotype" w:eastAsia="MS Mincho" w:hAnsi="Palatino Linotype" w:cs="Arial"/>
          <w:color w:val="000000" w:themeColor="text1"/>
        </w:rPr>
        <w:t xml:space="preserve">; </w:t>
      </w:r>
      <w:r w:rsidR="008E2C92" w:rsidRPr="00F46E4F">
        <w:rPr>
          <w:rFonts w:ascii="Palatino Linotype" w:eastAsia="Times New Roman" w:hAnsi="Palatino Linotype" w:cs="Arial"/>
          <w:color w:val="000000" w:themeColor="text1"/>
          <w:lang w:val="es-ES" w:eastAsia="es-MX"/>
        </w:rPr>
        <w:t>fracción</w:t>
      </w:r>
      <w:r w:rsidRPr="00F46E4F">
        <w:rPr>
          <w:rFonts w:ascii="Palatino Linotype" w:eastAsia="Times New Roman" w:hAnsi="Palatino Linotype" w:cs="Arial"/>
          <w:color w:val="000000" w:themeColor="text1"/>
          <w:lang w:val="es-ES" w:eastAsia="es-MX"/>
        </w:rPr>
        <w:t xml:space="preserve"> que</w:t>
      </w:r>
      <w:r w:rsidR="00E0091E" w:rsidRPr="00F46E4F">
        <w:rPr>
          <w:rFonts w:ascii="Palatino Linotype" w:eastAsia="Times New Roman" w:hAnsi="Palatino Linotype" w:cs="Arial"/>
          <w:color w:val="000000" w:themeColor="text1"/>
          <w:lang w:val="es-ES" w:eastAsia="es-MX"/>
        </w:rPr>
        <w:t xml:space="preserve"> determina la</w:t>
      </w:r>
      <w:r w:rsidR="005F239F" w:rsidRPr="00F46E4F">
        <w:rPr>
          <w:rFonts w:ascii="Palatino Linotype" w:eastAsia="Times New Roman" w:hAnsi="Palatino Linotype" w:cs="Arial"/>
          <w:color w:val="000000" w:themeColor="text1"/>
          <w:lang w:val="es-ES" w:eastAsia="es-MX"/>
        </w:rPr>
        <w:t>s</w:t>
      </w:r>
      <w:r w:rsidRPr="00F46E4F">
        <w:rPr>
          <w:rFonts w:ascii="Palatino Linotype" w:eastAsia="Times New Roman" w:hAnsi="Palatino Linotype" w:cs="Arial"/>
          <w:color w:val="000000" w:themeColor="text1"/>
          <w:lang w:val="es-ES" w:eastAsia="es-MX"/>
        </w:rPr>
        <w:t xml:space="preserve"> hipótesis jurídica relativa a </w:t>
      </w:r>
      <w:r w:rsidR="00E0091E" w:rsidRPr="00F46E4F">
        <w:rPr>
          <w:rFonts w:ascii="Palatino Linotype" w:eastAsia="Times New Roman" w:hAnsi="Palatino Linotype" w:cs="Arial"/>
          <w:color w:val="000000" w:themeColor="text1"/>
          <w:lang w:val="es-ES" w:eastAsia="es-MX"/>
        </w:rPr>
        <w:t>la</w:t>
      </w:r>
      <w:r w:rsidR="00822FD3" w:rsidRPr="00F46E4F">
        <w:rPr>
          <w:rFonts w:ascii="Palatino Linotype" w:eastAsia="Times New Roman" w:hAnsi="Palatino Linotype" w:cs="Arial"/>
          <w:color w:val="000000" w:themeColor="text1"/>
          <w:lang w:val="es-ES" w:eastAsia="es-MX"/>
        </w:rPr>
        <w:t xml:space="preserve"> </w:t>
      </w:r>
      <w:r w:rsidR="004D0A62" w:rsidRPr="00F46E4F">
        <w:rPr>
          <w:rFonts w:ascii="Palatino Linotype" w:eastAsia="Times New Roman" w:hAnsi="Palatino Linotype" w:cs="Arial"/>
          <w:color w:val="000000" w:themeColor="text1"/>
          <w:lang w:val="es-ES" w:eastAsia="es-MX"/>
        </w:rPr>
        <w:t>negativa</w:t>
      </w:r>
      <w:r w:rsidR="009A47A2" w:rsidRPr="00F46E4F">
        <w:rPr>
          <w:rFonts w:ascii="Palatino Linotype" w:eastAsia="Times New Roman" w:hAnsi="Palatino Linotype" w:cs="Arial"/>
          <w:color w:val="000000" w:themeColor="text1"/>
          <w:lang w:val="es-ES" w:eastAsia="es-MX"/>
        </w:rPr>
        <w:t xml:space="preserve"> de la información </w:t>
      </w:r>
      <w:r w:rsidR="004D0A62" w:rsidRPr="00F46E4F">
        <w:rPr>
          <w:rFonts w:ascii="Palatino Linotype" w:eastAsia="Times New Roman" w:hAnsi="Palatino Linotype" w:cs="Arial"/>
          <w:color w:val="000000" w:themeColor="text1"/>
          <w:lang w:val="es-ES" w:eastAsia="es-MX"/>
        </w:rPr>
        <w:t>solicitad</w:t>
      </w:r>
      <w:r w:rsidR="009A47A2" w:rsidRPr="00F46E4F">
        <w:rPr>
          <w:rFonts w:ascii="Palatino Linotype" w:eastAsia="Times New Roman" w:hAnsi="Palatino Linotype" w:cs="Arial"/>
          <w:color w:val="000000" w:themeColor="text1"/>
          <w:lang w:val="es-ES" w:eastAsia="es-MX"/>
        </w:rPr>
        <w:t>a</w:t>
      </w:r>
      <w:r w:rsidR="00E0091E" w:rsidRPr="00F46E4F">
        <w:rPr>
          <w:rFonts w:ascii="Palatino Linotype" w:eastAsia="Times New Roman" w:hAnsi="Palatino Linotype" w:cs="Arial"/>
          <w:color w:val="000000" w:themeColor="text1"/>
          <w:lang w:val="es-ES" w:eastAsia="es-MX"/>
        </w:rPr>
        <w:t>;</w:t>
      </w:r>
      <w:r w:rsidRPr="00F46E4F">
        <w:rPr>
          <w:rFonts w:ascii="Palatino Linotype" w:eastAsia="Times New Roman" w:hAnsi="Palatino Linotype" w:cs="Arial"/>
          <w:color w:val="000000" w:themeColor="text1"/>
          <w:lang w:val="es-ES" w:eastAsia="es-MX"/>
        </w:rPr>
        <w:t xml:space="preserve"> </w:t>
      </w:r>
      <w:r w:rsidRPr="00F46E4F">
        <w:rPr>
          <w:rFonts w:ascii="Palatino Linotype" w:eastAsia="MS Mincho" w:hAnsi="Palatino Linotype" w:cs="Arial"/>
          <w:color w:val="000000" w:themeColor="text1"/>
        </w:rPr>
        <w:t xml:space="preserve">contexto del cual se dolió </w:t>
      </w:r>
      <w:r w:rsidR="00C862A5" w:rsidRPr="00F46E4F">
        <w:rPr>
          <w:rFonts w:ascii="Palatino Linotype" w:eastAsia="MS Mincho" w:hAnsi="Palatino Linotype" w:cs="Arial"/>
          <w:b/>
          <w:color w:val="000000" w:themeColor="text1"/>
        </w:rPr>
        <w:t>EL RECURRENTE</w:t>
      </w:r>
      <w:r w:rsidRPr="00F46E4F">
        <w:rPr>
          <w:rFonts w:ascii="Palatino Linotype" w:eastAsia="MS Mincho" w:hAnsi="Palatino Linotype" w:cs="Arial"/>
          <w:b/>
          <w:color w:val="000000" w:themeColor="text1"/>
        </w:rPr>
        <w:t xml:space="preserve"> </w:t>
      </w:r>
      <w:r w:rsidRPr="00F46E4F">
        <w:rPr>
          <w:rFonts w:ascii="Palatino Linotype" w:eastAsia="MS Mincho" w:hAnsi="Palatino Linotype" w:cs="Arial"/>
          <w:color w:val="000000" w:themeColor="text1"/>
        </w:rPr>
        <w:t>al momento de interponer su inconformidad.</w:t>
      </w:r>
      <w:r w:rsidRPr="00F46E4F">
        <w:rPr>
          <w:rFonts w:ascii="Palatino Linotype" w:eastAsia="Times New Roman" w:hAnsi="Palatino Linotype" w:cs="Arial"/>
          <w:color w:val="000000" w:themeColor="text1"/>
          <w:lang w:val="es-ES" w:eastAsia="es-MX"/>
        </w:rPr>
        <w:t xml:space="preserve"> </w:t>
      </w:r>
    </w:p>
    <w:p w14:paraId="40755C56" w14:textId="77777777" w:rsidR="00947C3B" w:rsidRPr="00F46E4F" w:rsidRDefault="00947C3B" w:rsidP="00F46E4F">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F46E4F" w:rsidRDefault="00947C3B" w:rsidP="00F46E4F">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F46E4F">
        <w:rPr>
          <w:rFonts w:ascii="Palatino Linotype" w:eastAsia="Times New Roman" w:hAnsi="Palatino Linotype" w:cs="Arial"/>
          <w:color w:val="000000" w:themeColor="text1"/>
          <w:lang w:val="es-ES" w:eastAsia="es-MX"/>
        </w:rPr>
        <w:t xml:space="preserve">De modo tal </w:t>
      </w:r>
      <w:r w:rsidR="00DC3309" w:rsidRPr="00F46E4F">
        <w:rPr>
          <w:rFonts w:ascii="Palatino Linotype" w:hAnsi="Palatino Linotype" w:cs="Arial"/>
          <w:color w:val="000000" w:themeColor="text1"/>
        </w:rPr>
        <w:t>que el presente Recurso de R</w:t>
      </w:r>
      <w:r w:rsidRPr="00F46E4F">
        <w:rPr>
          <w:rFonts w:ascii="Palatino Linotype" w:hAnsi="Palatino Linotype" w:cs="Arial"/>
          <w:color w:val="000000" w:themeColor="text1"/>
        </w:rPr>
        <w:t xml:space="preserve">evisión se abocara en determinar si el </w:t>
      </w:r>
      <w:r w:rsidRPr="00F46E4F">
        <w:rPr>
          <w:rFonts w:ascii="Palatino Linotype" w:hAnsi="Palatino Linotype" w:cs="Arial"/>
          <w:b/>
          <w:color w:val="000000" w:themeColor="text1"/>
        </w:rPr>
        <w:t>SUJETO</w:t>
      </w:r>
      <w:r w:rsidRPr="00F46E4F">
        <w:rPr>
          <w:rFonts w:ascii="Palatino Linotype" w:hAnsi="Palatino Linotype" w:cs="Arial"/>
          <w:color w:val="000000" w:themeColor="text1"/>
        </w:rPr>
        <w:t xml:space="preserve"> </w:t>
      </w:r>
      <w:r w:rsidRPr="00F46E4F">
        <w:rPr>
          <w:rFonts w:ascii="Palatino Linotype" w:hAnsi="Palatino Linotype" w:cs="Arial"/>
          <w:b/>
          <w:color w:val="000000" w:themeColor="text1"/>
        </w:rPr>
        <w:t>OBLIGADO</w:t>
      </w:r>
      <w:r w:rsidRPr="00F46E4F">
        <w:rPr>
          <w:rFonts w:ascii="Palatino Linotype" w:hAnsi="Palatino Linotype" w:cs="Arial"/>
          <w:color w:val="000000" w:themeColor="text1"/>
        </w:rPr>
        <w:t xml:space="preserve"> con su respuesta ciertamente </w:t>
      </w:r>
      <w:r w:rsidRPr="00F46E4F">
        <w:rPr>
          <w:rFonts w:ascii="Palatino Linotype" w:eastAsia="Times New Roman" w:hAnsi="Palatino Linotype"/>
          <w:color w:val="000000" w:themeColor="text1"/>
        </w:rPr>
        <w:t>actualiza la</w:t>
      </w:r>
      <w:r w:rsidR="008A5B46" w:rsidRPr="00F46E4F">
        <w:rPr>
          <w:rFonts w:ascii="Palatino Linotype" w:eastAsia="Times New Roman" w:hAnsi="Palatino Linotype"/>
          <w:color w:val="000000" w:themeColor="text1"/>
        </w:rPr>
        <w:t xml:space="preserve"> causal</w:t>
      </w:r>
      <w:r w:rsidRPr="00F46E4F">
        <w:rPr>
          <w:rFonts w:ascii="Palatino Linotype" w:eastAsia="Times New Roman" w:hAnsi="Palatino Linotype"/>
          <w:color w:val="000000" w:themeColor="text1"/>
        </w:rPr>
        <w:t xml:space="preserve"> de procedencia</w:t>
      </w:r>
      <w:r w:rsidRPr="00F46E4F">
        <w:rPr>
          <w:rFonts w:ascii="Palatino Linotype" w:eastAsia="Times New Roman" w:hAnsi="Palatino Linotype"/>
          <w:b/>
          <w:color w:val="000000" w:themeColor="text1"/>
        </w:rPr>
        <w:t xml:space="preserve"> </w:t>
      </w:r>
      <w:r w:rsidR="008A5B46" w:rsidRPr="00F46E4F">
        <w:rPr>
          <w:rFonts w:ascii="Palatino Linotype" w:eastAsia="Times New Roman" w:hAnsi="Palatino Linotype" w:cs="Arial"/>
          <w:color w:val="000000" w:themeColor="text1"/>
          <w:lang w:eastAsia="es-MX"/>
        </w:rPr>
        <w:t>antes señalada</w:t>
      </w:r>
      <w:r w:rsidRPr="00F46E4F">
        <w:rPr>
          <w:rFonts w:ascii="Palatino Linotype" w:hAnsi="Palatino Linotype" w:cs="Arial"/>
          <w:color w:val="000000" w:themeColor="text1"/>
        </w:rPr>
        <w:t xml:space="preserve">; asimismo, determinar si se vulnera el derecho de acceso a la información </w:t>
      </w:r>
      <w:r w:rsidRPr="00F46E4F">
        <w:rPr>
          <w:rFonts w:ascii="Palatino Linotype" w:hAnsi="Palatino Linotype" w:cs="Arial"/>
          <w:color w:val="000000" w:themeColor="text1"/>
        </w:rPr>
        <w:lastRenderedPageBreak/>
        <w:t>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66967CB" w14:textId="77777777" w:rsidR="0007225A" w:rsidRPr="00F46E4F" w:rsidRDefault="0007225A" w:rsidP="00F46E4F">
      <w:pPr>
        <w:pStyle w:val="Prrafodelista"/>
        <w:spacing w:line="360" w:lineRule="auto"/>
        <w:ind w:left="0"/>
        <w:rPr>
          <w:rFonts w:ascii="Palatino Linotype" w:eastAsia="MS Mincho" w:hAnsi="Palatino Linotype" w:cs="Arial"/>
          <w:color w:val="000000" w:themeColor="text1"/>
        </w:rPr>
      </w:pPr>
    </w:p>
    <w:p w14:paraId="51CABBAB" w14:textId="77777777" w:rsidR="00947C3B" w:rsidRPr="00F46E4F" w:rsidRDefault="00947C3B" w:rsidP="00F46E4F">
      <w:pPr>
        <w:pStyle w:val="Ttulo2"/>
        <w:spacing w:before="0" w:line="360" w:lineRule="auto"/>
        <w:rPr>
          <w:rFonts w:ascii="Palatino Linotype" w:hAnsi="Palatino Linotype"/>
          <w:b/>
          <w:color w:val="000000" w:themeColor="text1"/>
          <w:sz w:val="24"/>
          <w:szCs w:val="24"/>
        </w:rPr>
      </w:pPr>
      <w:r w:rsidRPr="00F46E4F">
        <w:rPr>
          <w:rFonts w:ascii="Palatino Linotype" w:hAnsi="Palatino Linotype"/>
          <w:b/>
          <w:color w:val="000000" w:themeColor="text1"/>
          <w:sz w:val="24"/>
          <w:szCs w:val="24"/>
        </w:rPr>
        <w:t>CUARTO. Del estudio y resolución del estudio</w:t>
      </w:r>
    </w:p>
    <w:p w14:paraId="23FA3F75" w14:textId="77777777" w:rsidR="008176E4" w:rsidRPr="00F46E4F" w:rsidRDefault="008176E4"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46E4F">
        <w:rPr>
          <w:rFonts w:ascii="Palatino Linotype" w:eastAsia="Times New Roman" w:hAnsi="Palatino Linotype" w:cs="Arial"/>
          <w:color w:val="000000" w:themeColor="text1"/>
          <w:lang w:val="es-ES" w:eastAsia="es-MX"/>
        </w:rPr>
        <w:t>Transparencia</w:t>
      </w:r>
      <w:r w:rsidRPr="00F46E4F">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F46E4F" w:rsidRDefault="004D0A62" w:rsidP="00F46E4F">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F46E4F" w:rsidRDefault="008176E4"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F46E4F" w:rsidRDefault="008176E4" w:rsidP="00F46E4F">
      <w:pPr>
        <w:spacing w:line="360" w:lineRule="auto"/>
        <w:rPr>
          <w:rFonts w:ascii="Palatino Linotype" w:eastAsia="Palatino Linotype" w:hAnsi="Palatino Linotype" w:cs="Palatino Linotype"/>
          <w:color w:val="000000" w:themeColor="text1"/>
        </w:rPr>
      </w:pPr>
    </w:p>
    <w:p w14:paraId="768EDD26" w14:textId="0740E9A9" w:rsidR="005F346E" w:rsidRPr="00F46E4F" w:rsidRDefault="008176E4"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BCF41D8" w14:textId="77777777" w:rsidR="00A5732F" w:rsidRPr="00F46E4F" w:rsidRDefault="00A5732F" w:rsidP="00F46E4F">
      <w:pPr>
        <w:pStyle w:val="Prrafodelista"/>
        <w:spacing w:line="360" w:lineRule="auto"/>
        <w:ind w:left="0"/>
        <w:rPr>
          <w:rFonts w:ascii="Palatino Linotype" w:eastAsia="Palatino Linotype" w:hAnsi="Palatino Linotype" w:cs="Palatino Linotype"/>
          <w:color w:val="000000" w:themeColor="text1"/>
        </w:rPr>
      </w:pPr>
    </w:p>
    <w:p w14:paraId="591DEE1C" w14:textId="738982AE" w:rsidR="00A5732F" w:rsidRPr="00F46E4F" w:rsidRDefault="00A5732F" w:rsidP="00F46E4F">
      <w:pPr>
        <w:numPr>
          <w:ilvl w:val="0"/>
          <w:numId w:val="1"/>
        </w:numPr>
        <w:spacing w:line="360" w:lineRule="auto"/>
        <w:ind w:left="0" w:firstLine="0"/>
        <w:contextualSpacing/>
        <w:jc w:val="both"/>
        <w:rPr>
          <w:rFonts w:ascii="Palatino Linotype" w:hAnsi="Palatino Linotype"/>
          <w:b/>
          <w:color w:val="000000" w:themeColor="text1"/>
        </w:rPr>
      </w:pPr>
      <w:r w:rsidRPr="00F46E4F">
        <w:rPr>
          <w:rFonts w:ascii="Palatino Linotype" w:eastAsia="Palatino Linotype" w:hAnsi="Palatino Linotype" w:cs="Palatino Linotype"/>
          <w:color w:val="000000" w:themeColor="text1"/>
        </w:rPr>
        <w:t>Acotado lo anterior, es dable primeramente recordar los motivos de inconformidad, en los que se refiere que “</w:t>
      </w:r>
      <w:r w:rsidRPr="00F46E4F">
        <w:rPr>
          <w:rFonts w:ascii="Palatino Linotype" w:eastAsia="Palatino Linotype" w:hAnsi="Palatino Linotype" w:cs="Palatino Linotype"/>
          <w:i/>
          <w:color w:val="000000" w:themeColor="text1"/>
        </w:rPr>
        <w:t>no entrega información”.</w:t>
      </w:r>
      <w:r w:rsidRPr="00F46E4F">
        <w:rPr>
          <w:rFonts w:ascii="Palatino Linotype" w:eastAsia="Palatino Linotype" w:hAnsi="Palatino Linotype" w:cs="Palatino Linotype"/>
          <w:color w:val="000000" w:themeColor="text1"/>
        </w:rPr>
        <w:t xml:space="preserve"> Al respecto, contrario a lo manifestado por el particular, no existió una omisión del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por remitir información, pues como ha quedado asentado en el Considerando de Antecedentes, si se entregó </w:t>
      </w:r>
      <w:r w:rsidR="00A611B1" w:rsidRPr="00F46E4F">
        <w:rPr>
          <w:rFonts w:ascii="Palatino Linotype" w:eastAsia="Palatino Linotype" w:hAnsi="Palatino Linotype" w:cs="Palatino Linotype"/>
          <w:color w:val="000000" w:themeColor="text1"/>
        </w:rPr>
        <w:t xml:space="preserve">diversa información de la cual destaca </w:t>
      </w:r>
      <w:r w:rsidR="00DB6596" w:rsidRPr="00F46E4F">
        <w:rPr>
          <w:rFonts w:ascii="Palatino Linotype" w:eastAsia="Palatino Linotype" w:hAnsi="Palatino Linotype" w:cs="Palatino Linotype"/>
          <w:color w:val="000000" w:themeColor="text1"/>
        </w:rPr>
        <w:t>el listado de empresas contratadas como se observa del siguiente extracto</w:t>
      </w:r>
      <w:r w:rsidRPr="00F46E4F">
        <w:rPr>
          <w:rFonts w:ascii="Palatino Linotype" w:eastAsia="Palatino Linotype" w:hAnsi="Palatino Linotype" w:cs="Palatino Linotype"/>
          <w:color w:val="000000" w:themeColor="text1"/>
        </w:rPr>
        <w:t>:</w:t>
      </w:r>
    </w:p>
    <w:p w14:paraId="7F95E74D" w14:textId="6596DE36" w:rsidR="00DB6596" w:rsidRPr="00F46E4F" w:rsidRDefault="00DB6596" w:rsidP="00F46E4F">
      <w:pPr>
        <w:pStyle w:val="Prrafodelista"/>
        <w:spacing w:line="360" w:lineRule="auto"/>
        <w:ind w:left="0"/>
        <w:rPr>
          <w:rFonts w:ascii="Palatino Linotype" w:hAnsi="Palatino Linotype"/>
          <w:b/>
          <w:color w:val="000000" w:themeColor="text1"/>
        </w:rPr>
      </w:pPr>
    </w:p>
    <w:p w14:paraId="1D583735" w14:textId="1839508E" w:rsidR="004D0A62" w:rsidRPr="00F46E4F" w:rsidRDefault="00DB6596" w:rsidP="00F46E4F">
      <w:pPr>
        <w:spacing w:line="360" w:lineRule="auto"/>
        <w:jc w:val="center"/>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noProof/>
          <w:color w:val="000000" w:themeColor="text1"/>
          <w:lang w:val="es-MX" w:eastAsia="es-MX"/>
        </w:rPr>
        <w:lastRenderedPageBreak/>
        <w:drawing>
          <wp:inline distT="0" distB="0" distL="0" distR="0" wp14:anchorId="69D423A3" wp14:editId="1CB021EF">
            <wp:extent cx="3781016" cy="23676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1974" cy="2374481"/>
                    </a:xfrm>
                    <a:prstGeom prst="rect">
                      <a:avLst/>
                    </a:prstGeom>
                  </pic:spPr>
                </pic:pic>
              </a:graphicData>
            </a:graphic>
          </wp:inline>
        </w:drawing>
      </w:r>
    </w:p>
    <w:p w14:paraId="54A3B893" w14:textId="70FB4EFF" w:rsidR="00DB6596" w:rsidRPr="00F46E4F" w:rsidRDefault="00DB6596" w:rsidP="00F46E4F">
      <w:pPr>
        <w:spacing w:line="360" w:lineRule="auto"/>
        <w:jc w:val="center"/>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w:t>
      </w:r>
    </w:p>
    <w:p w14:paraId="4A489F44" w14:textId="77777777" w:rsidR="00A5732F" w:rsidRPr="00F46E4F" w:rsidRDefault="00A5732F" w:rsidP="00F46E4F">
      <w:pPr>
        <w:spacing w:line="360" w:lineRule="auto"/>
        <w:jc w:val="center"/>
        <w:rPr>
          <w:rFonts w:ascii="Palatino Linotype" w:eastAsia="Palatino Linotype" w:hAnsi="Palatino Linotype" w:cs="Palatino Linotype"/>
          <w:color w:val="000000" w:themeColor="text1"/>
        </w:rPr>
      </w:pPr>
    </w:p>
    <w:p w14:paraId="0BAE441D" w14:textId="3924E3F1" w:rsidR="00A5732F" w:rsidRPr="00F46E4F" w:rsidRDefault="00A5732F"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De tal forma que devienen</w:t>
      </w:r>
      <w:r w:rsidR="00DB6596" w:rsidRPr="00F46E4F">
        <w:rPr>
          <w:rFonts w:ascii="Palatino Linotype" w:eastAsia="Palatino Linotype" w:hAnsi="Palatino Linotype" w:cs="Palatino Linotype"/>
          <w:color w:val="000000" w:themeColor="text1"/>
        </w:rPr>
        <w:t xml:space="preserve"> parcialmente</w:t>
      </w:r>
      <w:r w:rsidRPr="00F46E4F">
        <w:rPr>
          <w:rFonts w:ascii="Palatino Linotype" w:eastAsia="Palatino Linotype" w:hAnsi="Palatino Linotype" w:cs="Palatino Linotype"/>
          <w:color w:val="000000" w:themeColor="text1"/>
        </w:rPr>
        <w:t xml:space="preserve"> infundados los motivos de inconformidad</w:t>
      </w:r>
      <w:r w:rsidR="008D655B" w:rsidRPr="00F46E4F">
        <w:rPr>
          <w:rFonts w:ascii="Palatino Linotype" w:eastAsia="Palatino Linotype" w:hAnsi="Palatino Linotype" w:cs="Palatino Linotype"/>
          <w:color w:val="000000" w:themeColor="text1"/>
        </w:rPr>
        <w:t>, al sí haberse entregado información</w:t>
      </w:r>
      <w:r w:rsidRPr="00F46E4F">
        <w:rPr>
          <w:rFonts w:ascii="Palatino Linotype" w:eastAsia="Palatino Linotype" w:hAnsi="Palatino Linotype" w:cs="Palatino Linotype"/>
          <w:color w:val="000000" w:themeColor="text1"/>
        </w:rPr>
        <w:t>; sin embargo es de recordar que los particulares no son expertos en la materia; consecuentemente no están obligados a conocer estrictamente las causales de procedencia del recurso de revisión contenidos en la ley de la materia; sumado a que el ejercicio del mismo generalmente lo ejercen de manera personal sin asistencia de un profesionista o especialista en la materia, por lo que basta que invoquen una causal que consideren les causa algún perjuicio para que el Órgano Garante admita a trámite un recurso de revisión y determine si se ha colmado o no el derecho humano del solicitante; en este caso si bien la causal invocada no se actualiza, esto fue determinado una vez admitido a trámite y con la emisión de la resolución correspondiente; contexto que no se puede determinar antes de admitir un recurso de revisión, sin que medie un estudio y análisis por parte del organismo garante, el cual debe recaer en una resolución.</w:t>
      </w:r>
    </w:p>
    <w:p w14:paraId="3777BAB1" w14:textId="77777777" w:rsidR="00A5732F" w:rsidRPr="00F46E4F" w:rsidRDefault="00A5732F" w:rsidP="00F46E4F">
      <w:pPr>
        <w:spacing w:line="360" w:lineRule="auto"/>
        <w:contextualSpacing/>
        <w:jc w:val="both"/>
        <w:rPr>
          <w:rFonts w:ascii="Palatino Linotype" w:eastAsia="Palatino Linotype" w:hAnsi="Palatino Linotype" w:cs="Palatino Linotype"/>
          <w:color w:val="000000" w:themeColor="text1"/>
        </w:rPr>
      </w:pPr>
    </w:p>
    <w:p w14:paraId="21170883" w14:textId="38A0D28B" w:rsidR="00A5732F" w:rsidRPr="00F46E4F" w:rsidRDefault="00A5732F"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lastRenderedPageBreak/>
        <w:t xml:space="preserve">Luego entonces, a efector de garantizar el derecho humano del solicitante  desde la óptica de un </w:t>
      </w:r>
      <w:r w:rsidRPr="00F46E4F">
        <w:rPr>
          <w:rFonts w:ascii="Palatino Linotype" w:eastAsia="Palatino Linotype" w:hAnsi="Palatino Linotype" w:cs="Palatino Linotype"/>
          <w:color w:val="000000" w:themeColor="text1"/>
          <w:u w:val="single"/>
        </w:rPr>
        <w:t>escenario garantista</w:t>
      </w:r>
      <w:r w:rsidRPr="00F46E4F">
        <w:rPr>
          <w:rFonts w:ascii="Palatino Linotype" w:eastAsia="Palatino Linotype" w:hAnsi="Palatino Linotype" w:cs="Palatino Linotype"/>
          <w:color w:val="000000" w:themeColor="text1"/>
        </w:rPr>
        <w:t xml:space="preserve"> del derecho por parte de este Instituto y del principio de máxima publicidad, se procede al análisis a la respuesta a efecto de determinar si se colmó a cabalidad el derecho de acceso a la información pública del ahora </w:t>
      </w:r>
      <w:r w:rsidR="00DB6596" w:rsidRPr="00F46E4F">
        <w:rPr>
          <w:rFonts w:ascii="Palatino Linotype" w:eastAsia="Palatino Linotype" w:hAnsi="Palatino Linotype" w:cs="Palatino Linotype"/>
          <w:b/>
          <w:color w:val="000000" w:themeColor="text1"/>
        </w:rPr>
        <w:t>RECURRENTE</w:t>
      </w:r>
      <w:r w:rsidRPr="00F46E4F">
        <w:rPr>
          <w:rFonts w:ascii="Palatino Linotype" w:eastAsia="Palatino Linotype" w:hAnsi="Palatino Linotype" w:cs="Palatino Linotype"/>
          <w:b/>
          <w:color w:val="000000" w:themeColor="text1"/>
        </w:rPr>
        <w:t>.</w:t>
      </w:r>
    </w:p>
    <w:p w14:paraId="5F691976" w14:textId="77777777" w:rsidR="00250F40" w:rsidRPr="00F46E4F" w:rsidRDefault="00250F40" w:rsidP="00F46E4F">
      <w:pPr>
        <w:pStyle w:val="Prrafodelista"/>
        <w:spacing w:line="360" w:lineRule="auto"/>
        <w:ind w:left="0"/>
        <w:rPr>
          <w:rFonts w:ascii="Palatino Linotype" w:eastAsia="Palatino Linotype" w:hAnsi="Palatino Linotype" w:cs="Palatino Linotype"/>
          <w:color w:val="000000" w:themeColor="text1"/>
        </w:rPr>
      </w:pPr>
    </w:p>
    <w:p w14:paraId="1D63FFC8" w14:textId="09CC411C" w:rsidR="00D80954" w:rsidRPr="00F46E4F" w:rsidRDefault="00A5732F" w:rsidP="00F46E4F">
      <w:pPr>
        <w:pStyle w:val="Prrafodelista"/>
        <w:numPr>
          <w:ilvl w:val="0"/>
          <w:numId w:val="1"/>
        </w:numPr>
        <w:spacing w:line="360" w:lineRule="auto"/>
        <w:ind w:left="0" w:firstLine="0"/>
        <w:jc w:val="both"/>
        <w:rPr>
          <w:rFonts w:ascii="Palatino Linotype" w:hAnsi="Palatino Linotype"/>
          <w:color w:val="000000" w:themeColor="text1"/>
        </w:rPr>
      </w:pPr>
      <w:r w:rsidRPr="00F46E4F">
        <w:rPr>
          <w:rFonts w:ascii="Palatino Linotype" w:eastAsia="Palatino Linotype" w:hAnsi="Palatino Linotype" w:cs="Palatino Linotype"/>
          <w:color w:val="000000" w:themeColor="text1"/>
        </w:rPr>
        <w:t xml:space="preserve">Al respecto, se advierte que existe una evidente respuesta incompleta; en virtud que si bien se </w:t>
      </w:r>
      <w:r w:rsidR="002926F2" w:rsidRPr="00F46E4F">
        <w:rPr>
          <w:rFonts w:ascii="Palatino Linotype" w:eastAsia="Palatino Linotype" w:hAnsi="Palatino Linotype" w:cs="Palatino Linotype"/>
          <w:color w:val="000000" w:themeColor="text1"/>
        </w:rPr>
        <w:t>remitió</w:t>
      </w:r>
      <w:r w:rsidRPr="00F46E4F">
        <w:rPr>
          <w:rFonts w:ascii="Palatino Linotype" w:eastAsia="Palatino Linotype" w:hAnsi="Palatino Linotype" w:cs="Palatino Linotype"/>
          <w:color w:val="000000" w:themeColor="text1"/>
        </w:rPr>
        <w:t xml:space="preserve"> un listado de </w:t>
      </w:r>
      <w:r w:rsidR="00DB6596" w:rsidRPr="00F46E4F">
        <w:rPr>
          <w:rFonts w:ascii="Palatino Linotype" w:eastAsia="Palatino Linotype" w:hAnsi="Palatino Linotype" w:cs="Palatino Linotype"/>
          <w:color w:val="000000" w:themeColor="text1"/>
        </w:rPr>
        <w:t>empresas contratadas de los años 2020, 2021, 2022, 2023, 2024, como fuera requerido y que en consecuencia se tiene por colmado</w:t>
      </w:r>
      <w:r w:rsidR="009779EC" w:rsidRPr="00F46E4F">
        <w:rPr>
          <w:rFonts w:ascii="Palatino Linotype" w:eastAsia="Palatino Linotype" w:hAnsi="Palatino Linotype" w:cs="Palatino Linotype"/>
          <w:color w:val="000000" w:themeColor="text1"/>
        </w:rPr>
        <w:t>;</w:t>
      </w:r>
      <w:r w:rsidR="00DB6596" w:rsidRPr="00F46E4F">
        <w:rPr>
          <w:rFonts w:ascii="Palatino Linotype" w:eastAsia="Palatino Linotype" w:hAnsi="Palatino Linotype" w:cs="Palatino Linotype"/>
          <w:color w:val="000000" w:themeColor="text1"/>
        </w:rPr>
        <w:t xml:space="preserve"> en virtud que es de explorado derecho, que </w:t>
      </w:r>
      <w:r w:rsidR="002926F2" w:rsidRPr="00F46E4F">
        <w:rPr>
          <w:rFonts w:ascii="Palatino Linotype" w:eastAsia="Palatino Linotype" w:hAnsi="Palatino Linotype" w:cs="Palatino Linotype"/>
          <w:color w:val="000000" w:themeColor="text1"/>
        </w:rPr>
        <w:t xml:space="preserve">este Órgano Garante </w:t>
      </w:r>
      <w:r w:rsidR="00D80954" w:rsidRPr="00F46E4F">
        <w:rPr>
          <w:rFonts w:ascii="Palatino Linotype" w:hAnsi="Palatino Linotype"/>
          <w:color w:val="000000" w:themeColor="text1"/>
        </w:rPr>
        <w:t>no se encuentra facultado para dudar de su veracidad</w:t>
      </w:r>
      <w:r w:rsidR="00D80954" w:rsidRPr="00F46E4F">
        <w:rPr>
          <w:rFonts w:ascii="Palatino Linotype" w:eastAsia="Palatino Linotype" w:hAnsi="Palatino Linotype" w:cs="Palatino Linotype"/>
          <w:color w:val="000000" w:themeColor="text1"/>
        </w:rPr>
        <w:t xml:space="preserve"> de la </w:t>
      </w:r>
      <w:r w:rsidR="00D80954" w:rsidRPr="00F46E4F">
        <w:rPr>
          <w:rFonts w:ascii="Palatino Linotype" w:eastAsia="MS Mincho" w:hAnsi="Palatino Linotype" w:cs="Arial"/>
          <w:color w:val="000000" w:themeColor="text1"/>
        </w:rPr>
        <w:t>información</w:t>
      </w:r>
      <w:r w:rsidR="00D80954" w:rsidRPr="00F46E4F">
        <w:rPr>
          <w:rFonts w:ascii="Palatino Linotype" w:eastAsia="Palatino Linotype" w:hAnsi="Palatino Linotype" w:cs="Palatino Linotype"/>
          <w:color w:val="000000" w:themeColor="text1"/>
        </w:rPr>
        <w:t xml:space="preserve"> que le fue entregada al hoy </w:t>
      </w:r>
      <w:r w:rsidR="00D80954" w:rsidRPr="00F46E4F">
        <w:rPr>
          <w:rFonts w:ascii="Palatino Linotype" w:eastAsia="Palatino Linotype" w:hAnsi="Palatino Linotype" w:cs="Palatino Linotype"/>
          <w:b/>
          <w:color w:val="000000" w:themeColor="text1"/>
        </w:rPr>
        <w:t>RECURRENTE</w:t>
      </w:r>
      <w:r w:rsidR="00D80954" w:rsidRPr="00F46E4F">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D80954" w:rsidRPr="00F46E4F">
        <w:rPr>
          <w:rFonts w:ascii="Palatino Linotype" w:hAnsi="Palatino Linotype" w:cs="Arial"/>
          <w:color w:val="000000" w:themeColor="text1"/>
        </w:rPr>
        <w:t xml:space="preserve">situación que se aleja de las atribuciones de este Instituto </w:t>
      </w:r>
      <w:r w:rsidR="00D80954" w:rsidRPr="00F46E4F">
        <w:rPr>
          <w:rFonts w:ascii="Palatino Linotype" w:hAnsi="Palatino Linotype"/>
          <w:i/>
          <w:color w:val="000000" w:themeColor="text1"/>
        </w:rPr>
        <w:t>máxime</w:t>
      </w:r>
      <w:r w:rsidR="00D80954" w:rsidRPr="00F46E4F">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0DDE262C" w14:textId="77777777" w:rsidR="008D655B" w:rsidRPr="00F46E4F" w:rsidRDefault="008D655B" w:rsidP="00F46E4F">
      <w:pPr>
        <w:pStyle w:val="Prrafodelista"/>
        <w:spacing w:line="360" w:lineRule="auto"/>
        <w:ind w:left="0"/>
        <w:rPr>
          <w:rFonts w:ascii="Palatino Linotype" w:hAnsi="Palatino Linotype"/>
          <w:color w:val="000000" w:themeColor="text1"/>
        </w:rPr>
      </w:pPr>
    </w:p>
    <w:p w14:paraId="795060F5" w14:textId="77777777" w:rsidR="00D80954" w:rsidRPr="00F46E4F" w:rsidRDefault="00D80954" w:rsidP="00F46E4F">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F46E4F">
        <w:rPr>
          <w:rFonts w:ascii="Palatino Linotype" w:hAnsi="Palatino Linotype"/>
          <w:color w:val="000000" w:themeColor="text1"/>
        </w:rPr>
        <w:t xml:space="preserve">Sirviendo de apoyo a lo anterior por analogía, el criterio 31-10 emitido por el ahora Instituto </w:t>
      </w:r>
      <w:r w:rsidRPr="00F46E4F">
        <w:rPr>
          <w:rFonts w:ascii="Palatino Linotype" w:eastAsia="Palatino Linotype" w:hAnsi="Palatino Linotype" w:cs="Palatino Linotype"/>
          <w:color w:val="000000" w:themeColor="text1"/>
        </w:rPr>
        <w:t>Nacional</w:t>
      </w:r>
      <w:r w:rsidRPr="00F46E4F">
        <w:rPr>
          <w:rFonts w:ascii="Palatino Linotype" w:hAnsi="Palatino Linotype"/>
          <w:color w:val="000000" w:themeColor="text1"/>
        </w:rPr>
        <w:t xml:space="preserve"> de Transparencia, Acceso a la Información y Protección de Datos Personales, que a la letra dice:</w:t>
      </w:r>
    </w:p>
    <w:p w14:paraId="126F536B" w14:textId="77777777" w:rsidR="00D80954" w:rsidRPr="00F46E4F" w:rsidRDefault="00D80954" w:rsidP="00F46E4F">
      <w:pPr>
        <w:pStyle w:val="Default"/>
        <w:spacing w:line="360" w:lineRule="auto"/>
        <w:jc w:val="both"/>
        <w:rPr>
          <w:rFonts w:ascii="Palatino Linotype" w:hAnsi="Palatino Linotype"/>
          <w:i/>
          <w:color w:val="000000" w:themeColor="text1"/>
        </w:rPr>
      </w:pPr>
      <w:r w:rsidRPr="00F46E4F">
        <w:rPr>
          <w:rFonts w:ascii="Palatino Linotype" w:hAnsi="Palatino Linotype"/>
          <w:i/>
          <w:color w:val="000000" w:themeColor="text1"/>
        </w:rPr>
        <w:t xml:space="preserve">“El Instituto Federal de Acceso a la Información y Protección de Datos </w:t>
      </w:r>
      <w:r w:rsidRPr="00F46E4F">
        <w:rPr>
          <w:rFonts w:ascii="Palatino Linotype" w:hAnsi="Palatino Linotype"/>
          <w:b/>
          <w:i/>
          <w:color w:val="000000" w:themeColor="text1"/>
        </w:rPr>
        <w:t>no cuenta con facultades para pronunciarse respecto de la veracidad de los documentos proporcionados por los sujetos obligados.</w:t>
      </w:r>
      <w:r w:rsidRPr="00F46E4F">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w:t>
      </w:r>
      <w:r w:rsidRPr="00F46E4F">
        <w:rPr>
          <w:rFonts w:ascii="Palatino Linotype" w:hAnsi="Palatino Linotype"/>
          <w:i/>
          <w:color w:val="000000" w:themeColor="text1"/>
        </w:rPr>
        <w:lastRenderedPageBreak/>
        <w:t>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DFE645" w14:textId="77777777" w:rsidR="00D80954" w:rsidRPr="00F46E4F" w:rsidRDefault="00D80954" w:rsidP="00F46E4F">
      <w:pPr>
        <w:pStyle w:val="Default"/>
        <w:spacing w:line="360" w:lineRule="auto"/>
        <w:jc w:val="both"/>
        <w:rPr>
          <w:rFonts w:ascii="Palatino Linotype" w:hAnsi="Palatino Linotype"/>
          <w:i/>
          <w:color w:val="000000" w:themeColor="text1"/>
        </w:rPr>
      </w:pPr>
    </w:p>
    <w:p w14:paraId="4F91B9F6" w14:textId="77777777" w:rsidR="00D80954" w:rsidRPr="00F46E4F" w:rsidRDefault="00D80954" w:rsidP="00F46E4F">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F46E4F">
        <w:rPr>
          <w:rFonts w:ascii="Palatino Linotype" w:hAnsi="Palatino Linotype" w:cs="Arial"/>
          <w:color w:val="000000" w:themeColor="text1"/>
        </w:rPr>
        <w:t>Así como lo dispuesto por</w:t>
      </w:r>
      <w:r w:rsidRPr="00F46E4F">
        <w:rPr>
          <w:rFonts w:ascii="Palatino Linotype" w:hAnsi="Palatino Linotype"/>
          <w:color w:val="000000" w:themeColor="text1"/>
        </w:rPr>
        <w:t xml:space="preserve"> la </w:t>
      </w:r>
      <w:r w:rsidRPr="00F46E4F">
        <w:rPr>
          <w:rFonts w:ascii="Palatino Linotype" w:hAnsi="Palatino Linotype"/>
          <w:b/>
          <w:color w:val="000000" w:themeColor="text1"/>
        </w:rPr>
        <w:t xml:space="preserve">Ley de Transparencia y Acceso a la Información Pública del </w:t>
      </w:r>
      <w:r w:rsidRPr="00F46E4F">
        <w:rPr>
          <w:rFonts w:ascii="Palatino Linotype" w:eastAsia="Palatino Linotype" w:hAnsi="Palatino Linotype" w:cs="Palatino Linotype"/>
          <w:color w:val="000000" w:themeColor="text1"/>
        </w:rPr>
        <w:t>Estado</w:t>
      </w:r>
      <w:r w:rsidRPr="00F46E4F">
        <w:rPr>
          <w:rFonts w:ascii="Palatino Linotype" w:hAnsi="Palatino Linotype"/>
          <w:b/>
          <w:color w:val="000000" w:themeColor="text1"/>
        </w:rPr>
        <w:t xml:space="preserve"> de México y Municipios</w:t>
      </w:r>
      <w:r w:rsidRPr="00F46E4F">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2256C3E" w14:textId="77777777" w:rsidR="00D80954" w:rsidRPr="00F46E4F" w:rsidRDefault="00D80954" w:rsidP="00F46E4F">
      <w:pPr>
        <w:pStyle w:val="Prrafodelista"/>
        <w:spacing w:line="360" w:lineRule="auto"/>
        <w:ind w:left="0"/>
        <w:jc w:val="both"/>
        <w:rPr>
          <w:rFonts w:ascii="Palatino Linotype" w:hAnsi="Palatino Linotype" w:cs="Arial"/>
          <w:b/>
          <w:i/>
          <w:color w:val="000000" w:themeColor="text1"/>
        </w:rPr>
      </w:pPr>
      <w:r w:rsidRPr="00F46E4F">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46E4F">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0B688C0" w14:textId="77777777" w:rsidR="00D80954" w:rsidRPr="00F46E4F" w:rsidRDefault="00D80954" w:rsidP="00F46E4F">
      <w:pPr>
        <w:pStyle w:val="Prrafodelista"/>
        <w:spacing w:line="360" w:lineRule="auto"/>
        <w:ind w:left="0"/>
        <w:jc w:val="both"/>
        <w:rPr>
          <w:rFonts w:ascii="Palatino Linotype" w:hAnsi="Palatino Linotype" w:cs="Arial"/>
          <w:b/>
          <w:i/>
          <w:color w:val="000000" w:themeColor="text1"/>
        </w:rPr>
      </w:pPr>
    </w:p>
    <w:p w14:paraId="623ED941" w14:textId="77777777" w:rsidR="009779EC" w:rsidRPr="00F46E4F" w:rsidRDefault="00D80954"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hAnsi="Palatino Linotype" w:cs="Arial"/>
          <w:color w:val="000000" w:themeColor="text1"/>
        </w:rPr>
        <w:lastRenderedPageBreak/>
        <w:t>Numerales</w:t>
      </w:r>
      <w:r w:rsidRPr="00F46E4F">
        <w:rPr>
          <w:rFonts w:ascii="Palatino Linotype" w:hAnsi="Palatino Linotype" w:cs="Arial"/>
          <w:noProof/>
          <w:color w:val="000000" w:themeColor="text1"/>
          <w:lang w:eastAsia="es-MX"/>
        </w:rPr>
        <w:t xml:space="preserve"> que compelen al </w:t>
      </w:r>
      <w:r w:rsidRPr="00F46E4F">
        <w:rPr>
          <w:rFonts w:ascii="Palatino Linotype" w:hAnsi="Palatino Linotype" w:cs="Arial"/>
          <w:b/>
          <w:noProof/>
          <w:color w:val="000000" w:themeColor="text1"/>
          <w:lang w:eastAsia="es-MX"/>
        </w:rPr>
        <w:t>SUJETO OBLIGADO</w:t>
      </w:r>
      <w:r w:rsidRPr="00F46E4F">
        <w:rPr>
          <w:rFonts w:ascii="Palatino Linotype" w:hAnsi="Palatino Linotype" w:cs="Arial"/>
          <w:noProof/>
          <w:color w:val="000000" w:themeColor="text1"/>
          <w:lang w:eastAsia="es-MX"/>
        </w:rPr>
        <w:t xml:space="preserve"> apegarse en todo momento a los </w:t>
      </w:r>
      <w:r w:rsidRPr="00F46E4F">
        <w:rPr>
          <w:rFonts w:ascii="Palatino Linotype" w:hAnsi="Palatino Linotype" w:cs="Arial"/>
          <w:color w:val="000000" w:themeColor="text1"/>
        </w:rPr>
        <w:t>criterios</w:t>
      </w:r>
      <w:r w:rsidRPr="00F46E4F">
        <w:rPr>
          <w:rFonts w:ascii="Palatino Linotype" w:hAnsi="Palatino Linotype" w:cs="Arial"/>
          <w:noProof/>
          <w:color w:val="000000" w:themeColor="text1"/>
          <w:lang w:eastAsia="es-MX"/>
        </w:rPr>
        <w:t xml:space="preserve"> ya expuestos, impidiendo a este Órgano Colegiado cuestionar la veracidad de la información; tambien lo es que </w:t>
      </w:r>
      <w:r w:rsidR="00DB6596" w:rsidRPr="00F46E4F">
        <w:rPr>
          <w:rFonts w:ascii="Palatino Linotype" w:eastAsia="Palatino Linotype" w:hAnsi="Palatino Linotype" w:cs="Palatino Linotype"/>
          <w:color w:val="000000" w:themeColor="text1"/>
        </w:rPr>
        <w:t xml:space="preserve">de los rubros restantes, se emitió un pronunciamiento por parte del Tesorero Municipal, en el que a su decir la información podría ser localizada en el enlace de Internet que se le adjuntó. </w:t>
      </w:r>
    </w:p>
    <w:p w14:paraId="3DFF87AA" w14:textId="77777777" w:rsidR="009779EC" w:rsidRPr="00F46E4F" w:rsidRDefault="009779EC" w:rsidP="00F46E4F">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68B9FC1C" w14:textId="7A0EEBAB" w:rsidR="00DB6596" w:rsidRPr="00F46E4F" w:rsidRDefault="009779EC"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No obstante si bien se encuentra en formato abierto y de ingreso inmediato</w:t>
      </w:r>
      <w:r w:rsidR="00DB6596" w:rsidRPr="00F46E4F">
        <w:rPr>
          <w:rFonts w:ascii="Palatino Linotype" w:eastAsia="Palatino Linotype" w:hAnsi="Palatino Linotype" w:cs="Palatino Linotype"/>
          <w:color w:val="000000" w:themeColor="text1"/>
        </w:rPr>
        <w:t xml:space="preserve"> es inatendible</w:t>
      </w:r>
      <w:r w:rsidRPr="00F46E4F">
        <w:rPr>
          <w:rFonts w:ascii="Palatino Linotype" w:eastAsia="Palatino Linotype" w:hAnsi="Palatino Linotype" w:cs="Palatino Linotype"/>
          <w:color w:val="000000" w:themeColor="text1"/>
        </w:rPr>
        <w:t>, pues el contenido del sitio arroja diversa información que implica una búsqueda exhaustiva de lo solicitado, como se advierte del siguiente extracto:</w:t>
      </w:r>
    </w:p>
    <w:p w14:paraId="6289DFB9" w14:textId="77777777" w:rsidR="009779EC" w:rsidRPr="00F46E4F" w:rsidRDefault="009779EC" w:rsidP="00F46E4F">
      <w:pPr>
        <w:pStyle w:val="Prrafodelista"/>
        <w:spacing w:line="360" w:lineRule="auto"/>
        <w:ind w:left="0"/>
        <w:rPr>
          <w:rFonts w:ascii="Palatino Linotype" w:eastAsia="Palatino Linotype" w:hAnsi="Palatino Linotype" w:cs="Palatino Linotype"/>
          <w:color w:val="000000" w:themeColor="text1"/>
        </w:rPr>
      </w:pPr>
    </w:p>
    <w:p w14:paraId="29740252" w14:textId="3319740B" w:rsidR="009779EC" w:rsidRPr="00F46E4F" w:rsidRDefault="009779EC" w:rsidP="00F46E4F">
      <w:pPr>
        <w:tabs>
          <w:tab w:val="left" w:pos="0"/>
          <w:tab w:val="left" w:pos="142"/>
        </w:tabs>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noProof/>
          <w:color w:val="000000" w:themeColor="text1"/>
          <w:lang w:val="es-MX" w:eastAsia="es-MX"/>
        </w:rPr>
        <w:drawing>
          <wp:inline distT="0" distB="0" distL="0" distR="0" wp14:anchorId="7285A15C" wp14:editId="6DA4D11F">
            <wp:extent cx="5581015" cy="3557905"/>
            <wp:effectExtent l="0" t="0" r="63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557905"/>
                    </a:xfrm>
                    <a:prstGeom prst="rect">
                      <a:avLst/>
                    </a:prstGeom>
                  </pic:spPr>
                </pic:pic>
              </a:graphicData>
            </a:graphic>
          </wp:inline>
        </w:drawing>
      </w:r>
    </w:p>
    <w:p w14:paraId="66F77A69" w14:textId="403250B3" w:rsidR="009779EC" w:rsidRPr="00F46E4F" w:rsidRDefault="009779EC" w:rsidP="00F46E4F">
      <w:pPr>
        <w:tabs>
          <w:tab w:val="left" w:pos="0"/>
          <w:tab w:val="left" w:pos="142"/>
        </w:tabs>
        <w:spacing w:line="360" w:lineRule="auto"/>
        <w:jc w:val="center"/>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t>(…)</w:t>
      </w:r>
    </w:p>
    <w:p w14:paraId="07FC3B87" w14:textId="77777777" w:rsidR="00DB6596" w:rsidRPr="00F46E4F" w:rsidRDefault="00DB6596" w:rsidP="00F46E4F">
      <w:pPr>
        <w:pStyle w:val="Prrafodelista"/>
        <w:spacing w:line="360" w:lineRule="auto"/>
        <w:ind w:left="0"/>
        <w:rPr>
          <w:rFonts w:ascii="Palatino Linotype" w:eastAsia="Palatino Linotype" w:hAnsi="Palatino Linotype" w:cs="Palatino Linotype"/>
          <w:color w:val="000000" w:themeColor="text1"/>
        </w:rPr>
      </w:pPr>
    </w:p>
    <w:p w14:paraId="76776599" w14:textId="392C8CB6" w:rsidR="009779EC" w:rsidRPr="00F46E4F" w:rsidRDefault="009779EC"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hAnsi="Palatino Linotype"/>
          <w:color w:val="000000" w:themeColor="text1"/>
        </w:rPr>
        <w:lastRenderedPageBreak/>
        <w:t>Lo anterior en virtud que</w:t>
      </w:r>
      <w:r w:rsidRPr="00F46E4F">
        <w:rPr>
          <w:rFonts w:ascii="Palatino Linotype" w:eastAsia="Palatino Linotype" w:hAnsi="Palatino Linotype" w:cs="Palatino Linotype"/>
          <w:color w:val="000000" w:themeColor="text1"/>
        </w:rPr>
        <w:t xml:space="preserve"> los artículos 11 y 161 de la Ley de Transparencia Estatal, señalan las características que debe disfrutar toda información entregada por los sujetos obligados desde el momento de su generación, publicación y entrega, así como la forma en que se deberá consultar la información, señalando una fuente precisa y concreta, como se observa a continuación:</w:t>
      </w:r>
    </w:p>
    <w:p w14:paraId="5D81A78D" w14:textId="77777777" w:rsidR="009779EC" w:rsidRPr="00F46E4F" w:rsidRDefault="009779EC" w:rsidP="00F46E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Artículo 11.</w:t>
      </w:r>
      <w:r w:rsidRPr="00F46E4F">
        <w:rPr>
          <w:rFonts w:ascii="Palatino Linotype" w:eastAsia="Palatino Linotype" w:hAnsi="Palatino Linotype" w:cs="Palatino Linotype"/>
          <w:i/>
          <w:color w:val="000000" w:themeColor="text1"/>
        </w:rPr>
        <w:t xml:space="preserve"> </w:t>
      </w:r>
      <w:r w:rsidRPr="00F46E4F">
        <w:rPr>
          <w:rFonts w:ascii="Palatino Linotype" w:eastAsia="Palatino Linotype" w:hAnsi="Palatino Linotype" w:cs="Palatino Linotype"/>
          <w:b/>
          <w:i/>
          <w:color w:val="000000" w:themeColor="text1"/>
          <w:u w:val="single"/>
        </w:rPr>
        <w:t>En la generación, publicación y entrega de información se deberá garantizar que ésta sea accesible</w:t>
      </w:r>
      <w:r w:rsidRPr="00F46E4F">
        <w:rPr>
          <w:rFonts w:ascii="Palatino Linotype" w:eastAsia="Palatino Linotype" w:hAnsi="Palatino Linotype" w:cs="Palatino Linotype"/>
          <w:i/>
          <w:color w:val="000000" w:themeColor="text1"/>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205A78F" w14:textId="77777777" w:rsidR="009779EC" w:rsidRPr="00F46E4F" w:rsidRDefault="009779EC" w:rsidP="00F46E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3DFA02E6" w14:textId="77777777" w:rsidR="009779EC" w:rsidRPr="00F46E4F" w:rsidRDefault="009779EC" w:rsidP="00F46E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B4E0540" w14:textId="77777777" w:rsidR="009779EC" w:rsidRPr="00F46E4F" w:rsidRDefault="009779EC" w:rsidP="00F46E4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r w:rsidRPr="00F46E4F">
        <w:rPr>
          <w:rFonts w:ascii="Palatino Linotype" w:eastAsia="Palatino Linotype" w:hAnsi="Palatino Linotype" w:cs="Palatino Linotype"/>
          <w:b/>
          <w:i/>
          <w:color w:val="000000" w:themeColor="text1"/>
        </w:rPr>
        <w:t>Artículo 161.</w:t>
      </w:r>
      <w:r w:rsidRPr="00F46E4F">
        <w:rPr>
          <w:rFonts w:ascii="Palatino Linotype" w:eastAsia="Palatino Linotype" w:hAnsi="Palatino Linotype" w:cs="Palatino Linotype"/>
          <w:i/>
          <w:color w:val="000000" w:themeColor="text1"/>
        </w:rPr>
        <w:t xml:space="preserve"> </w:t>
      </w:r>
      <w:r w:rsidRPr="00F46E4F">
        <w:rPr>
          <w:rFonts w:ascii="Palatino Linotype" w:eastAsia="Palatino Linotype" w:hAnsi="Palatino Linotype" w:cs="Palatino Linotype"/>
          <w:b/>
          <w:i/>
          <w:color w:val="000000" w:themeColor="text1"/>
          <w:u w:val="single"/>
        </w:rPr>
        <w:t>Cuando la información requerida por el solicitante ya esté</w:t>
      </w:r>
      <w:r w:rsidRPr="00F46E4F">
        <w:rPr>
          <w:rFonts w:ascii="Palatino Linotype" w:eastAsia="Palatino Linotype" w:hAnsi="Palatino Linotype" w:cs="Palatino Linotype"/>
          <w:i/>
          <w:color w:val="000000" w:themeColor="text1"/>
        </w:rPr>
        <w:t xml:space="preserve"> disponible al público en medios impresos, tales como libros, compendios, trípticos, registros públicos, en formatos electrónicos </w:t>
      </w:r>
      <w:r w:rsidRPr="00F46E4F">
        <w:rPr>
          <w:rFonts w:ascii="Palatino Linotype" w:eastAsia="Palatino Linotype" w:hAnsi="Palatino Linotype" w:cs="Palatino Linotype"/>
          <w:b/>
          <w:i/>
          <w:color w:val="000000" w:themeColor="text1"/>
          <w:u w:val="single"/>
        </w:rPr>
        <w:t>disponibles en Internet</w:t>
      </w:r>
      <w:r w:rsidRPr="00F46E4F">
        <w:rPr>
          <w:rFonts w:ascii="Palatino Linotype" w:eastAsia="Palatino Linotype" w:hAnsi="Palatino Linotype" w:cs="Palatino Linotype"/>
          <w:i/>
          <w:color w:val="000000" w:themeColor="text1"/>
        </w:rPr>
        <w:t xml:space="preserve"> o en cualquier otro medio, </w:t>
      </w:r>
      <w:r w:rsidRPr="00F46E4F">
        <w:rPr>
          <w:rFonts w:ascii="Palatino Linotype" w:eastAsia="Palatino Linotype" w:hAnsi="Palatino Linotype" w:cs="Palatino Linotype"/>
          <w:b/>
          <w:i/>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2C3DF8" w14:textId="77777777" w:rsidR="009779EC" w:rsidRPr="00F46E4F" w:rsidRDefault="009779EC" w:rsidP="00F46E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B522524" w14:textId="6D63A367" w:rsidR="009779EC" w:rsidRPr="00F46E4F" w:rsidRDefault="009779EC"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De los artículos transcritos, se establecen las características que debe tener la </w:t>
      </w:r>
      <w:r w:rsidRPr="00F46E4F">
        <w:rPr>
          <w:rFonts w:ascii="Palatino Linotype" w:hAnsi="Palatino Linotype"/>
          <w:color w:val="000000" w:themeColor="text1"/>
        </w:rPr>
        <w:t>información</w:t>
      </w:r>
      <w:r w:rsidRPr="00F46E4F">
        <w:rPr>
          <w:rFonts w:ascii="Palatino Linotype" w:eastAsia="Palatino Linotype" w:hAnsi="Palatino Linotype" w:cs="Palatino Linotype"/>
          <w:color w:val="000000" w:themeColor="text1"/>
        </w:rPr>
        <w:t xml:space="preserve"> desde el momento de su generación, publicación y entrega, de igual manera se contempla el procedimiento a seguir por los sujetos obligados para informar a los </w:t>
      </w:r>
      <w:r w:rsidRPr="00F46E4F">
        <w:rPr>
          <w:rFonts w:ascii="Palatino Linotype" w:eastAsia="Palatino Linotype" w:hAnsi="Palatino Linotype" w:cs="Palatino Linotype"/>
          <w:color w:val="000000" w:themeColor="text1"/>
        </w:rPr>
        <w:lastRenderedPageBreak/>
        <w:t>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967ABF3" w14:textId="77777777" w:rsidR="009779EC" w:rsidRPr="00F46E4F" w:rsidRDefault="009779EC" w:rsidP="00F46E4F">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La fuente,</w:t>
      </w:r>
    </w:p>
    <w:p w14:paraId="693C42E5" w14:textId="77777777" w:rsidR="009779EC" w:rsidRPr="00F46E4F" w:rsidRDefault="009779EC" w:rsidP="00F46E4F">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El lugar, y</w:t>
      </w:r>
    </w:p>
    <w:p w14:paraId="47DF3F2E" w14:textId="77777777" w:rsidR="009779EC" w:rsidRPr="00F46E4F" w:rsidRDefault="009779EC" w:rsidP="00F46E4F">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La forma. </w:t>
      </w:r>
    </w:p>
    <w:p w14:paraId="5A87A871" w14:textId="77777777" w:rsidR="009779EC" w:rsidRPr="00F46E4F" w:rsidRDefault="009779EC" w:rsidP="00F46E4F">
      <w:pPr>
        <w:spacing w:line="360" w:lineRule="auto"/>
        <w:jc w:val="both"/>
        <w:rPr>
          <w:rFonts w:ascii="Palatino Linotype" w:eastAsia="Palatino Linotype" w:hAnsi="Palatino Linotype" w:cs="Palatino Linotype"/>
          <w:color w:val="000000" w:themeColor="text1"/>
        </w:rPr>
      </w:pPr>
    </w:p>
    <w:p w14:paraId="2155E400" w14:textId="77777777" w:rsidR="009779EC" w:rsidRPr="00F46E4F" w:rsidRDefault="009779EC"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Asimismo, se establece que la fuente de la información deberá ser:</w:t>
      </w:r>
    </w:p>
    <w:p w14:paraId="77188B85" w14:textId="77777777" w:rsidR="009779EC" w:rsidRPr="00F46E4F" w:rsidRDefault="009779EC" w:rsidP="00F46E4F">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t>Precisa,</w:t>
      </w:r>
    </w:p>
    <w:p w14:paraId="03AD5E03" w14:textId="77777777" w:rsidR="009779EC" w:rsidRPr="00F46E4F" w:rsidRDefault="009779EC" w:rsidP="00F46E4F">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t>Concreta,</w:t>
      </w:r>
    </w:p>
    <w:p w14:paraId="2CFC53C3" w14:textId="77777777" w:rsidR="009779EC" w:rsidRPr="00F46E4F" w:rsidRDefault="009779EC" w:rsidP="00F46E4F">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Y no debe implicar que el solicitante realice una búsqueda en toda la información que se encuentre disponible.</w:t>
      </w:r>
    </w:p>
    <w:p w14:paraId="67261BEE" w14:textId="77777777" w:rsidR="009779EC" w:rsidRPr="00F46E4F" w:rsidRDefault="009779EC" w:rsidP="00F46E4F">
      <w:pPr>
        <w:spacing w:line="360" w:lineRule="auto"/>
        <w:jc w:val="both"/>
        <w:rPr>
          <w:rFonts w:ascii="Palatino Linotype" w:eastAsia="Palatino Linotype" w:hAnsi="Palatino Linotype" w:cs="Palatino Linotype"/>
          <w:color w:val="000000" w:themeColor="text1"/>
        </w:rPr>
      </w:pPr>
    </w:p>
    <w:p w14:paraId="3C0A6D3A" w14:textId="77777777" w:rsidR="009779EC" w:rsidRPr="00F46E4F" w:rsidRDefault="009779EC"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Imperativos legales que establecen el procedimiento que debe seguir el Sujeto Obligado para que pueda tomarse como válida su orientación sobre la forma en que puede consultar la información requerida, y que, en el caso en concreto, claramente no acontece: por tanto no se puede tener por colmada la solicitud de información con la respuesta emitida.</w:t>
      </w:r>
    </w:p>
    <w:p w14:paraId="770D15E5" w14:textId="77777777" w:rsidR="009779EC" w:rsidRPr="00F46E4F" w:rsidRDefault="009779EC" w:rsidP="00F46E4F">
      <w:pPr>
        <w:spacing w:line="360" w:lineRule="auto"/>
        <w:jc w:val="both"/>
        <w:rPr>
          <w:rFonts w:ascii="Palatino Linotype" w:eastAsia="Palatino Linotype" w:hAnsi="Palatino Linotype" w:cs="Palatino Linotype"/>
          <w:color w:val="000000" w:themeColor="text1"/>
        </w:rPr>
      </w:pPr>
    </w:p>
    <w:p w14:paraId="152B7C18" w14:textId="4AFBBAE1" w:rsidR="00DB6596" w:rsidRPr="00F46E4F" w:rsidRDefault="009779EC"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Empero, en un hecho posterior a la interposición del recurso de revisión, en calidad de informe justificado, 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modificó su respuesta remitiendo un enlace diverso y en formato abierto; así como una serie de instrucciones para acceder a la </w:t>
      </w:r>
      <w:r w:rsidRPr="00F46E4F">
        <w:rPr>
          <w:rFonts w:ascii="Palatino Linotype" w:eastAsia="Palatino Linotype" w:hAnsi="Palatino Linotype" w:cs="Palatino Linotype"/>
          <w:color w:val="000000" w:themeColor="text1"/>
        </w:rPr>
        <w:lastRenderedPageBreak/>
        <w:t xml:space="preserve">información. Instrucciones que luego de ejecutarlas conforme al informe justificado, se obtiene el </w:t>
      </w:r>
      <w:r w:rsidR="00CC3807" w:rsidRPr="00F46E4F">
        <w:rPr>
          <w:rFonts w:ascii="Palatino Linotype" w:eastAsia="Palatino Linotype" w:hAnsi="Palatino Linotype" w:cs="Palatino Linotype"/>
          <w:color w:val="000000" w:themeColor="text1"/>
        </w:rPr>
        <w:t xml:space="preserve">mismo resultado de la página entregada inicialmente, lo cual implica que el particular realice una búsqueda en el universo de archivos que allí se encuentra. Contexto que el propio </w:t>
      </w:r>
      <w:r w:rsidR="00CC3807" w:rsidRPr="00F46E4F">
        <w:rPr>
          <w:rFonts w:ascii="Palatino Linotype" w:eastAsia="Palatino Linotype" w:hAnsi="Palatino Linotype" w:cs="Palatino Linotype"/>
          <w:b/>
          <w:color w:val="000000" w:themeColor="text1"/>
        </w:rPr>
        <w:t>SUJETO OBLIGADO</w:t>
      </w:r>
      <w:r w:rsidR="00CC3807" w:rsidRPr="00F46E4F">
        <w:rPr>
          <w:rFonts w:ascii="Palatino Linotype" w:eastAsia="Palatino Linotype" w:hAnsi="Palatino Linotype" w:cs="Palatino Linotype"/>
          <w:color w:val="000000" w:themeColor="text1"/>
        </w:rPr>
        <w:t xml:space="preserve"> acepta, cuando en la parte final de las instrucciones, le indica al solicitante que abra el archivo que sea de su interés, sin que para tal efecto le refiera cual es el archivo concreto y especifico donde se encuentra lo solicitado, como se observa:</w:t>
      </w:r>
    </w:p>
    <w:p w14:paraId="04F63160" w14:textId="0518B036" w:rsidR="009779EC" w:rsidRPr="00F46E4F" w:rsidRDefault="001E4DDB" w:rsidP="00F46E4F">
      <w:pPr>
        <w:pStyle w:val="Prrafodelista"/>
        <w:tabs>
          <w:tab w:val="left" w:pos="0"/>
          <w:tab w:val="left" w:pos="142"/>
        </w:tabs>
        <w:spacing w:line="360" w:lineRule="auto"/>
        <w:ind w:left="0"/>
        <w:jc w:val="center"/>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noProof/>
          <w:color w:val="000000" w:themeColor="text1"/>
          <w:lang w:val="es-MX" w:eastAsia="es-MX"/>
        </w:rPr>
        <w:drawing>
          <wp:inline distT="0" distB="0" distL="0" distR="0" wp14:anchorId="1F2CB21B" wp14:editId="1597410F">
            <wp:extent cx="4011019" cy="2555661"/>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182" cy="2560862"/>
                    </a:xfrm>
                    <a:prstGeom prst="rect">
                      <a:avLst/>
                    </a:prstGeom>
                  </pic:spPr>
                </pic:pic>
              </a:graphicData>
            </a:graphic>
          </wp:inline>
        </w:drawing>
      </w:r>
    </w:p>
    <w:p w14:paraId="6C44449A" w14:textId="77777777" w:rsidR="009779EC" w:rsidRDefault="009779EC" w:rsidP="00F46E4F">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71108AA4" w14:textId="77777777" w:rsidR="006B6F23" w:rsidRPr="00F46E4F" w:rsidRDefault="006B6F23" w:rsidP="00F46E4F">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5B2B20EC" w14:textId="72D04396" w:rsidR="00525A59" w:rsidRPr="00F46E4F" w:rsidRDefault="001E4DDB" w:rsidP="00F46E4F">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themeColor="text1"/>
        </w:rPr>
      </w:pPr>
      <w:r w:rsidRPr="00F46E4F">
        <w:rPr>
          <w:rFonts w:ascii="Palatino Linotype" w:eastAsia="Palatino Linotype" w:hAnsi="Palatino Linotype" w:cs="Palatino Linotype"/>
          <w:color w:val="000000" w:themeColor="text1"/>
        </w:rPr>
        <w:t>Luego entonces, resulta inoperante el complemento de la respuesta emitida en calidad de informe justificado</w:t>
      </w:r>
      <w:r w:rsidR="00525A59" w:rsidRPr="00F46E4F">
        <w:rPr>
          <w:rFonts w:ascii="Palatino Linotype" w:eastAsia="Palatino Linotype" w:hAnsi="Palatino Linotype" w:cs="Palatino Linotype"/>
          <w:color w:val="000000" w:themeColor="text1"/>
        </w:rPr>
        <w:t>, resultando evidente que en el presente proveído se ordene la información faltante relativa al d</w:t>
      </w:r>
      <w:r w:rsidR="00525A59" w:rsidRPr="00F46E4F">
        <w:rPr>
          <w:rFonts w:ascii="Palatino Linotype" w:hAnsi="Palatino Linotype" w:cs="Arial"/>
          <w:color w:val="000000" w:themeColor="text1"/>
        </w:rPr>
        <w:t xml:space="preserve">esglose de los recursos destinados a los </w:t>
      </w:r>
      <w:r w:rsidR="00525A59" w:rsidRPr="00F46E4F">
        <w:rPr>
          <w:rFonts w:ascii="Palatino Linotype" w:eastAsia="Palatino Linotype" w:hAnsi="Palatino Linotype" w:cs="Palatino Linotype"/>
          <w:color w:val="000000" w:themeColor="text1"/>
        </w:rPr>
        <w:t>rubros</w:t>
      </w:r>
      <w:r w:rsidR="00525A59" w:rsidRPr="00F46E4F">
        <w:rPr>
          <w:rFonts w:ascii="Palatino Linotype" w:hAnsi="Palatino Linotype" w:cs="Arial"/>
          <w:color w:val="000000" w:themeColor="text1"/>
        </w:rPr>
        <w:t xml:space="preserve"> de publicidad y comunicación social en los últimos 5 años; incluyendo información sobre las campañas publicitarias por tipo de medio, número de contrato y concepto;) y, los montos </w:t>
      </w:r>
      <w:r w:rsidR="00525A59" w:rsidRPr="00F46E4F">
        <w:rPr>
          <w:rFonts w:ascii="Palatino Linotype" w:hAnsi="Palatino Linotype" w:cs="Arial"/>
          <w:color w:val="000000" w:themeColor="text1"/>
        </w:rPr>
        <w:lastRenderedPageBreak/>
        <w:t>erogados. Lo anterior sumado a que lo solicitado corresponde a información pública de oficio.</w:t>
      </w:r>
    </w:p>
    <w:p w14:paraId="23A6B2D9" w14:textId="77777777" w:rsidR="00525A59" w:rsidRPr="00F46E4F" w:rsidRDefault="00525A59" w:rsidP="00F46E4F">
      <w:pPr>
        <w:pStyle w:val="Prrafodelista"/>
        <w:tabs>
          <w:tab w:val="left" w:pos="0"/>
          <w:tab w:val="left" w:pos="142"/>
        </w:tabs>
        <w:spacing w:line="360" w:lineRule="auto"/>
        <w:ind w:left="0"/>
        <w:jc w:val="both"/>
        <w:rPr>
          <w:rFonts w:ascii="Palatino Linotype" w:hAnsi="Palatino Linotype" w:cs="Arial"/>
          <w:color w:val="000000" w:themeColor="text1"/>
        </w:rPr>
      </w:pPr>
    </w:p>
    <w:p w14:paraId="577018A3" w14:textId="12FB8A81" w:rsidR="00525A59" w:rsidRPr="00F46E4F" w:rsidRDefault="00525A59"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Es decir que por disposición de ley debe ser publicada de forma obligatoria para todos los sujetos obligados siendo esta la establecida en las fracciones del artículo 92 de la Ley de Transparencia y Acceso a la Información Pública del Estado de México y Municipio, el cual contempla lo siguiente:</w:t>
      </w:r>
    </w:p>
    <w:p w14:paraId="026E1563" w14:textId="77777777" w:rsidR="00525A59" w:rsidRPr="00F46E4F" w:rsidRDefault="00525A59" w:rsidP="00F46E4F">
      <w:pPr>
        <w:spacing w:line="360" w:lineRule="auto"/>
        <w:jc w:val="both"/>
        <w:rPr>
          <w:rFonts w:ascii="Palatino Linotype" w:eastAsia="Palatino Linotype" w:hAnsi="Palatino Linotype" w:cs="Palatino Linotype"/>
          <w:b/>
          <w:i/>
          <w:color w:val="000000" w:themeColor="text1"/>
        </w:rPr>
      </w:pPr>
      <w:r w:rsidRPr="00F46E4F">
        <w:rPr>
          <w:rFonts w:ascii="Palatino Linotype" w:eastAsia="Palatino Linotype" w:hAnsi="Palatino Linotype" w:cs="Palatino Linotype"/>
          <w:i/>
          <w:color w:val="000000" w:themeColor="text1"/>
        </w:rPr>
        <w:t>“</w:t>
      </w:r>
      <w:r w:rsidRPr="00F46E4F">
        <w:rPr>
          <w:rFonts w:ascii="Palatino Linotype" w:eastAsia="Palatino Linotype" w:hAnsi="Palatino Linotype" w:cs="Palatino Linotype"/>
          <w:b/>
          <w:i/>
          <w:color w:val="000000" w:themeColor="text1"/>
        </w:rPr>
        <w:t xml:space="preserve">Capítulo II </w:t>
      </w:r>
    </w:p>
    <w:p w14:paraId="54372738" w14:textId="77777777" w:rsidR="00525A59" w:rsidRPr="00F46E4F" w:rsidRDefault="00525A59" w:rsidP="00F46E4F">
      <w:pPr>
        <w:spacing w:line="360" w:lineRule="auto"/>
        <w:jc w:val="both"/>
        <w:rPr>
          <w:rFonts w:ascii="Palatino Linotype" w:eastAsia="Palatino Linotype" w:hAnsi="Palatino Linotype" w:cs="Palatino Linotype"/>
          <w:b/>
          <w:i/>
          <w:color w:val="000000" w:themeColor="text1"/>
        </w:rPr>
      </w:pPr>
      <w:r w:rsidRPr="00F46E4F">
        <w:rPr>
          <w:rFonts w:ascii="Palatino Linotype" w:eastAsia="Palatino Linotype" w:hAnsi="Palatino Linotype" w:cs="Palatino Linotype"/>
          <w:b/>
          <w:i/>
          <w:color w:val="000000" w:themeColor="text1"/>
        </w:rPr>
        <w:t>De las Obligaciones de Transparencia Comunes</w:t>
      </w:r>
    </w:p>
    <w:p w14:paraId="62E86849" w14:textId="77777777" w:rsidR="00525A59" w:rsidRPr="00F46E4F" w:rsidRDefault="00525A59"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 xml:space="preserve">Artículo 92. </w:t>
      </w:r>
      <w:r w:rsidRPr="00F46E4F">
        <w:rPr>
          <w:rFonts w:ascii="Palatino Linotype" w:eastAsia="Palatino Linotype" w:hAnsi="Palatino Linotype" w:cs="Palatino Linotype"/>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D34BB55" w14:textId="0E9D478B" w:rsidR="00525A59" w:rsidRPr="00F46E4F" w:rsidRDefault="00525A59"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0B036B46" w14:textId="77777777" w:rsidR="00525A59" w:rsidRPr="00F46E4F" w:rsidRDefault="00525A59"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XXVII. Los montos destinados a gastos relativos a todos los programas y campañas de comunicación social y publicidad oficial desglosada por tipo de medio, proveedores, número de contrato y concepto</w:t>
      </w:r>
      <w:r w:rsidRPr="00F46E4F">
        <w:rPr>
          <w:rFonts w:ascii="Palatino Linotype" w:eastAsia="Palatino Linotype" w:hAnsi="Palatino Linotype" w:cs="Palatino Linotype"/>
          <w:i/>
          <w:color w:val="000000" w:themeColor="text1"/>
        </w:rPr>
        <w:t xml:space="preserve">; </w:t>
      </w:r>
    </w:p>
    <w:p w14:paraId="2FC23CC7" w14:textId="0945CA41" w:rsidR="00525A59" w:rsidRPr="00F46E4F" w:rsidRDefault="00525A59" w:rsidP="00F46E4F">
      <w:pPr>
        <w:tabs>
          <w:tab w:val="left" w:pos="709"/>
        </w:tabs>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556CD257" w14:textId="2C6E760B" w:rsidR="00525A59" w:rsidRPr="00F46E4F" w:rsidRDefault="00525A59" w:rsidP="00F46E4F">
      <w:pPr>
        <w:tabs>
          <w:tab w:val="left" w:pos="709"/>
        </w:tabs>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Énfasis añadido</w:t>
      </w:r>
    </w:p>
    <w:p w14:paraId="49A25D3C" w14:textId="77777777" w:rsidR="00525A59" w:rsidRPr="00F46E4F" w:rsidRDefault="00525A59" w:rsidP="00F46E4F">
      <w:pPr>
        <w:spacing w:line="360" w:lineRule="auto"/>
        <w:jc w:val="both"/>
        <w:rPr>
          <w:rFonts w:ascii="Palatino Linotype" w:eastAsia="Palatino Linotype" w:hAnsi="Palatino Linotype" w:cs="Palatino Linotype"/>
          <w:i/>
          <w:color w:val="000000" w:themeColor="text1"/>
        </w:rPr>
      </w:pPr>
    </w:p>
    <w:p w14:paraId="53FB9593" w14:textId="77777777" w:rsidR="003B5E7B" w:rsidRPr="00F46E4F" w:rsidRDefault="003B5E7B"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Aunado a lo anterior, la misma ley de Transparencia y Acceso a la Información Pública del Estado de México y Municipios multicitada, contempla en su artículo 93 la </w:t>
      </w:r>
      <w:r w:rsidRPr="00F46E4F">
        <w:rPr>
          <w:rFonts w:ascii="Palatino Linotype" w:eastAsia="Palatino Linotype" w:hAnsi="Palatino Linotype" w:cs="Palatino Linotype"/>
          <w:color w:val="000000" w:themeColor="text1"/>
        </w:rPr>
        <w:lastRenderedPageBreak/>
        <w:t xml:space="preserve">obligación de los Sujetos Obligados de verificar y publicar las fracciones aplicables. Se inserta el precepto en comento para mayor referencia: </w:t>
      </w:r>
    </w:p>
    <w:p w14:paraId="75A60157" w14:textId="77777777" w:rsidR="003B5E7B" w:rsidRPr="00F46E4F" w:rsidRDefault="003B5E7B" w:rsidP="00F46E4F">
      <w:pPr>
        <w:pStyle w:val="Prrafodelista"/>
        <w:spacing w:line="360" w:lineRule="auto"/>
        <w:ind w:left="0"/>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r w:rsidRPr="00F46E4F">
        <w:rPr>
          <w:rFonts w:ascii="Palatino Linotype" w:eastAsia="Palatino Linotype" w:hAnsi="Palatino Linotype" w:cs="Palatino Linotype"/>
          <w:b/>
          <w:i/>
          <w:color w:val="000000" w:themeColor="text1"/>
        </w:rPr>
        <w:t>Artículo 93.</w:t>
      </w:r>
      <w:r w:rsidRPr="00F46E4F">
        <w:rPr>
          <w:rFonts w:ascii="Palatino Linotype" w:eastAsia="Palatino Linotype" w:hAnsi="Palatino Linotype" w:cs="Palatino Linotype"/>
          <w:i/>
          <w:color w:val="000000" w:themeColor="text1"/>
        </w:rPr>
        <w:t xml:space="preserve"> Los sujetos obligados deberán informar al Instituto y verificar que se publiquen en la Plataforma Nacional, cuáles son los rubros que son aplicables a sus páginas de Internet, con el objeto de que éstos verifiquen y aprueben, de forma fundada y motivada, la relación de fracciones aplicables a cada sujeto obligado.”</w:t>
      </w:r>
    </w:p>
    <w:p w14:paraId="422CA106" w14:textId="77777777" w:rsidR="003B5E7B" w:rsidRPr="00F46E4F" w:rsidRDefault="003B5E7B" w:rsidP="00F46E4F">
      <w:pPr>
        <w:pStyle w:val="Prrafodelista"/>
        <w:spacing w:line="360" w:lineRule="auto"/>
        <w:ind w:left="0"/>
        <w:jc w:val="both"/>
        <w:rPr>
          <w:rFonts w:ascii="Palatino Linotype" w:eastAsia="Palatino Linotype" w:hAnsi="Palatino Linotype" w:cs="Palatino Linotype"/>
          <w:color w:val="000000" w:themeColor="text1"/>
        </w:rPr>
      </w:pPr>
    </w:p>
    <w:p w14:paraId="24B35C6A" w14:textId="32A30707" w:rsidR="00525A59" w:rsidRPr="00F46E4F" w:rsidRDefault="003B5E7B"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Información que como se ha desarrollado en la presente Resolución, se aceptó que fue generada, poseído y administrada por el </w:t>
      </w:r>
      <w:r w:rsidRPr="00F46E4F">
        <w:rPr>
          <w:rFonts w:ascii="Palatino Linotype" w:eastAsia="Palatino Linotype" w:hAnsi="Palatino Linotype" w:cs="Palatino Linotype"/>
          <w:b/>
          <w:color w:val="000000" w:themeColor="text1"/>
        </w:rPr>
        <w:t xml:space="preserve">SUJETO OBLIGADO; </w:t>
      </w:r>
      <w:r w:rsidRPr="00F46E4F">
        <w:rPr>
          <w:rFonts w:ascii="Palatino Linotype" w:eastAsia="Palatino Linotype" w:hAnsi="Palatino Linotype" w:cs="Palatino Linotype"/>
          <w:color w:val="000000" w:themeColor="text1"/>
        </w:rPr>
        <w:t>tan es así que ya fueron entregados los nombres de las empresas o entidades contratadas en los últimos</w:t>
      </w:r>
      <w:r w:rsidR="004425EC" w:rsidRPr="00F46E4F">
        <w:rPr>
          <w:rFonts w:ascii="Palatino Linotype" w:eastAsia="Palatino Linotype" w:hAnsi="Palatino Linotype" w:cs="Palatino Linotype"/>
          <w:color w:val="000000" w:themeColor="text1"/>
        </w:rPr>
        <w:t xml:space="preserve"> cinco años, así como dos</w:t>
      </w:r>
      <w:r w:rsidRPr="00F46E4F">
        <w:rPr>
          <w:rFonts w:ascii="Palatino Linotype" w:eastAsia="Palatino Linotype" w:hAnsi="Palatino Linotype" w:cs="Palatino Linotype"/>
          <w:color w:val="000000" w:themeColor="text1"/>
        </w:rPr>
        <w:t xml:space="preserve"> enlace</w:t>
      </w:r>
      <w:r w:rsidR="004425EC" w:rsidRPr="00F46E4F">
        <w:rPr>
          <w:rFonts w:ascii="Palatino Linotype" w:eastAsia="Palatino Linotype" w:hAnsi="Palatino Linotype" w:cs="Palatino Linotype"/>
          <w:color w:val="000000" w:themeColor="text1"/>
        </w:rPr>
        <w:t>s</w:t>
      </w:r>
      <w:r w:rsidRPr="00F46E4F">
        <w:rPr>
          <w:rFonts w:ascii="Palatino Linotype" w:eastAsia="Palatino Linotype" w:hAnsi="Palatino Linotype" w:cs="Palatino Linotype"/>
          <w:color w:val="000000" w:themeColor="text1"/>
        </w:rPr>
        <w:t xml:space="preserve"> en l</w:t>
      </w:r>
      <w:r w:rsidR="004425EC" w:rsidRPr="00F46E4F">
        <w:rPr>
          <w:rFonts w:ascii="Palatino Linotype" w:eastAsia="Palatino Linotype" w:hAnsi="Palatino Linotype" w:cs="Palatino Linotype"/>
          <w:color w:val="000000" w:themeColor="text1"/>
        </w:rPr>
        <w:t>os</w:t>
      </w:r>
      <w:r w:rsidRPr="00F46E4F">
        <w:rPr>
          <w:rFonts w:ascii="Palatino Linotype" w:eastAsia="Palatino Linotype" w:hAnsi="Palatino Linotype" w:cs="Palatino Linotype"/>
          <w:color w:val="000000" w:themeColor="text1"/>
        </w:rPr>
        <w:t xml:space="preserve"> que se manifiesta se encuentra publicado lo solicitado.</w:t>
      </w:r>
    </w:p>
    <w:p w14:paraId="40990BD1" w14:textId="77777777" w:rsidR="003B5E7B" w:rsidRPr="00F46E4F" w:rsidRDefault="003B5E7B" w:rsidP="00F46E4F">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7737D688" w14:textId="3351579C" w:rsidR="003B5E7B" w:rsidRPr="00F46E4F" w:rsidRDefault="003B5E7B" w:rsidP="00F46E4F">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En consecuencia, llegado a este punto y derivado de los argumentos vertidos a lo largo del presente Considerando, este Instituto determina </w:t>
      </w:r>
      <w:r w:rsidRPr="00F46E4F">
        <w:rPr>
          <w:rFonts w:ascii="Palatino Linotype" w:eastAsia="Palatino Linotype" w:hAnsi="Palatino Linotype" w:cs="Palatino Linotype"/>
          <w:b/>
          <w:color w:val="000000" w:themeColor="text1"/>
        </w:rPr>
        <w:t xml:space="preserve">MODIFICAR </w:t>
      </w:r>
      <w:r w:rsidRPr="00F46E4F">
        <w:rPr>
          <w:rFonts w:ascii="Palatino Linotype" w:eastAsia="Palatino Linotype" w:hAnsi="Palatino Linotype" w:cs="Palatino Linotype"/>
          <w:color w:val="000000" w:themeColor="text1"/>
        </w:rPr>
        <w:t xml:space="preserve">la respuesta del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por resultar parcialmente fundadas las razones o motivos de inconformidad vertidos por el </w:t>
      </w:r>
      <w:r w:rsidRPr="00F46E4F">
        <w:rPr>
          <w:rFonts w:ascii="Palatino Linotype" w:eastAsia="Palatino Linotype" w:hAnsi="Palatino Linotype" w:cs="Palatino Linotype"/>
          <w:b/>
          <w:color w:val="000000" w:themeColor="text1"/>
        </w:rPr>
        <w:t>RECURRENTE</w:t>
      </w:r>
      <w:r w:rsidRPr="00F46E4F">
        <w:rPr>
          <w:rFonts w:ascii="Palatino Linotype" w:eastAsia="Palatino Linotype" w:hAnsi="Palatino Linotype" w:cs="Palatino Linotype"/>
          <w:color w:val="000000" w:themeColor="text1"/>
        </w:rPr>
        <w:t xml:space="preserve"> en el presente Recurso de Revisión y se ordena al </w:t>
      </w:r>
      <w:r w:rsidRPr="00F46E4F">
        <w:rPr>
          <w:rFonts w:ascii="Palatino Linotype" w:eastAsia="Palatino Linotype" w:hAnsi="Palatino Linotype" w:cs="Palatino Linotype"/>
          <w:b/>
          <w:color w:val="000000" w:themeColor="text1"/>
        </w:rPr>
        <w:t xml:space="preserve">SUJETO OBLIGADO, </w:t>
      </w:r>
      <w:r w:rsidRPr="00F46E4F">
        <w:rPr>
          <w:rFonts w:ascii="Palatino Linotype" w:eastAsia="Palatino Linotype" w:hAnsi="Palatino Linotype" w:cs="Palatino Linotype"/>
          <w:color w:val="000000" w:themeColor="text1"/>
        </w:rPr>
        <w:t>haga entrega del so</w:t>
      </w:r>
      <w:r w:rsidR="00E92E1B" w:rsidRPr="00F46E4F">
        <w:rPr>
          <w:rFonts w:ascii="Palatino Linotype" w:eastAsia="Palatino Linotype" w:hAnsi="Palatino Linotype" w:cs="Palatino Linotype"/>
          <w:color w:val="000000" w:themeColor="text1"/>
        </w:rPr>
        <w:t>porte documental donde conste o se advierta el d</w:t>
      </w:r>
      <w:r w:rsidR="00E92E1B" w:rsidRPr="00F46E4F">
        <w:rPr>
          <w:rFonts w:ascii="Palatino Linotype" w:hAnsi="Palatino Linotype" w:cs="Arial"/>
          <w:color w:val="000000" w:themeColor="text1"/>
        </w:rPr>
        <w:t xml:space="preserve">esglose de los recursos destinados a los </w:t>
      </w:r>
      <w:r w:rsidR="00E92E1B" w:rsidRPr="00F46E4F">
        <w:rPr>
          <w:rFonts w:ascii="Palatino Linotype" w:eastAsia="Palatino Linotype" w:hAnsi="Palatino Linotype" w:cs="Palatino Linotype"/>
          <w:color w:val="000000" w:themeColor="text1"/>
        </w:rPr>
        <w:t>rubros</w:t>
      </w:r>
      <w:r w:rsidR="00E92E1B" w:rsidRPr="00F46E4F">
        <w:rPr>
          <w:rFonts w:ascii="Palatino Linotype" w:hAnsi="Palatino Linotype" w:cs="Arial"/>
          <w:color w:val="000000" w:themeColor="text1"/>
        </w:rPr>
        <w:t xml:space="preserve"> de publicidad y comunicación social en los últimos 5 años; incluyendo información sobre las campañas publicitarias por tipo de medio, número de contrato y concepto;) y, los montos erogados, de ser el caso en versión pública.</w:t>
      </w:r>
    </w:p>
    <w:p w14:paraId="4DB81448" w14:textId="77777777" w:rsidR="003F7639" w:rsidRPr="00F46E4F" w:rsidRDefault="003F7639" w:rsidP="00F46E4F">
      <w:pPr>
        <w:pStyle w:val="Prrafodelista"/>
        <w:spacing w:line="360" w:lineRule="auto"/>
        <w:ind w:left="0"/>
        <w:rPr>
          <w:rFonts w:ascii="Palatino Linotype" w:hAnsi="Palatino Linotype"/>
          <w:color w:val="000000" w:themeColor="text1"/>
        </w:rPr>
      </w:pPr>
    </w:p>
    <w:p w14:paraId="2B624612" w14:textId="77777777" w:rsidR="006C0D60" w:rsidRPr="00F46E4F" w:rsidRDefault="006C0D60" w:rsidP="00F46E4F">
      <w:pPr>
        <w:numPr>
          <w:ilvl w:val="0"/>
          <w:numId w:val="1"/>
        </w:numPr>
        <w:spacing w:line="360" w:lineRule="auto"/>
        <w:ind w:left="0" w:firstLine="0"/>
        <w:contextualSpacing/>
        <w:jc w:val="both"/>
        <w:rPr>
          <w:rFonts w:ascii="Palatino Linotype" w:hAnsi="Palatino Linotype"/>
          <w:color w:val="000000" w:themeColor="text1"/>
        </w:rPr>
      </w:pPr>
      <w:r w:rsidRPr="00F46E4F">
        <w:rPr>
          <w:rFonts w:ascii="Palatino Linotype" w:hAnsi="Palatino Linotype"/>
          <w:color w:val="000000" w:themeColor="text1"/>
        </w:rPr>
        <w:lastRenderedPageBreak/>
        <w:t xml:space="preserve">Con la determinación anterior, se tendrá por colmado el derecho de acceso a la información del ahora </w:t>
      </w:r>
      <w:r w:rsidRPr="00F46E4F">
        <w:rPr>
          <w:rFonts w:ascii="Palatino Linotype" w:hAnsi="Palatino Linotype"/>
          <w:b/>
          <w:color w:val="000000" w:themeColor="text1"/>
        </w:rPr>
        <w:t>RECURRENTE</w:t>
      </w:r>
      <w:r w:rsidRPr="00F46E4F">
        <w:rPr>
          <w:rFonts w:ascii="Palatino Linotype" w:hAnsi="Palatino Linotype"/>
          <w:color w:val="000000" w:themeColor="text1"/>
        </w:rPr>
        <w:t xml:space="preserve">; toda vez </w:t>
      </w:r>
      <w:r w:rsidRPr="00F46E4F">
        <w:rPr>
          <w:rFonts w:ascii="Palatino Linotype" w:eastAsia="Times New Roman" w:hAnsi="Palatino Linotype" w:cs="Arial"/>
          <w:color w:val="000000" w:themeColor="text1"/>
        </w:rPr>
        <w:t xml:space="preserve">que </w:t>
      </w:r>
      <w:r w:rsidRPr="00F46E4F">
        <w:rPr>
          <w:rFonts w:ascii="Palatino Linotype" w:hAnsi="Palatino Linotype"/>
          <w:color w:val="000000" w:themeColor="text1"/>
        </w:rPr>
        <w:t xml:space="preserve">el Derecho que tutela este Órgano Garante </w:t>
      </w:r>
      <w:r w:rsidRPr="00F46E4F">
        <w:rPr>
          <w:rFonts w:ascii="Palatino Linotype" w:hAnsi="Palatino Linotype" w:cs="Arial"/>
          <w:color w:val="000000" w:themeColor="text1"/>
        </w:rPr>
        <w:t>corresponde</w:t>
      </w:r>
      <w:r w:rsidRPr="00F46E4F">
        <w:rPr>
          <w:rFonts w:ascii="Palatino Linotype" w:hAnsi="Palatino Linotype"/>
          <w:color w:val="000000" w:themeColor="text1"/>
        </w:rPr>
        <w:t xml:space="preserve"> a la </w:t>
      </w:r>
      <w:r w:rsidRPr="00F46E4F">
        <w:rPr>
          <w:rFonts w:ascii="Palatino Linotype" w:eastAsia="Times New Roman" w:hAnsi="Palatino Linotype" w:cs="Arial"/>
          <w:color w:val="000000" w:themeColor="text1"/>
        </w:rPr>
        <w:t xml:space="preserve"> </w:t>
      </w:r>
      <w:r w:rsidRPr="00F46E4F">
        <w:rPr>
          <w:rFonts w:ascii="Palatino Linotype" w:eastAsia="MS Mincho" w:hAnsi="Palatino Linotype" w:cs="Times New Roman"/>
          <w:i/>
          <w:color w:val="000000" w:themeColor="text1"/>
        </w:rPr>
        <w:t>igualdad de oportunidades para recibir, buscar e impartir información</w:t>
      </w:r>
      <w:r w:rsidRPr="00F46E4F">
        <w:rPr>
          <w:rStyle w:val="Refdenotaalpie"/>
          <w:rFonts w:ascii="Palatino Linotype" w:eastAsia="MS Mincho" w:hAnsi="Palatino Linotype"/>
          <w:i/>
          <w:color w:val="000000" w:themeColor="text1"/>
        </w:rPr>
        <w:footnoteReference w:id="1"/>
      </w:r>
      <w:r w:rsidRPr="00F46E4F">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46E4F">
        <w:rPr>
          <w:rStyle w:val="Refdenotaalpie"/>
          <w:rFonts w:ascii="Palatino Linotype" w:eastAsia="MS Mincho" w:hAnsi="Palatino Linotype"/>
          <w:color w:val="000000" w:themeColor="text1"/>
        </w:rPr>
        <w:footnoteReference w:id="2"/>
      </w:r>
      <w:r w:rsidRPr="00F46E4F">
        <w:rPr>
          <w:rFonts w:ascii="Palatino Linotype" w:eastAsia="MS Mincho" w:hAnsi="Palatino Linotype" w:cs="Times New Roman"/>
          <w:i/>
          <w:color w:val="000000" w:themeColor="text1"/>
        </w:rPr>
        <w:t xml:space="preserve"> </w:t>
      </w:r>
      <w:r w:rsidRPr="00F46E4F">
        <w:rPr>
          <w:rFonts w:ascii="Palatino Linotype" w:eastAsia="MS Mincho" w:hAnsi="Palatino Linotype" w:cs="Times New Roman"/>
          <w:color w:val="000000" w:themeColor="text1"/>
        </w:rPr>
        <w:t xml:space="preserve">que se constituye como una herramienta fundamental para </w:t>
      </w:r>
      <w:r w:rsidRPr="00F46E4F">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F46E4F">
        <w:rPr>
          <w:rStyle w:val="Refdenotaalpie"/>
          <w:rFonts w:ascii="Palatino Linotype" w:eastAsia="MS Mincho" w:hAnsi="Palatino Linotype"/>
          <w:i/>
          <w:color w:val="000000" w:themeColor="text1"/>
        </w:rPr>
        <w:footnoteReference w:id="3"/>
      </w:r>
      <w:r w:rsidRPr="00F46E4F">
        <w:rPr>
          <w:rFonts w:ascii="Palatino Linotype" w:eastAsia="MS Mincho" w:hAnsi="Palatino Linotype" w:cs="Times New Roman"/>
          <w:color w:val="000000" w:themeColor="text1"/>
        </w:rPr>
        <w:t>fomentando</w:t>
      </w:r>
      <w:r w:rsidRPr="00F46E4F">
        <w:rPr>
          <w:rFonts w:ascii="Palatino Linotype" w:eastAsia="MS Mincho" w:hAnsi="Palatino Linotype" w:cs="Times New Roman"/>
          <w:i/>
          <w:color w:val="000000" w:themeColor="text1"/>
        </w:rPr>
        <w:t xml:space="preserve"> la transparencia de las actividades estatales y</w:t>
      </w:r>
      <w:r w:rsidRPr="00F46E4F">
        <w:rPr>
          <w:rFonts w:ascii="Palatino Linotype" w:eastAsia="MS Mincho" w:hAnsi="Palatino Linotype" w:cs="Times New Roman"/>
          <w:color w:val="000000" w:themeColor="text1"/>
        </w:rPr>
        <w:t xml:space="preserve"> promoviendo</w:t>
      </w:r>
      <w:r w:rsidRPr="00F46E4F">
        <w:rPr>
          <w:rFonts w:ascii="Palatino Linotype" w:eastAsia="MS Mincho" w:hAnsi="Palatino Linotype" w:cs="Times New Roman"/>
          <w:i/>
          <w:color w:val="000000" w:themeColor="text1"/>
        </w:rPr>
        <w:t xml:space="preserve"> la responsabilidad de los funcionarios sobre su gestión pública</w:t>
      </w:r>
      <w:r w:rsidRPr="00F46E4F">
        <w:rPr>
          <w:rStyle w:val="Refdenotaalpie"/>
          <w:rFonts w:ascii="Palatino Linotype" w:eastAsia="MS Mincho" w:hAnsi="Palatino Linotype"/>
          <w:i/>
          <w:color w:val="000000" w:themeColor="text1"/>
        </w:rPr>
        <w:footnoteReference w:id="4"/>
      </w:r>
      <w:r w:rsidRPr="00F46E4F">
        <w:rPr>
          <w:rFonts w:ascii="Palatino Linotype" w:eastAsia="MS Mincho" w:hAnsi="Palatino Linotype" w:cs="Times New Roman"/>
          <w:i/>
          <w:color w:val="000000" w:themeColor="text1"/>
        </w:rPr>
        <w:t xml:space="preserve"> </w:t>
      </w:r>
      <w:r w:rsidRPr="00F46E4F">
        <w:rPr>
          <w:rFonts w:ascii="Palatino Linotype" w:eastAsia="MS Mincho" w:hAnsi="Palatino Linotype" w:cs="Times New Roman"/>
          <w:color w:val="000000" w:themeColor="text1"/>
        </w:rPr>
        <w:t>que permite</w:t>
      </w:r>
      <w:r w:rsidRPr="00F46E4F">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Pr="00F46E4F">
        <w:rPr>
          <w:rStyle w:val="Refdenotaalpie"/>
          <w:rFonts w:ascii="Palatino Linotype" w:eastAsia="MS Mincho" w:hAnsi="Palatino Linotype"/>
          <w:i/>
          <w:color w:val="000000" w:themeColor="text1"/>
        </w:rPr>
        <w:footnoteReference w:id="5"/>
      </w:r>
      <w:r w:rsidRPr="00F46E4F">
        <w:rPr>
          <w:rFonts w:ascii="Palatino Linotype" w:eastAsia="MS Mincho" w:hAnsi="Palatino Linotype" w:cs="Times New Roman"/>
          <w:color w:val="000000" w:themeColor="text1"/>
        </w:rPr>
        <w:t xml:space="preserve"> ” </w:t>
      </w:r>
    </w:p>
    <w:p w14:paraId="0622888D" w14:textId="77777777" w:rsidR="009D7C5B" w:rsidRPr="00F46E4F" w:rsidRDefault="009D7C5B" w:rsidP="00F46E4F">
      <w:pPr>
        <w:spacing w:line="360" w:lineRule="auto"/>
        <w:contextualSpacing/>
        <w:jc w:val="both"/>
        <w:rPr>
          <w:rFonts w:ascii="Palatino Linotype" w:hAnsi="Palatino Linotype"/>
          <w:color w:val="000000" w:themeColor="text1"/>
        </w:rPr>
      </w:pPr>
    </w:p>
    <w:p w14:paraId="130D5332" w14:textId="77777777" w:rsidR="006C0D60" w:rsidRPr="00F46E4F" w:rsidRDefault="006C0D60" w:rsidP="00F46E4F">
      <w:pPr>
        <w:numPr>
          <w:ilvl w:val="0"/>
          <w:numId w:val="1"/>
        </w:numPr>
        <w:spacing w:line="360" w:lineRule="auto"/>
        <w:ind w:left="0" w:firstLine="0"/>
        <w:contextualSpacing/>
        <w:jc w:val="both"/>
        <w:rPr>
          <w:rFonts w:ascii="Palatino Linotype" w:hAnsi="Palatino Linotype"/>
          <w:color w:val="000000" w:themeColor="text1"/>
          <w:lang w:val="es-ES"/>
        </w:rPr>
      </w:pPr>
      <w:r w:rsidRPr="00F46E4F">
        <w:rPr>
          <w:rFonts w:ascii="Palatino Linotype" w:hAnsi="Palatino Linotype"/>
          <w:color w:val="000000" w:themeColor="text1"/>
          <w:lang w:val="es-ES"/>
        </w:rPr>
        <w:t xml:space="preserve">Es así </w:t>
      </w:r>
      <w:r w:rsidRPr="00F46E4F">
        <w:rPr>
          <w:rFonts w:ascii="Palatino Linotype" w:hAnsi="Palatino Linotype"/>
          <w:color w:val="000000" w:themeColor="text1"/>
        </w:rPr>
        <w:t>que</w:t>
      </w:r>
      <w:r w:rsidRPr="00F46E4F">
        <w:rPr>
          <w:rFonts w:ascii="Palatino Linotype" w:hAnsi="Palatino Linotype"/>
          <w:color w:val="000000" w:themeColor="text1"/>
          <w:lang w:val="es-ES"/>
        </w:rPr>
        <w:t xml:space="preserve">, todos los actos de autoridad que realicen los Sujetos Obligados </w:t>
      </w:r>
      <w:r w:rsidRPr="00F46E4F">
        <w:rPr>
          <w:rFonts w:ascii="Palatino Linotype" w:hAnsi="Palatino Linotype"/>
          <w:b/>
          <w:color w:val="000000" w:themeColor="text1"/>
          <w:lang w:val="es-ES"/>
        </w:rPr>
        <w:t>deben estar documentados</w:t>
      </w:r>
      <w:r w:rsidRPr="00F46E4F">
        <w:rPr>
          <w:rFonts w:ascii="Palatino Linotype" w:hAnsi="Palatino Linotype"/>
          <w:color w:val="000000" w:themeColor="text1"/>
          <w:lang w:val="es-ES"/>
        </w:rPr>
        <w:t xml:space="preserve"> y, bajo el más alto estándar de transparencia deberán poner toda la </w:t>
      </w:r>
      <w:r w:rsidRPr="00F46E4F">
        <w:rPr>
          <w:rFonts w:ascii="Palatino Linotype" w:hAnsi="Palatino Linotype"/>
          <w:color w:val="000000" w:themeColor="text1"/>
          <w:lang w:val="es-ES"/>
        </w:rPr>
        <w:lastRenderedPageBreak/>
        <w:t>información que se encuentre en su posesión, a disposición de los particulares que la soliciten.</w:t>
      </w:r>
    </w:p>
    <w:p w14:paraId="013D508D" w14:textId="77777777" w:rsidR="006C0D60" w:rsidRPr="00F46E4F" w:rsidRDefault="006C0D60" w:rsidP="00F46E4F">
      <w:pPr>
        <w:pStyle w:val="Prrafodelista"/>
        <w:spacing w:line="360" w:lineRule="auto"/>
        <w:ind w:left="0"/>
        <w:jc w:val="both"/>
        <w:rPr>
          <w:rFonts w:ascii="Palatino Linotype" w:hAnsi="Palatino Linotype"/>
          <w:color w:val="000000" w:themeColor="text1"/>
          <w:lang w:val="es-ES"/>
        </w:rPr>
      </w:pPr>
    </w:p>
    <w:p w14:paraId="2847EB38" w14:textId="6F496A51" w:rsidR="006C0D60" w:rsidRPr="00F46E4F" w:rsidRDefault="006C0D60" w:rsidP="00F46E4F">
      <w:pPr>
        <w:numPr>
          <w:ilvl w:val="0"/>
          <w:numId w:val="1"/>
        </w:numPr>
        <w:spacing w:line="360" w:lineRule="auto"/>
        <w:ind w:left="0" w:firstLine="0"/>
        <w:contextualSpacing/>
        <w:jc w:val="both"/>
        <w:rPr>
          <w:rFonts w:ascii="Palatino Linotype" w:hAnsi="Palatino Linotype" w:cs="Arial"/>
          <w:color w:val="000000" w:themeColor="text1"/>
        </w:rPr>
      </w:pPr>
      <w:r w:rsidRPr="00F46E4F">
        <w:rPr>
          <w:rFonts w:ascii="Palatino Linotype" w:eastAsia="Times New Roman" w:hAnsi="Palatino Linotype" w:cs="Arial"/>
          <w:color w:val="000000" w:themeColor="text1"/>
        </w:rPr>
        <w:t xml:space="preserve">Además, debemos tomar en cuenta los artículos 4 y 12, de la Ley de Transparencia y Acceso a la Información Pública del Estado de México y </w:t>
      </w:r>
      <w:r w:rsidRPr="00F46E4F">
        <w:rPr>
          <w:rFonts w:ascii="Palatino Linotype" w:hAnsi="Palatino Linotype"/>
          <w:color w:val="000000" w:themeColor="text1"/>
          <w:lang w:val="es-ES"/>
        </w:rPr>
        <w:t>Municipios</w:t>
      </w:r>
      <w:r w:rsidRPr="00F46E4F">
        <w:rPr>
          <w:rFonts w:ascii="Palatino Linotype" w:eastAsia="Times New Roman" w:hAnsi="Palatino Linotype" w:cs="Arial"/>
          <w:color w:val="000000" w:themeColor="text1"/>
        </w:rPr>
        <w:t>, los cuales establecen lo siguiente:</w:t>
      </w:r>
    </w:p>
    <w:p w14:paraId="249A4C68" w14:textId="77777777" w:rsidR="006C0D60" w:rsidRPr="00F46E4F" w:rsidRDefault="006C0D60" w:rsidP="00F46E4F">
      <w:pPr>
        <w:autoSpaceDE w:val="0"/>
        <w:autoSpaceDN w:val="0"/>
        <w:adjustRightInd w:val="0"/>
        <w:spacing w:line="360" w:lineRule="auto"/>
        <w:jc w:val="both"/>
        <w:rPr>
          <w:rFonts w:ascii="Palatino Linotype" w:hAnsi="Palatino Linotype" w:cs="Bookman Old Style"/>
          <w:i/>
          <w:color w:val="000000" w:themeColor="text1"/>
        </w:rPr>
      </w:pPr>
      <w:r w:rsidRPr="00F46E4F">
        <w:rPr>
          <w:rFonts w:ascii="Palatino Linotype" w:hAnsi="Palatino Linotype" w:cs="Bookman Old Style,Bold"/>
          <w:b/>
          <w:bCs/>
          <w:i/>
          <w:color w:val="000000" w:themeColor="text1"/>
        </w:rPr>
        <w:t xml:space="preserve">Artículo 4. </w:t>
      </w:r>
      <w:r w:rsidRPr="00F46E4F">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F46E4F" w:rsidRDefault="006C0D60" w:rsidP="00F46E4F">
      <w:pPr>
        <w:autoSpaceDE w:val="0"/>
        <w:autoSpaceDN w:val="0"/>
        <w:adjustRightInd w:val="0"/>
        <w:spacing w:line="360" w:lineRule="auto"/>
        <w:jc w:val="both"/>
        <w:rPr>
          <w:rFonts w:ascii="Palatino Linotype" w:hAnsi="Palatino Linotype" w:cs="Bookman Old Style"/>
          <w:i/>
          <w:color w:val="000000" w:themeColor="text1"/>
        </w:rPr>
      </w:pPr>
      <w:r w:rsidRPr="00F46E4F">
        <w:rPr>
          <w:rFonts w:ascii="Palatino Linotype" w:hAnsi="Palatino Linotype" w:cs="Bookman Old Style"/>
          <w:b/>
          <w:i/>
          <w:color w:val="000000" w:themeColor="text1"/>
        </w:rPr>
        <w:t>Toda la información</w:t>
      </w:r>
      <w:r w:rsidRPr="00F46E4F">
        <w:rPr>
          <w:rFonts w:ascii="Palatino Linotype" w:hAnsi="Palatino Linotype" w:cs="Bookman Old Style"/>
          <w:i/>
          <w:color w:val="000000" w:themeColor="text1"/>
        </w:rPr>
        <w:t xml:space="preserve"> generada, obtenida, adquirida, transformada, administrada o </w:t>
      </w:r>
      <w:r w:rsidRPr="00F46E4F">
        <w:rPr>
          <w:rFonts w:ascii="Palatino Linotype" w:hAnsi="Palatino Linotype" w:cs="Bookman Old Style"/>
          <w:b/>
          <w:i/>
          <w:color w:val="000000" w:themeColor="text1"/>
        </w:rPr>
        <w:t>en posesión de los sujetos obligados es pública</w:t>
      </w:r>
      <w:r w:rsidRPr="00F46E4F">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F46E4F" w:rsidRDefault="006C0D60" w:rsidP="00F46E4F">
      <w:pPr>
        <w:autoSpaceDE w:val="0"/>
        <w:autoSpaceDN w:val="0"/>
        <w:adjustRightInd w:val="0"/>
        <w:spacing w:line="360" w:lineRule="auto"/>
        <w:jc w:val="both"/>
        <w:rPr>
          <w:rFonts w:ascii="Palatino Linotype" w:hAnsi="Palatino Linotype" w:cs="Bookman Old Style"/>
          <w:i/>
          <w:color w:val="000000" w:themeColor="text1"/>
        </w:rPr>
      </w:pPr>
      <w:r w:rsidRPr="00F46E4F">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E809AE9" w14:textId="77777777" w:rsidR="0007037A" w:rsidRPr="00F46E4F" w:rsidRDefault="0007037A" w:rsidP="00F46E4F">
      <w:pPr>
        <w:autoSpaceDE w:val="0"/>
        <w:autoSpaceDN w:val="0"/>
        <w:adjustRightInd w:val="0"/>
        <w:spacing w:line="360" w:lineRule="auto"/>
        <w:jc w:val="both"/>
        <w:rPr>
          <w:rFonts w:ascii="Palatino Linotype" w:hAnsi="Palatino Linotype" w:cs="Bookman Old Style"/>
          <w:i/>
          <w:color w:val="000000" w:themeColor="text1"/>
        </w:rPr>
      </w:pPr>
    </w:p>
    <w:p w14:paraId="2AB277A4" w14:textId="77777777" w:rsidR="0007037A" w:rsidRPr="00F46E4F" w:rsidRDefault="0007037A" w:rsidP="00F46E4F">
      <w:pPr>
        <w:autoSpaceDE w:val="0"/>
        <w:autoSpaceDN w:val="0"/>
        <w:adjustRightInd w:val="0"/>
        <w:spacing w:line="360" w:lineRule="auto"/>
        <w:jc w:val="both"/>
        <w:rPr>
          <w:rFonts w:ascii="Palatino Linotype" w:hAnsi="Palatino Linotype" w:cs="Bookman Old Style"/>
          <w:i/>
          <w:color w:val="000000" w:themeColor="text1"/>
        </w:rPr>
      </w:pPr>
      <w:r w:rsidRPr="00F46E4F">
        <w:rPr>
          <w:rFonts w:ascii="Palatino Linotype" w:hAnsi="Palatino Linotype" w:cs="Bookman Old Style"/>
          <w:i/>
          <w:color w:val="000000" w:themeColor="text1"/>
        </w:rPr>
        <w:t>Artículo 12. Quienes generen, recopilen, administren, manejen, procesen, archiven o conserven información pública serán responsables de la misma en los términos de las disposiciones jurídicas aplicables.</w:t>
      </w:r>
    </w:p>
    <w:p w14:paraId="56C3D5A7" w14:textId="1BA48641" w:rsidR="0007037A" w:rsidRPr="00F46E4F" w:rsidRDefault="0007037A" w:rsidP="00F46E4F">
      <w:pPr>
        <w:autoSpaceDE w:val="0"/>
        <w:autoSpaceDN w:val="0"/>
        <w:adjustRightInd w:val="0"/>
        <w:spacing w:line="360" w:lineRule="auto"/>
        <w:jc w:val="both"/>
        <w:rPr>
          <w:rFonts w:ascii="Palatino Linotype" w:hAnsi="Palatino Linotype" w:cs="Bookman Old Style"/>
          <w:i/>
          <w:color w:val="000000" w:themeColor="text1"/>
        </w:rPr>
      </w:pPr>
      <w:r w:rsidRPr="00F46E4F">
        <w:rPr>
          <w:rFonts w:ascii="Palatino Linotype" w:hAnsi="Palatino Linotype" w:cs="Bookman Old Styl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67C1C2" w14:textId="77777777" w:rsidR="006C0D60" w:rsidRPr="00F46E4F" w:rsidRDefault="006C0D60" w:rsidP="00F46E4F">
      <w:pPr>
        <w:pStyle w:val="Prrafodelista"/>
        <w:spacing w:line="360" w:lineRule="auto"/>
        <w:ind w:left="0"/>
        <w:jc w:val="both"/>
        <w:rPr>
          <w:rFonts w:ascii="Palatino Linotype" w:hAnsi="Palatino Linotype"/>
          <w:color w:val="000000" w:themeColor="text1"/>
          <w:lang w:val="es-ES"/>
        </w:rPr>
      </w:pPr>
    </w:p>
    <w:p w14:paraId="05811635" w14:textId="77777777" w:rsidR="006C0D60" w:rsidRPr="00F46E4F" w:rsidRDefault="006C0D60" w:rsidP="00F46E4F">
      <w:pPr>
        <w:numPr>
          <w:ilvl w:val="0"/>
          <w:numId w:val="1"/>
        </w:numPr>
        <w:spacing w:line="360" w:lineRule="auto"/>
        <w:ind w:left="0" w:firstLine="0"/>
        <w:contextualSpacing/>
        <w:jc w:val="both"/>
        <w:rPr>
          <w:rFonts w:ascii="Palatino Linotype" w:hAnsi="Palatino Linotype"/>
          <w:color w:val="000000" w:themeColor="text1"/>
          <w:lang w:val="es-ES"/>
        </w:rPr>
      </w:pPr>
      <w:r w:rsidRPr="00F46E4F">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46E4F">
        <w:rPr>
          <w:rStyle w:val="Refdenotaalpie"/>
          <w:rFonts w:ascii="Palatino Linotype" w:hAnsi="Palatino Linotype"/>
          <w:color w:val="000000" w:themeColor="text1"/>
          <w:lang w:val="es-ES"/>
        </w:rPr>
        <w:footnoteReference w:id="6"/>
      </w:r>
      <w:r w:rsidRPr="00F46E4F">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01D767" w14:textId="77777777" w:rsidR="000209D9" w:rsidRPr="00F46E4F" w:rsidRDefault="000209D9" w:rsidP="00F46E4F">
      <w:pPr>
        <w:spacing w:line="360" w:lineRule="auto"/>
        <w:contextualSpacing/>
        <w:jc w:val="both"/>
        <w:rPr>
          <w:rFonts w:ascii="Palatino Linotype" w:hAnsi="Palatino Linotype"/>
          <w:color w:val="000000" w:themeColor="text1"/>
          <w:lang w:val="es-ES"/>
        </w:rPr>
      </w:pPr>
    </w:p>
    <w:p w14:paraId="0BC6AF8A" w14:textId="77777777" w:rsidR="006C0D60" w:rsidRPr="00F46E4F" w:rsidRDefault="006C0D60" w:rsidP="00F46E4F">
      <w:pPr>
        <w:numPr>
          <w:ilvl w:val="0"/>
          <w:numId w:val="1"/>
        </w:numPr>
        <w:spacing w:line="360" w:lineRule="auto"/>
        <w:ind w:left="0" w:firstLine="0"/>
        <w:contextualSpacing/>
        <w:jc w:val="both"/>
        <w:rPr>
          <w:rFonts w:ascii="Palatino Linotype" w:hAnsi="Palatino Linotype"/>
          <w:color w:val="000000" w:themeColor="text1"/>
          <w:lang w:val="es-ES"/>
        </w:rPr>
      </w:pPr>
      <w:r w:rsidRPr="00F46E4F">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F46E4F" w:rsidRDefault="00346D45" w:rsidP="00F46E4F">
      <w:pPr>
        <w:pStyle w:val="Prrafodelista"/>
        <w:tabs>
          <w:tab w:val="left" w:pos="851"/>
        </w:tabs>
        <w:spacing w:line="360" w:lineRule="auto"/>
        <w:ind w:left="0"/>
        <w:jc w:val="both"/>
        <w:rPr>
          <w:rFonts w:ascii="Palatino Linotype" w:hAnsi="Palatino Linotype"/>
          <w:i/>
          <w:color w:val="000000" w:themeColor="text1"/>
        </w:rPr>
      </w:pPr>
      <w:r w:rsidRPr="00F46E4F">
        <w:rPr>
          <w:rFonts w:ascii="Palatino Linotype" w:hAnsi="Palatino Linotype"/>
          <w:b/>
          <w:i/>
          <w:color w:val="000000" w:themeColor="text1"/>
        </w:rPr>
        <w:t>“</w:t>
      </w:r>
      <w:r w:rsidR="006C0D60" w:rsidRPr="00F46E4F">
        <w:rPr>
          <w:rFonts w:ascii="Palatino Linotype" w:hAnsi="Palatino Linotype"/>
          <w:b/>
          <w:i/>
          <w:color w:val="000000" w:themeColor="text1"/>
        </w:rPr>
        <w:t>ACCESO A LA INFORMACIÓN. IMPLICACIÓN DEL PRINCIPIO DE MÁXIMA PUBLICIDAD EN EL DERECHO FUNDAMENTAL RELATIVO.</w:t>
      </w:r>
      <w:r w:rsidR="006C0D60" w:rsidRPr="00F46E4F">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006C0D60" w:rsidRPr="00F46E4F">
        <w:rPr>
          <w:rFonts w:ascii="Palatino Linotype" w:hAnsi="Palatino Linotype"/>
          <w:i/>
          <w:color w:val="000000" w:themeColor="text1"/>
        </w:rPr>
        <w:lastRenderedPageBreak/>
        <w:t>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F46E4F" w:rsidRDefault="00CB7F04" w:rsidP="00F46E4F">
      <w:pPr>
        <w:spacing w:line="360" w:lineRule="auto"/>
        <w:rPr>
          <w:rFonts w:ascii="Palatino Linotype" w:eastAsia="Palatino Linotype" w:hAnsi="Palatino Linotype" w:cs="Palatino Linotype"/>
          <w:color w:val="000000" w:themeColor="text1"/>
        </w:rPr>
      </w:pPr>
    </w:p>
    <w:p w14:paraId="0B42BDC5" w14:textId="77777777" w:rsidR="004326FA" w:rsidRPr="00F46E4F" w:rsidRDefault="004326FA" w:rsidP="00F46E4F">
      <w:pPr>
        <w:spacing w:line="360" w:lineRule="auto"/>
        <w:jc w:val="both"/>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t>QUINTO. De la versión pública.</w:t>
      </w:r>
    </w:p>
    <w:p w14:paraId="5FECB918" w14:textId="236A8557"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Finalmente, debe señalarse que </w:t>
      </w:r>
      <w:r w:rsidR="005913B5" w:rsidRPr="00F46E4F">
        <w:rPr>
          <w:rFonts w:ascii="Palatino Linotype" w:eastAsia="Palatino Linotype" w:hAnsi="Palatino Linotype" w:cs="Palatino Linotype"/>
          <w:color w:val="000000" w:themeColor="text1"/>
        </w:rPr>
        <w:t>lo ordenado eventualmente pudiera contener datos personales</w:t>
      </w:r>
      <w:r w:rsidRPr="00F46E4F">
        <w:rPr>
          <w:rFonts w:ascii="Palatino Linotype" w:eastAsia="Palatino Linotype" w:hAnsi="Palatino Linotype" w:cs="Palatino Linotype"/>
          <w:color w:val="000000" w:themeColor="text1"/>
        </w:rPr>
        <w:t xml:space="preserve">, por lo que </w:t>
      </w:r>
      <w:r w:rsidR="005913B5" w:rsidRPr="00F46E4F">
        <w:rPr>
          <w:rFonts w:ascii="Palatino Linotype" w:eastAsia="Palatino Linotype" w:hAnsi="Palatino Linotype" w:cs="Palatino Linotype"/>
          <w:color w:val="000000" w:themeColor="text1"/>
        </w:rPr>
        <w:t xml:space="preserve">de ser el caso, </w:t>
      </w:r>
      <w:r w:rsidRPr="00F46E4F">
        <w:rPr>
          <w:rFonts w:ascii="Palatino Linotype" w:eastAsia="Palatino Linotype" w:hAnsi="Palatino Linotype" w:cs="Palatino Linotype"/>
          <w:color w:val="000000" w:themeColor="text1"/>
        </w:rPr>
        <w:t xml:space="preserve">sujeto obligado, para dar cumplimiento a la presente </w:t>
      </w:r>
      <w:r w:rsidR="00D7305D" w:rsidRPr="00F46E4F">
        <w:rPr>
          <w:rFonts w:ascii="Palatino Linotype" w:eastAsia="Palatino Linotype" w:hAnsi="Palatino Linotype" w:cs="Palatino Linotype"/>
          <w:color w:val="000000" w:themeColor="text1"/>
        </w:rPr>
        <w:t>R</w:t>
      </w:r>
      <w:r w:rsidRPr="00F46E4F">
        <w:rPr>
          <w:rFonts w:ascii="Palatino Linotype" w:eastAsia="Palatino Linotype" w:hAnsi="Palatino Linotype" w:cs="Palatino Linotype"/>
          <w:color w:val="000000" w:themeColor="text1"/>
        </w:rPr>
        <w:t xml:space="preserve">esolución, deberá </w:t>
      </w:r>
      <w:r w:rsidR="00D7305D" w:rsidRPr="00F46E4F">
        <w:rPr>
          <w:rFonts w:ascii="Palatino Linotype" w:eastAsia="Palatino Linotype" w:hAnsi="Palatino Linotype" w:cs="Palatino Linotype"/>
          <w:color w:val="000000" w:themeColor="text1"/>
        </w:rPr>
        <w:t>proceder a</w:t>
      </w:r>
      <w:r w:rsidRPr="00F46E4F">
        <w:rPr>
          <w:rFonts w:ascii="Palatino Linotype" w:eastAsia="Palatino Linotype" w:hAnsi="Palatino Linotype" w:cs="Palatino Linotype"/>
          <w:color w:val="000000" w:themeColor="text1"/>
        </w:rPr>
        <w:t xml:space="preserve"> la elaboración de la versión pública de tales documentos a </w:t>
      </w:r>
      <w:r w:rsidRPr="00F46E4F">
        <w:rPr>
          <w:rFonts w:ascii="Palatino Linotype" w:eastAsia="Palatino Linotype" w:hAnsi="Palatino Linotype" w:cs="Palatino Linotype"/>
          <w:color w:val="000000" w:themeColor="text1"/>
        </w:rPr>
        <w:lastRenderedPageBreak/>
        <w:t>fin de satisfacer el derecho de acceso a la información pública del recurrente sin menoscabo al derecho a la protección de los datos personales de terceros.</w:t>
      </w:r>
    </w:p>
    <w:p w14:paraId="0D4E7656" w14:textId="77777777" w:rsidR="00462BEE" w:rsidRPr="00F46E4F" w:rsidRDefault="00462BEE" w:rsidP="00F46E4F">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r w:rsidRPr="00F46E4F">
        <w:rPr>
          <w:rFonts w:ascii="Palatino Linotype" w:eastAsia="Palatino Linotype" w:hAnsi="Palatino Linotype" w:cs="Palatino Linotype"/>
          <w:b/>
          <w:i/>
          <w:color w:val="000000" w:themeColor="text1"/>
        </w:rPr>
        <w:t>Artículo 3</w:t>
      </w:r>
      <w:r w:rsidRPr="00F46E4F">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6635B421"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IX. Datos personales</w:t>
      </w:r>
      <w:r w:rsidRPr="00F46E4F">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XX. Información clasificada</w:t>
      </w:r>
      <w:r w:rsidRPr="00F46E4F">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 xml:space="preserve">XXI. Información confidencial: </w:t>
      </w:r>
      <w:r w:rsidRPr="00F46E4F">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XLV. Versión pública:</w:t>
      </w:r>
      <w:r w:rsidRPr="00F46E4F">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768576E7"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p>
    <w:p w14:paraId="792F82F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Artículo 91.</w:t>
      </w:r>
      <w:r w:rsidRPr="00F46E4F">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73EE4814"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lastRenderedPageBreak/>
        <w:t>Artículo 132.</w:t>
      </w:r>
      <w:r w:rsidRPr="00F46E4F">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w:t>
      </w:r>
      <w:r w:rsidRPr="00F46E4F">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w:t>
      </w:r>
      <w:r w:rsidRPr="00F46E4F">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III.</w:t>
      </w:r>
      <w:r w:rsidRPr="00F46E4F">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w:t>
      </w:r>
    </w:p>
    <w:p w14:paraId="6C638863"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p>
    <w:p w14:paraId="417427FD"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Artículo 143</w:t>
      </w:r>
      <w:r w:rsidRPr="00F46E4F">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w:t>
      </w:r>
      <w:r w:rsidRPr="00F46E4F">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w:t>
      </w:r>
      <w:r w:rsidRPr="00F46E4F">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III.</w:t>
      </w:r>
      <w:r w:rsidRPr="00F46E4F">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503E91E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DCEF59F" w14:textId="77777777" w:rsidR="000D0A0A" w:rsidRPr="00F46E4F" w:rsidRDefault="000D0A0A" w:rsidP="00F46E4F">
      <w:pPr>
        <w:spacing w:line="360" w:lineRule="auto"/>
        <w:jc w:val="both"/>
        <w:rPr>
          <w:rFonts w:ascii="Palatino Linotype" w:eastAsia="Palatino Linotype" w:hAnsi="Palatino Linotype" w:cs="Palatino Linotype"/>
          <w:i/>
          <w:color w:val="000000" w:themeColor="text1"/>
        </w:rPr>
      </w:pPr>
    </w:p>
    <w:p w14:paraId="411D5AD9" w14:textId="77777777"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w:t>
      </w:r>
      <w:r w:rsidRPr="00F46E4F">
        <w:rPr>
          <w:rFonts w:ascii="Palatino Linotype" w:eastAsia="Palatino Linotype" w:hAnsi="Palatino Linotype" w:cs="Palatino Linotype"/>
          <w:color w:val="000000" w:themeColor="text1"/>
        </w:rPr>
        <w:lastRenderedPageBreak/>
        <w:t>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F46E4F" w:rsidRDefault="00D7305D" w:rsidP="00F46E4F">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3587E22"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“Quincuagésimo sexto</w:t>
      </w:r>
      <w:r w:rsidRPr="00F46E4F">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FA4D55" w14:textId="77777777" w:rsidR="000D0A0A" w:rsidRPr="00F46E4F" w:rsidRDefault="000D0A0A" w:rsidP="00F46E4F">
      <w:pPr>
        <w:spacing w:line="360" w:lineRule="auto"/>
        <w:jc w:val="both"/>
        <w:rPr>
          <w:rFonts w:ascii="Palatino Linotype" w:eastAsia="Palatino Linotype" w:hAnsi="Palatino Linotype" w:cs="Palatino Linotype"/>
          <w:i/>
          <w:color w:val="000000" w:themeColor="text1"/>
        </w:rPr>
      </w:pPr>
    </w:p>
    <w:p w14:paraId="74EBA3A8"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Quincuagésimo séptimo</w:t>
      </w:r>
      <w:r w:rsidRPr="00F46E4F">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w:t>
      </w:r>
      <w:r w:rsidRPr="00F46E4F">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w:t>
      </w:r>
      <w:r w:rsidRPr="00F46E4F">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III.</w:t>
      </w:r>
      <w:r w:rsidRPr="00F46E4F">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14:paraId="27B1A456" w14:textId="77777777" w:rsidR="000D0A0A" w:rsidRPr="00F46E4F" w:rsidRDefault="000D0A0A" w:rsidP="00F46E4F">
      <w:pPr>
        <w:spacing w:line="360" w:lineRule="auto"/>
        <w:jc w:val="both"/>
        <w:rPr>
          <w:rFonts w:ascii="Palatino Linotype" w:eastAsia="Palatino Linotype" w:hAnsi="Palatino Linotype" w:cs="Palatino Linotype"/>
          <w:i/>
          <w:color w:val="000000" w:themeColor="text1"/>
        </w:rPr>
      </w:pPr>
    </w:p>
    <w:p w14:paraId="5BB3DA00" w14:textId="77777777" w:rsidR="004326FA" w:rsidRPr="00F46E4F" w:rsidRDefault="004326FA" w:rsidP="00F46E4F">
      <w:pPr>
        <w:spacing w:line="360" w:lineRule="auto"/>
        <w:jc w:val="both"/>
        <w:rPr>
          <w:rFonts w:ascii="Palatino Linotype" w:eastAsia="Palatino Linotype" w:hAnsi="Palatino Linotype" w:cs="Palatino Linotype"/>
          <w:i/>
          <w:color w:val="000000" w:themeColor="text1"/>
        </w:rPr>
      </w:pPr>
      <w:r w:rsidRPr="00F46E4F">
        <w:rPr>
          <w:rFonts w:ascii="Palatino Linotype" w:eastAsia="Palatino Linotype" w:hAnsi="Palatino Linotype" w:cs="Palatino Linotype"/>
          <w:b/>
          <w:i/>
          <w:color w:val="000000" w:themeColor="text1"/>
        </w:rPr>
        <w:t>Quincuagésimo octavo</w:t>
      </w:r>
      <w:r w:rsidRPr="00F46E4F">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7C0BF8A0" w14:textId="77777777" w:rsidR="0007037A" w:rsidRPr="00F46E4F" w:rsidRDefault="0007037A" w:rsidP="00F46E4F">
      <w:pPr>
        <w:pStyle w:val="Prrafodelista"/>
        <w:spacing w:line="360" w:lineRule="auto"/>
        <w:ind w:left="0"/>
        <w:jc w:val="both"/>
        <w:rPr>
          <w:rFonts w:ascii="Palatino Linotype" w:eastAsia="Palatino Linotype" w:hAnsi="Palatino Linotype" w:cs="Palatino Linotype"/>
          <w:color w:val="000000" w:themeColor="text1"/>
        </w:rPr>
      </w:pPr>
    </w:p>
    <w:p w14:paraId="5BA17C80" w14:textId="77777777"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Luego entonces, el </w:t>
      </w:r>
      <w:r w:rsidRPr="00F46E4F">
        <w:rPr>
          <w:rFonts w:ascii="Palatino Linotype" w:eastAsia="Palatino Linotype" w:hAnsi="Palatino Linotype" w:cs="Palatino Linotype"/>
          <w:b/>
          <w:color w:val="000000" w:themeColor="text1"/>
        </w:rPr>
        <w:t xml:space="preserve">SUJETOS OBLIGADOS </w:t>
      </w:r>
      <w:r w:rsidRPr="00F46E4F">
        <w:rPr>
          <w:rFonts w:ascii="Palatino Linotype" w:eastAsia="Palatino Linotype" w:hAnsi="Palatino Linotype" w:cs="Palatino Linotype"/>
          <w:color w:val="000000" w:themeColor="text1"/>
        </w:rPr>
        <w:t xml:space="preserve">será responsable de los datos personales en su posesión y que, en caso de localizarse datos concernientes a terceros, </w:t>
      </w:r>
      <w:r w:rsidRPr="00F46E4F">
        <w:rPr>
          <w:rFonts w:ascii="Palatino Linotype" w:eastAsia="Calibri" w:hAnsi="Palatino Linotype"/>
          <w:color w:val="000000" w:themeColor="text1"/>
        </w:rPr>
        <w:t>éstos</w:t>
      </w:r>
      <w:r w:rsidRPr="00F46E4F">
        <w:rPr>
          <w:rFonts w:ascii="Palatino Linotype" w:eastAsia="Palatino Linotype" w:hAnsi="Palatino Linotype" w:cs="Palatino Linotype"/>
          <w:color w:val="000000" w:themeColor="text1"/>
        </w:rPr>
        <w:t xml:space="preserve"> no podrán difundir, distribuir o comercializar los datos personales.  Cabe destacar que, para la realización de la clasificación de la información, se deben seguir una serie de pasos y procedimientos, por lo que es menester reiterar los mismos:</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F46E4F" w:rsidRPr="00F46E4F" w14:paraId="04D0D55C" w14:textId="77777777" w:rsidTr="006B6F23">
        <w:tc>
          <w:tcPr>
            <w:tcW w:w="2689" w:type="dxa"/>
          </w:tcPr>
          <w:p w14:paraId="66FDD9BF"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 Requisitos previos.</w:t>
            </w:r>
          </w:p>
        </w:tc>
        <w:tc>
          <w:tcPr>
            <w:tcW w:w="6804" w:type="dxa"/>
          </w:tcPr>
          <w:p w14:paraId="33975A84"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46E4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46E4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w:t>
            </w:r>
            <w:r w:rsidRPr="00F46E4F">
              <w:rPr>
                <w:rFonts w:ascii="Palatino Linotype" w:eastAsia="Palatino Linotype" w:hAnsi="Palatino Linotype" w:cs="Palatino Linotype"/>
                <w:color w:val="000000" w:themeColor="text1"/>
              </w:rPr>
              <w:lastRenderedPageBreak/>
              <w:t>documento con diez datos, por ejemplo, susceptibles de ser clasificados.</w:t>
            </w:r>
          </w:p>
          <w:p w14:paraId="329E7A91"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p>
        </w:tc>
      </w:tr>
      <w:tr w:rsidR="00F46E4F" w:rsidRPr="00F46E4F" w14:paraId="3888E7C4" w14:textId="77777777" w:rsidTr="006B6F23">
        <w:tc>
          <w:tcPr>
            <w:tcW w:w="2689" w:type="dxa"/>
          </w:tcPr>
          <w:p w14:paraId="5A95E53D"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lastRenderedPageBreak/>
              <w:t>b) Supuestos de clasificación.</w:t>
            </w:r>
          </w:p>
        </w:tc>
        <w:tc>
          <w:tcPr>
            <w:tcW w:w="6804" w:type="dxa"/>
          </w:tcPr>
          <w:p w14:paraId="4388458D"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p>
        </w:tc>
      </w:tr>
      <w:tr w:rsidR="00F46E4F" w:rsidRPr="00F46E4F" w14:paraId="5A13D917" w14:textId="77777777" w:rsidTr="006B6F23">
        <w:tc>
          <w:tcPr>
            <w:tcW w:w="2689" w:type="dxa"/>
          </w:tcPr>
          <w:p w14:paraId="773022D7"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c) Formalidades para emitir el acuerdo de clasificación.</w:t>
            </w:r>
          </w:p>
        </w:tc>
        <w:tc>
          <w:tcPr>
            <w:tcW w:w="6804" w:type="dxa"/>
          </w:tcPr>
          <w:p w14:paraId="0CB58DBE"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Es necesario que </w:t>
            </w:r>
            <w:r w:rsidRPr="00F46E4F">
              <w:rPr>
                <w:rFonts w:ascii="Palatino Linotype" w:eastAsia="Palatino Linotype" w:hAnsi="Palatino Linotype" w:cs="Palatino Linotype"/>
                <w:b/>
                <w:color w:val="000000" w:themeColor="text1"/>
                <w:u w:val="single"/>
              </w:rPr>
              <w:t>el acto reúna con los requisitos elementales</w:t>
            </w:r>
            <w:r w:rsidRPr="00F46E4F">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F46E4F">
              <w:rPr>
                <w:rFonts w:ascii="Palatino Linotype" w:eastAsia="Palatino Linotype" w:hAnsi="Palatino Linotype" w:cs="Palatino Linotype"/>
                <w:color w:val="000000" w:themeColor="text1"/>
              </w:rPr>
              <w:lastRenderedPageBreak/>
              <w:t>áreas y que son sujetas a control, en primera instancia, por el Comité de Transparencia.</w:t>
            </w:r>
          </w:p>
          <w:p w14:paraId="4E81868E"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p>
        </w:tc>
      </w:tr>
      <w:tr w:rsidR="00F46E4F" w:rsidRPr="00F46E4F" w14:paraId="1BB13203" w14:textId="77777777" w:rsidTr="006B6F23">
        <w:tc>
          <w:tcPr>
            <w:tcW w:w="2689" w:type="dxa"/>
          </w:tcPr>
          <w:p w14:paraId="467C2996"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p>
          <w:p w14:paraId="24543E5A"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4EE8DAE3"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46E4F">
              <w:rPr>
                <w:rFonts w:ascii="Palatino Linotype" w:eastAsia="Palatino Linotype" w:hAnsi="Palatino Linotype" w:cs="Palatino Linotype"/>
                <w:b/>
                <w:color w:val="000000" w:themeColor="text1"/>
              </w:rPr>
              <w:t>Sujetos Obligados</w:t>
            </w:r>
            <w:r w:rsidRPr="00F46E4F">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De lo anterior, se desprende que para una correcta </w:t>
            </w:r>
            <w:r w:rsidRPr="00F46E4F">
              <w:rPr>
                <w:rFonts w:ascii="Palatino Linotype" w:eastAsia="Palatino Linotype" w:hAnsi="Palatino Linotype" w:cs="Palatino Linotype"/>
                <w:b/>
                <w:color w:val="000000" w:themeColor="text1"/>
              </w:rPr>
              <w:t>clasificación total o parcial</w:t>
            </w:r>
            <w:r w:rsidRPr="00F46E4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Ahora bien, </w:t>
            </w:r>
            <w:r w:rsidRPr="00F46E4F">
              <w:rPr>
                <w:rFonts w:ascii="Palatino Linotype" w:eastAsia="Palatino Linotype" w:hAnsi="Palatino Linotype" w:cs="Palatino Linotype"/>
                <w:b/>
                <w:color w:val="000000" w:themeColor="text1"/>
                <w:u w:val="single"/>
              </w:rPr>
              <w:t>para cada caso además de fundar y motivar</w:t>
            </w:r>
            <w:r w:rsidRPr="00F46E4F">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w:t>
            </w:r>
            <w:r w:rsidRPr="00F46E4F">
              <w:rPr>
                <w:rFonts w:ascii="Palatino Linotype" w:eastAsia="Palatino Linotype" w:hAnsi="Palatino Linotype" w:cs="Palatino Linotype"/>
                <w:color w:val="000000" w:themeColor="text1"/>
              </w:rPr>
              <w:lastRenderedPageBreak/>
              <w:t>Federal de Contribuyentes (R.F.C.), claves de seguros, préstamos o descuentos personales, secretos bancario, fiduciario, industrial, comercial, fiscal, bursátil y postal, cuya titularidad corresponda a particulares, entre otros.</w:t>
            </w:r>
          </w:p>
          <w:p w14:paraId="623EBBA2"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p>
        </w:tc>
      </w:tr>
      <w:tr w:rsidR="004326FA" w:rsidRPr="00F46E4F" w14:paraId="263E777A" w14:textId="77777777" w:rsidTr="006B6F23">
        <w:tc>
          <w:tcPr>
            <w:tcW w:w="2689" w:type="dxa"/>
          </w:tcPr>
          <w:p w14:paraId="77D84FBD"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Pr>
          <w:p w14:paraId="4077FDC5"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F46E4F" w:rsidRDefault="004326FA" w:rsidP="00F46E4F">
            <w:pPr>
              <w:tabs>
                <w:tab w:val="left" w:pos="284"/>
              </w:tabs>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F46E4F" w:rsidRDefault="004326FA" w:rsidP="00F46E4F">
            <w:pPr>
              <w:tabs>
                <w:tab w:val="left" w:pos="284"/>
              </w:tabs>
              <w:rPr>
                <w:rFonts w:ascii="Palatino Linotype" w:eastAsia="Palatino Linotype" w:hAnsi="Palatino Linotype" w:cs="Palatino Linotype"/>
                <w:color w:val="000000" w:themeColor="text1"/>
              </w:rPr>
            </w:pPr>
          </w:p>
        </w:tc>
      </w:tr>
    </w:tbl>
    <w:p w14:paraId="6DC7BCF3" w14:textId="77777777" w:rsidR="00E92E1B" w:rsidRPr="00F46E4F" w:rsidRDefault="00E92E1B" w:rsidP="00F46E4F">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F46E4F" w:rsidRDefault="004326FA" w:rsidP="00F46E4F">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D7305D" w:rsidRPr="00F46E4F">
        <w:rPr>
          <w:rFonts w:ascii="Palatino Linotype" w:eastAsia="Palatino Linotype" w:hAnsi="Palatino Linotype" w:cs="Palatino Linotype"/>
          <w:color w:val="000000" w:themeColor="text1"/>
        </w:rPr>
        <w:t>;</w:t>
      </w:r>
      <w:r w:rsidRPr="00F46E4F">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F46E4F" w:rsidRDefault="004326FA" w:rsidP="00F46E4F">
      <w:pPr>
        <w:spacing w:line="360" w:lineRule="auto"/>
        <w:contextualSpacing/>
        <w:jc w:val="both"/>
        <w:rPr>
          <w:rFonts w:ascii="Palatino Linotype" w:eastAsia="Palatino Linotype" w:hAnsi="Palatino Linotype" w:cs="Palatino Linotype"/>
          <w:color w:val="000000" w:themeColor="text1"/>
        </w:rPr>
      </w:pPr>
    </w:p>
    <w:p w14:paraId="459F5D52" w14:textId="6B75E84E" w:rsidR="006C0D60" w:rsidRDefault="006C0D60" w:rsidP="00F46E4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 xml:space="preserve">Por lo anteriormente expuesto y fundado, este </w:t>
      </w:r>
      <w:r w:rsidRPr="00F46E4F">
        <w:rPr>
          <w:rFonts w:ascii="Palatino Linotype" w:eastAsia="Palatino Linotype" w:hAnsi="Palatino Linotype" w:cs="Palatino Linotype"/>
          <w:b/>
          <w:color w:val="000000" w:themeColor="text1"/>
        </w:rPr>
        <w:t>ÓRGANO GARANTE</w:t>
      </w:r>
      <w:r w:rsidRPr="00F46E4F">
        <w:rPr>
          <w:rFonts w:ascii="Palatino Linotype" w:eastAsia="Palatino Linotype" w:hAnsi="Palatino Linotype" w:cs="Palatino Linotype"/>
          <w:color w:val="000000" w:themeColor="text1"/>
        </w:rPr>
        <w:t xml:space="preserve"> emite los siguientes:</w:t>
      </w:r>
      <w:r w:rsidR="006B6F23">
        <w:rPr>
          <w:rFonts w:ascii="Palatino Linotype" w:eastAsia="Palatino Linotype" w:hAnsi="Palatino Linotype" w:cs="Palatino Linotype"/>
          <w:color w:val="000000" w:themeColor="text1"/>
        </w:rPr>
        <w:t xml:space="preserve"> --------------------------------------------------------------------------------------------------------</w:t>
      </w:r>
    </w:p>
    <w:p w14:paraId="1D96A007" w14:textId="77777777" w:rsidR="006B6F23" w:rsidRDefault="006B6F23" w:rsidP="006B6F23">
      <w:pPr>
        <w:pStyle w:val="Prrafodelista"/>
        <w:rPr>
          <w:rFonts w:ascii="Palatino Linotype" w:eastAsia="Palatino Linotype" w:hAnsi="Palatino Linotype" w:cs="Palatino Linotype"/>
          <w:color w:val="000000" w:themeColor="text1"/>
        </w:rPr>
      </w:pPr>
    </w:p>
    <w:p w14:paraId="255DE13D" w14:textId="77777777" w:rsidR="006B6F23" w:rsidRPr="00F46E4F" w:rsidRDefault="006B6F23" w:rsidP="006B6F23">
      <w:pPr>
        <w:spacing w:line="360" w:lineRule="auto"/>
        <w:contextualSpacing/>
        <w:jc w:val="both"/>
        <w:rPr>
          <w:rFonts w:ascii="Palatino Linotype" w:eastAsia="Palatino Linotype" w:hAnsi="Palatino Linotype" w:cs="Palatino Linotype"/>
          <w:color w:val="000000" w:themeColor="text1"/>
        </w:rPr>
      </w:pPr>
    </w:p>
    <w:p w14:paraId="60BDCB21" w14:textId="7260FF13" w:rsidR="006C0D60" w:rsidRPr="00F46E4F" w:rsidRDefault="006C0D60" w:rsidP="00F46E4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lastRenderedPageBreak/>
        <w:t xml:space="preserve">R E S </w:t>
      </w:r>
      <w:r w:rsidR="00761F40" w:rsidRPr="00F46E4F">
        <w:rPr>
          <w:rFonts w:ascii="Palatino Linotype" w:eastAsia="Palatino Linotype" w:hAnsi="Palatino Linotype" w:cs="Palatino Linotype"/>
          <w:b/>
          <w:color w:val="000000" w:themeColor="text1"/>
        </w:rPr>
        <w:t>O L U T I V O S</w:t>
      </w:r>
    </w:p>
    <w:p w14:paraId="7175AAC4" w14:textId="77777777" w:rsidR="000D0A0A" w:rsidRPr="00F46E4F" w:rsidRDefault="000D0A0A" w:rsidP="00F46E4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DF37554" w14:textId="3B8C3BA7" w:rsidR="006C0D60" w:rsidRPr="00F46E4F" w:rsidRDefault="006C0D60" w:rsidP="00F46E4F">
      <w:pPr>
        <w:spacing w:line="360" w:lineRule="auto"/>
        <w:jc w:val="both"/>
        <w:rPr>
          <w:rFonts w:ascii="Palatino Linotype" w:eastAsia="Palatino Linotype" w:hAnsi="Palatino Linotype" w:cs="Palatino Linotype"/>
          <w:color w:val="000000" w:themeColor="text1"/>
        </w:rPr>
      </w:pPr>
      <w:r w:rsidRPr="00F46E4F">
        <w:rPr>
          <w:rFonts w:ascii="Palatino Linotype" w:eastAsia="Times New Roman" w:hAnsi="Palatino Linotype" w:cs="Arial"/>
          <w:b/>
          <w:bCs/>
          <w:color w:val="000000" w:themeColor="text1"/>
        </w:rPr>
        <w:t>PRIMERO</w:t>
      </w:r>
      <w:r w:rsidRPr="00F46E4F">
        <w:rPr>
          <w:rFonts w:ascii="Palatino Linotype" w:eastAsia="Times New Roman" w:hAnsi="Palatino Linotype" w:cs="Arial"/>
          <w:color w:val="000000" w:themeColor="text1"/>
        </w:rPr>
        <w:t>. Resultan</w:t>
      </w:r>
      <w:r w:rsidR="007C0820" w:rsidRPr="00F46E4F">
        <w:rPr>
          <w:rFonts w:ascii="Palatino Linotype" w:eastAsia="Times New Roman" w:hAnsi="Palatino Linotype" w:cs="Arial"/>
          <w:color w:val="000000" w:themeColor="text1"/>
        </w:rPr>
        <w:t xml:space="preserve"> </w:t>
      </w:r>
      <w:r w:rsidR="008D655B" w:rsidRPr="00F46E4F">
        <w:rPr>
          <w:rFonts w:ascii="Palatino Linotype" w:eastAsia="Times New Roman" w:hAnsi="Palatino Linotype" w:cs="Arial"/>
          <w:color w:val="000000" w:themeColor="text1"/>
        </w:rPr>
        <w:t xml:space="preserve">parcialmente </w:t>
      </w:r>
      <w:r w:rsidRPr="00F46E4F">
        <w:rPr>
          <w:rFonts w:ascii="Palatino Linotype" w:eastAsia="Times New Roman" w:hAnsi="Palatino Linotype" w:cs="Arial"/>
          <w:color w:val="000000" w:themeColor="text1"/>
        </w:rPr>
        <w:t xml:space="preserve">fundadas las </w:t>
      </w:r>
      <w:r w:rsidRPr="00F46E4F">
        <w:rPr>
          <w:rFonts w:ascii="Palatino Linotype" w:eastAsia="Times New Roman" w:hAnsi="Palatino Linotype" w:cs="Arial"/>
          <w:color w:val="000000" w:themeColor="text1"/>
          <w:lang w:val="es-ES"/>
        </w:rPr>
        <w:t xml:space="preserve">razones o motivos de inconformidad hechos valer en el Recurso de </w:t>
      </w:r>
      <w:r w:rsidR="00761F40" w:rsidRPr="00F46E4F">
        <w:rPr>
          <w:rFonts w:ascii="Palatino Linotype" w:eastAsia="Times New Roman" w:hAnsi="Palatino Linotype" w:cs="Arial"/>
          <w:color w:val="000000" w:themeColor="text1"/>
          <w:lang w:val="es-ES"/>
        </w:rPr>
        <w:t xml:space="preserve">Revisión </w:t>
      </w:r>
      <w:r w:rsidR="001173EF" w:rsidRPr="00F46E4F">
        <w:rPr>
          <w:rFonts w:ascii="Palatino Linotype" w:eastAsia="Times New Roman" w:hAnsi="Palatino Linotype" w:cs="Arial"/>
          <w:b/>
          <w:color w:val="000000" w:themeColor="text1"/>
          <w:lang w:val="es-ES"/>
        </w:rPr>
        <w:t>05108/INFOEM/IP/RR/2025</w:t>
      </w:r>
      <w:r w:rsidRPr="00F46E4F">
        <w:rPr>
          <w:rFonts w:ascii="Palatino Linotype" w:eastAsia="Times New Roman" w:hAnsi="Palatino Linotype" w:cs="Arial"/>
          <w:b/>
          <w:color w:val="000000" w:themeColor="text1"/>
          <w:lang w:val="es-ES"/>
        </w:rPr>
        <w:t xml:space="preserve">, </w:t>
      </w:r>
      <w:r w:rsidR="009D7C5B" w:rsidRPr="00F46E4F">
        <w:rPr>
          <w:rFonts w:ascii="Palatino Linotype" w:eastAsia="Palatino Linotype" w:hAnsi="Palatino Linotype" w:cs="Palatino Linotype"/>
          <w:color w:val="000000" w:themeColor="text1"/>
        </w:rPr>
        <w:t>en términos de</w:t>
      </w:r>
      <w:r w:rsidR="00F91BC6" w:rsidRPr="00F46E4F">
        <w:rPr>
          <w:rFonts w:ascii="Palatino Linotype" w:eastAsia="Palatino Linotype" w:hAnsi="Palatino Linotype" w:cs="Palatino Linotype"/>
          <w:color w:val="000000" w:themeColor="text1"/>
        </w:rPr>
        <w:t xml:space="preserve"> </w:t>
      </w:r>
      <w:r w:rsidRPr="00F46E4F">
        <w:rPr>
          <w:rFonts w:ascii="Palatino Linotype" w:eastAsia="Palatino Linotype" w:hAnsi="Palatino Linotype" w:cs="Palatino Linotype"/>
          <w:color w:val="000000" w:themeColor="text1"/>
        </w:rPr>
        <w:t>l</w:t>
      </w:r>
      <w:r w:rsidR="00F91BC6" w:rsidRPr="00F46E4F">
        <w:rPr>
          <w:rFonts w:ascii="Palatino Linotype" w:eastAsia="Palatino Linotype" w:hAnsi="Palatino Linotype" w:cs="Palatino Linotype"/>
          <w:color w:val="000000" w:themeColor="text1"/>
        </w:rPr>
        <w:t>os</w:t>
      </w:r>
      <w:r w:rsidRPr="00F46E4F">
        <w:rPr>
          <w:rFonts w:ascii="Palatino Linotype" w:eastAsia="Palatino Linotype" w:hAnsi="Palatino Linotype" w:cs="Palatino Linotype"/>
          <w:color w:val="000000" w:themeColor="text1"/>
        </w:rPr>
        <w:t xml:space="preserve"> </w:t>
      </w:r>
      <w:r w:rsidR="009D7C5B" w:rsidRPr="00F46E4F">
        <w:rPr>
          <w:rFonts w:ascii="Palatino Linotype" w:eastAsia="Palatino Linotype" w:hAnsi="Palatino Linotype" w:cs="Palatino Linotype"/>
          <w:b/>
          <w:color w:val="000000" w:themeColor="text1"/>
        </w:rPr>
        <w:t>Considerando</w:t>
      </w:r>
      <w:r w:rsidR="00F91BC6" w:rsidRPr="00F46E4F">
        <w:rPr>
          <w:rFonts w:ascii="Palatino Linotype" w:eastAsia="Palatino Linotype" w:hAnsi="Palatino Linotype" w:cs="Palatino Linotype"/>
          <w:b/>
          <w:color w:val="000000" w:themeColor="text1"/>
        </w:rPr>
        <w:t>s</w:t>
      </w:r>
      <w:r w:rsidRPr="00F46E4F">
        <w:rPr>
          <w:rFonts w:ascii="Palatino Linotype" w:eastAsia="Palatino Linotype" w:hAnsi="Palatino Linotype" w:cs="Palatino Linotype"/>
          <w:color w:val="000000" w:themeColor="text1"/>
        </w:rPr>
        <w:t xml:space="preserve"> </w:t>
      </w:r>
      <w:r w:rsidRPr="00F46E4F">
        <w:rPr>
          <w:rFonts w:ascii="Palatino Linotype" w:eastAsia="Palatino Linotype" w:hAnsi="Palatino Linotype" w:cs="Palatino Linotype"/>
          <w:b/>
          <w:color w:val="000000" w:themeColor="text1"/>
        </w:rPr>
        <w:t>C</w:t>
      </w:r>
      <w:r w:rsidR="00F91BC6" w:rsidRPr="00F46E4F">
        <w:rPr>
          <w:rFonts w:ascii="Palatino Linotype" w:eastAsia="Palatino Linotype" w:hAnsi="Palatino Linotype" w:cs="Palatino Linotype"/>
          <w:b/>
          <w:color w:val="000000" w:themeColor="text1"/>
        </w:rPr>
        <w:t>uarto y Quinto</w:t>
      </w:r>
      <w:r w:rsidRPr="00F46E4F">
        <w:rPr>
          <w:rFonts w:ascii="Palatino Linotype" w:eastAsia="Palatino Linotype" w:hAnsi="Palatino Linotype" w:cs="Palatino Linotype"/>
          <w:b/>
          <w:color w:val="000000" w:themeColor="text1"/>
        </w:rPr>
        <w:t xml:space="preserve"> </w:t>
      </w:r>
      <w:r w:rsidRPr="00F46E4F">
        <w:rPr>
          <w:rFonts w:ascii="Palatino Linotype" w:eastAsia="Palatino Linotype" w:hAnsi="Palatino Linotype" w:cs="Palatino Linotype"/>
          <w:color w:val="000000" w:themeColor="text1"/>
        </w:rPr>
        <w:t>de la presente Resolución.</w:t>
      </w:r>
    </w:p>
    <w:p w14:paraId="1FE8D27D" w14:textId="77777777" w:rsidR="006C0D60" w:rsidRPr="00F46E4F" w:rsidRDefault="006C0D60" w:rsidP="00F46E4F">
      <w:pPr>
        <w:spacing w:line="360" w:lineRule="auto"/>
        <w:jc w:val="both"/>
        <w:rPr>
          <w:rFonts w:ascii="Palatino Linotype" w:eastAsia="Palatino Linotype" w:hAnsi="Palatino Linotype" w:cs="Palatino Linotype"/>
          <w:color w:val="000000" w:themeColor="text1"/>
        </w:rPr>
      </w:pPr>
    </w:p>
    <w:p w14:paraId="41DFB703" w14:textId="4B8D0420" w:rsidR="006C0D60" w:rsidRPr="00F46E4F" w:rsidRDefault="006C0D60" w:rsidP="00F46E4F">
      <w:pPr>
        <w:spacing w:line="360" w:lineRule="auto"/>
        <w:jc w:val="both"/>
        <w:rPr>
          <w:rFonts w:ascii="Palatino Linotype" w:hAnsi="Palatino Linotype" w:cs="Arial"/>
          <w:color w:val="000000" w:themeColor="text1"/>
        </w:rPr>
      </w:pPr>
      <w:r w:rsidRPr="00F46E4F">
        <w:rPr>
          <w:rFonts w:ascii="Palatino Linotype" w:eastAsia="Times New Roman" w:hAnsi="Palatino Linotype" w:cs="Times New Roman"/>
          <w:b/>
          <w:color w:val="000000" w:themeColor="text1"/>
        </w:rPr>
        <w:t xml:space="preserve">SEGUNDO. </w:t>
      </w:r>
      <w:r w:rsidRPr="00F46E4F">
        <w:rPr>
          <w:rFonts w:ascii="Palatino Linotype" w:eastAsia="MS Mincho" w:hAnsi="Palatino Linotype" w:cs="Times New Roman"/>
          <w:color w:val="000000" w:themeColor="text1"/>
        </w:rPr>
        <w:t xml:space="preserve">Se </w:t>
      </w:r>
      <w:r w:rsidR="008D655B" w:rsidRPr="00F46E4F">
        <w:rPr>
          <w:rFonts w:ascii="Palatino Linotype" w:eastAsia="MS Mincho" w:hAnsi="Palatino Linotype" w:cs="Times New Roman"/>
          <w:b/>
          <w:color w:val="000000" w:themeColor="text1"/>
        </w:rPr>
        <w:t>MODIFICA</w:t>
      </w:r>
      <w:r w:rsidRPr="00F46E4F">
        <w:rPr>
          <w:rFonts w:ascii="Palatino Linotype" w:eastAsia="MS Mincho" w:hAnsi="Palatino Linotype" w:cs="Times New Roman"/>
          <w:b/>
          <w:color w:val="000000" w:themeColor="text1"/>
        </w:rPr>
        <w:t xml:space="preserve"> </w:t>
      </w:r>
      <w:r w:rsidR="00597221" w:rsidRPr="00F46E4F">
        <w:rPr>
          <w:rFonts w:ascii="Palatino Linotype" w:eastAsia="MS Mincho" w:hAnsi="Palatino Linotype" w:cs="Times New Roman"/>
          <w:color w:val="000000" w:themeColor="text1"/>
        </w:rPr>
        <w:t>la respuesta emitida por el</w:t>
      </w:r>
      <w:r w:rsidRPr="00F46E4F">
        <w:rPr>
          <w:rFonts w:ascii="Palatino Linotype" w:eastAsia="MS Mincho" w:hAnsi="Palatino Linotype" w:cs="Times New Roman"/>
          <w:color w:val="000000" w:themeColor="text1"/>
        </w:rPr>
        <w:t xml:space="preserve"> </w:t>
      </w:r>
      <w:r w:rsidR="00507A59" w:rsidRPr="00F46E4F">
        <w:rPr>
          <w:rFonts w:ascii="Palatino Linotype" w:hAnsi="Palatino Linotype"/>
          <w:b/>
          <w:bCs/>
          <w:color w:val="000000" w:themeColor="text1"/>
        </w:rPr>
        <w:t>Ayuntamiento de Zinacantepec</w:t>
      </w:r>
      <w:r w:rsidRPr="00F46E4F">
        <w:rPr>
          <w:rFonts w:ascii="Palatino Linotype" w:eastAsia="Times New Roman" w:hAnsi="Palatino Linotype" w:cs="Arial"/>
          <w:b/>
          <w:color w:val="000000" w:themeColor="text1"/>
          <w:lang w:val="es-ES"/>
        </w:rPr>
        <w:t>;</w:t>
      </w:r>
      <w:r w:rsidRPr="00F46E4F">
        <w:rPr>
          <w:rFonts w:ascii="Palatino Linotype" w:eastAsia="Palatino Linotype" w:hAnsi="Palatino Linotype" w:cs="Palatino Linotype"/>
          <w:color w:val="000000" w:themeColor="text1"/>
        </w:rPr>
        <w:t xml:space="preserve"> por lo que</w:t>
      </w:r>
      <w:r w:rsidRPr="00F46E4F">
        <w:rPr>
          <w:rFonts w:ascii="Palatino Linotype" w:eastAsia="MS Mincho" w:hAnsi="Palatino Linotype" w:cs="Times New Roman"/>
          <w:color w:val="000000" w:themeColor="text1"/>
        </w:rPr>
        <w:t xml:space="preserve"> se </w:t>
      </w:r>
      <w:r w:rsidRPr="00F46E4F">
        <w:rPr>
          <w:rFonts w:ascii="Palatino Linotype" w:eastAsia="MS Mincho" w:hAnsi="Palatino Linotype" w:cs="Times New Roman"/>
          <w:b/>
          <w:color w:val="000000" w:themeColor="text1"/>
        </w:rPr>
        <w:t>ORDENA</w:t>
      </w:r>
      <w:r w:rsidRPr="00F46E4F">
        <w:rPr>
          <w:rFonts w:ascii="Palatino Linotype" w:eastAsia="MS Mincho" w:hAnsi="Palatino Linotype" w:cs="Times New Roman"/>
          <w:color w:val="000000" w:themeColor="text1"/>
        </w:rPr>
        <w:t xml:space="preserve"> entregar vía Sistema de Acceso a la In</w:t>
      </w:r>
      <w:r w:rsidR="009D7C5B" w:rsidRPr="00F46E4F">
        <w:rPr>
          <w:rFonts w:ascii="Palatino Linotype" w:eastAsia="MS Mincho" w:hAnsi="Palatino Linotype" w:cs="Times New Roman"/>
          <w:color w:val="000000" w:themeColor="text1"/>
        </w:rPr>
        <w:t>formación Mexiquense (</w:t>
      </w:r>
      <w:r w:rsidR="009D7C5B" w:rsidRPr="00F46E4F">
        <w:rPr>
          <w:rFonts w:ascii="Palatino Linotype" w:eastAsia="MS Mincho" w:hAnsi="Palatino Linotype" w:cs="Times New Roman"/>
          <w:b/>
          <w:color w:val="000000" w:themeColor="text1"/>
        </w:rPr>
        <w:t>SAIMEX</w:t>
      </w:r>
      <w:r w:rsidR="009D7C5B" w:rsidRPr="00F46E4F">
        <w:rPr>
          <w:rFonts w:ascii="Palatino Linotype" w:eastAsia="MS Mincho" w:hAnsi="Palatino Linotype" w:cs="Times New Roman"/>
          <w:color w:val="000000" w:themeColor="text1"/>
        </w:rPr>
        <w:t>),</w:t>
      </w:r>
      <w:r w:rsidR="00E92E1B" w:rsidRPr="00F46E4F">
        <w:rPr>
          <w:rFonts w:ascii="Palatino Linotype" w:eastAsia="MS Mincho" w:hAnsi="Palatino Linotype" w:cs="Times New Roman"/>
          <w:color w:val="000000" w:themeColor="text1"/>
        </w:rPr>
        <w:t xml:space="preserve"> de ser el caso</w:t>
      </w:r>
      <w:r w:rsidR="005913B5" w:rsidRPr="00F46E4F">
        <w:rPr>
          <w:rFonts w:ascii="Palatino Linotype" w:eastAsia="MS Mincho" w:hAnsi="Palatino Linotype" w:cs="Times New Roman"/>
          <w:color w:val="000000" w:themeColor="text1"/>
        </w:rPr>
        <w:t xml:space="preserve"> </w:t>
      </w:r>
      <w:r w:rsidR="008D655B" w:rsidRPr="00F46E4F">
        <w:rPr>
          <w:rFonts w:ascii="Palatino Linotype" w:hAnsi="Palatino Linotype"/>
          <w:color w:val="000000" w:themeColor="text1"/>
        </w:rPr>
        <w:t>en versión pública</w:t>
      </w:r>
      <w:r w:rsidR="00EF10D3" w:rsidRPr="00F46E4F">
        <w:rPr>
          <w:rFonts w:ascii="Palatino Linotype" w:hAnsi="Palatino Linotype" w:cs="Arial"/>
          <w:color w:val="000000" w:themeColor="text1"/>
        </w:rPr>
        <w:t xml:space="preserve">, </w:t>
      </w:r>
      <w:r w:rsidR="00EF10D3" w:rsidRPr="00F46E4F">
        <w:rPr>
          <w:rFonts w:ascii="Palatino Linotype" w:eastAsia="MS Mincho" w:hAnsi="Palatino Linotype" w:cs="Times New Roman"/>
          <w:color w:val="000000" w:themeColor="text1"/>
        </w:rPr>
        <w:t>la siguiente información</w:t>
      </w:r>
      <w:r w:rsidR="007C0820" w:rsidRPr="00F46E4F">
        <w:rPr>
          <w:rFonts w:ascii="Palatino Linotype" w:hAnsi="Palatino Linotype" w:cs="Arial"/>
          <w:color w:val="000000" w:themeColor="text1"/>
        </w:rPr>
        <w:t>:</w:t>
      </w:r>
    </w:p>
    <w:p w14:paraId="3E7CD15F" w14:textId="77777777" w:rsidR="006C0D60" w:rsidRPr="00F46E4F" w:rsidRDefault="006C0D60" w:rsidP="00F46E4F">
      <w:pPr>
        <w:pStyle w:val="Prrafodelista"/>
        <w:tabs>
          <w:tab w:val="left" w:pos="8080"/>
        </w:tabs>
        <w:spacing w:line="360" w:lineRule="auto"/>
        <w:ind w:left="0"/>
        <w:jc w:val="both"/>
        <w:rPr>
          <w:rFonts w:ascii="Palatino Linotype" w:hAnsi="Palatino Linotype" w:cs="Arial"/>
          <w:i/>
          <w:color w:val="000000" w:themeColor="text1"/>
        </w:rPr>
      </w:pPr>
    </w:p>
    <w:p w14:paraId="6839CE97" w14:textId="529ABAC3" w:rsidR="00D52A11" w:rsidRPr="00F46E4F" w:rsidRDefault="00D52A11" w:rsidP="00F46E4F">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46E4F">
        <w:rPr>
          <w:rFonts w:ascii="Palatino Linotype" w:eastAsia="Palatino Linotype" w:hAnsi="Palatino Linotype" w:cs="Palatino Linotype"/>
          <w:b/>
          <w:color w:val="000000" w:themeColor="text1"/>
        </w:rPr>
        <w:t>Los montos destinados a gastos relativos a todos los programas y campañas de comunicac</w:t>
      </w:r>
      <w:r w:rsidR="00575D90" w:rsidRPr="00F46E4F">
        <w:rPr>
          <w:rFonts w:ascii="Palatino Linotype" w:eastAsia="Palatino Linotype" w:hAnsi="Palatino Linotype" w:cs="Palatino Linotype"/>
          <w:b/>
          <w:color w:val="000000" w:themeColor="text1"/>
        </w:rPr>
        <w:t>ión social y publicidad oficial, i</w:t>
      </w:r>
      <w:r w:rsidRPr="00F46E4F">
        <w:rPr>
          <w:rFonts w:ascii="Palatino Linotype" w:eastAsia="Palatino Linotype" w:hAnsi="Palatino Linotype" w:cs="Palatino Linotype"/>
          <w:b/>
          <w:color w:val="000000" w:themeColor="text1"/>
        </w:rPr>
        <w:t>ncluyendo información de las c</w:t>
      </w:r>
      <w:r w:rsidR="00575D90" w:rsidRPr="00F46E4F">
        <w:rPr>
          <w:rFonts w:ascii="Palatino Linotype" w:eastAsia="Palatino Linotype" w:hAnsi="Palatino Linotype" w:cs="Palatino Linotype"/>
          <w:b/>
          <w:color w:val="000000" w:themeColor="text1"/>
        </w:rPr>
        <w:t>ampañas como:</w:t>
      </w:r>
      <w:r w:rsidRPr="00F46E4F">
        <w:rPr>
          <w:rFonts w:ascii="Palatino Linotype" w:eastAsia="Palatino Linotype" w:hAnsi="Palatino Linotype" w:cs="Palatino Linotype"/>
          <w:b/>
          <w:color w:val="000000" w:themeColor="text1"/>
        </w:rPr>
        <w:t xml:space="preserve"> tipo de medio, número de contrato y concepto</w:t>
      </w:r>
      <w:r w:rsidR="00575D90" w:rsidRPr="00F46E4F">
        <w:rPr>
          <w:rFonts w:ascii="Palatino Linotype" w:eastAsia="Palatino Linotype" w:hAnsi="Palatino Linotype" w:cs="Palatino Linotype"/>
          <w:b/>
          <w:color w:val="000000" w:themeColor="text1"/>
        </w:rPr>
        <w:t>, de los ejercicios fiscales 2020, 2021, 2022, 2023 y, 2024.</w:t>
      </w:r>
    </w:p>
    <w:p w14:paraId="4AC1828B" w14:textId="77777777" w:rsidR="008D655B" w:rsidRPr="00F46E4F" w:rsidRDefault="008D655B" w:rsidP="00F46E4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14:paraId="6231C852" w14:textId="116CB133" w:rsidR="00F91BC6" w:rsidRPr="00F46E4F" w:rsidRDefault="00F91BC6" w:rsidP="00F46E4F">
      <w:pPr>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F46E4F">
        <w:rPr>
          <w:rFonts w:ascii="Palatino Linotype" w:eastAsia="Palatino Linotype" w:hAnsi="Palatino Linotype" w:cs="Palatino Linotype"/>
          <w:color w:val="000000" w:themeColor="text1"/>
        </w:rPr>
        <w:t>onga a disposición de la parte R</w:t>
      </w:r>
      <w:r w:rsidRPr="00F46E4F">
        <w:rPr>
          <w:rFonts w:ascii="Palatino Linotype" w:eastAsia="Palatino Linotype" w:hAnsi="Palatino Linotype" w:cs="Palatino Linotype"/>
          <w:color w:val="000000" w:themeColor="text1"/>
        </w:rPr>
        <w:t xml:space="preserve">ecurrente. </w:t>
      </w:r>
    </w:p>
    <w:p w14:paraId="1D4459B2" w14:textId="77777777" w:rsidR="00F91BC6" w:rsidRPr="00F46E4F" w:rsidRDefault="00F91BC6" w:rsidP="00F46E4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DCCC28D" w14:textId="77777777" w:rsidR="006C0D60" w:rsidRPr="00F46E4F" w:rsidRDefault="006C0D60" w:rsidP="00F46E4F">
      <w:pPr>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b/>
          <w:color w:val="000000" w:themeColor="text1"/>
        </w:rPr>
        <w:lastRenderedPageBreak/>
        <w:t xml:space="preserve">TERCERO. Notifíquese </w:t>
      </w:r>
      <w:r w:rsidRPr="00F46E4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46E4F">
        <w:rPr>
          <w:rFonts w:ascii="Palatino Linotype" w:eastAsia="Palatino Linotype" w:hAnsi="Palatino Linotype" w:cs="Palatino Linotype"/>
          <w:b/>
          <w:color w:val="000000" w:themeColor="text1"/>
        </w:rPr>
        <w:t>dé cumplimiento a lo ordenado dentro del plazo de diez días hábiles,</w:t>
      </w:r>
      <w:r w:rsidRPr="00F46E4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F46E4F" w:rsidRDefault="006C0D60" w:rsidP="00F46E4F">
      <w:pPr>
        <w:spacing w:line="360" w:lineRule="auto"/>
        <w:jc w:val="both"/>
        <w:rPr>
          <w:rFonts w:ascii="Palatino Linotype" w:eastAsia="Palatino Linotype" w:hAnsi="Palatino Linotype" w:cs="Palatino Linotype"/>
          <w:color w:val="000000" w:themeColor="text1"/>
        </w:rPr>
      </w:pPr>
    </w:p>
    <w:p w14:paraId="0296223F" w14:textId="77777777" w:rsidR="006C0D60" w:rsidRPr="00F46E4F" w:rsidRDefault="006C0D60" w:rsidP="00F46E4F">
      <w:pPr>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b/>
          <w:color w:val="000000" w:themeColor="text1"/>
        </w:rPr>
        <w:t xml:space="preserve">CUARTO. </w:t>
      </w:r>
      <w:r w:rsidRPr="00F46E4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46E4F">
        <w:rPr>
          <w:rFonts w:ascii="Palatino Linotype" w:eastAsia="Palatino Linotype" w:hAnsi="Palatino Linotype" w:cs="Palatino Linotype"/>
          <w:b/>
          <w:color w:val="000000" w:themeColor="text1"/>
        </w:rPr>
        <w:t>SUJETO OBLIGADO</w:t>
      </w:r>
      <w:r w:rsidRPr="00F46E4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4AC6BA1" w14:textId="77777777" w:rsidR="006C0D60" w:rsidRPr="00F46E4F" w:rsidRDefault="006C0D60" w:rsidP="00F46E4F">
      <w:pPr>
        <w:spacing w:line="360" w:lineRule="auto"/>
        <w:jc w:val="both"/>
        <w:rPr>
          <w:rFonts w:ascii="Palatino Linotype" w:eastAsia="Palatino Linotype" w:hAnsi="Palatino Linotype" w:cs="Palatino Linotype"/>
          <w:color w:val="000000" w:themeColor="text1"/>
        </w:rPr>
      </w:pPr>
    </w:p>
    <w:p w14:paraId="75A9E7CA" w14:textId="77777777" w:rsidR="006C0D60" w:rsidRPr="00F46E4F" w:rsidRDefault="006C0D60" w:rsidP="00F46E4F">
      <w:pPr>
        <w:tabs>
          <w:tab w:val="left" w:pos="8080"/>
        </w:tabs>
        <w:spacing w:line="360" w:lineRule="auto"/>
        <w:jc w:val="both"/>
        <w:rPr>
          <w:rFonts w:ascii="Palatino Linotype" w:eastAsia="Palatino Linotype" w:hAnsi="Palatino Linotype" w:cs="Palatino Linotype"/>
          <w:color w:val="000000" w:themeColor="text1"/>
        </w:rPr>
      </w:pPr>
      <w:bookmarkStart w:id="73" w:name="_heading=h.lnxbz9" w:colFirst="0" w:colLast="0"/>
      <w:bookmarkEnd w:id="73"/>
      <w:r w:rsidRPr="00F46E4F">
        <w:rPr>
          <w:rFonts w:ascii="Palatino Linotype" w:eastAsia="Palatino Linotype" w:hAnsi="Palatino Linotype" w:cs="Palatino Linotype"/>
          <w:b/>
          <w:color w:val="000000" w:themeColor="text1"/>
        </w:rPr>
        <w:t xml:space="preserve">QUINTO. </w:t>
      </w:r>
      <w:r w:rsidRPr="00F46E4F">
        <w:rPr>
          <w:rFonts w:ascii="Palatino Linotype" w:eastAsia="Palatino Linotype" w:hAnsi="Palatino Linotype" w:cs="Palatino Linotype"/>
          <w:color w:val="000000" w:themeColor="text1"/>
        </w:rPr>
        <w:t xml:space="preserve">Notifíquese al </w:t>
      </w:r>
      <w:r w:rsidRPr="00F46E4F">
        <w:rPr>
          <w:rFonts w:ascii="Palatino Linotype" w:eastAsia="Palatino Linotype" w:hAnsi="Palatino Linotype" w:cs="Palatino Linotype"/>
          <w:b/>
          <w:color w:val="000000" w:themeColor="text1"/>
        </w:rPr>
        <w:t>RECURRENTE</w:t>
      </w:r>
      <w:r w:rsidRPr="00F46E4F">
        <w:rPr>
          <w:rFonts w:ascii="Palatino Linotype" w:eastAsia="Palatino Linotype" w:hAnsi="Palatino Linotype" w:cs="Palatino Linotype"/>
          <w:color w:val="000000" w:themeColor="text1"/>
        </w:rPr>
        <w:t xml:space="preserve"> la presente Resolución, vía </w:t>
      </w:r>
      <w:r w:rsidRPr="00F46E4F">
        <w:rPr>
          <w:rFonts w:ascii="Palatino Linotype" w:eastAsia="Palatino Linotype" w:hAnsi="Palatino Linotype" w:cs="Palatino Linotype"/>
          <w:b/>
          <w:color w:val="000000" w:themeColor="text1"/>
        </w:rPr>
        <w:t>SAIMEX</w:t>
      </w:r>
      <w:r w:rsidRPr="00F46E4F">
        <w:rPr>
          <w:rFonts w:ascii="Palatino Linotype" w:eastAsia="Palatino Linotype" w:hAnsi="Palatino Linotype" w:cs="Palatino Linotype"/>
          <w:color w:val="000000" w:themeColor="text1"/>
        </w:rPr>
        <w:t>.</w:t>
      </w:r>
    </w:p>
    <w:p w14:paraId="700B3ED3" w14:textId="77777777" w:rsidR="00575D90" w:rsidRPr="00F46E4F" w:rsidRDefault="00575D90" w:rsidP="00F46E4F">
      <w:pPr>
        <w:tabs>
          <w:tab w:val="left" w:pos="8080"/>
        </w:tabs>
        <w:spacing w:line="360" w:lineRule="auto"/>
        <w:jc w:val="both"/>
        <w:rPr>
          <w:rFonts w:ascii="Palatino Linotype" w:eastAsia="Palatino Linotype" w:hAnsi="Palatino Linotype" w:cs="Palatino Linotype"/>
          <w:color w:val="000000" w:themeColor="text1"/>
        </w:rPr>
      </w:pPr>
    </w:p>
    <w:p w14:paraId="0DD7812D" w14:textId="42D1D961" w:rsidR="006C0D60" w:rsidRPr="00F46E4F" w:rsidRDefault="006C0D60" w:rsidP="00F46E4F">
      <w:pPr>
        <w:shd w:val="clear" w:color="auto" w:fill="FFFFFF"/>
        <w:spacing w:line="360" w:lineRule="auto"/>
        <w:jc w:val="both"/>
        <w:rPr>
          <w:rFonts w:ascii="Palatino Linotype" w:eastAsia="Palatino Linotype" w:hAnsi="Palatino Linotype" w:cs="Palatino Linotype"/>
          <w:color w:val="000000" w:themeColor="text1"/>
        </w:rPr>
      </w:pPr>
      <w:r w:rsidRPr="00F46E4F">
        <w:rPr>
          <w:rFonts w:ascii="Palatino Linotype" w:eastAsia="Palatino Linotype" w:hAnsi="Palatino Linotype" w:cs="Palatino Linotype"/>
          <w:b/>
          <w:color w:val="000000" w:themeColor="text1"/>
        </w:rPr>
        <w:t xml:space="preserve">SEXTO. </w:t>
      </w:r>
      <w:r w:rsidRPr="00F46E4F">
        <w:rPr>
          <w:rFonts w:ascii="Palatino Linotype" w:eastAsia="Palatino Linotype" w:hAnsi="Palatino Linotype" w:cs="Palatino Linotype"/>
          <w:color w:val="000000" w:themeColor="text1"/>
        </w:rPr>
        <w:t>Se hace del conocimiento del</w:t>
      </w:r>
      <w:r w:rsidRPr="00F46E4F">
        <w:rPr>
          <w:rFonts w:ascii="Palatino Linotype" w:eastAsia="Palatino Linotype" w:hAnsi="Palatino Linotype" w:cs="Palatino Linotype"/>
          <w:b/>
          <w:color w:val="000000" w:themeColor="text1"/>
        </w:rPr>
        <w:t xml:space="preserve"> RECURRENTE </w:t>
      </w:r>
      <w:r w:rsidRPr="00F46E4F">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F46E4F">
        <w:rPr>
          <w:rFonts w:ascii="Palatino Linotype" w:eastAsia="Palatino Linotype" w:hAnsi="Palatino Linotype" w:cs="Palatino Linotype"/>
          <w:color w:val="000000" w:themeColor="text1"/>
        </w:rPr>
        <w:t>R</w:t>
      </w:r>
      <w:r w:rsidRPr="00F46E4F">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418A5AF2" w14:textId="77777777" w:rsidR="00F46E4F" w:rsidRPr="00444783" w:rsidRDefault="00F46E4F" w:rsidP="00F46E4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0F0F9D89" w14:textId="5A60758C" w:rsidR="00611EC6" w:rsidRPr="00F46E4F" w:rsidRDefault="00611EC6" w:rsidP="00F46E4F">
      <w:pPr>
        <w:spacing w:line="360" w:lineRule="auto"/>
        <w:jc w:val="both"/>
        <w:rPr>
          <w:rFonts w:ascii="Palatino Linotype" w:hAnsi="Palatino Linotype"/>
          <w:color w:val="000000" w:themeColor="text1"/>
          <w:lang w:val="es-MX"/>
        </w:rPr>
      </w:pPr>
      <w:r w:rsidRPr="00F46E4F">
        <w:rPr>
          <w:rFonts w:ascii="Palatino Linotype" w:hAnsi="Palatino Linotype"/>
          <w:color w:val="000000" w:themeColor="text1"/>
        </w:rPr>
        <w:t xml:space="preserve"> </w:t>
      </w:r>
    </w:p>
    <w:p w14:paraId="6C28A634" w14:textId="77777777" w:rsidR="00947C3B" w:rsidRPr="00F46E4F" w:rsidRDefault="00947C3B" w:rsidP="00F46E4F">
      <w:pPr>
        <w:spacing w:line="360" w:lineRule="auto"/>
        <w:jc w:val="both"/>
        <w:rPr>
          <w:rFonts w:ascii="Palatino Linotype" w:hAnsi="Palatino Linotype"/>
          <w:color w:val="000000" w:themeColor="text1"/>
        </w:rPr>
      </w:pPr>
    </w:p>
    <w:p w14:paraId="6E7D199D" w14:textId="77777777" w:rsidR="00947C3B" w:rsidRPr="00F46E4F" w:rsidRDefault="00947C3B" w:rsidP="00F46E4F">
      <w:pPr>
        <w:spacing w:line="360" w:lineRule="auto"/>
        <w:jc w:val="both"/>
        <w:rPr>
          <w:rFonts w:ascii="Palatino Linotype" w:hAnsi="Palatino Linotype"/>
          <w:color w:val="000000" w:themeColor="text1"/>
        </w:rPr>
      </w:pPr>
    </w:p>
    <w:p w14:paraId="504C9EA2" w14:textId="77777777" w:rsidR="00947C3B" w:rsidRPr="00F46E4F" w:rsidRDefault="00947C3B" w:rsidP="00F46E4F">
      <w:pPr>
        <w:spacing w:line="360" w:lineRule="auto"/>
        <w:jc w:val="both"/>
        <w:rPr>
          <w:rFonts w:ascii="Palatino Linotype" w:hAnsi="Palatino Linotype"/>
          <w:color w:val="000000" w:themeColor="text1"/>
        </w:rPr>
      </w:pPr>
    </w:p>
    <w:p w14:paraId="266E9DC5" w14:textId="77777777" w:rsidR="00947C3B" w:rsidRPr="00F46E4F" w:rsidRDefault="00947C3B" w:rsidP="00F46E4F">
      <w:pPr>
        <w:spacing w:line="360" w:lineRule="auto"/>
        <w:jc w:val="both"/>
        <w:rPr>
          <w:rFonts w:ascii="Palatino Linotype" w:hAnsi="Palatino Linotype"/>
          <w:color w:val="000000" w:themeColor="text1"/>
        </w:rPr>
      </w:pPr>
    </w:p>
    <w:p w14:paraId="7CA75E23" w14:textId="77777777" w:rsidR="00947C3B" w:rsidRPr="00F46E4F" w:rsidRDefault="00947C3B" w:rsidP="00F46E4F">
      <w:pPr>
        <w:spacing w:line="360" w:lineRule="auto"/>
        <w:rPr>
          <w:rFonts w:ascii="Palatino Linotype" w:hAnsi="Palatino Linotype"/>
          <w:color w:val="000000" w:themeColor="text1"/>
        </w:rPr>
      </w:pPr>
    </w:p>
    <w:p w14:paraId="3BD3612C" w14:textId="77777777" w:rsidR="00947C3B" w:rsidRPr="00F46E4F" w:rsidRDefault="00947C3B" w:rsidP="00F46E4F">
      <w:pPr>
        <w:spacing w:line="360" w:lineRule="auto"/>
        <w:rPr>
          <w:rFonts w:ascii="Palatino Linotype" w:hAnsi="Palatino Linotype"/>
          <w:color w:val="000000" w:themeColor="text1"/>
        </w:rPr>
      </w:pPr>
    </w:p>
    <w:p w14:paraId="3743A396" w14:textId="77777777" w:rsidR="00947C3B" w:rsidRPr="00F46E4F" w:rsidRDefault="00947C3B" w:rsidP="00F46E4F">
      <w:pPr>
        <w:spacing w:line="360" w:lineRule="auto"/>
        <w:rPr>
          <w:rFonts w:ascii="Palatino Linotype" w:hAnsi="Palatino Linotype"/>
          <w:color w:val="000000" w:themeColor="text1"/>
        </w:rPr>
      </w:pPr>
    </w:p>
    <w:p w14:paraId="38E779B9" w14:textId="77777777" w:rsidR="00947C3B" w:rsidRPr="00F46E4F" w:rsidRDefault="00947C3B" w:rsidP="00F46E4F">
      <w:pPr>
        <w:spacing w:line="360" w:lineRule="auto"/>
        <w:rPr>
          <w:rFonts w:ascii="Palatino Linotype" w:hAnsi="Palatino Linotype"/>
          <w:color w:val="000000" w:themeColor="text1"/>
        </w:rPr>
      </w:pPr>
    </w:p>
    <w:p w14:paraId="23358BF2" w14:textId="77777777" w:rsidR="00947C3B" w:rsidRPr="00F46E4F" w:rsidRDefault="00947C3B" w:rsidP="00F46E4F">
      <w:pPr>
        <w:spacing w:line="360" w:lineRule="auto"/>
        <w:rPr>
          <w:rFonts w:ascii="Palatino Linotype" w:hAnsi="Palatino Linotype"/>
          <w:color w:val="000000" w:themeColor="text1"/>
        </w:rPr>
      </w:pPr>
    </w:p>
    <w:p w14:paraId="58467F4E" w14:textId="77777777" w:rsidR="00947C3B" w:rsidRPr="00F46E4F" w:rsidRDefault="00947C3B" w:rsidP="00F46E4F">
      <w:pPr>
        <w:spacing w:line="360" w:lineRule="auto"/>
        <w:rPr>
          <w:rFonts w:ascii="Palatino Linotype" w:hAnsi="Palatino Linotype"/>
          <w:color w:val="000000" w:themeColor="text1"/>
        </w:rPr>
      </w:pPr>
    </w:p>
    <w:p w14:paraId="238EBC9D" w14:textId="77777777" w:rsidR="00947C3B" w:rsidRPr="00F46E4F" w:rsidRDefault="00947C3B" w:rsidP="00F46E4F">
      <w:pPr>
        <w:spacing w:line="360" w:lineRule="auto"/>
        <w:rPr>
          <w:rFonts w:ascii="Palatino Linotype" w:hAnsi="Palatino Linotype"/>
          <w:color w:val="000000" w:themeColor="text1"/>
        </w:rPr>
      </w:pPr>
    </w:p>
    <w:p w14:paraId="35E68E61" w14:textId="77777777" w:rsidR="00947C3B" w:rsidRPr="00F46E4F" w:rsidRDefault="00947C3B" w:rsidP="00F46E4F">
      <w:pPr>
        <w:tabs>
          <w:tab w:val="left" w:pos="3374"/>
        </w:tabs>
        <w:spacing w:line="360" w:lineRule="auto"/>
        <w:rPr>
          <w:rFonts w:ascii="Palatino Linotype" w:hAnsi="Palatino Linotype"/>
          <w:color w:val="000000" w:themeColor="text1"/>
        </w:rPr>
      </w:pPr>
      <w:r w:rsidRPr="00F46E4F">
        <w:rPr>
          <w:rFonts w:ascii="Palatino Linotype" w:hAnsi="Palatino Linotype"/>
          <w:color w:val="000000" w:themeColor="text1"/>
        </w:rPr>
        <w:tab/>
      </w:r>
    </w:p>
    <w:p w14:paraId="68F0F3AE"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7EC14F3F"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590A1973"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737F2A77"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708D0154"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6C78D525"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7295E05A"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7ACCDCE5"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2043354E"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4D60AB68" w14:textId="77777777" w:rsidR="00947C3B" w:rsidRPr="00F46E4F" w:rsidRDefault="00947C3B" w:rsidP="00F46E4F">
      <w:pPr>
        <w:tabs>
          <w:tab w:val="left" w:pos="3374"/>
        </w:tabs>
        <w:spacing w:line="360" w:lineRule="auto"/>
        <w:rPr>
          <w:rFonts w:ascii="Palatino Linotype" w:hAnsi="Palatino Linotype"/>
          <w:color w:val="000000" w:themeColor="text1"/>
        </w:rPr>
      </w:pPr>
    </w:p>
    <w:p w14:paraId="109C85DB" w14:textId="77777777" w:rsidR="00947C3B" w:rsidRPr="00F46E4F" w:rsidRDefault="00947C3B" w:rsidP="00F46E4F">
      <w:pPr>
        <w:spacing w:line="360" w:lineRule="auto"/>
        <w:rPr>
          <w:rFonts w:ascii="Palatino Linotype" w:hAnsi="Palatino Linotype"/>
          <w:color w:val="000000" w:themeColor="text1"/>
        </w:rPr>
      </w:pPr>
    </w:p>
    <w:p w14:paraId="5FC7EA90" w14:textId="77777777" w:rsidR="00947C3B" w:rsidRPr="00F46E4F" w:rsidRDefault="00947C3B" w:rsidP="00F46E4F">
      <w:pPr>
        <w:spacing w:line="360" w:lineRule="auto"/>
        <w:rPr>
          <w:rFonts w:ascii="Palatino Linotype" w:hAnsi="Palatino Linotype"/>
          <w:color w:val="000000" w:themeColor="text1"/>
        </w:rPr>
      </w:pPr>
    </w:p>
    <w:p w14:paraId="2F069714" w14:textId="77777777" w:rsidR="006603F1" w:rsidRPr="00F46E4F" w:rsidRDefault="006603F1" w:rsidP="00F46E4F">
      <w:pPr>
        <w:spacing w:line="360" w:lineRule="auto"/>
        <w:rPr>
          <w:rFonts w:ascii="Palatino Linotype" w:hAnsi="Palatino Linotype"/>
          <w:color w:val="000000" w:themeColor="text1"/>
        </w:rPr>
      </w:pPr>
    </w:p>
    <w:p w14:paraId="292C151D" w14:textId="77777777" w:rsidR="00A068EA" w:rsidRPr="00F46E4F" w:rsidRDefault="00A068EA" w:rsidP="00F46E4F">
      <w:pPr>
        <w:spacing w:line="360" w:lineRule="auto"/>
        <w:rPr>
          <w:rFonts w:ascii="Palatino Linotype" w:hAnsi="Palatino Linotype"/>
          <w:color w:val="000000" w:themeColor="text1"/>
        </w:rPr>
      </w:pPr>
    </w:p>
    <w:sectPr w:rsidR="00A068EA" w:rsidRPr="00F46E4F" w:rsidSect="006B6F23">
      <w:headerReference w:type="even" r:id="rId11"/>
      <w:headerReference w:type="default" r:id="rId12"/>
      <w:footerReference w:type="default" r:id="rId13"/>
      <w:headerReference w:type="first" r:id="rId14"/>
      <w:footerReference w:type="first" r:id="rId15"/>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75DDB" w14:textId="77777777" w:rsidR="00C94D97" w:rsidRDefault="00C94D97" w:rsidP="00947C3B">
      <w:r>
        <w:separator/>
      </w:r>
    </w:p>
  </w:endnote>
  <w:endnote w:type="continuationSeparator" w:id="0">
    <w:p w14:paraId="6E1A4F2A" w14:textId="77777777" w:rsidR="00C94D97" w:rsidRDefault="00C94D97"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D52A11" w:rsidRPr="002D6DD8" w:rsidRDefault="00D52A11"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1FE">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1FE">
              <w:rPr>
                <w:rFonts w:ascii="Palatino Linotype" w:hAnsi="Palatino Linotype"/>
                <w:bCs/>
                <w:noProof/>
                <w:sz w:val="20"/>
              </w:rPr>
              <w:t>32</w:t>
            </w:r>
            <w:r>
              <w:rPr>
                <w:rFonts w:ascii="Palatino Linotype" w:hAnsi="Palatino Linotype"/>
                <w:bCs/>
                <w:noProof/>
                <w:sz w:val="20"/>
              </w:rPr>
              <w:fldChar w:fldCharType="end"/>
            </w:r>
          </w:p>
        </w:sdtContent>
      </w:sdt>
    </w:sdtContent>
  </w:sdt>
  <w:p w14:paraId="3F2C2FE9" w14:textId="77777777" w:rsidR="00D52A11" w:rsidRDefault="00D52A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D52A11" w:rsidRPr="000B69FA" w:rsidRDefault="00D52A11"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1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1FE">
      <w:rPr>
        <w:rFonts w:ascii="Palatino Linotype" w:hAnsi="Palatino Linotype"/>
        <w:bCs/>
        <w:noProof/>
        <w:sz w:val="20"/>
      </w:rPr>
      <w:t>32</w:t>
    </w:r>
    <w:r>
      <w:rPr>
        <w:rFonts w:ascii="Palatino Linotype" w:hAnsi="Palatino Linotype"/>
        <w:bCs/>
        <w:noProof/>
        <w:sz w:val="20"/>
      </w:rPr>
      <w:fldChar w:fldCharType="end"/>
    </w:r>
  </w:p>
  <w:p w14:paraId="5CFAB42E" w14:textId="77777777" w:rsidR="00D52A11" w:rsidRDefault="00D52A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C39DB" w14:textId="77777777" w:rsidR="00C94D97" w:rsidRDefault="00C94D97" w:rsidP="00947C3B">
      <w:r>
        <w:separator/>
      </w:r>
    </w:p>
  </w:footnote>
  <w:footnote w:type="continuationSeparator" w:id="0">
    <w:p w14:paraId="091F1BF3" w14:textId="77777777" w:rsidR="00C94D97" w:rsidRDefault="00C94D97" w:rsidP="00947C3B">
      <w:r>
        <w:continuationSeparator/>
      </w:r>
    </w:p>
  </w:footnote>
  <w:footnote w:id="1">
    <w:p w14:paraId="1F834D8D" w14:textId="77777777" w:rsidR="00D52A11" w:rsidRDefault="00D52A11" w:rsidP="006C0D60">
      <w:pPr>
        <w:pStyle w:val="Textonotapie"/>
      </w:pPr>
      <w:r>
        <w:rPr>
          <w:rStyle w:val="Refdenotaalpie"/>
        </w:rPr>
        <w:footnoteRef/>
      </w:r>
      <w:r>
        <w:t xml:space="preserve"> Convención Americana sobre Derechos Humanos. Artículo 13.</w:t>
      </w:r>
    </w:p>
  </w:footnote>
  <w:footnote w:id="2">
    <w:p w14:paraId="0B42E887" w14:textId="77777777" w:rsidR="00D52A11" w:rsidRDefault="00D52A11" w:rsidP="006C0D60">
      <w:pPr>
        <w:pStyle w:val="Textonotapie"/>
      </w:pPr>
      <w:r>
        <w:rPr>
          <w:rStyle w:val="Refdenotaalpie"/>
        </w:rPr>
        <w:footnoteRef/>
      </w:r>
      <w:r>
        <w:t xml:space="preserve"> Constitución Política de los Estados Unidos Mexicanos. Artículo sexto, sección A, Fracción I.</w:t>
      </w:r>
    </w:p>
  </w:footnote>
  <w:footnote w:id="3">
    <w:p w14:paraId="20DF2F67" w14:textId="77777777" w:rsidR="00D52A11" w:rsidRPr="00F411B8" w:rsidRDefault="00D52A11"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D2A4A47" w14:textId="77777777" w:rsidR="00D52A11" w:rsidRPr="00F411B8" w:rsidRDefault="00D52A11"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A7040B0" w14:textId="77777777" w:rsidR="00D52A11" w:rsidRDefault="00D52A11"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4F6E70EF" w14:textId="77777777" w:rsidR="00D52A11" w:rsidRDefault="00D52A11"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D52A11" w:rsidRDefault="00D52A11" w:rsidP="006C0D60">
      <w:pPr>
        <w:pStyle w:val="Textonotapie"/>
      </w:pPr>
      <w:r>
        <w:t>II. Eficacia: Obligación del Instituto para tutelar, de manera efectiva, el derecho de acceso a la información;</w:t>
      </w:r>
    </w:p>
    <w:p w14:paraId="2D7E4606" w14:textId="77777777" w:rsidR="00D52A11" w:rsidRDefault="00D52A11"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D52A11" w:rsidRDefault="00C94D9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835" w:type="dxa"/>
      <w:tblCellMar>
        <w:left w:w="70" w:type="dxa"/>
        <w:right w:w="70" w:type="dxa"/>
      </w:tblCellMar>
      <w:tblLook w:val="04A0" w:firstRow="1" w:lastRow="0" w:firstColumn="1" w:lastColumn="0" w:noHBand="0" w:noVBand="1"/>
    </w:tblPr>
    <w:tblGrid>
      <w:gridCol w:w="2976"/>
      <w:gridCol w:w="3828"/>
    </w:tblGrid>
    <w:tr w:rsidR="00D52A11" w14:paraId="10AE6F9E" w14:textId="77777777" w:rsidTr="006B6F23">
      <w:trPr>
        <w:trHeight w:val="227"/>
      </w:trPr>
      <w:tc>
        <w:tcPr>
          <w:tcW w:w="2976" w:type="dxa"/>
          <w:vAlign w:val="center"/>
          <w:hideMark/>
        </w:tcPr>
        <w:p w14:paraId="046C485E" w14:textId="77777777" w:rsidR="00D52A11" w:rsidRPr="00F46E4F" w:rsidRDefault="00D52A11" w:rsidP="00F46E4F">
          <w:pPr>
            <w:ind w:right="34"/>
            <w:jc w:val="right"/>
            <w:rPr>
              <w:rFonts w:ascii="Palatino Linotype" w:hAnsi="Palatino Linotype"/>
              <w:b/>
            </w:rPr>
          </w:pPr>
          <w:r w:rsidRPr="00F46E4F">
            <w:rPr>
              <w:rFonts w:ascii="Palatino Linotype" w:hAnsi="Palatino Linotype"/>
              <w:b/>
            </w:rPr>
            <w:t>Recurso de Revisión:</w:t>
          </w:r>
        </w:p>
      </w:tc>
      <w:tc>
        <w:tcPr>
          <w:tcW w:w="3828" w:type="dxa"/>
          <w:vAlign w:val="center"/>
          <w:hideMark/>
        </w:tcPr>
        <w:p w14:paraId="4920F6F2" w14:textId="4EE53C2E" w:rsidR="00D52A11" w:rsidRPr="00F46E4F" w:rsidRDefault="00D52A11" w:rsidP="00F46E4F">
          <w:pPr>
            <w:pStyle w:val="Encabezado"/>
            <w:rPr>
              <w:rFonts w:ascii="Palatino Linotype" w:hAnsi="Palatino Linotype"/>
              <w:color w:val="000000" w:themeColor="text1"/>
            </w:rPr>
          </w:pPr>
          <w:r w:rsidRPr="00F46E4F">
            <w:rPr>
              <w:rFonts w:ascii="Palatino Linotype" w:hAnsi="Palatino Linotype" w:cs="Arial"/>
              <w:bCs/>
              <w:color w:val="000000" w:themeColor="text1"/>
              <w:lang w:eastAsia="es-MX"/>
            </w:rPr>
            <w:t>05108/INFOEM/IP/RR/2025</w:t>
          </w:r>
        </w:p>
      </w:tc>
    </w:tr>
    <w:tr w:rsidR="00D52A11" w14:paraId="700CAD85" w14:textId="77777777" w:rsidTr="006B6F23">
      <w:trPr>
        <w:trHeight w:val="242"/>
      </w:trPr>
      <w:tc>
        <w:tcPr>
          <w:tcW w:w="2976" w:type="dxa"/>
          <w:vAlign w:val="center"/>
          <w:hideMark/>
        </w:tcPr>
        <w:p w14:paraId="0EFCC1BD" w14:textId="77777777" w:rsidR="00D52A11" w:rsidRPr="00F46E4F" w:rsidRDefault="00D52A11" w:rsidP="00F46E4F">
          <w:pPr>
            <w:ind w:right="34"/>
            <w:jc w:val="right"/>
            <w:rPr>
              <w:rFonts w:ascii="Palatino Linotype" w:hAnsi="Palatino Linotype"/>
              <w:b/>
            </w:rPr>
          </w:pPr>
          <w:r w:rsidRPr="00F46E4F">
            <w:rPr>
              <w:rFonts w:ascii="Palatino Linotype" w:hAnsi="Palatino Linotype"/>
              <w:b/>
            </w:rPr>
            <w:t>Sujeto Obligado:</w:t>
          </w:r>
        </w:p>
      </w:tc>
      <w:tc>
        <w:tcPr>
          <w:tcW w:w="3828" w:type="dxa"/>
          <w:vAlign w:val="center"/>
          <w:hideMark/>
        </w:tcPr>
        <w:p w14:paraId="11A13220" w14:textId="4D35AB9A" w:rsidR="00D52A11" w:rsidRPr="00F46E4F" w:rsidRDefault="00D52A11" w:rsidP="00F46E4F">
          <w:pPr>
            <w:pStyle w:val="Encabezado"/>
            <w:jc w:val="both"/>
            <w:rPr>
              <w:rFonts w:ascii="Palatino Linotype" w:hAnsi="Palatino Linotype"/>
              <w:color w:val="000000" w:themeColor="text1"/>
            </w:rPr>
          </w:pPr>
          <w:r w:rsidRPr="00F46E4F">
            <w:rPr>
              <w:rFonts w:ascii="Palatino Linotype" w:hAnsi="Palatino Linotype"/>
              <w:color w:val="000000" w:themeColor="text1"/>
            </w:rPr>
            <w:t>Ayuntamiento de Zinacantepec</w:t>
          </w:r>
        </w:p>
      </w:tc>
    </w:tr>
    <w:tr w:rsidR="00D52A11" w14:paraId="459034F1" w14:textId="77777777" w:rsidTr="006B6F23">
      <w:trPr>
        <w:trHeight w:val="342"/>
      </w:trPr>
      <w:tc>
        <w:tcPr>
          <w:tcW w:w="2976" w:type="dxa"/>
          <w:vAlign w:val="center"/>
          <w:hideMark/>
        </w:tcPr>
        <w:p w14:paraId="3169B47D" w14:textId="77777777" w:rsidR="00D52A11" w:rsidRPr="00F46E4F" w:rsidRDefault="00D52A11" w:rsidP="00F46E4F">
          <w:pPr>
            <w:ind w:right="34"/>
            <w:jc w:val="right"/>
            <w:rPr>
              <w:rFonts w:ascii="Palatino Linotype" w:hAnsi="Palatino Linotype"/>
              <w:b/>
            </w:rPr>
          </w:pPr>
          <w:r w:rsidRPr="00F46E4F">
            <w:rPr>
              <w:rFonts w:ascii="Palatino Linotype" w:hAnsi="Palatino Linotype"/>
              <w:b/>
            </w:rPr>
            <w:t>Comisionada Ponente:</w:t>
          </w:r>
        </w:p>
      </w:tc>
      <w:tc>
        <w:tcPr>
          <w:tcW w:w="3828" w:type="dxa"/>
          <w:vAlign w:val="center"/>
          <w:hideMark/>
        </w:tcPr>
        <w:p w14:paraId="3F3DEBEA" w14:textId="77777777" w:rsidR="00D52A11" w:rsidRPr="00F46E4F" w:rsidRDefault="00D52A11" w:rsidP="00F46E4F">
          <w:pPr>
            <w:pStyle w:val="Encabezado"/>
            <w:rPr>
              <w:rFonts w:ascii="Palatino Linotype" w:hAnsi="Palatino Linotype"/>
              <w:color w:val="000000" w:themeColor="text1"/>
            </w:rPr>
          </w:pPr>
          <w:r w:rsidRPr="00F46E4F">
            <w:rPr>
              <w:rFonts w:ascii="Palatino Linotype" w:hAnsi="Palatino Linotype"/>
              <w:color w:val="000000" w:themeColor="text1"/>
            </w:rPr>
            <w:t>María del Rosario Mejía Ayala</w:t>
          </w:r>
        </w:p>
      </w:tc>
    </w:tr>
  </w:tbl>
  <w:p w14:paraId="484BDF96" w14:textId="77777777" w:rsidR="00D52A11" w:rsidRPr="00AE046A" w:rsidRDefault="00C94D9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8.2pt;margin-top:-123.7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119" w:type="dxa"/>
      <w:tblCellMar>
        <w:left w:w="70" w:type="dxa"/>
        <w:right w:w="70" w:type="dxa"/>
      </w:tblCellMar>
      <w:tblLook w:val="04A0" w:firstRow="1" w:lastRow="0" w:firstColumn="1" w:lastColumn="0" w:noHBand="0" w:noVBand="1"/>
    </w:tblPr>
    <w:tblGrid>
      <w:gridCol w:w="2977"/>
      <w:gridCol w:w="3827"/>
    </w:tblGrid>
    <w:tr w:rsidR="00D52A11" w14:paraId="524ADC4D" w14:textId="77777777" w:rsidTr="006B6F23">
      <w:trPr>
        <w:trHeight w:val="227"/>
      </w:trPr>
      <w:tc>
        <w:tcPr>
          <w:tcW w:w="2977" w:type="dxa"/>
          <w:vAlign w:val="center"/>
          <w:hideMark/>
        </w:tcPr>
        <w:p w14:paraId="590A2358" w14:textId="77777777" w:rsidR="00D52A11" w:rsidRPr="00F46E4F" w:rsidRDefault="00D52A11" w:rsidP="00F46E4F">
          <w:pPr>
            <w:jc w:val="right"/>
            <w:rPr>
              <w:rFonts w:ascii="Palatino Linotype" w:hAnsi="Palatino Linotype"/>
              <w:b/>
            </w:rPr>
          </w:pPr>
          <w:r w:rsidRPr="00F46E4F">
            <w:rPr>
              <w:rFonts w:ascii="Palatino Linotype" w:hAnsi="Palatino Linotype"/>
              <w:b/>
            </w:rPr>
            <w:t>Recurso de Revisión:</w:t>
          </w:r>
        </w:p>
      </w:tc>
      <w:tc>
        <w:tcPr>
          <w:tcW w:w="3827" w:type="dxa"/>
          <w:vAlign w:val="center"/>
          <w:hideMark/>
        </w:tcPr>
        <w:p w14:paraId="74FABDA8" w14:textId="0E471F9E" w:rsidR="00D52A11" w:rsidRPr="00F46E4F" w:rsidRDefault="00D52A11" w:rsidP="00F46E4F">
          <w:pPr>
            <w:pStyle w:val="Encabezado"/>
            <w:rPr>
              <w:rFonts w:ascii="Palatino Linotype" w:hAnsi="Palatino Linotype"/>
            </w:rPr>
          </w:pPr>
          <w:r w:rsidRPr="00F46E4F">
            <w:rPr>
              <w:rFonts w:ascii="Palatino Linotype" w:hAnsi="Palatino Linotype" w:cs="Arial"/>
              <w:bCs/>
              <w:lang w:eastAsia="es-MX"/>
            </w:rPr>
            <w:t>05108/INFOEM/IP/RR/2025</w:t>
          </w:r>
        </w:p>
      </w:tc>
    </w:tr>
    <w:tr w:rsidR="00D52A11" w14:paraId="579BAB32" w14:textId="77777777" w:rsidTr="006B6F23">
      <w:trPr>
        <w:trHeight w:val="242"/>
      </w:trPr>
      <w:tc>
        <w:tcPr>
          <w:tcW w:w="2977" w:type="dxa"/>
          <w:vAlign w:val="center"/>
          <w:hideMark/>
        </w:tcPr>
        <w:p w14:paraId="1CF262FF" w14:textId="77777777" w:rsidR="00D52A11" w:rsidRPr="00F46E4F" w:rsidRDefault="00D52A11" w:rsidP="00F46E4F">
          <w:pPr>
            <w:jc w:val="right"/>
            <w:rPr>
              <w:rFonts w:ascii="Palatino Linotype" w:hAnsi="Palatino Linotype"/>
              <w:b/>
            </w:rPr>
          </w:pPr>
          <w:r w:rsidRPr="00F46E4F">
            <w:rPr>
              <w:rFonts w:ascii="Palatino Linotype" w:hAnsi="Palatino Linotype"/>
              <w:b/>
            </w:rPr>
            <w:t>Recurrente:</w:t>
          </w:r>
        </w:p>
      </w:tc>
      <w:tc>
        <w:tcPr>
          <w:tcW w:w="3827" w:type="dxa"/>
          <w:hideMark/>
        </w:tcPr>
        <w:p w14:paraId="19CC8F21" w14:textId="11235738" w:rsidR="00D52A11" w:rsidRPr="00F46E4F" w:rsidRDefault="00D52A11" w:rsidP="00F46E4F">
          <w:pPr>
            <w:pStyle w:val="Encabezado"/>
            <w:tabs>
              <w:tab w:val="left" w:pos="521"/>
            </w:tabs>
            <w:rPr>
              <w:rFonts w:ascii="Palatino Linotype" w:hAnsi="Palatino Linotype"/>
            </w:rPr>
          </w:pPr>
        </w:p>
      </w:tc>
    </w:tr>
    <w:tr w:rsidR="00D52A11" w14:paraId="11EF809E" w14:textId="77777777" w:rsidTr="006B6F23">
      <w:trPr>
        <w:trHeight w:val="342"/>
      </w:trPr>
      <w:tc>
        <w:tcPr>
          <w:tcW w:w="2977" w:type="dxa"/>
          <w:vAlign w:val="center"/>
        </w:tcPr>
        <w:p w14:paraId="0A037E93" w14:textId="77777777" w:rsidR="00D52A11" w:rsidRPr="00F46E4F" w:rsidRDefault="00D52A11" w:rsidP="00F46E4F">
          <w:pPr>
            <w:jc w:val="right"/>
            <w:rPr>
              <w:rFonts w:ascii="Palatino Linotype" w:hAnsi="Palatino Linotype"/>
              <w:b/>
            </w:rPr>
          </w:pPr>
          <w:r w:rsidRPr="00F46E4F">
            <w:rPr>
              <w:rFonts w:ascii="Palatino Linotype" w:hAnsi="Palatino Linotype"/>
              <w:b/>
            </w:rPr>
            <w:t>Sujeto Obligado:</w:t>
          </w:r>
        </w:p>
      </w:tc>
      <w:tc>
        <w:tcPr>
          <w:tcW w:w="3827" w:type="dxa"/>
          <w:vAlign w:val="center"/>
        </w:tcPr>
        <w:p w14:paraId="431B85F9" w14:textId="68E7EE43" w:rsidR="00D52A11" w:rsidRPr="00F46E4F" w:rsidRDefault="00D52A11" w:rsidP="00F46E4F">
          <w:pPr>
            <w:pStyle w:val="Encabezado"/>
            <w:jc w:val="both"/>
            <w:rPr>
              <w:rFonts w:ascii="Palatino Linotype" w:hAnsi="Palatino Linotype"/>
            </w:rPr>
          </w:pPr>
          <w:r w:rsidRPr="00F46E4F">
            <w:rPr>
              <w:rFonts w:ascii="Palatino Linotype" w:hAnsi="Palatino Linotype"/>
              <w:bCs/>
              <w:color w:val="000000"/>
            </w:rPr>
            <w:t>Ayuntamiento de Zinacantepec</w:t>
          </w:r>
        </w:p>
      </w:tc>
    </w:tr>
    <w:tr w:rsidR="00D52A11" w14:paraId="61FC427B" w14:textId="77777777" w:rsidTr="006B6F23">
      <w:trPr>
        <w:trHeight w:val="342"/>
      </w:trPr>
      <w:tc>
        <w:tcPr>
          <w:tcW w:w="2977" w:type="dxa"/>
          <w:vAlign w:val="center"/>
        </w:tcPr>
        <w:p w14:paraId="2C25FB1A" w14:textId="77777777" w:rsidR="00D52A11" w:rsidRPr="00F46E4F" w:rsidRDefault="00D52A11" w:rsidP="00F46E4F">
          <w:pPr>
            <w:jc w:val="right"/>
            <w:rPr>
              <w:rFonts w:ascii="Palatino Linotype" w:hAnsi="Palatino Linotype"/>
              <w:b/>
            </w:rPr>
          </w:pPr>
          <w:r w:rsidRPr="00F46E4F">
            <w:rPr>
              <w:rFonts w:ascii="Palatino Linotype" w:hAnsi="Palatino Linotype"/>
              <w:b/>
            </w:rPr>
            <w:t>Comisionada Ponente:</w:t>
          </w:r>
        </w:p>
      </w:tc>
      <w:tc>
        <w:tcPr>
          <w:tcW w:w="3827" w:type="dxa"/>
          <w:vAlign w:val="center"/>
        </w:tcPr>
        <w:p w14:paraId="481ED5C8" w14:textId="77777777" w:rsidR="00D52A11" w:rsidRPr="00F46E4F" w:rsidRDefault="00D52A11" w:rsidP="00F46E4F">
          <w:pPr>
            <w:pStyle w:val="Encabezado"/>
            <w:rPr>
              <w:rFonts w:ascii="Palatino Linotype" w:hAnsi="Palatino Linotype"/>
            </w:rPr>
          </w:pPr>
          <w:r w:rsidRPr="00F46E4F">
            <w:rPr>
              <w:rFonts w:ascii="Palatino Linotype" w:hAnsi="Palatino Linotype"/>
            </w:rPr>
            <w:t>María del Rosario Mejía Ayala</w:t>
          </w:r>
        </w:p>
      </w:tc>
    </w:tr>
  </w:tbl>
  <w:p w14:paraId="258F46F2" w14:textId="77777777" w:rsidR="00D52A11" w:rsidRPr="00C222C0" w:rsidRDefault="00C94D9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70.1pt;margin-top:-120.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C190FEC"/>
    <w:multiLevelType w:val="hybridMultilevel"/>
    <w:tmpl w:val="5CFEF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12C20FA"/>
    <w:multiLevelType w:val="multilevel"/>
    <w:tmpl w:val="80860F9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E50E004"/>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15:restartNumberingAfterBreak="0">
    <w:nsid w:val="57ED6FB8"/>
    <w:multiLevelType w:val="hybridMultilevel"/>
    <w:tmpl w:val="373ECF2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60212099"/>
    <w:multiLevelType w:val="multilevel"/>
    <w:tmpl w:val="6C44F6AA"/>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7"/>
  </w:num>
  <w:num w:numId="2">
    <w:abstractNumId w:val="12"/>
  </w:num>
  <w:num w:numId="3">
    <w:abstractNumId w:val="13"/>
  </w:num>
  <w:num w:numId="4">
    <w:abstractNumId w:val="9"/>
  </w:num>
  <w:num w:numId="5">
    <w:abstractNumId w:val="2"/>
  </w:num>
  <w:num w:numId="6">
    <w:abstractNumId w:val="4"/>
  </w:num>
  <w:num w:numId="7">
    <w:abstractNumId w:val="1"/>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6"/>
  </w:num>
  <w:num w:numId="13">
    <w:abstractNumId w:val="15"/>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14"/>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7037A"/>
    <w:rsid w:val="0007225A"/>
    <w:rsid w:val="00087920"/>
    <w:rsid w:val="00091C25"/>
    <w:rsid w:val="00094E89"/>
    <w:rsid w:val="0009753E"/>
    <w:rsid w:val="000A457F"/>
    <w:rsid w:val="000B1E1A"/>
    <w:rsid w:val="000B31BE"/>
    <w:rsid w:val="000B4836"/>
    <w:rsid w:val="000C5E70"/>
    <w:rsid w:val="000D0A0A"/>
    <w:rsid w:val="000E337A"/>
    <w:rsid w:val="000E4CEE"/>
    <w:rsid w:val="000E6238"/>
    <w:rsid w:val="000E62C2"/>
    <w:rsid w:val="000E7DB1"/>
    <w:rsid w:val="000F1087"/>
    <w:rsid w:val="000F3BFD"/>
    <w:rsid w:val="000F7E04"/>
    <w:rsid w:val="00110A2B"/>
    <w:rsid w:val="001173EF"/>
    <w:rsid w:val="00117ECD"/>
    <w:rsid w:val="0012027D"/>
    <w:rsid w:val="0012267C"/>
    <w:rsid w:val="00145A9D"/>
    <w:rsid w:val="0015089C"/>
    <w:rsid w:val="001617FC"/>
    <w:rsid w:val="00170CCF"/>
    <w:rsid w:val="00182DDF"/>
    <w:rsid w:val="00183490"/>
    <w:rsid w:val="00186EC3"/>
    <w:rsid w:val="00193D79"/>
    <w:rsid w:val="001A2615"/>
    <w:rsid w:val="001A4926"/>
    <w:rsid w:val="001A7D36"/>
    <w:rsid w:val="001B2B33"/>
    <w:rsid w:val="001B7993"/>
    <w:rsid w:val="001B7FBD"/>
    <w:rsid w:val="001D1281"/>
    <w:rsid w:val="001D1FB9"/>
    <w:rsid w:val="001E4DDB"/>
    <w:rsid w:val="001F6A02"/>
    <w:rsid w:val="00201F0C"/>
    <w:rsid w:val="0020235D"/>
    <w:rsid w:val="00202805"/>
    <w:rsid w:val="0021064F"/>
    <w:rsid w:val="002124C5"/>
    <w:rsid w:val="00213F35"/>
    <w:rsid w:val="00220F11"/>
    <w:rsid w:val="0023187D"/>
    <w:rsid w:val="00231E77"/>
    <w:rsid w:val="00243834"/>
    <w:rsid w:val="00244077"/>
    <w:rsid w:val="0024462E"/>
    <w:rsid w:val="00250F40"/>
    <w:rsid w:val="00257347"/>
    <w:rsid w:val="002574BE"/>
    <w:rsid w:val="00270528"/>
    <w:rsid w:val="002714A4"/>
    <w:rsid w:val="002736A7"/>
    <w:rsid w:val="00282EA6"/>
    <w:rsid w:val="0028796B"/>
    <w:rsid w:val="002926F2"/>
    <w:rsid w:val="00295534"/>
    <w:rsid w:val="00296539"/>
    <w:rsid w:val="002A3EE3"/>
    <w:rsid w:val="002A7860"/>
    <w:rsid w:val="002B002A"/>
    <w:rsid w:val="002B117D"/>
    <w:rsid w:val="002E6729"/>
    <w:rsid w:val="002E6B14"/>
    <w:rsid w:val="00300B38"/>
    <w:rsid w:val="003151F2"/>
    <w:rsid w:val="0032243D"/>
    <w:rsid w:val="00323ABF"/>
    <w:rsid w:val="003274B8"/>
    <w:rsid w:val="003310EF"/>
    <w:rsid w:val="00337296"/>
    <w:rsid w:val="00341DB5"/>
    <w:rsid w:val="00345DB5"/>
    <w:rsid w:val="00346D45"/>
    <w:rsid w:val="003505DC"/>
    <w:rsid w:val="00353125"/>
    <w:rsid w:val="00354C09"/>
    <w:rsid w:val="00362AAF"/>
    <w:rsid w:val="00373197"/>
    <w:rsid w:val="003812E3"/>
    <w:rsid w:val="00387FAA"/>
    <w:rsid w:val="00390A21"/>
    <w:rsid w:val="003A010E"/>
    <w:rsid w:val="003A4C01"/>
    <w:rsid w:val="003B1A04"/>
    <w:rsid w:val="003B2BC8"/>
    <w:rsid w:val="003B304A"/>
    <w:rsid w:val="003B5E7B"/>
    <w:rsid w:val="003C4A87"/>
    <w:rsid w:val="003C4C55"/>
    <w:rsid w:val="003C56CC"/>
    <w:rsid w:val="003C7116"/>
    <w:rsid w:val="003D22E3"/>
    <w:rsid w:val="003D631A"/>
    <w:rsid w:val="003E5C79"/>
    <w:rsid w:val="003F7639"/>
    <w:rsid w:val="004016F0"/>
    <w:rsid w:val="004027AF"/>
    <w:rsid w:val="00407F62"/>
    <w:rsid w:val="0041452A"/>
    <w:rsid w:val="00414573"/>
    <w:rsid w:val="00416BD1"/>
    <w:rsid w:val="004174B7"/>
    <w:rsid w:val="004326FA"/>
    <w:rsid w:val="00432F10"/>
    <w:rsid w:val="00436406"/>
    <w:rsid w:val="004378B2"/>
    <w:rsid w:val="004425EC"/>
    <w:rsid w:val="0044458C"/>
    <w:rsid w:val="004508A5"/>
    <w:rsid w:val="004530C4"/>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07A59"/>
    <w:rsid w:val="0051018B"/>
    <w:rsid w:val="0051023C"/>
    <w:rsid w:val="00523F17"/>
    <w:rsid w:val="00525A59"/>
    <w:rsid w:val="00525D73"/>
    <w:rsid w:val="00540467"/>
    <w:rsid w:val="00555CCB"/>
    <w:rsid w:val="00575D90"/>
    <w:rsid w:val="00576568"/>
    <w:rsid w:val="00582749"/>
    <w:rsid w:val="0058280F"/>
    <w:rsid w:val="00583555"/>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95A01"/>
    <w:rsid w:val="006965A1"/>
    <w:rsid w:val="00697547"/>
    <w:rsid w:val="006A2326"/>
    <w:rsid w:val="006A284C"/>
    <w:rsid w:val="006B0BBB"/>
    <w:rsid w:val="006B5DD4"/>
    <w:rsid w:val="006B6293"/>
    <w:rsid w:val="006B6F23"/>
    <w:rsid w:val="006C0042"/>
    <w:rsid w:val="006C0D60"/>
    <w:rsid w:val="006C194C"/>
    <w:rsid w:val="006C26B3"/>
    <w:rsid w:val="006C38AA"/>
    <w:rsid w:val="006C4519"/>
    <w:rsid w:val="006E01FE"/>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21B7"/>
    <w:rsid w:val="007A3AD3"/>
    <w:rsid w:val="007A629C"/>
    <w:rsid w:val="007B20F5"/>
    <w:rsid w:val="007B22F6"/>
    <w:rsid w:val="007B2537"/>
    <w:rsid w:val="007C0820"/>
    <w:rsid w:val="007C76F4"/>
    <w:rsid w:val="007D0496"/>
    <w:rsid w:val="007D4EB8"/>
    <w:rsid w:val="007D6876"/>
    <w:rsid w:val="007E0D11"/>
    <w:rsid w:val="007E1957"/>
    <w:rsid w:val="007F2CBF"/>
    <w:rsid w:val="007F2F0D"/>
    <w:rsid w:val="008041C1"/>
    <w:rsid w:val="00810F9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22"/>
    <w:rsid w:val="00861658"/>
    <w:rsid w:val="008645A7"/>
    <w:rsid w:val="00871548"/>
    <w:rsid w:val="00872142"/>
    <w:rsid w:val="00876AAB"/>
    <w:rsid w:val="008809BF"/>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D655B"/>
    <w:rsid w:val="008E2C92"/>
    <w:rsid w:val="008E53E2"/>
    <w:rsid w:val="008F0527"/>
    <w:rsid w:val="008F2CA7"/>
    <w:rsid w:val="00902F51"/>
    <w:rsid w:val="00904950"/>
    <w:rsid w:val="009059B4"/>
    <w:rsid w:val="00906612"/>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927"/>
    <w:rsid w:val="00971D71"/>
    <w:rsid w:val="00971E2D"/>
    <w:rsid w:val="009779EC"/>
    <w:rsid w:val="009927BF"/>
    <w:rsid w:val="009A1041"/>
    <w:rsid w:val="009A47A2"/>
    <w:rsid w:val="009A69B5"/>
    <w:rsid w:val="009A6CD4"/>
    <w:rsid w:val="009B3001"/>
    <w:rsid w:val="009B4B73"/>
    <w:rsid w:val="009D3983"/>
    <w:rsid w:val="009D3E7B"/>
    <w:rsid w:val="009D7C5B"/>
    <w:rsid w:val="009E04DF"/>
    <w:rsid w:val="009E43FB"/>
    <w:rsid w:val="009E4878"/>
    <w:rsid w:val="009E5AB2"/>
    <w:rsid w:val="009E5F74"/>
    <w:rsid w:val="009E7218"/>
    <w:rsid w:val="009F0934"/>
    <w:rsid w:val="009F5DBA"/>
    <w:rsid w:val="009F61C2"/>
    <w:rsid w:val="00A03B97"/>
    <w:rsid w:val="00A05153"/>
    <w:rsid w:val="00A051B3"/>
    <w:rsid w:val="00A068EA"/>
    <w:rsid w:val="00A102A9"/>
    <w:rsid w:val="00A14579"/>
    <w:rsid w:val="00A305C9"/>
    <w:rsid w:val="00A37FE1"/>
    <w:rsid w:val="00A4621F"/>
    <w:rsid w:val="00A52A22"/>
    <w:rsid w:val="00A560AE"/>
    <w:rsid w:val="00A5699A"/>
    <w:rsid w:val="00A5732F"/>
    <w:rsid w:val="00A579E0"/>
    <w:rsid w:val="00A611B1"/>
    <w:rsid w:val="00A61639"/>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132D"/>
    <w:rsid w:val="00B03CB8"/>
    <w:rsid w:val="00B06227"/>
    <w:rsid w:val="00B160EF"/>
    <w:rsid w:val="00B20FF8"/>
    <w:rsid w:val="00B21AE5"/>
    <w:rsid w:val="00B24725"/>
    <w:rsid w:val="00B302F6"/>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74FD"/>
    <w:rsid w:val="00BC1ECF"/>
    <w:rsid w:val="00BC2E4D"/>
    <w:rsid w:val="00BD0375"/>
    <w:rsid w:val="00BD550C"/>
    <w:rsid w:val="00BE7CD2"/>
    <w:rsid w:val="00BF4058"/>
    <w:rsid w:val="00C02534"/>
    <w:rsid w:val="00C07D34"/>
    <w:rsid w:val="00C11B27"/>
    <w:rsid w:val="00C12AB8"/>
    <w:rsid w:val="00C16D24"/>
    <w:rsid w:val="00C21D25"/>
    <w:rsid w:val="00C26B63"/>
    <w:rsid w:val="00C27016"/>
    <w:rsid w:val="00C306A5"/>
    <w:rsid w:val="00C43820"/>
    <w:rsid w:val="00C44421"/>
    <w:rsid w:val="00C47088"/>
    <w:rsid w:val="00C47A4B"/>
    <w:rsid w:val="00C52CCF"/>
    <w:rsid w:val="00C65E85"/>
    <w:rsid w:val="00C8259C"/>
    <w:rsid w:val="00C862A5"/>
    <w:rsid w:val="00C86A6F"/>
    <w:rsid w:val="00C8730C"/>
    <w:rsid w:val="00C94D97"/>
    <w:rsid w:val="00C95DEC"/>
    <w:rsid w:val="00C96D93"/>
    <w:rsid w:val="00C97223"/>
    <w:rsid w:val="00CA0529"/>
    <w:rsid w:val="00CA1D2E"/>
    <w:rsid w:val="00CA2FE8"/>
    <w:rsid w:val="00CA3F0F"/>
    <w:rsid w:val="00CA3F55"/>
    <w:rsid w:val="00CB1F02"/>
    <w:rsid w:val="00CB5220"/>
    <w:rsid w:val="00CB7F04"/>
    <w:rsid w:val="00CC0DEE"/>
    <w:rsid w:val="00CC2BA9"/>
    <w:rsid w:val="00CC3807"/>
    <w:rsid w:val="00CD4875"/>
    <w:rsid w:val="00CD4A41"/>
    <w:rsid w:val="00CD6CD8"/>
    <w:rsid w:val="00CE2522"/>
    <w:rsid w:val="00CE2AF9"/>
    <w:rsid w:val="00CE572E"/>
    <w:rsid w:val="00CE5F01"/>
    <w:rsid w:val="00CE6F0C"/>
    <w:rsid w:val="00CF045D"/>
    <w:rsid w:val="00CF3848"/>
    <w:rsid w:val="00CF4C30"/>
    <w:rsid w:val="00D0123C"/>
    <w:rsid w:val="00D01E18"/>
    <w:rsid w:val="00D0725E"/>
    <w:rsid w:val="00D14B83"/>
    <w:rsid w:val="00D177AD"/>
    <w:rsid w:val="00D2171B"/>
    <w:rsid w:val="00D224B4"/>
    <w:rsid w:val="00D2278B"/>
    <w:rsid w:val="00D27A84"/>
    <w:rsid w:val="00D332BC"/>
    <w:rsid w:val="00D3761C"/>
    <w:rsid w:val="00D40BA9"/>
    <w:rsid w:val="00D50D01"/>
    <w:rsid w:val="00D51815"/>
    <w:rsid w:val="00D52A11"/>
    <w:rsid w:val="00D5494C"/>
    <w:rsid w:val="00D549B8"/>
    <w:rsid w:val="00D56BEC"/>
    <w:rsid w:val="00D61B92"/>
    <w:rsid w:val="00D723F7"/>
    <w:rsid w:val="00D7305D"/>
    <w:rsid w:val="00D80954"/>
    <w:rsid w:val="00DA0C08"/>
    <w:rsid w:val="00DA13F3"/>
    <w:rsid w:val="00DA5EB8"/>
    <w:rsid w:val="00DB3F94"/>
    <w:rsid w:val="00DB41ED"/>
    <w:rsid w:val="00DB6596"/>
    <w:rsid w:val="00DC3309"/>
    <w:rsid w:val="00DD28F1"/>
    <w:rsid w:val="00DD66E3"/>
    <w:rsid w:val="00E0091E"/>
    <w:rsid w:val="00E00AEB"/>
    <w:rsid w:val="00E03B45"/>
    <w:rsid w:val="00E048E2"/>
    <w:rsid w:val="00E10267"/>
    <w:rsid w:val="00E10C49"/>
    <w:rsid w:val="00E15231"/>
    <w:rsid w:val="00E16CC7"/>
    <w:rsid w:val="00E31399"/>
    <w:rsid w:val="00E319A7"/>
    <w:rsid w:val="00E37317"/>
    <w:rsid w:val="00E423BF"/>
    <w:rsid w:val="00E46171"/>
    <w:rsid w:val="00E47E94"/>
    <w:rsid w:val="00E50425"/>
    <w:rsid w:val="00E530B7"/>
    <w:rsid w:val="00E6230C"/>
    <w:rsid w:val="00E7267D"/>
    <w:rsid w:val="00E74CE1"/>
    <w:rsid w:val="00E82518"/>
    <w:rsid w:val="00E85A61"/>
    <w:rsid w:val="00E876A9"/>
    <w:rsid w:val="00E925BD"/>
    <w:rsid w:val="00E92E1B"/>
    <w:rsid w:val="00EA38A3"/>
    <w:rsid w:val="00EA627D"/>
    <w:rsid w:val="00EA6CE3"/>
    <w:rsid w:val="00EB5AC6"/>
    <w:rsid w:val="00EC1825"/>
    <w:rsid w:val="00EC3AAC"/>
    <w:rsid w:val="00ED159A"/>
    <w:rsid w:val="00ED3790"/>
    <w:rsid w:val="00ED6C32"/>
    <w:rsid w:val="00EE6E9E"/>
    <w:rsid w:val="00EF10D3"/>
    <w:rsid w:val="00F0290D"/>
    <w:rsid w:val="00F0638E"/>
    <w:rsid w:val="00F10B6D"/>
    <w:rsid w:val="00F1410A"/>
    <w:rsid w:val="00F37F8C"/>
    <w:rsid w:val="00F43A8B"/>
    <w:rsid w:val="00F43CF8"/>
    <w:rsid w:val="00F443D1"/>
    <w:rsid w:val="00F46CF8"/>
    <w:rsid w:val="00F46E4F"/>
    <w:rsid w:val="00F479F3"/>
    <w:rsid w:val="00F644C2"/>
    <w:rsid w:val="00F6469F"/>
    <w:rsid w:val="00F65804"/>
    <w:rsid w:val="00F72B3D"/>
    <w:rsid w:val="00F823B8"/>
    <w:rsid w:val="00F91BC6"/>
    <w:rsid w:val="00F9573F"/>
    <w:rsid w:val="00F97B2C"/>
    <w:rsid w:val="00FA24B6"/>
    <w:rsid w:val="00FA3831"/>
    <w:rsid w:val="00FA6577"/>
    <w:rsid w:val="00FB2FB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EF9DAEC0-9F16-4CF7-B651-DF8205E9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6852</Words>
  <Characters>37687</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14</cp:revision>
  <cp:lastPrinted>2025-10-03T00:07:00Z</cp:lastPrinted>
  <dcterms:created xsi:type="dcterms:W3CDTF">2025-09-25T17:11:00Z</dcterms:created>
  <dcterms:modified xsi:type="dcterms:W3CDTF">2025-11-06T18:47:00Z</dcterms:modified>
</cp:coreProperties>
</file>