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712DC5"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bookmarkStart w:id="0" w:name="_GoBack"/>
      <w:bookmarkEnd w:id="0"/>
      <w:r w:rsidRPr="00A66F1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A66F1A">
        <w:rPr>
          <w:rFonts w:ascii="Palatino Linotype" w:eastAsia="Palatino Linotype" w:hAnsi="Palatino Linotype" w:cs="Palatino Linotype"/>
          <w:b/>
          <w:bCs/>
          <w:sz w:val="22"/>
          <w:szCs w:val="22"/>
        </w:rPr>
        <w:t>veinte de noviembre de dos mil veinticinco.</w:t>
      </w:r>
    </w:p>
    <w:p w14:paraId="7BF5C72A" w14:textId="77777777" w:rsidR="00F566FC" w:rsidRPr="00A66F1A" w:rsidRDefault="00F566FC">
      <w:pPr>
        <w:spacing w:line="360" w:lineRule="auto"/>
        <w:ind w:right="49"/>
        <w:jc w:val="both"/>
        <w:rPr>
          <w:rFonts w:ascii="Palatino Linotype" w:eastAsia="Palatino Linotype" w:hAnsi="Palatino Linotype" w:cs="Palatino Linotype"/>
          <w:sz w:val="22"/>
          <w:szCs w:val="22"/>
        </w:rPr>
      </w:pPr>
    </w:p>
    <w:p w14:paraId="1EE685FA"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 xml:space="preserve">VISTO </w:t>
      </w:r>
      <w:r w:rsidRPr="00A66F1A">
        <w:rPr>
          <w:rFonts w:ascii="Palatino Linotype" w:eastAsia="Palatino Linotype" w:hAnsi="Palatino Linotype" w:cs="Palatino Linotype"/>
          <w:sz w:val="22"/>
          <w:szCs w:val="22"/>
        </w:rPr>
        <w:t xml:space="preserve">el expediente relativo al recurso de revisión </w:t>
      </w:r>
      <w:r w:rsidRPr="00A66F1A">
        <w:rPr>
          <w:rFonts w:ascii="Palatino Linotype" w:eastAsia="Palatino Linotype" w:hAnsi="Palatino Linotype" w:cs="Palatino Linotype"/>
          <w:b/>
          <w:bCs/>
          <w:sz w:val="22"/>
          <w:szCs w:val="22"/>
        </w:rPr>
        <w:t xml:space="preserve">06864/INFOEM/IP/RR/2025, </w:t>
      </w:r>
      <w:r w:rsidRPr="00A66F1A">
        <w:rPr>
          <w:rFonts w:ascii="Palatino Linotype" w:eastAsia="Palatino Linotype" w:hAnsi="Palatino Linotype" w:cs="Palatino Linotype"/>
          <w:sz w:val="22"/>
          <w:szCs w:val="22"/>
        </w:rPr>
        <w:t xml:space="preserve">interpuesto por un </w:t>
      </w:r>
      <w:r w:rsidRPr="00A66F1A">
        <w:rPr>
          <w:rFonts w:ascii="Palatino Linotype" w:eastAsia="Palatino Linotype" w:hAnsi="Palatino Linotype" w:cs="Palatino Linotype"/>
          <w:b/>
          <w:bCs/>
          <w:sz w:val="22"/>
          <w:szCs w:val="22"/>
        </w:rPr>
        <w:t>Usuario que no proporcionó su nombre</w:t>
      </w:r>
      <w:r w:rsidRPr="00A66F1A">
        <w:rPr>
          <w:rFonts w:ascii="Palatino Linotype" w:eastAsia="Palatino Linotype" w:hAnsi="Palatino Linotype" w:cs="Palatino Linotype"/>
          <w:sz w:val="22"/>
          <w:szCs w:val="22"/>
        </w:rPr>
        <w:t xml:space="preserve">, en lo sucesivo la parte </w:t>
      </w:r>
      <w:r w:rsidRPr="00A66F1A">
        <w:rPr>
          <w:rFonts w:ascii="Palatino Linotype" w:eastAsia="Palatino Linotype" w:hAnsi="Palatino Linotype" w:cs="Palatino Linotype"/>
          <w:b/>
          <w:bCs/>
          <w:sz w:val="22"/>
          <w:szCs w:val="22"/>
        </w:rPr>
        <w:t>Recurrente</w:t>
      </w:r>
      <w:r w:rsidRPr="00A66F1A">
        <w:rPr>
          <w:rFonts w:ascii="Palatino Linotype" w:eastAsia="Palatino Linotype" w:hAnsi="Palatino Linotype" w:cs="Palatino Linotype"/>
          <w:sz w:val="22"/>
          <w:szCs w:val="22"/>
        </w:rPr>
        <w:t xml:space="preserve">, en contra de la respuesta a la solicitud de información por parte del </w:t>
      </w:r>
      <w:r w:rsidRPr="00A66F1A">
        <w:rPr>
          <w:rFonts w:ascii="Palatino Linotype" w:eastAsia="Palatino Linotype" w:hAnsi="Palatino Linotype" w:cs="Palatino Linotype"/>
          <w:b/>
          <w:bCs/>
          <w:sz w:val="20"/>
          <w:szCs w:val="20"/>
        </w:rPr>
        <w:t>Ayuntamiento de Toluca</w:t>
      </w:r>
      <w:r w:rsidRPr="00A66F1A">
        <w:rPr>
          <w:rFonts w:ascii="Palatino Linotype" w:eastAsia="Palatino Linotype" w:hAnsi="Palatino Linotype" w:cs="Palatino Linotype"/>
          <w:sz w:val="22"/>
          <w:szCs w:val="22"/>
        </w:rPr>
        <w:t xml:space="preserve">, en lo sucesivo el </w:t>
      </w:r>
      <w:r w:rsidRPr="00A66F1A">
        <w:rPr>
          <w:rFonts w:ascii="Palatino Linotype" w:eastAsia="Palatino Linotype" w:hAnsi="Palatino Linotype" w:cs="Palatino Linotype"/>
          <w:b/>
          <w:bCs/>
          <w:sz w:val="22"/>
          <w:szCs w:val="22"/>
        </w:rPr>
        <w:t xml:space="preserve">Sujeto Obligado; </w:t>
      </w:r>
      <w:r w:rsidRPr="00A66F1A">
        <w:rPr>
          <w:rFonts w:ascii="Palatino Linotype" w:eastAsia="Palatino Linotype" w:hAnsi="Palatino Linotype" w:cs="Palatino Linotype"/>
          <w:sz w:val="22"/>
          <w:szCs w:val="22"/>
        </w:rPr>
        <w:t>se procede a dictar la presente resolución, con base en lo siguiente.</w:t>
      </w:r>
    </w:p>
    <w:p w14:paraId="0CAE9B12" w14:textId="77777777" w:rsidR="00F566FC" w:rsidRPr="00A66F1A" w:rsidRDefault="00F566FC">
      <w:pPr>
        <w:spacing w:line="360" w:lineRule="auto"/>
        <w:ind w:right="49"/>
        <w:jc w:val="both"/>
        <w:rPr>
          <w:rFonts w:ascii="Palatino Linotype" w:eastAsia="Palatino Linotype" w:hAnsi="Palatino Linotype" w:cs="Palatino Linotype"/>
          <w:sz w:val="22"/>
          <w:szCs w:val="22"/>
        </w:rPr>
      </w:pPr>
    </w:p>
    <w:p w14:paraId="217FAD73" w14:textId="77777777" w:rsidR="00F566FC" w:rsidRPr="00A66F1A" w:rsidRDefault="001C4A4D">
      <w:pPr>
        <w:spacing w:line="360" w:lineRule="auto"/>
        <w:ind w:right="49"/>
        <w:jc w:val="center"/>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I.</w:t>
      </w:r>
      <w:r w:rsidRPr="00A66F1A">
        <w:rPr>
          <w:rFonts w:ascii="Palatino Linotype" w:eastAsia="Palatino Linotype" w:hAnsi="Palatino Linotype" w:cs="Palatino Linotype"/>
          <w:b/>
          <w:bCs/>
          <w:sz w:val="22"/>
          <w:szCs w:val="22"/>
        </w:rPr>
        <w:tab/>
        <w:t>A N T E C E D E N T E S</w:t>
      </w:r>
    </w:p>
    <w:p w14:paraId="3A2DD930" w14:textId="77777777" w:rsidR="00F566FC" w:rsidRPr="00A66F1A" w:rsidRDefault="00F566FC">
      <w:pPr>
        <w:spacing w:line="360" w:lineRule="auto"/>
        <w:ind w:right="49"/>
        <w:jc w:val="both"/>
        <w:rPr>
          <w:rFonts w:ascii="Palatino Linotype" w:eastAsia="Palatino Linotype" w:hAnsi="Palatino Linotype" w:cs="Palatino Linotype"/>
          <w:sz w:val="22"/>
          <w:szCs w:val="22"/>
        </w:rPr>
      </w:pPr>
    </w:p>
    <w:p w14:paraId="0BF1DA10"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1.</w:t>
      </w:r>
      <w:r w:rsidRPr="00A66F1A">
        <w:rPr>
          <w:rFonts w:ascii="Palatino Linotype" w:eastAsia="Palatino Linotype" w:hAnsi="Palatino Linotype" w:cs="Palatino Linotype"/>
          <w:sz w:val="22"/>
          <w:szCs w:val="22"/>
        </w:rPr>
        <w:t xml:space="preserve"> </w:t>
      </w:r>
      <w:r w:rsidRPr="00A66F1A">
        <w:rPr>
          <w:rFonts w:ascii="Palatino Linotype" w:eastAsia="Palatino Linotype" w:hAnsi="Palatino Linotype" w:cs="Palatino Linotype"/>
          <w:b/>
          <w:bCs/>
          <w:sz w:val="22"/>
          <w:szCs w:val="22"/>
        </w:rPr>
        <w:t>Solicitud de Acceso a la Información. El veintiocho de abril de dos mil veinticinco</w:t>
      </w:r>
      <w:r w:rsidRPr="00A66F1A">
        <w:rPr>
          <w:rFonts w:ascii="Palatino Linotype" w:eastAsia="Palatino Linotype" w:hAnsi="Palatino Linotype" w:cs="Palatino Linotype"/>
          <w:sz w:val="22"/>
          <w:szCs w:val="22"/>
        </w:rPr>
        <w:t xml:space="preserve">, </w:t>
      </w:r>
      <w:r w:rsidRPr="00A66F1A">
        <w:rPr>
          <w:rFonts w:ascii="Palatino Linotype" w:eastAsia="Palatino Linotype" w:hAnsi="Palatino Linotype" w:cs="Palatino Linotype"/>
          <w:b/>
          <w:bCs/>
          <w:sz w:val="22"/>
          <w:szCs w:val="22"/>
        </w:rPr>
        <w:t>LA PARTE</w:t>
      </w:r>
      <w:r w:rsidRPr="00A66F1A">
        <w:rPr>
          <w:rFonts w:ascii="Palatino Linotype" w:eastAsia="Palatino Linotype" w:hAnsi="Palatino Linotype" w:cs="Palatino Linotype"/>
          <w:sz w:val="22"/>
          <w:szCs w:val="22"/>
        </w:rPr>
        <w:t xml:space="preserve"> </w:t>
      </w:r>
      <w:r w:rsidRPr="00A66F1A">
        <w:rPr>
          <w:rFonts w:ascii="Palatino Linotype" w:eastAsia="Palatino Linotype" w:hAnsi="Palatino Linotype" w:cs="Palatino Linotype"/>
          <w:b/>
          <w:bCs/>
          <w:sz w:val="22"/>
          <w:szCs w:val="22"/>
        </w:rPr>
        <w:t>RECURRENTE</w:t>
      </w:r>
      <w:r w:rsidRPr="00A66F1A">
        <w:rPr>
          <w:rFonts w:ascii="Palatino Linotype" w:eastAsia="Palatino Linotype" w:hAnsi="Palatino Linotype" w:cs="Palatino Linotype"/>
          <w:sz w:val="22"/>
          <w:szCs w:val="22"/>
        </w:rPr>
        <w:t xml:space="preserve"> formuló solicitud de acceso a información pública a través del </w:t>
      </w:r>
      <w:r w:rsidRPr="00A66F1A">
        <w:rPr>
          <w:rFonts w:ascii="Palatino Linotype" w:eastAsia="Palatino Linotype" w:hAnsi="Palatino Linotype" w:cs="Palatino Linotype"/>
          <w:b/>
          <w:bCs/>
          <w:sz w:val="22"/>
          <w:szCs w:val="22"/>
        </w:rPr>
        <w:t>SAIMEX</w:t>
      </w:r>
      <w:r w:rsidRPr="00A66F1A">
        <w:rPr>
          <w:rFonts w:ascii="Palatino Linotype" w:eastAsia="Palatino Linotype" w:hAnsi="Palatino Linotype" w:cs="Palatino Linotype"/>
          <w:sz w:val="22"/>
          <w:szCs w:val="22"/>
        </w:rPr>
        <w:t>, en la que requirió lo siguiente:</w:t>
      </w:r>
    </w:p>
    <w:p w14:paraId="58474033"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4076BAB2" w14:textId="77777777" w:rsidR="00F566FC" w:rsidRPr="00A66F1A" w:rsidRDefault="001C4A4D">
      <w:pPr>
        <w:numPr>
          <w:ilvl w:val="0"/>
          <w:numId w:val="1"/>
        </w:numPr>
        <w:pBdr>
          <w:top w:val="nil"/>
          <w:left w:val="nil"/>
          <w:bottom w:val="nil"/>
          <w:right w:val="nil"/>
          <w:between w:val="nil"/>
        </w:pBdr>
        <w:spacing w:line="360" w:lineRule="auto"/>
        <w:ind w:left="426" w:right="49"/>
        <w:jc w:val="both"/>
        <w:rPr>
          <w:rFonts w:ascii="Palatino Linotype" w:eastAsia="Palatino Linotype" w:hAnsi="Palatino Linotype" w:cs="Palatino Linotype"/>
          <w:b/>
          <w:bCs/>
          <w:sz w:val="22"/>
          <w:szCs w:val="22"/>
        </w:rPr>
      </w:pPr>
      <w:bookmarkStart w:id="1" w:name="_heading=h.3znysh7" w:colFirst="0" w:colLast="0"/>
      <w:bookmarkEnd w:id="1"/>
      <w:r w:rsidRPr="00A66F1A">
        <w:rPr>
          <w:rFonts w:ascii="Palatino Linotype" w:eastAsia="Palatino Linotype" w:hAnsi="Palatino Linotype" w:cs="Palatino Linotype"/>
          <w:b/>
          <w:bCs/>
          <w:sz w:val="22"/>
          <w:szCs w:val="22"/>
        </w:rPr>
        <w:t xml:space="preserve">02529/TOLUCA/IP/2025 </w:t>
      </w:r>
    </w:p>
    <w:p w14:paraId="25E51429"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sz w:val="22"/>
          <w:szCs w:val="22"/>
        </w:rPr>
        <w:tab/>
      </w:r>
      <w:r w:rsidRPr="00A66F1A">
        <w:rPr>
          <w:rFonts w:ascii="Palatino Linotype" w:eastAsia="Palatino Linotype" w:hAnsi="Palatino Linotype" w:cs="Palatino Linotype"/>
          <w:i/>
          <w:iCs/>
          <w:sz w:val="22"/>
          <w:szCs w:val="22"/>
        </w:rPr>
        <w:t>"</w:t>
      </w:r>
      <w:r w:rsidRPr="00A66F1A">
        <w:rPr>
          <w:rFonts w:ascii="Palatino Linotype" w:eastAsia="Palatino Linotype" w:hAnsi="Palatino Linotype" w:cs="Palatino Linotype"/>
          <w:sz w:val="22"/>
          <w:szCs w:val="22"/>
        </w:rPr>
        <w:t xml:space="preserve"> </w:t>
      </w:r>
      <w:r w:rsidRPr="00A66F1A">
        <w:rPr>
          <w:rFonts w:ascii="Palatino Linotype" w:eastAsia="Palatino Linotype" w:hAnsi="Palatino Linotype" w:cs="Palatino Linotype"/>
          <w:i/>
          <w:iCs/>
          <w:sz w:val="22"/>
          <w:szCs w:val="22"/>
        </w:rPr>
        <w:t>SABER LA UBICACIÓN Y HORARIO DE ATENCIÓN DE LOS 23 COMEDORES COMUNITARIOS QUE ANUNCIO EL PRESIDENTE EN SU INFORME DE GOBIENRO. EL COSTO DE LA REMODELACIÓN DE LOS COMEDORES COMUNITARIOS DE LA ADMINISTRACIÓN ANTERIOR, CUANTAS PERSONAS SE ATIENDEN EN LOS COMEDORES Y QUE APOYO SE LES OTORGA ACTUALMENTE Y LOS APOYOS OTORGADOS DE 2023 A 2024”</w:t>
      </w:r>
    </w:p>
    <w:p w14:paraId="60432609" w14:textId="77777777" w:rsidR="00F566FC" w:rsidRPr="00A66F1A" w:rsidRDefault="00F566FC">
      <w:pPr>
        <w:spacing w:line="360" w:lineRule="auto"/>
        <w:ind w:left="567" w:right="843"/>
        <w:jc w:val="both"/>
        <w:rPr>
          <w:rFonts w:ascii="Palatino Linotype" w:eastAsia="Palatino Linotype" w:hAnsi="Palatino Linotype" w:cs="Palatino Linotype"/>
          <w:i/>
          <w:iCs/>
          <w:sz w:val="22"/>
          <w:szCs w:val="22"/>
        </w:rPr>
      </w:pPr>
    </w:p>
    <w:p w14:paraId="0B170981"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lastRenderedPageBreak/>
        <w:t>Modalidad elegida para la entrega de la información:</w:t>
      </w:r>
      <w:r w:rsidRPr="00A66F1A">
        <w:rPr>
          <w:rFonts w:ascii="Palatino Linotype" w:eastAsia="Palatino Linotype" w:hAnsi="Palatino Linotype" w:cs="Palatino Linotype"/>
          <w:sz w:val="22"/>
          <w:szCs w:val="22"/>
        </w:rPr>
        <w:t xml:space="preserve"> a través del Sistema de Acceso a la Información Mexiquense (SAIMEX).</w:t>
      </w:r>
    </w:p>
    <w:p w14:paraId="0DD4525D"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25686B9D" w14:textId="77777777" w:rsidR="00F566FC" w:rsidRPr="00A66F1A" w:rsidRDefault="001C4A4D">
      <w:pPr>
        <w:widowControl w:val="0"/>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2. Respuesta.</w:t>
      </w:r>
      <w:r w:rsidRPr="00A66F1A">
        <w:rPr>
          <w:rFonts w:ascii="Palatino Linotype" w:eastAsia="Palatino Linotype" w:hAnsi="Palatino Linotype" w:cs="Palatino Linotype"/>
          <w:sz w:val="22"/>
          <w:szCs w:val="22"/>
        </w:rPr>
        <w:t xml:space="preserve"> El </w:t>
      </w:r>
      <w:r w:rsidRPr="00A66F1A">
        <w:rPr>
          <w:rFonts w:ascii="Palatino Linotype" w:eastAsia="Palatino Linotype" w:hAnsi="Palatino Linotype" w:cs="Palatino Linotype"/>
          <w:b/>
          <w:bCs/>
          <w:sz w:val="22"/>
          <w:szCs w:val="22"/>
        </w:rPr>
        <w:t>veintiuno</w:t>
      </w:r>
      <w:r w:rsidRPr="00A66F1A">
        <w:rPr>
          <w:rFonts w:ascii="Palatino Linotype" w:eastAsia="Palatino Linotype" w:hAnsi="Palatino Linotype" w:cs="Palatino Linotype"/>
          <w:sz w:val="22"/>
          <w:szCs w:val="22"/>
        </w:rPr>
        <w:t xml:space="preserve"> </w:t>
      </w:r>
      <w:r w:rsidRPr="00A66F1A">
        <w:rPr>
          <w:rFonts w:ascii="Palatino Linotype" w:eastAsia="Palatino Linotype" w:hAnsi="Palatino Linotype" w:cs="Palatino Linotype"/>
          <w:b/>
          <w:bCs/>
          <w:sz w:val="22"/>
          <w:szCs w:val="22"/>
        </w:rPr>
        <w:t>de mayo de dos mil veinticinco</w:t>
      </w:r>
      <w:r w:rsidRPr="00A66F1A">
        <w:rPr>
          <w:rFonts w:ascii="Palatino Linotype" w:eastAsia="Palatino Linotype" w:hAnsi="Palatino Linotype" w:cs="Palatino Linotype"/>
          <w:sz w:val="22"/>
          <w:szCs w:val="22"/>
        </w:rPr>
        <w:t>, el Sujeto Obligado dio respuesta a la solicitud, en los siguientes términos:</w:t>
      </w:r>
    </w:p>
    <w:p w14:paraId="31F537DC" w14:textId="77777777" w:rsidR="00F566FC" w:rsidRPr="00A66F1A" w:rsidRDefault="00F566FC">
      <w:pPr>
        <w:widowControl w:val="0"/>
        <w:spacing w:line="360" w:lineRule="auto"/>
        <w:jc w:val="both"/>
        <w:rPr>
          <w:rFonts w:ascii="Palatino Linotype" w:eastAsia="Palatino Linotype" w:hAnsi="Palatino Linotype" w:cs="Palatino Linotype"/>
          <w:sz w:val="22"/>
          <w:szCs w:val="22"/>
        </w:rPr>
      </w:pPr>
    </w:p>
    <w:p w14:paraId="276CB3E3" w14:textId="77777777" w:rsidR="00F566FC" w:rsidRPr="00A66F1A" w:rsidRDefault="001C4A4D">
      <w:pPr>
        <w:widowControl w:val="0"/>
        <w:spacing w:line="276"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3DD173" w14:textId="77777777" w:rsidR="00F566FC" w:rsidRPr="00A66F1A" w:rsidRDefault="001C4A4D">
      <w:pPr>
        <w:widowControl w:val="0"/>
        <w:spacing w:line="276"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En atención a la solicitud con folio 02529/TOLUCA/IP/2025, me permito adjuntar al presente la respuesta correspondiente, Sin más por el momento, reciba un saludo.</w:t>
      </w:r>
    </w:p>
    <w:p w14:paraId="2E98F548" w14:textId="77777777" w:rsidR="00F566FC" w:rsidRPr="00A66F1A" w:rsidRDefault="001C4A4D">
      <w:pPr>
        <w:widowControl w:val="0"/>
        <w:spacing w:line="276"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ATENTAMENTE</w:t>
      </w:r>
    </w:p>
    <w:p w14:paraId="3D069017" w14:textId="77777777" w:rsidR="00F566FC" w:rsidRPr="00A66F1A" w:rsidRDefault="001C4A4D">
      <w:pPr>
        <w:widowControl w:val="0"/>
        <w:spacing w:line="276"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Dr. Nahum Miguel Mendoza Morales” (sic)</w:t>
      </w:r>
    </w:p>
    <w:p w14:paraId="3FD2A064" w14:textId="77777777" w:rsidR="00F566FC" w:rsidRPr="00A66F1A" w:rsidRDefault="00F566FC">
      <w:pPr>
        <w:widowControl w:val="0"/>
        <w:spacing w:line="360" w:lineRule="auto"/>
        <w:jc w:val="both"/>
        <w:rPr>
          <w:rFonts w:ascii="Palatino Linotype" w:eastAsia="Palatino Linotype" w:hAnsi="Palatino Linotype" w:cs="Palatino Linotype"/>
          <w:sz w:val="22"/>
          <w:szCs w:val="22"/>
        </w:rPr>
      </w:pPr>
    </w:p>
    <w:p w14:paraId="0E5FF499" w14:textId="77777777" w:rsidR="00F566FC" w:rsidRPr="00A66F1A" w:rsidRDefault="001C4A4D">
      <w:pPr>
        <w:widowControl w:val="0"/>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Asimismo, adjuntó los documentos electrónicos siguientes:</w:t>
      </w:r>
    </w:p>
    <w:p w14:paraId="12374403" w14:textId="77777777" w:rsidR="00F566FC" w:rsidRPr="00A66F1A" w:rsidRDefault="00F566FC">
      <w:pPr>
        <w:widowControl w:val="0"/>
        <w:spacing w:line="360" w:lineRule="auto"/>
        <w:jc w:val="both"/>
        <w:rPr>
          <w:rFonts w:ascii="Palatino Linotype" w:eastAsia="Palatino Linotype" w:hAnsi="Palatino Linotype" w:cs="Palatino Linotype"/>
          <w:sz w:val="22"/>
          <w:szCs w:val="22"/>
        </w:rPr>
      </w:pPr>
    </w:p>
    <w:p w14:paraId="6D38E3EE" w14:textId="77777777" w:rsidR="00F566FC" w:rsidRPr="00A66F1A" w:rsidRDefault="001C4A4D">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 xml:space="preserve">SAIMEX 2529.pdf: </w:t>
      </w:r>
      <w:r w:rsidRPr="00A66F1A">
        <w:rPr>
          <w:rFonts w:ascii="Palatino Linotype" w:eastAsia="Palatino Linotype" w:hAnsi="Palatino Linotype" w:cs="Palatino Linotype"/>
          <w:sz w:val="22"/>
          <w:szCs w:val="22"/>
        </w:rPr>
        <w:t>Oficio suscrito por el Tesorero Municipal</w:t>
      </w:r>
      <w:r w:rsidRPr="00A66F1A">
        <w:rPr>
          <w:rFonts w:ascii="Palatino Linotype" w:eastAsia="Palatino Linotype" w:hAnsi="Palatino Linotype" w:cs="Palatino Linotype"/>
          <w:b/>
          <w:bCs/>
          <w:sz w:val="22"/>
          <w:szCs w:val="22"/>
        </w:rPr>
        <w:t xml:space="preserve"> </w:t>
      </w:r>
      <w:r w:rsidRPr="00A66F1A">
        <w:rPr>
          <w:rFonts w:ascii="Palatino Linotype" w:eastAsia="Palatino Linotype" w:hAnsi="Palatino Linotype" w:cs="Palatino Linotype"/>
          <w:sz w:val="22"/>
          <w:szCs w:val="22"/>
        </w:rPr>
        <w:t>mediante el cual refiere que no se encontró documental alguna sobre los costos de las remodelaciones referidad. Los demás puntos de la solicitud no forman parte de las atribuciones de dicha unidad administrativa.</w:t>
      </w:r>
    </w:p>
    <w:p w14:paraId="3A8D0E2F" w14:textId="77777777" w:rsidR="00F566FC" w:rsidRPr="00A66F1A" w:rsidRDefault="001C4A4D">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 xml:space="preserve">Centros de Bienestar.xlsx: </w:t>
      </w:r>
      <w:r w:rsidRPr="00A66F1A">
        <w:rPr>
          <w:rFonts w:ascii="Palatino Linotype" w:eastAsia="Palatino Linotype" w:hAnsi="Palatino Linotype" w:cs="Palatino Linotype"/>
          <w:sz w:val="22"/>
          <w:szCs w:val="22"/>
        </w:rPr>
        <w:t>Contiene un listado de los centros de bienestar con el nombre del comedor, la dirección y la delegación.</w:t>
      </w:r>
    </w:p>
    <w:p w14:paraId="5065EA21" w14:textId="77777777" w:rsidR="00F566FC" w:rsidRPr="00A66F1A" w:rsidRDefault="001C4A4D">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 xml:space="preserve">Respuesta al folio 02529.pdf: </w:t>
      </w:r>
      <w:r w:rsidRPr="00A66F1A">
        <w:rPr>
          <w:rFonts w:ascii="Palatino Linotype" w:eastAsia="Palatino Linotype" w:hAnsi="Palatino Linotype" w:cs="Palatino Linotype"/>
          <w:sz w:val="22"/>
          <w:szCs w:val="22"/>
        </w:rPr>
        <w:t>Oficio suscrito por la Dirección General de Bienestar mediante el cual refiere lo siguiente:</w:t>
      </w:r>
    </w:p>
    <w:p w14:paraId="70D3D1A5" w14:textId="77777777" w:rsidR="00F566FC" w:rsidRPr="00A66F1A" w:rsidRDefault="001C4A4D">
      <w:pPr>
        <w:widowControl w:val="0"/>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Se entrega relación de la ubicación de los veintitrés comedores comunitarios; </w:t>
      </w:r>
    </w:p>
    <w:p w14:paraId="091EA918" w14:textId="77777777" w:rsidR="00F566FC" w:rsidRPr="00A66F1A" w:rsidRDefault="001C4A4D">
      <w:pPr>
        <w:widowControl w:val="0"/>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El costo de la remodelación es información que generó la Dirección de Obras </w:t>
      </w:r>
      <w:r w:rsidRPr="00A66F1A">
        <w:rPr>
          <w:rFonts w:ascii="Palatino Linotype" w:eastAsia="Palatino Linotype" w:hAnsi="Palatino Linotype" w:cs="Palatino Linotype"/>
          <w:sz w:val="22"/>
          <w:szCs w:val="22"/>
        </w:rPr>
        <w:lastRenderedPageBreak/>
        <w:t>Públicas, ya que dicha unidad administrativa fue quién la generó.</w:t>
      </w:r>
    </w:p>
    <w:p w14:paraId="7849C4D3" w14:textId="77777777" w:rsidR="00F566FC" w:rsidRPr="00A66F1A" w:rsidRDefault="001C4A4D">
      <w:pPr>
        <w:widowControl w:val="0"/>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Los apoyos son talleres de preparación de alimentos saludables, manualidades en fomento al empleo, pláticas de orientación alimentaria, difusión e información.</w:t>
      </w:r>
    </w:p>
    <w:p w14:paraId="4110BAF4" w14:textId="77777777" w:rsidR="00F566FC" w:rsidRPr="00A66F1A" w:rsidRDefault="001C4A4D">
      <w:pPr>
        <w:widowControl w:val="0"/>
        <w:numPr>
          <w:ilvl w:val="0"/>
          <w:numId w:val="4"/>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No se entregaron apoyos de otra índole;</w:t>
      </w:r>
    </w:p>
    <w:p w14:paraId="39E0F67C" w14:textId="77777777" w:rsidR="00F566FC" w:rsidRPr="00A66F1A" w:rsidRDefault="001C4A4D">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 xml:space="preserve">R. 02529. 2025.pdf: </w:t>
      </w:r>
      <w:r w:rsidRPr="00A66F1A">
        <w:rPr>
          <w:rFonts w:ascii="Palatino Linotype" w:eastAsia="Palatino Linotype" w:hAnsi="Palatino Linotype" w:cs="Palatino Linotype"/>
          <w:sz w:val="22"/>
          <w:szCs w:val="22"/>
        </w:rPr>
        <w:t>Oficio suscrito por el Titular de la Unidad de Transparencia mediante el cual refiere que la Dirección General de Administración no genera, administra y posee la información requerida.</w:t>
      </w:r>
    </w:p>
    <w:p w14:paraId="065CD6B5" w14:textId="77777777" w:rsidR="00F566FC" w:rsidRPr="00A66F1A" w:rsidRDefault="00F566FC">
      <w:pPr>
        <w:widowControl w:val="0"/>
        <w:spacing w:line="360" w:lineRule="auto"/>
        <w:jc w:val="both"/>
        <w:rPr>
          <w:rFonts w:ascii="Palatino Linotype" w:eastAsia="Palatino Linotype" w:hAnsi="Palatino Linotype" w:cs="Palatino Linotype"/>
          <w:sz w:val="22"/>
          <w:szCs w:val="22"/>
        </w:rPr>
      </w:pPr>
    </w:p>
    <w:p w14:paraId="32A58132"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 xml:space="preserve">3. Del Recurso de Revisión. </w:t>
      </w:r>
      <w:r w:rsidRPr="00A66F1A">
        <w:rPr>
          <w:rFonts w:ascii="Palatino Linotype" w:eastAsia="Palatino Linotype" w:hAnsi="Palatino Linotype" w:cs="Palatino Linotype"/>
          <w:sz w:val="22"/>
          <w:szCs w:val="22"/>
        </w:rPr>
        <w:t>Inconforme con la respuesta del</w:t>
      </w:r>
      <w:r w:rsidRPr="00A66F1A">
        <w:rPr>
          <w:rFonts w:ascii="Palatino Linotype" w:eastAsia="Palatino Linotype" w:hAnsi="Palatino Linotype" w:cs="Palatino Linotype"/>
          <w:b/>
          <w:bCs/>
          <w:sz w:val="22"/>
          <w:szCs w:val="22"/>
        </w:rPr>
        <w:t xml:space="preserve"> SUJETO OBLIGADO, </w:t>
      </w:r>
      <w:r w:rsidRPr="00A66F1A">
        <w:rPr>
          <w:rFonts w:ascii="Palatino Linotype" w:eastAsia="Palatino Linotype" w:hAnsi="Palatino Linotype" w:cs="Palatino Linotype"/>
          <w:sz w:val="22"/>
          <w:szCs w:val="22"/>
        </w:rPr>
        <w:t xml:space="preserve">el </w:t>
      </w:r>
      <w:r w:rsidRPr="00A66F1A">
        <w:rPr>
          <w:rFonts w:ascii="Palatino Linotype" w:eastAsia="Palatino Linotype" w:hAnsi="Palatino Linotype" w:cs="Palatino Linotype"/>
          <w:b/>
          <w:bCs/>
          <w:sz w:val="22"/>
          <w:szCs w:val="22"/>
        </w:rPr>
        <w:t>once</w:t>
      </w:r>
      <w:r w:rsidRPr="00A66F1A">
        <w:rPr>
          <w:rFonts w:ascii="Palatino Linotype" w:eastAsia="Palatino Linotype" w:hAnsi="Palatino Linotype" w:cs="Palatino Linotype"/>
          <w:sz w:val="22"/>
          <w:szCs w:val="22"/>
        </w:rPr>
        <w:t xml:space="preserve"> </w:t>
      </w:r>
      <w:r w:rsidRPr="00A66F1A">
        <w:rPr>
          <w:rFonts w:ascii="Palatino Linotype" w:eastAsia="Palatino Linotype" w:hAnsi="Palatino Linotype" w:cs="Palatino Linotype"/>
          <w:b/>
          <w:bCs/>
          <w:sz w:val="22"/>
          <w:szCs w:val="22"/>
        </w:rPr>
        <w:t xml:space="preserve">de junio de dos mil veinticinco, LA PARTE RECURRENTE </w:t>
      </w:r>
      <w:r w:rsidRPr="00A66F1A">
        <w:rPr>
          <w:rFonts w:ascii="Palatino Linotype" w:eastAsia="Palatino Linotype" w:hAnsi="Palatino Linotype" w:cs="Palatino Linotype"/>
          <w:sz w:val="22"/>
          <w:szCs w:val="22"/>
        </w:rPr>
        <w:t xml:space="preserve">interpuso el recurso de revisión, mediante el cual y manifestó lo siguiente: </w:t>
      </w:r>
    </w:p>
    <w:p w14:paraId="125A31C9"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29349E99" w14:textId="77777777" w:rsidR="00F566FC" w:rsidRPr="00A66F1A" w:rsidRDefault="001C4A4D">
      <w:pPr>
        <w:numPr>
          <w:ilvl w:val="0"/>
          <w:numId w:val="7"/>
        </w:numPr>
        <w:pBdr>
          <w:top w:val="nil"/>
          <w:left w:val="nil"/>
          <w:bottom w:val="nil"/>
          <w:right w:val="nil"/>
          <w:between w:val="nil"/>
        </w:pBdr>
        <w:spacing w:line="360" w:lineRule="auto"/>
        <w:ind w:right="560"/>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Acto Impugnado:</w:t>
      </w:r>
      <w:r w:rsidRPr="00A66F1A">
        <w:rPr>
          <w:rFonts w:ascii="Palatino Linotype" w:eastAsia="Palatino Linotype" w:hAnsi="Palatino Linotype" w:cs="Palatino Linotype"/>
          <w:i/>
          <w:iCs/>
          <w:sz w:val="22"/>
          <w:szCs w:val="22"/>
        </w:rPr>
        <w:t xml:space="preserve"> “lA NEGATIVA DE LA INFORMAICÓN NO ESTA COMPLETO”.</w:t>
      </w:r>
    </w:p>
    <w:p w14:paraId="62B51E5C" w14:textId="77777777" w:rsidR="00F566FC" w:rsidRPr="00A66F1A" w:rsidRDefault="001C4A4D">
      <w:pPr>
        <w:numPr>
          <w:ilvl w:val="0"/>
          <w:numId w:val="7"/>
        </w:numPr>
        <w:pBdr>
          <w:top w:val="nil"/>
          <w:left w:val="nil"/>
          <w:bottom w:val="nil"/>
          <w:right w:val="nil"/>
          <w:between w:val="nil"/>
        </w:pBdr>
        <w:spacing w:line="360" w:lineRule="auto"/>
        <w:ind w:right="560"/>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Motivo de inconformidad:</w:t>
      </w:r>
      <w:r w:rsidRPr="00A66F1A">
        <w:rPr>
          <w:rFonts w:ascii="Palatino Linotype" w:eastAsia="Palatino Linotype" w:hAnsi="Palatino Linotype" w:cs="Palatino Linotype"/>
          <w:i/>
          <w:iCs/>
          <w:sz w:val="22"/>
          <w:szCs w:val="22"/>
        </w:rPr>
        <w:t xml:space="preserve"> “lA NEGATIVA DE LA INFORMAICÓN NO ESTA COMPLETO.”.</w:t>
      </w:r>
    </w:p>
    <w:p w14:paraId="595A93E6" w14:textId="77777777" w:rsidR="00F566FC" w:rsidRPr="00A66F1A" w:rsidRDefault="00F566FC">
      <w:pPr>
        <w:spacing w:line="360" w:lineRule="auto"/>
        <w:ind w:left="142" w:right="560"/>
        <w:jc w:val="both"/>
        <w:rPr>
          <w:rFonts w:ascii="Palatino Linotype" w:eastAsia="Palatino Linotype" w:hAnsi="Palatino Linotype" w:cs="Palatino Linotype"/>
          <w:i/>
          <w:iCs/>
          <w:sz w:val="22"/>
          <w:szCs w:val="22"/>
        </w:rPr>
      </w:pPr>
    </w:p>
    <w:p w14:paraId="02E8CEA7"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 xml:space="preserve">4. Turno. </w:t>
      </w:r>
      <w:r w:rsidRPr="00A66F1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A66F1A">
        <w:rPr>
          <w:rFonts w:ascii="Palatino Linotype" w:eastAsia="Palatino Linotype" w:hAnsi="Palatino Linotype" w:cs="Palatino Linotype"/>
          <w:b/>
          <w:bCs/>
          <w:sz w:val="22"/>
          <w:szCs w:val="22"/>
        </w:rPr>
        <w:t>06864/INFOEM/IP/RR/2025</w:t>
      </w:r>
      <w:r w:rsidRPr="00A66F1A">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A66F1A">
        <w:rPr>
          <w:rFonts w:ascii="Palatino Linotype" w:eastAsia="Palatino Linotype" w:hAnsi="Palatino Linotype" w:cs="Palatino Linotype"/>
          <w:b/>
          <w:bCs/>
          <w:sz w:val="22"/>
          <w:szCs w:val="22"/>
        </w:rPr>
        <w:t>Guadalupe Ramírez Peña</w:t>
      </w:r>
      <w:r w:rsidRPr="00A66F1A">
        <w:rPr>
          <w:rFonts w:ascii="Palatino Linotype" w:eastAsia="Palatino Linotype" w:hAnsi="Palatino Linotype" w:cs="Palatino Linotype"/>
          <w:sz w:val="22"/>
          <w:szCs w:val="22"/>
        </w:rPr>
        <w:t>, para su análisis, estudio, elaboración del proyecto y presentación ante el Pleno de este Instituto.</w:t>
      </w:r>
    </w:p>
    <w:p w14:paraId="384C85F4"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6ABBBEB4" w14:textId="77777777" w:rsidR="00F566FC" w:rsidRPr="00A66F1A" w:rsidRDefault="001C4A4D">
      <w:pPr>
        <w:spacing w:line="360" w:lineRule="auto"/>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 xml:space="preserve">5. Admisión. </w:t>
      </w:r>
      <w:r w:rsidRPr="00A66F1A">
        <w:rPr>
          <w:rFonts w:ascii="Palatino Linotype" w:eastAsia="Palatino Linotype" w:hAnsi="Palatino Linotype" w:cs="Palatino Linotype"/>
          <w:sz w:val="22"/>
          <w:szCs w:val="22"/>
        </w:rPr>
        <w:t xml:space="preserve">El </w:t>
      </w:r>
      <w:r w:rsidRPr="00A66F1A">
        <w:rPr>
          <w:rFonts w:ascii="Palatino Linotype" w:eastAsia="Palatino Linotype" w:hAnsi="Palatino Linotype" w:cs="Palatino Linotype"/>
          <w:b/>
          <w:bCs/>
          <w:sz w:val="22"/>
          <w:szCs w:val="22"/>
        </w:rPr>
        <w:t>dieciséis</w:t>
      </w:r>
      <w:r w:rsidRPr="00A66F1A">
        <w:rPr>
          <w:rFonts w:ascii="Palatino Linotype" w:eastAsia="Palatino Linotype" w:hAnsi="Palatino Linotype" w:cs="Palatino Linotype"/>
          <w:sz w:val="22"/>
          <w:szCs w:val="22"/>
        </w:rPr>
        <w:t xml:space="preserve"> </w:t>
      </w:r>
      <w:r w:rsidRPr="00A66F1A">
        <w:rPr>
          <w:rFonts w:ascii="Palatino Linotype" w:eastAsia="Palatino Linotype" w:hAnsi="Palatino Linotype" w:cs="Palatino Linotype"/>
          <w:b/>
          <w:bCs/>
          <w:sz w:val="22"/>
          <w:szCs w:val="22"/>
        </w:rPr>
        <w:t>de junio de dos mil veinticinco</w:t>
      </w:r>
      <w:r w:rsidRPr="00A66F1A">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A66F1A">
        <w:rPr>
          <w:rFonts w:ascii="Palatino Linotype" w:eastAsia="Palatino Linotype" w:hAnsi="Palatino Linotype" w:cs="Palatino Linotype"/>
          <w:b/>
          <w:bCs/>
          <w:sz w:val="22"/>
          <w:szCs w:val="22"/>
        </w:rPr>
        <w:t>.</w:t>
      </w:r>
    </w:p>
    <w:p w14:paraId="3F8FE0CC" w14:textId="77777777" w:rsidR="00F566FC" w:rsidRPr="00A66F1A" w:rsidRDefault="00F566FC">
      <w:pPr>
        <w:spacing w:line="360" w:lineRule="auto"/>
        <w:jc w:val="both"/>
        <w:rPr>
          <w:rFonts w:ascii="Palatino Linotype" w:eastAsia="Palatino Linotype" w:hAnsi="Palatino Linotype" w:cs="Palatino Linotype"/>
          <w:b/>
          <w:bCs/>
          <w:sz w:val="22"/>
          <w:szCs w:val="22"/>
        </w:rPr>
      </w:pPr>
    </w:p>
    <w:p w14:paraId="0DAFD10C" w14:textId="77777777" w:rsidR="00F566FC" w:rsidRPr="00A66F1A" w:rsidRDefault="001C4A4D">
      <w:pPr>
        <w:spacing w:line="360" w:lineRule="auto"/>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6. Manifestaciones.</w:t>
      </w:r>
      <w:r w:rsidRPr="00A66F1A">
        <w:rPr>
          <w:rFonts w:ascii="Palatino Linotype" w:eastAsia="Palatino Linotype" w:hAnsi="Palatino Linotype" w:cs="Palatino Linotype"/>
          <w:sz w:val="22"/>
          <w:szCs w:val="22"/>
        </w:rPr>
        <w:t xml:space="preserve"> De las constancias que obran en el expediente electrónico del SAIMEX, se advierte que, el </w:t>
      </w:r>
      <w:r w:rsidRPr="00A66F1A">
        <w:rPr>
          <w:rFonts w:ascii="Palatino Linotype" w:eastAsia="Palatino Linotype" w:hAnsi="Palatino Linotype" w:cs="Palatino Linotype"/>
          <w:b/>
          <w:bCs/>
          <w:sz w:val="22"/>
          <w:szCs w:val="22"/>
        </w:rPr>
        <w:t>veinticinco de junio de dos mil veinticinco,</w:t>
      </w:r>
      <w:r w:rsidRPr="00A66F1A">
        <w:rPr>
          <w:rFonts w:ascii="Palatino Linotype" w:eastAsia="Palatino Linotype" w:hAnsi="Palatino Linotype" w:cs="Palatino Linotype"/>
          <w:sz w:val="22"/>
          <w:szCs w:val="22"/>
        </w:rPr>
        <w:t xml:space="preserve"> el Sujeto Obligado entregó el documento electrónico denominado </w:t>
      </w:r>
      <w:r w:rsidRPr="00A66F1A">
        <w:rPr>
          <w:rFonts w:ascii="Palatino Linotype" w:eastAsia="Palatino Linotype" w:hAnsi="Palatino Linotype" w:cs="Palatino Linotype"/>
          <w:b/>
          <w:bCs/>
          <w:sz w:val="22"/>
          <w:szCs w:val="22"/>
        </w:rPr>
        <w:t>2.Ratificación RR-6864-2025.pdf</w:t>
      </w:r>
      <w:r w:rsidRPr="00A66F1A">
        <w:rPr>
          <w:rFonts w:ascii="Palatino Linotype" w:eastAsia="Palatino Linotype" w:hAnsi="Palatino Linotype" w:cs="Palatino Linotype"/>
          <w:sz w:val="22"/>
          <w:szCs w:val="22"/>
        </w:rPr>
        <w:t xml:space="preserve">, mediante el cual ratifica la respuesta inicial. El informe justificado se puso a disposición del Recurrente el </w:t>
      </w:r>
      <w:r w:rsidRPr="00A66F1A">
        <w:rPr>
          <w:rFonts w:ascii="Palatino Linotype" w:eastAsia="Palatino Linotype" w:hAnsi="Palatino Linotype" w:cs="Palatino Linotype"/>
          <w:b/>
          <w:bCs/>
          <w:sz w:val="22"/>
          <w:szCs w:val="22"/>
        </w:rPr>
        <w:t>once de agosto de dos mil veinticinco.</w:t>
      </w:r>
    </w:p>
    <w:p w14:paraId="2CF37228" w14:textId="77777777" w:rsidR="00F566FC" w:rsidRPr="00A66F1A" w:rsidRDefault="00F566FC">
      <w:pPr>
        <w:spacing w:line="360" w:lineRule="auto"/>
        <w:jc w:val="both"/>
        <w:rPr>
          <w:rFonts w:ascii="Palatino Linotype" w:eastAsia="Palatino Linotype" w:hAnsi="Palatino Linotype" w:cs="Palatino Linotype"/>
          <w:b/>
          <w:bCs/>
          <w:sz w:val="22"/>
          <w:szCs w:val="22"/>
        </w:rPr>
      </w:pPr>
    </w:p>
    <w:p w14:paraId="126F363C" w14:textId="77777777" w:rsidR="00F566FC" w:rsidRPr="00A66F1A" w:rsidRDefault="001C4A4D">
      <w:pPr>
        <w:spacing w:line="360" w:lineRule="auto"/>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7. Cierre de instrucción</w:t>
      </w:r>
      <w:r w:rsidRPr="00A66F1A">
        <w:rPr>
          <w:rFonts w:ascii="Palatino Linotype" w:eastAsia="Palatino Linotype" w:hAnsi="Palatino Linotype" w:cs="Palatino Linotype"/>
          <w:sz w:val="22"/>
          <w:szCs w:val="22"/>
        </w:rPr>
        <w:t xml:space="preserve">. En fecha </w:t>
      </w:r>
      <w:r w:rsidRPr="00A66F1A">
        <w:rPr>
          <w:rFonts w:ascii="Palatino Linotype" w:eastAsia="Palatino Linotype" w:hAnsi="Palatino Linotype" w:cs="Palatino Linotype"/>
          <w:b/>
          <w:bCs/>
          <w:sz w:val="22"/>
          <w:szCs w:val="22"/>
        </w:rPr>
        <w:t>veintiséis de agosto de dos mil veinticinco</w:t>
      </w:r>
      <w:r w:rsidRPr="00A66F1A">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F805D22" w14:textId="77777777" w:rsidR="00F566FC" w:rsidRPr="00A66F1A" w:rsidRDefault="00F566FC">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0A81CA2E" w14:textId="77777777" w:rsidR="00F566FC" w:rsidRPr="00A66F1A" w:rsidRDefault="001C4A4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8. Ampliación de plazo. El veintiséis de agosto de dos mil veinticinco</w:t>
      </w:r>
      <w:r w:rsidRPr="00A66F1A">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 mediante el acuerdo notificado el veinte de agosto de la misma anualidad.</w:t>
      </w:r>
    </w:p>
    <w:p w14:paraId="3035FE9C" w14:textId="77777777" w:rsidR="00F566FC" w:rsidRPr="00A66F1A" w:rsidRDefault="00F566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2756D7B"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DF5D41D"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 </w:t>
      </w:r>
    </w:p>
    <w:p w14:paraId="2AD71A81"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92082A9"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 </w:t>
      </w:r>
    </w:p>
    <w:p w14:paraId="0F413EED"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17C00C" w14:textId="77777777" w:rsidR="00F566FC" w:rsidRPr="00A66F1A" w:rsidRDefault="00F566FC">
      <w:pPr>
        <w:spacing w:line="360" w:lineRule="auto"/>
        <w:ind w:right="49"/>
        <w:jc w:val="both"/>
        <w:rPr>
          <w:rFonts w:ascii="Palatino Linotype" w:eastAsia="Palatino Linotype" w:hAnsi="Palatino Linotype" w:cs="Palatino Linotype"/>
          <w:sz w:val="22"/>
          <w:szCs w:val="22"/>
        </w:rPr>
      </w:pPr>
    </w:p>
    <w:p w14:paraId="0B2F5DCF"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32E92AF" w14:textId="77777777" w:rsidR="00F566FC" w:rsidRPr="00A66F1A" w:rsidRDefault="00F566FC">
      <w:pPr>
        <w:spacing w:line="360" w:lineRule="auto"/>
        <w:ind w:right="49"/>
        <w:jc w:val="both"/>
        <w:rPr>
          <w:rFonts w:ascii="Palatino Linotype" w:eastAsia="Palatino Linotype" w:hAnsi="Palatino Linotype" w:cs="Palatino Linotype"/>
          <w:sz w:val="22"/>
          <w:szCs w:val="22"/>
        </w:rPr>
      </w:pPr>
    </w:p>
    <w:p w14:paraId="1CBE1E2A"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497FBE3" w14:textId="77777777" w:rsidR="00F566FC" w:rsidRPr="00A66F1A" w:rsidRDefault="00F566FC">
      <w:pPr>
        <w:spacing w:line="360" w:lineRule="auto"/>
        <w:ind w:right="49"/>
        <w:jc w:val="both"/>
        <w:rPr>
          <w:rFonts w:ascii="Palatino Linotype" w:eastAsia="Palatino Linotype" w:hAnsi="Palatino Linotype" w:cs="Palatino Linotype"/>
          <w:sz w:val="22"/>
          <w:szCs w:val="22"/>
        </w:rPr>
      </w:pPr>
    </w:p>
    <w:p w14:paraId="15A70A03" w14:textId="77777777" w:rsidR="00F566FC" w:rsidRPr="00A66F1A" w:rsidRDefault="001C4A4D">
      <w:pPr>
        <w:tabs>
          <w:tab w:val="left" w:pos="709"/>
        </w:tabs>
        <w:spacing w:line="360" w:lineRule="auto"/>
        <w:ind w:left="567" w:right="560"/>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a)    Complejidad del asunto:</w:t>
      </w:r>
      <w:r w:rsidRPr="00A66F1A">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4437C0B3" w14:textId="77777777" w:rsidR="00F566FC" w:rsidRPr="00A66F1A" w:rsidRDefault="001C4A4D">
      <w:pPr>
        <w:tabs>
          <w:tab w:val="left" w:pos="709"/>
        </w:tabs>
        <w:spacing w:line="360" w:lineRule="auto"/>
        <w:ind w:left="567" w:right="560"/>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b)   Actividad Procesal del interesado</w:t>
      </w:r>
      <w:r w:rsidRPr="00A66F1A">
        <w:rPr>
          <w:rFonts w:ascii="Palatino Linotype" w:eastAsia="Palatino Linotype" w:hAnsi="Palatino Linotype" w:cs="Palatino Linotype"/>
          <w:sz w:val="22"/>
          <w:szCs w:val="22"/>
        </w:rPr>
        <w:t>: Acciones u omisiones del interesado.</w:t>
      </w:r>
    </w:p>
    <w:p w14:paraId="29E861EE" w14:textId="77777777" w:rsidR="00F566FC" w:rsidRPr="00A66F1A" w:rsidRDefault="001C4A4D">
      <w:pPr>
        <w:tabs>
          <w:tab w:val="left" w:pos="851"/>
        </w:tabs>
        <w:spacing w:line="360" w:lineRule="auto"/>
        <w:ind w:left="567" w:right="560"/>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c)  Conducta de la Autoridad:</w:t>
      </w:r>
      <w:r w:rsidRPr="00A66F1A">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5301A533" w14:textId="77777777" w:rsidR="00F566FC" w:rsidRPr="00A66F1A" w:rsidRDefault="001C4A4D">
      <w:pPr>
        <w:tabs>
          <w:tab w:val="left" w:pos="851"/>
        </w:tabs>
        <w:spacing w:line="360" w:lineRule="auto"/>
        <w:ind w:left="567" w:right="560"/>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d) La afectación generada en la situación jurídica de la persona involucrada en el proceso:</w:t>
      </w:r>
      <w:r w:rsidRPr="00A66F1A">
        <w:rPr>
          <w:rFonts w:ascii="Palatino Linotype" w:eastAsia="Palatino Linotype" w:hAnsi="Palatino Linotype" w:cs="Palatino Linotype"/>
          <w:sz w:val="22"/>
          <w:szCs w:val="22"/>
        </w:rPr>
        <w:t xml:space="preserve"> Violación a sus derechos humanos.</w:t>
      </w:r>
    </w:p>
    <w:p w14:paraId="012B8925" w14:textId="77777777" w:rsidR="00F566FC" w:rsidRPr="00A66F1A" w:rsidRDefault="00F566FC">
      <w:pPr>
        <w:spacing w:line="360" w:lineRule="auto"/>
        <w:ind w:right="49"/>
        <w:jc w:val="both"/>
        <w:rPr>
          <w:rFonts w:ascii="Palatino Linotype" w:eastAsia="Palatino Linotype" w:hAnsi="Palatino Linotype" w:cs="Palatino Linotype"/>
          <w:sz w:val="22"/>
          <w:szCs w:val="22"/>
        </w:rPr>
      </w:pPr>
    </w:p>
    <w:p w14:paraId="7E390E54"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DE7AE11"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 </w:t>
      </w:r>
    </w:p>
    <w:p w14:paraId="6C0DA9CD"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A66F1A">
        <w:rPr>
          <w:rFonts w:ascii="Palatino Linotype" w:eastAsia="Palatino Linotype" w:hAnsi="Palatino Linotype" w:cs="Palatino Linotype"/>
          <w:b/>
          <w:bCs/>
          <w:sz w:val="22"/>
          <w:szCs w:val="22"/>
        </w:rPr>
        <w:t>TÉRMINOS PROCESALES. PARA DETERMINAR SI UN FUNCIONARIO JUDICIAL ACTUÓ INDEBIDAMENTE POR NO RESPETARLOS SE DEBE ATENDER AL PRESUPUESTO QUE CONSIDERÓ EL LEGISLADOR AL FIJARLOS Y LAS CARACTERÍSTICAS DEL CASO.”</w:t>
      </w:r>
      <w:r w:rsidRPr="00A66F1A">
        <w:rPr>
          <w:rFonts w:ascii="Palatino Linotype" w:eastAsia="Palatino Linotype" w:hAnsi="Palatino Linotype" w:cs="Palatino Linotype"/>
          <w:sz w:val="22"/>
          <w:szCs w:val="22"/>
        </w:rPr>
        <w:t>, visible en la Gaceta del Seminario Judicial de la Federación con el registro digital 205635.</w:t>
      </w:r>
    </w:p>
    <w:p w14:paraId="6337FF67"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 </w:t>
      </w:r>
    </w:p>
    <w:p w14:paraId="764DFBD7"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C356C0" w14:textId="77777777" w:rsidR="00F566FC" w:rsidRPr="00A66F1A" w:rsidRDefault="00F566FC">
      <w:pPr>
        <w:spacing w:line="360" w:lineRule="auto"/>
        <w:ind w:right="49"/>
        <w:jc w:val="both"/>
        <w:rPr>
          <w:rFonts w:ascii="Palatino Linotype" w:eastAsia="Palatino Linotype" w:hAnsi="Palatino Linotype" w:cs="Palatino Linotype"/>
          <w:sz w:val="22"/>
          <w:szCs w:val="22"/>
        </w:rPr>
      </w:pPr>
    </w:p>
    <w:p w14:paraId="68E3D01A"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6B352CF" w14:textId="77777777" w:rsidR="00F566FC" w:rsidRPr="00A66F1A" w:rsidRDefault="00F566FC">
      <w:pPr>
        <w:spacing w:line="360" w:lineRule="auto"/>
        <w:ind w:right="49"/>
        <w:jc w:val="both"/>
        <w:rPr>
          <w:rFonts w:ascii="Palatino Linotype" w:eastAsia="Palatino Linotype" w:hAnsi="Palatino Linotype" w:cs="Palatino Linotype"/>
          <w:sz w:val="22"/>
          <w:szCs w:val="22"/>
        </w:rPr>
      </w:pPr>
    </w:p>
    <w:p w14:paraId="287C8F1D" w14:textId="77777777" w:rsidR="00F566FC" w:rsidRPr="00A66F1A" w:rsidRDefault="001C4A4D">
      <w:pPr>
        <w:spacing w:line="360" w:lineRule="auto"/>
        <w:ind w:left="567" w:right="560"/>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 xml:space="preserve"> “PLAZO RAZONABLE PARA RESOLVER. DIMENSIÓN Y EFECTOS DE ESTE CONCEPTO CUANDO SE ADUCE EXCESIVA CARGA DE TRABAJO.”</w:t>
      </w:r>
      <w:r w:rsidRPr="00A66F1A">
        <w:rPr>
          <w:rFonts w:ascii="Palatino Linotype" w:eastAsia="Palatino Linotype" w:hAnsi="Palatino Linotype" w:cs="Palatino Linotype"/>
          <w:sz w:val="22"/>
          <w:szCs w:val="22"/>
        </w:rPr>
        <w:t xml:space="preserve"> consultable en el Seminario Judicial de la Federación y su gaceta, con el registro digital 2002351.</w:t>
      </w:r>
    </w:p>
    <w:p w14:paraId="4D8B230D" w14:textId="77777777" w:rsidR="00F566FC" w:rsidRPr="00A66F1A" w:rsidRDefault="001C4A4D">
      <w:pPr>
        <w:spacing w:line="360" w:lineRule="auto"/>
        <w:ind w:left="567" w:right="560"/>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“PLAZO RAZONABLE PARA RESOLVER. CONCEPTO Y ELEMENTOS QUE LO INTEGRAN A LA LUZ DEL DERECHO INTERNACIONAL DE LOS DERECHOS HUMANOS.”,</w:t>
      </w:r>
      <w:r w:rsidRPr="00A66F1A">
        <w:rPr>
          <w:rFonts w:ascii="Palatino Linotype" w:eastAsia="Palatino Linotype" w:hAnsi="Palatino Linotype" w:cs="Palatino Linotype"/>
          <w:sz w:val="22"/>
          <w:szCs w:val="22"/>
        </w:rPr>
        <w:t xml:space="preserve"> visible en el Seminario Judicial de la Federación y su gaceta, con el registro digital 2002350.</w:t>
      </w:r>
    </w:p>
    <w:p w14:paraId="6DCC898E" w14:textId="77777777" w:rsidR="00F566FC" w:rsidRPr="00A66F1A" w:rsidRDefault="00F566F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AC5F2A3" w14:textId="77777777" w:rsidR="00F566FC" w:rsidRPr="00A66F1A" w:rsidRDefault="001C4A4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Por ello, este organismo garante comprometido con la tutela de los derechos humanos confiados señala que este exceso del plazo legal para resolver el presente asunto resulta de carácter excepcional. </w:t>
      </w:r>
    </w:p>
    <w:p w14:paraId="76FA4056" w14:textId="77777777" w:rsidR="00F566FC" w:rsidRPr="00A66F1A" w:rsidRDefault="00F566F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9831D5F"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360AC8B6" w14:textId="77777777" w:rsidR="00F566FC" w:rsidRPr="00A66F1A" w:rsidRDefault="00F566FC">
      <w:pPr>
        <w:spacing w:line="360" w:lineRule="auto"/>
        <w:ind w:right="49"/>
        <w:jc w:val="both"/>
        <w:rPr>
          <w:rFonts w:ascii="Palatino Linotype" w:eastAsia="Palatino Linotype" w:hAnsi="Palatino Linotype" w:cs="Palatino Linotype"/>
          <w:sz w:val="22"/>
          <w:szCs w:val="22"/>
        </w:rPr>
      </w:pPr>
    </w:p>
    <w:p w14:paraId="56C2CA0E" w14:textId="77777777" w:rsidR="00F566FC" w:rsidRPr="00A66F1A" w:rsidRDefault="001C4A4D">
      <w:pPr>
        <w:spacing w:line="360" w:lineRule="auto"/>
        <w:ind w:right="49"/>
        <w:jc w:val="center"/>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II.</w:t>
      </w:r>
      <w:r w:rsidRPr="00A66F1A">
        <w:rPr>
          <w:rFonts w:ascii="Palatino Linotype" w:eastAsia="Palatino Linotype" w:hAnsi="Palatino Linotype" w:cs="Palatino Linotype"/>
          <w:b/>
          <w:bCs/>
          <w:sz w:val="22"/>
          <w:szCs w:val="22"/>
        </w:rPr>
        <w:tab/>
        <w:t>C O N S I D E R A N D O:</w:t>
      </w:r>
    </w:p>
    <w:p w14:paraId="09CE500F" w14:textId="77777777" w:rsidR="00F566FC" w:rsidRPr="00A66F1A" w:rsidRDefault="00F566FC">
      <w:pPr>
        <w:spacing w:line="360" w:lineRule="auto"/>
        <w:ind w:right="49"/>
        <w:jc w:val="both"/>
        <w:rPr>
          <w:rFonts w:ascii="Palatino Linotype" w:eastAsia="Palatino Linotype" w:hAnsi="Palatino Linotype" w:cs="Palatino Linotype"/>
          <w:sz w:val="22"/>
          <w:szCs w:val="22"/>
        </w:rPr>
      </w:pPr>
    </w:p>
    <w:p w14:paraId="4AE2022D"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Primero. Competencia.</w:t>
      </w:r>
      <w:r w:rsidRPr="00A66F1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B7A5110" w14:textId="77777777" w:rsidR="00F566FC" w:rsidRPr="00A66F1A" w:rsidRDefault="001C4A4D">
      <w:pPr>
        <w:spacing w:before="240" w:after="240"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 xml:space="preserve">Segundo. Oportunidad y Procedibilidad del Recurso de Revisión. </w:t>
      </w:r>
      <w:r w:rsidRPr="00A66F1A">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E84AF0C" w14:textId="77777777" w:rsidR="00F566FC" w:rsidRPr="00A66F1A" w:rsidRDefault="001C4A4D">
      <w:pPr>
        <w:spacing w:before="240" w:after="240"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433C5034" w14:textId="77777777" w:rsidR="00F566FC" w:rsidRPr="00A66F1A" w:rsidRDefault="001C4A4D">
      <w:pPr>
        <w:spacing w:line="276" w:lineRule="auto"/>
        <w:ind w:left="851" w:right="900"/>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 xml:space="preserve">“Artículo 178. </w:t>
      </w:r>
      <w:r w:rsidRPr="00A66F1A">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BDDA3A5" w14:textId="77777777" w:rsidR="00F566FC" w:rsidRPr="00A66F1A" w:rsidRDefault="001C4A4D">
      <w:pPr>
        <w:spacing w:before="240" w:after="240"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A66F1A">
        <w:rPr>
          <w:rFonts w:ascii="Palatino Linotype" w:eastAsia="Palatino Linotype" w:hAnsi="Palatino Linotype" w:cs="Palatino Linotype"/>
          <w:b/>
          <w:bCs/>
          <w:sz w:val="22"/>
          <w:szCs w:val="22"/>
        </w:rPr>
        <w:t>SUJETO OBLIGADO</w:t>
      </w:r>
      <w:r w:rsidRPr="00A66F1A">
        <w:rPr>
          <w:rFonts w:ascii="Palatino Linotype" w:eastAsia="Palatino Linotype" w:hAnsi="Palatino Linotype" w:cs="Palatino Linotype"/>
          <w:sz w:val="22"/>
          <w:szCs w:val="22"/>
        </w:rPr>
        <w:t xml:space="preserve"> remitió la respuesta a la solicitud de información el día </w:t>
      </w:r>
      <w:r w:rsidRPr="00A66F1A">
        <w:rPr>
          <w:rFonts w:ascii="Palatino Linotype" w:eastAsia="Palatino Linotype" w:hAnsi="Palatino Linotype" w:cs="Palatino Linotype"/>
          <w:b/>
          <w:bCs/>
          <w:sz w:val="22"/>
          <w:szCs w:val="22"/>
        </w:rPr>
        <w:t xml:space="preserve">veintiuno de mayo de dos mil veinticinco, </w:t>
      </w:r>
      <w:r w:rsidRPr="00A66F1A">
        <w:rPr>
          <w:rFonts w:ascii="Palatino Linotype" w:eastAsia="Palatino Linotype" w:hAnsi="Palatino Linotype" w:cs="Palatino Linotype"/>
          <w:sz w:val="22"/>
          <w:szCs w:val="22"/>
        </w:rPr>
        <w:t xml:space="preserve">mientras que el recurso de revisión interpuesto por la parte </w:t>
      </w:r>
      <w:r w:rsidRPr="00A66F1A">
        <w:rPr>
          <w:rFonts w:ascii="Palatino Linotype" w:eastAsia="Palatino Linotype" w:hAnsi="Palatino Linotype" w:cs="Palatino Linotype"/>
          <w:b/>
          <w:bCs/>
          <w:sz w:val="22"/>
          <w:szCs w:val="22"/>
        </w:rPr>
        <w:t>RECURRENTE</w:t>
      </w:r>
      <w:r w:rsidRPr="00A66F1A">
        <w:rPr>
          <w:rFonts w:ascii="Palatino Linotype" w:eastAsia="Palatino Linotype" w:hAnsi="Palatino Linotype" w:cs="Palatino Linotype"/>
          <w:sz w:val="22"/>
          <w:szCs w:val="22"/>
        </w:rPr>
        <w:t xml:space="preserve">, se tuvo por presentado el </w:t>
      </w:r>
      <w:r w:rsidRPr="00A66F1A">
        <w:rPr>
          <w:rFonts w:ascii="Palatino Linotype" w:eastAsia="Palatino Linotype" w:hAnsi="Palatino Linotype" w:cs="Palatino Linotype"/>
          <w:b/>
          <w:bCs/>
          <w:sz w:val="22"/>
          <w:szCs w:val="22"/>
        </w:rPr>
        <w:t>once de junio del año dos mil veinticinco</w:t>
      </w:r>
      <w:r w:rsidRPr="00A66F1A">
        <w:rPr>
          <w:rFonts w:ascii="Palatino Linotype" w:eastAsia="Palatino Linotype" w:hAnsi="Palatino Linotype" w:cs="Palatino Linotype"/>
          <w:sz w:val="22"/>
          <w:szCs w:val="22"/>
        </w:rPr>
        <w:t xml:space="preserve">; esto es, al </w:t>
      </w:r>
      <w:r w:rsidRPr="00A66F1A">
        <w:rPr>
          <w:rFonts w:ascii="Palatino Linotype" w:eastAsia="Palatino Linotype" w:hAnsi="Palatino Linotype" w:cs="Palatino Linotype"/>
          <w:b/>
          <w:bCs/>
          <w:sz w:val="22"/>
          <w:szCs w:val="22"/>
        </w:rPr>
        <w:t xml:space="preserve">décimo quinto día hábil </w:t>
      </w:r>
      <w:r w:rsidRPr="00A66F1A">
        <w:rPr>
          <w:rFonts w:ascii="Palatino Linotype" w:eastAsia="Palatino Linotype" w:hAnsi="Palatino Linotype" w:cs="Palatino Linotype"/>
          <w:sz w:val="22"/>
          <w:szCs w:val="22"/>
        </w:rPr>
        <w:t>siguiente al que se tuvo conocimiento de la respuesta respectivamente.</w:t>
      </w:r>
    </w:p>
    <w:p w14:paraId="00DBD919" w14:textId="77777777" w:rsidR="00F566FC" w:rsidRPr="00A66F1A" w:rsidRDefault="001C4A4D">
      <w:pPr>
        <w:spacing w:before="240" w:after="240"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14:paraId="0D2433C8" w14:textId="77777777" w:rsidR="00F566FC" w:rsidRPr="00A66F1A" w:rsidRDefault="001C4A4D">
      <w:pPr>
        <w:spacing w:line="360" w:lineRule="auto"/>
        <w:ind w:left="851" w:right="1041"/>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w:t>
      </w:r>
      <w:r w:rsidRPr="00A66F1A">
        <w:rPr>
          <w:rFonts w:ascii="Palatino Linotype" w:eastAsia="Palatino Linotype" w:hAnsi="Palatino Linotype" w:cs="Palatino Linotype"/>
          <w:b/>
          <w:bCs/>
          <w:i/>
          <w:iCs/>
          <w:sz w:val="22"/>
          <w:szCs w:val="22"/>
        </w:rPr>
        <w:t xml:space="preserve">Artículo 179. </w:t>
      </w:r>
      <w:r w:rsidRPr="00A66F1A">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40E32CC4" w14:textId="77777777" w:rsidR="00F566FC" w:rsidRPr="00A66F1A" w:rsidRDefault="001C4A4D">
      <w:pPr>
        <w:spacing w:line="360" w:lineRule="auto"/>
        <w:ind w:left="851" w:right="1041"/>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w:t>
      </w:r>
    </w:p>
    <w:p w14:paraId="66392784" w14:textId="77777777" w:rsidR="00F566FC" w:rsidRPr="00A66F1A" w:rsidRDefault="001C4A4D">
      <w:pPr>
        <w:spacing w:line="360" w:lineRule="auto"/>
        <w:ind w:left="851" w:right="1041"/>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v. la entrega de información incompleta</w:t>
      </w:r>
      <w:r w:rsidRPr="00A66F1A">
        <w:rPr>
          <w:rFonts w:ascii="Palatino Linotype" w:eastAsia="Palatino Linotype" w:hAnsi="Palatino Linotype" w:cs="Palatino Linotype"/>
          <w:i/>
          <w:iCs/>
          <w:sz w:val="22"/>
          <w:szCs w:val="22"/>
        </w:rPr>
        <w:t>;</w:t>
      </w:r>
    </w:p>
    <w:p w14:paraId="39ADE00D" w14:textId="77777777" w:rsidR="00F566FC" w:rsidRPr="00A66F1A" w:rsidRDefault="001C4A4D">
      <w:pPr>
        <w:spacing w:line="360" w:lineRule="auto"/>
        <w:ind w:left="851" w:right="1041"/>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w:t>
      </w:r>
    </w:p>
    <w:p w14:paraId="5E79182E" w14:textId="77777777" w:rsidR="00F566FC" w:rsidRPr="00A66F1A" w:rsidRDefault="001C4A4D">
      <w:pPr>
        <w:spacing w:before="240" w:after="240"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 xml:space="preserve">Tercero. Materia de la revisión. </w:t>
      </w:r>
      <w:r w:rsidRPr="00A66F1A">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A66F1A">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A66F1A">
        <w:rPr>
          <w:rFonts w:ascii="Palatino Linotype" w:eastAsia="Palatino Linotype" w:hAnsi="Palatino Linotype" w:cs="Palatino Linotype"/>
          <w:sz w:val="22"/>
          <w:szCs w:val="22"/>
        </w:rPr>
        <w:t xml:space="preserve">de la parte </w:t>
      </w:r>
      <w:r w:rsidRPr="00A66F1A">
        <w:rPr>
          <w:rFonts w:ascii="Palatino Linotype" w:eastAsia="Palatino Linotype" w:hAnsi="Palatino Linotype" w:cs="Palatino Linotype"/>
          <w:b/>
          <w:bCs/>
          <w:sz w:val="22"/>
          <w:szCs w:val="22"/>
        </w:rPr>
        <w:t>Recurrente</w:t>
      </w:r>
      <w:r w:rsidRPr="00A66F1A">
        <w:rPr>
          <w:rFonts w:ascii="Palatino Linotype" w:eastAsia="Palatino Linotype" w:hAnsi="Palatino Linotype" w:cs="Palatino Linotype"/>
          <w:sz w:val="22"/>
          <w:szCs w:val="22"/>
        </w:rPr>
        <w:t>, o en su defecto, en caso de ser procedente, ordenar la entrega de información.</w:t>
      </w:r>
    </w:p>
    <w:p w14:paraId="66A18529"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 xml:space="preserve">Cuarto. Estudio del asunto. </w:t>
      </w:r>
      <w:r w:rsidRPr="00A66F1A">
        <w:rPr>
          <w:rFonts w:ascii="Palatino Linotype" w:eastAsia="Palatino Linotype" w:hAnsi="Palatino Linotype" w:cs="Palatino Linotype"/>
          <w:sz w:val="22"/>
          <w:szCs w:val="22"/>
        </w:rPr>
        <w:t xml:space="preserve">En principio, es conveniente analizar si la respuesta como el informe justificado del </w:t>
      </w:r>
      <w:r w:rsidRPr="00A66F1A">
        <w:rPr>
          <w:rFonts w:ascii="Palatino Linotype" w:eastAsia="Palatino Linotype" w:hAnsi="Palatino Linotype" w:cs="Palatino Linotype"/>
          <w:b/>
          <w:bCs/>
          <w:sz w:val="22"/>
          <w:szCs w:val="22"/>
        </w:rPr>
        <w:t>SUJETO OBLIGADO</w:t>
      </w:r>
      <w:r w:rsidRPr="00A66F1A">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D7E57AD"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52F66342" w14:textId="77777777" w:rsidR="00F566FC" w:rsidRPr="00A66F1A" w:rsidRDefault="001C4A4D">
      <w:pPr>
        <w:spacing w:line="276" w:lineRule="auto"/>
        <w:ind w:left="567" w:right="616"/>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w:t>
      </w:r>
      <w:r w:rsidRPr="00A66F1A">
        <w:rPr>
          <w:rFonts w:ascii="Palatino Linotype" w:eastAsia="Palatino Linotype" w:hAnsi="Palatino Linotype" w:cs="Palatino Linotype"/>
          <w:b/>
          <w:bCs/>
          <w:i/>
          <w:iCs/>
          <w:sz w:val="22"/>
          <w:szCs w:val="22"/>
        </w:rPr>
        <w:t>Artículo 4</w:t>
      </w:r>
      <w:r w:rsidRPr="00A66F1A">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14ACBE5" w14:textId="77777777" w:rsidR="00F566FC" w:rsidRPr="00A66F1A" w:rsidRDefault="001C4A4D">
      <w:pPr>
        <w:spacing w:line="276" w:lineRule="auto"/>
        <w:ind w:left="567" w:right="616"/>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A66F1A">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D7CDFC4" w14:textId="77777777" w:rsidR="00F566FC" w:rsidRPr="00A66F1A" w:rsidRDefault="001C4A4D">
      <w:pPr>
        <w:spacing w:line="276" w:lineRule="auto"/>
        <w:ind w:left="567" w:right="616"/>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A66F1A">
        <w:rPr>
          <w:rFonts w:ascii="Palatino Linotype" w:eastAsia="Palatino Linotype" w:hAnsi="Palatino Linotype" w:cs="Palatino Linotype"/>
          <w:i/>
          <w:iCs/>
          <w:sz w:val="22"/>
          <w:szCs w:val="22"/>
        </w:rPr>
        <w:t>.”</w:t>
      </w:r>
    </w:p>
    <w:p w14:paraId="7AA1384B" w14:textId="77777777" w:rsidR="00F566FC" w:rsidRPr="00A66F1A" w:rsidRDefault="00F566FC">
      <w:pPr>
        <w:spacing w:line="276" w:lineRule="auto"/>
        <w:jc w:val="both"/>
        <w:rPr>
          <w:rFonts w:ascii="Palatino Linotype" w:eastAsia="Palatino Linotype" w:hAnsi="Palatino Linotype" w:cs="Palatino Linotype"/>
          <w:sz w:val="22"/>
          <w:szCs w:val="22"/>
        </w:rPr>
      </w:pPr>
    </w:p>
    <w:p w14:paraId="15F98A23"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13521FB"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0E6555AE" w14:textId="77777777" w:rsidR="00F566FC" w:rsidRPr="00A66F1A" w:rsidRDefault="001C4A4D">
      <w:pPr>
        <w:spacing w:line="276" w:lineRule="auto"/>
        <w:ind w:left="567" w:right="616"/>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“Artículo 12.-</w:t>
      </w:r>
      <w:r w:rsidRPr="00A66F1A">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6094B03A" w14:textId="77777777" w:rsidR="00F566FC" w:rsidRPr="00A66F1A" w:rsidRDefault="00F566FC">
      <w:pPr>
        <w:spacing w:line="276" w:lineRule="auto"/>
        <w:ind w:left="567" w:right="616"/>
        <w:jc w:val="both"/>
        <w:rPr>
          <w:rFonts w:ascii="Palatino Linotype" w:eastAsia="Palatino Linotype" w:hAnsi="Palatino Linotype" w:cs="Palatino Linotype"/>
          <w:i/>
          <w:iCs/>
          <w:sz w:val="22"/>
          <w:szCs w:val="22"/>
        </w:rPr>
      </w:pPr>
    </w:p>
    <w:p w14:paraId="43398DDE" w14:textId="77777777" w:rsidR="00F566FC" w:rsidRPr="00A66F1A" w:rsidRDefault="001C4A4D">
      <w:pPr>
        <w:spacing w:line="276" w:lineRule="auto"/>
        <w:ind w:left="567" w:right="616"/>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A66F1A">
        <w:rPr>
          <w:rFonts w:ascii="Palatino Linotype" w:eastAsia="Palatino Linotype" w:hAnsi="Palatino Linotype" w:cs="Palatino Linotype"/>
          <w:i/>
          <w:iCs/>
          <w:sz w:val="22"/>
          <w:szCs w:val="22"/>
        </w:rPr>
        <w:t xml:space="preserve">. </w:t>
      </w:r>
      <w:r w:rsidRPr="00A66F1A">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2044D9A" w14:textId="77777777" w:rsidR="00F566FC" w:rsidRPr="00A66F1A" w:rsidRDefault="00F566FC">
      <w:pPr>
        <w:spacing w:line="360" w:lineRule="auto"/>
        <w:ind w:right="-93"/>
        <w:jc w:val="both"/>
        <w:rPr>
          <w:rFonts w:ascii="Palatino Linotype" w:eastAsia="Palatino Linotype" w:hAnsi="Palatino Linotype" w:cs="Palatino Linotype"/>
          <w:sz w:val="22"/>
          <w:szCs w:val="22"/>
        </w:rPr>
      </w:pPr>
    </w:p>
    <w:p w14:paraId="4A21B927" w14:textId="77777777" w:rsidR="00F566FC" w:rsidRPr="00A66F1A" w:rsidRDefault="001C4A4D">
      <w:pPr>
        <w:spacing w:line="360" w:lineRule="auto"/>
        <w:ind w:right="-93"/>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AC8ED74" w14:textId="77777777" w:rsidR="00F566FC" w:rsidRPr="00A66F1A" w:rsidRDefault="00F566FC">
      <w:pPr>
        <w:spacing w:line="360" w:lineRule="auto"/>
        <w:ind w:right="-93"/>
        <w:jc w:val="both"/>
        <w:rPr>
          <w:rFonts w:ascii="Palatino Linotype" w:eastAsia="Palatino Linotype" w:hAnsi="Palatino Linotype" w:cs="Palatino Linotype"/>
          <w:sz w:val="22"/>
          <w:szCs w:val="22"/>
        </w:rPr>
      </w:pPr>
    </w:p>
    <w:p w14:paraId="594A3E46" w14:textId="77777777" w:rsidR="00F566FC" w:rsidRPr="00A66F1A" w:rsidRDefault="001C4A4D">
      <w:pPr>
        <w:spacing w:line="360" w:lineRule="auto"/>
        <w:ind w:right="-93"/>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A66F1A">
        <w:rPr>
          <w:rFonts w:ascii="Palatino Linotype" w:eastAsia="Palatino Linotype" w:hAnsi="Palatino Linotype" w:cs="Palatino Linotype"/>
          <w:b/>
          <w:bCs/>
          <w:sz w:val="22"/>
          <w:szCs w:val="22"/>
        </w:rPr>
        <w:t xml:space="preserve"> </w:t>
      </w:r>
    </w:p>
    <w:p w14:paraId="1043FA0B" w14:textId="77777777" w:rsidR="00F566FC" w:rsidRPr="00A66F1A" w:rsidRDefault="00F566FC">
      <w:pPr>
        <w:spacing w:line="360" w:lineRule="auto"/>
        <w:jc w:val="both"/>
        <w:rPr>
          <w:rFonts w:ascii="Palatino Linotype" w:eastAsia="Palatino Linotype" w:hAnsi="Palatino Linotype" w:cs="Palatino Linotype"/>
          <w:b/>
          <w:bCs/>
          <w:sz w:val="22"/>
          <w:szCs w:val="22"/>
        </w:rPr>
      </w:pPr>
    </w:p>
    <w:p w14:paraId="1ADC4014" w14:textId="77777777" w:rsidR="00F566FC" w:rsidRPr="00A66F1A" w:rsidRDefault="001C4A4D">
      <w:pPr>
        <w:ind w:left="567" w:right="616"/>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w:t>
      </w:r>
      <w:r w:rsidRPr="00A66F1A">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A66F1A">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E930F11" w14:textId="77777777" w:rsidR="00F566FC" w:rsidRPr="00A66F1A" w:rsidRDefault="00F566FC">
      <w:pPr>
        <w:spacing w:line="360" w:lineRule="auto"/>
        <w:ind w:right="-93"/>
        <w:jc w:val="both"/>
        <w:rPr>
          <w:rFonts w:ascii="Palatino Linotype" w:eastAsia="Palatino Linotype" w:hAnsi="Palatino Linotype" w:cs="Palatino Linotype"/>
          <w:sz w:val="22"/>
          <w:szCs w:val="22"/>
        </w:rPr>
      </w:pPr>
    </w:p>
    <w:p w14:paraId="3AB5C3D0"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A25C4B9"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45F8D5F5" w14:textId="77777777" w:rsidR="00F566FC" w:rsidRPr="00A66F1A" w:rsidRDefault="001C4A4D">
      <w:pP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634EF4B" w14:textId="77777777" w:rsidR="00F566FC" w:rsidRPr="00A66F1A" w:rsidRDefault="00F566FC">
      <w:pPr>
        <w:spacing w:line="360" w:lineRule="auto"/>
        <w:ind w:right="49"/>
        <w:jc w:val="both"/>
        <w:rPr>
          <w:rFonts w:ascii="Palatino Linotype" w:eastAsia="Palatino Linotype" w:hAnsi="Palatino Linotype" w:cs="Palatino Linotype"/>
          <w:sz w:val="22"/>
          <w:szCs w:val="22"/>
        </w:rPr>
      </w:pPr>
    </w:p>
    <w:p w14:paraId="67CD0189"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EC0D72F" w14:textId="77777777" w:rsidR="00F566FC" w:rsidRPr="00A66F1A" w:rsidRDefault="00F566FC">
      <w:pPr>
        <w:spacing w:line="360" w:lineRule="auto"/>
        <w:ind w:left="567" w:right="616"/>
        <w:jc w:val="both"/>
        <w:rPr>
          <w:rFonts w:ascii="Palatino Linotype" w:eastAsia="Palatino Linotype" w:hAnsi="Palatino Linotype" w:cs="Palatino Linotype"/>
          <w:i/>
          <w:iCs/>
          <w:sz w:val="22"/>
          <w:szCs w:val="22"/>
        </w:rPr>
      </w:pPr>
    </w:p>
    <w:p w14:paraId="070C0DEE" w14:textId="77777777" w:rsidR="00F566FC" w:rsidRPr="00A66F1A" w:rsidRDefault="001C4A4D">
      <w:pPr>
        <w:ind w:left="567" w:right="616"/>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w:t>
      </w:r>
      <w:r w:rsidRPr="00A66F1A">
        <w:rPr>
          <w:rFonts w:ascii="Palatino Linotype" w:eastAsia="Palatino Linotype" w:hAnsi="Palatino Linotype" w:cs="Palatino Linotype"/>
          <w:b/>
          <w:bCs/>
          <w:i/>
          <w:iCs/>
          <w:sz w:val="22"/>
          <w:szCs w:val="22"/>
        </w:rPr>
        <w:t xml:space="preserve">Artículo 3. </w:t>
      </w:r>
      <w:r w:rsidRPr="00A66F1A">
        <w:rPr>
          <w:rFonts w:ascii="Palatino Linotype" w:eastAsia="Palatino Linotype" w:hAnsi="Palatino Linotype" w:cs="Palatino Linotype"/>
          <w:i/>
          <w:iCs/>
          <w:sz w:val="22"/>
          <w:szCs w:val="22"/>
        </w:rPr>
        <w:t>Para los efectos de la presente Ley se entenderá por:</w:t>
      </w:r>
    </w:p>
    <w:p w14:paraId="747F0D7E" w14:textId="77777777" w:rsidR="00F566FC" w:rsidRPr="00A66F1A" w:rsidRDefault="001C4A4D">
      <w:pPr>
        <w:ind w:left="567" w:right="616"/>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w:t>
      </w:r>
    </w:p>
    <w:p w14:paraId="49359727" w14:textId="77777777" w:rsidR="00F566FC" w:rsidRPr="00A66F1A" w:rsidRDefault="001C4A4D">
      <w:pPr>
        <w:ind w:left="567" w:right="616"/>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XI. Documento:</w:t>
      </w:r>
      <w:r w:rsidRPr="00A66F1A">
        <w:rPr>
          <w:rFonts w:ascii="Palatino Linotype" w:eastAsia="Palatino Linotype" w:hAnsi="Palatino Linotype" w:cs="Palatino Linotype"/>
          <w:i/>
          <w:iCs/>
          <w:sz w:val="22"/>
          <w:szCs w:val="22"/>
        </w:rPr>
        <w:t xml:space="preserve"> Los expedientes, reportes, estudios, actas</w:t>
      </w:r>
      <w:r w:rsidRPr="00A66F1A">
        <w:rPr>
          <w:rFonts w:ascii="Palatino Linotype" w:eastAsia="Palatino Linotype" w:hAnsi="Palatino Linotype" w:cs="Palatino Linotype"/>
          <w:b/>
          <w:bCs/>
          <w:i/>
          <w:iCs/>
          <w:sz w:val="22"/>
          <w:szCs w:val="22"/>
        </w:rPr>
        <w:t>,</w:t>
      </w:r>
      <w:r w:rsidRPr="00A66F1A">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7F4A117" w14:textId="77777777" w:rsidR="00F566FC" w:rsidRPr="00A66F1A" w:rsidRDefault="00F566FC">
      <w:pPr>
        <w:spacing w:line="360" w:lineRule="auto"/>
        <w:ind w:left="851" w:right="899"/>
        <w:jc w:val="both"/>
        <w:rPr>
          <w:rFonts w:ascii="Palatino Linotype" w:eastAsia="Palatino Linotype" w:hAnsi="Palatino Linotype" w:cs="Palatino Linotype"/>
          <w:sz w:val="22"/>
          <w:szCs w:val="22"/>
        </w:rPr>
      </w:pPr>
    </w:p>
    <w:p w14:paraId="6ED4B4BD"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1269824"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70A7830E" w14:textId="77777777" w:rsidR="00F566FC" w:rsidRPr="00A66F1A" w:rsidRDefault="001C4A4D">
      <w:pPr>
        <w:ind w:left="567" w:right="616"/>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sz w:val="22"/>
          <w:szCs w:val="22"/>
        </w:rPr>
        <w:t>“</w:t>
      </w:r>
      <w:r w:rsidRPr="00A66F1A">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A66F1A">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55B922A" w14:textId="77777777" w:rsidR="00F566FC" w:rsidRPr="00A66F1A" w:rsidRDefault="001C4A4D">
      <w:pPr>
        <w:ind w:left="567" w:right="616"/>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05034C9F" w14:textId="77777777" w:rsidR="00F566FC" w:rsidRPr="00A66F1A" w:rsidRDefault="001C4A4D">
      <w:pPr>
        <w:ind w:left="567" w:right="616"/>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6A9F30CC" w14:textId="77777777" w:rsidR="00F566FC" w:rsidRPr="00A66F1A" w:rsidRDefault="001C4A4D">
      <w:pPr>
        <w:ind w:left="567" w:right="616"/>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781FF56C" w14:textId="77777777" w:rsidR="00F566FC" w:rsidRPr="00A66F1A" w:rsidRDefault="001C4A4D">
      <w:pPr>
        <w:ind w:left="567" w:right="616"/>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7D171EFA" w14:textId="77777777" w:rsidR="00F566FC" w:rsidRPr="00A66F1A" w:rsidRDefault="00F566FC">
      <w:pPr>
        <w:tabs>
          <w:tab w:val="left" w:pos="8647"/>
        </w:tabs>
        <w:spacing w:line="360" w:lineRule="auto"/>
        <w:jc w:val="both"/>
        <w:rPr>
          <w:rFonts w:ascii="Palatino Linotype" w:eastAsia="Palatino Linotype" w:hAnsi="Palatino Linotype" w:cs="Palatino Linotype"/>
          <w:b/>
          <w:bCs/>
          <w:sz w:val="22"/>
          <w:szCs w:val="22"/>
        </w:rPr>
      </w:pPr>
    </w:p>
    <w:p w14:paraId="7B0C48A4" w14:textId="77777777" w:rsidR="00F566FC" w:rsidRPr="00A66F1A" w:rsidRDefault="001C4A4D">
      <w:pPr>
        <w:spacing w:after="240" w:line="360" w:lineRule="auto"/>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Pr="00A66F1A">
        <w:rPr>
          <w:rFonts w:ascii="Palatino Linotype" w:eastAsia="Palatino Linotype" w:hAnsi="Palatino Linotype" w:cs="Palatino Linotype"/>
          <w:b/>
          <w:bCs/>
          <w:sz w:val="20"/>
          <w:szCs w:val="20"/>
        </w:rPr>
        <w:t>Ayuntamiento de Toluca</w:t>
      </w:r>
      <w:r w:rsidRPr="00A66F1A">
        <w:rPr>
          <w:rFonts w:ascii="Palatino Linotype" w:eastAsia="Palatino Linotype" w:hAnsi="Palatino Linotype" w:cs="Palatino Linotype"/>
          <w:b/>
          <w:bCs/>
          <w:sz w:val="22"/>
          <w:szCs w:val="22"/>
        </w:rPr>
        <w:t>, de los veintitrés comedores comunitarios, lo siguiente:</w:t>
      </w:r>
    </w:p>
    <w:p w14:paraId="214BA41B" w14:textId="77777777" w:rsidR="00F566FC" w:rsidRPr="00A66F1A" w:rsidRDefault="001C4A4D">
      <w:pPr>
        <w:numPr>
          <w:ilvl w:val="0"/>
          <w:numId w:val="5"/>
        </w:numPr>
        <w:pBdr>
          <w:top w:val="nil"/>
          <w:left w:val="nil"/>
          <w:bottom w:val="nil"/>
          <w:right w:val="nil"/>
          <w:between w:val="nil"/>
        </w:pBdr>
        <w:spacing w:line="360" w:lineRule="auto"/>
        <w:ind w:left="567" w:right="843"/>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Ubicación;</w:t>
      </w:r>
    </w:p>
    <w:p w14:paraId="6DE36244" w14:textId="77777777" w:rsidR="00F566FC" w:rsidRPr="00A66F1A" w:rsidRDefault="001C4A4D">
      <w:pPr>
        <w:numPr>
          <w:ilvl w:val="0"/>
          <w:numId w:val="5"/>
        </w:numPr>
        <w:pBdr>
          <w:top w:val="nil"/>
          <w:left w:val="nil"/>
          <w:bottom w:val="nil"/>
          <w:right w:val="nil"/>
          <w:between w:val="nil"/>
        </w:pBdr>
        <w:spacing w:line="360" w:lineRule="auto"/>
        <w:ind w:left="567" w:right="843"/>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 xml:space="preserve">Horario; </w:t>
      </w:r>
    </w:p>
    <w:p w14:paraId="473DCF53" w14:textId="77777777" w:rsidR="00F566FC" w:rsidRPr="00A66F1A" w:rsidRDefault="001C4A4D">
      <w:pPr>
        <w:numPr>
          <w:ilvl w:val="0"/>
          <w:numId w:val="5"/>
        </w:numPr>
        <w:pBdr>
          <w:top w:val="nil"/>
          <w:left w:val="nil"/>
          <w:bottom w:val="nil"/>
          <w:right w:val="nil"/>
          <w:between w:val="nil"/>
        </w:pBdr>
        <w:spacing w:line="360" w:lineRule="auto"/>
        <w:ind w:left="567" w:right="843"/>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Costo de Remodelación;</w:t>
      </w:r>
    </w:p>
    <w:p w14:paraId="29479079" w14:textId="77777777" w:rsidR="00F566FC" w:rsidRPr="00A66F1A" w:rsidRDefault="001C4A4D">
      <w:pPr>
        <w:numPr>
          <w:ilvl w:val="0"/>
          <w:numId w:val="5"/>
        </w:numPr>
        <w:pBdr>
          <w:top w:val="nil"/>
          <w:left w:val="nil"/>
          <w:bottom w:val="nil"/>
          <w:right w:val="nil"/>
          <w:between w:val="nil"/>
        </w:pBdr>
        <w:spacing w:line="360" w:lineRule="auto"/>
        <w:ind w:left="567" w:right="843"/>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Número de personas que atienden;</w:t>
      </w:r>
    </w:p>
    <w:p w14:paraId="397E4C52" w14:textId="77777777" w:rsidR="00F566FC" w:rsidRPr="00A66F1A" w:rsidRDefault="001C4A4D">
      <w:pPr>
        <w:numPr>
          <w:ilvl w:val="0"/>
          <w:numId w:val="5"/>
        </w:numPr>
        <w:pBdr>
          <w:top w:val="nil"/>
          <w:left w:val="nil"/>
          <w:bottom w:val="nil"/>
          <w:right w:val="nil"/>
          <w:between w:val="nil"/>
        </w:pBdr>
        <w:spacing w:line="360" w:lineRule="auto"/>
        <w:ind w:left="567" w:right="843"/>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Apoyos otorgados actualmente;</w:t>
      </w:r>
    </w:p>
    <w:p w14:paraId="3D42C1E0" w14:textId="77777777" w:rsidR="00F566FC" w:rsidRPr="00A66F1A" w:rsidRDefault="001C4A4D">
      <w:pPr>
        <w:numPr>
          <w:ilvl w:val="0"/>
          <w:numId w:val="5"/>
        </w:numPr>
        <w:pBdr>
          <w:top w:val="nil"/>
          <w:left w:val="nil"/>
          <w:bottom w:val="nil"/>
          <w:right w:val="nil"/>
          <w:between w:val="nil"/>
        </w:pBdr>
        <w:spacing w:line="360" w:lineRule="auto"/>
        <w:ind w:left="567" w:right="843"/>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Apoyos otorgados en 2023 y 2024.</w:t>
      </w:r>
    </w:p>
    <w:p w14:paraId="45149148" w14:textId="77777777" w:rsidR="00F566FC" w:rsidRPr="00A66F1A" w:rsidRDefault="00F566FC">
      <w:pPr>
        <w:spacing w:line="360" w:lineRule="auto"/>
        <w:ind w:right="-7"/>
        <w:jc w:val="both"/>
        <w:rPr>
          <w:rFonts w:ascii="Palatino Linotype" w:eastAsia="Palatino Linotype" w:hAnsi="Palatino Linotype" w:cs="Palatino Linotype"/>
          <w:sz w:val="22"/>
          <w:szCs w:val="22"/>
        </w:rPr>
      </w:pPr>
    </w:p>
    <w:p w14:paraId="41164801" w14:textId="77777777" w:rsidR="00F566FC" w:rsidRPr="00A66F1A" w:rsidRDefault="001C4A4D">
      <w:pPr>
        <w:spacing w:line="360" w:lineRule="auto"/>
        <w:ind w:right="-7"/>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A efecto de demostrar si la información que requirió el Recurrente sesatisface con la respuesta emitida por el Sujeto Obligado, es necesario realizar el siguiente cuadro comparativo:</w:t>
      </w:r>
    </w:p>
    <w:p w14:paraId="0ED527D5" w14:textId="77777777" w:rsidR="00F566FC" w:rsidRPr="00A66F1A" w:rsidRDefault="00F566FC">
      <w:pPr>
        <w:spacing w:line="360" w:lineRule="auto"/>
        <w:ind w:right="-7"/>
        <w:jc w:val="both"/>
        <w:rPr>
          <w:rFonts w:ascii="Palatino Linotype" w:eastAsia="Palatino Linotype" w:hAnsi="Palatino Linotype" w:cs="Palatino Linotype"/>
          <w:sz w:val="22"/>
          <w:szCs w:val="22"/>
        </w:rPr>
      </w:pPr>
    </w:p>
    <w:p w14:paraId="2265C536" w14:textId="77777777" w:rsidR="00F566FC" w:rsidRPr="00A66F1A" w:rsidRDefault="00F566FC">
      <w:pPr>
        <w:spacing w:line="360" w:lineRule="auto"/>
        <w:ind w:right="-7"/>
        <w:jc w:val="both"/>
        <w:rPr>
          <w:rFonts w:ascii="Palatino Linotype" w:eastAsia="Palatino Linotype" w:hAnsi="Palatino Linotype" w:cs="Palatino Linotype"/>
          <w:sz w:val="22"/>
          <w:szCs w:val="22"/>
        </w:rPr>
      </w:pPr>
    </w:p>
    <w:tbl>
      <w:tblPr>
        <w:tblStyle w:val="af6"/>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8"/>
        <w:gridCol w:w="3018"/>
        <w:gridCol w:w="3019"/>
      </w:tblGrid>
      <w:tr w:rsidR="00CA2D45" w:rsidRPr="00A66F1A" w14:paraId="3F910E9D" w14:textId="77777777">
        <w:tc>
          <w:tcPr>
            <w:tcW w:w="3018" w:type="dxa"/>
            <w:shd w:val="clear" w:color="auto" w:fill="E7E6E6"/>
          </w:tcPr>
          <w:p w14:paraId="354B7040" w14:textId="77777777" w:rsidR="00F566FC" w:rsidRPr="00A66F1A" w:rsidRDefault="001C4A4D">
            <w:pPr>
              <w:spacing w:line="360" w:lineRule="auto"/>
              <w:ind w:right="-7"/>
              <w:jc w:val="center"/>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Requerimiento respecto a los 23 comedores comunitarios</w:t>
            </w:r>
          </w:p>
        </w:tc>
        <w:tc>
          <w:tcPr>
            <w:tcW w:w="3018" w:type="dxa"/>
            <w:shd w:val="clear" w:color="auto" w:fill="E7E6E6"/>
          </w:tcPr>
          <w:p w14:paraId="2A1E139B" w14:textId="77777777" w:rsidR="00F566FC" w:rsidRPr="00A66F1A" w:rsidRDefault="001C4A4D">
            <w:pPr>
              <w:spacing w:line="360" w:lineRule="auto"/>
              <w:ind w:right="-7"/>
              <w:jc w:val="center"/>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Respuesta</w:t>
            </w:r>
          </w:p>
        </w:tc>
        <w:tc>
          <w:tcPr>
            <w:tcW w:w="3019" w:type="dxa"/>
            <w:shd w:val="clear" w:color="auto" w:fill="E7E6E6"/>
          </w:tcPr>
          <w:p w14:paraId="5EE2D84E" w14:textId="77777777" w:rsidR="00F566FC" w:rsidRPr="00A66F1A" w:rsidRDefault="001C4A4D">
            <w:pPr>
              <w:spacing w:line="360" w:lineRule="auto"/>
              <w:ind w:right="-7"/>
              <w:jc w:val="center"/>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¿Colma?</w:t>
            </w:r>
          </w:p>
        </w:tc>
      </w:tr>
      <w:tr w:rsidR="00CA2D45" w:rsidRPr="00A66F1A" w14:paraId="3E02D7B1" w14:textId="77777777">
        <w:tc>
          <w:tcPr>
            <w:tcW w:w="3018" w:type="dxa"/>
          </w:tcPr>
          <w:p w14:paraId="3AEA748D" w14:textId="77777777" w:rsidR="00F566FC" w:rsidRPr="00A66F1A" w:rsidRDefault="001C4A4D">
            <w:pPr>
              <w:spacing w:line="360" w:lineRule="auto"/>
              <w:ind w:right="-7"/>
              <w:jc w:val="center"/>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Ubicación</w:t>
            </w:r>
          </w:p>
        </w:tc>
        <w:tc>
          <w:tcPr>
            <w:tcW w:w="3018" w:type="dxa"/>
          </w:tcPr>
          <w:p w14:paraId="4F86250E" w14:textId="77777777" w:rsidR="00F566FC" w:rsidRPr="00A66F1A" w:rsidRDefault="001C4A4D">
            <w:pPr>
              <w:spacing w:line="360" w:lineRule="auto"/>
              <w:ind w:right="-7"/>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Entrega un listado con nombre, dirección y delegación.</w:t>
            </w:r>
          </w:p>
        </w:tc>
        <w:tc>
          <w:tcPr>
            <w:tcW w:w="3019" w:type="dxa"/>
          </w:tcPr>
          <w:p w14:paraId="68487023" w14:textId="77777777" w:rsidR="00F566FC" w:rsidRPr="00A66F1A" w:rsidRDefault="001C4A4D">
            <w:pPr>
              <w:spacing w:line="360" w:lineRule="auto"/>
              <w:ind w:right="-7"/>
              <w:jc w:val="center"/>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Si colma</w:t>
            </w:r>
          </w:p>
        </w:tc>
      </w:tr>
      <w:tr w:rsidR="00CA2D45" w:rsidRPr="00A66F1A" w14:paraId="42F51D51" w14:textId="77777777">
        <w:tc>
          <w:tcPr>
            <w:tcW w:w="3018" w:type="dxa"/>
          </w:tcPr>
          <w:p w14:paraId="0E196723" w14:textId="77777777" w:rsidR="00F566FC" w:rsidRPr="00A66F1A" w:rsidRDefault="001C4A4D">
            <w:pPr>
              <w:spacing w:line="360" w:lineRule="auto"/>
              <w:ind w:right="-7"/>
              <w:jc w:val="center"/>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Horario</w:t>
            </w:r>
          </w:p>
        </w:tc>
        <w:tc>
          <w:tcPr>
            <w:tcW w:w="3018" w:type="dxa"/>
          </w:tcPr>
          <w:p w14:paraId="7F966847" w14:textId="77777777" w:rsidR="00F566FC" w:rsidRPr="00A66F1A" w:rsidRDefault="001C4A4D">
            <w:pPr>
              <w:spacing w:line="360" w:lineRule="auto"/>
              <w:ind w:right="-7"/>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No es un número constante ni horario fijo, se define por cada una de las actividades, con base en la convocatoria, difusión y dinamismo de la población, así como su posibilidad de asistencia.</w:t>
            </w:r>
          </w:p>
        </w:tc>
        <w:tc>
          <w:tcPr>
            <w:tcW w:w="3019" w:type="dxa"/>
          </w:tcPr>
          <w:p w14:paraId="482B5F55" w14:textId="77777777" w:rsidR="00F566FC" w:rsidRPr="00A66F1A" w:rsidRDefault="001C4A4D">
            <w:pPr>
              <w:spacing w:line="360" w:lineRule="auto"/>
              <w:ind w:right="-7"/>
              <w:jc w:val="center"/>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Parcialmente.</w:t>
            </w:r>
          </w:p>
        </w:tc>
      </w:tr>
      <w:tr w:rsidR="00CA2D45" w:rsidRPr="00A66F1A" w14:paraId="7ED31B5E" w14:textId="77777777">
        <w:tc>
          <w:tcPr>
            <w:tcW w:w="3018" w:type="dxa"/>
          </w:tcPr>
          <w:p w14:paraId="5072734F" w14:textId="77777777" w:rsidR="00F566FC" w:rsidRPr="00A66F1A" w:rsidRDefault="001C4A4D">
            <w:pPr>
              <w:spacing w:line="360" w:lineRule="auto"/>
              <w:ind w:right="-7"/>
              <w:jc w:val="center"/>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Costo de Remodelación</w:t>
            </w:r>
          </w:p>
        </w:tc>
        <w:tc>
          <w:tcPr>
            <w:tcW w:w="3018" w:type="dxa"/>
          </w:tcPr>
          <w:p w14:paraId="51BE7118" w14:textId="77777777" w:rsidR="00F566FC" w:rsidRPr="00A66F1A" w:rsidRDefault="001C4A4D">
            <w:pPr>
              <w:spacing w:line="360" w:lineRule="auto"/>
              <w:ind w:right="-7"/>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El Tesorero Municipal refirió que no encontró documento sobre el costo de la remodelación de los comedores comunitarios.</w:t>
            </w:r>
          </w:p>
          <w:p w14:paraId="120585EE" w14:textId="77777777" w:rsidR="00F566FC" w:rsidRPr="00A66F1A" w:rsidRDefault="00F566FC">
            <w:pPr>
              <w:spacing w:line="360" w:lineRule="auto"/>
              <w:ind w:right="-7"/>
              <w:jc w:val="both"/>
              <w:rPr>
                <w:rFonts w:ascii="Palatino Linotype" w:eastAsia="Palatino Linotype" w:hAnsi="Palatino Linotype" w:cs="Palatino Linotype"/>
                <w:sz w:val="22"/>
                <w:szCs w:val="22"/>
              </w:rPr>
            </w:pPr>
          </w:p>
          <w:p w14:paraId="78EFB7A0" w14:textId="77777777" w:rsidR="00F566FC" w:rsidRPr="00A66F1A" w:rsidRDefault="001C4A4D">
            <w:pPr>
              <w:spacing w:line="360" w:lineRule="auto"/>
              <w:ind w:right="-7"/>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La Dirección General de Bienestar refirió que quien realizó y ejecutó la obra de remodelación fue la Dirección General de Obras Públicas.</w:t>
            </w:r>
          </w:p>
        </w:tc>
        <w:tc>
          <w:tcPr>
            <w:tcW w:w="3019" w:type="dxa"/>
          </w:tcPr>
          <w:p w14:paraId="1F646FDC" w14:textId="77777777" w:rsidR="00F566FC" w:rsidRPr="00A66F1A" w:rsidRDefault="001C4A4D">
            <w:pPr>
              <w:spacing w:line="360" w:lineRule="auto"/>
              <w:ind w:right="-7"/>
              <w:jc w:val="center"/>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No colma.</w:t>
            </w:r>
          </w:p>
          <w:p w14:paraId="6B2412C7" w14:textId="77777777" w:rsidR="00F566FC" w:rsidRPr="00A66F1A" w:rsidRDefault="00F566FC">
            <w:pPr>
              <w:spacing w:line="360" w:lineRule="auto"/>
              <w:ind w:right="-7"/>
              <w:jc w:val="center"/>
              <w:rPr>
                <w:rFonts w:ascii="Palatino Linotype" w:eastAsia="Palatino Linotype" w:hAnsi="Palatino Linotype" w:cs="Palatino Linotype"/>
                <w:sz w:val="22"/>
                <w:szCs w:val="22"/>
              </w:rPr>
            </w:pPr>
          </w:p>
          <w:p w14:paraId="61F13D8C" w14:textId="77777777" w:rsidR="00F566FC" w:rsidRPr="00A66F1A" w:rsidRDefault="001C4A4D">
            <w:pPr>
              <w:spacing w:line="360" w:lineRule="auto"/>
              <w:ind w:right="-7"/>
              <w:jc w:val="center"/>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No se turnó la solicitud a la Dirección de Obras Públicas</w:t>
            </w:r>
          </w:p>
        </w:tc>
      </w:tr>
      <w:tr w:rsidR="00CA2D45" w:rsidRPr="00A66F1A" w14:paraId="03E26CBE" w14:textId="77777777">
        <w:tc>
          <w:tcPr>
            <w:tcW w:w="3018" w:type="dxa"/>
          </w:tcPr>
          <w:p w14:paraId="03CDDA7D" w14:textId="77777777" w:rsidR="00F566FC" w:rsidRPr="00A66F1A" w:rsidRDefault="001C4A4D">
            <w:pPr>
              <w:spacing w:line="360" w:lineRule="auto"/>
              <w:ind w:right="-7"/>
              <w:jc w:val="center"/>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Número de personas que atienden</w:t>
            </w:r>
          </w:p>
        </w:tc>
        <w:tc>
          <w:tcPr>
            <w:tcW w:w="3018" w:type="dxa"/>
          </w:tcPr>
          <w:p w14:paraId="0B43B246" w14:textId="77777777" w:rsidR="00F566FC" w:rsidRPr="00A66F1A" w:rsidRDefault="001C4A4D">
            <w:pPr>
              <w:spacing w:line="360" w:lineRule="auto"/>
              <w:ind w:right="-7"/>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No es un número constante ni horario fijo, se define por cada una de las actividades, con base en la convocatoria, difusión y dinamismo de la población, así como su posibilidad de asistencia.</w:t>
            </w:r>
          </w:p>
        </w:tc>
        <w:tc>
          <w:tcPr>
            <w:tcW w:w="3019" w:type="dxa"/>
          </w:tcPr>
          <w:p w14:paraId="3F1AD822" w14:textId="77777777" w:rsidR="00F566FC" w:rsidRPr="00A66F1A" w:rsidRDefault="001C4A4D">
            <w:pPr>
              <w:spacing w:line="360" w:lineRule="auto"/>
              <w:ind w:right="-7"/>
              <w:jc w:val="center"/>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Parcialmente.</w:t>
            </w:r>
          </w:p>
        </w:tc>
      </w:tr>
      <w:tr w:rsidR="00CA2D45" w:rsidRPr="00A66F1A" w14:paraId="73DCF9E2" w14:textId="77777777">
        <w:tc>
          <w:tcPr>
            <w:tcW w:w="3018" w:type="dxa"/>
          </w:tcPr>
          <w:p w14:paraId="20726714" w14:textId="77777777" w:rsidR="00F566FC" w:rsidRPr="00A66F1A" w:rsidRDefault="001C4A4D">
            <w:pPr>
              <w:spacing w:line="360" w:lineRule="auto"/>
              <w:ind w:right="-7"/>
              <w:jc w:val="center"/>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Apoyos otorgados actualmente</w:t>
            </w:r>
          </w:p>
        </w:tc>
        <w:tc>
          <w:tcPr>
            <w:tcW w:w="3018" w:type="dxa"/>
          </w:tcPr>
          <w:p w14:paraId="5FE92AA1" w14:textId="77777777" w:rsidR="00F566FC" w:rsidRPr="00A66F1A" w:rsidRDefault="001C4A4D">
            <w:pPr>
              <w:widowControl w:val="0"/>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Los apoyos son talleres de preparación de alimentos saludables, manualidades en fomento al empleo, pláticas de orientación alimentaria, difusión e información.</w:t>
            </w:r>
          </w:p>
          <w:p w14:paraId="0F153D74" w14:textId="77777777" w:rsidR="00F566FC" w:rsidRPr="00A66F1A" w:rsidRDefault="00F566FC">
            <w:pPr>
              <w:widowControl w:val="0"/>
              <w:spacing w:line="360" w:lineRule="auto"/>
              <w:jc w:val="both"/>
              <w:rPr>
                <w:rFonts w:ascii="Palatino Linotype" w:eastAsia="Palatino Linotype" w:hAnsi="Palatino Linotype" w:cs="Palatino Linotype"/>
                <w:sz w:val="22"/>
                <w:szCs w:val="22"/>
              </w:rPr>
            </w:pPr>
          </w:p>
          <w:p w14:paraId="3CE35240" w14:textId="77777777" w:rsidR="00F566FC" w:rsidRPr="00A66F1A" w:rsidRDefault="001C4A4D">
            <w:pPr>
              <w:widowControl w:val="0"/>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No se entregaron apoyos de otra índole;</w:t>
            </w:r>
          </w:p>
          <w:p w14:paraId="77D7232F" w14:textId="77777777" w:rsidR="00F566FC" w:rsidRPr="00A66F1A" w:rsidRDefault="00F566FC">
            <w:pPr>
              <w:spacing w:line="360" w:lineRule="auto"/>
              <w:ind w:right="-7"/>
              <w:jc w:val="both"/>
              <w:rPr>
                <w:rFonts w:ascii="Palatino Linotype" w:eastAsia="Palatino Linotype" w:hAnsi="Palatino Linotype" w:cs="Palatino Linotype"/>
                <w:sz w:val="22"/>
                <w:szCs w:val="22"/>
              </w:rPr>
            </w:pPr>
          </w:p>
        </w:tc>
        <w:tc>
          <w:tcPr>
            <w:tcW w:w="3019" w:type="dxa"/>
          </w:tcPr>
          <w:p w14:paraId="136DBC49" w14:textId="77777777" w:rsidR="00F566FC" w:rsidRPr="00A66F1A" w:rsidRDefault="001C4A4D">
            <w:pPr>
              <w:spacing w:line="360" w:lineRule="auto"/>
              <w:ind w:right="-7"/>
              <w:jc w:val="center"/>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Si colma.</w:t>
            </w:r>
          </w:p>
        </w:tc>
      </w:tr>
      <w:tr w:rsidR="00CA2D45" w:rsidRPr="00A66F1A" w14:paraId="6A21BB7A" w14:textId="77777777">
        <w:tc>
          <w:tcPr>
            <w:tcW w:w="3018" w:type="dxa"/>
          </w:tcPr>
          <w:p w14:paraId="7F6B4A3C" w14:textId="77777777" w:rsidR="00F566FC" w:rsidRPr="00A66F1A" w:rsidRDefault="001C4A4D">
            <w:pPr>
              <w:spacing w:line="360" w:lineRule="auto"/>
              <w:ind w:right="-7"/>
              <w:jc w:val="center"/>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Apoyos otorgados en 2023 y 2024</w:t>
            </w:r>
          </w:p>
        </w:tc>
        <w:tc>
          <w:tcPr>
            <w:tcW w:w="3018" w:type="dxa"/>
          </w:tcPr>
          <w:p w14:paraId="520BD8CE" w14:textId="77777777" w:rsidR="00F566FC" w:rsidRPr="00A66F1A" w:rsidRDefault="001C4A4D">
            <w:pPr>
              <w:widowControl w:val="0"/>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Los apoyos son talleres de preparación de alimentos saludables, manualidades en fomento al empleo, pláticas de orientación alimentaria, difusión e información.</w:t>
            </w:r>
          </w:p>
          <w:p w14:paraId="2B893E2A" w14:textId="77777777" w:rsidR="00F566FC" w:rsidRPr="00A66F1A" w:rsidRDefault="00F566FC">
            <w:pPr>
              <w:widowControl w:val="0"/>
              <w:spacing w:line="360" w:lineRule="auto"/>
              <w:jc w:val="both"/>
              <w:rPr>
                <w:rFonts w:ascii="Palatino Linotype" w:eastAsia="Palatino Linotype" w:hAnsi="Palatino Linotype" w:cs="Palatino Linotype"/>
                <w:sz w:val="22"/>
                <w:szCs w:val="22"/>
              </w:rPr>
            </w:pPr>
          </w:p>
          <w:p w14:paraId="4B22973E" w14:textId="77777777" w:rsidR="00F566FC" w:rsidRPr="00A66F1A" w:rsidRDefault="001C4A4D">
            <w:pPr>
              <w:widowControl w:val="0"/>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No se entregaron apoyos de otra índole;</w:t>
            </w:r>
          </w:p>
        </w:tc>
        <w:tc>
          <w:tcPr>
            <w:tcW w:w="3019" w:type="dxa"/>
          </w:tcPr>
          <w:p w14:paraId="0910F207" w14:textId="77777777" w:rsidR="00F566FC" w:rsidRPr="00A66F1A" w:rsidRDefault="001C4A4D">
            <w:pPr>
              <w:spacing w:line="360" w:lineRule="auto"/>
              <w:ind w:right="-7"/>
              <w:jc w:val="center"/>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Si colma.</w:t>
            </w:r>
          </w:p>
        </w:tc>
      </w:tr>
    </w:tbl>
    <w:p w14:paraId="2B22155B" w14:textId="77777777" w:rsidR="00F566FC" w:rsidRPr="00A66F1A" w:rsidRDefault="00F566FC">
      <w:pPr>
        <w:spacing w:line="360" w:lineRule="auto"/>
        <w:ind w:right="-7"/>
        <w:jc w:val="both"/>
        <w:rPr>
          <w:rFonts w:ascii="Palatino Linotype" w:eastAsia="Palatino Linotype" w:hAnsi="Palatino Linotype" w:cs="Palatino Linotype"/>
          <w:sz w:val="22"/>
          <w:szCs w:val="22"/>
        </w:rPr>
      </w:pPr>
    </w:p>
    <w:p w14:paraId="559A1C53" w14:textId="77777777" w:rsidR="00F566FC" w:rsidRPr="00A66F1A" w:rsidRDefault="00F566FC">
      <w:pPr>
        <w:spacing w:line="360" w:lineRule="auto"/>
        <w:ind w:right="-7"/>
        <w:jc w:val="both"/>
        <w:rPr>
          <w:rFonts w:ascii="Palatino Linotype" w:eastAsia="Palatino Linotype" w:hAnsi="Palatino Linotype" w:cs="Palatino Linotype"/>
          <w:sz w:val="22"/>
          <w:szCs w:val="22"/>
        </w:rPr>
      </w:pPr>
    </w:p>
    <w:p w14:paraId="143D74F2" w14:textId="77777777" w:rsidR="00F566FC" w:rsidRPr="00A66F1A" w:rsidRDefault="001C4A4D">
      <w:pPr>
        <w:spacing w:line="360" w:lineRule="auto"/>
        <w:ind w:right="-7"/>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Del recuadro anterior, se advierte que el Sujeto Obligado entregó de forma completa la ubicación de los comedores comunitarios y los apoyos otorgados. Por lo que al haber existido un pronunciamiento por parte del Sujeto Obligado, proporcionando la información que requirió el particular, es que no se puede dudar de la veracidad de la información proporcionada.</w:t>
      </w:r>
    </w:p>
    <w:p w14:paraId="14BC24C2" w14:textId="77777777" w:rsidR="00F566FC" w:rsidRPr="00A66F1A" w:rsidRDefault="00F566FC">
      <w:pPr>
        <w:spacing w:line="360" w:lineRule="auto"/>
        <w:ind w:right="-7"/>
        <w:jc w:val="both"/>
        <w:rPr>
          <w:rFonts w:ascii="Palatino Linotype" w:eastAsia="Palatino Linotype" w:hAnsi="Palatino Linotype" w:cs="Palatino Linotype"/>
          <w:sz w:val="22"/>
          <w:szCs w:val="22"/>
        </w:rPr>
      </w:pPr>
    </w:p>
    <w:p w14:paraId="10DAECD6" w14:textId="77777777" w:rsidR="00F566FC" w:rsidRPr="00A66F1A" w:rsidRDefault="001C4A4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Sirve de apoyo a lo anterior por analogía el criterio orientador 31-10 emitido por el entonces Instituto Federal de Acceso a la Información y Protección de Datos, que a la letra dice:</w:t>
      </w:r>
    </w:p>
    <w:p w14:paraId="39BC96B9" w14:textId="77777777" w:rsidR="00F566FC" w:rsidRPr="00A66F1A" w:rsidRDefault="00F566FC">
      <w:pPr>
        <w:pBdr>
          <w:top w:val="nil"/>
          <w:left w:val="nil"/>
          <w:bottom w:val="nil"/>
          <w:right w:val="nil"/>
          <w:between w:val="nil"/>
        </w:pBdr>
        <w:ind w:left="720"/>
        <w:rPr>
          <w:rFonts w:ascii="Palatino Linotype" w:eastAsia="Palatino Linotype" w:hAnsi="Palatino Linotype" w:cs="Palatino Linotype"/>
          <w:sz w:val="22"/>
          <w:szCs w:val="22"/>
        </w:rPr>
      </w:pPr>
    </w:p>
    <w:p w14:paraId="12EF0DE7" w14:textId="77777777" w:rsidR="00F566FC" w:rsidRPr="00A66F1A" w:rsidRDefault="001C4A4D">
      <w:pPr>
        <w:ind w:left="567" w:right="567"/>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El Instituto Federal de Acceso a la Información y Protección de Datos no cuenta con facultades para pronunciarse respecto de la veracidad de los documentos proporcionados por los sujetos obligados.</w:t>
      </w:r>
      <w:r w:rsidRPr="00A66F1A">
        <w:rPr>
          <w:rFonts w:ascii="Palatino Linotype" w:eastAsia="Palatino Linotype" w:hAnsi="Palatino Linotype" w:cs="Palatino Linotype"/>
          <w:i/>
          <w:iCs/>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7F51076" w14:textId="77777777" w:rsidR="00F566FC" w:rsidRPr="00A66F1A" w:rsidRDefault="00F566FC">
      <w:pPr>
        <w:spacing w:line="360" w:lineRule="auto"/>
        <w:ind w:right="567"/>
        <w:jc w:val="both"/>
        <w:rPr>
          <w:rFonts w:ascii="Palatino Linotype" w:eastAsia="Palatino Linotype" w:hAnsi="Palatino Linotype" w:cs="Palatino Linotype"/>
          <w:sz w:val="22"/>
          <w:szCs w:val="22"/>
        </w:rPr>
      </w:pPr>
    </w:p>
    <w:p w14:paraId="0F856BE4" w14:textId="77777777" w:rsidR="00F566FC" w:rsidRPr="00A66F1A" w:rsidRDefault="001C4A4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Este Órgano Garante carece de facultades para dudar de la veracidad sobre la información proporcionada por el Sujeto Obligado, en consecuencia, deben declararse atendido dicho requerimiento. </w:t>
      </w:r>
    </w:p>
    <w:p w14:paraId="0C88C866" w14:textId="77777777" w:rsidR="00F566FC" w:rsidRPr="00A66F1A" w:rsidRDefault="001C4A4D">
      <w:pPr>
        <w:spacing w:line="360" w:lineRule="auto"/>
        <w:ind w:right="-7"/>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Establecido lo anterior, es necesario mencionar que, quien dio respuesta es la Dirección General de Bienestar y Tesorero Municipal, que de acuerdo al Código Reglamentario Municipal de Toluca, cuentan con las siguientes atribuciones:</w:t>
      </w:r>
    </w:p>
    <w:p w14:paraId="767C97DD" w14:textId="77777777" w:rsidR="00F566FC" w:rsidRPr="00A66F1A" w:rsidRDefault="00F566FC">
      <w:pPr>
        <w:spacing w:line="360" w:lineRule="auto"/>
        <w:ind w:right="-7"/>
        <w:jc w:val="both"/>
        <w:rPr>
          <w:rFonts w:ascii="Palatino Linotype" w:eastAsia="Palatino Linotype" w:hAnsi="Palatino Linotype" w:cs="Palatino Linotype"/>
          <w:sz w:val="22"/>
          <w:szCs w:val="22"/>
        </w:rPr>
      </w:pPr>
    </w:p>
    <w:p w14:paraId="24DAFCF0" w14:textId="77777777" w:rsidR="00F566FC" w:rsidRPr="00A66F1A" w:rsidRDefault="00F566FC">
      <w:pPr>
        <w:spacing w:line="360" w:lineRule="auto"/>
        <w:ind w:right="-7"/>
        <w:jc w:val="both"/>
        <w:rPr>
          <w:rFonts w:ascii="Palatino Linotype" w:eastAsia="Palatino Linotype" w:hAnsi="Palatino Linotype" w:cs="Palatino Linotype"/>
          <w:sz w:val="22"/>
          <w:szCs w:val="22"/>
        </w:rPr>
      </w:pPr>
    </w:p>
    <w:p w14:paraId="00263C36" w14:textId="77777777" w:rsidR="00F566FC" w:rsidRPr="00A66F1A" w:rsidRDefault="001C4A4D">
      <w:pPr>
        <w:spacing w:line="360" w:lineRule="auto"/>
        <w:ind w:left="567" w:right="843"/>
        <w:jc w:val="center"/>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SECCIÓN DÉCIMA CUARTA</w:t>
      </w:r>
    </w:p>
    <w:p w14:paraId="55E09FDC" w14:textId="77777777" w:rsidR="00F566FC" w:rsidRPr="00A66F1A" w:rsidRDefault="001C4A4D">
      <w:pPr>
        <w:spacing w:line="360" w:lineRule="auto"/>
        <w:ind w:left="567" w:right="843"/>
        <w:jc w:val="center"/>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DE LA DIRECCIÓN GENERAL DE BIENESTAR</w:t>
      </w:r>
    </w:p>
    <w:p w14:paraId="25619643" w14:textId="77777777" w:rsidR="00F566FC" w:rsidRPr="00A66F1A" w:rsidRDefault="001C4A4D">
      <w:pPr>
        <w:spacing w:line="360" w:lineRule="auto"/>
        <w:ind w:left="567" w:right="843"/>
        <w:jc w:val="both"/>
        <w:rPr>
          <w:rFonts w:ascii="Palatino Linotype" w:eastAsia="Palatino Linotype" w:hAnsi="Palatino Linotype" w:cs="Palatino Linotype"/>
          <w:i/>
          <w:iCs/>
          <w:sz w:val="20"/>
          <w:szCs w:val="20"/>
        </w:rPr>
      </w:pPr>
      <w:r w:rsidRPr="00A66F1A">
        <w:rPr>
          <w:rFonts w:ascii="Palatino Linotype" w:eastAsia="Palatino Linotype" w:hAnsi="Palatino Linotype" w:cs="Palatino Linotype"/>
          <w:i/>
          <w:iCs/>
          <w:sz w:val="22"/>
          <w:szCs w:val="22"/>
        </w:rPr>
        <w:t>Artículo 3.46. La o el titular de la Dirección General de Bienestar, tendrá las siguientes atribuciones:</w:t>
      </w:r>
    </w:p>
    <w:p w14:paraId="2BCE5A50" w14:textId="77777777" w:rsidR="00F566FC" w:rsidRPr="00A66F1A" w:rsidRDefault="001C4A4D">
      <w:pPr>
        <w:spacing w:line="360" w:lineRule="auto"/>
        <w:ind w:left="567" w:right="843"/>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 xml:space="preserve">I. Planear, impulsar y operar programas, proyectos y acciones para garantizar el pleno ejercicio de los derechos sociales consagrados en la Constitución Política de los Estados Unidos Mexicanos y la Constitución del Estado Libre y Soberano de México, asegurando el acceso de toda la población al desarrollo social; </w:t>
      </w:r>
    </w:p>
    <w:p w14:paraId="266B7DF7"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II. Participar, en el ámbito de sus atribuciones en el Sistema Nacional de Desarrollo Social; </w:t>
      </w:r>
    </w:p>
    <w:p w14:paraId="04CC2A7A"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III. Impulsar, supervisar, controlar y evaluar los programas en materia de asistencia social dirigidos a la población en situación de vulnerabilidad del municipio</w:t>
      </w:r>
      <w:r w:rsidRPr="00A66F1A">
        <w:rPr>
          <w:rFonts w:ascii="Palatino Linotype" w:eastAsia="Palatino Linotype" w:hAnsi="Palatino Linotype" w:cs="Palatino Linotype"/>
          <w:i/>
          <w:iCs/>
          <w:sz w:val="22"/>
          <w:szCs w:val="22"/>
        </w:rPr>
        <w:t xml:space="preserve">; </w:t>
      </w:r>
    </w:p>
    <w:p w14:paraId="27863136"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IV. Promover, respetar y difundir las costumbres y tradiciones de los pueblos indígenas, preservando sus lenguas y escritura, llevando a cabo acciones concretas; </w:t>
      </w:r>
    </w:p>
    <w:p w14:paraId="621AA282"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V. Promover la inclusión de los pueblos indígenas, para que accedan a los beneficios que otorgan los programas federales y estatales en materia de Bienestar; </w:t>
      </w:r>
    </w:p>
    <w:p w14:paraId="32D9306A" w14:textId="77777777" w:rsidR="00F566FC" w:rsidRPr="00A66F1A" w:rsidRDefault="001C4A4D">
      <w:pPr>
        <w:spacing w:line="360" w:lineRule="auto"/>
        <w:ind w:left="567" w:right="843"/>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 xml:space="preserve">VI. Promover y ejecutar cursos y talleres dirigidos a la ciudadanía toluqueña para el desarrollo de habilidades que generen autoempleo; </w:t>
      </w:r>
    </w:p>
    <w:p w14:paraId="51232E85"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w:t>
      </w:r>
    </w:p>
    <w:p w14:paraId="4DBC8041" w14:textId="77777777" w:rsidR="00F566FC" w:rsidRPr="00A66F1A" w:rsidRDefault="00F566FC">
      <w:pPr>
        <w:spacing w:line="360" w:lineRule="auto"/>
        <w:ind w:left="567" w:right="843"/>
        <w:jc w:val="both"/>
        <w:rPr>
          <w:rFonts w:ascii="Palatino Linotype" w:eastAsia="Palatino Linotype" w:hAnsi="Palatino Linotype" w:cs="Palatino Linotype"/>
          <w:i/>
          <w:iCs/>
          <w:sz w:val="22"/>
          <w:szCs w:val="22"/>
        </w:rPr>
      </w:pPr>
    </w:p>
    <w:p w14:paraId="53911295" w14:textId="77777777" w:rsidR="00F566FC" w:rsidRPr="00A66F1A" w:rsidRDefault="001C4A4D">
      <w:pPr>
        <w:spacing w:line="360" w:lineRule="auto"/>
        <w:ind w:left="567" w:right="843"/>
        <w:jc w:val="center"/>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SECCIÓN CUARTA</w:t>
      </w:r>
    </w:p>
    <w:p w14:paraId="7F82B737" w14:textId="77777777" w:rsidR="00F566FC" w:rsidRPr="00A66F1A" w:rsidRDefault="001C4A4D">
      <w:pPr>
        <w:spacing w:line="360" w:lineRule="auto"/>
        <w:ind w:left="567" w:right="843"/>
        <w:jc w:val="center"/>
        <w:rPr>
          <w:rFonts w:ascii="Palatino Linotype" w:eastAsia="Palatino Linotype" w:hAnsi="Palatino Linotype" w:cs="Palatino Linotype"/>
          <w:b/>
          <w:bCs/>
          <w:i/>
          <w:iCs/>
          <w:sz w:val="20"/>
          <w:szCs w:val="20"/>
        </w:rPr>
      </w:pPr>
      <w:r w:rsidRPr="00A66F1A">
        <w:rPr>
          <w:rFonts w:ascii="Palatino Linotype" w:eastAsia="Palatino Linotype" w:hAnsi="Palatino Linotype" w:cs="Palatino Linotype"/>
          <w:b/>
          <w:bCs/>
          <w:i/>
          <w:iCs/>
          <w:sz w:val="22"/>
          <w:szCs w:val="22"/>
        </w:rPr>
        <w:t>DE LA TESORERÍA MUNICIPAL</w:t>
      </w:r>
    </w:p>
    <w:p w14:paraId="54BBB80F"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Artículo 3.21. La o el titular de la Tesorería Municipal tendrá las siguientes atribuciones: </w:t>
      </w:r>
    </w:p>
    <w:p w14:paraId="4090F3B0"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w:t>
      </w:r>
    </w:p>
    <w:p w14:paraId="13E1716B" w14:textId="77777777" w:rsidR="00F566FC" w:rsidRPr="00A66F1A" w:rsidRDefault="001C4A4D">
      <w:pPr>
        <w:spacing w:line="360" w:lineRule="auto"/>
        <w:ind w:left="567" w:right="843"/>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 xml:space="preserve">IV. Emitir las políticas que rijan el ejercicio presupuestal y sean de observancia obligatoria para las dependencias municipales; </w:t>
      </w:r>
    </w:p>
    <w:p w14:paraId="4AC8DE7A" w14:textId="77777777" w:rsidR="00F566FC" w:rsidRPr="00A66F1A" w:rsidRDefault="001C4A4D">
      <w:pPr>
        <w:spacing w:line="360" w:lineRule="auto"/>
        <w:ind w:left="567" w:right="843"/>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 xml:space="preserve">V. Proponer las disposiciones de racionalidad, austeridad y disciplina presupuestales; </w:t>
      </w:r>
    </w:p>
    <w:p w14:paraId="170BC889" w14:textId="77777777" w:rsidR="00F566FC" w:rsidRPr="00A66F1A" w:rsidRDefault="001C4A4D">
      <w:pPr>
        <w:spacing w:line="360" w:lineRule="auto"/>
        <w:ind w:left="567" w:right="843"/>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 xml:space="preserve">VI. Otorgar suficiencia presupuestal a las solicitudes de adquisiciones y servicios, así como las ampliaciones del monto del gasto operativo de las dependencias y organismos auxiliares; </w:t>
      </w:r>
    </w:p>
    <w:p w14:paraId="3A18FDEC"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VII. 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r w:rsidRPr="00A66F1A">
        <w:rPr>
          <w:rFonts w:ascii="Palatino Linotype" w:eastAsia="Palatino Linotype" w:hAnsi="Palatino Linotype" w:cs="Palatino Linotype"/>
          <w:i/>
          <w:iCs/>
          <w:sz w:val="22"/>
          <w:szCs w:val="22"/>
        </w:rPr>
        <w:t xml:space="preserve">; </w:t>
      </w:r>
    </w:p>
    <w:p w14:paraId="6BD20B84"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w:t>
      </w:r>
    </w:p>
    <w:p w14:paraId="7410BD69" w14:textId="77777777" w:rsidR="00F566FC" w:rsidRPr="00A66F1A" w:rsidRDefault="001C4A4D">
      <w:pPr>
        <w:spacing w:line="360" w:lineRule="auto"/>
        <w:ind w:left="567" w:right="843"/>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 xml:space="preserve">XV. Proponer al Ayuntamiento los presupuestos de ingresos y egresos los cuales deberán ser elaborados y etiquetados con perspectiva de género, informar de su ejercicio y sugerir las modificaciones, en caso necesario; </w:t>
      </w:r>
    </w:p>
    <w:p w14:paraId="413F6C17" w14:textId="77777777" w:rsidR="00F566FC" w:rsidRPr="00A66F1A" w:rsidRDefault="001C4A4D">
      <w:pPr>
        <w:spacing w:line="360" w:lineRule="auto"/>
        <w:ind w:left="567" w:right="843"/>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 xml:space="preserve">XVI. Emitir los criterios y políticas para la aplicación de los ordenamientos fiscales, así como resolver las diferencias que se susciten en la interpretación de los mismos, en términos de lo que dispone el Código Financiero; </w:t>
      </w:r>
    </w:p>
    <w:p w14:paraId="39228D71" w14:textId="77777777" w:rsidR="00F566FC" w:rsidRPr="00A66F1A" w:rsidRDefault="001C4A4D">
      <w:pPr>
        <w:spacing w:line="360" w:lineRule="auto"/>
        <w:ind w:left="567" w:right="843"/>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 xml:space="preserve">XVII. Vigilar el cumplimiento de las disposiciones legales de carácter fiscal, aplicables en el ámbito municipal; </w:t>
      </w:r>
    </w:p>
    <w:p w14:paraId="7D98EEC8"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XVIII. Autorizar y verificar la reasignación de recursos presupuestarios a otros programas sociales prioritarios</w:t>
      </w:r>
      <w:r w:rsidRPr="00A66F1A">
        <w:rPr>
          <w:rFonts w:ascii="Palatino Linotype" w:eastAsia="Palatino Linotype" w:hAnsi="Palatino Linotype" w:cs="Palatino Linotype"/>
          <w:i/>
          <w:iCs/>
          <w:sz w:val="22"/>
          <w:szCs w:val="22"/>
        </w:rPr>
        <w:t xml:space="preserve"> mediante el dictamen correspondiente, en conjunto con la Unidad de Información, Planeación, Programación y Evaluación, informando de ello al Ayuntamiento; </w:t>
      </w:r>
    </w:p>
    <w:p w14:paraId="6F0D5A7A"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w:t>
      </w:r>
    </w:p>
    <w:p w14:paraId="6E54E2D8"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XXI. Comunicar a las dependencias que integran la administración pública municipal, en coordinación con la Unidad de Información, Planeación, Programación y Evaluación, la información necesaria para la elaboración del Presupuesto de Egresos Municipal, en cumplimiento de la normatividad aplicable; </w:t>
      </w:r>
    </w:p>
    <w:p w14:paraId="498F614B"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XXII. Analizar las solicitudes de asignación presupuestaria entregadas por las áreas y, en su caso emitir las notificaciones correspondientes; </w:t>
      </w:r>
    </w:p>
    <w:p w14:paraId="1C945895"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XXIII. Presentar ante el Ayuntamiento el informe anual de las finanzas públicas; </w:t>
      </w:r>
    </w:p>
    <w:p w14:paraId="021719E9"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w:t>
      </w:r>
    </w:p>
    <w:p w14:paraId="4B49A196" w14:textId="77777777" w:rsidR="00F566FC" w:rsidRPr="00A66F1A" w:rsidRDefault="00F566FC">
      <w:pPr>
        <w:spacing w:line="360" w:lineRule="auto"/>
        <w:ind w:right="-7"/>
        <w:jc w:val="both"/>
      </w:pPr>
    </w:p>
    <w:p w14:paraId="62C8DC32" w14:textId="77777777" w:rsidR="00F566FC" w:rsidRPr="00A66F1A" w:rsidRDefault="001C4A4D">
      <w:pPr>
        <w:spacing w:line="360" w:lineRule="auto"/>
        <w:ind w:right="-7"/>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Es así que, al haber turnado la solicitud a la Dirección General de Bienestar y la Tesorería Municipal cuentan con atribuciones de generar, administra y poseer información relativa a un programa social de comedores comunitarios, así como los gastos generados por la remodelación a los mismos, por lo que, se tiene que se siguió parcialmente el procedimiento para la atención a las solicitudes de acceso a la información, establecido en los artículos 151, 160, 162, 163, 164, 165 y 166, de la Ley de Transparencia y Acceso a la Información Pública del Estado de México y Municipios: </w:t>
      </w:r>
    </w:p>
    <w:p w14:paraId="4EB45FCD" w14:textId="77777777" w:rsidR="00F566FC" w:rsidRPr="00A66F1A" w:rsidRDefault="00F566F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8CC1C0D" w14:textId="77777777" w:rsidR="00F566FC" w:rsidRPr="00A66F1A" w:rsidRDefault="001C4A4D">
      <w:pPr>
        <w:spacing w:after="240" w:line="360" w:lineRule="auto"/>
        <w:ind w:left="284"/>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495D2418" w14:textId="77777777" w:rsidR="00F566FC" w:rsidRPr="00A66F1A" w:rsidRDefault="001C4A4D">
      <w:pPr>
        <w:spacing w:after="240" w:line="360" w:lineRule="auto"/>
        <w:ind w:left="284"/>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153E92D9" w14:textId="77777777" w:rsidR="00F566FC" w:rsidRPr="00A66F1A" w:rsidRDefault="001C4A4D">
      <w:pPr>
        <w:spacing w:after="240" w:line="360" w:lineRule="auto"/>
        <w:ind w:left="284"/>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1C94586A" w14:textId="77777777" w:rsidR="00F566FC" w:rsidRPr="00A66F1A" w:rsidRDefault="001C4A4D">
      <w:pPr>
        <w:spacing w:after="240" w:line="360" w:lineRule="auto"/>
        <w:ind w:left="284"/>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2109C39" w14:textId="77777777" w:rsidR="00F566FC" w:rsidRPr="00A66F1A" w:rsidRDefault="001C4A4D">
      <w:pPr>
        <w:spacing w:after="240" w:line="360" w:lineRule="auto"/>
        <w:ind w:left="284"/>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5245F5A5" w14:textId="77777777" w:rsidR="00F566FC" w:rsidRPr="00A66F1A" w:rsidRDefault="001C4A4D">
      <w:pPr>
        <w:spacing w:after="240" w:line="360" w:lineRule="auto"/>
        <w:ind w:left="284"/>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60EDAAF6" w14:textId="77777777" w:rsidR="00F566FC" w:rsidRPr="00A66F1A" w:rsidRDefault="001C4A4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En este orden de ideas, se reitera que la Unidad de Transparencia turnó la solicitud a la Dirección General de Bienestar y la Tesorería Municipal, áreas que cuentan con atribuciones para generar, administrar y poseer la información requerida por el particular, por lo que, se tiene que se acreditó parcialmente la búsqueda exhaustiva y razonable de la información. </w:t>
      </w:r>
    </w:p>
    <w:p w14:paraId="18C47F0E" w14:textId="77777777" w:rsidR="00F566FC" w:rsidRPr="00A66F1A" w:rsidRDefault="00F566FC">
      <w:pPr>
        <w:spacing w:line="360" w:lineRule="auto"/>
        <w:ind w:right="-7"/>
        <w:jc w:val="both"/>
        <w:rPr>
          <w:rFonts w:ascii="Palatino Linotype" w:eastAsia="Palatino Linotype" w:hAnsi="Palatino Linotype" w:cs="Palatino Linotype"/>
          <w:sz w:val="22"/>
          <w:szCs w:val="22"/>
        </w:rPr>
      </w:pPr>
    </w:p>
    <w:p w14:paraId="454AEDD7" w14:textId="77777777" w:rsidR="00F566FC" w:rsidRPr="00A66F1A" w:rsidRDefault="001C4A4D">
      <w:pPr>
        <w:spacing w:line="360" w:lineRule="auto"/>
        <w:ind w:right="-7"/>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Lo anterior, en razón de que a través de la respuesta, la Dirección General de Bienestar indicó que la información respecto a las remodelaciones es atribución de la Dirección General de Obras Públicas, al ser la unidad administrativa que realizó y ejecutó la obra de remodelación de los comedores comunitarios.</w:t>
      </w:r>
    </w:p>
    <w:p w14:paraId="66931BF5" w14:textId="77777777" w:rsidR="00F566FC" w:rsidRPr="00A66F1A" w:rsidRDefault="00F566FC">
      <w:pPr>
        <w:spacing w:line="360" w:lineRule="auto"/>
        <w:ind w:right="-7"/>
        <w:jc w:val="both"/>
        <w:rPr>
          <w:rFonts w:ascii="Palatino Linotype" w:eastAsia="Palatino Linotype" w:hAnsi="Palatino Linotype" w:cs="Palatino Linotype"/>
          <w:sz w:val="22"/>
          <w:szCs w:val="22"/>
        </w:rPr>
      </w:pPr>
    </w:p>
    <w:p w14:paraId="34A47174"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23A134C0"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A través de la respuesta emitida, el Sujeto Obligado asume que genera, administra y posee la información relativa a los Comedores Comunitarios, ya que es un programa social que se retomó en la anterior administración, incluso, a través del acta de la primera sesión ordinaria del Comité de Planeación para el Desarrollo Municipal de Toluca  número COPLADEMUN-TOLUCA/ACTA/SO/01/2022 se estableció lo siguiente: </w:t>
      </w:r>
    </w:p>
    <w:p w14:paraId="7A7179C5"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6E597A77"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noProof/>
          <w:sz w:val="22"/>
          <w:szCs w:val="22"/>
        </w:rPr>
        <w:drawing>
          <wp:inline distT="0" distB="0" distL="0" distR="0" wp14:anchorId="344F1029" wp14:editId="582BC418">
            <wp:extent cx="5756275" cy="1282065"/>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56275" cy="1282065"/>
                    </a:xfrm>
                    <a:prstGeom prst="rect">
                      <a:avLst/>
                    </a:prstGeom>
                    <a:ln/>
                  </pic:spPr>
                </pic:pic>
              </a:graphicData>
            </a:graphic>
          </wp:inline>
        </w:drawing>
      </w:r>
    </w:p>
    <w:p w14:paraId="79BC29D4"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429D9AEF" w14:textId="77777777" w:rsidR="00F566FC" w:rsidRPr="00A66F1A" w:rsidRDefault="001C4A4D">
      <w:pPr>
        <w:spacing w:line="360" w:lineRule="auto"/>
        <w:jc w:val="center"/>
        <w:rPr>
          <w:rFonts w:ascii="Palatino Linotype" w:eastAsia="Palatino Linotype" w:hAnsi="Palatino Linotype" w:cs="Palatino Linotype"/>
          <w:sz w:val="22"/>
          <w:szCs w:val="22"/>
        </w:rPr>
      </w:pPr>
      <w:r w:rsidRPr="00A66F1A">
        <w:rPr>
          <w:rFonts w:ascii="Palatino Linotype" w:eastAsia="Palatino Linotype" w:hAnsi="Palatino Linotype" w:cs="Palatino Linotype"/>
          <w:noProof/>
          <w:sz w:val="22"/>
          <w:szCs w:val="22"/>
        </w:rPr>
        <w:drawing>
          <wp:inline distT="0" distB="0" distL="0" distR="0" wp14:anchorId="220EA656" wp14:editId="270FEE03">
            <wp:extent cx="3829584" cy="7316221"/>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829584" cy="7316221"/>
                    </a:xfrm>
                    <a:prstGeom prst="rect">
                      <a:avLst/>
                    </a:prstGeom>
                    <a:ln/>
                  </pic:spPr>
                </pic:pic>
              </a:graphicData>
            </a:graphic>
          </wp:inline>
        </w:drawing>
      </w:r>
    </w:p>
    <w:p w14:paraId="334D9279"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De la información vertida, se establece que, en efecto, se programó la remodelación de veintitrés comedores comunitarios contemplados en el Comité de Planeación para el Desarrollo Municipal de Toluca, en el que se fijan los montos de cada remodelación, con lo que se advierte que el Sujeto Obligado genera, posee y administra la información requerida respecto al costo de remodelación. </w:t>
      </w:r>
    </w:p>
    <w:p w14:paraId="41F90905"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09DBCF39"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Ahora, si bien ya existió un pronunciamiento por parte de la Tesorería Municipal, también lo es que además, deberá realizarse una nueva búsqueda exhaustiva y razonable también en la Dirección de Obras Públicas, ya que dicha unidad administrativa tiene las siguientes atribuciones:</w:t>
      </w:r>
    </w:p>
    <w:p w14:paraId="50A97F58"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1187314E" w14:textId="77777777" w:rsidR="00F566FC" w:rsidRPr="00A66F1A" w:rsidRDefault="001C4A4D">
      <w:pPr>
        <w:spacing w:line="360" w:lineRule="auto"/>
        <w:ind w:left="567" w:right="843"/>
        <w:jc w:val="center"/>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SECCIÓN DÉCIMA PRIMERA</w:t>
      </w:r>
    </w:p>
    <w:p w14:paraId="0A7B4B1D" w14:textId="77777777" w:rsidR="00F566FC" w:rsidRPr="00A66F1A" w:rsidRDefault="001C4A4D">
      <w:pPr>
        <w:spacing w:line="360" w:lineRule="auto"/>
        <w:ind w:left="567" w:right="843"/>
        <w:jc w:val="center"/>
        <w:rPr>
          <w:rFonts w:ascii="Palatino Linotype" w:eastAsia="Palatino Linotype" w:hAnsi="Palatino Linotype" w:cs="Palatino Linotype"/>
          <w:b/>
          <w:bCs/>
          <w:i/>
          <w:iCs/>
          <w:sz w:val="20"/>
          <w:szCs w:val="20"/>
        </w:rPr>
      </w:pPr>
      <w:r w:rsidRPr="00A66F1A">
        <w:rPr>
          <w:rFonts w:ascii="Palatino Linotype" w:eastAsia="Palatino Linotype" w:hAnsi="Palatino Linotype" w:cs="Palatino Linotype"/>
          <w:b/>
          <w:bCs/>
          <w:i/>
          <w:iCs/>
          <w:sz w:val="22"/>
          <w:szCs w:val="22"/>
        </w:rPr>
        <w:t>DE LA DIRECCIÓN GENERAL DE OBRAS PÚBLICAS</w:t>
      </w:r>
    </w:p>
    <w:p w14:paraId="36FD5FD8" w14:textId="77777777" w:rsidR="00F566FC" w:rsidRPr="00A66F1A" w:rsidRDefault="00F566FC">
      <w:pPr>
        <w:spacing w:line="360" w:lineRule="auto"/>
        <w:ind w:left="567" w:right="843"/>
        <w:jc w:val="both"/>
        <w:rPr>
          <w:rFonts w:ascii="Palatino Linotype" w:eastAsia="Palatino Linotype" w:hAnsi="Palatino Linotype" w:cs="Palatino Linotype"/>
          <w:i/>
          <w:iCs/>
          <w:sz w:val="20"/>
          <w:szCs w:val="20"/>
        </w:rPr>
      </w:pPr>
    </w:p>
    <w:p w14:paraId="31529FCF"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Artículo 3.40. La o el titular de la Dirección General de Obras Públicas tendrá las siguientes atribuciones:</w:t>
      </w:r>
    </w:p>
    <w:p w14:paraId="49C9A6D5" w14:textId="77777777" w:rsidR="00F566FC" w:rsidRPr="00A66F1A" w:rsidRDefault="001C4A4D">
      <w:pPr>
        <w:spacing w:line="360" w:lineRule="auto"/>
        <w:ind w:left="567" w:right="843"/>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 xml:space="preserve">I. Coordinar actos relativos a la planeación, programación, presupuestación, adjudicación y contratación de la Obra Pública, así como los servicios relacionados con las mismas; </w:t>
      </w:r>
    </w:p>
    <w:p w14:paraId="58122307"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II. Programar, proyectar y vigilar la construcción, conservación, mantenimiento o mejoramiento de la obra pública</w:t>
      </w:r>
      <w:r w:rsidRPr="00A66F1A">
        <w:rPr>
          <w:rFonts w:ascii="Palatino Linotype" w:eastAsia="Palatino Linotype" w:hAnsi="Palatino Linotype" w:cs="Palatino Linotype"/>
          <w:i/>
          <w:iCs/>
          <w:sz w:val="22"/>
          <w:szCs w:val="22"/>
        </w:rPr>
        <w:t xml:space="preserve"> y servicios relacionados en el Municipio de Toluca, verificando que se realicen con perspectiva de género, inclusivos, sustentables y sostenibles; </w:t>
      </w:r>
    </w:p>
    <w:p w14:paraId="4AD6A1BA" w14:textId="77777777" w:rsidR="00F566FC" w:rsidRPr="00A66F1A" w:rsidRDefault="001C4A4D">
      <w:pPr>
        <w:spacing w:line="360" w:lineRule="auto"/>
        <w:ind w:left="567" w:right="843"/>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 xml:space="preserve">III. Autorizar y vigilar la construcción de obras por contrato, por administración, por licitación pública o cualquier otra modalidad que haya sido adjudicada en términos de la legislación de la materia; </w:t>
      </w:r>
    </w:p>
    <w:p w14:paraId="270742C6"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IV. Iniciar tramitar y resolver los procedimientos administrativos que sean necesarios para el cumplimiento de las normas de ejecución de obras públicas; </w:t>
      </w:r>
    </w:p>
    <w:p w14:paraId="5C99767A"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V. Vigilar la ejecución de obras por cooperación, así como la construcción, conservación, rehabilitación, mejoramiento y mantenimiento de obras de infraestructura y equipamiento urbano; </w:t>
      </w:r>
    </w:p>
    <w:p w14:paraId="06630A47"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VI. Elaborar y supervisar programas para la ejecución de proyectos por cooperación, construcción y mejoramiento de obras de infraestructura y equipamiento urbano</w:t>
      </w:r>
      <w:r w:rsidRPr="00A66F1A">
        <w:rPr>
          <w:rFonts w:ascii="Palatino Linotype" w:eastAsia="Palatino Linotype" w:hAnsi="Palatino Linotype" w:cs="Palatino Linotype"/>
          <w:i/>
          <w:iCs/>
          <w:sz w:val="22"/>
          <w:szCs w:val="22"/>
        </w:rPr>
        <w:t xml:space="preserve">; </w:t>
      </w:r>
    </w:p>
    <w:p w14:paraId="208E051C"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VII. Coordinar los programas tendientes a la asistencia y desarrollo de la población, con maquinaria, equipo y materiales básicos para la construcción de obras de mejoramiento de vialidades y edificios públicos; </w:t>
      </w:r>
    </w:p>
    <w:p w14:paraId="0366C94F"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VIII. Coordinar con el Organismo Agua y Saneamiento de Toluca en su supervisión y control de sus programas de obras y operación de sistemas, así como colaborar técnicamente con las dependencias que lo soliciten; </w:t>
      </w:r>
    </w:p>
    <w:p w14:paraId="19458FC7"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IX. Coordinar y vigilar la construcción de edificios, monumentos, bienes de uso común, avenidas, calles, caminos y todo tipo de vialidades e infraestructura urbana de jurisdicción municipal; </w:t>
      </w:r>
    </w:p>
    <w:p w14:paraId="1CA981FD"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X. Coordinar y vigilar el mantenimiento de calles y vialidades en el Municipio a través de obras de rehabilitación mediante bacheo; </w:t>
      </w:r>
    </w:p>
    <w:p w14:paraId="2DEC7F55" w14:textId="77777777" w:rsidR="00F566FC" w:rsidRPr="00A66F1A" w:rsidRDefault="001C4A4D">
      <w:pPr>
        <w:spacing w:line="360" w:lineRule="auto"/>
        <w:ind w:left="567" w:right="843"/>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 xml:space="preserve">XI. Coordinar la planeación y ejecución del Programa Anual de Obra Pública conforme al Plan de Desarrollo Municipal, así como realizar las modificaciones y reconducciones necesarias al mismo, en términos de lo establecido en las disposiciones técnicas, normativas y jurídicas aplicables en la materia; </w:t>
      </w:r>
    </w:p>
    <w:p w14:paraId="64DDB119"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XII. Orientar a los ciudadanos en materia de regularización de tenencia de la tierra; </w:t>
      </w:r>
    </w:p>
    <w:p w14:paraId="27E00864"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XIII. Conducir los procedimientos relativos a la apertura, prolongación, ampliación o cualquier otra modificación de las vías públicas que constituyan la infraestructura local, previo dictamen técnico; </w:t>
      </w:r>
    </w:p>
    <w:p w14:paraId="58AEA4EA"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XIV. Planear, programar, presupuestar y ejecutar obras de ampliación</w:t>
      </w:r>
      <w:r w:rsidRPr="00A66F1A">
        <w:rPr>
          <w:rFonts w:ascii="Palatino Linotype" w:eastAsia="Palatino Linotype" w:hAnsi="Palatino Linotype" w:cs="Palatino Linotype"/>
          <w:i/>
          <w:iCs/>
          <w:sz w:val="22"/>
          <w:szCs w:val="22"/>
        </w:rPr>
        <w:t xml:space="preserve"> de alumbrado público, </w:t>
      </w:r>
      <w:r w:rsidRPr="00A66F1A">
        <w:rPr>
          <w:rFonts w:ascii="Palatino Linotype" w:eastAsia="Palatino Linotype" w:hAnsi="Palatino Linotype" w:cs="Palatino Linotype"/>
          <w:b/>
          <w:bCs/>
          <w:i/>
          <w:iCs/>
          <w:sz w:val="22"/>
          <w:szCs w:val="22"/>
        </w:rPr>
        <w:t>infraestructura</w:t>
      </w:r>
      <w:r w:rsidRPr="00A66F1A">
        <w:rPr>
          <w:rFonts w:ascii="Palatino Linotype" w:eastAsia="Palatino Linotype" w:hAnsi="Palatino Linotype" w:cs="Palatino Linotype"/>
          <w:i/>
          <w:iCs/>
          <w:sz w:val="22"/>
          <w:szCs w:val="22"/>
        </w:rPr>
        <w:t xml:space="preserve"> deportiva, cultural, vivienda, seguridad y educativa en coordinación con las instancias de gobierno competentes.</w:t>
      </w:r>
    </w:p>
    <w:p w14:paraId="3EF994E0"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XV. Analizar y elaborar, los informes previos e informes justificados solicitados por las autoridades Federales, Estatales y Municipales correspondientes a la obra pública; </w:t>
      </w:r>
    </w:p>
    <w:p w14:paraId="07D1367C"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XVI. Elaborar, validar y formalizar instrumentos legales para la contratación de obras y /o servicios que deriven de cualquiera de los procedimientos establecidos en la normatividad vigente y aplicable. </w:t>
      </w:r>
    </w:p>
    <w:p w14:paraId="0023F61D"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XVII. Iniciar, tramitar y resolver los procedimientos, al término de los trabajos ejecutados, por los defectos y vicios ocultos de los mismos y de cualquier otra responsabilidad en que hubiere incurrido, el contratista; </w:t>
      </w:r>
    </w:p>
    <w:p w14:paraId="7EA55973"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XVIII. Elaborar, formular y ejecutar las penas convencionales, por cada día natural de retraso, por el incumplimiento en los trabajos de obra, de acuerdo con lo establecido en el contrato de obras y la normatividad vigente aplicable; </w:t>
      </w:r>
    </w:p>
    <w:p w14:paraId="28658359" w14:textId="77777777" w:rsidR="00F566FC" w:rsidRPr="00A66F1A" w:rsidRDefault="001C4A4D">
      <w:pPr>
        <w:spacing w:line="360" w:lineRule="auto"/>
        <w:ind w:left="567" w:right="843"/>
        <w:jc w:val="both"/>
        <w:rPr>
          <w:rFonts w:ascii="Palatino Linotype" w:eastAsia="Palatino Linotype" w:hAnsi="Palatino Linotype" w:cs="Palatino Linotype"/>
          <w:i/>
          <w:iCs/>
          <w:sz w:val="20"/>
          <w:szCs w:val="20"/>
        </w:rPr>
      </w:pPr>
      <w:r w:rsidRPr="00A66F1A">
        <w:rPr>
          <w:rFonts w:ascii="Palatino Linotype" w:eastAsia="Palatino Linotype" w:hAnsi="Palatino Linotype" w:cs="Palatino Linotype"/>
          <w:i/>
          <w:iCs/>
          <w:sz w:val="22"/>
          <w:szCs w:val="22"/>
        </w:rPr>
        <w:t>XIX. Las demás que le confieran otros ordenamientos jurídicos, el H. Ayuntamiento y la Presidenta o Presidente Municipal.</w:t>
      </w:r>
    </w:p>
    <w:p w14:paraId="596CA4DA"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37FD2FE3"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Es así que, la Dirección de Obras Públicas tiene atribuciones para conocer información respecto a obras públicas, las que incluye la remodelación de los veintitrés comedores comunitarios. Por lo que se ordena entregar los documentos donde conste el costo de la remodelación al veintiocho de abril de dos mil veinticinco.</w:t>
      </w:r>
    </w:p>
    <w:p w14:paraId="0722F880"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63A40297"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Ahora bien, respecto al horario de atención y el número de personas que atiende, el Sujeto Obligado refirió que no es fijo, se define por cada una de las actividades con base en la convocatoria, difusión y dinamismo de la población, así como su posibilidad de asistencia.</w:t>
      </w:r>
    </w:p>
    <w:p w14:paraId="26044E9F"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0E48F598"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De lo anterior, no se debe perder de vista que la implementación de los comedores comunitarios son programas sociales enfocados a grupos vulnerables, por lo que, se constituye como una obligación de transparencia común, de acuerdo al artículo 92, fracción XIV, cuyo contenido es el siguiente:</w:t>
      </w:r>
    </w:p>
    <w:p w14:paraId="200274CE"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1947B93D" w14:textId="77777777" w:rsidR="00F566FC" w:rsidRPr="00A66F1A" w:rsidRDefault="001C4A4D">
      <w:pPr>
        <w:spacing w:line="360" w:lineRule="auto"/>
        <w:ind w:left="567" w:right="843"/>
        <w:jc w:val="center"/>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Capítulo II</w:t>
      </w:r>
    </w:p>
    <w:p w14:paraId="6F9A07B0" w14:textId="77777777" w:rsidR="00F566FC" w:rsidRPr="00A66F1A" w:rsidRDefault="001C4A4D">
      <w:pPr>
        <w:spacing w:line="360" w:lineRule="auto"/>
        <w:ind w:left="567" w:right="843"/>
        <w:jc w:val="center"/>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De las Obligaciones de Transparencia Comunes</w:t>
      </w:r>
    </w:p>
    <w:p w14:paraId="0325E36D"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F928312"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12BB2568"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XIV. La información de los programas de subsidios</w:t>
      </w:r>
      <w:r w:rsidRPr="00A66F1A">
        <w:rPr>
          <w:rFonts w:ascii="Palatino Linotype" w:eastAsia="Palatino Linotype" w:hAnsi="Palatino Linotype" w:cs="Palatino Linotype"/>
          <w:i/>
          <w:iCs/>
          <w:sz w:val="22"/>
          <w:szCs w:val="22"/>
        </w:rPr>
        <w:t xml:space="preserve">, </w:t>
      </w:r>
      <w:r w:rsidRPr="00A66F1A">
        <w:rPr>
          <w:rFonts w:ascii="Palatino Linotype" w:eastAsia="Palatino Linotype" w:hAnsi="Palatino Linotype" w:cs="Palatino Linotype"/>
          <w:b/>
          <w:bCs/>
          <w:i/>
          <w:iCs/>
          <w:sz w:val="22"/>
          <w:szCs w:val="22"/>
        </w:rPr>
        <w:t>estímulos y apoyos</w:t>
      </w:r>
      <w:r w:rsidRPr="00A66F1A">
        <w:rPr>
          <w:rFonts w:ascii="Palatino Linotype" w:eastAsia="Palatino Linotype" w:hAnsi="Palatino Linotype" w:cs="Palatino Linotype"/>
          <w:i/>
          <w:iCs/>
          <w:sz w:val="22"/>
          <w:szCs w:val="22"/>
        </w:rPr>
        <w:t xml:space="preserve">, en el que se deberá informar respecto de los programas de transferencia, de servicios, de infraestructura social y de subsidio, en los que se deberá contener lo siguiente: </w:t>
      </w:r>
    </w:p>
    <w:p w14:paraId="3096C56C"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a) Área; </w:t>
      </w:r>
    </w:p>
    <w:p w14:paraId="23209462" w14:textId="77777777" w:rsidR="00F566FC" w:rsidRPr="00A66F1A" w:rsidRDefault="001C4A4D">
      <w:pPr>
        <w:spacing w:line="360" w:lineRule="auto"/>
        <w:ind w:left="567" w:right="843"/>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 xml:space="preserve">b) Denominación del programa; </w:t>
      </w:r>
    </w:p>
    <w:p w14:paraId="33E92667"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c) Periodo de vigencia; </w:t>
      </w:r>
    </w:p>
    <w:p w14:paraId="12731D1B"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d) Diseño, objetivos y alcances;</w:t>
      </w:r>
    </w:p>
    <w:p w14:paraId="6530468F"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e) Metas físicas; </w:t>
      </w:r>
    </w:p>
    <w:p w14:paraId="080FCD2B" w14:textId="77777777" w:rsidR="00F566FC" w:rsidRPr="00A66F1A" w:rsidRDefault="001C4A4D">
      <w:pPr>
        <w:spacing w:line="360" w:lineRule="auto"/>
        <w:ind w:left="567" w:right="843"/>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 xml:space="preserve">f) Población beneficiada estimada; </w:t>
      </w:r>
    </w:p>
    <w:p w14:paraId="613EAFB4"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g) Monto aprobado, modificado y ejercido, así como los calendarios de su programación presupuestal; </w:t>
      </w:r>
    </w:p>
    <w:p w14:paraId="3CE7785D" w14:textId="77777777" w:rsidR="00F566FC" w:rsidRPr="00A66F1A" w:rsidRDefault="001C4A4D">
      <w:pPr>
        <w:spacing w:line="360" w:lineRule="auto"/>
        <w:ind w:left="567" w:right="843"/>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 xml:space="preserve">h) Requisitos y procedimientos de acceso; </w:t>
      </w:r>
    </w:p>
    <w:p w14:paraId="170157D0"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i) Procedimiento de queja o inconformidad ciudadana; </w:t>
      </w:r>
    </w:p>
    <w:p w14:paraId="299279BD"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j) Mecanismos de exigibilidad; </w:t>
      </w:r>
    </w:p>
    <w:p w14:paraId="735523D2"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k) Mecanismos e informes de evaluación y seguimiento de recomendaciones; </w:t>
      </w:r>
    </w:p>
    <w:p w14:paraId="244C192A"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l) Indicadores con nombre, definición, método de cálculo, unidad de medida; dimensión, frecuencia de medición, nombre de las bases de datos utilizadas para su cálculo; </w:t>
      </w:r>
    </w:p>
    <w:p w14:paraId="166E2D10"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m) Formas de participación social; </w:t>
      </w:r>
    </w:p>
    <w:p w14:paraId="1BC37942"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n) Articulación con otros programas sociales; </w:t>
      </w:r>
    </w:p>
    <w:p w14:paraId="350FA687"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ñ) Vínculo a las reglas de operación o documento equivalente; </w:t>
      </w:r>
    </w:p>
    <w:p w14:paraId="347462CF" w14:textId="77777777" w:rsidR="00F566FC" w:rsidRPr="00A66F1A" w:rsidRDefault="001C4A4D">
      <w:pPr>
        <w:spacing w:line="360" w:lineRule="auto"/>
        <w:ind w:left="567" w:right="8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o) Informes periódicos sobre la ejecución y los resultados de las evaluaciones realizadas; y</w:t>
      </w:r>
    </w:p>
    <w:p w14:paraId="6FFF69E6" w14:textId="77777777" w:rsidR="00F566FC" w:rsidRPr="00A66F1A" w:rsidRDefault="001C4A4D">
      <w:pPr>
        <w:spacing w:line="360" w:lineRule="auto"/>
        <w:ind w:left="567" w:right="843"/>
        <w:jc w:val="both"/>
        <w:rPr>
          <w:rFonts w:ascii="Palatino Linotype" w:eastAsia="Palatino Linotype" w:hAnsi="Palatino Linotype" w:cs="Palatino Linotype"/>
          <w:i/>
          <w:iCs/>
          <w:sz w:val="20"/>
          <w:szCs w:val="20"/>
        </w:rPr>
      </w:pPr>
      <w:r w:rsidRPr="00A66F1A">
        <w:rPr>
          <w:rFonts w:ascii="Palatino Linotype" w:eastAsia="Palatino Linotype" w:hAnsi="Palatino Linotype" w:cs="Palatino Linotype"/>
          <w:b/>
          <w:bCs/>
          <w:i/>
          <w:iCs/>
          <w:sz w:val="22"/>
          <w:szCs w:val="22"/>
        </w:rPr>
        <w:t>p) Padrón de beneficiarios</w:t>
      </w:r>
      <w:r w:rsidRPr="00A66F1A">
        <w:rPr>
          <w:rFonts w:ascii="Palatino Linotype" w:eastAsia="Palatino Linotype" w:hAnsi="Palatino Linotype" w:cs="Palatino Linotype"/>
          <w:i/>
          <w:iCs/>
          <w:sz w:val="22"/>
          <w:szCs w:val="22"/>
        </w:rPr>
        <w:t xml:space="preserve"> mismo que deberá contener los siguientes datos: nombre de la persona física o denominación social de las personas jurídicas colectivas beneficiadas, el monto, recurso, beneficio o apoyo otorgado para cada una de ellas, unidad territorial, en su caso, edad y sexo. </w:t>
      </w:r>
      <w:r w:rsidRPr="00A66F1A">
        <w:rPr>
          <w:rFonts w:ascii="Palatino Linotype" w:eastAsia="Palatino Linotype" w:hAnsi="Palatino Linotype" w:cs="Palatino Linotype"/>
          <w:i/>
          <w:iCs/>
          <w:sz w:val="20"/>
          <w:szCs w:val="20"/>
        </w:rPr>
        <w:t xml:space="preserve"> </w:t>
      </w:r>
    </w:p>
    <w:p w14:paraId="348EA06E" w14:textId="77777777" w:rsidR="00F566FC" w:rsidRPr="00A66F1A" w:rsidRDefault="00F566FC">
      <w:pPr>
        <w:spacing w:line="360" w:lineRule="auto"/>
        <w:ind w:left="567" w:right="843"/>
        <w:jc w:val="both"/>
        <w:rPr>
          <w:rFonts w:ascii="Palatino Linotype" w:eastAsia="Palatino Linotype" w:hAnsi="Palatino Linotype" w:cs="Palatino Linotype"/>
          <w:i/>
          <w:iCs/>
          <w:sz w:val="20"/>
          <w:szCs w:val="20"/>
        </w:rPr>
      </w:pPr>
    </w:p>
    <w:p w14:paraId="5EAD69CF"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Entonces, tal y como se advierte, el Sujeto Obligado debe generar la información relacionada con la población estimada beneficiada con el programa, así como los requisitos y procedimientos para el acceso, entre los que debe ser el horario de atención, ya que es un elemento indispensable para que la población acceda al programa, por lo que el Sujeto Obligado tiene facultades, atribuciones y competencias para contar con la información requerida. En consecuencia, la respuesta que emitió el Sujeto Obligado no satisface los requerimientos planteados por el Recurrente, por lo que se MODIFICA la respuesta y se ORDENA entregar el horario de atención y el número de personas beneficiadas.</w:t>
      </w:r>
    </w:p>
    <w:p w14:paraId="3DC11FD6"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34EF3553"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Por último y no menos importante, es necesario precisar que el Recurrente desea conocer el número de personas beneficiadas, por lo que es necesario traer a contexto el criterio orientador 11/09 emitido por el entonces Instituto Nacional de Transparencia, Acceso a la Información y Protección de Datos Personales, que a la letra expone lo siguiente:</w:t>
      </w:r>
    </w:p>
    <w:p w14:paraId="57DD9029"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69F05B05" w14:textId="77777777" w:rsidR="00F566FC" w:rsidRPr="00A66F1A" w:rsidRDefault="001C4A4D">
      <w:pPr>
        <w:pBdr>
          <w:top w:val="nil"/>
          <w:left w:val="nil"/>
          <w:bottom w:val="nil"/>
          <w:right w:val="nil"/>
          <w:between w:val="nil"/>
        </w:pBdr>
        <w:ind w:left="567" w:right="616"/>
        <w:jc w:val="both"/>
      </w:pPr>
      <w:r w:rsidRPr="00A66F1A">
        <w:rPr>
          <w:rFonts w:ascii="Palatino Linotype" w:eastAsia="Palatino Linotype" w:hAnsi="Palatino Linotype" w:cs="Palatino Linotype"/>
          <w:b/>
          <w:bCs/>
          <w:i/>
          <w:iCs/>
          <w:sz w:val="22"/>
          <w:szCs w:val="22"/>
        </w:rPr>
        <w:t>LA INFORMACIÓN ESTADÍSTICA ES DE NATURALEZA PÚBLICA</w:t>
      </w:r>
      <w:r w:rsidRPr="00A66F1A">
        <w:rPr>
          <w:rFonts w:ascii="Palatino Linotype" w:eastAsia="Palatino Linotype" w:hAnsi="Palatino Linotype" w:cs="Palatino Linotype"/>
          <w:i/>
          <w:iCs/>
          <w:sz w:val="22"/>
          <w:szCs w:val="22"/>
        </w:rPr>
        <w:t>,</w:t>
      </w:r>
      <w:r w:rsidRPr="00A66F1A">
        <w:rPr>
          <w:rFonts w:ascii="Palatino Linotype" w:eastAsia="Palatino Linotype" w:hAnsi="Palatino Linotype" w:cs="Palatino Linotype"/>
          <w:b/>
          <w:bCs/>
          <w:i/>
          <w:iCs/>
          <w:sz w:val="22"/>
          <w:szCs w:val="22"/>
        </w:rPr>
        <w:t xml:space="preserve"> INDEPENDIENTEMENTE DE LA MATERIA CON LA  QUE  SE ENCUENTRE  VINCULADA. </w:t>
      </w:r>
      <w:r w:rsidRPr="00A66F1A">
        <w:rPr>
          <w:rFonts w:ascii="Palatino Linotype" w:eastAsia="Palatino Linotype" w:hAnsi="Palatino Linotype" w:cs="Palatino Linotype"/>
          <w:i/>
          <w:iCs/>
          <w:sz w:val="22"/>
          <w:szCs w:val="22"/>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44E0BEC2" w14:textId="77777777" w:rsidR="00F566FC" w:rsidRPr="00A66F1A" w:rsidRDefault="00F566FC"/>
    <w:p w14:paraId="7D03008C" w14:textId="77777777" w:rsidR="00F566FC" w:rsidRPr="00A66F1A" w:rsidRDefault="001C4A4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De tales circunstancias, se concluye que los Sujetos Obligados deberán hacer entrega de información estadística como obren en sus archivos. </w:t>
      </w:r>
    </w:p>
    <w:p w14:paraId="77390686"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61BC32B2"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De ser el caso de que la información que se ORDENA entregar contenga datos personales, el Sujeto Obligado deberá estar a lo dispuesto en el Considerando Quinto de la presente resolución. </w:t>
      </w:r>
    </w:p>
    <w:p w14:paraId="0BF1C5C9" w14:textId="77777777" w:rsidR="00F566FC" w:rsidRPr="00A66F1A" w:rsidRDefault="001C4A4D">
      <w:pPr>
        <w:spacing w:before="240" w:after="240"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 xml:space="preserve">Quinto. Versión Pública. </w:t>
      </w:r>
      <w:r w:rsidRPr="00A66F1A">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A66F1A">
        <w:rPr>
          <w:rFonts w:ascii="Palatino Linotype" w:eastAsia="Palatino Linotype" w:hAnsi="Palatino Linotype" w:cs="Palatino Linotype"/>
          <w:b/>
          <w:bCs/>
          <w:sz w:val="22"/>
          <w:szCs w:val="22"/>
        </w:rPr>
        <w:t>la parte</w:t>
      </w:r>
      <w:r w:rsidRPr="00A66F1A">
        <w:rPr>
          <w:rFonts w:ascii="Palatino Linotype" w:eastAsia="Palatino Linotype" w:hAnsi="Palatino Linotype" w:cs="Palatino Linotype"/>
          <w:sz w:val="22"/>
          <w:szCs w:val="22"/>
        </w:rPr>
        <w:t xml:space="preserve"> </w:t>
      </w:r>
      <w:r w:rsidRPr="00A66F1A">
        <w:rPr>
          <w:rFonts w:ascii="Palatino Linotype" w:eastAsia="Palatino Linotype" w:hAnsi="Palatino Linotype" w:cs="Palatino Linotype"/>
          <w:b/>
          <w:bCs/>
          <w:sz w:val="22"/>
          <w:szCs w:val="22"/>
        </w:rPr>
        <w:t>Recurrente</w:t>
      </w:r>
      <w:r w:rsidRPr="00A66F1A">
        <w:rPr>
          <w:rFonts w:ascii="Palatino Linotype" w:eastAsia="Palatino Linotype" w:hAnsi="Palatino Linotype" w:cs="Palatino Linotype"/>
          <w:sz w:val="22"/>
          <w:szCs w:val="22"/>
        </w:rPr>
        <w:t xml:space="preserve"> sin menoscabar el derecho a la protección de los datos personales de terceros.</w:t>
      </w:r>
    </w:p>
    <w:p w14:paraId="553D71CE" w14:textId="77777777" w:rsidR="00F566FC" w:rsidRPr="00A66F1A" w:rsidRDefault="001C4A4D">
      <w:pPr>
        <w:spacing w:before="240" w:after="240" w:line="360" w:lineRule="auto"/>
        <w:ind w:right="4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3143D81C" w14:textId="77777777" w:rsidR="00F566FC" w:rsidRPr="00A66F1A" w:rsidRDefault="001C4A4D">
      <w:pPr>
        <w:ind w:left="993" w:right="1041"/>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 xml:space="preserve"> “Artículo 3. Para los efectos de la presente Ley se entenderá por:</w:t>
      </w:r>
    </w:p>
    <w:p w14:paraId="12C66FB5" w14:textId="77777777" w:rsidR="00F566FC" w:rsidRPr="00A66F1A" w:rsidRDefault="001C4A4D">
      <w:pPr>
        <w:ind w:left="993" w:right="1041"/>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IX. Datos personales:</w:t>
      </w:r>
      <w:r w:rsidRPr="00A66F1A">
        <w:rPr>
          <w:rFonts w:ascii="Palatino Linotype" w:eastAsia="Palatino Linotype" w:hAnsi="Palatino Linotype" w:cs="Palatino Linotype"/>
          <w:i/>
          <w:iCs/>
          <w:sz w:val="22"/>
          <w:szCs w:val="22"/>
        </w:rPr>
        <w:t xml:space="preserve"> </w:t>
      </w:r>
      <w:r w:rsidRPr="00A66F1A">
        <w:rPr>
          <w:rFonts w:ascii="Palatino Linotype" w:eastAsia="Palatino Linotype" w:hAnsi="Palatino Linotype" w:cs="Palatino Linotype"/>
          <w:b/>
          <w:bCs/>
          <w:i/>
          <w:iCs/>
          <w:sz w:val="22"/>
          <w:szCs w:val="22"/>
        </w:rPr>
        <w:t>La información concerniente a una persona, identificada o identificable</w:t>
      </w:r>
      <w:r w:rsidRPr="00A66F1A">
        <w:rPr>
          <w:rFonts w:ascii="Palatino Linotype" w:eastAsia="Palatino Linotype" w:hAnsi="Palatino Linotype" w:cs="Palatino Linotype"/>
          <w:i/>
          <w:iCs/>
          <w:sz w:val="22"/>
          <w:szCs w:val="22"/>
        </w:rPr>
        <w:t xml:space="preserve"> según lo dispuesto por la Ley de Protección de Datos Personales del Estado de México;</w:t>
      </w:r>
    </w:p>
    <w:p w14:paraId="61B83BCF" w14:textId="77777777" w:rsidR="00F566FC" w:rsidRPr="00A66F1A" w:rsidRDefault="001C4A4D">
      <w:pPr>
        <w:ind w:left="993" w:right="1041"/>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XX. Información clasificada:</w:t>
      </w:r>
      <w:r w:rsidRPr="00A66F1A">
        <w:rPr>
          <w:rFonts w:ascii="Palatino Linotype" w:eastAsia="Palatino Linotype" w:hAnsi="Palatino Linotype" w:cs="Palatino Linotype"/>
          <w:i/>
          <w:iCs/>
          <w:sz w:val="22"/>
          <w:szCs w:val="22"/>
        </w:rPr>
        <w:t xml:space="preserve"> Aquella considerada por la presente Ley como reservada o confidencial;</w:t>
      </w:r>
    </w:p>
    <w:p w14:paraId="73DB51DB" w14:textId="77777777" w:rsidR="00F566FC" w:rsidRPr="00A66F1A" w:rsidRDefault="001C4A4D">
      <w:pPr>
        <w:ind w:left="993" w:right="1041"/>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XXXII. Protección de Datos Personales:</w:t>
      </w:r>
      <w:r w:rsidRPr="00A66F1A">
        <w:rPr>
          <w:rFonts w:ascii="Palatino Linotype" w:eastAsia="Palatino Linotype" w:hAnsi="Palatino Linotype" w:cs="Palatino Linotype"/>
          <w:i/>
          <w:iCs/>
          <w:sz w:val="22"/>
          <w:szCs w:val="22"/>
        </w:rPr>
        <w:t xml:space="preserve"> Derecho humano que tutela la privacidad de datos personales en poder de los sujetos obligados y sujetos particulares;</w:t>
      </w:r>
    </w:p>
    <w:p w14:paraId="3FE040B6" w14:textId="77777777" w:rsidR="00F566FC" w:rsidRPr="00A66F1A" w:rsidRDefault="001C4A4D">
      <w:pPr>
        <w:ind w:left="993" w:right="1041"/>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XLV. Versión pública</w:t>
      </w:r>
      <w:r w:rsidRPr="00A66F1A">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191F4D3A" w14:textId="77777777" w:rsidR="00F566FC" w:rsidRPr="00A66F1A" w:rsidRDefault="00F566FC">
      <w:pPr>
        <w:ind w:left="993" w:right="1041"/>
        <w:jc w:val="both"/>
        <w:rPr>
          <w:rFonts w:ascii="Palatino Linotype" w:eastAsia="Palatino Linotype" w:hAnsi="Palatino Linotype" w:cs="Palatino Linotype"/>
          <w:i/>
          <w:iCs/>
          <w:sz w:val="22"/>
          <w:szCs w:val="22"/>
        </w:rPr>
      </w:pPr>
    </w:p>
    <w:p w14:paraId="60E26C01" w14:textId="77777777" w:rsidR="00F566FC" w:rsidRPr="00A66F1A" w:rsidRDefault="001C4A4D">
      <w:pPr>
        <w:ind w:left="993" w:right="1041"/>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“Artículo 6.</w:t>
      </w:r>
      <w:r w:rsidRPr="00A66F1A">
        <w:rPr>
          <w:rFonts w:ascii="Palatino Linotype" w:eastAsia="Palatino Linotype" w:hAnsi="Palatino Linotype" w:cs="Palatino Linotype"/>
          <w:i/>
          <w:iCs/>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9565C92" w14:textId="77777777" w:rsidR="00F566FC" w:rsidRPr="00A66F1A" w:rsidRDefault="00F566FC">
      <w:pPr>
        <w:ind w:left="993" w:right="1041"/>
        <w:jc w:val="both"/>
        <w:rPr>
          <w:rFonts w:ascii="Palatino Linotype" w:eastAsia="Palatino Linotype" w:hAnsi="Palatino Linotype" w:cs="Palatino Linotype"/>
          <w:i/>
          <w:iCs/>
          <w:sz w:val="22"/>
          <w:szCs w:val="22"/>
        </w:rPr>
      </w:pPr>
    </w:p>
    <w:p w14:paraId="312A30B2" w14:textId="77777777" w:rsidR="00F566FC" w:rsidRPr="00A66F1A" w:rsidRDefault="001C4A4D">
      <w:pPr>
        <w:ind w:left="993" w:right="1041"/>
        <w:jc w:val="both"/>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“Artículo 137.</w:t>
      </w:r>
      <w:r w:rsidRPr="00A66F1A">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A9AE678" w14:textId="77777777" w:rsidR="00F566FC" w:rsidRPr="00A66F1A" w:rsidRDefault="00F566FC">
      <w:pPr>
        <w:ind w:left="993" w:right="1041"/>
        <w:jc w:val="both"/>
        <w:rPr>
          <w:rFonts w:ascii="Palatino Linotype" w:eastAsia="Palatino Linotype" w:hAnsi="Palatino Linotype" w:cs="Palatino Linotype"/>
          <w:b/>
          <w:bCs/>
          <w:i/>
          <w:iCs/>
          <w:sz w:val="22"/>
          <w:szCs w:val="22"/>
        </w:rPr>
      </w:pPr>
    </w:p>
    <w:p w14:paraId="63886036" w14:textId="77777777" w:rsidR="00F566FC" w:rsidRPr="00A66F1A" w:rsidRDefault="001C4A4D">
      <w:pPr>
        <w:ind w:left="993" w:right="1041"/>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“Artículo 143</w:t>
      </w:r>
      <w:r w:rsidRPr="00A66F1A">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01DFD090" w14:textId="77777777" w:rsidR="00F566FC" w:rsidRPr="00A66F1A" w:rsidRDefault="001C4A4D">
      <w:pPr>
        <w:ind w:left="993" w:right="1041"/>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I.</w:t>
      </w:r>
      <w:r w:rsidRPr="00A66F1A">
        <w:rPr>
          <w:rFonts w:ascii="Palatino Linotype" w:eastAsia="Palatino Linotype" w:hAnsi="Palatino Linotype" w:cs="Palatino Linotype"/>
          <w:i/>
          <w:iCs/>
          <w:sz w:val="22"/>
          <w:szCs w:val="22"/>
        </w:rPr>
        <w:t xml:space="preserve"> Se refiera a la información privada y los datos personales concernientes a una persona física o jurídica colectiva identificada o identificable;</w:t>
      </w:r>
    </w:p>
    <w:p w14:paraId="0250C8BB" w14:textId="77777777" w:rsidR="00F566FC" w:rsidRPr="00A66F1A" w:rsidRDefault="001C4A4D">
      <w:pPr>
        <w:ind w:left="993" w:right="1041"/>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0316C0D" w14:textId="77777777" w:rsidR="00F566FC" w:rsidRPr="00A66F1A" w:rsidRDefault="001C4A4D">
      <w:pPr>
        <w:ind w:left="993" w:right="1041"/>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III. La que presenten los particulares a los sujetos obligados, de conformidad con lo dispuesto por las leyes o los tratados internacionales.” </w:t>
      </w:r>
    </w:p>
    <w:p w14:paraId="330B0F74" w14:textId="77777777" w:rsidR="00F566FC" w:rsidRPr="00A66F1A" w:rsidRDefault="00F566FC">
      <w:pPr>
        <w:ind w:left="993" w:right="1041"/>
        <w:jc w:val="both"/>
        <w:rPr>
          <w:rFonts w:ascii="Palatino Linotype" w:eastAsia="Palatino Linotype" w:hAnsi="Palatino Linotype" w:cs="Palatino Linotype"/>
          <w:i/>
          <w:iCs/>
          <w:sz w:val="22"/>
          <w:szCs w:val="22"/>
        </w:rPr>
      </w:pPr>
    </w:p>
    <w:p w14:paraId="4A5C9428" w14:textId="77777777" w:rsidR="00F566FC" w:rsidRPr="00A66F1A" w:rsidRDefault="001C4A4D">
      <w:pPr>
        <w:spacing w:line="360" w:lineRule="auto"/>
        <w:ind w:right="51"/>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66F1A">
        <w:rPr>
          <w:rFonts w:ascii="Palatino Linotype" w:eastAsia="Palatino Linotype" w:hAnsi="Palatino Linotype" w:cs="Palatino Linotype"/>
          <w:b/>
          <w:bCs/>
          <w:sz w:val="22"/>
          <w:szCs w:val="22"/>
        </w:rPr>
        <w:t>Sujeto Obligado</w:t>
      </w:r>
      <w:r w:rsidRPr="00A66F1A">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w:t>
      </w:r>
      <w:r w:rsidRPr="00A66F1A">
        <w:rPr>
          <w:rFonts w:ascii="Palatino Linotype" w:eastAsia="Palatino Linotype" w:hAnsi="Palatino Linotype" w:cs="Palatino Linotype"/>
          <w:b/>
          <w:bCs/>
          <w:sz w:val="22"/>
          <w:szCs w:val="22"/>
        </w:rPr>
        <w:t>la parte</w:t>
      </w:r>
      <w:r w:rsidRPr="00A66F1A">
        <w:rPr>
          <w:rFonts w:ascii="Palatino Linotype" w:eastAsia="Palatino Linotype" w:hAnsi="Palatino Linotype" w:cs="Palatino Linotype"/>
          <w:sz w:val="22"/>
          <w:szCs w:val="22"/>
        </w:rPr>
        <w:t xml:space="preserve"> </w:t>
      </w:r>
      <w:r w:rsidRPr="00A66F1A">
        <w:rPr>
          <w:rFonts w:ascii="Palatino Linotype" w:eastAsia="Palatino Linotype" w:hAnsi="Palatino Linotype" w:cs="Palatino Linotype"/>
          <w:b/>
          <w:bCs/>
          <w:sz w:val="22"/>
          <w:szCs w:val="22"/>
        </w:rPr>
        <w:t>Recurrente</w:t>
      </w:r>
      <w:r w:rsidRPr="00A66F1A">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CAC9327" w14:textId="77777777" w:rsidR="00F566FC" w:rsidRPr="00A66F1A" w:rsidRDefault="00F566FC">
      <w:pPr>
        <w:spacing w:line="360" w:lineRule="auto"/>
        <w:ind w:right="51"/>
        <w:jc w:val="both"/>
        <w:rPr>
          <w:rFonts w:ascii="Palatino Linotype" w:eastAsia="Palatino Linotype" w:hAnsi="Palatino Linotype" w:cs="Palatino Linotype"/>
          <w:sz w:val="22"/>
          <w:szCs w:val="22"/>
        </w:rPr>
      </w:pPr>
    </w:p>
    <w:p w14:paraId="63962A17" w14:textId="77777777" w:rsidR="00F566FC" w:rsidRPr="00A66F1A" w:rsidRDefault="001C4A4D">
      <w:pPr>
        <w:spacing w:line="360" w:lineRule="auto"/>
        <w:ind w:right="50"/>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2D995EA" w14:textId="77777777" w:rsidR="00F566FC" w:rsidRPr="00A66F1A" w:rsidRDefault="00F566FC">
      <w:pPr>
        <w:spacing w:line="360" w:lineRule="auto"/>
        <w:ind w:right="51"/>
        <w:jc w:val="both"/>
        <w:rPr>
          <w:rFonts w:ascii="Palatino Linotype" w:eastAsia="Palatino Linotype" w:hAnsi="Palatino Linotype" w:cs="Palatino Linotype"/>
          <w:sz w:val="22"/>
          <w:szCs w:val="22"/>
        </w:rPr>
      </w:pPr>
    </w:p>
    <w:p w14:paraId="4058F884" w14:textId="77777777" w:rsidR="00F566FC" w:rsidRPr="00A66F1A" w:rsidRDefault="001C4A4D">
      <w:pPr>
        <w:spacing w:line="360" w:lineRule="auto"/>
        <w:ind w:right="51"/>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A66F1A">
        <w:rPr>
          <w:rFonts w:ascii="Palatino Linotype" w:eastAsia="Palatino Linotype" w:hAnsi="Palatino Linotype" w:cs="Palatino Linotype"/>
          <w:b/>
          <w:bCs/>
          <w:sz w:val="22"/>
          <w:szCs w:val="22"/>
        </w:rPr>
        <w:t>Sujeto Obligado</w:t>
      </w:r>
      <w:r w:rsidRPr="00A66F1A">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3042B6DF" w14:textId="77777777" w:rsidR="00F566FC" w:rsidRPr="00A66F1A" w:rsidRDefault="00F566FC">
      <w:pPr>
        <w:spacing w:line="360" w:lineRule="auto"/>
        <w:ind w:right="51"/>
        <w:jc w:val="both"/>
        <w:rPr>
          <w:rFonts w:ascii="Palatino Linotype" w:eastAsia="Palatino Linotype" w:hAnsi="Palatino Linotype" w:cs="Palatino Linotype"/>
          <w:sz w:val="22"/>
          <w:szCs w:val="22"/>
        </w:rPr>
      </w:pPr>
    </w:p>
    <w:p w14:paraId="0A6E5777" w14:textId="77777777" w:rsidR="00F566FC" w:rsidRPr="00A66F1A" w:rsidRDefault="001C4A4D">
      <w:pPr>
        <w:ind w:left="992" w:right="10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“Artículo 49.</w:t>
      </w:r>
      <w:r w:rsidRPr="00A66F1A">
        <w:rPr>
          <w:rFonts w:ascii="Palatino Linotype" w:eastAsia="Palatino Linotype" w:hAnsi="Palatino Linotype" w:cs="Palatino Linotype"/>
          <w:i/>
          <w:iCs/>
          <w:sz w:val="22"/>
          <w:szCs w:val="22"/>
        </w:rPr>
        <w:t xml:space="preserve"> </w:t>
      </w:r>
      <w:r w:rsidRPr="00A66F1A">
        <w:rPr>
          <w:rFonts w:ascii="Palatino Linotype" w:eastAsia="Palatino Linotype" w:hAnsi="Palatino Linotype" w:cs="Palatino Linotype"/>
          <w:b/>
          <w:bCs/>
          <w:i/>
          <w:iCs/>
          <w:sz w:val="22"/>
          <w:szCs w:val="22"/>
        </w:rPr>
        <w:t>Los Comités de Transparencia</w:t>
      </w:r>
      <w:r w:rsidRPr="00A66F1A">
        <w:rPr>
          <w:rFonts w:ascii="Palatino Linotype" w:eastAsia="Palatino Linotype" w:hAnsi="Palatino Linotype" w:cs="Palatino Linotype"/>
          <w:i/>
          <w:iCs/>
          <w:sz w:val="22"/>
          <w:szCs w:val="22"/>
        </w:rPr>
        <w:t xml:space="preserve"> tendrán las siguientes atribuciones:</w:t>
      </w:r>
    </w:p>
    <w:p w14:paraId="461E2A86" w14:textId="77777777" w:rsidR="00F566FC" w:rsidRPr="00A66F1A" w:rsidRDefault="001C4A4D">
      <w:pPr>
        <w:ind w:left="992" w:right="10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VIII. Aprobar, modificar o revocar la clasificación de la información</w:t>
      </w:r>
      <w:r w:rsidRPr="00A66F1A">
        <w:rPr>
          <w:rFonts w:ascii="Palatino Linotype" w:eastAsia="Palatino Linotype" w:hAnsi="Palatino Linotype" w:cs="Palatino Linotype"/>
          <w:i/>
          <w:iCs/>
          <w:sz w:val="22"/>
          <w:szCs w:val="22"/>
        </w:rPr>
        <w:t>…”</w:t>
      </w:r>
    </w:p>
    <w:p w14:paraId="0E523CA9" w14:textId="77777777" w:rsidR="00F566FC" w:rsidRPr="00A66F1A" w:rsidRDefault="001C4A4D">
      <w:pPr>
        <w:ind w:left="992" w:right="10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w:t>
      </w:r>
      <w:r w:rsidRPr="00A66F1A">
        <w:rPr>
          <w:rFonts w:ascii="Palatino Linotype" w:eastAsia="Palatino Linotype" w:hAnsi="Palatino Linotype" w:cs="Palatino Linotype"/>
          <w:b/>
          <w:bCs/>
          <w:i/>
          <w:iCs/>
          <w:sz w:val="22"/>
          <w:szCs w:val="22"/>
        </w:rPr>
        <w:t>Artículo 53.</w:t>
      </w:r>
      <w:r w:rsidRPr="00A66F1A">
        <w:rPr>
          <w:rFonts w:ascii="Palatino Linotype" w:eastAsia="Palatino Linotype" w:hAnsi="Palatino Linotype" w:cs="Palatino Linotype"/>
          <w:i/>
          <w:iCs/>
          <w:sz w:val="22"/>
          <w:szCs w:val="22"/>
        </w:rPr>
        <w:t xml:space="preserve"> Las </w:t>
      </w:r>
      <w:r w:rsidRPr="00A66F1A">
        <w:rPr>
          <w:rFonts w:ascii="Palatino Linotype" w:eastAsia="Palatino Linotype" w:hAnsi="Palatino Linotype" w:cs="Palatino Linotype"/>
          <w:b/>
          <w:bCs/>
          <w:i/>
          <w:iCs/>
          <w:sz w:val="22"/>
          <w:szCs w:val="22"/>
        </w:rPr>
        <w:t>Unidades de Transparencia</w:t>
      </w:r>
      <w:r w:rsidRPr="00A66F1A">
        <w:rPr>
          <w:rFonts w:ascii="Palatino Linotype" w:eastAsia="Palatino Linotype" w:hAnsi="Palatino Linotype" w:cs="Palatino Linotype"/>
          <w:i/>
          <w:iCs/>
          <w:sz w:val="22"/>
          <w:szCs w:val="22"/>
        </w:rPr>
        <w:t xml:space="preserve"> tendrán las siguientes </w:t>
      </w:r>
      <w:r w:rsidRPr="00A66F1A">
        <w:rPr>
          <w:rFonts w:ascii="Palatino Linotype" w:eastAsia="Palatino Linotype" w:hAnsi="Palatino Linotype" w:cs="Palatino Linotype"/>
          <w:b/>
          <w:bCs/>
          <w:i/>
          <w:iCs/>
          <w:sz w:val="22"/>
          <w:szCs w:val="22"/>
        </w:rPr>
        <w:t>funciones</w:t>
      </w:r>
      <w:r w:rsidRPr="00A66F1A">
        <w:rPr>
          <w:rFonts w:ascii="Palatino Linotype" w:eastAsia="Palatino Linotype" w:hAnsi="Palatino Linotype" w:cs="Palatino Linotype"/>
          <w:i/>
          <w:iCs/>
          <w:sz w:val="22"/>
          <w:szCs w:val="22"/>
        </w:rPr>
        <w:t>:</w:t>
      </w:r>
    </w:p>
    <w:p w14:paraId="03EDDB0B" w14:textId="77777777" w:rsidR="00F566FC" w:rsidRPr="00A66F1A" w:rsidRDefault="001C4A4D">
      <w:pPr>
        <w:ind w:left="992" w:right="10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X. Presentar ante el Comité, el proyecto de clasificación de información</w:t>
      </w:r>
      <w:r w:rsidRPr="00A66F1A">
        <w:rPr>
          <w:rFonts w:ascii="Palatino Linotype" w:eastAsia="Palatino Linotype" w:hAnsi="Palatino Linotype" w:cs="Palatino Linotype"/>
          <w:i/>
          <w:iCs/>
          <w:sz w:val="22"/>
          <w:szCs w:val="22"/>
        </w:rPr>
        <w:t xml:space="preserve">…” </w:t>
      </w:r>
    </w:p>
    <w:p w14:paraId="56F8D896" w14:textId="77777777" w:rsidR="00F566FC" w:rsidRPr="00A66F1A" w:rsidRDefault="001C4A4D">
      <w:pPr>
        <w:ind w:left="992" w:right="10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“Artículo 59.</w:t>
      </w:r>
      <w:r w:rsidRPr="00A66F1A">
        <w:rPr>
          <w:rFonts w:ascii="Palatino Linotype" w:eastAsia="Palatino Linotype" w:hAnsi="Palatino Linotype" w:cs="Palatino Linotype"/>
          <w:i/>
          <w:iCs/>
          <w:sz w:val="22"/>
          <w:szCs w:val="22"/>
        </w:rPr>
        <w:t xml:space="preserve"> Los </w:t>
      </w:r>
      <w:r w:rsidRPr="00A66F1A">
        <w:rPr>
          <w:rFonts w:ascii="Palatino Linotype" w:eastAsia="Palatino Linotype" w:hAnsi="Palatino Linotype" w:cs="Palatino Linotype"/>
          <w:b/>
          <w:bCs/>
          <w:i/>
          <w:iCs/>
          <w:sz w:val="22"/>
          <w:szCs w:val="22"/>
        </w:rPr>
        <w:t>servidores públicos habilitados</w:t>
      </w:r>
      <w:r w:rsidRPr="00A66F1A">
        <w:rPr>
          <w:rFonts w:ascii="Palatino Linotype" w:eastAsia="Palatino Linotype" w:hAnsi="Palatino Linotype" w:cs="Palatino Linotype"/>
          <w:i/>
          <w:iCs/>
          <w:sz w:val="22"/>
          <w:szCs w:val="22"/>
        </w:rPr>
        <w:t xml:space="preserve"> tendrán las </w:t>
      </w:r>
      <w:r w:rsidRPr="00A66F1A">
        <w:rPr>
          <w:rFonts w:ascii="Palatino Linotype" w:eastAsia="Palatino Linotype" w:hAnsi="Palatino Linotype" w:cs="Palatino Linotype"/>
          <w:b/>
          <w:bCs/>
          <w:i/>
          <w:iCs/>
          <w:sz w:val="22"/>
          <w:szCs w:val="22"/>
        </w:rPr>
        <w:t>funciones</w:t>
      </w:r>
      <w:r w:rsidRPr="00A66F1A">
        <w:rPr>
          <w:rFonts w:ascii="Palatino Linotype" w:eastAsia="Palatino Linotype" w:hAnsi="Palatino Linotype" w:cs="Palatino Linotype"/>
          <w:i/>
          <w:iCs/>
          <w:sz w:val="22"/>
          <w:szCs w:val="22"/>
        </w:rPr>
        <w:t xml:space="preserve"> siguientes:</w:t>
      </w:r>
    </w:p>
    <w:p w14:paraId="2399D70C" w14:textId="77777777" w:rsidR="00F566FC" w:rsidRPr="00A66F1A" w:rsidRDefault="001C4A4D">
      <w:pPr>
        <w:ind w:left="992" w:right="1043"/>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A66F1A">
        <w:rPr>
          <w:rFonts w:ascii="Palatino Linotype" w:eastAsia="Palatino Linotype" w:hAnsi="Palatino Linotype" w:cs="Palatino Linotype"/>
          <w:i/>
          <w:iCs/>
          <w:sz w:val="22"/>
          <w:szCs w:val="22"/>
        </w:rPr>
        <w:t xml:space="preserve">, la cual tendrá los fundamentos y argumentos en que se basa dicha propuesta…” </w:t>
      </w:r>
    </w:p>
    <w:p w14:paraId="5FDBB80E" w14:textId="77777777" w:rsidR="00F566FC" w:rsidRPr="00A66F1A" w:rsidRDefault="00F566FC">
      <w:pPr>
        <w:ind w:left="992" w:right="1043"/>
        <w:jc w:val="both"/>
        <w:rPr>
          <w:rFonts w:ascii="Palatino Linotype" w:eastAsia="Palatino Linotype" w:hAnsi="Palatino Linotype" w:cs="Palatino Linotype"/>
          <w:i/>
          <w:iCs/>
          <w:sz w:val="22"/>
          <w:szCs w:val="22"/>
        </w:rPr>
      </w:pPr>
    </w:p>
    <w:p w14:paraId="0B30E2FB"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D806E41"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7312A0DB"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2CB1EB78" w14:textId="77777777" w:rsidR="00F566FC" w:rsidRPr="00A66F1A" w:rsidRDefault="001C4A4D">
      <w:pPr>
        <w:spacing w:after="240"/>
        <w:ind w:left="993" w:right="1041"/>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w:t>
      </w:r>
      <w:r w:rsidRPr="00A66F1A">
        <w:rPr>
          <w:rFonts w:ascii="Palatino Linotype" w:eastAsia="Palatino Linotype" w:hAnsi="Palatino Linotype" w:cs="Palatino Linotype"/>
          <w:b/>
          <w:bCs/>
          <w:i/>
          <w:iCs/>
          <w:sz w:val="22"/>
          <w:szCs w:val="22"/>
        </w:rPr>
        <w:t>Artículo 149.</w:t>
      </w:r>
      <w:r w:rsidRPr="00A66F1A">
        <w:rPr>
          <w:rFonts w:ascii="Palatino Linotype" w:eastAsia="Palatino Linotype" w:hAnsi="Palatino Linotype" w:cs="Palatino Linotype"/>
          <w:i/>
          <w:iCs/>
          <w:sz w:val="22"/>
          <w:szCs w:val="22"/>
        </w:rPr>
        <w:t xml:space="preserve"> El </w:t>
      </w:r>
      <w:r w:rsidRPr="00A66F1A">
        <w:rPr>
          <w:rFonts w:ascii="Palatino Linotype" w:eastAsia="Palatino Linotype" w:hAnsi="Palatino Linotype" w:cs="Palatino Linotype"/>
          <w:b/>
          <w:bCs/>
          <w:i/>
          <w:iCs/>
          <w:sz w:val="22"/>
          <w:szCs w:val="22"/>
        </w:rPr>
        <w:t>acuerdo que clasifique la información como confidencial</w:t>
      </w:r>
      <w:r w:rsidRPr="00A66F1A">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w:t>
      </w:r>
    </w:p>
    <w:p w14:paraId="40A32273" w14:textId="77777777" w:rsidR="00F566FC" w:rsidRPr="00A66F1A" w:rsidRDefault="001C4A4D">
      <w:pPr>
        <w:spacing w:line="360" w:lineRule="auto"/>
        <w:ind w:right="51"/>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Es decir, el </w:t>
      </w:r>
      <w:r w:rsidRPr="00A66F1A">
        <w:rPr>
          <w:rFonts w:ascii="Palatino Linotype" w:eastAsia="Palatino Linotype" w:hAnsi="Palatino Linotype" w:cs="Palatino Linotype"/>
          <w:b/>
          <w:bCs/>
          <w:sz w:val="22"/>
          <w:szCs w:val="22"/>
        </w:rPr>
        <w:t>Sujeto Obligado</w:t>
      </w:r>
      <w:r w:rsidRPr="00A66F1A">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D6D7709" w14:textId="77777777" w:rsidR="00F566FC" w:rsidRPr="00A66F1A" w:rsidRDefault="00F566FC">
      <w:pPr>
        <w:spacing w:line="360" w:lineRule="auto"/>
        <w:ind w:right="51"/>
        <w:jc w:val="both"/>
        <w:rPr>
          <w:rFonts w:ascii="Palatino Linotype" w:eastAsia="Palatino Linotype" w:hAnsi="Palatino Linotype" w:cs="Palatino Linotype"/>
          <w:sz w:val="22"/>
          <w:szCs w:val="22"/>
        </w:rPr>
      </w:pPr>
    </w:p>
    <w:p w14:paraId="7B7C6544"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Al respecto, se destaca que la versión pública que elabore el </w:t>
      </w:r>
      <w:r w:rsidRPr="00A66F1A">
        <w:rPr>
          <w:rFonts w:ascii="Palatino Linotype" w:eastAsia="Palatino Linotype" w:hAnsi="Palatino Linotype" w:cs="Palatino Linotype"/>
          <w:b/>
          <w:bCs/>
          <w:sz w:val="22"/>
          <w:szCs w:val="22"/>
        </w:rPr>
        <w:t>Sujeto Obligado</w:t>
      </w:r>
      <w:r w:rsidRPr="00A66F1A">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A66F1A">
        <w:rPr>
          <w:rFonts w:ascii="Palatino Linotype" w:eastAsia="Palatino Linotype" w:hAnsi="Palatino Linotype" w:cs="Palatino Linotype"/>
          <w:b/>
          <w:bCs/>
          <w:sz w:val="22"/>
          <w:szCs w:val="22"/>
        </w:rPr>
        <w:t>LINEAMIENTOS GENERALES EN MATERIA DE CLASIFICACIÓN Y DESCLASIFICACIÓN DE LA INFORMACIÓN, ASÍ COMO PARA LA ELABORACIÓN DE VERSIONES PÚBLICAS</w:t>
      </w:r>
      <w:r w:rsidRPr="00A66F1A">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6E45C91A" w14:textId="77777777" w:rsidR="00F566FC" w:rsidRPr="00A66F1A" w:rsidRDefault="00F566FC">
      <w:pPr>
        <w:ind w:left="709" w:right="709"/>
        <w:jc w:val="both"/>
        <w:rPr>
          <w:rFonts w:ascii="Palatino Linotype" w:eastAsia="Palatino Linotype" w:hAnsi="Palatino Linotype" w:cs="Palatino Linotype"/>
          <w:b/>
          <w:bCs/>
          <w:i/>
          <w:iCs/>
          <w:sz w:val="22"/>
          <w:szCs w:val="22"/>
        </w:rPr>
      </w:pPr>
    </w:p>
    <w:p w14:paraId="0640DDC4"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i/>
          <w:iCs/>
          <w:sz w:val="22"/>
          <w:szCs w:val="22"/>
        </w:rPr>
        <w:t>“Lineamientos Generales en materia de Clasificación y Desclasificación de la Información, así como para la elaboración de Versiones Públicas</w:t>
      </w:r>
    </w:p>
    <w:p w14:paraId="01884A4D"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i/>
          <w:iCs/>
          <w:sz w:val="22"/>
          <w:szCs w:val="22"/>
        </w:rPr>
        <w:t>“</w:t>
      </w:r>
      <w:r w:rsidRPr="00A66F1A">
        <w:rPr>
          <w:rFonts w:ascii="Palatino Linotype" w:eastAsia="Palatino Linotype" w:hAnsi="Palatino Linotype" w:cs="Palatino Linotype"/>
          <w:b/>
          <w:bCs/>
          <w:i/>
          <w:iCs/>
          <w:sz w:val="22"/>
          <w:szCs w:val="22"/>
        </w:rPr>
        <w:t>Segundo.-</w:t>
      </w:r>
      <w:r w:rsidRPr="00A66F1A">
        <w:rPr>
          <w:rFonts w:ascii="Palatino Linotype" w:eastAsia="Palatino Linotype" w:hAnsi="Palatino Linotype" w:cs="Palatino Linotype"/>
          <w:i/>
          <w:iCs/>
          <w:sz w:val="22"/>
          <w:szCs w:val="22"/>
        </w:rPr>
        <w:t xml:space="preserve"> Para efectos de los presentes Lineamientos Generales, se entenderá por:</w:t>
      </w:r>
    </w:p>
    <w:p w14:paraId="649711E2"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i/>
          <w:iCs/>
          <w:sz w:val="22"/>
          <w:szCs w:val="22"/>
        </w:rPr>
        <w:t>XVIII.</w:t>
      </w:r>
      <w:r w:rsidRPr="00A66F1A">
        <w:rPr>
          <w:rFonts w:ascii="Palatino Linotype" w:eastAsia="Palatino Linotype" w:hAnsi="Palatino Linotype" w:cs="Palatino Linotype"/>
          <w:i/>
          <w:iCs/>
          <w:sz w:val="22"/>
          <w:szCs w:val="22"/>
        </w:rPr>
        <w:t xml:space="preserve"> </w:t>
      </w:r>
      <w:r w:rsidRPr="00A66F1A">
        <w:rPr>
          <w:rFonts w:ascii="Palatino Linotype" w:eastAsia="Palatino Linotype" w:hAnsi="Palatino Linotype" w:cs="Palatino Linotype"/>
          <w:b/>
          <w:bCs/>
          <w:i/>
          <w:iCs/>
          <w:sz w:val="22"/>
          <w:szCs w:val="22"/>
        </w:rPr>
        <w:t>Versión pública:</w:t>
      </w:r>
      <w:r w:rsidRPr="00A66F1A">
        <w:rPr>
          <w:rFonts w:ascii="Palatino Linotype" w:eastAsia="Palatino Linotype" w:hAnsi="Palatino Linotype" w:cs="Palatino Linotype"/>
          <w:i/>
          <w:iCs/>
          <w:sz w:val="22"/>
          <w:szCs w:val="22"/>
        </w:rPr>
        <w:t xml:space="preserve"> El documento a partir del que se otorga acceso a la información, en el que se testan partes o secciones clasificadas, indicando el contenido de éstas de manera genérica, </w:t>
      </w:r>
      <w:r w:rsidRPr="00A66F1A">
        <w:rPr>
          <w:rFonts w:ascii="Palatino Linotype" w:eastAsia="Palatino Linotype" w:hAnsi="Palatino Linotype" w:cs="Palatino Linotype"/>
          <w:b/>
          <w:bCs/>
          <w:i/>
          <w:iCs/>
          <w:sz w:val="22"/>
          <w:szCs w:val="22"/>
          <w:u w:val="single"/>
        </w:rPr>
        <w:t>fundando y motivando la</w:t>
      </w:r>
      <w:r w:rsidRPr="00A66F1A">
        <w:rPr>
          <w:rFonts w:ascii="Palatino Linotype" w:eastAsia="Palatino Linotype" w:hAnsi="Palatino Linotype" w:cs="Palatino Linotype"/>
          <w:i/>
          <w:iCs/>
          <w:sz w:val="22"/>
          <w:szCs w:val="22"/>
        </w:rPr>
        <w:t xml:space="preserve"> reserva o </w:t>
      </w:r>
      <w:r w:rsidRPr="00A66F1A">
        <w:rPr>
          <w:rFonts w:ascii="Palatino Linotype" w:eastAsia="Palatino Linotype" w:hAnsi="Palatino Linotype" w:cs="Palatino Linotype"/>
          <w:b/>
          <w:bCs/>
          <w:i/>
          <w:iCs/>
          <w:sz w:val="22"/>
          <w:szCs w:val="22"/>
          <w:u w:val="single"/>
        </w:rPr>
        <w:t>confidencialidad</w:t>
      </w:r>
      <w:r w:rsidRPr="00A66F1A">
        <w:rPr>
          <w:rFonts w:ascii="Palatino Linotype" w:eastAsia="Palatino Linotype" w:hAnsi="Palatino Linotype" w:cs="Palatino Linotype"/>
          <w:i/>
          <w:iCs/>
          <w:sz w:val="22"/>
          <w:szCs w:val="22"/>
        </w:rPr>
        <w:t>, a través de la resolución que para tal efecto emita el Comité de Transparencia.</w:t>
      </w:r>
    </w:p>
    <w:p w14:paraId="129607DD"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i/>
          <w:iCs/>
          <w:sz w:val="22"/>
          <w:szCs w:val="22"/>
        </w:rPr>
        <w:t>Cuarto.</w:t>
      </w:r>
      <w:r w:rsidRPr="00A66F1A">
        <w:rPr>
          <w:rFonts w:ascii="Palatino Linotype" w:eastAsia="Palatino Linotype" w:hAnsi="Palatino Linotype" w:cs="Palatino Linotype"/>
          <w:i/>
          <w:iCs/>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B8526C"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i/>
          <w:iCs/>
          <w:sz w:val="22"/>
          <w:szCs w:val="22"/>
        </w:rPr>
        <w:t>Los sujetos obligados deberán aplicar, de manera estricta, las excepciones al derecho de acceso a la información y sólo podrán invocarlas cuando acrediten su procedencia.</w:t>
      </w:r>
    </w:p>
    <w:p w14:paraId="5A3EC85B"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i/>
          <w:iCs/>
          <w:sz w:val="22"/>
          <w:szCs w:val="22"/>
        </w:rPr>
        <w:t>Quinto.</w:t>
      </w:r>
      <w:r w:rsidRPr="00A66F1A">
        <w:rPr>
          <w:rFonts w:ascii="Palatino Linotype" w:eastAsia="Palatino Linotype" w:hAnsi="Palatino Linotype" w:cs="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5994412"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i/>
          <w:iCs/>
          <w:sz w:val="22"/>
          <w:szCs w:val="22"/>
        </w:rPr>
        <w:t>…</w:t>
      </w:r>
    </w:p>
    <w:p w14:paraId="53D5276D"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i/>
          <w:iCs/>
          <w:sz w:val="22"/>
          <w:szCs w:val="22"/>
        </w:rPr>
        <w:t>Séptimo.</w:t>
      </w:r>
      <w:r w:rsidRPr="00A66F1A">
        <w:rPr>
          <w:rFonts w:ascii="Palatino Linotype" w:eastAsia="Palatino Linotype" w:hAnsi="Palatino Linotype" w:cs="Palatino Linotype"/>
          <w:i/>
          <w:iCs/>
          <w:sz w:val="22"/>
          <w:szCs w:val="22"/>
        </w:rPr>
        <w:t xml:space="preserve"> La clasificación de la información se llevará a cabo en el momento en que:</w:t>
      </w:r>
    </w:p>
    <w:p w14:paraId="335665FA"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i/>
          <w:iCs/>
          <w:sz w:val="22"/>
          <w:szCs w:val="22"/>
        </w:rPr>
        <w:t>I.</w:t>
      </w:r>
      <w:r w:rsidRPr="00A66F1A">
        <w:rPr>
          <w:rFonts w:ascii="Palatino Linotype" w:eastAsia="Palatino Linotype" w:hAnsi="Palatino Linotype" w:cs="Palatino Linotype"/>
          <w:i/>
          <w:iCs/>
          <w:sz w:val="22"/>
          <w:szCs w:val="22"/>
        </w:rPr>
        <w:t xml:space="preserve"> Se reciba una solicitud de acceso a la información;</w:t>
      </w:r>
    </w:p>
    <w:p w14:paraId="1492F872"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II.</w:t>
      </w:r>
      <w:r w:rsidRPr="00A66F1A">
        <w:rPr>
          <w:rFonts w:ascii="Palatino Linotype" w:eastAsia="Palatino Linotype" w:hAnsi="Palatino Linotype" w:cs="Palatino Linotype"/>
          <w:i/>
          <w:iCs/>
          <w:sz w:val="22"/>
          <w:szCs w:val="22"/>
        </w:rPr>
        <w:t xml:space="preserve"> Se  determine mediante resolución del Comité de Transparencia, el órgano garante </w:t>
      </w:r>
    </w:p>
    <w:p w14:paraId="6551F1F9"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i/>
          <w:iCs/>
          <w:sz w:val="22"/>
          <w:szCs w:val="22"/>
        </w:rPr>
        <w:t>competente, o en cumplimiento a una sentencia del Poder Judicial; o</w:t>
      </w:r>
    </w:p>
    <w:p w14:paraId="13BCBF04"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i/>
          <w:iCs/>
          <w:sz w:val="22"/>
          <w:szCs w:val="22"/>
        </w:rPr>
        <w:t>III.</w:t>
      </w:r>
      <w:r w:rsidRPr="00A66F1A">
        <w:rPr>
          <w:rFonts w:ascii="Palatino Linotype" w:eastAsia="Palatino Linotype" w:hAnsi="Palatino Linotype" w:cs="Palatino Linotype"/>
          <w:i/>
          <w:iCs/>
          <w:sz w:val="22"/>
          <w:szCs w:val="22"/>
        </w:rPr>
        <w:t xml:space="preserve"> Se generen versiones públicas para dar cumplimiento a las obligaciones de transparencia previstas en la Ley General, la Ley Federal y las correspondientes de las entidades federativas.</w:t>
      </w:r>
    </w:p>
    <w:p w14:paraId="4AF8C2F6"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i/>
          <w:iCs/>
          <w:sz w:val="22"/>
          <w:szCs w:val="22"/>
        </w:rPr>
        <w:t>Los titulares de las áreas deberán revisar la clasificación al momento de la recepción de una solicitud de acceso a la información, para verificar si encuadra en una causal de reserva o de confidencialidad.</w:t>
      </w:r>
    </w:p>
    <w:p w14:paraId="445C2E49"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i/>
          <w:iCs/>
          <w:sz w:val="22"/>
          <w:szCs w:val="22"/>
        </w:rPr>
        <w:t>Octavo.</w:t>
      </w:r>
      <w:r w:rsidRPr="00A66F1A">
        <w:rPr>
          <w:rFonts w:ascii="Palatino Linotype" w:eastAsia="Palatino Linotype" w:hAnsi="Palatino Linotype" w:cs="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F6874F9"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14:paraId="055C2EC1"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3C7A61BA"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i/>
          <w:iCs/>
          <w:sz w:val="22"/>
          <w:szCs w:val="22"/>
        </w:rPr>
        <w:t>Noveno.</w:t>
      </w:r>
      <w:r w:rsidRPr="00A66F1A">
        <w:rPr>
          <w:rFonts w:ascii="Palatino Linotype" w:eastAsia="Palatino Linotype" w:hAnsi="Palatino Linotype" w:cs="Palatino Linotype"/>
          <w:i/>
          <w:iCs/>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E03FE94"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i/>
          <w:iCs/>
          <w:sz w:val="22"/>
          <w:szCs w:val="22"/>
        </w:rPr>
        <w:t>Décimo.</w:t>
      </w:r>
      <w:r w:rsidRPr="00A66F1A">
        <w:rPr>
          <w:rFonts w:ascii="Palatino Linotype" w:eastAsia="Palatino Linotype" w:hAnsi="Palatino Linotype" w:cs="Palatino Linotype"/>
          <w:i/>
          <w:iCs/>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A4A3DB8"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i/>
          <w:iCs/>
          <w:sz w:val="22"/>
          <w:szCs w:val="22"/>
        </w:rPr>
        <w:t>En ausencia de los titulares de las áreas, la información será clasificada o desclasificada por la persona que lo supla, en términos de la normativa que rija la actuación del sujeto obligado.</w:t>
      </w:r>
    </w:p>
    <w:p w14:paraId="4D2EA066"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Décimo primero.</w:t>
      </w:r>
      <w:r w:rsidRPr="00A66F1A">
        <w:rPr>
          <w:rFonts w:ascii="Palatino Linotype" w:eastAsia="Palatino Linotype" w:hAnsi="Palatino Linotype" w:cs="Palatino Linotype"/>
          <w:i/>
          <w:iCs/>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0CC39C1" w14:textId="77777777" w:rsidR="00F566FC" w:rsidRPr="00A66F1A" w:rsidRDefault="00F566FC">
      <w:pPr>
        <w:pBdr>
          <w:top w:val="nil"/>
          <w:left w:val="nil"/>
          <w:bottom w:val="nil"/>
          <w:right w:val="nil"/>
          <w:between w:val="nil"/>
        </w:pBdr>
        <w:ind w:right="709"/>
        <w:jc w:val="both"/>
        <w:rPr>
          <w:rFonts w:ascii="Palatino Linotype" w:eastAsia="Palatino Linotype" w:hAnsi="Palatino Linotype" w:cs="Palatino Linotype"/>
          <w:sz w:val="22"/>
          <w:szCs w:val="22"/>
        </w:rPr>
      </w:pPr>
    </w:p>
    <w:p w14:paraId="05D06CA5" w14:textId="77777777" w:rsidR="00F566FC" w:rsidRPr="00A66F1A" w:rsidRDefault="001C4A4D">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i/>
          <w:iCs/>
          <w:sz w:val="22"/>
          <w:szCs w:val="22"/>
        </w:rPr>
        <w:t>[…]</w:t>
      </w:r>
    </w:p>
    <w:p w14:paraId="27E4AD04" w14:textId="77777777" w:rsidR="00F566FC" w:rsidRPr="00A66F1A" w:rsidRDefault="001C4A4D">
      <w:pPr>
        <w:pBdr>
          <w:top w:val="nil"/>
          <w:left w:val="nil"/>
          <w:bottom w:val="nil"/>
          <w:right w:val="nil"/>
          <w:between w:val="nil"/>
        </w:pBdr>
        <w:ind w:left="709" w:right="709"/>
        <w:jc w:val="center"/>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i/>
          <w:iCs/>
          <w:sz w:val="22"/>
          <w:szCs w:val="22"/>
        </w:rPr>
        <w:t>CAPÍTULO VIII</w:t>
      </w:r>
    </w:p>
    <w:p w14:paraId="0ACE3957" w14:textId="77777777" w:rsidR="00F566FC" w:rsidRPr="00A66F1A" w:rsidRDefault="001C4A4D">
      <w:pPr>
        <w:pBdr>
          <w:top w:val="nil"/>
          <w:left w:val="nil"/>
          <w:bottom w:val="nil"/>
          <w:right w:val="nil"/>
          <w:between w:val="nil"/>
        </w:pBdr>
        <w:spacing w:after="160"/>
        <w:ind w:left="709" w:right="709"/>
        <w:jc w:val="center"/>
        <w:rPr>
          <w:rFonts w:ascii="Palatino Linotype" w:eastAsia="Palatino Linotype" w:hAnsi="Palatino Linotype" w:cs="Palatino Linotype"/>
          <w:b/>
          <w:bCs/>
          <w:i/>
          <w:iCs/>
          <w:sz w:val="22"/>
          <w:szCs w:val="22"/>
        </w:rPr>
      </w:pPr>
      <w:r w:rsidRPr="00A66F1A">
        <w:rPr>
          <w:rFonts w:ascii="Palatino Linotype" w:eastAsia="Palatino Linotype" w:hAnsi="Palatino Linotype" w:cs="Palatino Linotype"/>
          <w:b/>
          <w:bCs/>
          <w:i/>
          <w:iCs/>
          <w:sz w:val="22"/>
          <w:szCs w:val="22"/>
        </w:rPr>
        <w:t>DE LOS ELEMENTOS PARA LA CLASIFICACIÓN</w:t>
      </w:r>
    </w:p>
    <w:p w14:paraId="247A6BA4"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Quincuagésimo</w:t>
      </w:r>
      <w:r w:rsidRPr="00A66F1A">
        <w:rPr>
          <w:rFonts w:ascii="Palatino Linotype" w:eastAsia="Palatino Linotype" w:hAnsi="Palatino Linotype" w:cs="Palatino Linotype"/>
          <w:i/>
          <w:iCs/>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7802C6D"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Quincuagésimo primero</w:t>
      </w:r>
      <w:r w:rsidRPr="00A66F1A">
        <w:rPr>
          <w:rFonts w:ascii="Palatino Linotype" w:eastAsia="Palatino Linotype" w:hAnsi="Palatino Linotype" w:cs="Palatino Linotype"/>
          <w:i/>
          <w:iCs/>
          <w:sz w:val="22"/>
          <w:szCs w:val="22"/>
        </w:rPr>
        <w:t>. Toda acta del Comité de Transparencia deberá contener:</w:t>
      </w:r>
    </w:p>
    <w:p w14:paraId="5B350DC4"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I. El número de sesión y fecha; </w:t>
      </w:r>
    </w:p>
    <w:p w14:paraId="1D5DEC93"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II. El nombre del área que solicitó la clasificación de información;</w:t>
      </w:r>
    </w:p>
    <w:p w14:paraId="37498B1C"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III. La fundamentación legal y motivación correspondiente;</w:t>
      </w:r>
    </w:p>
    <w:p w14:paraId="1B6A847F"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IV. La resolución o resoluciones aprobadas; y</w:t>
      </w:r>
    </w:p>
    <w:p w14:paraId="6069AF03"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V. La rúbrica o firma digital de cada integrante del Comité de Transparencia. </w:t>
      </w:r>
    </w:p>
    <w:p w14:paraId="516BECBE"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Las resoluciones del Comité en las que se haya determinado confirmar o modificar la clasificación de información pública como reservada, deberán incluir, cuando menos:</w:t>
      </w:r>
    </w:p>
    <w:p w14:paraId="34660905"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I. Los motivos y razonamientos que sustenten la confirmación o modificación de la prueba de daño;</w:t>
      </w:r>
    </w:p>
    <w:p w14:paraId="4974D00B"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II. Descripción de las partes o secciones reservadas, en caso de clasificación parcial;</w:t>
      </w:r>
    </w:p>
    <w:p w14:paraId="215E1DED"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III. El periodo por el que mantendrá su clasificación y fecha de expiración; y</w:t>
      </w:r>
    </w:p>
    <w:p w14:paraId="32AEBE1A"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IV. El nombre del titular y área encargada de realizar la versión pública del documento, en su caso.</w:t>
      </w:r>
    </w:p>
    <w:p w14:paraId="74BFBD57"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7ACFA0E6"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A5C7FC9"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b/>
          <w:bCs/>
          <w:i/>
          <w:iCs/>
          <w:sz w:val="22"/>
          <w:szCs w:val="22"/>
        </w:rPr>
        <w:t>Quincuagésimo segundo</w:t>
      </w:r>
      <w:r w:rsidRPr="00A66F1A">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99EE89C"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En el caso específico de la clasificación y elaboración de versiones públicas de documentos que contengan información confidencial, las áreas de los sujetos obligados deberán:</w:t>
      </w:r>
    </w:p>
    <w:p w14:paraId="004E710F"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5C53EB65"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1A7A5C35"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III. Señalar las personas o instancias autorizadas a acceder a la información clasificada.</w:t>
      </w:r>
    </w:p>
    <w:p w14:paraId="63302F4C"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4A9372D7" w14:textId="77777777" w:rsidR="00F566FC" w:rsidRPr="00A66F1A" w:rsidRDefault="001C4A4D">
      <w:pPr>
        <w:pBdr>
          <w:top w:val="nil"/>
          <w:left w:val="nil"/>
          <w:bottom w:val="nil"/>
          <w:right w:val="nil"/>
          <w:between w:val="nil"/>
        </w:pBdr>
        <w:spacing w:after="160"/>
        <w:ind w:left="709" w:right="709"/>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i/>
          <w:iCs/>
          <w:sz w:val="22"/>
          <w:szCs w:val="22"/>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15A98217" w14:textId="77777777" w:rsidR="00F566FC" w:rsidRPr="00A66F1A" w:rsidRDefault="00F566FC">
      <w:pPr>
        <w:rPr>
          <w:rFonts w:ascii="Palatino Linotype" w:eastAsia="Palatino Linotype" w:hAnsi="Palatino Linotype" w:cs="Palatino Linotype"/>
          <w:sz w:val="22"/>
          <w:szCs w:val="22"/>
        </w:rPr>
      </w:pPr>
    </w:p>
    <w:p w14:paraId="22F079FC" w14:textId="77777777" w:rsidR="00F566FC" w:rsidRPr="00A66F1A" w:rsidRDefault="001C4A4D">
      <w:pPr>
        <w:spacing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7E8472EA" w14:textId="77777777" w:rsidR="00F566FC" w:rsidRPr="00A66F1A" w:rsidRDefault="00F566FC">
      <w:pPr>
        <w:spacing w:line="360" w:lineRule="auto"/>
        <w:jc w:val="both"/>
        <w:rPr>
          <w:rFonts w:ascii="Palatino Linotype" w:eastAsia="Palatino Linotype" w:hAnsi="Palatino Linotype" w:cs="Palatino Linotype"/>
          <w:sz w:val="22"/>
          <w:szCs w:val="22"/>
        </w:rPr>
      </w:pPr>
    </w:p>
    <w:p w14:paraId="3A3967F4" w14:textId="77777777" w:rsidR="00F566FC" w:rsidRPr="00A66F1A" w:rsidRDefault="001C4A4D">
      <w:pPr>
        <w:shd w:val="clear" w:color="auto" w:fill="FFFFFF"/>
        <w:spacing w:line="360" w:lineRule="auto"/>
        <w:ind w:right="51"/>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A66F1A">
        <w:rPr>
          <w:rFonts w:ascii="Palatino Linotype" w:eastAsia="Palatino Linotype" w:hAnsi="Palatino Linotype" w:cs="Palatino Linotype"/>
          <w:b/>
          <w:bCs/>
          <w:sz w:val="22"/>
          <w:szCs w:val="22"/>
        </w:rPr>
        <w:t>la parte</w:t>
      </w:r>
      <w:r w:rsidRPr="00A66F1A">
        <w:rPr>
          <w:rFonts w:ascii="Palatino Linotype" w:eastAsia="Palatino Linotype" w:hAnsi="Palatino Linotype" w:cs="Palatino Linotype"/>
          <w:sz w:val="22"/>
          <w:szCs w:val="22"/>
        </w:rPr>
        <w:t xml:space="preserve"> </w:t>
      </w:r>
      <w:r w:rsidRPr="00A66F1A">
        <w:rPr>
          <w:rFonts w:ascii="Palatino Linotype" w:eastAsia="Palatino Linotype" w:hAnsi="Palatino Linotype" w:cs="Palatino Linotype"/>
          <w:b/>
          <w:bCs/>
          <w:sz w:val="22"/>
          <w:szCs w:val="22"/>
        </w:rPr>
        <w:t>Recurrente</w:t>
      </w:r>
      <w:r w:rsidRPr="00A66F1A">
        <w:rPr>
          <w:rFonts w:ascii="Palatino Linotype" w:eastAsia="Palatino Linotype" w:hAnsi="Palatino Linotype" w:cs="Palatino Linotype"/>
          <w:sz w:val="22"/>
          <w:szCs w:val="22"/>
        </w:rPr>
        <w:t>.</w:t>
      </w:r>
    </w:p>
    <w:p w14:paraId="4755D9AD" w14:textId="77777777" w:rsidR="00F566FC" w:rsidRPr="00A66F1A" w:rsidRDefault="001C4A4D">
      <w:pPr>
        <w:spacing w:before="240" w:after="240"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438C9A1D" w14:textId="77777777" w:rsidR="00F566FC" w:rsidRPr="00A66F1A" w:rsidRDefault="00F566FC">
      <w:pPr>
        <w:spacing w:before="240" w:after="240" w:line="360" w:lineRule="auto"/>
        <w:jc w:val="both"/>
        <w:rPr>
          <w:rFonts w:ascii="Palatino Linotype" w:eastAsia="Palatino Linotype" w:hAnsi="Palatino Linotype" w:cs="Palatino Linotype"/>
          <w:sz w:val="22"/>
          <w:szCs w:val="22"/>
        </w:rPr>
      </w:pPr>
    </w:p>
    <w:p w14:paraId="04012354" w14:textId="77777777" w:rsidR="00F566FC" w:rsidRPr="00A66F1A" w:rsidRDefault="001C4A4D">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R E S U E L V E:</w:t>
      </w:r>
    </w:p>
    <w:p w14:paraId="3AB50A5C" w14:textId="77777777" w:rsidR="00F566FC" w:rsidRPr="00A66F1A" w:rsidRDefault="001C4A4D">
      <w:pPr>
        <w:spacing w:before="240" w:after="240" w:line="360" w:lineRule="auto"/>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 xml:space="preserve">Primero. </w:t>
      </w:r>
      <w:r w:rsidRPr="00A66F1A">
        <w:rPr>
          <w:rFonts w:ascii="Palatino Linotype" w:eastAsia="Palatino Linotype" w:hAnsi="Palatino Linotype" w:cs="Palatino Linotype"/>
          <w:sz w:val="22"/>
          <w:szCs w:val="22"/>
        </w:rPr>
        <w:t>Resultan</w:t>
      </w:r>
      <w:r w:rsidRPr="00A66F1A">
        <w:rPr>
          <w:rFonts w:ascii="Palatino Linotype" w:eastAsia="Palatino Linotype" w:hAnsi="Palatino Linotype" w:cs="Palatino Linotype"/>
          <w:b/>
          <w:bCs/>
          <w:sz w:val="22"/>
          <w:szCs w:val="22"/>
        </w:rPr>
        <w:t xml:space="preserve"> parcialmente fundados </w:t>
      </w:r>
      <w:r w:rsidRPr="00A66F1A">
        <w:rPr>
          <w:rFonts w:ascii="Palatino Linotype" w:eastAsia="Palatino Linotype" w:hAnsi="Palatino Linotype" w:cs="Palatino Linotype"/>
          <w:sz w:val="22"/>
          <w:szCs w:val="22"/>
        </w:rPr>
        <w:t xml:space="preserve">los motivos de inconformidad hechos valer por </w:t>
      </w:r>
      <w:r w:rsidRPr="00A66F1A">
        <w:rPr>
          <w:rFonts w:ascii="Palatino Linotype" w:eastAsia="Palatino Linotype" w:hAnsi="Palatino Linotype" w:cs="Palatino Linotype"/>
          <w:b/>
          <w:bCs/>
          <w:sz w:val="22"/>
          <w:szCs w:val="22"/>
        </w:rPr>
        <w:t>la parte Recurrente</w:t>
      </w:r>
      <w:r w:rsidRPr="00A66F1A">
        <w:rPr>
          <w:rFonts w:ascii="Palatino Linotype" w:eastAsia="Palatino Linotype" w:hAnsi="Palatino Linotype" w:cs="Palatino Linotype"/>
          <w:sz w:val="22"/>
          <w:szCs w:val="22"/>
        </w:rPr>
        <w:t xml:space="preserve"> en el Recurso de Revisión</w:t>
      </w:r>
      <w:r w:rsidRPr="00A66F1A">
        <w:rPr>
          <w:rFonts w:ascii="Palatino Linotype" w:eastAsia="Palatino Linotype" w:hAnsi="Palatino Linotype" w:cs="Palatino Linotype"/>
          <w:b/>
          <w:bCs/>
          <w:sz w:val="22"/>
          <w:szCs w:val="22"/>
        </w:rPr>
        <w:t xml:space="preserve"> 06864/INFOEM/IP/RR/2025, </w:t>
      </w:r>
      <w:r w:rsidRPr="00A66F1A">
        <w:rPr>
          <w:rFonts w:ascii="Palatino Linotype" w:eastAsia="Palatino Linotype" w:hAnsi="Palatino Linotype" w:cs="Palatino Linotype"/>
          <w:sz w:val="22"/>
          <w:szCs w:val="22"/>
        </w:rPr>
        <w:t>por lo que</w:t>
      </w:r>
      <w:r w:rsidRPr="00A66F1A">
        <w:rPr>
          <w:rFonts w:ascii="Palatino Linotype" w:eastAsia="Palatino Linotype" w:hAnsi="Palatino Linotype" w:cs="Palatino Linotype"/>
          <w:b/>
          <w:bCs/>
          <w:sz w:val="22"/>
          <w:szCs w:val="22"/>
        </w:rPr>
        <w:t xml:space="preserve">, en términos del Considerando Cuarto </w:t>
      </w:r>
      <w:r w:rsidRPr="00A66F1A">
        <w:rPr>
          <w:rFonts w:ascii="Palatino Linotype" w:eastAsia="Palatino Linotype" w:hAnsi="Palatino Linotype" w:cs="Palatino Linotype"/>
          <w:sz w:val="22"/>
          <w:szCs w:val="22"/>
        </w:rPr>
        <w:t>de la presente resolución</w:t>
      </w:r>
      <w:r w:rsidRPr="00A66F1A">
        <w:rPr>
          <w:rFonts w:ascii="Palatino Linotype" w:eastAsia="Palatino Linotype" w:hAnsi="Palatino Linotype" w:cs="Palatino Linotype"/>
          <w:b/>
          <w:bCs/>
          <w:sz w:val="22"/>
          <w:szCs w:val="22"/>
        </w:rPr>
        <w:t>, se MODIFICA l</w:t>
      </w:r>
      <w:r w:rsidRPr="00A66F1A">
        <w:rPr>
          <w:rFonts w:ascii="Palatino Linotype" w:eastAsia="Palatino Linotype" w:hAnsi="Palatino Linotype" w:cs="Palatino Linotype"/>
          <w:sz w:val="22"/>
          <w:szCs w:val="22"/>
        </w:rPr>
        <w:t>a respuesta del</w:t>
      </w:r>
      <w:r w:rsidRPr="00A66F1A">
        <w:rPr>
          <w:rFonts w:ascii="Palatino Linotype" w:eastAsia="Palatino Linotype" w:hAnsi="Palatino Linotype" w:cs="Palatino Linotype"/>
          <w:b/>
          <w:bCs/>
          <w:sz w:val="22"/>
          <w:szCs w:val="22"/>
        </w:rPr>
        <w:t xml:space="preserve"> Sujeto Obligado.</w:t>
      </w:r>
    </w:p>
    <w:p w14:paraId="4E5B31C7" w14:textId="77777777" w:rsidR="00F566FC" w:rsidRPr="00A66F1A" w:rsidRDefault="001C4A4D">
      <w:pPr>
        <w:spacing w:before="240" w:after="240" w:line="360" w:lineRule="auto"/>
        <w:jc w:val="both"/>
        <w:rPr>
          <w:rFonts w:ascii="Palatino Linotype" w:eastAsia="Palatino Linotype" w:hAnsi="Palatino Linotype" w:cs="Palatino Linotype"/>
          <w:b/>
          <w:bCs/>
          <w:sz w:val="22"/>
          <w:szCs w:val="22"/>
        </w:rPr>
      </w:pPr>
      <w:bookmarkStart w:id="2" w:name="_heading=h.j3ppyxwlb1s2" w:colFirst="0" w:colLast="0"/>
      <w:bookmarkEnd w:id="2"/>
      <w:r w:rsidRPr="00A66F1A">
        <w:rPr>
          <w:rFonts w:ascii="Palatino Linotype" w:eastAsia="Palatino Linotype" w:hAnsi="Palatino Linotype" w:cs="Palatino Linotype"/>
          <w:b/>
          <w:bCs/>
          <w:sz w:val="22"/>
          <w:szCs w:val="22"/>
        </w:rPr>
        <w:t xml:space="preserve">Segundo. Se Ordena al Sujeto Obligado </w:t>
      </w:r>
      <w:r w:rsidRPr="00A66F1A">
        <w:rPr>
          <w:rFonts w:ascii="Palatino Linotype" w:eastAsia="Palatino Linotype" w:hAnsi="Palatino Linotype" w:cs="Palatino Linotype"/>
          <w:sz w:val="22"/>
          <w:szCs w:val="22"/>
        </w:rPr>
        <w:t>que en términos de los</w:t>
      </w:r>
      <w:r w:rsidRPr="00A66F1A">
        <w:rPr>
          <w:rFonts w:ascii="Palatino Linotype" w:eastAsia="Palatino Linotype" w:hAnsi="Palatino Linotype" w:cs="Palatino Linotype"/>
          <w:b/>
          <w:bCs/>
          <w:sz w:val="22"/>
          <w:szCs w:val="22"/>
        </w:rPr>
        <w:t xml:space="preserve"> Considerandos Cuarto y Quinto </w:t>
      </w:r>
      <w:r w:rsidRPr="00A66F1A">
        <w:rPr>
          <w:rFonts w:ascii="Palatino Linotype" w:eastAsia="Palatino Linotype" w:hAnsi="Palatino Linotype" w:cs="Palatino Linotype"/>
          <w:sz w:val="22"/>
          <w:szCs w:val="22"/>
        </w:rPr>
        <w:t xml:space="preserve">de esta resolución, haga entrega a </w:t>
      </w:r>
      <w:r w:rsidRPr="00A66F1A">
        <w:rPr>
          <w:rFonts w:ascii="Palatino Linotype" w:eastAsia="Palatino Linotype" w:hAnsi="Palatino Linotype" w:cs="Palatino Linotype"/>
          <w:b/>
          <w:bCs/>
          <w:sz w:val="22"/>
          <w:szCs w:val="22"/>
        </w:rPr>
        <w:t xml:space="preserve">la parte Recurrente a través del SAIMEX, previa búsqueda exhaustiva y razonable, </w:t>
      </w:r>
      <w:r w:rsidRPr="00A66F1A">
        <w:rPr>
          <w:rFonts w:ascii="Palatino Linotype" w:eastAsia="Palatino Linotype" w:hAnsi="Palatino Linotype" w:cs="Palatino Linotype"/>
          <w:sz w:val="22"/>
          <w:szCs w:val="22"/>
        </w:rPr>
        <w:t xml:space="preserve">en versión pública, la siguiente información: </w:t>
      </w:r>
    </w:p>
    <w:p w14:paraId="1B918EA4" w14:textId="77777777" w:rsidR="00F566FC" w:rsidRPr="00A66F1A" w:rsidRDefault="001C4A4D">
      <w:pPr>
        <w:numPr>
          <w:ilvl w:val="0"/>
          <w:numId w:val="2"/>
        </w:numPr>
        <w:pBdr>
          <w:top w:val="nil"/>
          <w:left w:val="nil"/>
          <w:bottom w:val="nil"/>
          <w:right w:val="nil"/>
          <w:between w:val="nil"/>
        </w:pBdr>
        <w:spacing w:line="360" w:lineRule="auto"/>
        <w:ind w:left="567" w:right="843"/>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De los veintitrés comedores comunitarios referidos en respuesta a la solicitud:</w:t>
      </w:r>
    </w:p>
    <w:p w14:paraId="3A19D9E8" w14:textId="77777777" w:rsidR="00F566FC" w:rsidRPr="00A66F1A" w:rsidRDefault="001C4A4D">
      <w:pPr>
        <w:numPr>
          <w:ilvl w:val="0"/>
          <w:numId w:val="6"/>
        </w:numPr>
        <w:pBdr>
          <w:top w:val="nil"/>
          <w:left w:val="nil"/>
          <w:bottom w:val="nil"/>
          <w:right w:val="nil"/>
          <w:between w:val="nil"/>
        </w:pBdr>
        <w:spacing w:line="360" w:lineRule="auto"/>
        <w:ind w:left="709" w:right="843"/>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Costo de remodelación al veintiocho de abril de dos mil veinticinco;</w:t>
      </w:r>
    </w:p>
    <w:p w14:paraId="0CC97931" w14:textId="77777777" w:rsidR="00F566FC" w:rsidRPr="00A66F1A" w:rsidRDefault="001C4A4D">
      <w:pPr>
        <w:numPr>
          <w:ilvl w:val="0"/>
          <w:numId w:val="6"/>
        </w:numPr>
        <w:pBdr>
          <w:top w:val="nil"/>
          <w:left w:val="nil"/>
          <w:bottom w:val="nil"/>
          <w:right w:val="nil"/>
          <w:between w:val="nil"/>
        </w:pBdr>
        <w:spacing w:line="360" w:lineRule="auto"/>
        <w:ind w:left="709" w:right="843"/>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Horario de atención al veintiocho de abril de dos mil veinticinco;</w:t>
      </w:r>
    </w:p>
    <w:p w14:paraId="283B1376" w14:textId="77777777" w:rsidR="00F566FC" w:rsidRPr="00A66F1A" w:rsidRDefault="001C4A4D">
      <w:pPr>
        <w:numPr>
          <w:ilvl w:val="0"/>
          <w:numId w:val="6"/>
        </w:numPr>
        <w:pBdr>
          <w:top w:val="nil"/>
          <w:left w:val="nil"/>
          <w:bottom w:val="nil"/>
          <w:right w:val="nil"/>
          <w:between w:val="nil"/>
        </w:pBdr>
        <w:spacing w:line="360" w:lineRule="auto"/>
        <w:ind w:left="709" w:right="843"/>
        <w:jc w:val="both"/>
        <w:rPr>
          <w:rFonts w:ascii="Palatino Linotype" w:eastAsia="Palatino Linotype" w:hAnsi="Palatino Linotype" w:cs="Palatino Linotype"/>
          <w:b/>
          <w:bCs/>
          <w:sz w:val="22"/>
          <w:szCs w:val="22"/>
        </w:rPr>
      </w:pPr>
      <w:r w:rsidRPr="00A66F1A">
        <w:rPr>
          <w:rFonts w:ascii="Palatino Linotype" w:eastAsia="Palatino Linotype" w:hAnsi="Palatino Linotype" w:cs="Palatino Linotype"/>
          <w:b/>
          <w:bCs/>
          <w:sz w:val="22"/>
          <w:szCs w:val="22"/>
        </w:rPr>
        <w:t>Número de personas beneficiadas del veintiocho de abril de dos mil veinticuatro al veintiocho de abril de dos mil veinticinco.</w:t>
      </w:r>
    </w:p>
    <w:p w14:paraId="7D66545B" w14:textId="77777777" w:rsidR="00F566FC" w:rsidRPr="00A66F1A" w:rsidRDefault="00F566FC">
      <w:pPr>
        <w:pBdr>
          <w:top w:val="nil"/>
          <w:left w:val="nil"/>
          <w:bottom w:val="nil"/>
          <w:right w:val="nil"/>
          <w:between w:val="nil"/>
        </w:pBdr>
        <w:spacing w:line="360" w:lineRule="auto"/>
        <w:ind w:left="993" w:right="843"/>
        <w:jc w:val="both"/>
        <w:rPr>
          <w:rFonts w:ascii="Palatino Linotype" w:eastAsia="Palatino Linotype" w:hAnsi="Palatino Linotype" w:cs="Palatino Linotype"/>
          <w:b/>
          <w:bCs/>
          <w:sz w:val="22"/>
          <w:szCs w:val="22"/>
        </w:rPr>
      </w:pPr>
    </w:p>
    <w:p w14:paraId="59BF13A1" w14:textId="77777777" w:rsidR="00F566FC" w:rsidRPr="00A66F1A" w:rsidRDefault="001C4A4D">
      <w:pPr>
        <w:pBdr>
          <w:top w:val="nil"/>
          <w:left w:val="nil"/>
          <w:bottom w:val="nil"/>
          <w:right w:val="nil"/>
          <w:between w:val="nil"/>
        </w:pBdr>
        <w:ind w:left="284" w:right="560"/>
        <w:jc w:val="both"/>
        <w:rPr>
          <w:rFonts w:ascii="Palatino Linotype" w:eastAsia="Palatino Linotype" w:hAnsi="Palatino Linotype" w:cs="Palatino Linotype"/>
          <w:i/>
          <w:iCs/>
          <w:sz w:val="22"/>
          <w:szCs w:val="22"/>
        </w:rPr>
      </w:pPr>
      <w:r w:rsidRPr="00A66F1A">
        <w:rPr>
          <w:rFonts w:ascii="Palatino Linotype" w:eastAsia="Palatino Linotype" w:hAnsi="Palatino Linotype" w:cs="Palatino Linotype"/>
          <w:i/>
          <w:iCs/>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A66F1A">
        <w:rPr>
          <w:rFonts w:ascii="Palatino Linotype" w:eastAsia="Palatino Linotype" w:hAnsi="Palatino Linotype" w:cs="Palatino Linotype"/>
          <w:b/>
          <w:bCs/>
          <w:i/>
          <w:iCs/>
          <w:sz w:val="22"/>
          <w:szCs w:val="22"/>
        </w:rPr>
        <w:t>,</w:t>
      </w:r>
      <w:r w:rsidRPr="00A66F1A">
        <w:rPr>
          <w:rFonts w:ascii="Palatino Linotype" w:eastAsia="Palatino Linotype" w:hAnsi="Palatino Linotype" w:cs="Palatino Linotype"/>
          <w:i/>
          <w:iCs/>
          <w:sz w:val="22"/>
          <w:szCs w:val="22"/>
        </w:rPr>
        <w:t xml:space="preserve"> y  se ponga a disposición de la parte Recurrente, en términos de los artículos 49, fracción VIII,  de la Ley de Transparencia y Acceso a la Información Pública del Estado de México y Municipios.</w:t>
      </w:r>
    </w:p>
    <w:p w14:paraId="1260E8F9" w14:textId="77777777" w:rsidR="00F566FC" w:rsidRPr="00A66F1A" w:rsidRDefault="00F566FC">
      <w:pPr>
        <w:pBdr>
          <w:top w:val="nil"/>
          <w:left w:val="nil"/>
          <w:bottom w:val="nil"/>
          <w:right w:val="nil"/>
          <w:between w:val="nil"/>
        </w:pBdr>
        <w:ind w:left="284" w:right="560"/>
        <w:jc w:val="both"/>
        <w:rPr>
          <w:rFonts w:ascii="Palatino Linotype" w:eastAsia="Palatino Linotype" w:hAnsi="Palatino Linotype" w:cs="Palatino Linotype"/>
          <w:i/>
          <w:iCs/>
          <w:sz w:val="22"/>
          <w:szCs w:val="22"/>
        </w:rPr>
      </w:pPr>
    </w:p>
    <w:p w14:paraId="2AD657FF" w14:textId="77777777" w:rsidR="00F566FC" w:rsidRPr="00A66F1A" w:rsidRDefault="001C4A4D">
      <w:pPr>
        <w:spacing w:before="240" w:after="240"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 xml:space="preserve">Tercero.  Notifíquese vía SAIMEX, </w:t>
      </w:r>
      <w:r w:rsidRPr="00A66F1A">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BFAACAC" w14:textId="77777777" w:rsidR="00F566FC" w:rsidRPr="00A66F1A" w:rsidRDefault="001C4A4D">
      <w:pPr>
        <w:spacing w:before="240" w:after="240" w:line="360" w:lineRule="auto"/>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b/>
          <w:bCs/>
          <w:sz w:val="22"/>
          <w:szCs w:val="22"/>
        </w:rPr>
        <w:t xml:space="preserve">Cuarto. </w:t>
      </w:r>
      <w:r w:rsidRPr="00A66F1A">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A66F1A">
        <w:rPr>
          <w:rFonts w:ascii="Palatino Linotype" w:eastAsia="Palatino Linotype" w:hAnsi="Palatino Linotype" w:cs="Palatino Linotype"/>
          <w:b/>
          <w:bCs/>
          <w:sz w:val="22"/>
          <w:szCs w:val="22"/>
        </w:rPr>
        <w:t>Sujeto Obligado</w:t>
      </w:r>
      <w:r w:rsidRPr="00A66F1A">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5ABF36EC" w14:textId="77777777" w:rsidR="00F566FC" w:rsidRPr="00A66F1A" w:rsidRDefault="001C4A4D">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A66F1A">
        <w:rPr>
          <w:rFonts w:ascii="Palatino Linotype" w:eastAsia="Palatino Linotype" w:hAnsi="Palatino Linotype" w:cs="Palatino Linotype"/>
          <w:b/>
          <w:bCs/>
          <w:sz w:val="22"/>
          <w:szCs w:val="22"/>
        </w:rPr>
        <w:t xml:space="preserve">Quinto. Notifíquese vía SAIMEX, </w:t>
      </w:r>
      <w:r w:rsidRPr="00A66F1A">
        <w:rPr>
          <w:rFonts w:ascii="Palatino Linotype" w:eastAsia="Palatino Linotype" w:hAnsi="Palatino Linotype" w:cs="Palatino Linotype"/>
          <w:sz w:val="22"/>
          <w:szCs w:val="22"/>
        </w:rPr>
        <w:t>a</w:t>
      </w:r>
      <w:r w:rsidRPr="00A66F1A">
        <w:rPr>
          <w:rFonts w:ascii="Palatino Linotype" w:eastAsia="Palatino Linotype" w:hAnsi="Palatino Linotype" w:cs="Palatino Linotype"/>
          <w:b/>
          <w:bCs/>
          <w:sz w:val="22"/>
          <w:szCs w:val="22"/>
        </w:rPr>
        <w:t xml:space="preserve"> la parte Recurrente</w:t>
      </w:r>
      <w:r w:rsidRPr="00A66F1A">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74AAE00F" w14:textId="77777777" w:rsidR="00F566FC" w:rsidRPr="00A66F1A" w:rsidRDefault="00F566FC">
      <w:pPr>
        <w:spacing w:line="360" w:lineRule="auto"/>
        <w:ind w:right="-93"/>
        <w:jc w:val="both"/>
        <w:rPr>
          <w:rFonts w:ascii="Palatino Linotype" w:eastAsia="Palatino Linotype" w:hAnsi="Palatino Linotype" w:cs="Palatino Linotype"/>
          <w:b/>
          <w:bCs/>
          <w:sz w:val="22"/>
          <w:szCs w:val="22"/>
        </w:rPr>
      </w:pPr>
      <w:bookmarkStart w:id="4" w:name="_heading=h.jl0dlasot4f" w:colFirst="0" w:colLast="0"/>
      <w:bookmarkEnd w:id="4"/>
    </w:p>
    <w:p w14:paraId="5A62A7F8" w14:textId="77777777" w:rsidR="00F566FC" w:rsidRPr="00CA2D45" w:rsidRDefault="001C4A4D">
      <w:pPr>
        <w:spacing w:line="360" w:lineRule="auto"/>
        <w:ind w:right="-93"/>
        <w:jc w:val="both"/>
        <w:rPr>
          <w:rFonts w:ascii="Palatino Linotype" w:eastAsia="Palatino Linotype" w:hAnsi="Palatino Linotype" w:cs="Palatino Linotype"/>
          <w:sz w:val="22"/>
          <w:szCs w:val="22"/>
        </w:rPr>
      </w:pPr>
      <w:r w:rsidRPr="00A66F1A">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VEINTE DE NOVIEMBRE DE DOS MIL VEINTICINCO, ANTE EL SECRETARIO TÉCNICO DEL PLENO ALEXIS TAPIA RAMÍREZ.</w:t>
      </w:r>
      <w:r w:rsidRPr="00CA2D45">
        <w:rPr>
          <w:rFonts w:ascii="Palatino Linotype" w:eastAsia="Palatino Linotype" w:hAnsi="Palatino Linotype" w:cs="Palatino Linotype"/>
          <w:sz w:val="22"/>
          <w:szCs w:val="22"/>
        </w:rPr>
        <w:t xml:space="preserve"> </w:t>
      </w:r>
    </w:p>
    <w:p w14:paraId="15D2AD23"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4E48DB99"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5C1D6C26"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6FCAD966"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540317F6"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15BB2697"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47C429C0"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4B827BBF"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67D235C9"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06665357"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1E97D2A0"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4178096F"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350EC1D7"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122F18C5"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33D5F1DE"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31ACA33F"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46FF7A4F"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5203FB0B" w14:textId="77777777" w:rsidR="00F566FC" w:rsidRPr="00CA2D45" w:rsidRDefault="00F566FC">
      <w:pPr>
        <w:spacing w:line="360" w:lineRule="auto"/>
        <w:ind w:right="-93"/>
        <w:jc w:val="both"/>
        <w:rPr>
          <w:rFonts w:ascii="Palatino Linotype" w:eastAsia="Palatino Linotype" w:hAnsi="Palatino Linotype" w:cs="Palatino Linotype"/>
          <w:sz w:val="22"/>
          <w:szCs w:val="22"/>
        </w:rPr>
      </w:pPr>
    </w:p>
    <w:p w14:paraId="7DC2C6BC" w14:textId="77777777" w:rsidR="00F566FC" w:rsidRPr="00CA2D45" w:rsidRDefault="00F566FC">
      <w:pPr>
        <w:spacing w:line="360" w:lineRule="auto"/>
        <w:ind w:right="49"/>
        <w:jc w:val="both"/>
        <w:rPr>
          <w:rFonts w:ascii="Palatino Linotype" w:eastAsia="Palatino Linotype" w:hAnsi="Palatino Linotype" w:cs="Palatino Linotype"/>
          <w:sz w:val="22"/>
          <w:szCs w:val="22"/>
        </w:rPr>
      </w:pPr>
    </w:p>
    <w:sectPr w:rsidR="00F566FC" w:rsidRPr="00CA2D45">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D08A6" w14:textId="77777777" w:rsidR="00641277" w:rsidRDefault="00641277">
      <w:r>
        <w:separator/>
      </w:r>
    </w:p>
  </w:endnote>
  <w:endnote w:type="continuationSeparator" w:id="0">
    <w:p w14:paraId="63A2883E" w14:textId="77777777" w:rsidR="00641277" w:rsidRDefault="00641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AF9AF445-B639-4BAB-A115-AD95D026F2E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A52200C-4E8F-4D19-82C5-81E70A6FA2F6}"/>
    <w:embedBold r:id="rId3" w:fontKey="{94BE81E6-97E0-4AB2-81B1-E011338FE671}"/>
  </w:font>
  <w:font w:name="Bookman Old Style">
    <w:panose1 w:val="02050604050505020204"/>
    <w:charset w:val="00"/>
    <w:family w:val="roman"/>
    <w:pitch w:val="variable"/>
    <w:sig w:usb0="00000287" w:usb1="00000000" w:usb2="00000000" w:usb3="00000000" w:csb0="0000009F" w:csb1="00000000"/>
    <w:embedRegular r:id="rId4" w:fontKey="{19D44347-CE56-4197-BF9F-7FD844E8E02B}"/>
  </w:font>
  <w:font w:name="Georgia">
    <w:panose1 w:val="02040502050405020303"/>
    <w:charset w:val="00"/>
    <w:family w:val="roman"/>
    <w:pitch w:val="variable"/>
    <w:sig w:usb0="00000287" w:usb1="00000000" w:usb2="00000000" w:usb3="00000000" w:csb0="0000009F" w:csb1="00000000"/>
    <w:embedItalic r:id="rId5" w:fontKey="{6429BE50-A09D-41C0-B1D3-A342B88E460D}"/>
  </w:font>
  <w:font w:name="Palatino Linotype">
    <w:panose1 w:val="02040502050505030304"/>
    <w:charset w:val="00"/>
    <w:family w:val="roman"/>
    <w:pitch w:val="variable"/>
    <w:sig w:usb0="E0000287" w:usb1="40000013" w:usb2="00000000" w:usb3="00000000" w:csb0="0000019F" w:csb1="00000000"/>
    <w:embedRegular r:id="rId6" w:fontKey="{A4E0ECEC-85BC-492B-B5DB-F319FB9D2834}"/>
    <w:embedBold r:id="rId7" w:fontKey="{4B53D530-F184-4E4B-A729-A3BA723F677F}"/>
    <w:embedItalic r:id="rId8" w:fontKey="{56F612A1-5DB4-4E3D-8649-72D88B36E3EC}"/>
    <w:embedBoldItalic r:id="rId9" w:fontKey="{7B2AA112-284B-4681-8823-4AE1CF5136F5}"/>
  </w:font>
  <w:font w:name="Calibri Light">
    <w:panose1 w:val="020F0302020204030204"/>
    <w:charset w:val="00"/>
    <w:family w:val="swiss"/>
    <w:pitch w:val="variable"/>
    <w:sig w:usb0="E4002EFF" w:usb1="C200247B" w:usb2="00000009" w:usb3="00000000" w:csb0="000001FF" w:csb1="00000000"/>
    <w:embedRegular r:id="rId10" w:fontKey="{BF625EEA-F2B8-4AE5-88D7-616696DAD22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528B8" w14:textId="4CB863F9" w:rsidR="00F566FC" w:rsidRDefault="001C4A4D">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A33A7B">
      <w:rPr>
        <w:b/>
        <w:bCs/>
        <w:noProof/>
        <w:color w:val="000000"/>
      </w:rPr>
      <w:t>40</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A33A7B">
      <w:rPr>
        <w:b/>
        <w:bCs/>
        <w:noProof/>
        <w:color w:val="000000"/>
      </w:rPr>
      <w:t>40</w:t>
    </w:r>
    <w:r>
      <w:rPr>
        <w:b/>
        <w:bCs/>
        <w:color w:val="000000"/>
      </w:rPr>
      <w:fldChar w:fldCharType="end"/>
    </w:r>
  </w:p>
  <w:p w14:paraId="35D7C900" w14:textId="77777777" w:rsidR="00F566FC" w:rsidRDefault="00F566F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D03C4" w14:textId="7515AB88" w:rsidR="00F566FC" w:rsidRDefault="001C4A4D">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A33A7B">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A33A7B">
      <w:rPr>
        <w:b/>
        <w:bCs/>
        <w:noProof/>
        <w:color w:val="000000"/>
      </w:rPr>
      <w:t>40</w:t>
    </w:r>
    <w:r>
      <w:rPr>
        <w:b/>
        <w:bCs/>
        <w:color w:val="000000"/>
      </w:rPr>
      <w:fldChar w:fldCharType="end"/>
    </w:r>
  </w:p>
  <w:p w14:paraId="53E66565" w14:textId="77777777" w:rsidR="00F566FC" w:rsidRDefault="00F566F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DA2BE" w14:textId="77777777" w:rsidR="00641277" w:rsidRDefault="00641277">
      <w:r>
        <w:separator/>
      </w:r>
    </w:p>
  </w:footnote>
  <w:footnote w:type="continuationSeparator" w:id="0">
    <w:p w14:paraId="530A505F" w14:textId="77777777" w:rsidR="00641277" w:rsidRDefault="006412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6973B" w14:textId="77777777" w:rsidR="00F566FC" w:rsidRDefault="001C4A4D">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113BAD9B" wp14:editId="397FD8EB">
          <wp:simplePos x="0" y="0"/>
          <wp:positionH relativeFrom="column">
            <wp:posOffset>0</wp:posOffset>
          </wp:positionH>
          <wp:positionV relativeFrom="paragraph">
            <wp:posOffset>-401953</wp:posOffset>
          </wp:positionV>
          <wp:extent cx="7809876" cy="10165823"/>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603" w:type="dxa"/>
      <w:tblInd w:w="3611" w:type="dxa"/>
      <w:tblLayout w:type="fixed"/>
      <w:tblLook w:val="0400" w:firstRow="0" w:lastRow="0" w:firstColumn="0" w:lastColumn="0" w:noHBand="0" w:noVBand="1"/>
    </w:tblPr>
    <w:tblGrid>
      <w:gridCol w:w="2551"/>
      <w:gridCol w:w="3052"/>
    </w:tblGrid>
    <w:tr w:rsidR="00F566FC" w14:paraId="1497D51E" w14:textId="77777777">
      <w:tc>
        <w:tcPr>
          <w:tcW w:w="2551" w:type="dxa"/>
          <w:vAlign w:val="center"/>
        </w:tcPr>
        <w:p w14:paraId="3BF49929" w14:textId="77777777" w:rsidR="00F566FC" w:rsidRDefault="001C4A4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14:paraId="31A4A053" w14:textId="77777777" w:rsidR="00F566FC" w:rsidRDefault="00F566F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14:paraId="13A74F3F" w14:textId="77777777" w:rsidR="00F566FC" w:rsidRDefault="001C4A4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06864/INFOEM/IP/RR/2025</w:t>
          </w:r>
        </w:p>
      </w:tc>
    </w:tr>
    <w:tr w:rsidR="00F566FC" w14:paraId="581AB255" w14:textId="77777777">
      <w:trPr>
        <w:trHeight w:val="217"/>
      </w:trPr>
      <w:tc>
        <w:tcPr>
          <w:tcW w:w="2551" w:type="dxa"/>
          <w:vAlign w:val="center"/>
        </w:tcPr>
        <w:p w14:paraId="1FD7A057" w14:textId="77777777" w:rsidR="00F566FC" w:rsidRDefault="001C4A4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14:paraId="2E2EE52D" w14:textId="77777777" w:rsidR="00F566FC" w:rsidRDefault="001C4A4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0"/>
              <w:szCs w:val="20"/>
            </w:rPr>
            <w:t>Ayuntamiento de Toluca</w:t>
          </w:r>
        </w:p>
      </w:tc>
    </w:tr>
    <w:tr w:rsidR="00F566FC" w14:paraId="20851BB2" w14:textId="77777777">
      <w:tc>
        <w:tcPr>
          <w:tcW w:w="2551" w:type="dxa"/>
          <w:vAlign w:val="center"/>
        </w:tcPr>
        <w:p w14:paraId="13384F8F" w14:textId="77777777" w:rsidR="00F566FC" w:rsidRDefault="001C4A4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14:paraId="7250CAE8" w14:textId="77777777" w:rsidR="00F566FC" w:rsidRDefault="001C4A4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14:paraId="2D84476B" w14:textId="77777777" w:rsidR="00F566FC" w:rsidRDefault="00F566FC">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EB705" w14:textId="77777777" w:rsidR="00F566FC" w:rsidRDefault="001C4A4D">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78B17F64" wp14:editId="4C711F3B">
          <wp:simplePos x="0" y="0"/>
          <wp:positionH relativeFrom="column">
            <wp:posOffset>-929004</wp:posOffset>
          </wp:positionH>
          <wp:positionV relativeFrom="paragraph">
            <wp:posOffset>-644524</wp:posOffset>
          </wp:positionV>
          <wp:extent cx="7809865" cy="10165715"/>
          <wp:effectExtent l="0" t="0" r="0" b="0"/>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5603" w:type="dxa"/>
      <w:tblInd w:w="3611" w:type="dxa"/>
      <w:tblLayout w:type="fixed"/>
      <w:tblLook w:val="0400" w:firstRow="0" w:lastRow="0" w:firstColumn="0" w:lastColumn="0" w:noHBand="0" w:noVBand="1"/>
    </w:tblPr>
    <w:tblGrid>
      <w:gridCol w:w="2551"/>
      <w:gridCol w:w="3052"/>
    </w:tblGrid>
    <w:tr w:rsidR="00F566FC" w14:paraId="2B61834A" w14:textId="77777777">
      <w:tc>
        <w:tcPr>
          <w:tcW w:w="2551" w:type="dxa"/>
          <w:vAlign w:val="center"/>
        </w:tcPr>
        <w:p w14:paraId="780014CD" w14:textId="77777777" w:rsidR="00F566FC" w:rsidRDefault="001C4A4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14:paraId="362B0272" w14:textId="77777777" w:rsidR="00F566FC" w:rsidRDefault="00F566F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052" w:type="dxa"/>
          <w:vAlign w:val="center"/>
        </w:tcPr>
        <w:p w14:paraId="2B09A090" w14:textId="77777777" w:rsidR="00F566FC" w:rsidRDefault="001C4A4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06864/INFOEM/IP/RR/2025</w:t>
          </w:r>
        </w:p>
      </w:tc>
    </w:tr>
    <w:tr w:rsidR="00F566FC" w14:paraId="060F0CF7" w14:textId="77777777">
      <w:tc>
        <w:tcPr>
          <w:tcW w:w="2551" w:type="dxa"/>
          <w:vAlign w:val="center"/>
        </w:tcPr>
        <w:p w14:paraId="56F67297" w14:textId="77777777" w:rsidR="00F566FC" w:rsidRDefault="001C4A4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052" w:type="dxa"/>
          <w:vAlign w:val="center"/>
        </w:tcPr>
        <w:p w14:paraId="4796FA59" w14:textId="77777777" w:rsidR="00F566FC" w:rsidRDefault="00F566FC">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r>
    <w:tr w:rsidR="00F566FC" w14:paraId="526DEDC1" w14:textId="77777777">
      <w:trPr>
        <w:trHeight w:val="152"/>
      </w:trPr>
      <w:tc>
        <w:tcPr>
          <w:tcW w:w="2551" w:type="dxa"/>
          <w:vAlign w:val="center"/>
        </w:tcPr>
        <w:p w14:paraId="0A711109" w14:textId="77777777" w:rsidR="00F566FC" w:rsidRDefault="001C4A4D">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14:paraId="2EA74DAD" w14:textId="77777777" w:rsidR="00F566FC" w:rsidRDefault="00F566FC">
          <w:pPr>
            <w:tabs>
              <w:tab w:val="center" w:pos="4419"/>
              <w:tab w:val="right" w:pos="8838"/>
            </w:tabs>
            <w:rPr>
              <w:rFonts w:ascii="Palatino Linotype" w:eastAsia="Palatino Linotype" w:hAnsi="Palatino Linotype" w:cs="Palatino Linotype"/>
              <w:b/>
              <w:bCs/>
              <w:color w:val="000000"/>
              <w:sz w:val="20"/>
              <w:szCs w:val="20"/>
            </w:rPr>
          </w:pPr>
        </w:p>
      </w:tc>
      <w:tc>
        <w:tcPr>
          <w:tcW w:w="3052" w:type="dxa"/>
          <w:vAlign w:val="center"/>
        </w:tcPr>
        <w:p w14:paraId="635BC3A8" w14:textId="77777777" w:rsidR="00F566FC" w:rsidRDefault="001C4A4D">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Ayuntamiento de Toluca</w:t>
          </w:r>
        </w:p>
      </w:tc>
    </w:tr>
    <w:tr w:rsidR="00F566FC" w14:paraId="55A833F1" w14:textId="77777777">
      <w:tc>
        <w:tcPr>
          <w:tcW w:w="2551" w:type="dxa"/>
          <w:vAlign w:val="center"/>
        </w:tcPr>
        <w:p w14:paraId="5E46EA44" w14:textId="77777777" w:rsidR="00F566FC" w:rsidRDefault="001C4A4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052" w:type="dxa"/>
          <w:vAlign w:val="center"/>
        </w:tcPr>
        <w:p w14:paraId="619614C8" w14:textId="77777777" w:rsidR="00F566FC" w:rsidRDefault="001C4A4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14:paraId="30DD84FC" w14:textId="77777777" w:rsidR="00F566FC" w:rsidRDefault="001C4A4D">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D6F5A"/>
    <w:multiLevelType w:val="multilevel"/>
    <w:tmpl w:val="40F8C5C6"/>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0BB67259"/>
    <w:multiLevelType w:val="multilevel"/>
    <w:tmpl w:val="352AE7B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E3716E"/>
    <w:multiLevelType w:val="multilevel"/>
    <w:tmpl w:val="C22EF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1B6596"/>
    <w:multiLevelType w:val="multilevel"/>
    <w:tmpl w:val="D68AF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0B574C"/>
    <w:multiLevelType w:val="multilevel"/>
    <w:tmpl w:val="6A769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8578BB"/>
    <w:multiLevelType w:val="multilevel"/>
    <w:tmpl w:val="EA3465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734C768A"/>
    <w:multiLevelType w:val="multilevel"/>
    <w:tmpl w:val="AC163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4"/>
  </w:num>
  <w:num w:numId="3">
    <w:abstractNumId w:val="2"/>
  </w:num>
  <w:num w:numId="4">
    <w:abstractNumId w:val="5"/>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6FC"/>
    <w:rsid w:val="001C4A4D"/>
    <w:rsid w:val="00542EC8"/>
    <w:rsid w:val="00641277"/>
    <w:rsid w:val="00A33A7B"/>
    <w:rsid w:val="00A66F1A"/>
    <w:rsid w:val="00CA2D45"/>
    <w:rsid w:val="00F566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EEEF6"/>
  <w15:docId w15:val="{D81AA3A6-20FE-4F8A-B564-BE0794A7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5"/>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customStyle="1" w:styleId="p1">
    <w:name w:val="p1"/>
    <w:basedOn w:val="Normal"/>
    <w:rsid w:val="00C84704"/>
    <w:rPr>
      <w:rFonts w:ascii="Bookman Old Style" w:hAnsi="Bookman Old Style"/>
      <w:color w:val="000000"/>
      <w:sz w:val="15"/>
      <w:szCs w:val="15"/>
      <w:lang w:val="es-ES" w:eastAsia="es-ES_tradnl"/>
    </w:rPr>
  </w:style>
  <w:style w:type="character" w:customStyle="1" w:styleId="Mencinsinresolver4">
    <w:name w:val="Mención sin resolver4"/>
    <w:basedOn w:val="Fuentedeprrafopredeter"/>
    <w:uiPriority w:val="99"/>
    <w:semiHidden/>
    <w:unhideWhenUsed/>
    <w:rsid w:val="00C565CC"/>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table" w:customStyle="1" w:styleId="af8">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tgLJQps4sRcu9nhf4c130daHFw==">CgMxLjAyCWguM3pueXNoNzIOaC5qM3BweXh3bGIxczIyCGgudHlqY3d0Mg1oLmpsMGRsYXNvdDRmOAByITFDUEpraDNxblNiQ1R1b3BXNUd5NGl2WVZZZ280WEx5ZA==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9849</Words>
  <Characters>54170</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2025-11-21T20:05:00Z</cp:lastPrinted>
  <dcterms:created xsi:type="dcterms:W3CDTF">2025-12-13T02:38:00Z</dcterms:created>
  <dcterms:modified xsi:type="dcterms:W3CDTF">2025-12-13T02:38:00Z</dcterms:modified>
</cp:coreProperties>
</file>