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1B05A4" w:rsidRDefault="00A077F4" w:rsidP="00DC7019">
      <w:pPr>
        <w:tabs>
          <w:tab w:val="left" w:pos="3465"/>
        </w:tabs>
        <w:spacing w:line="360" w:lineRule="auto"/>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Re</w:t>
      </w:r>
      <w:bookmarkStart w:id="0" w:name="_GoBack"/>
      <w:bookmarkEnd w:id="0"/>
      <w:r w:rsidRPr="001B05A4">
        <w:rPr>
          <w:rFonts w:ascii="Palatino Linotype" w:eastAsia="Palatino Linotype" w:hAnsi="Palatino Linotype" w:cs="Palatino Linotype"/>
          <w:color w:val="000000" w:themeColor="text1"/>
        </w:rPr>
        <w:t xml:space="preserve">solución del Pleno del Instituto de Transparencia, Acceso a la Información Pública y Protección de Datos Personales del Estado de México y Municipios, con domicilio en Metepec, Estado de México; </w:t>
      </w:r>
      <w:r w:rsidRPr="001B05A4">
        <w:rPr>
          <w:rFonts w:ascii="Palatino Linotype" w:eastAsia="Palatino Linotype" w:hAnsi="Palatino Linotype" w:cs="Palatino Linotype"/>
          <w:b/>
          <w:color w:val="000000" w:themeColor="text1"/>
        </w:rPr>
        <w:t xml:space="preserve">de fecha </w:t>
      </w:r>
      <w:r w:rsidR="009858A5" w:rsidRPr="001B05A4">
        <w:rPr>
          <w:rFonts w:ascii="Palatino Linotype" w:eastAsia="Palatino Linotype" w:hAnsi="Palatino Linotype" w:cs="Palatino Linotype"/>
          <w:b/>
          <w:color w:val="000000" w:themeColor="text1"/>
        </w:rPr>
        <w:t>dieciocho (18</w:t>
      </w:r>
      <w:r w:rsidR="00E44A9E" w:rsidRPr="001B05A4">
        <w:rPr>
          <w:rFonts w:ascii="Palatino Linotype" w:eastAsia="Palatino Linotype" w:hAnsi="Palatino Linotype" w:cs="Palatino Linotype"/>
          <w:b/>
          <w:color w:val="000000" w:themeColor="text1"/>
        </w:rPr>
        <w:t>) de junio</w:t>
      </w:r>
      <w:r w:rsidRPr="001B05A4">
        <w:rPr>
          <w:rFonts w:ascii="Palatino Linotype" w:eastAsia="Palatino Linotype" w:hAnsi="Palatino Linotype" w:cs="Palatino Linotype"/>
          <w:b/>
          <w:color w:val="000000" w:themeColor="text1"/>
        </w:rPr>
        <w:t xml:space="preserve"> de dos mil veinticinco</w:t>
      </w:r>
      <w:r w:rsidRPr="001B05A4">
        <w:rPr>
          <w:rFonts w:ascii="Palatino Linotype" w:eastAsia="Palatino Linotype" w:hAnsi="Palatino Linotype" w:cs="Palatino Linotype"/>
          <w:color w:val="000000" w:themeColor="text1"/>
        </w:rPr>
        <w:t>.</w:t>
      </w:r>
    </w:p>
    <w:p w:rsidR="0072148B" w:rsidRPr="001B05A4" w:rsidRDefault="0072148B" w:rsidP="00DC7019">
      <w:pPr>
        <w:tabs>
          <w:tab w:val="left" w:pos="3465"/>
        </w:tabs>
        <w:spacing w:line="360" w:lineRule="auto"/>
        <w:jc w:val="both"/>
        <w:rPr>
          <w:rFonts w:ascii="Palatino Linotype" w:eastAsia="Palatino Linotype" w:hAnsi="Palatino Linotype" w:cs="Palatino Linotype"/>
          <w:color w:val="000000" w:themeColor="text1"/>
        </w:rPr>
      </w:pPr>
    </w:p>
    <w:p w:rsidR="0072148B" w:rsidRPr="001B05A4" w:rsidRDefault="00A077F4" w:rsidP="00DC7019">
      <w:pPr>
        <w:spacing w:line="360" w:lineRule="auto"/>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b/>
          <w:color w:val="000000" w:themeColor="text1"/>
        </w:rPr>
        <w:t xml:space="preserve">VISTAS </w:t>
      </w:r>
      <w:r w:rsidRPr="001B05A4">
        <w:rPr>
          <w:rFonts w:ascii="Palatino Linotype" w:eastAsia="Palatino Linotype" w:hAnsi="Palatino Linotype" w:cs="Palatino Linotype"/>
          <w:color w:val="000000" w:themeColor="text1"/>
        </w:rPr>
        <w:t xml:space="preserve">las constancias para resolver </w:t>
      </w:r>
      <w:r w:rsidR="002C4BEC" w:rsidRPr="001B05A4">
        <w:rPr>
          <w:rFonts w:ascii="Palatino Linotype" w:eastAsia="Palatino Linotype" w:hAnsi="Palatino Linotype" w:cs="Palatino Linotype"/>
          <w:color w:val="000000" w:themeColor="text1"/>
        </w:rPr>
        <w:t>el Recurso</w:t>
      </w:r>
      <w:r w:rsidRPr="001B05A4">
        <w:rPr>
          <w:rFonts w:ascii="Palatino Linotype" w:eastAsia="Palatino Linotype" w:hAnsi="Palatino Linotype" w:cs="Palatino Linotype"/>
          <w:color w:val="000000" w:themeColor="text1"/>
        </w:rPr>
        <w:t xml:space="preserve"> de Revisión </w:t>
      </w:r>
      <w:r w:rsidR="003A61B2" w:rsidRPr="001B05A4">
        <w:rPr>
          <w:rFonts w:ascii="Palatino Linotype" w:eastAsia="Palatino Linotype" w:hAnsi="Palatino Linotype" w:cs="Palatino Linotype"/>
          <w:b/>
          <w:color w:val="000000" w:themeColor="text1"/>
        </w:rPr>
        <w:t>02148</w:t>
      </w:r>
      <w:r w:rsidRPr="001B05A4">
        <w:rPr>
          <w:rFonts w:ascii="Palatino Linotype" w:eastAsia="Palatino Linotype" w:hAnsi="Palatino Linotype" w:cs="Palatino Linotype"/>
          <w:b/>
          <w:color w:val="000000" w:themeColor="text1"/>
        </w:rPr>
        <w:t>/INFOEM/IP/RR/2025</w:t>
      </w:r>
      <w:r w:rsidR="002C4BEC" w:rsidRPr="001B05A4">
        <w:rPr>
          <w:rFonts w:ascii="Palatino Linotype" w:eastAsia="Palatino Linotype" w:hAnsi="Palatino Linotype" w:cs="Palatino Linotype"/>
          <w:color w:val="000000" w:themeColor="text1"/>
        </w:rPr>
        <w:t>, promovido</w:t>
      </w:r>
      <w:r w:rsidRPr="001B05A4">
        <w:rPr>
          <w:rFonts w:ascii="Palatino Linotype" w:eastAsia="Palatino Linotype" w:hAnsi="Palatino Linotype" w:cs="Palatino Linotype"/>
          <w:color w:val="000000" w:themeColor="text1"/>
        </w:rPr>
        <w:t xml:space="preserve"> por </w:t>
      </w:r>
      <w:r w:rsidR="00B95873" w:rsidRPr="001B05A4">
        <w:rPr>
          <w:rFonts w:ascii="Palatino Linotype" w:eastAsia="Palatino Linotype" w:hAnsi="Palatino Linotype" w:cs="Palatino Linotype"/>
          <w:color w:val="000000" w:themeColor="text1"/>
        </w:rPr>
        <w:t>una persona que no registró nombre</w:t>
      </w:r>
      <w:r w:rsidRPr="001B05A4">
        <w:rPr>
          <w:rFonts w:ascii="Palatino Linotype" w:eastAsia="Palatino Linotype" w:hAnsi="Palatino Linotype" w:cs="Palatino Linotype"/>
          <w:color w:val="000000" w:themeColor="text1"/>
        </w:rPr>
        <w:t xml:space="preserve">, en lo sucesivo </w:t>
      </w:r>
      <w:r w:rsidRPr="001B05A4">
        <w:rPr>
          <w:rFonts w:ascii="Palatino Linotype" w:eastAsia="Palatino Linotype" w:hAnsi="Palatino Linotype" w:cs="Palatino Linotype"/>
          <w:b/>
          <w:color w:val="000000" w:themeColor="text1"/>
        </w:rPr>
        <w:t>EL RECURRENTE</w:t>
      </w:r>
      <w:r w:rsidRPr="001B05A4">
        <w:rPr>
          <w:rFonts w:ascii="Palatino Linotype" w:eastAsia="Palatino Linotype" w:hAnsi="Palatino Linotype" w:cs="Palatino Linotype"/>
          <w:color w:val="000000" w:themeColor="text1"/>
        </w:rPr>
        <w:t>, en contr</w:t>
      </w:r>
      <w:r w:rsidR="002C4BEC" w:rsidRPr="001B05A4">
        <w:rPr>
          <w:rFonts w:ascii="Palatino Linotype" w:eastAsia="Palatino Linotype" w:hAnsi="Palatino Linotype" w:cs="Palatino Linotype"/>
          <w:color w:val="000000" w:themeColor="text1"/>
        </w:rPr>
        <w:t>a de la respuesta otorgada a la solicitud</w:t>
      </w:r>
      <w:r w:rsidRPr="001B05A4">
        <w:rPr>
          <w:rFonts w:ascii="Palatino Linotype" w:eastAsia="Palatino Linotype" w:hAnsi="Palatino Linotype" w:cs="Palatino Linotype"/>
          <w:color w:val="000000" w:themeColor="text1"/>
        </w:rPr>
        <w:t xml:space="preserve"> de información </w:t>
      </w:r>
      <w:r w:rsidR="003A61B2" w:rsidRPr="001B05A4">
        <w:rPr>
          <w:rFonts w:ascii="Palatino Linotype" w:eastAsia="Palatino Linotype" w:hAnsi="Palatino Linotype" w:cs="Palatino Linotype"/>
          <w:b/>
          <w:color w:val="000000" w:themeColor="text1"/>
        </w:rPr>
        <w:t>00089</w:t>
      </w:r>
      <w:r w:rsidR="002C4BEC" w:rsidRPr="001B05A4">
        <w:rPr>
          <w:rFonts w:ascii="Palatino Linotype" w:eastAsia="Palatino Linotype" w:hAnsi="Palatino Linotype" w:cs="Palatino Linotype"/>
          <w:b/>
          <w:color w:val="000000" w:themeColor="text1"/>
        </w:rPr>
        <w:t>/TOLUCA/IP/2025</w:t>
      </w:r>
      <w:r w:rsidRPr="001B05A4">
        <w:rPr>
          <w:rFonts w:ascii="Palatino Linotype" w:eastAsia="Palatino Linotype" w:hAnsi="Palatino Linotype" w:cs="Palatino Linotype"/>
          <w:color w:val="000000" w:themeColor="text1"/>
        </w:rPr>
        <w:t xml:space="preserve">, por parte del </w:t>
      </w:r>
      <w:r w:rsidR="00385C23" w:rsidRPr="001B05A4">
        <w:rPr>
          <w:rFonts w:ascii="Palatino Linotype" w:eastAsia="Palatino Linotype" w:hAnsi="Palatino Linotype" w:cs="Palatino Linotype"/>
          <w:b/>
          <w:color w:val="000000" w:themeColor="text1"/>
        </w:rPr>
        <w:t>Ayuntamiento de Toluca</w:t>
      </w:r>
      <w:r w:rsidRPr="001B05A4">
        <w:rPr>
          <w:rFonts w:ascii="Palatino Linotype" w:eastAsia="Palatino Linotype" w:hAnsi="Palatino Linotype" w:cs="Palatino Linotype"/>
          <w:b/>
          <w:color w:val="000000" w:themeColor="text1"/>
        </w:rPr>
        <w:t xml:space="preserve">, </w:t>
      </w:r>
      <w:r w:rsidRPr="001B05A4">
        <w:rPr>
          <w:rFonts w:ascii="Palatino Linotype" w:eastAsia="Palatino Linotype" w:hAnsi="Palatino Linotype" w:cs="Palatino Linotype"/>
          <w:color w:val="000000" w:themeColor="text1"/>
        </w:rPr>
        <w:t xml:space="preserve">en adelante el </w:t>
      </w:r>
      <w:r w:rsidRPr="001B05A4">
        <w:rPr>
          <w:rFonts w:ascii="Palatino Linotype" w:eastAsia="Palatino Linotype" w:hAnsi="Palatino Linotype" w:cs="Palatino Linotype"/>
          <w:b/>
          <w:color w:val="000000" w:themeColor="text1"/>
        </w:rPr>
        <w:t>SUJETO OBLIGADO</w:t>
      </w:r>
      <w:r w:rsidRPr="001B05A4">
        <w:rPr>
          <w:rFonts w:ascii="Palatino Linotype" w:eastAsia="Palatino Linotype" w:hAnsi="Palatino Linotype" w:cs="Palatino Linotype"/>
          <w:color w:val="000000" w:themeColor="text1"/>
        </w:rPr>
        <w:t>, se emite la presente resolución con base en los siguientes:</w:t>
      </w:r>
    </w:p>
    <w:p w:rsidR="0072148B" w:rsidRPr="001B05A4" w:rsidRDefault="0072148B" w:rsidP="00DC7019">
      <w:pPr>
        <w:spacing w:line="360" w:lineRule="auto"/>
        <w:jc w:val="both"/>
        <w:rPr>
          <w:rFonts w:ascii="Palatino Linotype" w:eastAsia="Palatino Linotype" w:hAnsi="Palatino Linotype" w:cs="Palatino Linotype"/>
          <w:color w:val="000000" w:themeColor="text1"/>
        </w:rPr>
      </w:pPr>
    </w:p>
    <w:p w:rsidR="0072148B" w:rsidRPr="001B05A4" w:rsidRDefault="00A077F4" w:rsidP="00DC7019">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1B05A4">
        <w:rPr>
          <w:rFonts w:ascii="Palatino Linotype" w:eastAsia="Palatino Linotype" w:hAnsi="Palatino Linotype" w:cs="Palatino Linotype"/>
          <w:b/>
          <w:color w:val="000000" w:themeColor="text1"/>
          <w:sz w:val="24"/>
          <w:szCs w:val="24"/>
        </w:rPr>
        <w:t>A N T E C E D E N T E S</w:t>
      </w:r>
    </w:p>
    <w:p w:rsidR="0072148B" w:rsidRPr="001B05A4" w:rsidRDefault="0072148B" w:rsidP="00DC701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72148B" w:rsidRPr="001B05A4" w:rsidRDefault="00A077F4" w:rsidP="00DC7019">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 xml:space="preserve">El </w:t>
      </w:r>
      <w:r w:rsidR="001A78A1" w:rsidRPr="001B05A4">
        <w:rPr>
          <w:rFonts w:ascii="Palatino Linotype" w:eastAsia="Palatino Linotype" w:hAnsi="Palatino Linotype" w:cs="Palatino Linotype"/>
          <w:b/>
          <w:color w:val="000000" w:themeColor="text1"/>
        </w:rPr>
        <w:t>trece</w:t>
      </w:r>
      <w:r w:rsidRPr="001B05A4">
        <w:rPr>
          <w:rFonts w:ascii="Palatino Linotype" w:eastAsia="Palatino Linotype" w:hAnsi="Palatino Linotype" w:cs="Palatino Linotype"/>
          <w:b/>
          <w:color w:val="000000" w:themeColor="text1"/>
        </w:rPr>
        <w:t xml:space="preserve"> de enero de dos mil veinticinco</w:t>
      </w:r>
      <w:r w:rsidRPr="001B05A4">
        <w:rPr>
          <w:rFonts w:ascii="Palatino Linotype" w:eastAsia="Palatino Linotype" w:hAnsi="Palatino Linotype" w:cs="Palatino Linotype"/>
          <w:color w:val="000000" w:themeColor="text1"/>
        </w:rPr>
        <w:t>,</w:t>
      </w:r>
      <w:r w:rsidRPr="001B05A4">
        <w:rPr>
          <w:rFonts w:ascii="Palatino Linotype" w:eastAsia="Palatino Linotype" w:hAnsi="Palatino Linotype" w:cs="Palatino Linotype"/>
          <w:b/>
          <w:color w:val="000000" w:themeColor="text1"/>
        </w:rPr>
        <w:t xml:space="preserve"> </w:t>
      </w:r>
      <w:r w:rsidRPr="001B05A4">
        <w:rPr>
          <w:rFonts w:ascii="Palatino Linotype" w:eastAsia="Palatino Linotype" w:hAnsi="Palatino Linotype" w:cs="Palatino Linotype"/>
          <w:color w:val="000000" w:themeColor="text1"/>
        </w:rPr>
        <w:t>se presentó ante el Sujeto Obligado vía Sistema de Acceso a la Información Mex</w:t>
      </w:r>
      <w:r w:rsidR="002C4BEC" w:rsidRPr="001B05A4">
        <w:rPr>
          <w:rFonts w:ascii="Palatino Linotype" w:eastAsia="Palatino Linotype" w:hAnsi="Palatino Linotype" w:cs="Palatino Linotype"/>
          <w:color w:val="000000" w:themeColor="text1"/>
        </w:rPr>
        <w:t xml:space="preserve">iquense, en adelante SAIMEX, la siguiente </w:t>
      </w:r>
      <w:r w:rsidR="002C4BEC" w:rsidRPr="001B05A4">
        <w:rPr>
          <w:rFonts w:ascii="Palatino Linotype" w:eastAsia="Palatino Linotype" w:hAnsi="Palatino Linotype" w:cs="Palatino Linotype"/>
          <w:b/>
          <w:color w:val="000000" w:themeColor="text1"/>
        </w:rPr>
        <w:t xml:space="preserve">solicitud </w:t>
      </w:r>
      <w:r w:rsidRPr="001B05A4">
        <w:rPr>
          <w:rFonts w:ascii="Palatino Linotype" w:eastAsia="Palatino Linotype" w:hAnsi="Palatino Linotype" w:cs="Palatino Linotype"/>
          <w:b/>
          <w:color w:val="000000" w:themeColor="text1"/>
        </w:rPr>
        <w:t>de información pública</w:t>
      </w:r>
      <w:r w:rsidRPr="001B05A4">
        <w:rPr>
          <w:rFonts w:ascii="Palatino Linotype" w:eastAsia="Palatino Linotype" w:hAnsi="Palatino Linotype" w:cs="Palatino Linotype"/>
          <w:color w:val="000000" w:themeColor="text1"/>
        </w:rPr>
        <w:t>:</w:t>
      </w:r>
    </w:p>
    <w:p w:rsidR="0072148B" w:rsidRPr="001B05A4" w:rsidRDefault="0072148B" w:rsidP="00DC7019">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1B05A4" w:rsidRDefault="002C4BEC" w:rsidP="00DC7019">
      <w:pPr>
        <w:pBdr>
          <w:top w:val="nil"/>
          <w:left w:val="nil"/>
          <w:bottom w:val="nil"/>
          <w:right w:val="nil"/>
          <w:between w:val="nil"/>
        </w:pBd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 xml:space="preserve"> </w:t>
      </w:r>
      <w:r w:rsidR="00223B24" w:rsidRPr="001B05A4">
        <w:rPr>
          <w:rFonts w:ascii="Palatino Linotype" w:eastAsia="Palatino Linotype" w:hAnsi="Palatino Linotype" w:cs="Palatino Linotype"/>
          <w:i/>
          <w:color w:val="000000" w:themeColor="text1"/>
        </w:rPr>
        <w:t>“</w:t>
      </w:r>
      <w:r w:rsidR="005A3070" w:rsidRPr="001B05A4">
        <w:rPr>
          <w:rFonts w:ascii="Palatino Linotype" w:eastAsia="Palatino Linotype" w:hAnsi="Palatino Linotype" w:cs="Palatino Linotype"/>
          <w:i/>
          <w:color w:val="000000" w:themeColor="text1"/>
        </w:rPr>
        <w:t>Quiero saber con cuanto dinero recibieron la administración pública 2025</w:t>
      </w:r>
      <w:r w:rsidR="00223B24" w:rsidRPr="001B05A4">
        <w:rPr>
          <w:rFonts w:ascii="Palatino Linotype" w:eastAsia="Palatino Linotype" w:hAnsi="Palatino Linotype" w:cs="Palatino Linotype"/>
          <w:i/>
          <w:color w:val="000000" w:themeColor="text1"/>
        </w:rPr>
        <w:t>” (Sic)</w:t>
      </w:r>
    </w:p>
    <w:p w:rsidR="00223B24" w:rsidRPr="001B05A4" w:rsidRDefault="00223B24" w:rsidP="00DC7019">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1B05A4" w:rsidRDefault="00A077F4" w:rsidP="00DC7019">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 xml:space="preserve">Se eligió como modalidad de entrega de la información: A través del </w:t>
      </w:r>
      <w:r w:rsidRPr="001B05A4">
        <w:rPr>
          <w:rFonts w:ascii="Palatino Linotype" w:eastAsia="Palatino Linotype" w:hAnsi="Palatino Linotype" w:cs="Palatino Linotype"/>
          <w:b/>
          <w:color w:val="000000" w:themeColor="text1"/>
        </w:rPr>
        <w:t>SAIMEX.</w:t>
      </w:r>
    </w:p>
    <w:p w:rsidR="009B2185" w:rsidRPr="001B05A4" w:rsidRDefault="009B2185" w:rsidP="00DC701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1B05A4" w:rsidRDefault="00A077F4" w:rsidP="00DC7019">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El</w:t>
      </w:r>
      <w:r w:rsidRPr="001B05A4">
        <w:rPr>
          <w:rFonts w:ascii="Palatino Linotype" w:eastAsia="Palatino Linotype" w:hAnsi="Palatino Linotype" w:cs="Palatino Linotype"/>
          <w:b/>
          <w:color w:val="000000" w:themeColor="text1"/>
        </w:rPr>
        <w:t xml:space="preserve"> </w:t>
      </w:r>
      <w:r w:rsidR="005A3070" w:rsidRPr="001B05A4">
        <w:rPr>
          <w:rFonts w:ascii="Palatino Linotype" w:eastAsia="Palatino Linotype" w:hAnsi="Palatino Linotype" w:cs="Palatino Linotype"/>
          <w:b/>
          <w:color w:val="000000" w:themeColor="text1"/>
        </w:rPr>
        <w:t>cinco</w:t>
      </w:r>
      <w:r w:rsidR="003C51F5" w:rsidRPr="001B05A4">
        <w:rPr>
          <w:rFonts w:ascii="Palatino Linotype" w:eastAsia="Palatino Linotype" w:hAnsi="Palatino Linotype" w:cs="Palatino Linotype"/>
          <w:b/>
          <w:color w:val="000000" w:themeColor="text1"/>
        </w:rPr>
        <w:t xml:space="preserve"> de febrero</w:t>
      </w:r>
      <w:r w:rsidRPr="001B05A4">
        <w:rPr>
          <w:rFonts w:ascii="Palatino Linotype" w:eastAsia="Palatino Linotype" w:hAnsi="Palatino Linotype" w:cs="Palatino Linotype"/>
          <w:b/>
          <w:color w:val="000000" w:themeColor="text1"/>
        </w:rPr>
        <w:t xml:space="preserve"> de dos mil veinticinco</w:t>
      </w:r>
      <w:r w:rsidRPr="001B05A4">
        <w:rPr>
          <w:rFonts w:ascii="Palatino Linotype" w:eastAsia="Palatino Linotype" w:hAnsi="Palatino Linotype" w:cs="Palatino Linotype"/>
          <w:color w:val="000000" w:themeColor="text1"/>
        </w:rPr>
        <w:t>, el Sujeto Obligado</w:t>
      </w:r>
      <w:r w:rsidRPr="001B05A4">
        <w:rPr>
          <w:rFonts w:ascii="Palatino Linotype" w:eastAsia="Palatino Linotype" w:hAnsi="Palatino Linotype" w:cs="Palatino Linotype"/>
          <w:b/>
          <w:color w:val="000000" w:themeColor="text1"/>
        </w:rPr>
        <w:t>,</w:t>
      </w:r>
      <w:r w:rsidRPr="001B05A4">
        <w:rPr>
          <w:rFonts w:ascii="Palatino Linotype" w:eastAsia="Palatino Linotype" w:hAnsi="Palatino Linotype" w:cs="Palatino Linotype"/>
          <w:color w:val="000000" w:themeColor="text1"/>
        </w:rPr>
        <w:t xml:space="preserve"> dio </w:t>
      </w:r>
      <w:r w:rsidRPr="001B05A4">
        <w:rPr>
          <w:rFonts w:ascii="Palatino Linotype" w:eastAsia="Palatino Linotype" w:hAnsi="Palatino Linotype" w:cs="Palatino Linotype"/>
          <w:b/>
          <w:color w:val="000000" w:themeColor="text1"/>
        </w:rPr>
        <w:t>respuesta</w:t>
      </w:r>
      <w:r w:rsidRPr="001B05A4">
        <w:rPr>
          <w:rFonts w:ascii="Palatino Linotype" w:eastAsia="Palatino Linotype" w:hAnsi="Palatino Linotype" w:cs="Palatino Linotype"/>
          <w:color w:val="000000" w:themeColor="text1"/>
        </w:rPr>
        <w:t xml:space="preserve"> a través de los siguientes archivos electrónicos</w:t>
      </w:r>
      <w:r w:rsidRPr="001B05A4">
        <w:rPr>
          <w:rFonts w:ascii="Palatino Linotype" w:eastAsia="Palatino Linotype" w:hAnsi="Palatino Linotype" w:cs="Palatino Linotype"/>
          <w:b/>
          <w:i/>
          <w:color w:val="000000" w:themeColor="text1"/>
        </w:rPr>
        <w:t>:</w:t>
      </w:r>
    </w:p>
    <w:p w:rsidR="005A3070" w:rsidRPr="001B05A4" w:rsidRDefault="005A3070" w:rsidP="00DC701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1B05A4">
        <w:rPr>
          <w:rFonts w:ascii="Palatino Linotype" w:eastAsia="Palatino Linotype" w:hAnsi="Palatino Linotype" w:cs="Palatino Linotype"/>
          <w:b/>
          <w:i/>
          <w:color w:val="000000" w:themeColor="text1"/>
        </w:rPr>
        <w:t>Estado-de-Situacion-Financiera 3er trim.pdf</w:t>
      </w:r>
    </w:p>
    <w:p w:rsidR="005A3070" w:rsidRPr="001B05A4" w:rsidRDefault="005A3070" w:rsidP="00DC701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Documento consistente en el Estado de Situación Financiera al 30 de septiembre de 2024.</w:t>
      </w:r>
    </w:p>
    <w:p w:rsidR="005A3070" w:rsidRPr="001B05A4" w:rsidRDefault="005A3070" w:rsidP="00DC701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p>
    <w:p w:rsidR="00792580" w:rsidRPr="001B05A4" w:rsidRDefault="00792580" w:rsidP="00DC701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1B05A4">
        <w:rPr>
          <w:rFonts w:ascii="Palatino Linotype" w:eastAsia="Palatino Linotype" w:hAnsi="Palatino Linotype" w:cs="Palatino Linotype"/>
          <w:b/>
          <w:i/>
          <w:color w:val="000000" w:themeColor="text1"/>
        </w:rPr>
        <w:lastRenderedPageBreak/>
        <w:t>RESPUESTA 0089. 2025.pdf</w:t>
      </w:r>
    </w:p>
    <w:p w:rsidR="005A3070" w:rsidRPr="001B05A4" w:rsidRDefault="005A3070" w:rsidP="00DC701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 xml:space="preserve">Escrito de fecha 04 de febrero de 2025 firmado por el Titular de la Unidad de Transparencia, a través del cual hace del conocimiento que la </w:t>
      </w:r>
      <w:r w:rsidRPr="001B05A4">
        <w:rPr>
          <w:rFonts w:ascii="Palatino Linotype" w:eastAsia="Palatino Linotype" w:hAnsi="Palatino Linotype" w:cs="Palatino Linotype"/>
          <w:b/>
          <w:color w:val="000000" w:themeColor="text1"/>
        </w:rPr>
        <w:t>Tesorería Municipal</w:t>
      </w:r>
      <w:r w:rsidRPr="001B05A4">
        <w:rPr>
          <w:rFonts w:ascii="Palatino Linotype" w:eastAsia="Palatino Linotype" w:hAnsi="Palatino Linotype" w:cs="Palatino Linotype"/>
          <w:color w:val="000000" w:themeColor="text1"/>
        </w:rPr>
        <w:t xml:space="preserve"> y Servidor Público Habilitado informó que </w:t>
      </w:r>
      <w:r w:rsidR="00792580" w:rsidRPr="001B05A4">
        <w:rPr>
          <w:rFonts w:ascii="Palatino Linotype" w:eastAsia="Palatino Linotype" w:hAnsi="Palatino Linotype" w:cs="Palatino Linotype"/>
          <w:color w:val="000000" w:themeColor="text1"/>
        </w:rPr>
        <w:t>la información solicitada se encuentra en proceso de integración.</w:t>
      </w:r>
    </w:p>
    <w:p w:rsidR="00FC2A51" w:rsidRPr="001B05A4" w:rsidRDefault="00FC2A51" w:rsidP="00DC7019">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72148B" w:rsidRPr="001B05A4" w:rsidRDefault="00A077F4" w:rsidP="00DC7019">
      <w:pPr>
        <w:numPr>
          <w:ilvl w:val="0"/>
          <w:numId w:val="6"/>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El</w:t>
      </w:r>
      <w:r w:rsidRPr="001B05A4">
        <w:rPr>
          <w:rFonts w:ascii="Palatino Linotype" w:eastAsia="Palatino Linotype" w:hAnsi="Palatino Linotype" w:cs="Palatino Linotype"/>
          <w:b/>
          <w:color w:val="000000" w:themeColor="text1"/>
        </w:rPr>
        <w:t xml:space="preserve"> </w:t>
      </w:r>
      <w:r w:rsidR="00777FC2" w:rsidRPr="001B05A4">
        <w:rPr>
          <w:rFonts w:ascii="Palatino Linotype" w:eastAsia="Palatino Linotype" w:hAnsi="Palatino Linotype" w:cs="Palatino Linotype"/>
          <w:b/>
          <w:color w:val="000000" w:themeColor="text1"/>
        </w:rPr>
        <w:t>veintiséis</w:t>
      </w:r>
      <w:r w:rsidR="00E30A06" w:rsidRPr="001B05A4">
        <w:rPr>
          <w:rFonts w:ascii="Palatino Linotype" w:eastAsia="Palatino Linotype" w:hAnsi="Palatino Linotype" w:cs="Palatino Linotype"/>
          <w:b/>
          <w:color w:val="000000" w:themeColor="text1"/>
        </w:rPr>
        <w:t xml:space="preserve"> de febrero</w:t>
      </w:r>
      <w:r w:rsidRPr="001B05A4">
        <w:rPr>
          <w:rFonts w:ascii="Palatino Linotype" w:eastAsia="Palatino Linotype" w:hAnsi="Palatino Linotype" w:cs="Palatino Linotype"/>
          <w:b/>
          <w:color w:val="000000" w:themeColor="text1"/>
        </w:rPr>
        <w:t xml:space="preserve"> de dos mil veinticinco</w:t>
      </w:r>
      <w:r w:rsidRPr="001B05A4">
        <w:rPr>
          <w:rFonts w:ascii="Palatino Linotype" w:eastAsia="Palatino Linotype" w:hAnsi="Palatino Linotype" w:cs="Palatino Linotype"/>
          <w:color w:val="000000" w:themeColor="text1"/>
        </w:rPr>
        <w:t xml:space="preserve">, el particular interpuso </w:t>
      </w:r>
      <w:r w:rsidR="00E30A06" w:rsidRPr="001B05A4">
        <w:rPr>
          <w:rFonts w:ascii="Palatino Linotype" w:eastAsia="Palatino Linotype" w:hAnsi="Palatino Linotype" w:cs="Palatino Linotype"/>
          <w:color w:val="000000" w:themeColor="text1"/>
        </w:rPr>
        <w:t xml:space="preserve">el </w:t>
      </w:r>
      <w:r w:rsidR="00E30A06" w:rsidRPr="001B05A4">
        <w:rPr>
          <w:rFonts w:ascii="Palatino Linotype" w:eastAsia="Palatino Linotype" w:hAnsi="Palatino Linotype" w:cs="Palatino Linotype"/>
          <w:b/>
          <w:color w:val="000000" w:themeColor="text1"/>
        </w:rPr>
        <w:t>recurso</w:t>
      </w:r>
      <w:r w:rsidRPr="001B05A4">
        <w:rPr>
          <w:rFonts w:ascii="Palatino Linotype" w:eastAsia="Palatino Linotype" w:hAnsi="Palatino Linotype" w:cs="Palatino Linotype"/>
          <w:b/>
          <w:color w:val="000000" w:themeColor="text1"/>
        </w:rPr>
        <w:t xml:space="preserve"> de revisión</w:t>
      </w:r>
      <w:r w:rsidRPr="001B05A4">
        <w:rPr>
          <w:rFonts w:ascii="Palatino Linotype" w:eastAsia="Palatino Linotype" w:hAnsi="Palatino Linotype" w:cs="Palatino Linotype"/>
          <w:color w:val="000000" w:themeColor="text1"/>
        </w:rPr>
        <w:t xml:space="preserve"> a</w:t>
      </w:r>
      <w:r w:rsidR="00E30A06" w:rsidRPr="001B05A4">
        <w:rPr>
          <w:rFonts w:ascii="Palatino Linotype" w:eastAsia="Palatino Linotype" w:hAnsi="Palatino Linotype" w:cs="Palatino Linotype"/>
          <w:color w:val="000000" w:themeColor="text1"/>
        </w:rPr>
        <w:t>l</w:t>
      </w:r>
      <w:r w:rsidRPr="001B05A4">
        <w:rPr>
          <w:rFonts w:ascii="Palatino Linotype" w:eastAsia="Palatino Linotype" w:hAnsi="Palatino Linotype" w:cs="Palatino Linotype"/>
          <w:color w:val="000000" w:themeColor="text1"/>
        </w:rPr>
        <w:t xml:space="preserve"> </w:t>
      </w:r>
      <w:r w:rsidR="00E30A06" w:rsidRPr="001B05A4">
        <w:rPr>
          <w:rFonts w:ascii="Palatino Linotype" w:eastAsia="Palatino Linotype" w:hAnsi="Palatino Linotype" w:cs="Palatino Linotype"/>
          <w:color w:val="000000" w:themeColor="text1"/>
        </w:rPr>
        <w:t>que se le</w:t>
      </w:r>
      <w:r w:rsidRPr="001B05A4">
        <w:rPr>
          <w:rFonts w:ascii="Palatino Linotype" w:eastAsia="Palatino Linotype" w:hAnsi="Palatino Linotype" w:cs="Palatino Linotype"/>
          <w:color w:val="000000" w:themeColor="text1"/>
        </w:rPr>
        <w:t xml:space="preserve"> </w:t>
      </w:r>
      <w:r w:rsidR="00E30A06" w:rsidRPr="001B05A4">
        <w:rPr>
          <w:rFonts w:ascii="Palatino Linotype" w:eastAsia="Palatino Linotype" w:hAnsi="Palatino Linotype" w:cs="Palatino Linotype"/>
          <w:color w:val="000000" w:themeColor="text1"/>
        </w:rPr>
        <w:t>asignó</w:t>
      </w:r>
      <w:r w:rsidRPr="001B05A4">
        <w:rPr>
          <w:rFonts w:ascii="Palatino Linotype" w:eastAsia="Palatino Linotype" w:hAnsi="Palatino Linotype" w:cs="Palatino Linotype"/>
          <w:color w:val="000000" w:themeColor="text1"/>
        </w:rPr>
        <w:t xml:space="preserve"> </w:t>
      </w:r>
      <w:r w:rsidR="00E30A06" w:rsidRPr="001B05A4">
        <w:rPr>
          <w:rFonts w:ascii="Palatino Linotype" w:eastAsia="Palatino Linotype" w:hAnsi="Palatino Linotype" w:cs="Palatino Linotype"/>
          <w:color w:val="000000" w:themeColor="text1"/>
        </w:rPr>
        <w:t>el folio</w:t>
      </w:r>
      <w:r w:rsidRPr="001B05A4">
        <w:rPr>
          <w:rFonts w:ascii="Palatino Linotype" w:eastAsia="Palatino Linotype" w:hAnsi="Palatino Linotype" w:cs="Palatino Linotype"/>
          <w:color w:val="000000" w:themeColor="text1"/>
        </w:rPr>
        <w:t xml:space="preserve"> </w:t>
      </w:r>
      <w:r w:rsidR="00777FC2" w:rsidRPr="001B05A4">
        <w:rPr>
          <w:rFonts w:ascii="Palatino Linotype" w:eastAsia="Palatino Linotype" w:hAnsi="Palatino Linotype" w:cs="Palatino Linotype"/>
          <w:b/>
          <w:color w:val="000000" w:themeColor="text1"/>
        </w:rPr>
        <w:t>02148</w:t>
      </w:r>
      <w:r w:rsidR="00E30A06" w:rsidRPr="001B05A4">
        <w:rPr>
          <w:rFonts w:ascii="Palatino Linotype" w:eastAsia="Palatino Linotype" w:hAnsi="Palatino Linotype" w:cs="Palatino Linotype"/>
          <w:b/>
          <w:color w:val="000000" w:themeColor="text1"/>
        </w:rPr>
        <w:t>/INFOEM/IP/RR/2025</w:t>
      </w:r>
      <w:r w:rsidRPr="001B05A4">
        <w:rPr>
          <w:rFonts w:ascii="Palatino Linotype" w:eastAsia="Palatino Linotype" w:hAnsi="Palatino Linotype" w:cs="Palatino Linotype"/>
          <w:b/>
          <w:color w:val="000000" w:themeColor="text1"/>
        </w:rPr>
        <w:t xml:space="preserve"> </w:t>
      </w:r>
      <w:r w:rsidRPr="001B05A4">
        <w:rPr>
          <w:rFonts w:ascii="Palatino Linotype" w:eastAsia="Palatino Linotype" w:hAnsi="Palatino Linotype" w:cs="Palatino Linotype"/>
          <w:color w:val="000000" w:themeColor="text1"/>
        </w:rPr>
        <w:t xml:space="preserve">en contra de </w:t>
      </w:r>
      <w:r w:rsidR="00E30A06" w:rsidRPr="001B05A4">
        <w:rPr>
          <w:rFonts w:ascii="Palatino Linotype" w:eastAsia="Palatino Linotype" w:hAnsi="Palatino Linotype" w:cs="Palatino Linotype"/>
          <w:color w:val="000000" w:themeColor="text1"/>
        </w:rPr>
        <w:t>la respuesta emitida</w:t>
      </w:r>
      <w:r w:rsidRPr="001B05A4">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33402D" w:rsidRPr="001B05A4" w:rsidRDefault="0033402D" w:rsidP="00DC7019">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2148B" w:rsidRPr="00831050" w:rsidRDefault="00A077F4" w:rsidP="00831050">
      <w:pPr>
        <w:pStyle w:val="Prrafodelista"/>
        <w:numPr>
          <w:ilvl w:val="0"/>
          <w:numId w:val="42"/>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831050">
        <w:rPr>
          <w:rFonts w:ascii="Palatino Linotype" w:eastAsia="Palatino Linotype" w:hAnsi="Palatino Linotype" w:cs="Palatino Linotype"/>
          <w:b/>
          <w:color w:val="000000" w:themeColor="text1"/>
        </w:rPr>
        <w:t xml:space="preserve">Acto impugnado: </w:t>
      </w:r>
      <w:r w:rsidRPr="00831050">
        <w:rPr>
          <w:rFonts w:ascii="Palatino Linotype" w:eastAsia="Palatino Linotype" w:hAnsi="Palatino Linotype" w:cs="Palatino Linotype"/>
          <w:i/>
          <w:color w:val="000000" w:themeColor="text1"/>
        </w:rPr>
        <w:t>“</w:t>
      </w:r>
      <w:r w:rsidR="00777FC2" w:rsidRPr="00831050">
        <w:rPr>
          <w:rFonts w:ascii="Palatino Linotype" w:eastAsia="Palatino Linotype" w:hAnsi="Palatino Linotype" w:cs="Palatino Linotype"/>
          <w:i/>
          <w:color w:val="000000" w:themeColor="text1"/>
        </w:rPr>
        <w:t>No es claro lo que me dan no es como se solicita</w:t>
      </w:r>
      <w:r w:rsidRPr="00831050">
        <w:rPr>
          <w:rFonts w:ascii="Palatino Linotype" w:eastAsia="Palatino Linotype" w:hAnsi="Palatino Linotype" w:cs="Palatino Linotype"/>
          <w:i/>
          <w:color w:val="000000" w:themeColor="text1"/>
        </w:rPr>
        <w:t>” (Sic)</w:t>
      </w:r>
    </w:p>
    <w:p w:rsidR="0072148B" w:rsidRPr="001B05A4" w:rsidRDefault="0072148B" w:rsidP="00DC7019">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831050" w:rsidRDefault="00A077F4" w:rsidP="00831050">
      <w:pPr>
        <w:pStyle w:val="Prrafodelista"/>
        <w:numPr>
          <w:ilvl w:val="0"/>
          <w:numId w:val="42"/>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831050">
        <w:rPr>
          <w:rFonts w:ascii="Palatino Linotype" w:eastAsia="Palatino Linotype" w:hAnsi="Palatino Linotype" w:cs="Palatino Linotype"/>
          <w:b/>
          <w:color w:val="000000" w:themeColor="text1"/>
        </w:rPr>
        <w:t xml:space="preserve">Razones o Motivos de inconformidad: </w:t>
      </w:r>
      <w:r w:rsidRPr="00831050">
        <w:rPr>
          <w:rFonts w:ascii="Palatino Linotype" w:eastAsia="Palatino Linotype" w:hAnsi="Palatino Linotype" w:cs="Palatino Linotype"/>
          <w:i/>
          <w:color w:val="000000" w:themeColor="text1"/>
        </w:rPr>
        <w:t>“</w:t>
      </w:r>
      <w:r w:rsidR="00777FC2" w:rsidRPr="00831050">
        <w:rPr>
          <w:rFonts w:ascii="Palatino Linotype" w:eastAsia="Palatino Linotype" w:hAnsi="Palatino Linotype" w:cs="Palatino Linotype"/>
          <w:i/>
          <w:color w:val="000000" w:themeColor="text1"/>
        </w:rPr>
        <w:t>No es clara la información no es como se solicita</w:t>
      </w:r>
      <w:r w:rsidRPr="00831050">
        <w:rPr>
          <w:rFonts w:ascii="Palatino Linotype" w:eastAsia="Palatino Linotype" w:hAnsi="Palatino Linotype" w:cs="Palatino Linotype"/>
          <w:i/>
          <w:color w:val="000000" w:themeColor="text1"/>
        </w:rPr>
        <w:t xml:space="preserve">” </w:t>
      </w:r>
      <w:r w:rsidRPr="00831050">
        <w:rPr>
          <w:rFonts w:ascii="Palatino Linotype" w:eastAsia="Palatino Linotype" w:hAnsi="Palatino Linotype" w:cs="Palatino Linotype"/>
          <w:color w:val="000000" w:themeColor="text1"/>
        </w:rPr>
        <w:t>(Sic)</w:t>
      </w:r>
    </w:p>
    <w:p w:rsidR="0072148B" w:rsidRPr="001B05A4" w:rsidRDefault="0072148B" w:rsidP="00DC701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1B05A4" w:rsidRDefault="006C72E8" w:rsidP="00DC7019">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La Comisionada Ponente</w:t>
      </w:r>
      <w:r w:rsidR="00A077F4" w:rsidRPr="001B05A4">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Pr="001B05A4">
        <w:rPr>
          <w:rFonts w:ascii="Palatino Linotype" w:eastAsia="Palatino Linotype" w:hAnsi="Palatino Linotype" w:cs="Palatino Linotype"/>
          <w:color w:val="000000" w:themeColor="text1"/>
        </w:rPr>
        <w:t>del</w:t>
      </w:r>
      <w:r w:rsidR="00A077F4" w:rsidRPr="001B05A4">
        <w:rPr>
          <w:rFonts w:ascii="Palatino Linotype" w:eastAsia="Palatino Linotype" w:hAnsi="Palatino Linotype" w:cs="Palatino Linotype"/>
          <w:color w:val="000000" w:themeColor="text1"/>
        </w:rPr>
        <w:t xml:space="preserve"> </w:t>
      </w:r>
      <w:r w:rsidRPr="001B05A4">
        <w:rPr>
          <w:rFonts w:ascii="Palatino Linotype" w:eastAsia="Palatino Linotype" w:hAnsi="Palatino Linotype" w:cs="Palatino Linotype"/>
          <w:b/>
          <w:color w:val="000000" w:themeColor="text1"/>
        </w:rPr>
        <w:t>acuerdo</w:t>
      </w:r>
      <w:r w:rsidR="00A077F4" w:rsidRPr="001B05A4">
        <w:rPr>
          <w:rFonts w:ascii="Palatino Linotype" w:eastAsia="Palatino Linotype" w:hAnsi="Palatino Linotype" w:cs="Palatino Linotype"/>
          <w:b/>
          <w:color w:val="000000" w:themeColor="text1"/>
        </w:rPr>
        <w:t xml:space="preserve"> de admisión </w:t>
      </w:r>
      <w:r w:rsidRPr="001B05A4">
        <w:rPr>
          <w:rFonts w:ascii="Palatino Linotype" w:eastAsia="Palatino Linotype" w:hAnsi="Palatino Linotype" w:cs="Palatino Linotype"/>
          <w:color w:val="000000" w:themeColor="text1"/>
        </w:rPr>
        <w:t>de fecha</w:t>
      </w:r>
      <w:r w:rsidR="00A077F4" w:rsidRPr="001B05A4">
        <w:rPr>
          <w:rFonts w:ascii="Palatino Linotype" w:eastAsia="Palatino Linotype" w:hAnsi="Palatino Linotype" w:cs="Palatino Linotype"/>
          <w:color w:val="000000" w:themeColor="text1"/>
        </w:rPr>
        <w:t xml:space="preserve"> </w:t>
      </w:r>
      <w:r w:rsidR="00BB0B24" w:rsidRPr="001B05A4">
        <w:rPr>
          <w:rFonts w:ascii="Palatino Linotype" w:eastAsia="Palatino Linotype" w:hAnsi="Palatino Linotype" w:cs="Palatino Linotype"/>
          <w:b/>
          <w:color w:val="000000" w:themeColor="text1"/>
        </w:rPr>
        <w:t>cuatro de marzo</w:t>
      </w:r>
      <w:r w:rsidR="00A077F4" w:rsidRPr="001B05A4">
        <w:rPr>
          <w:rFonts w:ascii="Palatino Linotype" w:eastAsia="Palatino Linotype" w:hAnsi="Palatino Linotype" w:cs="Palatino Linotype"/>
          <w:b/>
          <w:color w:val="000000" w:themeColor="text1"/>
        </w:rPr>
        <w:t xml:space="preserve"> dos mil veinticinco, </w:t>
      </w:r>
      <w:r w:rsidRPr="001B05A4">
        <w:rPr>
          <w:rFonts w:ascii="Palatino Linotype" w:eastAsia="Palatino Linotype" w:hAnsi="Palatino Linotype" w:cs="Palatino Linotype"/>
          <w:color w:val="000000" w:themeColor="text1"/>
        </w:rPr>
        <w:t>puso</w:t>
      </w:r>
      <w:r w:rsidR="00A077F4" w:rsidRPr="001B05A4">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ofreciera pruebas y alegatos según corresponda al caso concreto, de esta forma para que el </w:t>
      </w:r>
      <w:r w:rsidR="00A077F4" w:rsidRPr="001B05A4">
        <w:rPr>
          <w:rFonts w:ascii="Palatino Linotype" w:eastAsia="Palatino Linotype" w:hAnsi="Palatino Linotype" w:cs="Palatino Linotype"/>
          <w:b/>
          <w:color w:val="000000" w:themeColor="text1"/>
        </w:rPr>
        <w:t xml:space="preserve">SUJETO OBLIGADO </w:t>
      </w:r>
      <w:r w:rsidR="00A077F4" w:rsidRPr="001B05A4">
        <w:rPr>
          <w:rFonts w:ascii="Palatino Linotype" w:eastAsia="Palatino Linotype" w:hAnsi="Palatino Linotype" w:cs="Palatino Linotype"/>
          <w:color w:val="000000" w:themeColor="text1"/>
        </w:rPr>
        <w:t>presentara el Informe Justificado procedente.</w:t>
      </w:r>
    </w:p>
    <w:p w:rsidR="004E0AFD" w:rsidRPr="001B05A4" w:rsidRDefault="004E0AFD" w:rsidP="00DC701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1B05A4" w:rsidRDefault="004E0AFD" w:rsidP="00DC701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El Recurrente</w:t>
      </w:r>
      <w:r w:rsidRPr="001B05A4">
        <w:rPr>
          <w:rFonts w:ascii="Palatino Linotype" w:eastAsia="Palatino Linotype" w:hAnsi="Palatino Linotype" w:cs="Palatino Linotype"/>
          <w:b/>
          <w:color w:val="000000" w:themeColor="text1"/>
        </w:rPr>
        <w:t xml:space="preserve"> </w:t>
      </w:r>
      <w:r w:rsidRPr="001B05A4">
        <w:rPr>
          <w:rFonts w:ascii="Palatino Linotype" w:eastAsia="Palatino Linotype" w:hAnsi="Palatino Linotype" w:cs="Palatino Linotype"/>
          <w:color w:val="000000" w:themeColor="text1"/>
        </w:rPr>
        <w:t>dejó de realizar manifestaciones que a su derecho conviniera y asistiera. Por su parte, el Sujeto Obligado,</w:t>
      </w:r>
      <w:r w:rsidRPr="001B05A4">
        <w:rPr>
          <w:rFonts w:ascii="Palatino Linotype" w:eastAsia="Palatino Linotype" w:hAnsi="Palatino Linotype" w:cs="Palatino Linotype"/>
          <w:b/>
          <w:color w:val="000000" w:themeColor="text1"/>
        </w:rPr>
        <w:t xml:space="preserve"> </w:t>
      </w:r>
      <w:r w:rsidRPr="001B05A4">
        <w:rPr>
          <w:rFonts w:ascii="Palatino Linotype" w:eastAsia="Palatino Linotype" w:hAnsi="Palatino Linotype" w:cs="Palatino Linotype"/>
          <w:color w:val="000000" w:themeColor="text1"/>
        </w:rPr>
        <w:t>el</w:t>
      </w:r>
      <w:r w:rsidRPr="001B05A4">
        <w:rPr>
          <w:rFonts w:ascii="Palatino Linotype" w:eastAsia="Palatino Linotype" w:hAnsi="Palatino Linotype" w:cs="Palatino Linotype"/>
          <w:b/>
          <w:color w:val="000000" w:themeColor="text1"/>
        </w:rPr>
        <w:t xml:space="preserve"> </w:t>
      </w:r>
      <w:r w:rsidR="00BB0B24" w:rsidRPr="001B05A4">
        <w:rPr>
          <w:rFonts w:ascii="Palatino Linotype" w:eastAsia="Palatino Linotype" w:hAnsi="Palatino Linotype" w:cs="Palatino Linotype"/>
          <w:b/>
          <w:color w:val="000000" w:themeColor="text1"/>
        </w:rPr>
        <w:t>trece</w:t>
      </w:r>
      <w:r w:rsidR="006D1845" w:rsidRPr="001B05A4">
        <w:rPr>
          <w:rFonts w:ascii="Palatino Linotype" w:eastAsia="Palatino Linotype" w:hAnsi="Palatino Linotype" w:cs="Palatino Linotype"/>
          <w:b/>
          <w:color w:val="000000" w:themeColor="text1"/>
        </w:rPr>
        <w:t xml:space="preserve"> de marzo</w:t>
      </w:r>
      <w:r w:rsidRPr="001B05A4">
        <w:rPr>
          <w:rFonts w:ascii="Palatino Linotype" w:eastAsia="Palatino Linotype" w:hAnsi="Palatino Linotype" w:cs="Palatino Linotype"/>
          <w:b/>
          <w:color w:val="000000" w:themeColor="text1"/>
        </w:rPr>
        <w:t xml:space="preserve"> de dos mil veinticinco </w:t>
      </w:r>
      <w:r w:rsidR="00F26E84" w:rsidRPr="001B05A4">
        <w:rPr>
          <w:rFonts w:ascii="Palatino Linotype" w:eastAsia="Palatino Linotype" w:hAnsi="Palatino Linotype" w:cs="Palatino Linotype"/>
          <w:color w:val="000000" w:themeColor="text1"/>
        </w:rPr>
        <w:t>presentó informe</w:t>
      </w:r>
      <w:r w:rsidR="00BB0B24" w:rsidRPr="001B05A4">
        <w:rPr>
          <w:rFonts w:ascii="Palatino Linotype" w:eastAsia="Palatino Linotype" w:hAnsi="Palatino Linotype" w:cs="Palatino Linotype"/>
          <w:color w:val="000000" w:themeColor="text1"/>
        </w:rPr>
        <w:t xml:space="preserve"> justificado</w:t>
      </w:r>
      <w:r w:rsidRPr="001B05A4">
        <w:rPr>
          <w:rFonts w:ascii="Palatino Linotype" w:eastAsia="Palatino Linotype" w:hAnsi="Palatino Linotype" w:cs="Palatino Linotype"/>
          <w:color w:val="000000" w:themeColor="text1"/>
        </w:rPr>
        <w:t xml:space="preserve"> a través de archivos digitales, cuyo contenido </w:t>
      </w:r>
      <w:r w:rsidRPr="001B05A4">
        <w:rPr>
          <w:rFonts w:ascii="Palatino Linotype" w:eastAsia="Palatino Linotype" w:hAnsi="Palatino Linotype" w:cs="Palatino Linotype"/>
          <w:color w:val="000000" w:themeColor="text1"/>
          <w:u w:val="single"/>
        </w:rPr>
        <w:t>esencial</w:t>
      </w:r>
      <w:r w:rsidRPr="001B05A4">
        <w:rPr>
          <w:rFonts w:ascii="Palatino Linotype" w:eastAsia="Palatino Linotype" w:hAnsi="Palatino Linotype" w:cs="Palatino Linotype"/>
          <w:color w:val="000000" w:themeColor="text1"/>
        </w:rPr>
        <w:t xml:space="preserve"> es el siguiente: </w:t>
      </w:r>
    </w:p>
    <w:p w:rsidR="004E0AFD" w:rsidRPr="001B05A4" w:rsidRDefault="004E0AFD" w:rsidP="00DC7019">
      <w:pPr>
        <w:pBdr>
          <w:top w:val="nil"/>
          <w:left w:val="nil"/>
          <w:bottom w:val="nil"/>
          <w:right w:val="nil"/>
          <w:between w:val="nil"/>
        </w:pBdr>
        <w:jc w:val="both"/>
        <w:rPr>
          <w:rFonts w:ascii="Palatino Linotype" w:eastAsia="Palatino Linotype" w:hAnsi="Palatino Linotype" w:cs="Palatino Linotype"/>
          <w:b/>
          <w:color w:val="000000" w:themeColor="text1"/>
        </w:rPr>
      </w:pPr>
    </w:p>
    <w:p w:rsidR="007F1CC8" w:rsidRPr="001B05A4" w:rsidRDefault="007F1CC8" w:rsidP="00DC7019">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1B05A4">
        <w:rPr>
          <w:rFonts w:ascii="Palatino Linotype" w:eastAsia="Palatino Linotype" w:hAnsi="Palatino Linotype" w:cs="Palatino Linotype"/>
          <w:b/>
          <w:i/>
          <w:color w:val="000000" w:themeColor="text1"/>
        </w:rPr>
        <w:lastRenderedPageBreak/>
        <w:tab/>
      </w:r>
      <w:r w:rsidR="00FE3CEA" w:rsidRPr="001B05A4">
        <w:rPr>
          <w:rFonts w:ascii="Palatino Linotype" w:eastAsia="Palatino Linotype" w:hAnsi="Palatino Linotype" w:cs="Palatino Linotype"/>
          <w:b/>
          <w:i/>
          <w:color w:val="000000" w:themeColor="text1"/>
        </w:rPr>
        <w:t>Informe Justificado 2148.pdf</w:t>
      </w:r>
    </w:p>
    <w:p w:rsidR="007F1CC8" w:rsidRPr="001B05A4" w:rsidRDefault="007F1CC8" w:rsidP="00DC7019">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 xml:space="preserve">Escrito de fecha </w:t>
      </w:r>
      <w:r w:rsidR="00FE3CEA" w:rsidRPr="001B05A4">
        <w:rPr>
          <w:rFonts w:ascii="Palatino Linotype" w:eastAsia="Palatino Linotype" w:hAnsi="Palatino Linotype" w:cs="Palatino Linotype"/>
          <w:color w:val="000000" w:themeColor="text1"/>
        </w:rPr>
        <w:t>13</w:t>
      </w:r>
      <w:r w:rsidRPr="001B05A4">
        <w:rPr>
          <w:rFonts w:ascii="Palatino Linotype" w:eastAsia="Palatino Linotype" w:hAnsi="Palatino Linotype" w:cs="Palatino Linotype"/>
          <w:color w:val="000000" w:themeColor="text1"/>
        </w:rPr>
        <w:t xml:space="preserve"> de marzo de 2025, firmado por el Titular de la Unidad de Transparencia en el que</w:t>
      </w:r>
      <w:r w:rsidR="00FE3CEA" w:rsidRPr="001B05A4">
        <w:rPr>
          <w:rFonts w:ascii="Palatino Linotype" w:eastAsia="Palatino Linotype" w:hAnsi="Palatino Linotype" w:cs="Palatino Linotype"/>
          <w:color w:val="000000" w:themeColor="text1"/>
        </w:rPr>
        <w:t xml:space="preserve"> ratifica su respuesta inicial.</w:t>
      </w:r>
    </w:p>
    <w:p w:rsidR="00451CF4" w:rsidRPr="001B05A4" w:rsidRDefault="00451CF4" w:rsidP="00DC701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84793" w:rsidRPr="001B05A4" w:rsidRDefault="00084793" w:rsidP="00DC701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1B05A4">
        <w:rPr>
          <w:rFonts w:ascii="Palatino Linotype" w:eastAsia="Palatino Linotype" w:hAnsi="Palatino Linotype" w:cs="Palatino Linotype"/>
          <w:color w:val="000000" w:themeColor="text1"/>
        </w:rPr>
        <w:t>En fecha</w:t>
      </w:r>
      <w:r w:rsidRPr="001B05A4">
        <w:rPr>
          <w:rFonts w:ascii="Palatino Linotype" w:eastAsia="Palatino Linotype" w:hAnsi="Palatino Linotype" w:cs="Palatino Linotype"/>
          <w:b/>
          <w:color w:val="000000" w:themeColor="text1"/>
        </w:rPr>
        <w:t xml:space="preserve"> veintiuno de abril de dos mil veinticinco</w:t>
      </w:r>
      <w:r w:rsidRPr="001B05A4">
        <w:rPr>
          <w:rFonts w:ascii="Palatino Linotype" w:eastAsia="Palatino Linotype" w:hAnsi="Palatino Linotype" w:cs="Palatino Linotype"/>
          <w:color w:val="000000" w:themeColor="text1"/>
        </w:rPr>
        <w:t>, se acordó ampliar el pazo para resolver el presente Recurso de Revisión.</w:t>
      </w:r>
    </w:p>
    <w:p w:rsidR="00084793" w:rsidRPr="001B05A4" w:rsidRDefault="00084793" w:rsidP="00DC701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1B05A4" w:rsidRDefault="00A077F4" w:rsidP="00DC701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B05A4">
        <w:rPr>
          <w:rFonts w:ascii="Palatino Linotype" w:eastAsia="Palatino Linotype" w:hAnsi="Palatino Linotype" w:cs="Palatino Linotype"/>
          <w:color w:val="000000" w:themeColor="text1"/>
        </w:rPr>
        <w:t xml:space="preserve">Seguidamente, en fecha </w:t>
      </w:r>
      <w:r w:rsidR="006E7A01" w:rsidRPr="001B05A4">
        <w:rPr>
          <w:rFonts w:ascii="Palatino Linotype" w:eastAsia="Palatino Linotype" w:hAnsi="Palatino Linotype" w:cs="Palatino Linotype"/>
          <w:b/>
          <w:color w:val="000000" w:themeColor="text1"/>
        </w:rPr>
        <w:t>diecisiete</w:t>
      </w:r>
      <w:r w:rsidR="00084793" w:rsidRPr="001B05A4">
        <w:rPr>
          <w:rFonts w:ascii="Palatino Linotype" w:eastAsia="Palatino Linotype" w:hAnsi="Palatino Linotype" w:cs="Palatino Linotype"/>
          <w:b/>
          <w:color w:val="000000" w:themeColor="text1"/>
        </w:rPr>
        <w:t xml:space="preserve"> de junio</w:t>
      </w:r>
      <w:r w:rsidRPr="001B05A4">
        <w:rPr>
          <w:rFonts w:ascii="Palatino Linotype" w:eastAsia="Palatino Linotype" w:hAnsi="Palatino Linotype" w:cs="Palatino Linotype"/>
          <w:b/>
          <w:color w:val="000000" w:themeColor="text1"/>
        </w:rPr>
        <w:t xml:space="preserve"> de dos mil veinticinco</w:t>
      </w:r>
      <w:r w:rsidRPr="001B05A4">
        <w:rPr>
          <w:rFonts w:ascii="Palatino Linotype" w:eastAsia="Palatino Linotype" w:hAnsi="Palatino Linotype" w:cs="Palatino Linotype"/>
          <w:color w:val="000000" w:themeColor="text1"/>
        </w:rPr>
        <w:t xml:space="preserve">, la Comisionada Ponente dictó el </w:t>
      </w:r>
      <w:r w:rsidRPr="001B05A4">
        <w:rPr>
          <w:rFonts w:ascii="Palatino Linotype" w:eastAsia="Palatino Linotype" w:hAnsi="Palatino Linotype" w:cs="Palatino Linotype"/>
          <w:b/>
          <w:color w:val="000000" w:themeColor="text1"/>
        </w:rPr>
        <w:t>cierre del periodo de instrucción</w:t>
      </w:r>
      <w:r w:rsidRPr="001B05A4">
        <w:rPr>
          <w:rFonts w:ascii="Palatino Linotype" w:eastAsia="Palatino Linotype" w:hAnsi="Palatino Linotype" w:cs="Palatino Linotype"/>
          <w:color w:val="000000" w:themeColor="text1"/>
        </w:rPr>
        <w:t xml:space="preserve"> y, ordenó la resolución que conforme a Derecho proceda, de acuerdo a las siguientes:</w:t>
      </w:r>
    </w:p>
    <w:p w:rsidR="0072148B" w:rsidRPr="001B05A4" w:rsidRDefault="0072148B" w:rsidP="00DC7019">
      <w:pPr>
        <w:pBdr>
          <w:top w:val="nil"/>
          <w:left w:val="nil"/>
          <w:bottom w:val="nil"/>
          <w:right w:val="nil"/>
          <w:between w:val="nil"/>
        </w:pBdr>
        <w:rPr>
          <w:rFonts w:ascii="Palatino Linotype" w:eastAsia="Palatino Linotype" w:hAnsi="Palatino Linotype" w:cs="Palatino Linotype"/>
          <w:b/>
          <w:color w:val="000000" w:themeColor="text1"/>
        </w:rPr>
      </w:pPr>
    </w:p>
    <w:p w:rsidR="0072148B" w:rsidRPr="001B05A4" w:rsidRDefault="00A077F4" w:rsidP="00DC7019">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B05A4">
        <w:rPr>
          <w:rFonts w:ascii="Palatino Linotype" w:eastAsia="Palatino Linotype" w:hAnsi="Palatino Linotype" w:cs="Palatino Linotype"/>
          <w:b/>
          <w:color w:val="000000" w:themeColor="text1"/>
        </w:rPr>
        <w:t>C O N S I D E R A C I O N E S</w:t>
      </w:r>
    </w:p>
    <w:p w:rsidR="0072148B" w:rsidRPr="001B05A4" w:rsidRDefault="0072148B" w:rsidP="00DC7019">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72148B" w:rsidRPr="001B05A4" w:rsidRDefault="00A077F4" w:rsidP="00DC7019">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1B05A4">
        <w:rPr>
          <w:rFonts w:ascii="Palatino Linotype" w:eastAsia="Palatino Linotype" w:hAnsi="Palatino Linotype" w:cs="Palatino Linotype"/>
          <w:b/>
          <w:color w:val="000000" w:themeColor="text1"/>
          <w:sz w:val="24"/>
          <w:szCs w:val="24"/>
        </w:rPr>
        <w:t>PRIMERA. Competencia</w:t>
      </w:r>
    </w:p>
    <w:p w:rsidR="0072148B" w:rsidRPr="001B05A4" w:rsidRDefault="00A077F4" w:rsidP="00DC701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56704" w:rsidRPr="001B05A4">
        <w:rPr>
          <w:rFonts w:ascii="Palatino Linotype" w:eastAsia="Palatino Linotype" w:hAnsi="Palatino Linotype" w:cs="Palatino Linotype"/>
          <w:color w:val="000000" w:themeColor="text1"/>
          <w:lang w:val="es-MX"/>
        </w:rPr>
        <w:t>párrafos trigésimo séptimo, trigésimo octavo y trigésimo noveno</w:t>
      </w:r>
      <w:r w:rsidR="00747BDB" w:rsidRPr="001B05A4">
        <w:rPr>
          <w:rFonts w:ascii="Palatino Linotype" w:eastAsia="Palatino Linotype" w:hAnsi="Palatino Linotype" w:cs="Palatino Linotype"/>
          <w:color w:val="000000" w:themeColor="text1"/>
          <w:lang w:val="es-MX"/>
        </w:rPr>
        <w:t>,</w:t>
      </w:r>
      <w:r w:rsidR="00C56704" w:rsidRPr="001B05A4">
        <w:rPr>
          <w:rFonts w:ascii="Palatino Linotype" w:eastAsia="Palatino Linotype" w:hAnsi="Palatino Linotype" w:cs="Palatino Linotype"/>
          <w:color w:val="000000" w:themeColor="text1"/>
          <w:lang w:val="es-MX"/>
        </w:rPr>
        <w:t xml:space="preserve"> fracciones IV y V</w:t>
      </w:r>
      <w:r w:rsidR="00747BDB" w:rsidRPr="001B05A4">
        <w:rPr>
          <w:rFonts w:ascii="Palatino Linotype" w:eastAsia="Palatino Linotype" w:hAnsi="Palatino Linotype" w:cs="Palatino Linotype"/>
          <w:color w:val="000000" w:themeColor="text1"/>
          <w:lang w:val="es-MX"/>
        </w:rPr>
        <w:t>,</w:t>
      </w:r>
      <w:r w:rsidR="00C56704" w:rsidRPr="001B05A4">
        <w:rPr>
          <w:rFonts w:ascii="Palatino Linotype" w:eastAsia="Palatino Linotype" w:hAnsi="Palatino Linotype" w:cs="Palatino Linotype"/>
          <w:color w:val="000000" w:themeColor="text1"/>
          <w:lang w:val="es-MX"/>
        </w:rPr>
        <w:t xml:space="preserve"> de la Constitución Política del Estado Libre y Soberano de México</w:t>
      </w:r>
      <w:r w:rsidRPr="001B05A4">
        <w:rPr>
          <w:rFonts w:ascii="Palatino Linotype" w:eastAsia="Palatino Linotype" w:hAnsi="Palatino Linotype" w:cs="Palatino Linotype"/>
          <w:color w:val="000000" w:themeColor="text1"/>
        </w:rPr>
        <w:t xml:space="preserve">;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w:t>
      </w:r>
      <w:r w:rsidRPr="001B05A4">
        <w:rPr>
          <w:rFonts w:ascii="Palatino Linotype" w:eastAsia="Palatino Linotype" w:hAnsi="Palatino Linotype" w:cs="Palatino Linotype"/>
          <w:color w:val="000000" w:themeColor="text1"/>
        </w:rPr>
        <w:lastRenderedPageBreak/>
        <w:t>Acceso a la Información Pública y Protección de Datos Personales del Estado de México y Municipios.</w:t>
      </w:r>
    </w:p>
    <w:p w:rsidR="0072148B" w:rsidRPr="001B05A4" w:rsidRDefault="0072148B" w:rsidP="00DC701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1B05A4" w:rsidRDefault="00A077F4" w:rsidP="00DC7019">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1B05A4">
        <w:rPr>
          <w:rFonts w:ascii="Palatino Linotype" w:eastAsia="Palatino Linotype" w:hAnsi="Palatino Linotype" w:cs="Palatino Linotype"/>
          <w:b/>
          <w:color w:val="000000" w:themeColor="text1"/>
          <w:sz w:val="24"/>
          <w:szCs w:val="24"/>
        </w:rPr>
        <w:t>SEGUNDA. Procedencia.</w:t>
      </w:r>
    </w:p>
    <w:p w:rsidR="0072148B" w:rsidRPr="001B05A4" w:rsidRDefault="00A077F4"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1B05A4" w:rsidRDefault="0072148B" w:rsidP="00DC7019">
      <w:pPr>
        <w:spacing w:line="360" w:lineRule="auto"/>
        <w:jc w:val="both"/>
        <w:rPr>
          <w:rFonts w:ascii="Palatino Linotype" w:eastAsia="Palatino Linotype" w:hAnsi="Palatino Linotype" w:cs="Palatino Linotype"/>
          <w:color w:val="000000" w:themeColor="text1"/>
        </w:rPr>
      </w:pPr>
    </w:p>
    <w:p w:rsidR="0072148B" w:rsidRPr="001B05A4" w:rsidRDefault="00A077F4"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Por otro lado, el escrito contiene las formalidades previstas por el artículo 180, último párrafo, de la citada Ley de la materia, por lo que es procedente que este Instituto conozca y resuelva el presente recurso.</w:t>
      </w:r>
    </w:p>
    <w:p w:rsidR="0072148B" w:rsidRPr="001B05A4" w:rsidRDefault="0072148B" w:rsidP="00DC701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B7A1B" w:rsidRPr="001B05A4" w:rsidRDefault="002B7A1B" w:rsidP="00DC7019">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1B05A4">
        <w:rPr>
          <w:rFonts w:ascii="Palatino Linotype" w:eastAsia="Palatino Linotype" w:hAnsi="Palatino Linotype" w:cs="Palatino Linotype"/>
          <w:b/>
          <w:color w:val="000000" w:themeColor="text1"/>
          <w:sz w:val="24"/>
          <w:szCs w:val="24"/>
        </w:rPr>
        <w:t>TERCERA. Descripción de hechos y planteamiento de la controversia.</w:t>
      </w:r>
    </w:p>
    <w:p w:rsidR="002B7A1B" w:rsidRPr="001B05A4" w:rsidRDefault="002B7A1B" w:rsidP="00DC701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Se solicitó tener acceso, a la información que a continuación se simplifica:</w:t>
      </w:r>
    </w:p>
    <w:p w:rsidR="002B7A1B" w:rsidRPr="001B05A4" w:rsidRDefault="002B7A1B" w:rsidP="00DC7019">
      <w:pPr>
        <w:pStyle w:val="Prrafodelista"/>
        <w:numPr>
          <w:ilvl w:val="0"/>
          <w:numId w:val="39"/>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con cuánto dinero recibieron la administración pública 2025.</w:t>
      </w:r>
    </w:p>
    <w:p w:rsidR="002B7A1B" w:rsidRPr="001B05A4" w:rsidRDefault="002B7A1B" w:rsidP="00DC7019">
      <w:pPr>
        <w:pStyle w:val="Prrafodelista"/>
        <w:ind w:left="0"/>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En respuesta, el Sujeto Obligado</w:t>
      </w:r>
      <w:r w:rsidRPr="001B05A4">
        <w:rPr>
          <w:rFonts w:ascii="Palatino Linotype" w:eastAsia="Palatino Linotype" w:hAnsi="Palatino Linotype" w:cs="Palatino Linotype"/>
          <w:b/>
          <w:color w:val="000000" w:themeColor="text1"/>
        </w:rPr>
        <w:t xml:space="preserve"> </w:t>
      </w:r>
      <w:r w:rsidRPr="001B05A4">
        <w:rPr>
          <w:rFonts w:ascii="Palatino Linotype" w:eastAsia="Palatino Linotype" w:hAnsi="Palatino Linotype" w:cs="Palatino Linotype"/>
          <w:color w:val="000000" w:themeColor="text1"/>
        </w:rPr>
        <w:t xml:space="preserve">remitió los archivos ya descritos en el anterior Párrafo 2, inconforme con las respuestas, se interpuso recurso de revisión argumentando sustancialmente </w:t>
      </w:r>
      <w:r w:rsidR="00895953" w:rsidRPr="001B05A4">
        <w:rPr>
          <w:rFonts w:ascii="Palatino Linotype" w:eastAsia="Palatino Linotype" w:hAnsi="Palatino Linotype" w:cs="Palatino Linotype"/>
          <w:color w:val="000000" w:themeColor="text1"/>
        </w:rPr>
        <w:t>que la información no corresponde con lo solicitado</w:t>
      </w:r>
      <w:r w:rsidRPr="001B05A4">
        <w:rPr>
          <w:rFonts w:ascii="Palatino Linotype" w:eastAsia="Palatino Linotype" w:hAnsi="Palatino Linotype" w:cs="Palatino Linotype"/>
          <w:color w:val="000000" w:themeColor="text1"/>
        </w:rPr>
        <w:t>.</w:t>
      </w:r>
    </w:p>
    <w:p w:rsidR="002B7A1B" w:rsidRPr="001B05A4" w:rsidRDefault="002B7A1B" w:rsidP="00DC7019">
      <w:pPr>
        <w:contextualSpacing/>
        <w:jc w:val="both"/>
        <w:rPr>
          <w:rFonts w:ascii="Palatino Linotype" w:eastAsia="Palatino Linotype" w:hAnsi="Palatino Linotype" w:cs="Palatino Linotype"/>
          <w:i/>
          <w:color w:val="000000" w:themeColor="text1"/>
        </w:rPr>
      </w:pPr>
    </w:p>
    <w:p w:rsidR="002B7A1B" w:rsidRPr="001B05A4" w:rsidRDefault="002B7A1B"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179, </w:t>
      </w:r>
      <w:r w:rsidR="00895953" w:rsidRPr="001B05A4">
        <w:rPr>
          <w:rFonts w:ascii="Palatino Linotype" w:eastAsia="Palatino Linotype" w:hAnsi="Palatino Linotype" w:cs="Palatino Linotype"/>
          <w:color w:val="000000" w:themeColor="text1"/>
        </w:rPr>
        <w:t>fracción</w:t>
      </w:r>
      <w:r w:rsidRPr="001B05A4">
        <w:rPr>
          <w:rFonts w:ascii="Palatino Linotype" w:eastAsia="Palatino Linotype" w:hAnsi="Palatino Linotype" w:cs="Palatino Linotype"/>
          <w:color w:val="000000" w:themeColor="text1"/>
        </w:rPr>
        <w:t xml:space="preserve"> </w:t>
      </w:r>
      <w:r w:rsidR="00895953" w:rsidRPr="001B05A4">
        <w:rPr>
          <w:rFonts w:ascii="Palatino Linotype" w:eastAsia="Palatino Linotype" w:hAnsi="Palatino Linotype" w:cs="Palatino Linotype"/>
          <w:color w:val="000000" w:themeColor="text1"/>
        </w:rPr>
        <w:t>VI</w:t>
      </w:r>
      <w:r w:rsidRPr="001B05A4">
        <w:rPr>
          <w:rFonts w:ascii="Palatino Linotype" w:eastAsia="Palatino Linotype" w:hAnsi="Palatino Linotype" w:cs="Palatino Linotype"/>
          <w:color w:val="000000" w:themeColor="text1"/>
        </w:rPr>
        <w:t>,</w:t>
      </w:r>
      <w:r w:rsidRPr="001B05A4">
        <w:rPr>
          <w:rFonts w:ascii="Palatino Linotype" w:eastAsia="Palatino Linotype" w:hAnsi="Palatino Linotype" w:cs="Palatino Linotype"/>
          <w:b/>
          <w:color w:val="000000" w:themeColor="text1"/>
        </w:rPr>
        <w:t xml:space="preserve"> </w:t>
      </w:r>
      <w:r w:rsidRPr="001B05A4">
        <w:rPr>
          <w:rFonts w:ascii="Palatino Linotype" w:eastAsia="Palatino Linotype" w:hAnsi="Palatino Linotype" w:cs="Palatino Linotype"/>
          <w:color w:val="000000" w:themeColor="text1"/>
        </w:rPr>
        <w:t xml:space="preserve">de la Ley de Transparencia y Acceso a la Información Pública del Estado </w:t>
      </w:r>
      <w:r w:rsidRPr="001B05A4">
        <w:rPr>
          <w:rFonts w:ascii="Palatino Linotype" w:eastAsia="Palatino Linotype" w:hAnsi="Palatino Linotype" w:cs="Palatino Linotype"/>
          <w:color w:val="000000" w:themeColor="text1"/>
        </w:rPr>
        <w:lastRenderedPageBreak/>
        <w:t>de</w:t>
      </w:r>
      <w:r w:rsidRPr="001B05A4">
        <w:rPr>
          <w:rFonts w:ascii="Palatino Linotype" w:eastAsia="Palatino Linotype" w:hAnsi="Palatino Linotype" w:cs="Palatino Linotype"/>
          <w:b/>
          <w:color w:val="000000" w:themeColor="text1"/>
        </w:rPr>
        <w:t xml:space="preserve"> </w:t>
      </w:r>
      <w:r w:rsidRPr="001B05A4">
        <w:rPr>
          <w:rFonts w:ascii="Palatino Linotype" w:eastAsia="Palatino Linotype" w:hAnsi="Palatino Linotype" w:cs="Palatino Linotype"/>
          <w:color w:val="000000" w:themeColor="text1"/>
        </w:rPr>
        <w:t>México</w:t>
      </w:r>
      <w:r w:rsidRPr="001B05A4">
        <w:rPr>
          <w:rFonts w:ascii="Palatino Linotype" w:eastAsia="Palatino Linotype" w:hAnsi="Palatino Linotype" w:cs="Palatino Linotype"/>
          <w:b/>
          <w:color w:val="000000" w:themeColor="text1"/>
        </w:rPr>
        <w:t xml:space="preserve"> </w:t>
      </w:r>
      <w:r w:rsidRPr="001B05A4">
        <w:rPr>
          <w:rFonts w:ascii="Palatino Linotype" w:eastAsia="Palatino Linotype" w:hAnsi="Palatino Linotype" w:cs="Palatino Linotype"/>
          <w:color w:val="000000" w:themeColor="text1"/>
        </w:rPr>
        <w:t>y</w:t>
      </w:r>
      <w:r w:rsidRPr="001B05A4">
        <w:rPr>
          <w:rFonts w:ascii="Palatino Linotype" w:eastAsia="Palatino Linotype" w:hAnsi="Palatino Linotype" w:cs="Palatino Linotype"/>
          <w:b/>
          <w:color w:val="000000" w:themeColor="text1"/>
        </w:rPr>
        <w:t xml:space="preserve"> </w:t>
      </w:r>
      <w:r w:rsidRPr="001B05A4">
        <w:rPr>
          <w:rFonts w:ascii="Palatino Linotype" w:eastAsia="Palatino Linotype" w:hAnsi="Palatino Linotype" w:cs="Palatino Linotype"/>
          <w:color w:val="000000" w:themeColor="text1"/>
        </w:rPr>
        <w:t xml:space="preserve">Municipios; </w:t>
      </w:r>
      <w:r w:rsidR="00895953" w:rsidRPr="001B05A4">
        <w:rPr>
          <w:rFonts w:ascii="Palatino Linotype" w:eastAsia="Palatino Linotype" w:hAnsi="Palatino Linotype" w:cs="Palatino Linotype"/>
          <w:color w:val="000000" w:themeColor="text1"/>
        </w:rPr>
        <w:t>fracción</w:t>
      </w:r>
      <w:r w:rsidRPr="001B05A4">
        <w:rPr>
          <w:rFonts w:ascii="Palatino Linotype" w:eastAsia="Palatino Linotype" w:hAnsi="Palatino Linotype" w:cs="Palatino Linotype"/>
          <w:color w:val="000000" w:themeColor="text1"/>
        </w:rPr>
        <w:t xml:space="preserve"> que determina la hipótesis relativa a la </w:t>
      </w:r>
      <w:r w:rsidR="00895953" w:rsidRPr="001B05A4">
        <w:rPr>
          <w:rFonts w:ascii="Palatino Linotype" w:eastAsia="Palatino Linotype" w:hAnsi="Palatino Linotype" w:cs="Palatino Linotype"/>
          <w:color w:val="000000" w:themeColor="text1"/>
        </w:rPr>
        <w:t>entrega de información que no corresponda con lo solicitado</w:t>
      </w:r>
      <w:r w:rsidRPr="001B05A4">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1B05A4">
        <w:rPr>
          <w:rFonts w:ascii="Palatino Linotype" w:eastAsia="Palatino Linotype" w:hAnsi="Palatino Linotype" w:cs="Palatino Linotype"/>
          <w:b/>
          <w:color w:val="000000" w:themeColor="text1"/>
        </w:rPr>
        <w:t xml:space="preserve"> </w:t>
      </w:r>
      <w:r w:rsidRPr="001B05A4">
        <w:rPr>
          <w:rFonts w:ascii="Palatino Linotype" w:eastAsia="Palatino Linotype" w:hAnsi="Palatino Linotype" w:cs="Palatino Linotype"/>
          <w:color w:val="000000" w:themeColor="text1"/>
        </w:rPr>
        <w:t xml:space="preserve">señalada. </w:t>
      </w:r>
    </w:p>
    <w:p w:rsidR="002B7A1B" w:rsidRPr="001B05A4" w:rsidRDefault="002B7A1B" w:rsidP="00DC7019">
      <w:pPr>
        <w:spacing w:line="360" w:lineRule="auto"/>
        <w:rPr>
          <w:rFonts w:ascii="Palatino Linotype" w:eastAsia="Palatino Linotype" w:hAnsi="Palatino Linotype" w:cs="Palatino Linotype"/>
          <w:color w:val="000000" w:themeColor="text1"/>
        </w:rPr>
      </w:pPr>
    </w:p>
    <w:p w:rsidR="002B7A1B" w:rsidRPr="001B05A4" w:rsidRDefault="002B7A1B" w:rsidP="00DC7019">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1B05A4">
        <w:rPr>
          <w:rFonts w:ascii="Palatino Linotype" w:eastAsia="Palatino Linotype" w:hAnsi="Palatino Linotype" w:cs="Palatino Linotype"/>
          <w:b/>
          <w:color w:val="000000" w:themeColor="text1"/>
          <w:sz w:val="24"/>
          <w:szCs w:val="24"/>
        </w:rPr>
        <w:t>CUARTA. Estudio de la controversia.</w:t>
      </w:r>
    </w:p>
    <w:p w:rsidR="002B7A1B" w:rsidRPr="001B05A4" w:rsidRDefault="002B7A1B"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B7A1B" w:rsidRPr="001B05A4" w:rsidRDefault="002B7A1B" w:rsidP="00DC7019">
      <w:pPr>
        <w:spacing w:line="360" w:lineRule="auto"/>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1B05A4" w:rsidRDefault="002B7A1B" w:rsidP="00DC701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2B7A1B" w:rsidRPr="001B05A4" w:rsidRDefault="002B7A1B" w:rsidP="00DC7019">
      <w:pPr>
        <w:jc w:val="both"/>
        <w:rPr>
          <w:rFonts w:ascii="Palatino Linotype" w:eastAsia="Palatino Linotype" w:hAnsi="Palatino Linotype" w:cs="Palatino Linotype"/>
          <w:color w:val="000000" w:themeColor="text1"/>
        </w:rPr>
      </w:pPr>
    </w:p>
    <w:p w:rsidR="002B7A1B" w:rsidRPr="001B05A4" w:rsidRDefault="002B7A1B" w:rsidP="00DC7019">
      <w:pPr>
        <w:numPr>
          <w:ilvl w:val="0"/>
          <w:numId w:val="9"/>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1B05A4">
        <w:rPr>
          <w:rFonts w:ascii="Palatino Linotype" w:eastAsia="Palatino Linotype" w:hAnsi="Palatino Linotype" w:cs="Palatino Linotype"/>
          <w:b/>
          <w:color w:val="000000" w:themeColor="text1"/>
        </w:rPr>
        <w:t>Del Sujeto Obligado.</w:t>
      </w:r>
    </w:p>
    <w:p w:rsidR="002B7A1B" w:rsidRPr="001B05A4" w:rsidRDefault="002B7A1B" w:rsidP="00DC7019">
      <w:pPr>
        <w:numPr>
          <w:ilvl w:val="0"/>
          <w:numId w:val="6"/>
        </w:numPr>
        <w:spacing w:line="360" w:lineRule="auto"/>
        <w:ind w:left="0" w:firstLine="0"/>
        <w:jc w:val="both"/>
        <w:rPr>
          <w:rFonts w:ascii="Palatino Linotype" w:hAnsi="Palatino Linotype"/>
          <w:color w:val="000000" w:themeColor="text1"/>
        </w:rPr>
      </w:pPr>
      <w:r w:rsidRPr="001B05A4">
        <w:rPr>
          <w:rFonts w:ascii="Palatino Linotype" w:eastAsia="Palatino Linotype" w:hAnsi="Palatino Linotype" w:cs="Palatino Linotype"/>
          <w:color w:val="000000" w:themeColor="text1"/>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dentro d</w:t>
      </w:r>
      <w:r w:rsidR="00895953" w:rsidRPr="001B05A4">
        <w:rPr>
          <w:rFonts w:ascii="Palatino Linotype" w:eastAsia="Palatino Linotype" w:hAnsi="Palatino Linotype" w:cs="Palatino Linotype"/>
          <w:color w:val="000000" w:themeColor="text1"/>
        </w:rPr>
        <w:t>e sus dependencias de encuentra</w:t>
      </w:r>
      <w:r w:rsidRPr="001B05A4">
        <w:rPr>
          <w:rFonts w:ascii="Palatino Linotype" w:eastAsia="Palatino Linotype" w:hAnsi="Palatino Linotype" w:cs="Palatino Linotype"/>
          <w:color w:val="000000" w:themeColor="text1"/>
        </w:rPr>
        <w:t xml:space="preserve"> la Tesorería Municipal, de conformidad con el ar</w:t>
      </w:r>
      <w:r w:rsidR="00895953" w:rsidRPr="001B05A4">
        <w:rPr>
          <w:rFonts w:ascii="Palatino Linotype" w:eastAsia="Palatino Linotype" w:hAnsi="Palatino Linotype" w:cs="Palatino Linotype"/>
          <w:color w:val="000000" w:themeColor="text1"/>
        </w:rPr>
        <w:t>tículo 90, fracción I, numeral</w:t>
      </w:r>
      <w:r w:rsidRPr="001B05A4">
        <w:rPr>
          <w:rFonts w:ascii="Palatino Linotype" w:eastAsia="Palatino Linotype" w:hAnsi="Palatino Linotype" w:cs="Palatino Linotype"/>
          <w:color w:val="000000" w:themeColor="text1"/>
        </w:rPr>
        <w:t xml:space="preserve"> 2, del Bando Municipal 2025:</w:t>
      </w:r>
    </w:p>
    <w:p w:rsidR="002B7A1B" w:rsidRPr="001B05A4" w:rsidRDefault="002B7A1B" w:rsidP="00DC7019">
      <w:pPr>
        <w:jc w:val="center"/>
        <w:rPr>
          <w:rFonts w:ascii="Palatino Linotype" w:eastAsia="Palatino Linotype" w:hAnsi="Palatino Linotype" w:cs="Palatino Linotype"/>
          <w:b/>
          <w:i/>
          <w:color w:val="000000" w:themeColor="text1"/>
        </w:rPr>
      </w:pPr>
      <w:r w:rsidRPr="001B05A4">
        <w:rPr>
          <w:rFonts w:ascii="Palatino Linotype" w:eastAsia="Palatino Linotype" w:hAnsi="Palatino Linotype" w:cs="Palatino Linotype"/>
          <w:b/>
          <w:i/>
          <w:color w:val="000000" w:themeColor="text1"/>
        </w:rPr>
        <w:t>Bando Municipal 2025</w:t>
      </w:r>
    </w:p>
    <w:p w:rsidR="002B7A1B" w:rsidRPr="001B05A4" w:rsidRDefault="002B7A1B" w:rsidP="00DC7019">
      <w:pPr>
        <w:jc w:val="center"/>
        <w:rPr>
          <w:rFonts w:ascii="Palatino Linotype" w:eastAsia="Palatino Linotype" w:hAnsi="Palatino Linotype" w:cs="Palatino Linotype"/>
          <w:b/>
          <w:i/>
          <w:color w:val="000000" w:themeColor="text1"/>
        </w:rPr>
      </w:pP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b/>
          <w:i/>
          <w:color w:val="000000" w:themeColor="text1"/>
        </w:rPr>
        <w:t xml:space="preserve">Artículo 90. </w:t>
      </w:r>
      <w:r w:rsidRPr="001B05A4">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2B7A1B" w:rsidRPr="001B05A4" w:rsidRDefault="002B7A1B" w:rsidP="00DC7019">
      <w:pPr>
        <w:jc w:val="both"/>
        <w:rPr>
          <w:rFonts w:ascii="Palatino Linotype" w:eastAsia="Palatino Linotype" w:hAnsi="Palatino Linotype" w:cs="Palatino Linotype"/>
          <w:i/>
          <w:color w:val="000000" w:themeColor="text1"/>
        </w:rPr>
      </w:pPr>
    </w:p>
    <w:p w:rsidR="002B7A1B" w:rsidRPr="001B05A4" w:rsidRDefault="002B7A1B" w:rsidP="00DC7019">
      <w:pPr>
        <w:jc w:val="both"/>
        <w:rPr>
          <w:rFonts w:ascii="Palatino Linotype" w:eastAsia="Palatino Linotype" w:hAnsi="Palatino Linotype" w:cs="Palatino Linotype"/>
          <w:b/>
          <w:i/>
          <w:color w:val="000000" w:themeColor="text1"/>
        </w:rPr>
      </w:pPr>
      <w:r w:rsidRPr="001B05A4">
        <w:rPr>
          <w:rFonts w:ascii="Palatino Linotype" w:eastAsia="Palatino Linotype" w:hAnsi="Palatino Linotype" w:cs="Palatino Linotype"/>
          <w:b/>
          <w:i/>
          <w:color w:val="000000" w:themeColor="text1"/>
        </w:rPr>
        <w:t xml:space="preserve">I. DEPENDENCIAS: </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 xml:space="preserve">1. Secretaría del Ayuntamiento; </w:t>
      </w:r>
    </w:p>
    <w:p w:rsidR="002B7A1B" w:rsidRPr="001B05A4" w:rsidRDefault="002B7A1B" w:rsidP="00DC7019">
      <w:pPr>
        <w:jc w:val="both"/>
        <w:rPr>
          <w:rFonts w:ascii="Palatino Linotype" w:eastAsia="Palatino Linotype" w:hAnsi="Palatino Linotype" w:cs="Palatino Linotype"/>
          <w:b/>
          <w:i/>
          <w:color w:val="000000" w:themeColor="text1"/>
        </w:rPr>
      </w:pPr>
      <w:r w:rsidRPr="001B05A4">
        <w:rPr>
          <w:rFonts w:ascii="Palatino Linotype" w:eastAsia="Palatino Linotype" w:hAnsi="Palatino Linotype" w:cs="Palatino Linotype"/>
          <w:b/>
          <w:i/>
          <w:color w:val="000000" w:themeColor="text1"/>
        </w:rPr>
        <w:lastRenderedPageBreak/>
        <w:t xml:space="preserve">2. Tesorería Municipal; </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 xml:space="preserve">3. Órgano Interno de Control; </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 xml:space="preserve">4. Dirección General de Gobierno; </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 xml:space="preserve">5. Dirección General de Seguridad y Protección; </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 xml:space="preserve">6. Dirección General de Administración; </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 xml:space="preserve">7. Dirección General de Medio Ambiente; </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 xml:space="preserve">8. Dirección General de Servicios Públicos; </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 xml:space="preserve">9. Dirección General de Innovación, Planeación y Gestión Urbana; </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 xml:space="preserve">10. Dirección General de Obras Públicas; </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 xml:space="preserve">11. Dirección General de Desarrollo Económico; </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 xml:space="preserve">12. Dirección General de Bienestar; y </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13. Dirección General de Educación, Cultura y Turismo.</w:t>
      </w:r>
    </w:p>
    <w:p w:rsidR="002B7A1B" w:rsidRPr="001B05A4" w:rsidRDefault="002B7A1B" w:rsidP="00DC7019">
      <w:pPr>
        <w:spacing w:line="360" w:lineRule="auto"/>
        <w:jc w:val="both"/>
        <w:rPr>
          <w:rFonts w:ascii="Palatino Linotype" w:hAnsi="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La Tesorería Municipal es la dependencia “responsable de la administración y control de los recursos financieros del municipio, asegurando el cumplimiento de las disposiciones fiscales y presupuestales. Sus funciones incluyen la recaudación, fiscalización y administración de ingresos municipales, así como la elaboración y supervisión de los informes financieros y la cuenta pública”, de conformidad con el artículo 92, fracción II, del Bando Municipal.</w:t>
      </w:r>
    </w:p>
    <w:p w:rsidR="002B7A1B" w:rsidRPr="001B05A4" w:rsidRDefault="002B7A1B" w:rsidP="00DC7019">
      <w:pPr>
        <w:spacing w:line="360" w:lineRule="auto"/>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hAnsi="Palatino Linotype"/>
          <w:color w:val="000000" w:themeColor="text1"/>
        </w:rPr>
      </w:pPr>
      <w:r w:rsidRPr="001B05A4">
        <w:rPr>
          <w:rFonts w:ascii="Palatino Linotype" w:eastAsia="Palatino Linotype" w:hAnsi="Palatino Linotype" w:cs="Palatino Linotype"/>
          <w:color w:val="000000" w:themeColor="text1"/>
        </w:rPr>
        <w:t>De lo expuesto es de precisar que la</w:t>
      </w:r>
      <w:r w:rsidR="00895953" w:rsidRPr="001B05A4">
        <w:rPr>
          <w:rFonts w:ascii="Palatino Linotype" w:eastAsia="Palatino Linotype" w:hAnsi="Palatino Linotype" w:cs="Palatino Linotype"/>
          <w:color w:val="000000" w:themeColor="text1"/>
        </w:rPr>
        <w:t xml:space="preserve"> respuesta</w:t>
      </w:r>
      <w:r w:rsidRPr="001B05A4">
        <w:rPr>
          <w:rFonts w:ascii="Palatino Linotype" w:eastAsia="Palatino Linotype" w:hAnsi="Palatino Linotype" w:cs="Palatino Linotype"/>
          <w:color w:val="000000" w:themeColor="text1"/>
        </w:rPr>
        <w:t xml:space="preserve"> </w:t>
      </w:r>
      <w:r w:rsidR="00895953" w:rsidRPr="001B05A4">
        <w:rPr>
          <w:rFonts w:ascii="Palatino Linotype" w:eastAsia="Palatino Linotype" w:hAnsi="Palatino Linotype" w:cs="Palatino Linotype"/>
          <w:color w:val="000000" w:themeColor="text1"/>
        </w:rPr>
        <w:t>fue emitida</w:t>
      </w:r>
      <w:r w:rsidRPr="001B05A4">
        <w:rPr>
          <w:rFonts w:ascii="Palatino Linotype" w:eastAsia="Palatino Linotype" w:hAnsi="Palatino Linotype" w:cs="Palatino Linotype"/>
          <w:color w:val="000000" w:themeColor="text1"/>
        </w:rPr>
        <w:t xml:space="preserve"> por la unidad administrativa competente, a través </w:t>
      </w:r>
      <w:r w:rsidR="00895953" w:rsidRPr="001B05A4">
        <w:rPr>
          <w:rFonts w:ascii="Palatino Linotype" w:eastAsia="Palatino Linotype" w:hAnsi="Palatino Linotype" w:cs="Palatino Linotype"/>
          <w:color w:val="000000" w:themeColor="text1"/>
        </w:rPr>
        <w:t>del</w:t>
      </w:r>
      <w:r w:rsidRPr="001B05A4">
        <w:rPr>
          <w:rFonts w:ascii="Palatino Linotype" w:eastAsia="Palatino Linotype" w:hAnsi="Palatino Linotype" w:cs="Palatino Linotype"/>
          <w:color w:val="000000" w:themeColor="text1"/>
        </w:rPr>
        <w:t xml:space="preserve"> Servidor Público Habilitado de la </w:t>
      </w:r>
      <w:r w:rsidR="00895953" w:rsidRPr="001B05A4">
        <w:rPr>
          <w:rFonts w:ascii="Palatino Linotype" w:eastAsia="Palatino Linotype" w:hAnsi="Palatino Linotype" w:cs="Palatino Linotype"/>
          <w:color w:val="000000" w:themeColor="text1"/>
        </w:rPr>
        <w:t xml:space="preserve">Tesorería Municipal, </w:t>
      </w:r>
      <w:r w:rsidRPr="001B05A4">
        <w:rPr>
          <w:rFonts w:ascii="Palatino Linotype" w:eastAsia="Palatino Linotype" w:hAnsi="Palatino Linotype" w:cs="Palatino Linotype"/>
          <w:color w:val="000000" w:themeColor="text1"/>
        </w:rPr>
        <w:t xml:space="preserve">por lo que podemos advertir que </w:t>
      </w:r>
      <w:r w:rsidRPr="001B05A4">
        <w:rPr>
          <w:rFonts w:ascii="Palatino Linotype" w:eastAsia="Palatino Linotype" w:hAnsi="Palatino Linotype" w:cs="Palatino Linotype"/>
          <w:b/>
          <w:color w:val="000000" w:themeColor="text1"/>
        </w:rPr>
        <w:t xml:space="preserve">EL SUJETO OBLIGADO </w:t>
      </w:r>
      <w:r w:rsidRPr="001B05A4">
        <w:rPr>
          <w:rFonts w:ascii="Palatino Linotype" w:eastAsia="Palatino Linotype" w:hAnsi="Palatino Linotype" w:cs="Palatino Linotype"/>
          <w:color w:val="000000" w:themeColor="text1"/>
        </w:rPr>
        <w:t xml:space="preserve">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w:t>
      </w:r>
      <w:r w:rsidRPr="001B05A4">
        <w:rPr>
          <w:rFonts w:ascii="Palatino Linotype" w:eastAsia="Palatino Linotype" w:hAnsi="Palatino Linotype" w:cs="Palatino Linotype"/>
          <w:color w:val="000000" w:themeColor="text1"/>
        </w:rPr>
        <w:lastRenderedPageBreak/>
        <w:t>la información de conformidad con la fracción XXXIX del artículo tercero de la legislación local vigente en materia de transparencia:</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b/>
          <w:i/>
          <w:color w:val="000000" w:themeColor="text1"/>
        </w:rPr>
        <w:t>XXXIX.</w:t>
      </w:r>
      <w:r w:rsidRPr="001B05A4">
        <w:rPr>
          <w:rFonts w:ascii="Palatino Linotype" w:eastAsia="Palatino Linotype" w:hAnsi="Palatino Linotype" w:cs="Palatino Linotype"/>
          <w:i/>
          <w:color w:val="000000" w:themeColor="text1"/>
        </w:rPr>
        <w:t xml:space="preserve"> </w:t>
      </w:r>
      <w:r w:rsidRPr="001B05A4">
        <w:rPr>
          <w:rFonts w:ascii="Palatino Linotype" w:eastAsia="Palatino Linotype" w:hAnsi="Palatino Linotype" w:cs="Palatino Linotype"/>
          <w:b/>
          <w:i/>
          <w:color w:val="000000" w:themeColor="text1"/>
        </w:rPr>
        <w:t>Servidor público habilitado</w:t>
      </w:r>
      <w:r w:rsidRPr="001B05A4">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2B7A1B" w:rsidRPr="001B05A4" w:rsidRDefault="002B7A1B" w:rsidP="00DC7019">
      <w:pPr>
        <w:spacing w:line="360" w:lineRule="auto"/>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hAnsi="Palatino Linotype"/>
          <w:color w:val="000000" w:themeColor="text1"/>
        </w:rPr>
      </w:pPr>
      <w:r w:rsidRPr="001B05A4">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w:t>
      </w:r>
      <w:r w:rsidRPr="001B05A4">
        <w:rPr>
          <w:rFonts w:ascii="Palatino Linotype" w:eastAsia="Palatino Linotype" w:hAnsi="Palatino Linotype" w:cs="Palatino Linotype"/>
          <w:b/>
          <w:i/>
          <w:color w:val="000000" w:themeColor="text1"/>
        </w:rPr>
        <w:t>Artículo 162.</w:t>
      </w:r>
      <w:r w:rsidRPr="001B05A4">
        <w:rPr>
          <w:rFonts w:ascii="Palatino Linotype" w:eastAsia="Palatino Linotype" w:hAnsi="Palatino Linotype" w:cs="Palatino Linotype"/>
          <w:i/>
          <w:color w:val="000000" w:themeColor="text1"/>
        </w:rPr>
        <w:t xml:space="preserve"> Las unidades de transparencia deberán garantizar que las solicitudes se turnen a </w:t>
      </w:r>
      <w:r w:rsidRPr="001B05A4">
        <w:rPr>
          <w:rFonts w:ascii="Palatino Linotype" w:eastAsia="Palatino Linotype" w:hAnsi="Palatino Linotype" w:cs="Palatino Linotype"/>
          <w:b/>
          <w:i/>
          <w:color w:val="000000" w:themeColor="text1"/>
        </w:rPr>
        <w:t>todas las Áreas competentes</w:t>
      </w:r>
      <w:r w:rsidRPr="001B05A4">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2B7A1B" w:rsidRPr="001B05A4" w:rsidRDefault="002B7A1B" w:rsidP="00DC7019">
      <w:pPr>
        <w:spacing w:line="360" w:lineRule="auto"/>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hAnsi="Palatino Linotype"/>
          <w:color w:val="000000" w:themeColor="text1"/>
        </w:rPr>
      </w:pPr>
      <w:r w:rsidRPr="001B05A4">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w:t>
      </w:r>
      <w:r w:rsidRPr="001B05A4">
        <w:rPr>
          <w:rFonts w:ascii="Palatino Linotype" w:eastAsia="Palatino Linotype" w:hAnsi="Palatino Linotype" w:cs="Palatino Linotype"/>
          <w:b/>
          <w:i/>
          <w:color w:val="000000" w:themeColor="text1"/>
        </w:rPr>
        <w:t xml:space="preserve">Artículo 3. </w:t>
      </w:r>
      <w:r w:rsidRPr="001B05A4">
        <w:rPr>
          <w:rFonts w:ascii="Palatino Linotype" w:eastAsia="Palatino Linotype" w:hAnsi="Palatino Linotype" w:cs="Palatino Linotype"/>
          <w:i/>
          <w:color w:val="000000" w:themeColor="text1"/>
        </w:rPr>
        <w:t>Para los efectos de la presente Ley se entenderá por:</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b/>
          <w:i/>
          <w:color w:val="000000" w:themeColor="text1"/>
        </w:rPr>
        <w:lastRenderedPageBreak/>
        <w:t>XI. Documento:</w:t>
      </w:r>
      <w:r w:rsidRPr="001B05A4">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B7A1B" w:rsidRPr="001B05A4" w:rsidRDefault="002B7A1B" w:rsidP="00DC7019">
      <w:pPr>
        <w:spacing w:line="360" w:lineRule="auto"/>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w:t>
      </w:r>
    </w:p>
    <w:p w:rsidR="002B7A1B" w:rsidRPr="001B05A4" w:rsidRDefault="002B7A1B" w:rsidP="00DC7019">
      <w:pPr>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hAnsi="Palatino Linotype"/>
          <w:color w:val="000000" w:themeColor="text1"/>
        </w:rPr>
      </w:pPr>
      <w:r w:rsidRPr="001B05A4">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B7A1B" w:rsidRPr="001B05A4" w:rsidRDefault="002B7A1B" w:rsidP="00DC7019">
      <w:pPr>
        <w:jc w:val="both"/>
        <w:rPr>
          <w:rFonts w:ascii="Palatino Linotype" w:eastAsia="Palatino Linotype" w:hAnsi="Palatino Linotype" w:cs="Palatino Linotype"/>
          <w:b/>
          <w:i/>
          <w:color w:val="000000" w:themeColor="text1"/>
        </w:rPr>
      </w:pPr>
      <w:r w:rsidRPr="001B05A4">
        <w:rPr>
          <w:rFonts w:ascii="Palatino Linotype" w:eastAsia="Palatino Linotype" w:hAnsi="Palatino Linotype" w:cs="Palatino Linotype"/>
          <w:b/>
          <w:color w:val="000000" w:themeColor="text1"/>
        </w:rPr>
        <w:t>“</w:t>
      </w:r>
      <w:r w:rsidRPr="001B05A4">
        <w:rPr>
          <w:rFonts w:ascii="Palatino Linotype" w:eastAsia="Palatino Linotype" w:hAnsi="Palatino Linotype" w:cs="Palatino Linotype"/>
          <w:b/>
          <w:i/>
          <w:color w:val="000000" w:themeColor="text1"/>
        </w:rPr>
        <w:t>CRITERIO 0002-11</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1B05A4">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2B7A1B" w:rsidRPr="001B05A4" w:rsidRDefault="002B7A1B" w:rsidP="00DC7019">
      <w:pPr>
        <w:jc w:val="both"/>
        <w:rPr>
          <w:rFonts w:ascii="Palatino Linotype" w:eastAsia="Palatino Linotype" w:hAnsi="Palatino Linotype" w:cs="Palatino Linotype"/>
          <w:b/>
          <w:i/>
          <w:color w:val="000000" w:themeColor="text1"/>
        </w:rPr>
      </w:pPr>
      <w:r w:rsidRPr="001B05A4">
        <w:rPr>
          <w:rFonts w:ascii="Palatino Linotype" w:eastAsia="Palatino Linotype" w:hAnsi="Palatino Linotype" w:cs="Palatino Linotype"/>
          <w:b/>
          <w:i/>
          <w:color w:val="000000" w:themeColor="text1"/>
        </w:rPr>
        <w:t xml:space="preserve">1) </w:t>
      </w:r>
      <w:r w:rsidRPr="001B05A4">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2B7A1B" w:rsidRPr="001B05A4" w:rsidRDefault="002B7A1B" w:rsidP="00DC7019">
      <w:pPr>
        <w:tabs>
          <w:tab w:val="left" w:pos="851"/>
        </w:tabs>
        <w:spacing w:line="360" w:lineRule="auto"/>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(Énfasis Añadido)</w:t>
      </w:r>
    </w:p>
    <w:p w:rsidR="002B7A1B" w:rsidRPr="001B05A4" w:rsidRDefault="002B7A1B" w:rsidP="00DC7019">
      <w:pPr>
        <w:pBdr>
          <w:top w:val="nil"/>
          <w:left w:val="nil"/>
          <w:bottom w:val="nil"/>
          <w:right w:val="nil"/>
          <w:between w:val="nil"/>
        </w:pBdr>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hAnsi="Palatino Linotype"/>
          <w:color w:val="000000" w:themeColor="text1"/>
        </w:rPr>
      </w:pPr>
      <w:r w:rsidRPr="001B05A4">
        <w:rPr>
          <w:rFonts w:ascii="Palatino Linotype" w:eastAsia="Palatino Linotype" w:hAnsi="Palatino Linotype" w:cs="Palatino Linotype"/>
          <w:color w:val="000000" w:themeColor="text1"/>
        </w:rPr>
        <w:lastRenderedPageBreak/>
        <w:t>Por su parte los artículos 160 y 166, de la Ley local en la materia, que se reproduce de la siguiente forma:</w:t>
      </w: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w:t>
      </w:r>
      <w:r w:rsidRPr="001B05A4">
        <w:rPr>
          <w:rFonts w:ascii="Palatino Linotype" w:eastAsia="Palatino Linotype" w:hAnsi="Palatino Linotype" w:cs="Palatino Linotype"/>
          <w:b/>
          <w:i/>
          <w:color w:val="000000" w:themeColor="text1"/>
        </w:rPr>
        <w:t>Artículo 160.</w:t>
      </w:r>
      <w:r w:rsidRPr="001B05A4">
        <w:rPr>
          <w:rFonts w:ascii="Palatino Linotype" w:eastAsia="Palatino Linotype" w:hAnsi="Palatino Linotype" w:cs="Palatino Linotype"/>
          <w:i/>
          <w:color w:val="000000" w:themeColor="text1"/>
        </w:rPr>
        <w:t xml:space="preserve"> </w:t>
      </w:r>
      <w:r w:rsidRPr="001B05A4">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1B05A4">
        <w:rPr>
          <w:rFonts w:ascii="Palatino Linotype" w:eastAsia="Palatino Linotype" w:hAnsi="Palatino Linotype" w:cs="Palatino Linotype"/>
          <w:i/>
          <w:color w:val="000000" w:themeColor="text1"/>
        </w:rPr>
        <w:t>.</w:t>
      </w:r>
    </w:p>
    <w:p w:rsidR="002B7A1B" w:rsidRPr="001B05A4" w:rsidRDefault="002B7A1B" w:rsidP="00DC7019">
      <w:pPr>
        <w:jc w:val="both"/>
        <w:rPr>
          <w:rFonts w:ascii="Palatino Linotype" w:eastAsia="Palatino Linotype" w:hAnsi="Palatino Linotype" w:cs="Palatino Linotype"/>
          <w:i/>
          <w:color w:val="000000" w:themeColor="text1"/>
        </w:rPr>
      </w:pPr>
    </w:p>
    <w:p w:rsidR="002B7A1B" w:rsidRPr="001B05A4" w:rsidRDefault="002B7A1B" w:rsidP="00DC7019">
      <w:pP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2B7A1B" w:rsidRPr="001B05A4" w:rsidRDefault="002B7A1B" w:rsidP="00DC7019">
      <w:pPr>
        <w:jc w:val="both"/>
        <w:rPr>
          <w:rFonts w:ascii="Palatino Linotype" w:eastAsia="Palatino Linotype" w:hAnsi="Palatino Linotype" w:cs="Palatino Linotype"/>
          <w:i/>
          <w:color w:val="000000" w:themeColor="text1"/>
          <w:u w:val="single"/>
        </w:rPr>
      </w:pPr>
      <w:r w:rsidRPr="001B05A4">
        <w:rPr>
          <w:rFonts w:ascii="Palatino Linotype" w:eastAsia="Palatino Linotype" w:hAnsi="Palatino Linotype" w:cs="Palatino Linotype"/>
          <w:b/>
          <w:i/>
          <w:color w:val="000000" w:themeColor="text1"/>
        </w:rPr>
        <w:t>Artículo 166.</w:t>
      </w:r>
      <w:r w:rsidRPr="001B05A4">
        <w:rPr>
          <w:rFonts w:ascii="Palatino Linotype" w:eastAsia="Palatino Linotype" w:hAnsi="Palatino Linotype" w:cs="Palatino Linotype"/>
          <w:i/>
          <w:color w:val="000000" w:themeColor="text1"/>
        </w:rPr>
        <w:t xml:space="preserve"> </w:t>
      </w:r>
      <w:r w:rsidRPr="001B05A4">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2B7A1B" w:rsidRPr="001B05A4" w:rsidRDefault="002B7A1B" w:rsidP="00DC7019">
      <w:pPr>
        <w:spacing w:line="360" w:lineRule="auto"/>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(Énfasis añadido)</w:t>
      </w:r>
    </w:p>
    <w:p w:rsidR="002B7A1B" w:rsidRPr="001B05A4" w:rsidRDefault="002B7A1B" w:rsidP="00DC7019">
      <w:pPr>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hAnsi="Palatino Linotype"/>
          <w:color w:val="000000" w:themeColor="text1"/>
        </w:rPr>
      </w:pPr>
      <w:r w:rsidRPr="001B05A4">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2B7A1B" w:rsidRPr="001B05A4" w:rsidRDefault="002B7A1B" w:rsidP="00DC7019">
      <w:pPr>
        <w:spacing w:line="360" w:lineRule="auto"/>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eastAsia="Palatino Linotype" w:hAnsi="Palatino Linotype" w:cs="Palatino Linotype"/>
          <w:i/>
          <w:color w:val="000000" w:themeColor="text1"/>
          <w:u w:val="single"/>
        </w:rPr>
      </w:pPr>
      <w:r w:rsidRPr="001B05A4">
        <w:rPr>
          <w:rFonts w:ascii="Palatino Linotype" w:eastAsia="Palatino Linotype" w:hAnsi="Palatino Linotype" w:cs="Palatino Linotype"/>
          <w:color w:val="000000" w:themeColor="text1"/>
        </w:rPr>
        <w:t xml:space="preserve">Ahora bien, </w:t>
      </w:r>
      <w:r w:rsidR="00106553" w:rsidRPr="001B05A4">
        <w:rPr>
          <w:rFonts w:ascii="Palatino Linotype" w:eastAsia="Palatino Linotype" w:hAnsi="Palatino Linotype" w:cs="Palatino Linotype"/>
          <w:color w:val="000000" w:themeColor="text1"/>
        </w:rPr>
        <w:t xml:space="preserve">el requerimiento de información se basó en la obtención del documento que acredite </w:t>
      </w:r>
      <w:r w:rsidR="00106553" w:rsidRPr="001B05A4">
        <w:rPr>
          <w:rFonts w:ascii="Palatino Linotype" w:eastAsia="Palatino Linotype" w:hAnsi="Palatino Linotype" w:cs="Palatino Linotype"/>
          <w:i/>
          <w:color w:val="000000" w:themeColor="text1"/>
        </w:rPr>
        <w:t>con cuánto dinero se recibió la administración pública 2025</w:t>
      </w:r>
      <w:r w:rsidR="00106553" w:rsidRPr="001B05A4">
        <w:rPr>
          <w:rFonts w:ascii="Palatino Linotype" w:eastAsia="Palatino Linotype" w:hAnsi="Palatino Linotype" w:cs="Palatino Linotype"/>
          <w:color w:val="000000" w:themeColor="text1"/>
        </w:rPr>
        <w:t>,</w:t>
      </w:r>
      <w:r w:rsidRPr="001B05A4">
        <w:rPr>
          <w:rFonts w:ascii="Palatino Linotype" w:eastAsia="Palatino Linotype" w:hAnsi="Palatino Linotype" w:cs="Palatino Linotype"/>
          <w:color w:val="000000" w:themeColor="text1"/>
        </w:rPr>
        <w:t xml:space="preserve"> el Sujeto Obligado emitió respuesta a través de la </w:t>
      </w:r>
      <w:r w:rsidRPr="001B05A4">
        <w:rPr>
          <w:rFonts w:ascii="Palatino Linotype" w:eastAsia="Palatino Linotype" w:hAnsi="Palatino Linotype" w:cs="Palatino Linotype"/>
          <w:b/>
          <w:color w:val="000000" w:themeColor="text1"/>
        </w:rPr>
        <w:t>Tesorería Municipal</w:t>
      </w:r>
      <w:r w:rsidRPr="001B05A4">
        <w:rPr>
          <w:rFonts w:ascii="Palatino Linotype" w:eastAsia="Palatino Linotype" w:hAnsi="Palatino Linotype" w:cs="Palatino Linotype"/>
          <w:color w:val="000000" w:themeColor="text1"/>
        </w:rPr>
        <w:t xml:space="preserve"> </w:t>
      </w:r>
      <w:r w:rsidR="00106553" w:rsidRPr="001B05A4">
        <w:rPr>
          <w:rFonts w:ascii="Palatino Linotype" w:eastAsia="Palatino Linotype" w:hAnsi="Palatino Linotype" w:cs="Palatino Linotype"/>
          <w:color w:val="000000" w:themeColor="text1"/>
        </w:rPr>
        <w:t>refiriendo</w:t>
      </w:r>
      <w:r w:rsidRPr="001B05A4">
        <w:rPr>
          <w:rFonts w:ascii="Palatino Linotype" w:eastAsia="Palatino Linotype" w:hAnsi="Palatino Linotype" w:cs="Palatino Linotype"/>
          <w:color w:val="000000" w:themeColor="text1"/>
        </w:rPr>
        <w:t xml:space="preserve"> </w:t>
      </w:r>
      <w:r w:rsidR="00106553" w:rsidRPr="001B05A4">
        <w:rPr>
          <w:rFonts w:ascii="Palatino Linotype" w:eastAsia="Palatino Linotype" w:hAnsi="Palatino Linotype" w:cs="Palatino Linotype"/>
          <w:color w:val="000000" w:themeColor="text1"/>
        </w:rPr>
        <w:t>que “la información solicitada se encuentra en proceso de integración”, remitiendo además</w:t>
      </w:r>
      <w:r w:rsidRPr="001B05A4">
        <w:rPr>
          <w:rFonts w:ascii="Palatino Linotype" w:eastAsia="Palatino Linotype" w:hAnsi="Palatino Linotype" w:cs="Palatino Linotype"/>
          <w:color w:val="000000" w:themeColor="text1"/>
        </w:rPr>
        <w:t xml:space="preserve"> el “Estado de Situación Financiera</w:t>
      </w:r>
      <w:r w:rsidR="00106553" w:rsidRPr="001B05A4">
        <w:rPr>
          <w:rFonts w:ascii="Palatino Linotype" w:eastAsia="Palatino Linotype" w:hAnsi="Palatino Linotype" w:cs="Palatino Linotype"/>
          <w:color w:val="000000" w:themeColor="text1"/>
        </w:rPr>
        <w:t>” al mes de septiembre de 2024</w:t>
      </w:r>
      <w:r w:rsidRPr="001B05A4">
        <w:rPr>
          <w:rFonts w:ascii="Palatino Linotype" w:eastAsia="Palatino Linotype" w:hAnsi="Palatino Linotype" w:cs="Palatino Linotype"/>
          <w:color w:val="000000" w:themeColor="text1"/>
        </w:rPr>
        <w:t>, en informe justificado el Sujeto Obligado ratificó su respuesta.</w:t>
      </w:r>
    </w:p>
    <w:p w:rsidR="002B7A1B" w:rsidRPr="001B05A4" w:rsidRDefault="002B7A1B" w:rsidP="00DC701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lastRenderedPageBreak/>
        <w:t xml:space="preserve">En ese sentido, resulta importante mencionar lo que establece el Manual Único de Contabilidad Gubernamental para las Dependencias y Entidades Públicas del Gobierno y Municipios del Estado de México 2024, precisa que los Estados Financieros muestran los hechos con incidencia económica-financiera que ha realizado un ente público durante un periodo determinado y son necesarios para mostrar los resultados del ejercicio presupuestal, así como la situación patrimonial de los mismos. </w:t>
      </w:r>
    </w:p>
    <w:p w:rsidR="002B7A1B" w:rsidRPr="001B05A4" w:rsidRDefault="002B7A1B" w:rsidP="00DC701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 xml:space="preserve">El objetivo general de los estados financieros, es proporcionar información sobre la situación financiera, los resultados de la gestión, los flujos de efectivo y el ejercicio de la Ley de Ingresos y del Presupuesto de Egresos, así como de la postura fiscal de los entes públicos. </w:t>
      </w:r>
    </w:p>
    <w:p w:rsidR="002B7A1B" w:rsidRPr="001B05A4" w:rsidRDefault="002B7A1B" w:rsidP="00DC701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 xml:space="preserve">Asimismo, como </w:t>
      </w:r>
      <w:r w:rsidRPr="001B05A4">
        <w:rPr>
          <w:rFonts w:ascii="Palatino Linotype" w:eastAsia="Palatino Linotype" w:hAnsi="Palatino Linotype" w:cs="Palatino Linotype"/>
          <w:b/>
          <w:color w:val="000000" w:themeColor="text1"/>
        </w:rPr>
        <w:t>información financiera</w:t>
      </w:r>
      <w:r w:rsidRPr="001B05A4">
        <w:rPr>
          <w:rFonts w:ascii="Palatino Linotype" w:eastAsia="Palatino Linotype" w:hAnsi="Palatino Linotype" w:cs="Palatino Linotype"/>
          <w:color w:val="000000" w:themeColor="text1"/>
        </w:rPr>
        <w:t xml:space="preserve"> se considera la contable y presupuestaria y se presentará en </w:t>
      </w:r>
      <w:r w:rsidRPr="001B05A4">
        <w:rPr>
          <w:rFonts w:ascii="Palatino Linotype" w:eastAsia="Palatino Linotype" w:hAnsi="Palatino Linotype" w:cs="Palatino Linotype"/>
          <w:b/>
          <w:color w:val="000000" w:themeColor="text1"/>
          <w:u w:val="single"/>
        </w:rPr>
        <w:t>estados financieros, reportes e informes</w:t>
      </w:r>
      <w:r w:rsidRPr="001B05A4">
        <w:rPr>
          <w:rFonts w:ascii="Palatino Linotype" w:eastAsia="Palatino Linotype" w:hAnsi="Palatino Linotype" w:cs="Palatino Linotype"/>
          <w:color w:val="000000" w:themeColor="text1"/>
        </w:rPr>
        <w:t xml:space="preserve"> acompañándose, en su caso, de las notas explicativas y de la información necesaria que sea representativa de la situación del ente público a una fecha establecida.</w:t>
      </w:r>
    </w:p>
    <w:p w:rsidR="002B7A1B" w:rsidRPr="001B05A4" w:rsidRDefault="002B7A1B" w:rsidP="00DC701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 xml:space="preserve"> </w:t>
      </w:r>
    </w:p>
    <w:p w:rsidR="002B7A1B" w:rsidRPr="001B05A4" w:rsidRDefault="002B7A1B"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 xml:space="preserve">Los entes públicos deberán generar y presentar los siguientes estados e información contable: </w:t>
      </w:r>
    </w:p>
    <w:p w:rsidR="002B7A1B" w:rsidRPr="001B05A4" w:rsidRDefault="002B7A1B" w:rsidP="00DC7019">
      <w:pPr>
        <w:numPr>
          <w:ilvl w:val="0"/>
          <w:numId w:val="40"/>
        </w:numPr>
        <w:pBdr>
          <w:top w:val="nil"/>
          <w:left w:val="nil"/>
          <w:bottom w:val="nil"/>
          <w:right w:val="nil"/>
          <w:between w:val="nil"/>
        </w:pBdr>
        <w:tabs>
          <w:tab w:val="left" w:pos="284"/>
        </w:tabs>
        <w:spacing w:line="276" w:lineRule="auto"/>
        <w:ind w:left="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Estado de Situación Financiera.</w:t>
      </w:r>
    </w:p>
    <w:p w:rsidR="002B7A1B" w:rsidRPr="001B05A4" w:rsidRDefault="002B7A1B" w:rsidP="00DC7019">
      <w:pPr>
        <w:numPr>
          <w:ilvl w:val="0"/>
          <w:numId w:val="40"/>
        </w:numPr>
        <w:pBdr>
          <w:top w:val="nil"/>
          <w:left w:val="nil"/>
          <w:bottom w:val="nil"/>
          <w:right w:val="nil"/>
          <w:between w:val="nil"/>
        </w:pBdr>
        <w:tabs>
          <w:tab w:val="left" w:pos="284"/>
        </w:tabs>
        <w:spacing w:line="276" w:lineRule="auto"/>
        <w:ind w:left="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Estado de Actividades para Entidades con fines no lucrativos.</w:t>
      </w:r>
    </w:p>
    <w:p w:rsidR="002B7A1B" w:rsidRPr="001B05A4" w:rsidRDefault="002B7A1B" w:rsidP="00DC7019">
      <w:pPr>
        <w:numPr>
          <w:ilvl w:val="0"/>
          <w:numId w:val="40"/>
        </w:numPr>
        <w:pBdr>
          <w:top w:val="nil"/>
          <w:left w:val="nil"/>
          <w:bottom w:val="nil"/>
          <w:right w:val="nil"/>
          <w:between w:val="nil"/>
        </w:pBdr>
        <w:tabs>
          <w:tab w:val="left" w:pos="284"/>
        </w:tabs>
        <w:spacing w:line="276" w:lineRule="auto"/>
        <w:ind w:left="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Estado de Resultados para Entidades con fines lucrativos.</w:t>
      </w:r>
      <w:r w:rsidRPr="001B05A4">
        <w:rPr>
          <w:rFonts w:ascii="Palatino Linotype" w:eastAsia="Palatino Linotype" w:hAnsi="Palatino Linotype" w:cs="Palatino Linotype"/>
          <w:b/>
          <w:color w:val="000000" w:themeColor="text1"/>
        </w:rPr>
        <w:t xml:space="preserve"> </w:t>
      </w:r>
    </w:p>
    <w:p w:rsidR="002B7A1B" w:rsidRPr="001B05A4" w:rsidRDefault="002B7A1B" w:rsidP="00DC7019">
      <w:pPr>
        <w:numPr>
          <w:ilvl w:val="0"/>
          <w:numId w:val="40"/>
        </w:numPr>
        <w:pBdr>
          <w:top w:val="nil"/>
          <w:left w:val="nil"/>
          <w:bottom w:val="nil"/>
          <w:right w:val="nil"/>
          <w:between w:val="nil"/>
        </w:pBdr>
        <w:tabs>
          <w:tab w:val="left" w:pos="284"/>
        </w:tabs>
        <w:spacing w:line="276" w:lineRule="auto"/>
        <w:ind w:left="0"/>
        <w:jc w:val="both"/>
        <w:rPr>
          <w:rFonts w:ascii="Palatino Linotype" w:eastAsia="Palatino Linotype" w:hAnsi="Palatino Linotype" w:cs="Palatino Linotype"/>
          <w:b/>
          <w:color w:val="000000" w:themeColor="text1"/>
        </w:rPr>
      </w:pPr>
      <w:r w:rsidRPr="001B05A4">
        <w:rPr>
          <w:rFonts w:ascii="Palatino Linotype" w:eastAsia="Palatino Linotype" w:hAnsi="Palatino Linotype" w:cs="Palatino Linotype"/>
          <w:color w:val="000000" w:themeColor="text1"/>
        </w:rPr>
        <w:t>Estado de Variación en la Hacienda Pública.</w:t>
      </w:r>
    </w:p>
    <w:p w:rsidR="002B7A1B" w:rsidRPr="001B05A4" w:rsidRDefault="002B7A1B" w:rsidP="00DC7019">
      <w:pPr>
        <w:numPr>
          <w:ilvl w:val="0"/>
          <w:numId w:val="40"/>
        </w:numPr>
        <w:pBdr>
          <w:top w:val="nil"/>
          <w:left w:val="nil"/>
          <w:bottom w:val="nil"/>
          <w:right w:val="nil"/>
          <w:between w:val="nil"/>
        </w:pBdr>
        <w:tabs>
          <w:tab w:val="left" w:pos="284"/>
        </w:tabs>
        <w:spacing w:line="276" w:lineRule="auto"/>
        <w:ind w:left="0"/>
        <w:jc w:val="both"/>
        <w:rPr>
          <w:rFonts w:ascii="Palatino Linotype" w:eastAsia="Palatino Linotype" w:hAnsi="Palatino Linotype" w:cs="Palatino Linotype"/>
          <w:b/>
          <w:color w:val="000000" w:themeColor="text1"/>
        </w:rPr>
      </w:pPr>
      <w:r w:rsidRPr="001B05A4">
        <w:rPr>
          <w:rFonts w:ascii="Palatino Linotype" w:eastAsia="Palatino Linotype" w:hAnsi="Palatino Linotype" w:cs="Palatino Linotype"/>
          <w:color w:val="000000" w:themeColor="text1"/>
        </w:rPr>
        <w:t>Estado de Cambios en la Situación Financiera.</w:t>
      </w:r>
    </w:p>
    <w:p w:rsidR="002B7A1B" w:rsidRPr="001B05A4" w:rsidRDefault="002B7A1B" w:rsidP="00DC7019">
      <w:pPr>
        <w:numPr>
          <w:ilvl w:val="0"/>
          <w:numId w:val="40"/>
        </w:numPr>
        <w:pBdr>
          <w:top w:val="nil"/>
          <w:left w:val="nil"/>
          <w:bottom w:val="nil"/>
          <w:right w:val="nil"/>
          <w:between w:val="nil"/>
        </w:pBdr>
        <w:tabs>
          <w:tab w:val="left" w:pos="284"/>
        </w:tabs>
        <w:spacing w:line="276" w:lineRule="auto"/>
        <w:ind w:left="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Estado de Flujos de Efectivo</w:t>
      </w:r>
      <w:r w:rsidRPr="001B05A4">
        <w:rPr>
          <w:rFonts w:ascii="Palatino Linotype" w:eastAsia="Palatino Linotype" w:hAnsi="Palatino Linotype" w:cs="Palatino Linotype"/>
          <w:b/>
          <w:color w:val="000000" w:themeColor="text1"/>
        </w:rPr>
        <w:t>.</w:t>
      </w:r>
      <w:r w:rsidRPr="001B05A4">
        <w:rPr>
          <w:rFonts w:ascii="Palatino Linotype" w:eastAsia="Palatino Linotype" w:hAnsi="Palatino Linotype" w:cs="Palatino Linotype"/>
          <w:color w:val="000000" w:themeColor="text1"/>
        </w:rPr>
        <w:t xml:space="preserve"> </w:t>
      </w:r>
    </w:p>
    <w:p w:rsidR="002B7A1B" w:rsidRPr="001B05A4" w:rsidRDefault="002B7A1B" w:rsidP="00DC7019">
      <w:pPr>
        <w:numPr>
          <w:ilvl w:val="0"/>
          <w:numId w:val="40"/>
        </w:numPr>
        <w:pBdr>
          <w:top w:val="nil"/>
          <w:left w:val="nil"/>
          <w:bottom w:val="nil"/>
          <w:right w:val="nil"/>
          <w:between w:val="nil"/>
        </w:pBdr>
        <w:tabs>
          <w:tab w:val="left" w:pos="284"/>
        </w:tabs>
        <w:spacing w:line="276" w:lineRule="auto"/>
        <w:ind w:left="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 xml:space="preserve">Estado Analítico del Activo. </w:t>
      </w:r>
    </w:p>
    <w:p w:rsidR="002B7A1B" w:rsidRPr="001B05A4" w:rsidRDefault="002B7A1B" w:rsidP="00DC7019">
      <w:pPr>
        <w:numPr>
          <w:ilvl w:val="0"/>
          <w:numId w:val="40"/>
        </w:numPr>
        <w:pBdr>
          <w:top w:val="nil"/>
          <w:left w:val="nil"/>
          <w:bottom w:val="nil"/>
          <w:right w:val="nil"/>
          <w:between w:val="nil"/>
        </w:pBdr>
        <w:tabs>
          <w:tab w:val="left" w:pos="284"/>
        </w:tabs>
        <w:spacing w:line="276" w:lineRule="auto"/>
        <w:ind w:left="0"/>
        <w:jc w:val="both"/>
        <w:rPr>
          <w:rFonts w:ascii="Palatino Linotype" w:eastAsia="Palatino Linotype" w:hAnsi="Palatino Linotype" w:cs="Palatino Linotype"/>
          <w:b/>
          <w:color w:val="000000" w:themeColor="text1"/>
        </w:rPr>
      </w:pPr>
      <w:r w:rsidRPr="001B05A4">
        <w:rPr>
          <w:rFonts w:ascii="Palatino Linotype" w:eastAsia="Palatino Linotype" w:hAnsi="Palatino Linotype" w:cs="Palatino Linotype"/>
          <w:color w:val="000000" w:themeColor="text1"/>
        </w:rPr>
        <w:lastRenderedPageBreak/>
        <w:t>Estado Analítico de la Deuda y Otros Pasivos.</w:t>
      </w:r>
    </w:p>
    <w:p w:rsidR="002B7A1B" w:rsidRPr="001B05A4" w:rsidRDefault="002B7A1B" w:rsidP="00DC7019">
      <w:pPr>
        <w:numPr>
          <w:ilvl w:val="0"/>
          <w:numId w:val="40"/>
        </w:numPr>
        <w:pBdr>
          <w:top w:val="nil"/>
          <w:left w:val="nil"/>
          <w:bottom w:val="nil"/>
          <w:right w:val="nil"/>
          <w:between w:val="nil"/>
        </w:pBdr>
        <w:tabs>
          <w:tab w:val="left" w:pos="284"/>
        </w:tabs>
        <w:spacing w:line="276" w:lineRule="auto"/>
        <w:ind w:left="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Informe sobre Pasivos Contingentes</w:t>
      </w:r>
    </w:p>
    <w:p w:rsidR="002B7A1B" w:rsidRPr="001B05A4" w:rsidRDefault="002B7A1B" w:rsidP="00DC7019">
      <w:pPr>
        <w:numPr>
          <w:ilvl w:val="0"/>
          <w:numId w:val="40"/>
        </w:numPr>
        <w:pBdr>
          <w:top w:val="nil"/>
          <w:left w:val="nil"/>
          <w:bottom w:val="nil"/>
          <w:right w:val="nil"/>
          <w:between w:val="nil"/>
        </w:pBdr>
        <w:tabs>
          <w:tab w:val="left" w:pos="284"/>
        </w:tabs>
        <w:spacing w:line="276" w:lineRule="auto"/>
        <w:ind w:left="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Notas a los Estados Financieros.</w:t>
      </w:r>
    </w:p>
    <w:p w:rsidR="002B7A1B" w:rsidRPr="001B05A4" w:rsidRDefault="002B7A1B" w:rsidP="00DC701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 xml:space="preserve">Aunado a lo anterior, cabe destacar que de acuerdo con los Lineamientos para la integración y entrega del Informe Trimestral Municipal 2024, el Órgano Superior de Fiscalización es un órgano dotado de autonomía técnica y de gestión con atribuciones para recibir, revisar y fiscalizar las cuentas públicas del Estado y Municipios, la aplicación de los fondos públicos, la administración de los ingresos y egresos, así como, determinar los daños y perjuicios que afecten a la hacienda pública. </w:t>
      </w:r>
    </w:p>
    <w:p w:rsidR="002B7A1B" w:rsidRPr="001B05A4" w:rsidRDefault="002B7A1B" w:rsidP="00DC701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 xml:space="preserve">La legislatura, a través del Órgano Superior de Fiscalización del Estado de México, controlará, fiscalizará y revisará el ingreso y el gasto público de los Poderes del Estado, Organismos Autónomos, Organismos Auxiliares y demás entes públicos que manejen recurso del Estado y Municipios, a través de los </w:t>
      </w:r>
      <w:r w:rsidRPr="001B05A4">
        <w:rPr>
          <w:rFonts w:ascii="Palatino Linotype" w:eastAsia="Palatino Linotype" w:hAnsi="Palatino Linotype" w:cs="Palatino Linotype"/>
          <w:b/>
          <w:color w:val="000000" w:themeColor="text1"/>
          <w:u w:val="single"/>
        </w:rPr>
        <w:t>informes trimestrales</w:t>
      </w:r>
      <w:r w:rsidRPr="001B05A4">
        <w:rPr>
          <w:rFonts w:ascii="Palatino Linotype" w:eastAsia="Palatino Linotype" w:hAnsi="Palatino Linotype" w:cs="Palatino Linotype"/>
          <w:color w:val="000000" w:themeColor="text1"/>
        </w:rPr>
        <w:t xml:space="preserve">, que son documentos físico y/o electrónicos que </w:t>
      </w:r>
      <w:r w:rsidRPr="001B05A4">
        <w:rPr>
          <w:rFonts w:ascii="Palatino Linotype" w:eastAsia="Palatino Linotype" w:hAnsi="Palatino Linotype" w:cs="Palatino Linotype"/>
          <w:b/>
          <w:color w:val="000000" w:themeColor="text1"/>
          <w:u w:val="single"/>
        </w:rPr>
        <w:t>trimestralmente deberán presentar</w:t>
      </w:r>
      <w:r w:rsidRPr="001B05A4">
        <w:rPr>
          <w:rFonts w:ascii="Palatino Linotype" w:eastAsia="Palatino Linotype" w:hAnsi="Palatino Linotype" w:cs="Palatino Linotype"/>
          <w:color w:val="000000" w:themeColor="text1"/>
        </w:rPr>
        <w:t xml:space="preserve">, a través de la Secretaría de Finanzas del Poder Ejecutivo y las Tesorerías Municipales o sus equivalentes, </w:t>
      </w:r>
      <w:r w:rsidRPr="001B05A4">
        <w:rPr>
          <w:rFonts w:ascii="Palatino Linotype" w:eastAsia="Palatino Linotype" w:hAnsi="Palatino Linotype" w:cs="Palatino Linotype"/>
          <w:b/>
          <w:color w:val="000000" w:themeColor="text1"/>
        </w:rPr>
        <w:t>dentro de los primeros veinte días hábiles posteriores al término del periodo a informar</w:t>
      </w:r>
      <w:r w:rsidRPr="001B05A4">
        <w:rPr>
          <w:rFonts w:ascii="Palatino Linotype" w:eastAsia="Palatino Linotype" w:hAnsi="Palatino Linotype" w:cs="Palatino Linotype"/>
          <w:color w:val="000000" w:themeColor="text1"/>
        </w:rPr>
        <w:t xml:space="preserve"> y para el trimestre correspondiente al cierre del ejercicio fiscal.</w:t>
      </w:r>
    </w:p>
    <w:p w:rsidR="002B7A1B" w:rsidRPr="001B05A4" w:rsidRDefault="002B7A1B" w:rsidP="00DC701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 xml:space="preserve">En ese orden de ideas, de la consulta a los Lineamientos en comento, se encontró que, </w:t>
      </w:r>
      <w:r w:rsidRPr="001B05A4">
        <w:rPr>
          <w:rFonts w:ascii="Palatino Linotype" w:eastAsia="Palatino Linotype" w:hAnsi="Palatino Linotype" w:cs="Palatino Linotype"/>
          <w:b/>
          <w:color w:val="000000" w:themeColor="text1"/>
          <w:u w:val="single"/>
        </w:rPr>
        <w:t>los documentos que conforman los estados financieros son, de manera enunciativa, más no limitativa</w:t>
      </w:r>
      <w:r w:rsidRPr="001B05A4">
        <w:rPr>
          <w:rFonts w:ascii="Palatino Linotype" w:eastAsia="Palatino Linotype" w:hAnsi="Palatino Linotype" w:cs="Palatino Linotype"/>
          <w:color w:val="000000" w:themeColor="text1"/>
        </w:rPr>
        <w:t xml:space="preserve">, los estados de situación financiera, estados de actividades, estado de flujos de efectivo, estado analítico de deuda y otros pasivos, estados analíticos del activo, estados de variación en Hacienda Pública, estado de </w:t>
      </w:r>
      <w:r w:rsidRPr="001B05A4">
        <w:rPr>
          <w:rFonts w:ascii="Palatino Linotype" w:eastAsia="Palatino Linotype" w:hAnsi="Palatino Linotype" w:cs="Palatino Linotype"/>
          <w:color w:val="000000" w:themeColor="text1"/>
        </w:rPr>
        <w:lastRenderedPageBreak/>
        <w:t xml:space="preserve">cambios en la situación financiera y las notas a los estados financieros, tal como se puede apreciar a continuación: </w:t>
      </w:r>
    </w:p>
    <w:p w:rsidR="002B7A1B" w:rsidRPr="001B05A4" w:rsidRDefault="002B7A1B" w:rsidP="00DC701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noProof/>
          <w:color w:val="000000" w:themeColor="text1"/>
          <w:lang w:val="es-MX" w:eastAsia="es-MX"/>
        </w:rPr>
        <w:drawing>
          <wp:inline distT="0" distB="0" distL="0" distR="0" wp14:anchorId="2E75E824" wp14:editId="7C576AE4">
            <wp:extent cx="5305911" cy="2828260"/>
            <wp:effectExtent l="152400" t="152400" r="352425" b="3536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51872" cy="2852759"/>
                    </a:xfrm>
                    <a:prstGeom prst="rect">
                      <a:avLst/>
                    </a:prstGeom>
                    <a:ln>
                      <a:noFill/>
                    </a:ln>
                    <a:effectLst>
                      <a:outerShdw blurRad="292100" dist="139700" dir="2700000" algn="tl" rotWithShape="0">
                        <a:srgbClr val="333333">
                          <a:alpha val="65000"/>
                        </a:srgbClr>
                      </a:outerShdw>
                    </a:effectLst>
                  </pic:spPr>
                </pic:pic>
              </a:graphicData>
            </a:graphic>
          </wp:inline>
        </w:drawing>
      </w:r>
    </w:p>
    <w:p w:rsidR="002B7A1B" w:rsidRPr="001B05A4" w:rsidRDefault="002B7A1B" w:rsidP="00DC701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 xml:space="preserve">Lo anterior, es información que, tal como se observa debe ser generada por el Sujeto Obligado de manera mensual, con la finalidad de que este integre lo correspondiente a sus informes trimestrales, que son parte del cumplimiento de sus obligaciones fiscales. </w:t>
      </w:r>
    </w:p>
    <w:p w:rsidR="002B7A1B" w:rsidRPr="001B05A4" w:rsidRDefault="002B7A1B" w:rsidP="00DC701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En relación a lo anterior, la Tesorería Municipal dentro de sus atribuciones de conformidad al Código Reglamentario Municipal de Toluca, establece:</w:t>
      </w:r>
    </w:p>
    <w:p w:rsidR="002B7A1B" w:rsidRPr="001B05A4" w:rsidRDefault="002B7A1B" w:rsidP="00DC7019">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1B05A4">
        <w:rPr>
          <w:rFonts w:ascii="Palatino Linotype" w:eastAsia="Palatino Linotype" w:hAnsi="Palatino Linotype" w:cs="Palatino Linotype"/>
          <w:b/>
          <w:i/>
          <w:color w:val="000000" w:themeColor="text1"/>
        </w:rPr>
        <w:t>SECCIÓN TERCERA</w:t>
      </w:r>
    </w:p>
    <w:p w:rsidR="002B7A1B" w:rsidRPr="001B05A4" w:rsidRDefault="002B7A1B" w:rsidP="00DC7019">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1B05A4">
        <w:rPr>
          <w:rFonts w:ascii="Palatino Linotype" w:eastAsia="Palatino Linotype" w:hAnsi="Palatino Linotype" w:cs="Palatino Linotype"/>
          <w:b/>
          <w:i/>
          <w:color w:val="000000" w:themeColor="text1"/>
        </w:rPr>
        <w:t>DE LA TESORERÍA MUNICIPAL</w:t>
      </w:r>
    </w:p>
    <w:p w:rsidR="002B7A1B" w:rsidRPr="001B05A4" w:rsidRDefault="002B7A1B" w:rsidP="00DC7019">
      <w:pPr>
        <w:pBdr>
          <w:top w:val="nil"/>
          <w:left w:val="nil"/>
          <w:bottom w:val="nil"/>
          <w:right w:val="nil"/>
          <w:between w:val="nil"/>
        </w:pBdr>
        <w:jc w:val="center"/>
        <w:rPr>
          <w:rFonts w:ascii="Palatino Linotype" w:eastAsia="Palatino Linotype" w:hAnsi="Palatino Linotype" w:cs="Palatino Linotype"/>
          <w:i/>
          <w:color w:val="000000" w:themeColor="text1"/>
        </w:rPr>
      </w:pPr>
    </w:p>
    <w:p w:rsidR="002B7A1B" w:rsidRPr="001B05A4" w:rsidRDefault="002B7A1B" w:rsidP="00DC7019">
      <w:pPr>
        <w:pBdr>
          <w:top w:val="nil"/>
          <w:left w:val="nil"/>
          <w:bottom w:val="nil"/>
          <w:right w:val="nil"/>
          <w:between w:val="nil"/>
        </w:pBd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b/>
          <w:i/>
          <w:color w:val="000000" w:themeColor="text1"/>
        </w:rPr>
        <w:t>Artículo 3.19</w:t>
      </w:r>
      <w:r w:rsidRPr="001B05A4">
        <w:rPr>
          <w:rFonts w:ascii="Palatino Linotype" w:eastAsia="Palatino Linotype" w:hAnsi="Palatino Linotype" w:cs="Palatino Linotype"/>
          <w:i/>
          <w:color w:val="000000" w:themeColor="text1"/>
        </w:rPr>
        <w:t>. La o el titular de la Tesorería Municipal tendrá las siguientes atribuciones:</w:t>
      </w:r>
    </w:p>
    <w:p w:rsidR="002B7A1B" w:rsidRPr="001B05A4" w:rsidRDefault="002B7A1B" w:rsidP="00DC7019">
      <w:pPr>
        <w:pBdr>
          <w:top w:val="nil"/>
          <w:left w:val="nil"/>
          <w:bottom w:val="nil"/>
          <w:right w:val="nil"/>
          <w:between w:val="nil"/>
        </w:pBdr>
        <w:jc w:val="both"/>
        <w:rPr>
          <w:rFonts w:ascii="Palatino Linotype" w:eastAsia="Palatino Linotype" w:hAnsi="Palatino Linotype" w:cs="Palatino Linotype"/>
          <w:i/>
          <w:color w:val="000000" w:themeColor="text1"/>
        </w:rPr>
      </w:pPr>
      <w:r w:rsidRPr="001B05A4">
        <w:rPr>
          <w:rFonts w:ascii="Palatino Linotype" w:eastAsia="Palatino Linotype" w:hAnsi="Palatino Linotype" w:cs="Palatino Linotype"/>
          <w:i/>
          <w:color w:val="000000" w:themeColor="text1"/>
        </w:rPr>
        <w:lastRenderedPageBreak/>
        <w:t xml:space="preserve">VII. </w:t>
      </w:r>
      <w:r w:rsidRPr="001B05A4">
        <w:rPr>
          <w:rFonts w:ascii="Palatino Linotype" w:eastAsia="Palatino Linotype" w:hAnsi="Palatino Linotype" w:cs="Palatino Linotype"/>
          <w:b/>
          <w:i/>
          <w:color w:val="000000" w:themeColor="text1"/>
        </w:rPr>
        <w:t>Supervisar el registro y control de las operaciones financieras presupuestales y contables, revisar y autorizar la integración de los informes mensuales y la cuenta pública anual del Municipio</w:t>
      </w:r>
      <w:r w:rsidRPr="001B05A4">
        <w:rPr>
          <w:rFonts w:ascii="Palatino Linotype" w:eastAsia="Palatino Linotype" w:hAnsi="Palatino Linotype" w:cs="Palatino Linotype"/>
          <w:i/>
          <w:color w:val="000000" w:themeColor="text1"/>
        </w:rPr>
        <w:t xml:space="preserve"> para que se entregue de manera oportuna y con apego a los lineamientos establecidos en los ordenamientos jurídicos aplicables;</w:t>
      </w:r>
    </w:p>
    <w:p w:rsidR="002B7A1B" w:rsidRPr="001B05A4" w:rsidRDefault="002B7A1B" w:rsidP="00DC701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B7A1B" w:rsidRPr="001B05A4" w:rsidRDefault="002B7A1B" w:rsidP="00DC7019">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1B05A4">
        <w:rPr>
          <w:rFonts w:ascii="Palatino Linotype" w:eastAsia="Palatino Linotype" w:hAnsi="Palatino Linotype" w:cs="Palatino Linotype"/>
          <w:color w:val="000000" w:themeColor="text1"/>
        </w:rPr>
        <w:t xml:space="preserve">Por lo anterior, </w:t>
      </w:r>
      <w:r w:rsidR="000F1D57" w:rsidRPr="001B05A4">
        <w:rPr>
          <w:rFonts w:ascii="Palatino Linotype" w:eastAsia="Palatino Linotype" w:hAnsi="Palatino Linotype" w:cs="Palatino Linotype"/>
          <w:color w:val="000000" w:themeColor="text1"/>
        </w:rPr>
        <w:t>es de referir que</w:t>
      </w:r>
      <w:r w:rsidRPr="001B05A4">
        <w:rPr>
          <w:rFonts w:ascii="Palatino Linotype" w:eastAsia="Palatino Linotype" w:hAnsi="Palatino Linotype" w:cs="Palatino Linotype"/>
          <w:color w:val="000000" w:themeColor="text1"/>
        </w:rPr>
        <w:t xml:space="preserve"> existen diversos documentos en los cuales pudiera obrar la información solicitada, tales como, de manera enunciativa </w:t>
      </w:r>
      <w:r w:rsidR="005C6920" w:rsidRPr="001B05A4">
        <w:rPr>
          <w:rFonts w:ascii="Palatino Linotype" w:eastAsia="Palatino Linotype" w:hAnsi="Palatino Linotype" w:cs="Palatino Linotype"/>
          <w:color w:val="000000" w:themeColor="text1"/>
        </w:rPr>
        <w:t>más</w:t>
      </w:r>
      <w:r w:rsidRPr="001B05A4">
        <w:rPr>
          <w:rFonts w:ascii="Palatino Linotype" w:eastAsia="Palatino Linotype" w:hAnsi="Palatino Linotype" w:cs="Palatino Linotype"/>
          <w:color w:val="000000" w:themeColor="text1"/>
        </w:rPr>
        <w:t xml:space="preserve"> no limitativa: </w:t>
      </w:r>
      <w:r w:rsidRPr="001B05A4">
        <w:rPr>
          <w:rFonts w:ascii="Palatino Linotype" w:eastAsia="Palatino Linotype" w:hAnsi="Palatino Linotype" w:cs="Palatino Linotype"/>
          <w:b/>
          <w:color w:val="000000" w:themeColor="text1"/>
          <w:u w:val="single"/>
        </w:rPr>
        <w:t>estados financieros, reportes e informes</w:t>
      </w:r>
      <w:r w:rsidRPr="001B05A4">
        <w:rPr>
          <w:rFonts w:ascii="Palatino Linotype" w:eastAsia="Palatino Linotype" w:hAnsi="Palatino Linotype" w:cs="Palatino Linotype"/>
          <w:color w:val="000000" w:themeColor="text1"/>
        </w:rPr>
        <w:t>, mismos que como ya fueron señalados, su periodicidad de entrega es de manera mensual.</w:t>
      </w:r>
    </w:p>
    <w:p w:rsidR="005C6920" w:rsidRPr="001B05A4" w:rsidRDefault="005C6920" w:rsidP="00DC7019">
      <w:pPr>
        <w:spacing w:line="360" w:lineRule="auto"/>
        <w:jc w:val="both"/>
        <w:rPr>
          <w:rFonts w:ascii="Palatino Linotype" w:eastAsia="Palatino Linotype" w:hAnsi="Palatino Linotype" w:cs="Palatino Linotype"/>
          <w:b/>
          <w:color w:val="000000" w:themeColor="text1"/>
        </w:rPr>
      </w:pPr>
    </w:p>
    <w:p w:rsidR="005C6920" w:rsidRPr="001B05A4" w:rsidRDefault="005C6920" w:rsidP="00DC7019">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1B05A4">
        <w:rPr>
          <w:rFonts w:ascii="Palatino Linotype" w:eastAsia="Palatino Linotype" w:hAnsi="Palatino Linotype" w:cs="Palatino Linotype"/>
          <w:color w:val="000000" w:themeColor="text1"/>
        </w:rPr>
        <w:t>De lo precisado en los párrafos anteriores, se presume que la información debe existir al referirse a facultades, competencias y funciones que los ordenamientos jurídicos aplicables otorgan a los sujetos obligados.</w:t>
      </w:r>
    </w:p>
    <w:p w:rsidR="002B7A1B" w:rsidRPr="001B05A4" w:rsidRDefault="002B7A1B" w:rsidP="00DC701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B7A1B" w:rsidRPr="001B05A4" w:rsidRDefault="002B7A1B" w:rsidP="00DC701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 xml:space="preserve">En razón de lo expuesto y toda vez que el Sujeto Obligado no proporcionó la información solicitada, resulta procedente </w:t>
      </w:r>
      <w:r w:rsidRPr="001B05A4">
        <w:rPr>
          <w:rFonts w:ascii="Palatino Linotype" w:eastAsia="Palatino Linotype" w:hAnsi="Palatino Linotype" w:cs="Palatino Linotype"/>
          <w:b/>
          <w:color w:val="000000" w:themeColor="text1"/>
        </w:rPr>
        <w:t xml:space="preserve">MODIFICAR </w:t>
      </w:r>
      <w:r w:rsidRPr="001B05A4">
        <w:rPr>
          <w:rFonts w:ascii="Palatino Linotype" w:eastAsia="Palatino Linotype" w:hAnsi="Palatino Linotype" w:cs="Palatino Linotype"/>
          <w:color w:val="000000" w:themeColor="text1"/>
        </w:rPr>
        <w:t xml:space="preserve">la respuesta y </w:t>
      </w:r>
      <w:r w:rsidRPr="001B05A4">
        <w:rPr>
          <w:rFonts w:ascii="Palatino Linotype" w:eastAsia="Palatino Linotype" w:hAnsi="Palatino Linotype" w:cs="Palatino Linotype"/>
          <w:b/>
          <w:color w:val="000000" w:themeColor="text1"/>
        </w:rPr>
        <w:t xml:space="preserve">ORDENAR </w:t>
      </w:r>
      <w:r w:rsidRPr="001B05A4">
        <w:rPr>
          <w:rFonts w:ascii="Palatino Linotype" w:eastAsia="Palatino Linotype" w:hAnsi="Palatino Linotype" w:cs="Palatino Linotype"/>
          <w:color w:val="000000" w:themeColor="text1"/>
        </w:rPr>
        <w:t>la entrega, vía Sistema de Acce</w:t>
      </w:r>
      <w:r w:rsidR="005C6920" w:rsidRPr="001B05A4">
        <w:rPr>
          <w:rFonts w:ascii="Palatino Linotype" w:eastAsia="Palatino Linotype" w:hAnsi="Palatino Linotype" w:cs="Palatino Linotype"/>
          <w:color w:val="000000" w:themeColor="text1"/>
        </w:rPr>
        <w:t>so a la Información Mexiquense</w:t>
      </w:r>
      <w:r w:rsidRPr="001B05A4">
        <w:rPr>
          <w:rFonts w:ascii="Palatino Linotype" w:eastAsia="Palatino Linotype" w:hAnsi="Palatino Linotype" w:cs="Palatino Linotype"/>
          <w:color w:val="000000" w:themeColor="text1"/>
        </w:rPr>
        <w:t xml:space="preserve">, </w:t>
      </w:r>
      <w:r w:rsidR="00DA42B1" w:rsidRPr="001B05A4">
        <w:rPr>
          <w:rFonts w:ascii="Palatino Linotype" w:eastAsia="Palatino Linotype" w:hAnsi="Palatino Linotype" w:cs="Palatino Linotype"/>
          <w:b/>
          <w:color w:val="000000" w:themeColor="text1"/>
        </w:rPr>
        <w:t>el documento en el que conste o se advierta la cantidad de dinero con la que se recibió la administración pública municipal</w:t>
      </w:r>
      <w:r w:rsidRPr="001B05A4">
        <w:rPr>
          <w:rFonts w:ascii="Palatino Linotype" w:eastAsia="Palatino Linotype" w:hAnsi="Palatino Linotype" w:cs="Palatino Linotype"/>
          <w:b/>
          <w:color w:val="000000" w:themeColor="text1"/>
        </w:rPr>
        <w:t>, al 01 de enero de 2025.</w:t>
      </w:r>
    </w:p>
    <w:p w:rsidR="00177B12" w:rsidRPr="001B05A4" w:rsidRDefault="00177B12" w:rsidP="00DC7019">
      <w:pPr>
        <w:spacing w:line="360" w:lineRule="auto"/>
        <w:jc w:val="both"/>
        <w:rPr>
          <w:rFonts w:ascii="Palatino Linotype" w:hAnsi="Palatino Linotype"/>
          <w:color w:val="000000" w:themeColor="text1"/>
        </w:rPr>
      </w:pPr>
    </w:p>
    <w:p w:rsidR="00181C24" w:rsidRPr="001B05A4" w:rsidRDefault="00181C24" w:rsidP="00DC701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 xml:space="preserve">Con fundamento en lo prescrito en los artículos 5°, </w:t>
      </w:r>
      <w:r w:rsidRPr="001B05A4">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1B05A4">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r w:rsidR="00831050">
        <w:rPr>
          <w:rFonts w:ascii="Palatino Linotype" w:eastAsia="Palatino Linotype" w:hAnsi="Palatino Linotype" w:cs="Palatino Linotype"/>
          <w:color w:val="000000" w:themeColor="text1"/>
        </w:rPr>
        <w:t>------------------------------------------------------------------------------------</w:t>
      </w:r>
    </w:p>
    <w:p w:rsidR="0072148B" w:rsidRPr="001B05A4" w:rsidRDefault="0072148B" w:rsidP="00DC7019">
      <w:pPr>
        <w:rPr>
          <w:rFonts w:ascii="Palatino Linotype" w:eastAsia="Palatino Linotype" w:hAnsi="Palatino Linotype" w:cs="Palatino Linotype"/>
          <w:color w:val="000000" w:themeColor="text1"/>
        </w:rPr>
      </w:pPr>
    </w:p>
    <w:p w:rsidR="0072148B" w:rsidRPr="001B05A4" w:rsidRDefault="00A077F4" w:rsidP="00DC7019">
      <w:pPr>
        <w:spacing w:line="360" w:lineRule="auto"/>
        <w:jc w:val="center"/>
        <w:rPr>
          <w:rFonts w:ascii="Palatino Linotype" w:eastAsia="Palatino Linotype" w:hAnsi="Palatino Linotype" w:cs="Palatino Linotype"/>
          <w:b/>
          <w:color w:val="000000" w:themeColor="text1"/>
        </w:rPr>
      </w:pPr>
      <w:r w:rsidRPr="001B05A4">
        <w:rPr>
          <w:rFonts w:ascii="Palatino Linotype" w:eastAsia="Palatino Linotype" w:hAnsi="Palatino Linotype" w:cs="Palatino Linotype"/>
          <w:b/>
          <w:color w:val="000000" w:themeColor="text1"/>
        </w:rPr>
        <w:lastRenderedPageBreak/>
        <w:t>R E S U E L V E</w:t>
      </w:r>
    </w:p>
    <w:p w:rsidR="0072148B" w:rsidRPr="001B05A4" w:rsidRDefault="0072148B" w:rsidP="00DC7019">
      <w:pPr>
        <w:spacing w:line="360" w:lineRule="auto"/>
        <w:jc w:val="center"/>
        <w:rPr>
          <w:rFonts w:ascii="Palatino Linotype" w:eastAsia="Palatino Linotype" w:hAnsi="Palatino Linotype" w:cs="Palatino Linotype"/>
          <w:b/>
          <w:color w:val="000000" w:themeColor="text1"/>
          <w:sz w:val="14"/>
        </w:rPr>
      </w:pPr>
    </w:p>
    <w:p w:rsidR="002B7A1B" w:rsidRPr="001B05A4" w:rsidRDefault="002B7A1B" w:rsidP="00DC7019">
      <w:pPr>
        <w:spacing w:line="360" w:lineRule="auto"/>
        <w:jc w:val="both"/>
        <w:rPr>
          <w:rFonts w:ascii="Palatino Linotype" w:eastAsia="Palatino Linotype" w:hAnsi="Palatino Linotype" w:cs="Palatino Linotype"/>
          <w:b/>
          <w:color w:val="000000" w:themeColor="text1"/>
        </w:rPr>
      </w:pPr>
      <w:r w:rsidRPr="001B05A4">
        <w:rPr>
          <w:rFonts w:ascii="Palatino Linotype" w:eastAsia="Palatino Linotype" w:hAnsi="Palatino Linotype" w:cs="Palatino Linotype"/>
          <w:b/>
          <w:color w:val="000000" w:themeColor="text1"/>
        </w:rPr>
        <w:t>PRIMERO</w:t>
      </w:r>
      <w:r w:rsidRPr="001B05A4">
        <w:rPr>
          <w:rFonts w:ascii="Palatino Linotype" w:eastAsia="Palatino Linotype" w:hAnsi="Palatino Linotype" w:cs="Palatino Linotype"/>
          <w:color w:val="000000" w:themeColor="text1"/>
        </w:rPr>
        <w:t xml:space="preserve">. Resultan </w:t>
      </w:r>
      <w:r w:rsidRPr="001B05A4">
        <w:rPr>
          <w:rFonts w:ascii="Palatino Linotype" w:eastAsia="Palatino Linotype" w:hAnsi="Palatino Linotype" w:cs="Palatino Linotype"/>
          <w:b/>
          <w:color w:val="000000" w:themeColor="text1"/>
        </w:rPr>
        <w:t>FUNDADAS</w:t>
      </w:r>
      <w:r w:rsidRPr="001B05A4">
        <w:rPr>
          <w:rFonts w:ascii="Palatino Linotype" w:eastAsia="Palatino Linotype" w:hAnsi="Palatino Linotype" w:cs="Palatino Linotype"/>
          <w:color w:val="000000" w:themeColor="text1"/>
        </w:rPr>
        <w:t xml:space="preserve"> las razones o motivos de inconformidad hechos valer en el recurso de revisión </w:t>
      </w:r>
      <w:r w:rsidR="00FC679B" w:rsidRPr="001B05A4">
        <w:rPr>
          <w:rFonts w:ascii="Palatino Linotype" w:eastAsia="Palatino Linotype" w:hAnsi="Palatino Linotype" w:cs="Palatino Linotype"/>
          <w:b/>
          <w:color w:val="000000" w:themeColor="text1"/>
        </w:rPr>
        <w:t>02148</w:t>
      </w:r>
      <w:r w:rsidRPr="001B05A4">
        <w:rPr>
          <w:rFonts w:ascii="Palatino Linotype" w:eastAsia="Palatino Linotype" w:hAnsi="Palatino Linotype" w:cs="Palatino Linotype"/>
          <w:b/>
          <w:color w:val="000000" w:themeColor="text1"/>
        </w:rPr>
        <w:t>/INFOEM/IP/RR/2025</w:t>
      </w:r>
      <w:r w:rsidRPr="001B05A4">
        <w:rPr>
          <w:rFonts w:ascii="Palatino Linotype" w:eastAsia="Palatino Linotype" w:hAnsi="Palatino Linotype" w:cs="Palatino Linotype"/>
          <w:color w:val="000000" w:themeColor="text1"/>
        </w:rPr>
        <w:t>,</w:t>
      </w:r>
      <w:r w:rsidRPr="001B05A4">
        <w:rPr>
          <w:rFonts w:ascii="Palatino Linotype" w:eastAsia="Palatino Linotype" w:hAnsi="Palatino Linotype" w:cs="Palatino Linotype"/>
          <w:b/>
          <w:color w:val="000000" w:themeColor="text1"/>
        </w:rPr>
        <w:t xml:space="preserve"> </w:t>
      </w:r>
      <w:r w:rsidRPr="001B05A4">
        <w:rPr>
          <w:rFonts w:ascii="Palatino Linotype" w:eastAsia="Palatino Linotype" w:hAnsi="Palatino Linotype" w:cs="Palatino Linotype"/>
          <w:color w:val="000000" w:themeColor="text1"/>
        </w:rPr>
        <w:t xml:space="preserve">en términos </w:t>
      </w:r>
      <w:r w:rsidR="00FC679B" w:rsidRPr="001B05A4">
        <w:rPr>
          <w:rFonts w:ascii="Palatino Linotype" w:eastAsia="Palatino Linotype" w:hAnsi="Palatino Linotype" w:cs="Palatino Linotype"/>
          <w:color w:val="000000" w:themeColor="text1"/>
        </w:rPr>
        <w:t>del</w:t>
      </w:r>
      <w:r w:rsidRPr="001B05A4">
        <w:rPr>
          <w:rFonts w:ascii="Palatino Linotype" w:eastAsia="Palatino Linotype" w:hAnsi="Palatino Linotype" w:cs="Palatino Linotype"/>
          <w:color w:val="000000" w:themeColor="text1"/>
        </w:rPr>
        <w:t xml:space="preserve"> </w:t>
      </w:r>
      <w:r w:rsidR="00FC679B" w:rsidRPr="001B05A4">
        <w:rPr>
          <w:rFonts w:ascii="Palatino Linotype" w:eastAsia="Palatino Linotype" w:hAnsi="Palatino Linotype" w:cs="Palatino Linotype"/>
          <w:b/>
          <w:color w:val="000000" w:themeColor="text1"/>
        </w:rPr>
        <w:t>Considerando</w:t>
      </w:r>
      <w:r w:rsidRPr="001B05A4">
        <w:rPr>
          <w:rFonts w:ascii="Palatino Linotype" w:eastAsia="Palatino Linotype" w:hAnsi="Palatino Linotype" w:cs="Palatino Linotype"/>
          <w:b/>
          <w:color w:val="000000" w:themeColor="text1"/>
        </w:rPr>
        <w:t xml:space="preserve"> CUARTO </w:t>
      </w:r>
      <w:r w:rsidRPr="001B05A4">
        <w:rPr>
          <w:rFonts w:ascii="Palatino Linotype" w:eastAsia="Palatino Linotype" w:hAnsi="Palatino Linotype" w:cs="Palatino Linotype"/>
          <w:color w:val="000000" w:themeColor="text1"/>
        </w:rPr>
        <w:t>de la presente resolución</w:t>
      </w:r>
      <w:r w:rsidRPr="001B05A4">
        <w:rPr>
          <w:rFonts w:ascii="Palatino Linotype" w:eastAsia="Palatino Linotype" w:hAnsi="Palatino Linotype" w:cs="Palatino Linotype"/>
          <w:b/>
          <w:color w:val="000000" w:themeColor="text1"/>
        </w:rPr>
        <w:t>.</w:t>
      </w:r>
    </w:p>
    <w:p w:rsidR="002B7A1B" w:rsidRPr="001B05A4" w:rsidRDefault="002B7A1B" w:rsidP="00DC7019">
      <w:pPr>
        <w:spacing w:line="360" w:lineRule="auto"/>
        <w:jc w:val="both"/>
        <w:rPr>
          <w:rFonts w:ascii="Palatino Linotype" w:eastAsia="Palatino Linotype" w:hAnsi="Palatino Linotype" w:cs="Palatino Linotype"/>
          <w:b/>
          <w:color w:val="000000" w:themeColor="text1"/>
          <w:sz w:val="20"/>
        </w:rPr>
      </w:pPr>
    </w:p>
    <w:p w:rsidR="002B7A1B" w:rsidRPr="001B05A4" w:rsidRDefault="002B7A1B" w:rsidP="00DC7019">
      <w:pPr>
        <w:spacing w:line="360" w:lineRule="auto"/>
        <w:jc w:val="both"/>
        <w:rPr>
          <w:rFonts w:ascii="Palatino Linotype" w:eastAsia="Palatino Linotype" w:hAnsi="Palatino Linotype" w:cs="Palatino Linotype"/>
          <w:color w:val="000000" w:themeColor="text1"/>
        </w:rPr>
      </w:pPr>
      <w:bookmarkStart w:id="9" w:name="_heading=h.1ksv4uv" w:colFirst="0" w:colLast="0"/>
      <w:bookmarkEnd w:id="9"/>
      <w:r w:rsidRPr="001B05A4">
        <w:rPr>
          <w:rFonts w:ascii="Palatino Linotype" w:eastAsia="Palatino Linotype" w:hAnsi="Palatino Linotype" w:cs="Palatino Linotype"/>
          <w:b/>
          <w:color w:val="000000" w:themeColor="text1"/>
        </w:rPr>
        <w:t>SEGUNDO.</w:t>
      </w:r>
      <w:r w:rsidRPr="001B05A4">
        <w:rPr>
          <w:rFonts w:ascii="Palatino Linotype" w:eastAsia="Palatino Linotype" w:hAnsi="Palatino Linotype" w:cs="Palatino Linotype"/>
          <w:color w:val="000000" w:themeColor="text1"/>
        </w:rPr>
        <w:t xml:space="preserve"> Se </w:t>
      </w:r>
      <w:r w:rsidR="006E679E" w:rsidRPr="001B05A4">
        <w:rPr>
          <w:rFonts w:ascii="Palatino Linotype" w:eastAsia="Palatino Linotype" w:hAnsi="Palatino Linotype" w:cs="Palatino Linotype"/>
          <w:b/>
          <w:color w:val="000000" w:themeColor="text1"/>
        </w:rPr>
        <w:t>MODIFICA</w:t>
      </w:r>
      <w:r w:rsidRPr="001B05A4">
        <w:rPr>
          <w:rFonts w:ascii="Palatino Linotype" w:eastAsia="Palatino Linotype" w:hAnsi="Palatino Linotype" w:cs="Palatino Linotype"/>
          <w:b/>
          <w:color w:val="000000" w:themeColor="text1"/>
        </w:rPr>
        <w:t xml:space="preserve"> </w:t>
      </w:r>
      <w:r w:rsidR="006E679E" w:rsidRPr="001B05A4">
        <w:rPr>
          <w:rFonts w:ascii="Palatino Linotype" w:eastAsia="Palatino Linotype" w:hAnsi="Palatino Linotype" w:cs="Palatino Linotype"/>
          <w:color w:val="000000" w:themeColor="text1"/>
        </w:rPr>
        <w:t>la respuesta emitida</w:t>
      </w:r>
      <w:r w:rsidRPr="001B05A4">
        <w:rPr>
          <w:rFonts w:ascii="Palatino Linotype" w:eastAsia="Palatino Linotype" w:hAnsi="Palatino Linotype" w:cs="Palatino Linotype"/>
          <w:color w:val="000000" w:themeColor="text1"/>
        </w:rPr>
        <w:t xml:space="preserve"> por el </w:t>
      </w:r>
      <w:r w:rsidRPr="001B05A4">
        <w:rPr>
          <w:rFonts w:ascii="Palatino Linotype" w:eastAsia="Palatino Linotype" w:hAnsi="Palatino Linotype" w:cs="Palatino Linotype"/>
          <w:b/>
          <w:bCs/>
          <w:color w:val="000000" w:themeColor="text1"/>
        </w:rPr>
        <w:t xml:space="preserve">Ayuntamiento de Toluca </w:t>
      </w:r>
      <w:r w:rsidRPr="001B05A4">
        <w:rPr>
          <w:rFonts w:ascii="Palatino Linotype" w:eastAsia="Palatino Linotype" w:hAnsi="Palatino Linotype" w:cs="Palatino Linotype"/>
          <w:color w:val="000000" w:themeColor="text1"/>
        </w:rPr>
        <w:t xml:space="preserve">y se </w:t>
      </w:r>
      <w:r w:rsidRPr="001B05A4">
        <w:rPr>
          <w:rFonts w:ascii="Palatino Linotype" w:eastAsia="Palatino Linotype" w:hAnsi="Palatino Linotype" w:cs="Palatino Linotype"/>
          <w:b/>
          <w:color w:val="000000" w:themeColor="text1"/>
        </w:rPr>
        <w:t>ORDENA</w:t>
      </w:r>
      <w:r w:rsidRPr="001B05A4">
        <w:rPr>
          <w:rFonts w:ascii="Palatino Linotype" w:eastAsia="Palatino Linotype" w:hAnsi="Palatino Linotype" w:cs="Palatino Linotype"/>
          <w:color w:val="000000" w:themeColor="text1"/>
        </w:rPr>
        <w:t xml:space="preserve"> entregar, vía Sistema de Acceso a la Información Mexiquense </w:t>
      </w:r>
      <w:r w:rsidR="006E679E" w:rsidRPr="001B05A4">
        <w:rPr>
          <w:rFonts w:ascii="Palatino Linotype" w:eastAsia="Palatino Linotype" w:hAnsi="Palatino Linotype" w:cs="Palatino Linotype"/>
          <w:b/>
          <w:color w:val="000000" w:themeColor="text1"/>
        </w:rPr>
        <w:t>(SAIMEX)</w:t>
      </w:r>
      <w:r w:rsidRPr="001B05A4">
        <w:rPr>
          <w:rFonts w:ascii="Palatino Linotype" w:eastAsia="Palatino Linotype" w:hAnsi="Palatino Linotype" w:cs="Palatino Linotype"/>
          <w:color w:val="000000" w:themeColor="text1"/>
        </w:rPr>
        <w:t>, la siguiente información</w:t>
      </w:r>
      <w:r w:rsidR="006E679E" w:rsidRPr="001B05A4">
        <w:rPr>
          <w:rFonts w:ascii="Palatino Linotype" w:eastAsia="Palatino Linotype" w:hAnsi="Palatino Linotype" w:cs="Palatino Linotype"/>
          <w:color w:val="000000" w:themeColor="text1"/>
        </w:rPr>
        <w:t>:</w:t>
      </w:r>
    </w:p>
    <w:p w:rsidR="002B7A1B" w:rsidRPr="001B05A4" w:rsidRDefault="002B7A1B" w:rsidP="00DC7019">
      <w:pPr>
        <w:spacing w:line="360" w:lineRule="auto"/>
        <w:jc w:val="both"/>
        <w:rPr>
          <w:rFonts w:ascii="Palatino Linotype" w:eastAsia="Palatino Linotype" w:hAnsi="Palatino Linotype" w:cs="Palatino Linotype"/>
          <w:color w:val="000000" w:themeColor="text1"/>
          <w:sz w:val="20"/>
        </w:rPr>
      </w:pPr>
    </w:p>
    <w:p w:rsidR="002B7A1B" w:rsidRPr="001B05A4" w:rsidRDefault="002B7A1B" w:rsidP="00DC7019">
      <w:pPr>
        <w:pStyle w:val="Prrafodelista"/>
        <w:numPr>
          <w:ilvl w:val="0"/>
          <w:numId w:val="41"/>
        </w:numPr>
        <w:spacing w:line="360" w:lineRule="auto"/>
        <w:ind w:left="0"/>
        <w:jc w:val="both"/>
        <w:rPr>
          <w:rFonts w:ascii="Palatino Linotype" w:eastAsia="Palatino Linotype" w:hAnsi="Palatino Linotype" w:cs="Palatino Linotype"/>
          <w:b/>
          <w:color w:val="000000" w:themeColor="text1"/>
        </w:rPr>
      </w:pPr>
      <w:r w:rsidRPr="001B05A4">
        <w:rPr>
          <w:rFonts w:ascii="Palatino Linotype" w:eastAsia="Palatino Linotype" w:hAnsi="Palatino Linotype" w:cs="Palatino Linotype"/>
          <w:b/>
          <w:color w:val="000000" w:themeColor="text1"/>
        </w:rPr>
        <w:t xml:space="preserve">Documento en el que conste o se advierta </w:t>
      </w:r>
      <w:r w:rsidR="00361441" w:rsidRPr="001B05A4">
        <w:rPr>
          <w:rFonts w:ascii="Palatino Linotype" w:eastAsia="Palatino Linotype" w:hAnsi="Palatino Linotype" w:cs="Palatino Linotype"/>
          <w:b/>
          <w:color w:val="000000" w:themeColor="text1"/>
        </w:rPr>
        <w:t>la cantidad de dinero con la que se recibió la administración pública municipal</w:t>
      </w:r>
      <w:r w:rsidRPr="001B05A4">
        <w:rPr>
          <w:rFonts w:ascii="Palatino Linotype" w:eastAsia="Palatino Linotype" w:hAnsi="Palatino Linotype" w:cs="Palatino Linotype"/>
          <w:b/>
          <w:color w:val="000000" w:themeColor="text1"/>
        </w:rPr>
        <w:t>, al 01 de enero de 2025.</w:t>
      </w:r>
    </w:p>
    <w:p w:rsidR="002B7A1B" w:rsidRPr="001B05A4" w:rsidRDefault="002B7A1B" w:rsidP="00DC7019">
      <w:pPr>
        <w:spacing w:line="360" w:lineRule="auto"/>
        <w:jc w:val="both"/>
        <w:rPr>
          <w:rFonts w:ascii="Palatino Linotype" w:eastAsia="Palatino Linotype" w:hAnsi="Palatino Linotype" w:cs="Palatino Linotype"/>
          <w:b/>
          <w:color w:val="000000" w:themeColor="text1"/>
          <w:sz w:val="20"/>
        </w:rPr>
      </w:pPr>
    </w:p>
    <w:p w:rsidR="002B7A1B" w:rsidRDefault="006E679E" w:rsidP="00DC7019">
      <w:pPr>
        <w:spacing w:line="360" w:lineRule="auto"/>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b/>
          <w:color w:val="000000" w:themeColor="text1"/>
        </w:rPr>
        <w:t>TERCERO</w:t>
      </w:r>
      <w:r w:rsidR="002B7A1B" w:rsidRPr="001B05A4">
        <w:rPr>
          <w:rFonts w:ascii="Palatino Linotype" w:eastAsia="Palatino Linotype" w:hAnsi="Palatino Linotype" w:cs="Palatino Linotype"/>
          <w:b/>
          <w:color w:val="000000" w:themeColor="text1"/>
        </w:rPr>
        <w:t>. NOTIFÍQUESE</w:t>
      </w:r>
      <w:r w:rsidR="002B7A1B" w:rsidRPr="001B05A4">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2B7A1B" w:rsidRPr="001B05A4">
        <w:rPr>
          <w:rFonts w:ascii="Palatino Linotype" w:eastAsia="Palatino Linotype" w:hAnsi="Palatino Linotype" w:cs="Palatino Linotype"/>
          <w:b/>
          <w:color w:val="000000" w:themeColor="text1"/>
        </w:rPr>
        <w:t xml:space="preserve">dé cumplimiento a lo ordenado dentro del plazo </w:t>
      </w:r>
      <w:r w:rsidR="002B7A1B" w:rsidRPr="001B05A4">
        <w:rPr>
          <w:rFonts w:ascii="Palatino Linotype" w:eastAsia="Palatino Linotype" w:hAnsi="Palatino Linotype" w:cs="Palatino Linotype"/>
          <w:color w:val="000000" w:themeColor="text1"/>
        </w:rPr>
        <w:t>de</w:t>
      </w:r>
      <w:r w:rsidR="002B7A1B" w:rsidRPr="001B05A4">
        <w:rPr>
          <w:rFonts w:ascii="Palatino Linotype" w:eastAsia="Palatino Linotype" w:hAnsi="Palatino Linotype" w:cs="Palatino Linotype"/>
          <w:b/>
          <w:color w:val="000000" w:themeColor="text1"/>
        </w:rPr>
        <w:t xml:space="preserve"> diez días hábiles, </w:t>
      </w:r>
      <w:r w:rsidR="002B7A1B" w:rsidRPr="001B05A4">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31050" w:rsidRPr="001B05A4" w:rsidRDefault="00831050" w:rsidP="00DC7019">
      <w:pPr>
        <w:spacing w:line="360" w:lineRule="auto"/>
        <w:jc w:val="both"/>
        <w:rPr>
          <w:rFonts w:ascii="Palatino Linotype" w:eastAsia="Palatino Linotype" w:hAnsi="Palatino Linotype" w:cs="Palatino Linotype"/>
          <w:color w:val="000000" w:themeColor="text1"/>
        </w:rPr>
      </w:pPr>
    </w:p>
    <w:p w:rsidR="002B7A1B" w:rsidRPr="001B05A4" w:rsidRDefault="006E679E" w:rsidP="00DC7019">
      <w:pPr>
        <w:spacing w:line="360" w:lineRule="auto"/>
        <w:jc w:val="both"/>
        <w:rPr>
          <w:rFonts w:ascii="Palatino Linotype" w:eastAsia="Palatino Linotype" w:hAnsi="Palatino Linotype" w:cs="Palatino Linotype"/>
          <w:color w:val="000000" w:themeColor="text1"/>
        </w:rPr>
      </w:pPr>
      <w:bookmarkStart w:id="10" w:name="_heading=h.3rdcrjn" w:colFirst="0" w:colLast="0"/>
      <w:bookmarkEnd w:id="10"/>
      <w:r w:rsidRPr="001B05A4">
        <w:rPr>
          <w:rFonts w:ascii="Palatino Linotype" w:eastAsia="Palatino Linotype" w:hAnsi="Palatino Linotype" w:cs="Palatino Linotype"/>
          <w:b/>
          <w:color w:val="000000" w:themeColor="text1"/>
        </w:rPr>
        <w:lastRenderedPageBreak/>
        <w:t>CUARTO</w:t>
      </w:r>
      <w:r w:rsidR="002B7A1B" w:rsidRPr="001B05A4">
        <w:rPr>
          <w:rFonts w:ascii="Palatino Linotype" w:eastAsia="Palatino Linotype" w:hAnsi="Palatino Linotype" w:cs="Palatino Linotype"/>
          <w:b/>
          <w:color w:val="000000" w:themeColor="text1"/>
        </w:rPr>
        <w:t xml:space="preserve">. </w:t>
      </w:r>
      <w:r w:rsidR="002B7A1B" w:rsidRPr="001B05A4">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2B7A1B" w:rsidRPr="001B05A4">
        <w:rPr>
          <w:rFonts w:ascii="Palatino Linotype" w:eastAsia="Palatino Linotype" w:hAnsi="Palatino Linotype" w:cs="Palatino Linotype"/>
          <w:b/>
          <w:color w:val="000000" w:themeColor="text1"/>
        </w:rPr>
        <w:t>SUJETO OBLIGADO</w:t>
      </w:r>
      <w:r w:rsidR="002B7A1B" w:rsidRPr="001B05A4">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77B12" w:rsidRPr="001B05A4" w:rsidRDefault="00177B12" w:rsidP="00DC7019">
      <w:pPr>
        <w:spacing w:line="360" w:lineRule="auto"/>
        <w:jc w:val="both"/>
        <w:rPr>
          <w:rFonts w:ascii="Palatino Linotype" w:eastAsiaTheme="minorHAnsi" w:hAnsi="Palatino Linotype" w:cs="Arial"/>
          <w:color w:val="000000" w:themeColor="text1"/>
          <w:lang w:eastAsia="en-US"/>
        </w:rPr>
      </w:pPr>
    </w:p>
    <w:p w:rsidR="00DC7019" w:rsidRPr="001B05A4" w:rsidRDefault="006E679E" w:rsidP="00DC7019">
      <w:pPr>
        <w:spacing w:line="360" w:lineRule="auto"/>
        <w:contextualSpacing/>
        <w:jc w:val="both"/>
        <w:rPr>
          <w:rFonts w:ascii="Palatino Linotype" w:hAnsi="Palatino Linotype" w:cs="Arial"/>
          <w:b/>
          <w:bCs/>
          <w:color w:val="000000" w:themeColor="text1"/>
          <w:lang w:eastAsia="en-US"/>
        </w:rPr>
      </w:pPr>
      <w:r w:rsidRPr="001B05A4">
        <w:rPr>
          <w:rFonts w:ascii="Palatino Linotype" w:hAnsi="Palatino Linotype" w:cs="Arial"/>
          <w:b/>
          <w:bCs/>
          <w:color w:val="000000" w:themeColor="text1"/>
          <w:lang w:eastAsia="en-US"/>
        </w:rPr>
        <w:t>QUINTO</w:t>
      </w:r>
      <w:r w:rsidR="00177B12" w:rsidRPr="001B05A4">
        <w:rPr>
          <w:rFonts w:ascii="Palatino Linotype" w:hAnsi="Palatino Linotype" w:cs="Arial"/>
          <w:b/>
          <w:bCs/>
          <w:color w:val="000000" w:themeColor="text1"/>
          <w:lang w:eastAsia="en-US"/>
        </w:rPr>
        <w:t>. NOTIFÍQUESE</w:t>
      </w:r>
      <w:r w:rsidR="00177B12" w:rsidRPr="001B05A4">
        <w:rPr>
          <w:rFonts w:ascii="Palatino Linotype" w:hAnsi="Palatino Linotype" w:cs="Arial"/>
          <w:color w:val="000000" w:themeColor="text1"/>
          <w:lang w:eastAsia="en-US"/>
        </w:rPr>
        <w:t xml:space="preserve"> la presente resolución a la parte </w:t>
      </w:r>
      <w:r w:rsidR="00177B12" w:rsidRPr="001B05A4">
        <w:rPr>
          <w:rFonts w:ascii="Palatino Linotype" w:hAnsi="Palatino Linotype" w:cs="Arial"/>
          <w:b/>
          <w:bCs/>
          <w:color w:val="000000" w:themeColor="text1"/>
          <w:lang w:eastAsia="en-US"/>
        </w:rPr>
        <w:t>Recurrente</w:t>
      </w:r>
      <w:r w:rsidR="00177B12" w:rsidRPr="001B05A4">
        <w:rPr>
          <w:rFonts w:ascii="Palatino Linotype" w:eastAsia="Calibri" w:hAnsi="Palatino Linotype"/>
          <w:color w:val="000000" w:themeColor="text1"/>
          <w:lang w:eastAsia="es-MX"/>
        </w:rPr>
        <w:t xml:space="preserve"> </w:t>
      </w:r>
      <w:r w:rsidR="00177B12" w:rsidRPr="001B05A4">
        <w:rPr>
          <w:rFonts w:ascii="Palatino Linotype" w:hAnsi="Palatino Linotype" w:cs="Arial"/>
          <w:color w:val="000000" w:themeColor="text1"/>
          <w:lang w:eastAsia="en-US"/>
        </w:rPr>
        <w:t xml:space="preserve">a través del Sistema de Acceso a la Información Mexiquense </w:t>
      </w:r>
      <w:r w:rsidR="00177B12" w:rsidRPr="001B05A4">
        <w:rPr>
          <w:rFonts w:ascii="Palatino Linotype" w:hAnsi="Palatino Linotype" w:cs="Arial"/>
          <w:b/>
          <w:bCs/>
          <w:color w:val="000000" w:themeColor="text1"/>
          <w:lang w:eastAsia="en-US"/>
        </w:rPr>
        <w:t>(SAIMEX)</w:t>
      </w:r>
      <w:r w:rsidR="00DC7019" w:rsidRPr="001B05A4">
        <w:rPr>
          <w:rFonts w:ascii="Palatino Linotype" w:hAnsi="Palatino Linotype" w:cs="Arial"/>
          <w:b/>
          <w:bCs/>
          <w:color w:val="000000" w:themeColor="text1"/>
          <w:lang w:eastAsia="en-US"/>
        </w:rPr>
        <w:t>.</w:t>
      </w:r>
    </w:p>
    <w:p w:rsidR="00DC7019" w:rsidRPr="001B05A4" w:rsidRDefault="00DC7019" w:rsidP="00DC7019">
      <w:pPr>
        <w:spacing w:line="360" w:lineRule="auto"/>
        <w:contextualSpacing/>
        <w:jc w:val="both"/>
        <w:rPr>
          <w:rFonts w:ascii="Palatino Linotype" w:hAnsi="Palatino Linotype" w:cs="Arial"/>
          <w:b/>
          <w:bCs/>
          <w:color w:val="000000" w:themeColor="text1"/>
          <w:lang w:eastAsia="en-US"/>
        </w:rPr>
      </w:pPr>
    </w:p>
    <w:p w:rsidR="00177B12" w:rsidRPr="001B05A4" w:rsidRDefault="00DC7019" w:rsidP="00DC7019">
      <w:pPr>
        <w:spacing w:line="360" w:lineRule="auto"/>
        <w:contextualSpacing/>
        <w:jc w:val="both"/>
        <w:rPr>
          <w:rFonts w:ascii="Palatino Linotype" w:hAnsi="Palatino Linotype" w:cs="Arial"/>
          <w:color w:val="000000" w:themeColor="text1"/>
          <w:lang w:eastAsia="en-US"/>
        </w:rPr>
      </w:pPr>
      <w:r w:rsidRPr="001B05A4">
        <w:rPr>
          <w:rFonts w:ascii="Palatino Linotype" w:hAnsi="Palatino Linotype" w:cs="Arial"/>
          <w:b/>
          <w:bCs/>
          <w:color w:val="000000" w:themeColor="text1"/>
          <w:lang w:eastAsia="en-US"/>
        </w:rPr>
        <w:t xml:space="preserve">SEXTO. </w:t>
      </w:r>
      <w:r w:rsidRPr="001B05A4">
        <w:rPr>
          <w:rFonts w:ascii="Palatino Linotype" w:hAnsi="Palatino Linotype" w:cs="Arial"/>
          <w:b/>
          <w:color w:val="000000" w:themeColor="text1"/>
          <w:lang w:eastAsia="en-US"/>
        </w:rPr>
        <w:t>H</w:t>
      </w:r>
      <w:r w:rsidR="00177B12" w:rsidRPr="001B05A4">
        <w:rPr>
          <w:rFonts w:ascii="Palatino Linotype" w:hAnsi="Palatino Linotype" w:cs="Arial"/>
          <w:b/>
          <w:color w:val="000000" w:themeColor="text1"/>
          <w:lang w:eastAsia="en-US"/>
        </w:rPr>
        <w:t>ágase</w:t>
      </w:r>
      <w:r w:rsidRPr="001B05A4">
        <w:rPr>
          <w:rFonts w:ascii="Palatino Linotype" w:hAnsi="Palatino Linotype" w:cs="Arial"/>
          <w:b/>
          <w:color w:val="000000" w:themeColor="text1"/>
          <w:lang w:eastAsia="en-US"/>
        </w:rPr>
        <w:t xml:space="preserve"> </w:t>
      </w:r>
      <w:r w:rsidR="00177B12" w:rsidRPr="001B05A4">
        <w:rPr>
          <w:rFonts w:ascii="Palatino Linotype" w:hAnsi="Palatino Linotype" w:cs="Arial"/>
          <w:b/>
          <w:color w:val="000000" w:themeColor="text1"/>
          <w:lang w:eastAsia="en-US"/>
        </w:rPr>
        <w:t>de su conocimiento</w:t>
      </w:r>
      <w:r w:rsidR="00177B12" w:rsidRPr="001B05A4">
        <w:rPr>
          <w:rFonts w:ascii="Palatino Linotype" w:hAnsi="Palatino Linotype" w:cs="Arial"/>
          <w:color w:val="000000" w:themeColor="text1"/>
          <w:lang w:eastAsia="en-US"/>
        </w:rPr>
        <w:t xml:space="preserve"> </w:t>
      </w:r>
      <w:r w:rsidRPr="001B05A4">
        <w:rPr>
          <w:rFonts w:ascii="Palatino Linotype" w:hAnsi="Palatino Linotype" w:cs="Arial"/>
          <w:b/>
          <w:color w:val="000000" w:themeColor="text1"/>
          <w:lang w:eastAsia="en-US"/>
        </w:rPr>
        <w:t>AL RECURRENTE</w:t>
      </w:r>
      <w:r w:rsidRPr="001B05A4">
        <w:rPr>
          <w:rFonts w:ascii="Palatino Linotype" w:hAnsi="Palatino Linotype" w:cs="Arial"/>
          <w:color w:val="000000" w:themeColor="text1"/>
          <w:lang w:eastAsia="en-US"/>
        </w:rPr>
        <w:t xml:space="preserve"> </w:t>
      </w:r>
      <w:r w:rsidR="00177B12" w:rsidRPr="001B05A4">
        <w:rPr>
          <w:rFonts w:ascii="Palatino Linotype" w:hAnsi="Palatino Linotype" w:cs="Arial"/>
          <w:color w:val="000000" w:themeColor="text1"/>
          <w:lang w:eastAsia="en-US"/>
        </w:rPr>
        <w:t>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DC7019" w:rsidRPr="001B05A4" w:rsidRDefault="00DC7019" w:rsidP="00DC7019">
      <w:pPr>
        <w:spacing w:line="360" w:lineRule="auto"/>
        <w:jc w:val="both"/>
        <w:rPr>
          <w:rFonts w:ascii="Palatino Linotype" w:eastAsia="Palatino Linotype" w:hAnsi="Palatino Linotype" w:cs="Palatino Linotype"/>
          <w:b/>
          <w:color w:val="000000" w:themeColor="text1"/>
        </w:rPr>
      </w:pPr>
    </w:p>
    <w:p w:rsidR="001B05A4" w:rsidRPr="00847053" w:rsidRDefault="001B05A4" w:rsidP="001B05A4">
      <w:pPr>
        <w:spacing w:line="360" w:lineRule="auto"/>
        <w:jc w:val="both"/>
        <w:rPr>
          <w:rFonts w:ascii="Palatino Linotype" w:eastAsia="Palatino Linotype" w:hAnsi="Palatino Linotype" w:cs="Palatino Linotype"/>
          <w:color w:val="000000" w:themeColor="text1"/>
        </w:rPr>
      </w:pPr>
      <w:r w:rsidRPr="001B05A4">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72148B" w:rsidRPr="00DC7019" w:rsidRDefault="0072148B" w:rsidP="00DC7019">
      <w:pPr>
        <w:spacing w:line="360" w:lineRule="auto"/>
        <w:jc w:val="both"/>
        <w:rPr>
          <w:rFonts w:ascii="Palatino Linotype" w:eastAsia="Palatino Linotype" w:hAnsi="Palatino Linotype" w:cs="Palatino Linotype"/>
          <w:color w:val="000000" w:themeColor="text1"/>
        </w:rPr>
      </w:pPr>
    </w:p>
    <w:p w:rsidR="0072148B" w:rsidRPr="00DC7019" w:rsidRDefault="0072148B" w:rsidP="00DC7019">
      <w:pPr>
        <w:spacing w:line="360" w:lineRule="auto"/>
        <w:jc w:val="both"/>
        <w:rPr>
          <w:rFonts w:ascii="Palatino Linotype" w:eastAsia="Palatino Linotype" w:hAnsi="Palatino Linotype" w:cs="Palatino Linotype"/>
          <w:color w:val="000000" w:themeColor="text1"/>
        </w:rPr>
      </w:pPr>
    </w:p>
    <w:p w:rsidR="0072148B" w:rsidRPr="00DC7019" w:rsidRDefault="0072148B" w:rsidP="00DC7019">
      <w:pPr>
        <w:spacing w:line="360" w:lineRule="auto"/>
        <w:jc w:val="both"/>
        <w:rPr>
          <w:rFonts w:ascii="Palatino Linotype" w:eastAsia="Palatino Linotype" w:hAnsi="Palatino Linotype" w:cs="Palatino Linotype"/>
          <w:color w:val="000000" w:themeColor="text1"/>
        </w:rPr>
      </w:pPr>
    </w:p>
    <w:p w:rsidR="0072148B" w:rsidRPr="00DC7019" w:rsidRDefault="0072148B" w:rsidP="00DC7019">
      <w:pPr>
        <w:spacing w:line="360" w:lineRule="auto"/>
        <w:jc w:val="both"/>
        <w:rPr>
          <w:rFonts w:ascii="Palatino Linotype" w:eastAsia="Palatino Linotype" w:hAnsi="Palatino Linotype" w:cs="Palatino Linotype"/>
          <w:color w:val="000000" w:themeColor="text1"/>
        </w:rPr>
      </w:pPr>
    </w:p>
    <w:p w:rsidR="0072148B" w:rsidRPr="00DC7019" w:rsidRDefault="0072148B" w:rsidP="00DC7019">
      <w:pPr>
        <w:spacing w:line="360" w:lineRule="auto"/>
        <w:jc w:val="both"/>
        <w:rPr>
          <w:rFonts w:ascii="Palatino Linotype" w:eastAsia="Palatino Linotype" w:hAnsi="Palatino Linotype" w:cs="Palatino Linotype"/>
          <w:color w:val="000000" w:themeColor="text1"/>
        </w:rPr>
      </w:pPr>
    </w:p>
    <w:p w:rsidR="0072148B" w:rsidRPr="00DC7019" w:rsidRDefault="0072148B" w:rsidP="00DC7019">
      <w:pPr>
        <w:spacing w:line="360" w:lineRule="auto"/>
        <w:jc w:val="both"/>
        <w:rPr>
          <w:rFonts w:ascii="Palatino Linotype" w:eastAsia="Palatino Linotype" w:hAnsi="Palatino Linotype" w:cs="Palatino Linotype"/>
          <w:color w:val="000000" w:themeColor="text1"/>
        </w:rPr>
      </w:pPr>
    </w:p>
    <w:p w:rsidR="0072148B" w:rsidRPr="00DC7019" w:rsidRDefault="0072148B" w:rsidP="00DC7019">
      <w:pPr>
        <w:spacing w:line="360" w:lineRule="auto"/>
        <w:jc w:val="both"/>
        <w:rPr>
          <w:rFonts w:ascii="Palatino Linotype" w:eastAsia="Palatino Linotype" w:hAnsi="Palatino Linotype" w:cs="Palatino Linotype"/>
          <w:color w:val="000000" w:themeColor="text1"/>
        </w:rPr>
      </w:pPr>
    </w:p>
    <w:p w:rsidR="0072148B" w:rsidRPr="00DC7019" w:rsidRDefault="0072148B" w:rsidP="00DC7019">
      <w:pPr>
        <w:spacing w:line="360" w:lineRule="auto"/>
        <w:jc w:val="both"/>
        <w:rPr>
          <w:rFonts w:ascii="Palatino Linotype" w:eastAsia="Palatino Linotype" w:hAnsi="Palatino Linotype" w:cs="Palatino Linotype"/>
          <w:color w:val="000000" w:themeColor="text1"/>
        </w:rPr>
      </w:pPr>
    </w:p>
    <w:p w:rsidR="0072148B" w:rsidRPr="00DC7019" w:rsidRDefault="0072148B" w:rsidP="00DC7019">
      <w:pPr>
        <w:spacing w:line="360" w:lineRule="auto"/>
        <w:jc w:val="both"/>
        <w:rPr>
          <w:rFonts w:ascii="Palatino Linotype" w:eastAsia="Palatino Linotype" w:hAnsi="Palatino Linotype" w:cs="Palatino Linotype"/>
          <w:color w:val="000000" w:themeColor="text1"/>
        </w:rPr>
      </w:pPr>
    </w:p>
    <w:p w:rsidR="0072148B" w:rsidRPr="00DC7019" w:rsidRDefault="0072148B" w:rsidP="00DC7019">
      <w:pPr>
        <w:spacing w:line="360" w:lineRule="auto"/>
        <w:jc w:val="both"/>
        <w:rPr>
          <w:rFonts w:ascii="Palatino Linotype" w:eastAsia="Palatino Linotype" w:hAnsi="Palatino Linotype" w:cs="Palatino Linotype"/>
          <w:color w:val="000000" w:themeColor="text1"/>
        </w:rPr>
      </w:pPr>
    </w:p>
    <w:p w:rsidR="0072148B" w:rsidRPr="00DC7019" w:rsidRDefault="0072148B" w:rsidP="00DC7019">
      <w:pPr>
        <w:spacing w:line="360" w:lineRule="auto"/>
        <w:jc w:val="both"/>
        <w:rPr>
          <w:rFonts w:ascii="Palatino Linotype" w:eastAsia="Palatino Linotype" w:hAnsi="Palatino Linotype" w:cs="Palatino Linotype"/>
          <w:color w:val="000000" w:themeColor="text1"/>
        </w:rPr>
      </w:pPr>
    </w:p>
    <w:p w:rsidR="0072148B" w:rsidRDefault="0072148B" w:rsidP="00DC7019">
      <w:pPr>
        <w:spacing w:line="360" w:lineRule="auto"/>
        <w:jc w:val="both"/>
        <w:rPr>
          <w:rFonts w:ascii="Palatino Linotype" w:eastAsia="Palatino Linotype" w:hAnsi="Palatino Linotype" w:cs="Palatino Linotype"/>
          <w:color w:val="000000" w:themeColor="text1"/>
        </w:rPr>
      </w:pPr>
    </w:p>
    <w:p w:rsidR="0072148B" w:rsidRPr="00DC7019" w:rsidRDefault="0072148B" w:rsidP="00DC7019">
      <w:pPr>
        <w:tabs>
          <w:tab w:val="left" w:pos="3374"/>
        </w:tabs>
        <w:spacing w:line="360" w:lineRule="auto"/>
        <w:rPr>
          <w:rFonts w:ascii="Palatino Linotype" w:eastAsia="Palatino Linotype" w:hAnsi="Palatino Linotype" w:cs="Palatino Linotype"/>
          <w:color w:val="000000" w:themeColor="text1"/>
        </w:rPr>
      </w:pPr>
      <w:bookmarkStart w:id="11" w:name="_heading=h.lnxbz9" w:colFirst="0" w:colLast="0"/>
      <w:bookmarkEnd w:id="11"/>
    </w:p>
    <w:sectPr w:rsidR="0072148B" w:rsidRPr="00DC7019" w:rsidSect="00DC7019">
      <w:headerReference w:type="even" r:id="rId9"/>
      <w:headerReference w:type="default" r:id="rId10"/>
      <w:footerReference w:type="default" r:id="rId11"/>
      <w:headerReference w:type="first" r:id="rId12"/>
      <w:footerReference w:type="first" r:id="rId13"/>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9BB" w:rsidRDefault="005129BB">
      <w:r>
        <w:separator/>
      </w:r>
    </w:p>
  </w:endnote>
  <w:endnote w:type="continuationSeparator" w:id="0">
    <w:p w:rsidR="005129BB" w:rsidRDefault="0051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1B2" w:rsidRDefault="003A61B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31050">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31050">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3A61B2" w:rsidRDefault="003A61B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1B2" w:rsidRDefault="003A61B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3105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31050">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3A61B2" w:rsidRDefault="003A61B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9BB" w:rsidRDefault="005129BB">
      <w:r>
        <w:separator/>
      </w:r>
    </w:p>
  </w:footnote>
  <w:footnote w:type="continuationSeparator" w:id="0">
    <w:p w:rsidR="005129BB" w:rsidRDefault="00512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1B2" w:rsidRDefault="005129B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261" w:type="dxa"/>
      <w:tblLayout w:type="fixed"/>
      <w:tblLook w:val="0400" w:firstRow="0" w:lastRow="0" w:firstColumn="0" w:lastColumn="0" w:noHBand="0" w:noVBand="1"/>
    </w:tblPr>
    <w:tblGrid>
      <w:gridCol w:w="2693"/>
      <w:gridCol w:w="4252"/>
    </w:tblGrid>
    <w:tr w:rsidR="003A61B2" w:rsidRPr="00DC7019" w:rsidTr="00DC7019">
      <w:trPr>
        <w:trHeight w:val="227"/>
      </w:trPr>
      <w:tc>
        <w:tcPr>
          <w:tcW w:w="2693" w:type="dxa"/>
        </w:tcPr>
        <w:p w:rsidR="003A61B2" w:rsidRPr="00DC7019" w:rsidRDefault="003A61B2" w:rsidP="009858A5">
          <w:pPr>
            <w:jc w:val="right"/>
            <w:rPr>
              <w:rFonts w:ascii="Palatino Linotype" w:eastAsia="Palatino Linotype" w:hAnsi="Palatino Linotype" w:cs="Palatino Linotype"/>
              <w:b/>
            </w:rPr>
          </w:pPr>
          <w:r w:rsidRPr="00DC7019">
            <w:rPr>
              <w:rFonts w:ascii="Palatino Linotype" w:eastAsia="Palatino Linotype" w:hAnsi="Palatino Linotype" w:cs="Palatino Linotype"/>
              <w:b/>
            </w:rPr>
            <w:t>Recurso de Revisión:</w:t>
          </w:r>
        </w:p>
      </w:tc>
      <w:tc>
        <w:tcPr>
          <w:tcW w:w="4252" w:type="dxa"/>
        </w:tcPr>
        <w:p w:rsidR="003A61B2" w:rsidRPr="00DC7019" w:rsidRDefault="003A61B2" w:rsidP="009858A5">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DC7019">
            <w:rPr>
              <w:rFonts w:ascii="Palatino Linotype" w:eastAsia="Palatino Linotype" w:hAnsi="Palatino Linotype" w:cs="Palatino Linotype"/>
              <w:color w:val="000000"/>
            </w:rPr>
            <w:t>02148/INFOEM/IP/RR/2025</w:t>
          </w:r>
        </w:p>
      </w:tc>
    </w:tr>
    <w:tr w:rsidR="003A61B2" w:rsidRPr="00DC7019" w:rsidTr="00DC7019">
      <w:trPr>
        <w:trHeight w:val="342"/>
      </w:trPr>
      <w:tc>
        <w:tcPr>
          <w:tcW w:w="2693" w:type="dxa"/>
        </w:tcPr>
        <w:p w:rsidR="003A61B2" w:rsidRPr="00DC7019" w:rsidRDefault="003A61B2" w:rsidP="009858A5">
          <w:pPr>
            <w:jc w:val="right"/>
            <w:rPr>
              <w:rFonts w:ascii="Palatino Linotype" w:eastAsia="Palatino Linotype" w:hAnsi="Palatino Linotype" w:cs="Palatino Linotype"/>
              <w:b/>
            </w:rPr>
          </w:pPr>
          <w:r w:rsidRPr="00DC7019">
            <w:rPr>
              <w:rFonts w:ascii="Palatino Linotype" w:eastAsia="Palatino Linotype" w:hAnsi="Palatino Linotype" w:cs="Palatino Linotype"/>
              <w:b/>
            </w:rPr>
            <w:t>Sujeto Obligado:</w:t>
          </w:r>
        </w:p>
      </w:tc>
      <w:tc>
        <w:tcPr>
          <w:tcW w:w="4252" w:type="dxa"/>
        </w:tcPr>
        <w:p w:rsidR="003A61B2" w:rsidRPr="00DC7019" w:rsidRDefault="003A61B2" w:rsidP="009858A5">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DC7019">
            <w:rPr>
              <w:rFonts w:ascii="Palatino Linotype" w:eastAsia="Palatino Linotype" w:hAnsi="Palatino Linotype" w:cs="Palatino Linotype"/>
              <w:color w:val="000000"/>
            </w:rPr>
            <w:t>Ayuntamiento de Toluca</w:t>
          </w:r>
        </w:p>
      </w:tc>
    </w:tr>
    <w:tr w:rsidR="003A61B2" w:rsidRPr="00DC7019" w:rsidTr="00DC7019">
      <w:trPr>
        <w:trHeight w:val="342"/>
      </w:trPr>
      <w:tc>
        <w:tcPr>
          <w:tcW w:w="2693" w:type="dxa"/>
        </w:tcPr>
        <w:p w:rsidR="003A61B2" w:rsidRPr="00DC7019" w:rsidRDefault="003A61B2" w:rsidP="009858A5">
          <w:pPr>
            <w:jc w:val="right"/>
            <w:rPr>
              <w:rFonts w:ascii="Palatino Linotype" w:eastAsia="Palatino Linotype" w:hAnsi="Palatino Linotype" w:cs="Palatino Linotype"/>
              <w:b/>
            </w:rPr>
          </w:pPr>
          <w:r w:rsidRPr="00DC7019">
            <w:rPr>
              <w:rFonts w:ascii="Palatino Linotype" w:eastAsia="Palatino Linotype" w:hAnsi="Palatino Linotype" w:cs="Palatino Linotype"/>
              <w:b/>
            </w:rPr>
            <w:t>Comisionada Ponente:</w:t>
          </w:r>
        </w:p>
      </w:tc>
      <w:tc>
        <w:tcPr>
          <w:tcW w:w="4252" w:type="dxa"/>
        </w:tcPr>
        <w:p w:rsidR="003A61B2" w:rsidRPr="00DC7019" w:rsidRDefault="003A61B2" w:rsidP="009858A5">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DC7019">
            <w:rPr>
              <w:rFonts w:ascii="Palatino Linotype" w:eastAsia="Palatino Linotype" w:hAnsi="Palatino Linotype" w:cs="Palatino Linotype"/>
              <w:color w:val="000000"/>
            </w:rPr>
            <w:t>María del Rosario Mejía Ayala</w:t>
          </w:r>
        </w:p>
      </w:tc>
    </w:tr>
  </w:tbl>
  <w:p w:rsidR="003A61B2" w:rsidRDefault="005129BB">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7.55pt;margin-top:-126.4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261" w:type="dxa"/>
      <w:tblLayout w:type="fixed"/>
      <w:tblLook w:val="0400" w:firstRow="0" w:lastRow="0" w:firstColumn="0" w:lastColumn="0" w:noHBand="0" w:noVBand="1"/>
    </w:tblPr>
    <w:tblGrid>
      <w:gridCol w:w="2693"/>
      <w:gridCol w:w="4252"/>
    </w:tblGrid>
    <w:tr w:rsidR="003A61B2" w:rsidRPr="00DC7019" w:rsidTr="00DC7019">
      <w:trPr>
        <w:trHeight w:val="227"/>
      </w:trPr>
      <w:tc>
        <w:tcPr>
          <w:tcW w:w="2693" w:type="dxa"/>
        </w:tcPr>
        <w:p w:rsidR="003A61B2" w:rsidRPr="00DC7019" w:rsidRDefault="003A61B2" w:rsidP="00DC7019">
          <w:pPr>
            <w:jc w:val="right"/>
            <w:rPr>
              <w:rFonts w:ascii="Palatino Linotype" w:eastAsia="Palatino Linotype" w:hAnsi="Palatino Linotype" w:cs="Palatino Linotype"/>
              <w:b/>
            </w:rPr>
          </w:pPr>
          <w:r w:rsidRPr="00DC7019">
            <w:rPr>
              <w:rFonts w:ascii="Palatino Linotype" w:eastAsia="Palatino Linotype" w:hAnsi="Palatino Linotype" w:cs="Palatino Linotype"/>
              <w:b/>
            </w:rPr>
            <w:t>Recurso de Revisión:</w:t>
          </w:r>
        </w:p>
      </w:tc>
      <w:tc>
        <w:tcPr>
          <w:tcW w:w="4252" w:type="dxa"/>
        </w:tcPr>
        <w:p w:rsidR="003A61B2" w:rsidRPr="00DC7019" w:rsidRDefault="003A61B2" w:rsidP="00DC7019">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DC7019">
            <w:rPr>
              <w:rFonts w:ascii="Palatino Linotype" w:eastAsia="Palatino Linotype" w:hAnsi="Palatino Linotype" w:cs="Palatino Linotype"/>
              <w:color w:val="000000"/>
            </w:rPr>
            <w:t>02148/INFOEM/IP/RR/2025</w:t>
          </w:r>
        </w:p>
      </w:tc>
    </w:tr>
    <w:tr w:rsidR="003A61B2" w:rsidRPr="00DC7019" w:rsidTr="00DC7019">
      <w:trPr>
        <w:trHeight w:val="242"/>
      </w:trPr>
      <w:tc>
        <w:tcPr>
          <w:tcW w:w="2693" w:type="dxa"/>
        </w:tcPr>
        <w:p w:rsidR="003A61B2" w:rsidRPr="00DC7019" w:rsidRDefault="003A61B2" w:rsidP="00DC7019">
          <w:pPr>
            <w:jc w:val="right"/>
            <w:rPr>
              <w:rFonts w:ascii="Palatino Linotype" w:eastAsia="Palatino Linotype" w:hAnsi="Palatino Linotype" w:cs="Palatino Linotype"/>
              <w:b/>
            </w:rPr>
          </w:pPr>
          <w:r w:rsidRPr="00DC7019">
            <w:rPr>
              <w:rFonts w:ascii="Palatino Linotype" w:eastAsia="Palatino Linotype" w:hAnsi="Palatino Linotype" w:cs="Palatino Linotype"/>
              <w:b/>
            </w:rPr>
            <w:t>Recurrente:</w:t>
          </w:r>
        </w:p>
      </w:tc>
      <w:tc>
        <w:tcPr>
          <w:tcW w:w="4252" w:type="dxa"/>
        </w:tcPr>
        <w:p w:rsidR="003A61B2" w:rsidRPr="00DC7019" w:rsidRDefault="003A61B2" w:rsidP="00DC7019">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3A61B2" w:rsidRPr="00DC7019" w:rsidTr="00DC7019">
      <w:trPr>
        <w:trHeight w:val="342"/>
      </w:trPr>
      <w:tc>
        <w:tcPr>
          <w:tcW w:w="2693" w:type="dxa"/>
        </w:tcPr>
        <w:p w:rsidR="003A61B2" w:rsidRPr="00DC7019" w:rsidRDefault="003A61B2" w:rsidP="00DC7019">
          <w:pPr>
            <w:jc w:val="right"/>
            <w:rPr>
              <w:rFonts w:ascii="Palatino Linotype" w:eastAsia="Palatino Linotype" w:hAnsi="Palatino Linotype" w:cs="Palatino Linotype"/>
              <w:b/>
            </w:rPr>
          </w:pPr>
          <w:r w:rsidRPr="00DC7019">
            <w:rPr>
              <w:rFonts w:ascii="Palatino Linotype" w:eastAsia="Palatino Linotype" w:hAnsi="Palatino Linotype" w:cs="Palatino Linotype"/>
              <w:b/>
            </w:rPr>
            <w:t>Sujeto Obligado:</w:t>
          </w:r>
        </w:p>
      </w:tc>
      <w:tc>
        <w:tcPr>
          <w:tcW w:w="4252" w:type="dxa"/>
        </w:tcPr>
        <w:p w:rsidR="003A61B2" w:rsidRPr="00DC7019" w:rsidRDefault="003A61B2" w:rsidP="00DC7019">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DC7019">
            <w:rPr>
              <w:rFonts w:ascii="Palatino Linotype" w:eastAsia="Palatino Linotype" w:hAnsi="Palatino Linotype" w:cs="Palatino Linotype"/>
              <w:color w:val="000000"/>
            </w:rPr>
            <w:t>Ayuntamiento de Toluca</w:t>
          </w:r>
        </w:p>
      </w:tc>
    </w:tr>
    <w:tr w:rsidR="003A61B2" w:rsidRPr="00DC7019" w:rsidTr="00DC7019">
      <w:trPr>
        <w:trHeight w:val="342"/>
      </w:trPr>
      <w:tc>
        <w:tcPr>
          <w:tcW w:w="2693" w:type="dxa"/>
        </w:tcPr>
        <w:p w:rsidR="003A61B2" w:rsidRPr="00DC7019" w:rsidRDefault="003A61B2" w:rsidP="00DC7019">
          <w:pPr>
            <w:jc w:val="right"/>
            <w:rPr>
              <w:rFonts w:ascii="Palatino Linotype" w:eastAsia="Palatino Linotype" w:hAnsi="Palatino Linotype" w:cs="Palatino Linotype"/>
              <w:b/>
            </w:rPr>
          </w:pPr>
          <w:r w:rsidRPr="00DC7019">
            <w:rPr>
              <w:rFonts w:ascii="Palatino Linotype" w:eastAsia="Palatino Linotype" w:hAnsi="Palatino Linotype" w:cs="Palatino Linotype"/>
              <w:b/>
            </w:rPr>
            <w:t>Comisionada Ponente:</w:t>
          </w:r>
        </w:p>
      </w:tc>
      <w:tc>
        <w:tcPr>
          <w:tcW w:w="4252" w:type="dxa"/>
        </w:tcPr>
        <w:p w:rsidR="003A61B2" w:rsidRPr="00DC7019" w:rsidRDefault="003A61B2" w:rsidP="00DC7019">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DC7019">
            <w:rPr>
              <w:rFonts w:ascii="Palatino Linotype" w:eastAsia="Palatino Linotype" w:hAnsi="Palatino Linotype" w:cs="Palatino Linotype"/>
              <w:color w:val="000000"/>
            </w:rPr>
            <w:t>María del Rosario Mejía Ayala</w:t>
          </w:r>
        </w:p>
      </w:tc>
    </w:tr>
  </w:tbl>
  <w:p w:rsidR="003A61B2" w:rsidRDefault="005129BB">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7E1"/>
    <w:multiLevelType w:val="multilevel"/>
    <w:tmpl w:val="4DA418A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D677AC"/>
    <w:multiLevelType w:val="hybridMultilevel"/>
    <w:tmpl w:val="8110A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5E4FB9"/>
    <w:multiLevelType w:val="hybridMultilevel"/>
    <w:tmpl w:val="A564815A"/>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5D2524F"/>
    <w:multiLevelType w:val="hybridMultilevel"/>
    <w:tmpl w:val="B982530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D00CB8"/>
    <w:multiLevelType w:val="hybridMultilevel"/>
    <w:tmpl w:val="2F52DF0A"/>
    <w:lvl w:ilvl="0" w:tplc="EC74B47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60C5C04"/>
    <w:multiLevelType w:val="hybridMultilevel"/>
    <w:tmpl w:val="C4E4FCA2"/>
    <w:lvl w:ilvl="0" w:tplc="3EBC41EE">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FE6EDD"/>
    <w:multiLevelType w:val="hybridMultilevel"/>
    <w:tmpl w:val="57CC9342"/>
    <w:lvl w:ilvl="0" w:tplc="2F902FA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15:restartNumberingAfterBreak="0">
    <w:nsid w:val="28D830D1"/>
    <w:multiLevelType w:val="hybridMultilevel"/>
    <w:tmpl w:val="E4B8E3D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06A42"/>
    <w:multiLevelType w:val="hybridMultilevel"/>
    <w:tmpl w:val="C72C5A1C"/>
    <w:lvl w:ilvl="0" w:tplc="81E263FA">
      <w:start w:val="1"/>
      <w:numFmt w:val="decimal"/>
      <w:lvlText w:val="%1."/>
      <w:lvlJc w:val="left"/>
      <w:pPr>
        <w:ind w:left="720" w:hanging="360"/>
      </w:pPr>
      <w:rPr>
        <w:rFonts w:eastAsiaTheme="minorHAns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F947E2"/>
    <w:multiLevelType w:val="multilevel"/>
    <w:tmpl w:val="F22C4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E40583"/>
    <w:multiLevelType w:val="hybridMultilevel"/>
    <w:tmpl w:val="11427EF4"/>
    <w:lvl w:ilvl="0" w:tplc="BB2655F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42D6B4A"/>
    <w:multiLevelType w:val="hybridMultilevel"/>
    <w:tmpl w:val="AE36F28E"/>
    <w:lvl w:ilvl="0" w:tplc="0A52586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87E00F2"/>
    <w:multiLevelType w:val="multilevel"/>
    <w:tmpl w:val="CB5E5D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A66B34"/>
    <w:multiLevelType w:val="multilevel"/>
    <w:tmpl w:val="104EE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4C472C"/>
    <w:multiLevelType w:val="hybridMultilevel"/>
    <w:tmpl w:val="94CCD1FA"/>
    <w:lvl w:ilvl="0" w:tplc="080A0011">
      <w:start w:val="1"/>
      <w:numFmt w:val="decimal"/>
      <w:lvlText w:val="%1)"/>
      <w:lvlJc w:val="left"/>
      <w:pPr>
        <w:ind w:left="720" w:hanging="360"/>
      </w:pPr>
      <w:rPr>
        <w:rFonts w:hint="default"/>
      </w:rPr>
    </w:lvl>
    <w:lvl w:ilvl="1" w:tplc="080A0011">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BE7B62"/>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A22E3E"/>
    <w:multiLevelType w:val="hybridMultilevel"/>
    <w:tmpl w:val="11427EF4"/>
    <w:lvl w:ilvl="0" w:tplc="BB2655F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BD037EF"/>
    <w:multiLevelType w:val="hybridMultilevel"/>
    <w:tmpl w:val="123E3E34"/>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5" w15:restartNumberingAfterBreak="0">
    <w:nsid w:val="4DE33D0A"/>
    <w:multiLevelType w:val="multilevel"/>
    <w:tmpl w:val="F7A6506E"/>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26" w15:restartNumberingAfterBreak="0">
    <w:nsid w:val="4FF356CC"/>
    <w:multiLevelType w:val="hybridMultilevel"/>
    <w:tmpl w:val="EAFA29B6"/>
    <w:lvl w:ilvl="0" w:tplc="8DCAF8EA">
      <w:start w:val="1"/>
      <w:numFmt w:val="decimal"/>
      <w:lvlText w:val="%1."/>
      <w:lvlJc w:val="left"/>
      <w:pPr>
        <w:ind w:left="720" w:hanging="360"/>
      </w:pPr>
      <w:rPr>
        <w:rFonts w:ascii="Palatino Linotype" w:eastAsia="Times New Roman" w:hAnsi="Palatino Linotype" w:cs="Times New Roman"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B36B65"/>
    <w:multiLevelType w:val="multilevel"/>
    <w:tmpl w:val="B28AE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9" w15:restartNumberingAfterBreak="0">
    <w:nsid w:val="576503B3"/>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1D14F8"/>
    <w:multiLevelType w:val="multilevel"/>
    <w:tmpl w:val="302EC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E385838"/>
    <w:multiLevelType w:val="hybridMultilevel"/>
    <w:tmpl w:val="32705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A176CE"/>
    <w:multiLevelType w:val="hybridMultilevel"/>
    <w:tmpl w:val="37CCE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6C9005E"/>
    <w:multiLevelType w:val="multilevel"/>
    <w:tmpl w:val="AED242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6" w15:restartNumberingAfterBreak="0">
    <w:nsid w:val="730844B1"/>
    <w:multiLevelType w:val="hybridMultilevel"/>
    <w:tmpl w:val="541C4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3C6992"/>
    <w:multiLevelType w:val="multilevel"/>
    <w:tmpl w:val="972855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8" w15:restartNumberingAfterBreak="0">
    <w:nsid w:val="74AA71C1"/>
    <w:multiLevelType w:val="hybridMultilevel"/>
    <w:tmpl w:val="A85E917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0" w15:restartNumberingAfterBreak="0">
    <w:nsid w:val="7C435A25"/>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1643A4"/>
    <w:multiLevelType w:val="multilevel"/>
    <w:tmpl w:val="1DCEE68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9"/>
  </w:num>
  <w:num w:numId="3">
    <w:abstractNumId w:val="25"/>
  </w:num>
  <w:num w:numId="4">
    <w:abstractNumId w:val="37"/>
  </w:num>
  <w:num w:numId="5">
    <w:abstractNumId w:val="35"/>
  </w:num>
  <w:num w:numId="6">
    <w:abstractNumId w:val="40"/>
  </w:num>
  <w:num w:numId="7">
    <w:abstractNumId w:val="17"/>
  </w:num>
  <w:num w:numId="8">
    <w:abstractNumId w:val="18"/>
  </w:num>
  <w:num w:numId="9">
    <w:abstractNumId w:val="28"/>
  </w:num>
  <w:num w:numId="10">
    <w:abstractNumId w:val="31"/>
  </w:num>
  <w:num w:numId="11">
    <w:abstractNumId w:val="16"/>
  </w:num>
  <w:num w:numId="12">
    <w:abstractNumId w:val="4"/>
  </w:num>
  <w:num w:numId="13">
    <w:abstractNumId w:val="30"/>
  </w:num>
  <w:num w:numId="14">
    <w:abstractNumId w:val="13"/>
  </w:num>
  <w:num w:numId="15">
    <w:abstractNumId w:val="14"/>
  </w:num>
  <w:num w:numId="16">
    <w:abstractNumId w:val="6"/>
  </w:num>
  <w:num w:numId="17">
    <w:abstractNumId w:val="3"/>
  </w:num>
  <w:num w:numId="18">
    <w:abstractNumId w:val="1"/>
  </w:num>
  <w:num w:numId="19">
    <w:abstractNumId w:val="36"/>
  </w:num>
  <w:num w:numId="20">
    <w:abstractNumId w:val="12"/>
    <w:lvlOverride w:ilvl="0">
      <w:lvl w:ilvl="0">
        <w:numFmt w:val="lowerLetter"/>
        <w:lvlText w:val="%1."/>
        <w:lvlJc w:val="left"/>
      </w:lvl>
    </w:lvlOverride>
  </w:num>
  <w:num w:numId="21">
    <w:abstractNumId w:val="27"/>
  </w:num>
  <w:num w:numId="22">
    <w:abstractNumId w:val="41"/>
    <w:lvlOverride w:ilvl="0">
      <w:lvl w:ilvl="0">
        <w:numFmt w:val="lowerLetter"/>
        <w:lvlText w:val="%1."/>
        <w:lvlJc w:val="left"/>
      </w:lvl>
    </w:lvlOverride>
  </w:num>
  <w:num w:numId="23">
    <w:abstractNumId w:val="15"/>
    <w:lvlOverride w:ilvl="0">
      <w:lvl w:ilvl="0">
        <w:numFmt w:val="decimal"/>
        <w:lvlText w:val="%1."/>
        <w:lvlJc w:val="left"/>
      </w:lvl>
    </w:lvlOverride>
  </w:num>
  <w:num w:numId="24">
    <w:abstractNumId w:val="34"/>
  </w:num>
  <w:num w:numId="25">
    <w:abstractNumId w:val="33"/>
  </w:num>
  <w:num w:numId="26">
    <w:abstractNumId w:val="23"/>
  </w:num>
  <w:num w:numId="27">
    <w:abstractNumId w:val="2"/>
  </w:num>
  <w:num w:numId="28">
    <w:abstractNumId w:val="10"/>
  </w:num>
  <w:num w:numId="29">
    <w:abstractNumId w:val="19"/>
  </w:num>
  <w:num w:numId="30">
    <w:abstractNumId w:val="20"/>
  </w:num>
  <w:num w:numId="31">
    <w:abstractNumId w:val="21"/>
  </w:num>
  <w:num w:numId="32">
    <w:abstractNumId w:val="11"/>
  </w:num>
  <w:num w:numId="33">
    <w:abstractNumId w:val="29"/>
  </w:num>
  <w:num w:numId="34">
    <w:abstractNumId w:val="9"/>
  </w:num>
  <w:num w:numId="35">
    <w:abstractNumId w:val="26"/>
  </w:num>
  <w:num w:numId="36">
    <w:abstractNumId w:val="7"/>
  </w:num>
  <w:num w:numId="37">
    <w:abstractNumId w:val="8"/>
  </w:num>
  <w:num w:numId="38">
    <w:abstractNumId w:val="38"/>
  </w:num>
  <w:num w:numId="39">
    <w:abstractNumId w:val="22"/>
  </w:num>
  <w:num w:numId="40">
    <w:abstractNumId w:val="0"/>
  </w:num>
  <w:num w:numId="41">
    <w:abstractNumId w:val="5"/>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3DD9"/>
    <w:rsid w:val="00023F89"/>
    <w:rsid w:val="00024F93"/>
    <w:rsid w:val="00036F07"/>
    <w:rsid w:val="00037080"/>
    <w:rsid w:val="00037694"/>
    <w:rsid w:val="00043971"/>
    <w:rsid w:val="00062444"/>
    <w:rsid w:val="00070275"/>
    <w:rsid w:val="00070E1F"/>
    <w:rsid w:val="00071483"/>
    <w:rsid w:val="000746C9"/>
    <w:rsid w:val="00077434"/>
    <w:rsid w:val="00084793"/>
    <w:rsid w:val="000930BF"/>
    <w:rsid w:val="000A61EB"/>
    <w:rsid w:val="000D3698"/>
    <w:rsid w:val="000D4D94"/>
    <w:rsid w:val="000D50F3"/>
    <w:rsid w:val="000E2661"/>
    <w:rsid w:val="000E67B2"/>
    <w:rsid w:val="000E6B02"/>
    <w:rsid w:val="000F113E"/>
    <w:rsid w:val="000F1D57"/>
    <w:rsid w:val="000F6F52"/>
    <w:rsid w:val="00102F1F"/>
    <w:rsid w:val="00106553"/>
    <w:rsid w:val="0012052F"/>
    <w:rsid w:val="00127517"/>
    <w:rsid w:val="00133E64"/>
    <w:rsid w:val="00140D09"/>
    <w:rsid w:val="00146910"/>
    <w:rsid w:val="00146A65"/>
    <w:rsid w:val="00161EAC"/>
    <w:rsid w:val="00172272"/>
    <w:rsid w:val="001765AF"/>
    <w:rsid w:val="00177B12"/>
    <w:rsid w:val="00181C24"/>
    <w:rsid w:val="00186184"/>
    <w:rsid w:val="00186FCA"/>
    <w:rsid w:val="00192B2A"/>
    <w:rsid w:val="00196AA0"/>
    <w:rsid w:val="00196D9E"/>
    <w:rsid w:val="001A030B"/>
    <w:rsid w:val="001A6DF5"/>
    <w:rsid w:val="001A78A1"/>
    <w:rsid w:val="001B05A4"/>
    <w:rsid w:val="001B1A41"/>
    <w:rsid w:val="001B631F"/>
    <w:rsid w:val="001C3FA6"/>
    <w:rsid w:val="001D3B8D"/>
    <w:rsid w:val="001D6B14"/>
    <w:rsid w:val="001E2CB9"/>
    <w:rsid w:val="001F159B"/>
    <w:rsid w:val="00201F7E"/>
    <w:rsid w:val="00205368"/>
    <w:rsid w:val="002061C6"/>
    <w:rsid w:val="00207157"/>
    <w:rsid w:val="002109CD"/>
    <w:rsid w:val="002148D1"/>
    <w:rsid w:val="00216DCC"/>
    <w:rsid w:val="00223B24"/>
    <w:rsid w:val="00250902"/>
    <w:rsid w:val="002510AE"/>
    <w:rsid w:val="002629BB"/>
    <w:rsid w:val="00262AEA"/>
    <w:rsid w:val="00270929"/>
    <w:rsid w:val="0027567B"/>
    <w:rsid w:val="00284285"/>
    <w:rsid w:val="002859D5"/>
    <w:rsid w:val="002907AD"/>
    <w:rsid w:val="00296C6B"/>
    <w:rsid w:val="00297A5F"/>
    <w:rsid w:val="002A534D"/>
    <w:rsid w:val="002B3B48"/>
    <w:rsid w:val="002B7A1B"/>
    <w:rsid w:val="002C4BEC"/>
    <w:rsid w:val="002D28B3"/>
    <w:rsid w:val="00301118"/>
    <w:rsid w:val="00320425"/>
    <w:rsid w:val="0032392F"/>
    <w:rsid w:val="0033057E"/>
    <w:rsid w:val="00331DE1"/>
    <w:rsid w:val="0033402D"/>
    <w:rsid w:val="003400CB"/>
    <w:rsid w:val="003410F3"/>
    <w:rsid w:val="00343DB0"/>
    <w:rsid w:val="00351275"/>
    <w:rsid w:val="0036122E"/>
    <w:rsid w:val="00361441"/>
    <w:rsid w:val="003644DE"/>
    <w:rsid w:val="00367B8C"/>
    <w:rsid w:val="00385C23"/>
    <w:rsid w:val="003A3C35"/>
    <w:rsid w:val="003A3F37"/>
    <w:rsid w:val="003A61B2"/>
    <w:rsid w:val="003A7307"/>
    <w:rsid w:val="003B2862"/>
    <w:rsid w:val="003B4C8D"/>
    <w:rsid w:val="003B699F"/>
    <w:rsid w:val="003C44EF"/>
    <w:rsid w:val="003C51F5"/>
    <w:rsid w:val="003D0E31"/>
    <w:rsid w:val="003D2D85"/>
    <w:rsid w:val="003D691E"/>
    <w:rsid w:val="003D6A3E"/>
    <w:rsid w:val="003E0A43"/>
    <w:rsid w:val="003E1C35"/>
    <w:rsid w:val="003E2B2A"/>
    <w:rsid w:val="003E4B8C"/>
    <w:rsid w:val="003E664D"/>
    <w:rsid w:val="003E6CA4"/>
    <w:rsid w:val="003F3AC4"/>
    <w:rsid w:val="003F56B1"/>
    <w:rsid w:val="00406CBB"/>
    <w:rsid w:val="004216D4"/>
    <w:rsid w:val="00425B35"/>
    <w:rsid w:val="00434E54"/>
    <w:rsid w:val="00442770"/>
    <w:rsid w:val="00450E28"/>
    <w:rsid w:val="00451CF4"/>
    <w:rsid w:val="00453D56"/>
    <w:rsid w:val="00454070"/>
    <w:rsid w:val="00455525"/>
    <w:rsid w:val="00457703"/>
    <w:rsid w:val="004602F0"/>
    <w:rsid w:val="00463EAE"/>
    <w:rsid w:val="00464714"/>
    <w:rsid w:val="0046784D"/>
    <w:rsid w:val="00471C55"/>
    <w:rsid w:val="00481C72"/>
    <w:rsid w:val="00481FAC"/>
    <w:rsid w:val="0048201A"/>
    <w:rsid w:val="00491452"/>
    <w:rsid w:val="004927E8"/>
    <w:rsid w:val="00492829"/>
    <w:rsid w:val="004A4399"/>
    <w:rsid w:val="004E0AFD"/>
    <w:rsid w:val="004E302F"/>
    <w:rsid w:val="005129BB"/>
    <w:rsid w:val="00526EF7"/>
    <w:rsid w:val="00543175"/>
    <w:rsid w:val="005449F3"/>
    <w:rsid w:val="005519B5"/>
    <w:rsid w:val="005565B6"/>
    <w:rsid w:val="00563F40"/>
    <w:rsid w:val="0056710D"/>
    <w:rsid w:val="005818AD"/>
    <w:rsid w:val="00596DC5"/>
    <w:rsid w:val="005A26DE"/>
    <w:rsid w:val="005A3070"/>
    <w:rsid w:val="005A367B"/>
    <w:rsid w:val="005A4ED2"/>
    <w:rsid w:val="005B371F"/>
    <w:rsid w:val="005B56CD"/>
    <w:rsid w:val="005C4221"/>
    <w:rsid w:val="005C572F"/>
    <w:rsid w:val="005C6920"/>
    <w:rsid w:val="005D7D28"/>
    <w:rsid w:val="005E58C9"/>
    <w:rsid w:val="006023DE"/>
    <w:rsid w:val="00604A69"/>
    <w:rsid w:val="00620E99"/>
    <w:rsid w:val="00636A4F"/>
    <w:rsid w:val="0065634A"/>
    <w:rsid w:val="00657958"/>
    <w:rsid w:val="0066225D"/>
    <w:rsid w:val="006664EC"/>
    <w:rsid w:val="00667B7C"/>
    <w:rsid w:val="00667C8E"/>
    <w:rsid w:val="006736CE"/>
    <w:rsid w:val="006816FB"/>
    <w:rsid w:val="00691E11"/>
    <w:rsid w:val="00696CCE"/>
    <w:rsid w:val="00697A47"/>
    <w:rsid w:val="006A129D"/>
    <w:rsid w:val="006A7954"/>
    <w:rsid w:val="006B0D8F"/>
    <w:rsid w:val="006B1694"/>
    <w:rsid w:val="006C4541"/>
    <w:rsid w:val="006C4A35"/>
    <w:rsid w:val="006C72E8"/>
    <w:rsid w:val="006D1845"/>
    <w:rsid w:val="006D6E88"/>
    <w:rsid w:val="006E295A"/>
    <w:rsid w:val="006E679E"/>
    <w:rsid w:val="006E7A01"/>
    <w:rsid w:val="006F49D1"/>
    <w:rsid w:val="00700C65"/>
    <w:rsid w:val="00711A66"/>
    <w:rsid w:val="00720581"/>
    <w:rsid w:val="0072148B"/>
    <w:rsid w:val="007266C3"/>
    <w:rsid w:val="00730E91"/>
    <w:rsid w:val="00734D78"/>
    <w:rsid w:val="00737C44"/>
    <w:rsid w:val="007406BD"/>
    <w:rsid w:val="00742100"/>
    <w:rsid w:val="00746978"/>
    <w:rsid w:val="007469B8"/>
    <w:rsid w:val="00747BDB"/>
    <w:rsid w:val="00751BDC"/>
    <w:rsid w:val="00764743"/>
    <w:rsid w:val="00764DF2"/>
    <w:rsid w:val="00770DF7"/>
    <w:rsid w:val="007715D9"/>
    <w:rsid w:val="00774D62"/>
    <w:rsid w:val="00776874"/>
    <w:rsid w:val="00777FC2"/>
    <w:rsid w:val="00790F20"/>
    <w:rsid w:val="00792580"/>
    <w:rsid w:val="0079778B"/>
    <w:rsid w:val="007A5006"/>
    <w:rsid w:val="007B0ABA"/>
    <w:rsid w:val="007B0C35"/>
    <w:rsid w:val="007B6C06"/>
    <w:rsid w:val="007B7C68"/>
    <w:rsid w:val="007C2BD4"/>
    <w:rsid w:val="007D083D"/>
    <w:rsid w:val="007D7476"/>
    <w:rsid w:val="007E27AA"/>
    <w:rsid w:val="007F1CC8"/>
    <w:rsid w:val="007F61D8"/>
    <w:rsid w:val="008016DD"/>
    <w:rsid w:val="00802549"/>
    <w:rsid w:val="00817B76"/>
    <w:rsid w:val="008238A5"/>
    <w:rsid w:val="0082506A"/>
    <w:rsid w:val="00825153"/>
    <w:rsid w:val="00831050"/>
    <w:rsid w:val="00835ACA"/>
    <w:rsid w:val="0084133A"/>
    <w:rsid w:val="00847C3A"/>
    <w:rsid w:val="0085755E"/>
    <w:rsid w:val="00870C33"/>
    <w:rsid w:val="00891202"/>
    <w:rsid w:val="00893AEB"/>
    <w:rsid w:val="00895953"/>
    <w:rsid w:val="008A2D0D"/>
    <w:rsid w:val="008A643F"/>
    <w:rsid w:val="008B7800"/>
    <w:rsid w:val="008C6196"/>
    <w:rsid w:val="008C7F02"/>
    <w:rsid w:val="008D12E0"/>
    <w:rsid w:val="008D7A23"/>
    <w:rsid w:val="008E58F8"/>
    <w:rsid w:val="008E7B4E"/>
    <w:rsid w:val="008F19B5"/>
    <w:rsid w:val="008F4572"/>
    <w:rsid w:val="008F4A76"/>
    <w:rsid w:val="00923ACC"/>
    <w:rsid w:val="00923D1F"/>
    <w:rsid w:val="009314EF"/>
    <w:rsid w:val="00931ADB"/>
    <w:rsid w:val="00932B26"/>
    <w:rsid w:val="00936FC3"/>
    <w:rsid w:val="009643B5"/>
    <w:rsid w:val="00964BCE"/>
    <w:rsid w:val="00975EDC"/>
    <w:rsid w:val="009858A5"/>
    <w:rsid w:val="00993617"/>
    <w:rsid w:val="0099608C"/>
    <w:rsid w:val="009965CB"/>
    <w:rsid w:val="009A0BC3"/>
    <w:rsid w:val="009A6040"/>
    <w:rsid w:val="009B18E2"/>
    <w:rsid w:val="009B2185"/>
    <w:rsid w:val="009C00EF"/>
    <w:rsid w:val="009C3266"/>
    <w:rsid w:val="009E7A2A"/>
    <w:rsid w:val="009F1F9E"/>
    <w:rsid w:val="009F2579"/>
    <w:rsid w:val="009F74E4"/>
    <w:rsid w:val="00A06C8F"/>
    <w:rsid w:val="00A077F4"/>
    <w:rsid w:val="00A07A67"/>
    <w:rsid w:val="00A10108"/>
    <w:rsid w:val="00A151BF"/>
    <w:rsid w:val="00A20CDE"/>
    <w:rsid w:val="00A27E7A"/>
    <w:rsid w:val="00A51835"/>
    <w:rsid w:val="00A57814"/>
    <w:rsid w:val="00A674EF"/>
    <w:rsid w:val="00A70E02"/>
    <w:rsid w:val="00A73069"/>
    <w:rsid w:val="00A80919"/>
    <w:rsid w:val="00A90A2C"/>
    <w:rsid w:val="00AA194B"/>
    <w:rsid w:val="00AB1E49"/>
    <w:rsid w:val="00AB21A5"/>
    <w:rsid w:val="00AB71E5"/>
    <w:rsid w:val="00AC0B18"/>
    <w:rsid w:val="00AC39E5"/>
    <w:rsid w:val="00AD29E4"/>
    <w:rsid w:val="00AE0F0F"/>
    <w:rsid w:val="00AF7688"/>
    <w:rsid w:val="00B00D79"/>
    <w:rsid w:val="00B01DBC"/>
    <w:rsid w:val="00B029E8"/>
    <w:rsid w:val="00B04D23"/>
    <w:rsid w:val="00B0554B"/>
    <w:rsid w:val="00B109AA"/>
    <w:rsid w:val="00B17B2F"/>
    <w:rsid w:val="00B24FDD"/>
    <w:rsid w:val="00B2612A"/>
    <w:rsid w:val="00B2791E"/>
    <w:rsid w:val="00B313B7"/>
    <w:rsid w:val="00B344DA"/>
    <w:rsid w:val="00B626FF"/>
    <w:rsid w:val="00B6308B"/>
    <w:rsid w:val="00B65F2F"/>
    <w:rsid w:val="00B6629A"/>
    <w:rsid w:val="00B70D04"/>
    <w:rsid w:val="00B8552F"/>
    <w:rsid w:val="00B87828"/>
    <w:rsid w:val="00B90077"/>
    <w:rsid w:val="00B95873"/>
    <w:rsid w:val="00BA5045"/>
    <w:rsid w:val="00BA7C15"/>
    <w:rsid w:val="00BB0B24"/>
    <w:rsid w:val="00BC0C17"/>
    <w:rsid w:val="00BC0CD7"/>
    <w:rsid w:val="00BC669B"/>
    <w:rsid w:val="00BD021C"/>
    <w:rsid w:val="00BE02BC"/>
    <w:rsid w:val="00BE4972"/>
    <w:rsid w:val="00BE61BC"/>
    <w:rsid w:val="00C0184D"/>
    <w:rsid w:val="00C1016B"/>
    <w:rsid w:val="00C17AAF"/>
    <w:rsid w:val="00C338BE"/>
    <w:rsid w:val="00C41343"/>
    <w:rsid w:val="00C4426F"/>
    <w:rsid w:val="00C461B3"/>
    <w:rsid w:val="00C51275"/>
    <w:rsid w:val="00C56704"/>
    <w:rsid w:val="00C84B99"/>
    <w:rsid w:val="00C93740"/>
    <w:rsid w:val="00CC4FCD"/>
    <w:rsid w:val="00CC75D5"/>
    <w:rsid w:val="00CD26C9"/>
    <w:rsid w:val="00CD3D3E"/>
    <w:rsid w:val="00CD7976"/>
    <w:rsid w:val="00CE2DDA"/>
    <w:rsid w:val="00CE719F"/>
    <w:rsid w:val="00CF0E68"/>
    <w:rsid w:val="00CF270D"/>
    <w:rsid w:val="00D03862"/>
    <w:rsid w:val="00D0590D"/>
    <w:rsid w:val="00D11C04"/>
    <w:rsid w:val="00D30A12"/>
    <w:rsid w:val="00D47A7F"/>
    <w:rsid w:val="00D50CF8"/>
    <w:rsid w:val="00D51BED"/>
    <w:rsid w:val="00D533FA"/>
    <w:rsid w:val="00D57868"/>
    <w:rsid w:val="00D61638"/>
    <w:rsid w:val="00D61F2E"/>
    <w:rsid w:val="00D677EA"/>
    <w:rsid w:val="00D72719"/>
    <w:rsid w:val="00D85006"/>
    <w:rsid w:val="00DA2545"/>
    <w:rsid w:val="00DA42B1"/>
    <w:rsid w:val="00DC7019"/>
    <w:rsid w:val="00DC7996"/>
    <w:rsid w:val="00DD463E"/>
    <w:rsid w:val="00DF0D6F"/>
    <w:rsid w:val="00DF3E1F"/>
    <w:rsid w:val="00E10CC5"/>
    <w:rsid w:val="00E216B6"/>
    <w:rsid w:val="00E2183F"/>
    <w:rsid w:val="00E222E3"/>
    <w:rsid w:val="00E24CA2"/>
    <w:rsid w:val="00E30A06"/>
    <w:rsid w:val="00E44A9E"/>
    <w:rsid w:val="00E7220B"/>
    <w:rsid w:val="00E775D3"/>
    <w:rsid w:val="00E77884"/>
    <w:rsid w:val="00E832FF"/>
    <w:rsid w:val="00E871B6"/>
    <w:rsid w:val="00E87D3E"/>
    <w:rsid w:val="00E933B9"/>
    <w:rsid w:val="00EA5953"/>
    <w:rsid w:val="00EC5C49"/>
    <w:rsid w:val="00ED51BB"/>
    <w:rsid w:val="00EE1146"/>
    <w:rsid w:val="00EE75AA"/>
    <w:rsid w:val="00EF110B"/>
    <w:rsid w:val="00EF430C"/>
    <w:rsid w:val="00F01203"/>
    <w:rsid w:val="00F11E00"/>
    <w:rsid w:val="00F124E2"/>
    <w:rsid w:val="00F26E84"/>
    <w:rsid w:val="00F27EE0"/>
    <w:rsid w:val="00F35035"/>
    <w:rsid w:val="00F37DE2"/>
    <w:rsid w:val="00F43CFE"/>
    <w:rsid w:val="00F560FB"/>
    <w:rsid w:val="00F63D02"/>
    <w:rsid w:val="00F66203"/>
    <w:rsid w:val="00F75447"/>
    <w:rsid w:val="00F85306"/>
    <w:rsid w:val="00F91042"/>
    <w:rsid w:val="00F92AD0"/>
    <w:rsid w:val="00FA533D"/>
    <w:rsid w:val="00FB4887"/>
    <w:rsid w:val="00FB50A1"/>
    <w:rsid w:val="00FB778E"/>
    <w:rsid w:val="00FC0C33"/>
    <w:rsid w:val="00FC17E4"/>
    <w:rsid w:val="00FC2A51"/>
    <w:rsid w:val="00FC679B"/>
    <w:rsid w:val="00FC70E7"/>
    <w:rsid w:val="00FD141C"/>
    <w:rsid w:val="00FD5BA7"/>
    <w:rsid w:val="00FE3BF2"/>
    <w:rsid w:val="00FE3CEA"/>
    <w:rsid w:val="00FE77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10"/>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3785</Words>
  <Characters>20820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6</cp:revision>
  <cp:lastPrinted>2025-06-20T16:16:00Z</cp:lastPrinted>
  <dcterms:created xsi:type="dcterms:W3CDTF">2025-06-19T16:42:00Z</dcterms:created>
  <dcterms:modified xsi:type="dcterms:W3CDTF">2025-06-24T00:20:00Z</dcterms:modified>
</cp:coreProperties>
</file>