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1248A"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323D24">
        <w:rPr>
          <w:rFonts w:ascii="Palatino Linotype" w:eastAsia="Palatino Linotype" w:hAnsi="Palatino Linotype" w:cs="Palatino Linotype"/>
          <w:b/>
        </w:rPr>
        <w:t xml:space="preserve">quince de octubre de dos mil veinticinco. </w:t>
      </w:r>
      <w:r w:rsidRPr="00323D24">
        <w:rPr>
          <w:rFonts w:ascii="Palatino Linotype" w:eastAsia="Palatino Linotype" w:hAnsi="Palatino Linotype" w:cs="Palatino Linotype"/>
        </w:rPr>
        <w:t xml:space="preserve"> </w:t>
      </w:r>
    </w:p>
    <w:p w14:paraId="627391C8" w14:textId="77777777" w:rsidR="002377AA" w:rsidRPr="00323D24" w:rsidRDefault="002377AA">
      <w:pPr>
        <w:spacing w:after="0" w:line="360" w:lineRule="auto"/>
        <w:ind w:right="49"/>
        <w:jc w:val="center"/>
        <w:rPr>
          <w:rFonts w:ascii="Palatino Linotype" w:eastAsia="Palatino Linotype" w:hAnsi="Palatino Linotype" w:cs="Palatino Linotype"/>
        </w:rPr>
      </w:pPr>
    </w:p>
    <w:p w14:paraId="06AC82B9" w14:textId="7909996C"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Visto el expediente relativo al recurso de revisión </w:t>
      </w:r>
      <w:r w:rsidRPr="00323D24">
        <w:rPr>
          <w:rFonts w:ascii="Palatino Linotype" w:eastAsia="Palatino Linotype" w:hAnsi="Palatino Linotype" w:cs="Palatino Linotype"/>
          <w:b/>
        </w:rPr>
        <w:t>05794/INFOEM/IP/RR/2025</w:t>
      </w:r>
      <w:r w:rsidRPr="00323D24">
        <w:rPr>
          <w:rFonts w:ascii="Palatino Linotype" w:eastAsia="Palatino Linotype" w:hAnsi="Palatino Linotype" w:cs="Palatino Linotype"/>
        </w:rPr>
        <w:t xml:space="preserve">, interpuesto por </w:t>
      </w:r>
      <w:r w:rsidR="00446533" w:rsidRPr="00446533">
        <w:rPr>
          <w:rFonts w:ascii="Palatino Linotype" w:eastAsia="Palatino Linotype" w:hAnsi="Palatino Linotype" w:cs="Palatino Linotype"/>
          <w:b/>
        </w:rPr>
        <w:t xml:space="preserve">XXXX XXX XXXXX XXXXXX </w:t>
      </w:r>
      <w:bookmarkStart w:id="0" w:name="_GoBack"/>
      <w:bookmarkEnd w:id="0"/>
      <w:r w:rsidRPr="00323D24">
        <w:rPr>
          <w:rFonts w:ascii="Palatino Linotype" w:eastAsia="Palatino Linotype" w:hAnsi="Palatino Linotype" w:cs="Palatino Linotype"/>
        </w:rPr>
        <w:t xml:space="preserve">al cual en lo sucesivo se le denominará la parte </w:t>
      </w:r>
      <w:r w:rsidRPr="00323D24">
        <w:rPr>
          <w:rFonts w:ascii="Palatino Linotype" w:eastAsia="Palatino Linotype" w:hAnsi="Palatino Linotype" w:cs="Palatino Linotype"/>
          <w:b/>
        </w:rPr>
        <w:t>RECURRENTE</w:t>
      </w:r>
      <w:r w:rsidRPr="00323D24">
        <w:rPr>
          <w:rFonts w:ascii="Palatino Linotype" w:eastAsia="Palatino Linotype" w:hAnsi="Palatino Linotype" w:cs="Palatino Linotype"/>
        </w:rPr>
        <w:t xml:space="preserve">, en contra de la respuesta a su solicitud de información identificada con número de folio </w:t>
      </w:r>
      <w:r w:rsidRPr="00323D24">
        <w:rPr>
          <w:rFonts w:ascii="Palatino Linotype" w:eastAsia="Palatino Linotype" w:hAnsi="Palatino Linotype" w:cs="Palatino Linotype"/>
          <w:b/>
        </w:rPr>
        <w:t>00134/VACHASO/IP/2025</w:t>
      </w:r>
      <w:r w:rsidRPr="00323D24">
        <w:rPr>
          <w:rFonts w:ascii="Palatino Linotype" w:eastAsia="Palatino Linotype" w:hAnsi="Palatino Linotype" w:cs="Palatino Linotype"/>
        </w:rPr>
        <w:t xml:space="preserve"> proporcionada por parte del </w:t>
      </w:r>
      <w:r w:rsidRPr="00323D24">
        <w:rPr>
          <w:rFonts w:ascii="Palatino Linotype" w:eastAsia="Palatino Linotype" w:hAnsi="Palatino Linotype" w:cs="Palatino Linotype"/>
          <w:b/>
        </w:rPr>
        <w:t xml:space="preserve">Ayuntamiento del Valle de Chalco Solidaridad </w:t>
      </w:r>
      <w:r w:rsidRPr="00323D24">
        <w:rPr>
          <w:rFonts w:ascii="Palatino Linotype" w:eastAsia="Palatino Linotype" w:hAnsi="Palatino Linotype" w:cs="Palatino Linotype"/>
        </w:rPr>
        <w:t xml:space="preserve">en lo sucesivo el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 se procede a dictar la presente resolución, con base en los siguientes:</w:t>
      </w:r>
    </w:p>
    <w:p w14:paraId="231F9740" w14:textId="77777777" w:rsidR="002377AA" w:rsidRPr="00323D24" w:rsidRDefault="002377AA">
      <w:pPr>
        <w:spacing w:after="0" w:line="360" w:lineRule="auto"/>
        <w:ind w:right="49"/>
        <w:jc w:val="both"/>
        <w:rPr>
          <w:rFonts w:ascii="Palatino Linotype" w:eastAsia="Palatino Linotype" w:hAnsi="Palatino Linotype" w:cs="Palatino Linotype"/>
        </w:rPr>
      </w:pPr>
    </w:p>
    <w:p w14:paraId="0DFA33E4" w14:textId="77777777" w:rsidR="002377AA" w:rsidRPr="00323D24" w:rsidRDefault="0046054B">
      <w:pPr>
        <w:spacing w:after="0" w:line="360" w:lineRule="auto"/>
        <w:ind w:right="49"/>
        <w:jc w:val="center"/>
        <w:rPr>
          <w:rFonts w:ascii="Palatino Linotype" w:eastAsia="Palatino Linotype" w:hAnsi="Palatino Linotype" w:cs="Palatino Linotype"/>
          <w:b/>
        </w:rPr>
      </w:pPr>
      <w:r w:rsidRPr="00323D24">
        <w:rPr>
          <w:rFonts w:ascii="Palatino Linotype" w:eastAsia="Palatino Linotype" w:hAnsi="Palatino Linotype" w:cs="Palatino Linotype"/>
          <w:b/>
        </w:rPr>
        <w:t>I.</w:t>
      </w:r>
      <w:r w:rsidRPr="00323D24">
        <w:rPr>
          <w:rFonts w:ascii="Palatino Linotype" w:eastAsia="Palatino Linotype" w:hAnsi="Palatino Linotype" w:cs="Palatino Linotype"/>
          <w:b/>
        </w:rPr>
        <w:tab/>
        <w:t>A N T E C E D E N T E S</w:t>
      </w:r>
    </w:p>
    <w:p w14:paraId="52A569CC" w14:textId="77777777" w:rsidR="002377AA" w:rsidRPr="00323D24" w:rsidRDefault="002377AA">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2ED8AB40" w14:textId="77777777" w:rsidR="002377AA" w:rsidRPr="00323D24" w:rsidRDefault="0046054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Solicitud de acceso a la información.</w:t>
      </w:r>
      <w:r w:rsidRPr="00323D24">
        <w:rPr>
          <w:rFonts w:ascii="Palatino Linotype" w:eastAsia="Palatino Linotype" w:hAnsi="Palatino Linotype" w:cs="Palatino Linotype"/>
        </w:rPr>
        <w:t xml:space="preserve"> Con fecha </w:t>
      </w:r>
      <w:r w:rsidRPr="00323D24">
        <w:rPr>
          <w:rFonts w:ascii="Palatino Linotype" w:eastAsia="Palatino Linotype" w:hAnsi="Palatino Linotype" w:cs="Palatino Linotype"/>
          <w:b/>
        </w:rPr>
        <w:t xml:space="preserve">veintiocho de abril de dos mil veinticinco </w:t>
      </w:r>
      <w:r w:rsidRPr="00323D24">
        <w:rPr>
          <w:rFonts w:ascii="Palatino Linotype" w:eastAsia="Palatino Linotype" w:hAnsi="Palatino Linotype" w:cs="Palatino Linotype"/>
        </w:rPr>
        <w:t xml:space="preserve">el Recurrente formuló solicitud de acceso a información pública al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 xml:space="preserve"> a través del Sistema de Acceso a la Información Mexiquense, en adelante </w:t>
      </w:r>
      <w:r w:rsidRPr="00323D24">
        <w:rPr>
          <w:rFonts w:ascii="Palatino Linotype" w:eastAsia="Palatino Linotype" w:hAnsi="Palatino Linotype" w:cs="Palatino Linotype"/>
          <w:b/>
        </w:rPr>
        <w:t>SAIMEX</w:t>
      </w:r>
      <w:r w:rsidRPr="00323D24">
        <w:rPr>
          <w:rFonts w:ascii="Palatino Linotype" w:eastAsia="Palatino Linotype" w:hAnsi="Palatino Linotype" w:cs="Palatino Linotype"/>
        </w:rPr>
        <w:t xml:space="preserve">, en la que requirió lo siguiente: </w:t>
      </w:r>
    </w:p>
    <w:p w14:paraId="492E7E8E" w14:textId="77777777" w:rsidR="002377AA" w:rsidRPr="00323D24" w:rsidRDefault="0046054B">
      <w:pPr>
        <w:tabs>
          <w:tab w:val="left" w:pos="1530"/>
        </w:tabs>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b/>
      </w:r>
    </w:p>
    <w:p w14:paraId="17B9F24B" w14:textId="77777777" w:rsidR="002377AA" w:rsidRPr="00323D24" w:rsidRDefault="0046054B">
      <w:pPr>
        <w:spacing w:after="0"/>
        <w:ind w:left="567" w:right="560"/>
        <w:jc w:val="both"/>
        <w:rPr>
          <w:rFonts w:ascii="Palatino Linotype" w:eastAsia="Palatino Linotype" w:hAnsi="Palatino Linotype" w:cs="Palatino Linotype"/>
          <w:i/>
        </w:rPr>
      </w:pPr>
      <w:bookmarkStart w:id="2" w:name="_heading=h.30j0zll" w:colFirst="0" w:colLast="0"/>
      <w:bookmarkEnd w:id="2"/>
      <w:r w:rsidRPr="00323D24">
        <w:rPr>
          <w:rFonts w:ascii="Palatino Linotype" w:eastAsia="Palatino Linotype" w:hAnsi="Palatino Linotype" w:cs="Palatino Linotype"/>
          <w:i/>
        </w:rPr>
        <w:t xml:space="preserve">“organigrama nombramientos, comprobante de estudios, y currículo de los titulares y jefes de departamento de la tesorería municipal del ayuntamiento de valle de Chalco solidaridad”. </w:t>
      </w:r>
    </w:p>
    <w:p w14:paraId="5390DF84"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 </w:t>
      </w:r>
    </w:p>
    <w:p w14:paraId="77DBB499"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Modalidad elegida para la entrega de la información:</w:t>
      </w:r>
      <w:r w:rsidRPr="00323D24">
        <w:rPr>
          <w:rFonts w:ascii="Palatino Linotype" w:eastAsia="Palatino Linotype" w:hAnsi="Palatino Linotype" w:cs="Palatino Linotype"/>
        </w:rPr>
        <w:t xml:space="preserve"> a través del Sistema de Acceso a la Información Mexiquense (SAIMEX). </w:t>
      </w:r>
    </w:p>
    <w:p w14:paraId="42AC5621" w14:textId="77777777" w:rsidR="002377AA" w:rsidRPr="00323D24" w:rsidRDefault="0046054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lastRenderedPageBreak/>
        <w:t xml:space="preserve">Respuesta. </w:t>
      </w:r>
      <w:r w:rsidRPr="00323D24">
        <w:rPr>
          <w:rFonts w:ascii="Palatino Linotype" w:eastAsia="Palatino Linotype" w:hAnsi="Palatino Linotype" w:cs="Palatino Linotype"/>
        </w:rPr>
        <w:t xml:space="preserve">En fecha </w:t>
      </w:r>
      <w:r w:rsidRPr="00323D24">
        <w:rPr>
          <w:rFonts w:ascii="Palatino Linotype" w:eastAsia="Palatino Linotype" w:hAnsi="Palatino Linotype" w:cs="Palatino Linotype"/>
          <w:b/>
        </w:rPr>
        <w:t>veintiuno de mayo de dos mil veinticinco</w:t>
      </w:r>
      <w:r w:rsidRPr="00323D24">
        <w:rPr>
          <w:rFonts w:ascii="Palatino Linotype" w:eastAsia="Palatino Linotype" w:hAnsi="Palatino Linotype" w:cs="Palatino Linotype"/>
        </w:rPr>
        <w:t xml:space="preserve">, el </w:t>
      </w:r>
      <w:r w:rsidRPr="00323D24">
        <w:rPr>
          <w:rFonts w:ascii="Palatino Linotype" w:eastAsia="Palatino Linotype" w:hAnsi="Palatino Linotype" w:cs="Palatino Linotype"/>
          <w:b/>
        </w:rPr>
        <w:t xml:space="preserve">SUJETO OBLIGADO </w:t>
      </w:r>
      <w:r w:rsidRPr="00323D24">
        <w:rPr>
          <w:rFonts w:ascii="Palatino Linotype" w:eastAsia="Palatino Linotype" w:hAnsi="Palatino Linotype" w:cs="Palatino Linotype"/>
        </w:rPr>
        <w:t xml:space="preserve">emitió respuesta, la cual es previamente del conocimiento de las partes. </w:t>
      </w:r>
    </w:p>
    <w:p w14:paraId="68711643"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700638" w14:textId="77777777" w:rsidR="002377AA" w:rsidRPr="00323D24" w:rsidRDefault="0046054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Recurso de Revisión. </w:t>
      </w:r>
      <w:r w:rsidRPr="00323D24">
        <w:rPr>
          <w:rFonts w:ascii="Palatino Linotype" w:eastAsia="Palatino Linotype" w:hAnsi="Palatino Linotype" w:cs="Palatino Linotype"/>
        </w:rPr>
        <w:t xml:space="preserve">En fecha </w:t>
      </w:r>
      <w:r w:rsidRPr="00323D24">
        <w:rPr>
          <w:rFonts w:ascii="Palatino Linotype" w:eastAsia="Palatino Linotype" w:hAnsi="Palatino Linotype" w:cs="Palatino Linotype"/>
          <w:b/>
        </w:rPr>
        <w:t xml:space="preserve">veintidós de mayo de dos mil veinticinco </w:t>
      </w:r>
      <w:r w:rsidRPr="00323D24">
        <w:rPr>
          <w:rFonts w:ascii="Palatino Linotype" w:eastAsia="Palatino Linotype" w:hAnsi="Palatino Linotype" w:cs="Palatino Linotype"/>
        </w:rPr>
        <w:t>el Recurrente interpuso su Recurso de Revisión, a través del cual expresó lo siguiente:</w:t>
      </w:r>
    </w:p>
    <w:p w14:paraId="45AB722D"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480E66" w14:textId="77777777" w:rsidR="002377AA" w:rsidRPr="00323D24" w:rsidRDefault="0046054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323D24">
        <w:rPr>
          <w:rFonts w:ascii="Palatino Linotype" w:eastAsia="Palatino Linotype" w:hAnsi="Palatino Linotype" w:cs="Palatino Linotype"/>
          <w:b/>
        </w:rPr>
        <w:t>Acto impugnado</w:t>
      </w:r>
      <w:r w:rsidRPr="00323D24">
        <w:rPr>
          <w:rFonts w:ascii="Palatino Linotype" w:eastAsia="Palatino Linotype" w:hAnsi="Palatino Linotype" w:cs="Palatino Linotype"/>
          <w:b/>
          <w:i/>
        </w:rPr>
        <w:t xml:space="preserve">. </w:t>
      </w:r>
      <w:r w:rsidRPr="00323D24">
        <w:rPr>
          <w:rFonts w:ascii="Palatino Linotype" w:eastAsia="Palatino Linotype" w:hAnsi="Palatino Linotype" w:cs="Palatino Linotype"/>
          <w:i/>
        </w:rPr>
        <w:t>“documentos presentados no corresponden a la actual titular”.</w:t>
      </w:r>
    </w:p>
    <w:p w14:paraId="305D4808" w14:textId="77777777" w:rsidR="002377AA" w:rsidRPr="00323D24" w:rsidRDefault="002377AA">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05A120BE" w14:textId="77777777" w:rsidR="002377AA" w:rsidRPr="00323D24" w:rsidRDefault="0046054B">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323D24">
        <w:rPr>
          <w:rFonts w:ascii="Palatino Linotype" w:eastAsia="Palatino Linotype" w:hAnsi="Palatino Linotype" w:cs="Palatino Linotype"/>
          <w:b/>
        </w:rPr>
        <w:t xml:space="preserve">Razones o motivos de la inconformidad: </w:t>
      </w:r>
      <w:r w:rsidRPr="00323D24">
        <w:rPr>
          <w:rFonts w:ascii="Palatino Linotype" w:eastAsia="Palatino Linotype" w:hAnsi="Palatino Linotype" w:cs="Palatino Linotype"/>
          <w:i/>
        </w:rPr>
        <w:t xml:space="preserve">“El día 14 de marzo del presente año se realizo el cambio del tesorero municipal así como los titulares de la subdirección y departamentos que la conforman”. </w:t>
      </w:r>
    </w:p>
    <w:p w14:paraId="1171D797" w14:textId="77777777" w:rsidR="002377AA" w:rsidRPr="00323D24" w:rsidRDefault="002377AA">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7688908" w14:textId="77777777" w:rsidR="002377AA" w:rsidRPr="00323D24" w:rsidRDefault="0046054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Turno.</w:t>
      </w:r>
      <w:r w:rsidRPr="00323D2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323D24">
        <w:rPr>
          <w:rFonts w:ascii="Palatino Linotype" w:eastAsia="Palatino Linotype" w:hAnsi="Palatino Linotype" w:cs="Palatino Linotype"/>
          <w:b/>
        </w:rPr>
        <w:t>05794/INFOEM/IP/RR/2025</w:t>
      </w:r>
      <w:r w:rsidRPr="00323D2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05DD531"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AC8981D" w14:textId="77777777" w:rsidR="002377AA" w:rsidRPr="00323D24" w:rsidRDefault="0046054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Admisión del recurso de revisión</w:t>
      </w:r>
      <w:r w:rsidRPr="00323D24">
        <w:rPr>
          <w:rFonts w:ascii="Palatino Linotype" w:eastAsia="Palatino Linotype" w:hAnsi="Palatino Linotype" w:cs="Palatino Linotype"/>
        </w:rPr>
        <w:t xml:space="preserve">: En fecha </w:t>
      </w:r>
      <w:r w:rsidRPr="00323D24">
        <w:rPr>
          <w:rFonts w:ascii="Palatino Linotype" w:eastAsia="Palatino Linotype" w:hAnsi="Palatino Linotype" w:cs="Palatino Linotype"/>
          <w:b/>
        </w:rPr>
        <w:t>veintisiete de mayo de dos mil veinticinco</w:t>
      </w:r>
      <w:r w:rsidRPr="00323D2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4C8045CF" w14:textId="77777777" w:rsidR="002377AA" w:rsidRPr="00323D24" w:rsidRDefault="002377AA">
      <w:pPr>
        <w:pBdr>
          <w:top w:val="nil"/>
          <w:left w:val="nil"/>
          <w:bottom w:val="nil"/>
          <w:right w:val="nil"/>
          <w:between w:val="nil"/>
        </w:pBdr>
        <w:spacing w:after="0"/>
        <w:ind w:left="720"/>
        <w:rPr>
          <w:rFonts w:ascii="Palatino Linotype" w:eastAsia="Palatino Linotype" w:hAnsi="Palatino Linotype" w:cs="Palatino Linotype"/>
        </w:rPr>
      </w:pPr>
    </w:p>
    <w:p w14:paraId="7002F5A8" w14:textId="77777777" w:rsidR="002377AA" w:rsidRPr="00323D24" w:rsidRDefault="0046054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Manifestaciones. </w:t>
      </w:r>
      <w:r w:rsidRPr="00323D24">
        <w:rPr>
          <w:rFonts w:ascii="Palatino Linotype" w:eastAsia="Palatino Linotype" w:hAnsi="Palatino Linotype" w:cs="Palatino Linotype"/>
        </w:rPr>
        <w:t xml:space="preserve">En fecha </w:t>
      </w:r>
      <w:r w:rsidRPr="00323D24">
        <w:rPr>
          <w:rFonts w:ascii="Palatino Linotype" w:eastAsia="Palatino Linotype" w:hAnsi="Palatino Linotype" w:cs="Palatino Linotype"/>
          <w:b/>
        </w:rPr>
        <w:t>veintiocho de mayo de dos mil veinticinco</w:t>
      </w:r>
      <w:r w:rsidRPr="00323D24">
        <w:rPr>
          <w:rFonts w:ascii="Palatino Linotype" w:eastAsia="Palatino Linotype" w:hAnsi="Palatino Linotype" w:cs="Palatino Linotype"/>
        </w:rPr>
        <w:t xml:space="preserve">, el </w:t>
      </w:r>
      <w:r w:rsidRPr="00323D24">
        <w:rPr>
          <w:rFonts w:ascii="Palatino Linotype" w:eastAsia="Palatino Linotype" w:hAnsi="Palatino Linotype" w:cs="Palatino Linotype"/>
          <w:b/>
        </w:rPr>
        <w:t xml:space="preserve">SUJETO OBLIGADO </w:t>
      </w:r>
      <w:r w:rsidRPr="00323D24">
        <w:rPr>
          <w:rFonts w:ascii="Palatino Linotype" w:eastAsia="Palatino Linotype" w:hAnsi="Palatino Linotype" w:cs="Palatino Linotype"/>
        </w:rPr>
        <w:t>rindió su informe justificado al tenor de lo siguiente:</w:t>
      </w:r>
    </w:p>
    <w:p w14:paraId="3C97179B"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lastRenderedPageBreak/>
        <w:t xml:space="preserve">Organigrama de la Tesorería Municipal. </w:t>
      </w:r>
    </w:p>
    <w:p w14:paraId="0B716C9B"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como Tesorera Municipal. </w:t>
      </w:r>
    </w:p>
    <w:p w14:paraId="19601AE0"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la  Tesorera Municipal. </w:t>
      </w:r>
    </w:p>
    <w:p w14:paraId="16F3CF6E"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Título Profesional de la Tesorera Municipal. </w:t>
      </w:r>
    </w:p>
    <w:p w14:paraId="22697073"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del Jefe del Departamento de Contabilidad. </w:t>
      </w:r>
    </w:p>
    <w:p w14:paraId="420BBC2D"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del Jefe del Departamento de Contabilidad. </w:t>
      </w:r>
    </w:p>
    <w:p w14:paraId="573EE05D"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Nombramiento de la Jefa del Departamento de Recursos Concertados.</w:t>
      </w:r>
    </w:p>
    <w:p w14:paraId="22323DB5"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la Jefa del Departamento de Recursos Concertados. </w:t>
      </w:r>
    </w:p>
    <w:p w14:paraId="7C760E22"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Título Profesional de la Jefa del Departamento de Recursos Concertados. </w:t>
      </w:r>
    </w:p>
    <w:p w14:paraId="58093632"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del Subdirector de Ingresos. </w:t>
      </w:r>
    </w:p>
    <w:p w14:paraId="74710223"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del Subdirector de Ingresos. </w:t>
      </w:r>
    </w:p>
    <w:p w14:paraId="2E6C0116"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Título Profesional del Subdirector de Ingresos. </w:t>
      </w:r>
    </w:p>
    <w:p w14:paraId="007272F3"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de la Jefa del Departamento de Procedimientos Administrativos de Ejecución. </w:t>
      </w:r>
    </w:p>
    <w:p w14:paraId="41B09278"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la Jefa del Departamento de Procedimientos Administrativos de Ejecución. </w:t>
      </w:r>
    </w:p>
    <w:p w14:paraId="2DEFD64B"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Cédula Profesional la Jefa del Departamento de Procedimientos Administrativos de Ejecución. </w:t>
      </w:r>
    </w:p>
    <w:p w14:paraId="64FCD23C"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Acta de la Décimo Quinta Sesión Extraordinaria del Comité de Transparencia del H. Ayuntamiento de Valle de Chalco Solidaridad, mediante el cual se aprueba la versión pública de los documentos proporcionados en respuesta. </w:t>
      </w:r>
    </w:p>
    <w:p w14:paraId="521A4394" w14:textId="77777777" w:rsidR="002377AA" w:rsidRPr="00323D24" w:rsidRDefault="0046054B">
      <w:pPr>
        <w:numPr>
          <w:ilvl w:val="0"/>
          <w:numId w:val="9"/>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Oficio de fecha veintisiete de mayo de dos mil veinticinco, median te el cual refiere que, se entrega la actualización de la información. </w:t>
      </w:r>
    </w:p>
    <w:p w14:paraId="549F614D" w14:textId="77777777" w:rsidR="002377AA" w:rsidRPr="00323D24" w:rsidRDefault="002377A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0164AD54"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Los documentos referidos del inciso a) al inciso o), no se hicieron del conocimiento de la parte Recurrente en razón de que se expusieron datos susceptibles de ser clasificados, en términos de la fracción I del artículo 143 de la Ley de Transparencia del Estado de México y Municipios. </w:t>
      </w:r>
    </w:p>
    <w:p w14:paraId="0E5A27A4"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3AF73EE"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23D24">
        <w:rPr>
          <w:rFonts w:ascii="Palatino Linotype" w:eastAsia="Palatino Linotype" w:hAnsi="Palatino Linotype" w:cs="Palatino Linotype"/>
        </w:rPr>
        <w:t>Los documentos de los incisos p) y q) se hicieron del conocimiento de la parte Recurrente el uno de octubre de dos mil veinticinco.</w:t>
      </w:r>
    </w:p>
    <w:p w14:paraId="6CFF3D06" w14:textId="77777777" w:rsidR="002377AA" w:rsidRPr="00323D24" w:rsidRDefault="002377AA">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16D50349" w14:textId="77777777" w:rsidR="002377AA" w:rsidRPr="00323D24" w:rsidRDefault="0046054B">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Ampliación de plazo. </w:t>
      </w:r>
      <w:r w:rsidRPr="00323D24">
        <w:rPr>
          <w:rFonts w:ascii="Palatino Linotype" w:eastAsia="Palatino Linotype" w:hAnsi="Palatino Linotype" w:cs="Palatino Linotype"/>
        </w:rPr>
        <w:t xml:space="preserve">El </w:t>
      </w:r>
      <w:r w:rsidRPr="00323D24">
        <w:rPr>
          <w:rFonts w:ascii="Palatino Linotype" w:eastAsia="Palatino Linotype" w:hAnsi="Palatino Linotype" w:cs="Palatino Linotype"/>
          <w:b/>
        </w:rPr>
        <w:t>uno de octubre de dos mil veinticinco</w:t>
      </w:r>
      <w:r w:rsidRPr="00323D2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4EBB933"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2C9D69"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49FB4B6"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 </w:t>
      </w:r>
    </w:p>
    <w:p w14:paraId="5DE495B6"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5506107" w14:textId="77777777" w:rsidR="002377AA" w:rsidRPr="00323D24" w:rsidRDefault="002377AA">
      <w:pPr>
        <w:spacing w:after="0" w:line="360" w:lineRule="auto"/>
        <w:ind w:right="49"/>
        <w:jc w:val="both"/>
        <w:rPr>
          <w:rFonts w:ascii="Palatino Linotype" w:eastAsia="Palatino Linotype" w:hAnsi="Palatino Linotype" w:cs="Palatino Linotype"/>
        </w:rPr>
      </w:pPr>
    </w:p>
    <w:p w14:paraId="17A71154"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507770" w14:textId="77777777" w:rsidR="002377AA" w:rsidRPr="00323D24" w:rsidRDefault="002377AA">
      <w:pPr>
        <w:spacing w:after="0" w:line="360" w:lineRule="auto"/>
        <w:ind w:right="49"/>
        <w:jc w:val="both"/>
        <w:rPr>
          <w:rFonts w:ascii="Palatino Linotype" w:eastAsia="Palatino Linotype" w:hAnsi="Palatino Linotype" w:cs="Palatino Linotype"/>
        </w:rPr>
      </w:pPr>
    </w:p>
    <w:p w14:paraId="4D02FF2B"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703FBA7" w14:textId="77777777" w:rsidR="002377AA" w:rsidRPr="00323D24" w:rsidRDefault="002377AA">
      <w:pPr>
        <w:spacing w:after="0" w:line="360" w:lineRule="auto"/>
        <w:ind w:right="49"/>
        <w:jc w:val="both"/>
        <w:rPr>
          <w:rFonts w:ascii="Palatino Linotype" w:eastAsia="Palatino Linotype" w:hAnsi="Palatino Linotype" w:cs="Palatino Linotype"/>
        </w:rPr>
      </w:pPr>
    </w:p>
    <w:p w14:paraId="3ED9DFC7"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76AB247" w14:textId="77777777" w:rsidR="002377AA" w:rsidRPr="00323D24" w:rsidRDefault="002377AA">
      <w:pPr>
        <w:spacing w:after="0" w:line="360" w:lineRule="auto"/>
        <w:ind w:right="49"/>
        <w:jc w:val="both"/>
        <w:rPr>
          <w:rFonts w:ascii="Palatino Linotype" w:eastAsia="Palatino Linotype" w:hAnsi="Palatino Linotype" w:cs="Palatino Linotype"/>
        </w:rPr>
      </w:pPr>
    </w:p>
    <w:p w14:paraId="63463797" w14:textId="77777777" w:rsidR="002377AA" w:rsidRPr="00323D24" w:rsidRDefault="0046054B">
      <w:pPr>
        <w:tabs>
          <w:tab w:val="left" w:pos="709"/>
        </w:tabs>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b/>
        </w:rPr>
        <w:t>a)    Complejidad del asunto:</w:t>
      </w:r>
      <w:r w:rsidRPr="00323D24">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17CF87FB" w14:textId="77777777" w:rsidR="002377AA" w:rsidRPr="00323D24" w:rsidRDefault="0046054B">
      <w:pPr>
        <w:tabs>
          <w:tab w:val="left" w:pos="709"/>
        </w:tabs>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b/>
        </w:rPr>
        <w:t>b)   Actividad Procesal del interesado</w:t>
      </w:r>
      <w:r w:rsidRPr="00323D24">
        <w:rPr>
          <w:rFonts w:ascii="Palatino Linotype" w:eastAsia="Palatino Linotype" w:hAnsi="Palatino Linotype" w:cs="Palatino Linotype"/>
        </w:rPr>
        <w:t>: Acciones u omisiones del interesado.</w:t>
      </w:r>
    </w:p>
    <w:p w14:paraId="0FA05FC9" w14:textId="77777777" w:rsidR="002377AA" w:rsidRPr="00323D24" w:rsidRDefault="0046054B">
      <w:pPr>
        <w:tabs>
          <w:tab w:val="left" w:pos="851"/>
        </w:tabs>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b/>
        </w:rPr>
        <w:t>c)  Conducta de la Autoridad:</w:t>
      </w:r>
      <w:r w:rsidRPr="00323D24">
        <w:rPr>
          <w:rFonts w:ascii="Palatino Linotype" w:eastAsia="Palatino Linotype" w:hAnsi="Palatino Linotype" w:cs="Palatino Linotype"/>
        </w:rPr>
        <w:t xml:space="preserve"> Las Acciones u omisiones realizadas en el procedimiento. Así como si la autoridad actuó con la debida diligencia.</w:t>
      </w:r>
    </w:p>
    <w:p w14:paraId="16874CF5" w14:textId="77777777" w:rsidR="002377AA" w:rsidRPr="00323D24" w:rsidRDefault="0046054B">
      <w:pPr>
        <w:tabs>
          <w:tab w:val="left" w:pos="851"/>
        </w:tabs>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b/>
        </w:rPr>
        <w:t>d) La afectación generada en la situación jurídica de la persona involucrada en el proceso:</w:t>
      </w:r>
      <w:r w:rsidRPr="00323D24">
        <w:rPr>
          <w:rFonts w:ascii="Palatino Linotype" w:eastAsia="Palatino Linotype" w:hAnsi="Palatino Linotype" w:cs="Palatino Linotype"/>
        </w:rPr>
        <w:t xml:space="preserve"> Violación a sus derechos humanos.</w:t>
      </w:r>
    </w:p>
    <w:p w14:paraId="5FA0098D" w14:textId="77777777" w:rsidR="002377AA" w:rsidRPr="00323D24" w:rsidRDefault="002377AA">
      <w:pPr>
        <w:spacing w:after="0" w:line="360" w:lineRule="auto"/>
        <w:ind w:right="49"/>
        <w:jc w:val="both"/>
        <w:rPr>
          <w:rFonts w:ascii="Palatino Linotype" w:eastAsia="Palatino Linotype" w:hAnsi="Palatino Linotype" w:cs="Palatino Linotype"/>
        </w:rPr>
      </w:pPr>
    </w:p>
    <w:p w14:paraId="199B490E"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4E67F6" w14:textId="77777777" w:rsidR="002377AA" w:rsidRPr="00323D24" w:rsidRDefault="002377AA">
      <w:pPr>
        <w:spacing w:after="0" w:line="360" w:lineRule="auto"/>
        <w:ind w:right="49"/>
        <w:jc w:val="both"/>
        <w:rPr>
          <w:rFonts w:ascii="Palatino Linotype" w:eastAsia="Palatino Linotype" w:hAnsi="Palatino Linotype" w:cs="Palatino Linotype"/>
        </w:rPr>
      </w:pPr>
    </w:p>
    <w:p w14:paraId="5BF74C51"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Argumento que encuentra sustento en la jurisprudencia P./J. 32/92 emitida por el Pleno de la Suprema Corte de Justicia de la Nación de rubro “</w:t>
      </w:r>
      <w:r w:rsidRPr="00323D24">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323D24">
        <w:rPr>
          <w:rFonts w:ascii="Palatino Linotype" w:eastAsia="Palatino Linotype" w:hAnsi="Palatino Linotype" w:cs="Palatino Linotype"/>
        </w:rPr>
        <w:t>, visible en la Gaceta del Seminario Judicial de la Federación con el registro digital 205635.</w:t>
      </w:r>
    </w:p>
    <w:p w14:paraId="39379452"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 </w:t>
      </w:r>
    </w:p>
    <w:p w14:paraId="2441DFEA"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37CA7C" w14:textId="77777777" w:rsidR="002377AA" w:rsidRPr="00323D24" w:rsidRDefault="002377AA">
      <w:pPr>
        <w:spacing w:after="0" w:line="360" w:lineRule="auto"/>
        <w:ind w:right="49"/>
        <w:jc w:val="both"/>
        <w:rPr>
          <w:rFonts w:ascii="Palatino Linotype" w:eastAsia="Palatino Linotype" w:hAnsi="Palatino Linotype" w:cs="Palatino Linotype"/>
        </w:rPr>
      </w:pPr>
    </w:p>
    <w:p w14:paraId="0D5FAC8D"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6B44DD" w14:textId="77777777" w:rsidR="002377AA" w:rsidRPr="00323D24" w:rsidRDefault="002377AA">
      <w:pPr>
        <w:spacing w:after="0" w:line="360" w:lineRule="auto"/>
        <w:ind w:right="49"/>
        <w:jc w:val="both"/>
        <w:rPr>
          <w:rFonts w:ascii="Palatino Linotype" w:eastAsia="Palatino Linotype" w:hAnsi="Palatino Linotype" w:cs="Palatino Linotype"/>
        </w:rPr>
      </w:pPr>
    </w:p>
    <w:p w14:paraId="703D8921" w14:textId="77777777" w:rsidR="002377AA" w:rsidRPr="00323D24" w:rsidRDefault="0046054B">
      <w:pPr>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 “PLAZO RAZONABLE PARA RESOLVER. DIMENSIÓN Y EFECTOS DE ESTE CONCEPTO CUANDO SE ADUCE EXCESIVA CARGA DE TRABAJO.”</w:t>
      </w:r>
      <w:r w:rsidRPr="00323D24">
        <w:rPr>
          <w:rFonts w:ascii="Palatino Linotype" w:eastAsia="Palatino Linotype" w:hAnsi="Palatino Linotype" w:cs="Palatino Linotype"/>
        </w:rPr>
        <w:t xml:space="preserve"> consultable en el Seminario Judicial de la Federación y su gaceta, con el registro digital 2002351.</w:t>
      </w:r>
    </w:p>
    <w:p w14:paraId="03C2B5B2" w14:textId="77777777" w:rsidR="002377AA" w:rsidRPr="00323D24" w:rsidRDefault="0046054B">
      <w:pPr>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b/>
        </w:rPr>
        <w:t>“PLAZO RAZONABLE PARA RESOLVER. CONCEPTO Y ELEMENTOS QUE LO INTEGRAN A LA LUZ DEL DERECHO INTERNACIONAL DE LOS DERECHOS HUMANOS.”,</w:t>
      </w:r>
      <w:r w:rsidRPr="00323D24">
        <w:rPr>
          <w:rFonts w:ascii="Palatino Linotype" w:eastAsia="Palatino Linotype" w:hAnsi="Palatino Linotype" w:cs="Palatino Linotype"/>
        </w:rPr>
        <w:t xml:space="preserve"> visible en el Seminario Judicial de la Federación y su gaceta, con el registro digital 2002350.</w:t>
      </w:r>
    </w:p>
    <w:p w14:paraId="5FC12722" w14:textId="77777777" w:rsidR="002377AA" w:rsidRPr="00323D24" w:rsidRDefault="002377AA">
      <w:pPr>
        <w:spacing w:after="0" w:line="360" w:lineRule="auto"/>
        <w:ind w:left="567" w:right="560"/>
        <w:jc w:val="both"/>
        <w:rPr>
          <w:rFonts w:ascii="Palatino Linotype" w:eastAsia="Palatino Linotype" w:hAnsi="Palatino Linotype" w:cs="Palatino Linotype"/>
        </w:rPr>
      </w:pPr>
    </w:p>
    <w:p w14:paraId="10072968"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7DCC3D64"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F5C1187" w14:textId="77777777" w:rsidR="002377AA" w:rsidRPr="00323D24" w:rsidRDefault="0046054B">
      <w:pPr>
        <w:numPr>
          <w:ilvl w:val="0"/>
          <w:numId w:val="10"/>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323D24">
        <w:rPr>
          <w:rFonts w:ascii="Palatino Linotype" w:eastAsia="Palatino Linotype" w:hAnsi="Palatino Linotype" w:cs="Palatino Linotype"/>
          <w:b/>
        </w:rPr>
        <w:t>Cierre de instrucción</w:t>
      </w:r>
      <w:r w:rsidRPr="00323D24">
        <w:rPr>
          <w:rFonts w:ascii="Palatino Linotype" w:eastAsia="Palatino Linotype" w:hAnsi="Palatino Linotype" w:cs="Palatino Linotype"/>
        </w:rPr>
        <w:t xml:space="preserve">. En fecha </w:t>
      </w:r>
      <w:r w:rsidRPr="00323D24">
        <w:rPr>
          <w:rFonts w:ascii="Palatino Linotype" w:eastAsia="Palatino Linotype" w:hAnsi="Palatino Linotype" w:cs="Palatino Linotype"/>
          <w:b/>
        </w:rPr>
        <w:t>siete de octubre de dos mil veinticinco</w:t>
      </w:r>
      <w:r w:rsidRPr="00323D2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A19269C"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EAFBDA"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4ECC911E" w14:textId="77777777" w:rsidR="002377AA" w:rsidRPr="00323D24" w:rsidRDefault="0046054B">
      <w:pPr>
        <w:spacing w:after="0" w:line="360" w:lineRule="auto"/>
        <w:ind w:right="49"/>
        <w:jc w:val="center"/>
        <w:rPr>
          <w:rFonts w:ascii="Palatino Linotype" w:eastAsia="Palatino Linotype" w:hAnsi="Palatino Linotype" w:cs="Palatino Linotype"/>
          <w:b/>
        </w:rPr>
      </w:pPr>
      <w:r w:rsidRPr="00323D24">
        <w:rPr>
          <w:rFonts w:ascii="Palatino Linotype" w:eastAsia="Palatino Linotype" w:hAnsi="Palatino Linotype" w:cs="Palatino Linotype"/>
          <w:b/>
        </w:rPr>
        <w:t>II.</w:t>
      </w:r>
      <w:r w:rsidRPr="00323D24">
        <w:rPr>
          <w:rFonts w:ascii="Palatino Linotype" w:eastAsia="Palatino Linotype" w:hAnsi="Palatino Linotype" w:cs="Palatino Linotype"/>
          <w:b/>
        </w:rPr>
        <w:tab/>
        <w:t>C O N S I D E R A N D O:</w:t>
      </w:r>
    </w:p>
    <w:p w14:paraId="18E80B36" w14:textId="77777777" w:rsidR="002377AA" w:rsidRPr="00323D24" w:rsidRDefault="002377AA">
      <w:pPr>
        <w:spacing w:after="0" w:line="360" w:lineRule="auto"/>
        <w:ind w:right="49"/>
        <w:jc w:val="both"/>
        <w:rPr>
          <w:rFonts w:ascii="Palatino Linotype" w:eastAsia="Palatino Linotype" w:hAnsi="Palatino Linotype" w:cs="Palatino Linotype"/>
        </w:rPr>
      </w:pPr>
    </w:p>
    <w:p w14:paraId="1902CBE5"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Primero. Competencia. </w:t>
      </w:r>
      <w:r w:rsidRPr="00323D2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B54C94A" w14:textId="77777777" w:rsidR="002377AA" w:rsidRPr="00323D24" w:rsidRDefault="002377AA">
      <w:pPr>
        <w:spacing w:after="0" w:line="360" w:lineRule="auto"/>
        <w:jc w:val="both"/>
        <w:rPr>
          <w:rFonts w:ascii="Palatino Linotype" w:eastAsia="Palatino Linotype" w:hAnsi="Palatino Linotype" w:cs="Palatino Linotype"/>
        </w:rPr>
      </w:pPr>
    </w:p>
    <w:p w14:paraId="1EBADF19"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b/>
        </w:rPr>
        <w:t>Segundo. Oportunidad y Procedibilidad del Recurso de Revisión</w:t>
      </w:r>
      <w:r w:rsidRPr="00323D2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0D72F0" w14:textId="77777777" w:rsidR="002377AA" w:rsidRPr="00323D24" w:rsidRDefault="002377AA">
      <w:pPr>
        <w:spacing w:after="0" w:line="360" w:lineRule="auto"/>
        <w:jc w:val="both"/>
        <w:rPr>
          <w:rFonts w:ascii="Palatino Linotype" w:eastAsia="Palatino Linotype" w:hAnsi="Palatino Linotype" w:cs="Palatino Linotype"/>
        </w:rPr>
      </w:pPr>
    </w:p>
    <w:p w14:paraId="58FF2525"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 xml:space="preserve"> proporcionó su respuesta a la solicitud de información el </w:t>
      </w:r>
      <w:r w:rsidRPr="00323D24">
        <w:rPr>
          <w:rFonts w:ascii="Palatino Linotype" w:eastAsia="Palatino Linotype" w:hAnsi="Palatino Linotype" w:cs="Palatino Linotype"/>
          <w:b/>
        </w:rPr>
        <w:t>veintiuno de mayo de dos mil veinticinco</w:t>
      </w:r>
      <w:r w:rsidRPr="00323D24">
        <w:rPr>
          <w:rFonts w:ascii="Palatino Linotype" w:eastAsia="Palatino Linotype" w:hAnsi="Palatino Linotype" w:cs="Palatino Linotype"/>
        </w:rPr>
        <w:t xml:space="preserve"> y la parte </w:t>
      </w:r>
      <w:r w:rsidRPr="00323D24">
        <w:rPr>
          <w:rFonts w:ascii="Palatino Linotype" w:eastAsia="Palatino Linotype" w:hAnsi="Palatino Linotype" w:cs="Palatino Linotype"/>
          <w:b/>
        </w:rPr>
        <w:t>RECURRENTE</w:t>
      </w:r>
      <w:r w:rsidRPr="00323D24">
        <w:rPr>
          <w:rFonts w:ascii="Palatino Linotype" w:eastAsia="Palatino Linotype" w:hAnsi="Palatino Linotype" w:cs="Palatino Linotype"/>
        </w:rPr>
        <w:t xml:space="preserve"> presentó su recurso de revisión el </w:t>
      </w:r>
      <w:r w:rsidRPr="00323D24">
        <w:rPr>
          <w:rFonts w:ascii="Palatino Linotype" w:eastAsia="Palatino Linotype" w:hAnsi="Palatino Linotype" w:cs="Palatino Linotype"/>
          <w:b/>
        </w:rPr>
        <w:t>veintidós de mayo de dos mil veinticinco</w:t>
      </w:r>
      <w:r w:rsidRPr="00323D24">
        <w:rPr>
          <w:rFonts w:ascii="Palatino Linotype" w:eastAsia="Palatino Linotype" w:hAnsi="Palatino Linotype" w:cs="Palatino Linotype"/>
        </w:rPr>
        <w:t xml:space="preserve">, esto es al siguiente día hábil en que tuvo conocimiento de la respuesta. </w:t>
      </w:r>
    </w:p>
    <w:p w14:paraId="4F40F2FB" w14:textId="77777777" w:rsidR="002377AA" w:rsidRPr="00323D24" w:rsidRDefault="002377AA">
      <w:pPr>
        <w:spacing w:after="0" w:line="360" w:lineRule="auto"/>
        <w:ind w:right="49"/>
        <w:jc w:val="both"/>
        <w:rPr>
          <w:rFonts w:ascii="Palatino Linotype" w:eastAsia="Palatino Linotype" w:hAnsi="Palatino Linotype" w:cs="Palatino Linotype"/>
        </w:rPr>
      </w:pPr>
    </w:p>
    <w:p w14:paraId="09B65F4E"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472D7D4" w14:textId="77777777" w:rsidR="002377AA" w:rsidRPr="00323D24" w:rsidRDefault="002377AA">
      <w:pPr>
        <w:spacing w:after="0" w:line="360" w:lineRule="auto"/>
        <w:ind w:left="426"/>
        <w:jc w:val="both"/>
        <w:rPr>
          <w:rFonts w:ascii="Palatino Linotype" w:eastAsia="Palatino Linotype" w:hAnsi="Palatino Linotype" w:cs="Palatino Linotype"/>
        </w:rPr>
      </w:pPr>
    </w:p>
    <w:p w14:paraId="34CEA51A"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Asimismo, resulta procedente la interposición del recurso de revisión al rubro anotado, toda vez que se actualiza la hipótesis prevista en el artículo 179, fracción VI de la ley de la materia, que a la letra dice:</w:t>
      </w:r>
    </w:p>
    <w:p w14:paraId="76A09C0D" w14:textId="77777777" w:rsidR="002377AA" w:rsidRPr="00323D24" w:rsidRDefault="002377AA">
      <w:pPr>
        <w:spacing w:after="0" w:line="360" w:lineRule="auto"/>
        <w:jc w:val="both"/>
        <w:rPr>
          <w:rFonts w:ascii="Palatino Linotype" w:eastAsia="Palatino Linotype" w:hAnsi="Palatino Linotype" w:cs="Palatino Linotype"/>
        </w:rPr>
      </w:pPr>
    </w:p>
    <w:p w14:paraId="0A8F951D"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 xml:space="preserve">Artículo 179. </w:t>
      </w:r>
      <w:r w:rsidRPr="00323D2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1582CB6"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6EB81E47" w14:textId="77777777" w:rsidR="002377AA" w:rsidRPr="00323D24" w:rsidRDefault="0046054B">
      <w:pPr>
        <w:spacing w:after="0" w:line="360" w:lineRule="auto"/>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VI. La entrega de información que no corresponda con lo solicitado;</w:t>
      </w:r>
    </w:p>
    <w:p w14:paraId="286E73AB" w14:textId="77777777" w:rsidR="002377AA" w:rsidRPr="00323D24" w:rsidRDefault="0046054B">
      <w:pPr>
        <w:spacing w:after="0" w:line="360" w:lineRule="auto"/>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 </w:t>
      </w:r>
    </w:p>
    <w:p w14:paraId="305833ED" w14:textId="77777777" w:rsidR="002377AA" w:rsidRPr="00323D24" w:rsidRDefault="002377AA">
      <w:pPr>
        <w:spacing w:after="0" w:line="360" w:lineRule="auto"/>
        <w:jc w:val="both"/>
        <w:rPr>
          <w:rFonts w:ascii="Palatino Linotype" w:eastAsia="Palatino Linotype" w:hAnsi="Palatino Linotype" w:cs="Palatino Linotype"/>
          <w:b/>
        </w:rPr>
      </w:pPr>
    </w:p>
    <w:p w14:paraId="42CCC58B"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b/>
        </w:rPr>
        <w:t>Tercero. Materia de Revisión</w:t>
      </w:r>
      <w:r w:rsidRPr="00323D24">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VI del artículo 179 de la Ley de Transparencia y Acceso a la Información Pública del Estado de México y Municipios.  </w:t>
      </w:r>
    </w:p>
    <w:p w14:paraId="44C3330C" w14:textId="77777777" w:rsidR="002377AA" w:rsidRPr="00323D24" w:rsidRDefault="002377AA">
      <w:pPr>
        <w:spacing w:after="0" w:line="360" w:lineRule="auto"/>
        <w:jc w:val="both"/>
        <w:rPr>
          <w:rFonts w:ascii="Palatino Linotype" w:eastAsia="Palatino Linotype" w:hAnsi="Palatino Linotype" w:cs="Palatino Linotype"/>
        </w:rPr>
      </w:pPr>
    </w:p>
    <w:p w14:paraId="0F8A2D20"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Cuarto.</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Estudio de fondo del asunto.</w:t>
      </w:r>
      <w:r w:rsidRPr="00323D24">
        <w:rPr>
          <w:rFonts w:ascii="Palatino Linotype" w:eastAsia="Palatino Linotype" w:hAnsi="Palatino Linotype" w:cs="Palatino Linotype"/>
        </w:rPr>
        <w:t xml:space="preserve">  Es conveniente analizar si la respuesta y el informe justificado del Sujeto Obligado</w:t>
      </w:r>
      <w:r w:rsidRPr="00323D24">
        <w:rPr>
          <w:rFonts w:ascii="Palatino Linotype" w:eastAsia="Palatino Linotype" w:hAnsi="Palatino Linotype" w:cs="Palatino Linotype"/>
          <w:b/>
        </w:rPr>
        <w:t xml:space="preserve"> </w:t>
      </w:r>
      <w:r w:rsidRPr="00323D24">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2F1EF54" w14:textId="77777777" w:rsidR="002377AA" w:rsidRPr="00323D24" w:rsidRDefault="002377AA">
      <w:pPr>
        <w:spacing w:after="0" w:line="360" w:lineRule="auto"/>
        <w:ind w:right="49"/>
        <w:jc w:val="both"/>
        <w:rPr>
          <w:rFonts w:ascii="Palatino Linotype" w:eastAsia="Palatino Linotype" w:hAnsi="Palatino Linotype" w:cs="Palatino Linotype"/>
        </w:rPr>
      </w:pPr>
    </w:p>
    <w:p w14:paraId="56774706" w14:textId="77777777" w:rsidR="002377AA" w:rsidRPr="00323D24" w:rsidRDefault="0046054B">
      <w:pPr>
        <w:tabs>
          <w:tab w:val="left" w:pos="851"/>
        </w:tabs>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Artículo 4</w:t>
      </w:r>
      <w:r w:rsidRPr="00323D2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ECA565" w14:textId="77777777" w:rsidR="002377AA" w:rsidRPr="00323D24" w:rsidRDefault="0046054B">
      <w:pPr>
        <w:tabs>
          <w:tab w:val="left" w:pos="851"/>
        </w:tabs>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23D2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991E2F7" w14:textId="77777777" w:rsidR="002377AA" w:rsidRPr="00323D24" w:rsidRDefault="0046054B">
      <w:pPr>
        <w:tabs>
          <w:tab w:val="left" w:pos="851"/>
        </w:tabs>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23D24">
        <w:rPr>
          <w:rFonts w:ascii="Palatino Linotype" w:eastAsia="Palatino Linotype" w:hAnsi="Palatino Linotype" w:cs="Palatino Linotype"/>
          <w:i/>
        </w:rPr>
        <w:t>.”</w:t>
      </w:r>
    </w:p>
    <w:p w14:paraId="1CBCFE51" w14:textId="77777777" w:rsidR="002377AA" w:rsidRPr="00323D24" w:rsidRDefault="002377AA">
      <w:pPr>
        <w:spacing w:after="0" w:line="360" w:lineRule="auto"/>
        <w:jc w:val="both"/>
        <w:rPr>
          <w:rFonts w:ascii="Palatino Linotype" w:eastAsia="Palatino Linotype" w:hAnsi="Palatino Linotype" w:cs="Palatino Linotype"/>
        </w:rPr>
      </w:pPr>
    </w:p>
    <w:p w14:paraId="19752213"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DA8F2AB" w14:textId="77777777" w:rsidR="002377AA" w:rsidRPr="00323D24" w:rsidRDefault="002377AA">
      <w:pPr>
        <w:spacing w:after="0" w:line="360" w:lineRule="auto"/>
        <w:jc w:val="both"/>
        <w:rPr>
          <w:rFonts w:ascii="Palatino Linotype" w:eastAsia="Palatino Linotype" w:hAnsi="Palatino Linotype" w:cs="Palatino Linotype"/>
        </w:rPr>
      </w:pPr>
    </w:p>
    <w:p w14:paraId="157253B4"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Artículo 12.-</w:t>
      </w:r>
      <w:r w:rsidRPr="00323D2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E01E21A" w14:textId="77777777" w:rsidR="002377AA" w:rsidRPr="00323D24" w:rsidRDefault="002377AA">
      <w:pPr>
        <w:spacing w:after="0"/>
        <w:ind w:left="567" w:right="616"/>
        <w:jc w:val="both"/>
        <w:rPr>
          <w:rFonts w:ascii="Palatino Linotype" w:eastAsia="Palatino Linotype" w:hAnsi="Palatino Linotype" w:cs="Palatino Linotype"/>
          <w:i/>
        </w:rPr>
      </w:pPr>
    </w:p>
    <w:p w14:paraId="094BE4C1"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23D24">
        <w:rPr>
          <w:rFonts w:ascii="Palatino Linotype" w:eastAsia="Palatino Linotype" w:hAnsi="Palatino Linotype" w:cs="Palatino Linotype"/>
          <w:i/>
        </w:rPr>
        <w:t xml:space="preserve">. </w:t>
      </w:r>
      <w:r w:rsidRPr="00323D2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323D24">
        <w:rPr>
          <w:rFonts w:ascii="Palatino Linotype" w:eastAsia="Palatino Linotype" w:hAnsi="Palatino Linotype" w:cs="Palatino Linotype"/>
          <w:i/>
        </w:rPr>
        <w:t xml:space="preserve">.” </w:t>
      </w:r>
    </w:p>
    <w:p w14:paraId="3F936368" w14:textId="77777777" w:rsidR="002377AA" w:rsidRPr="00323D24" w:rsidRDefault="002377AA">
      <w:pPr>
        <w:spacing w:after="0"/>
        <w:ind w:left="567" w:right="616"/>
        <w:jc w:val="both"/>
        <w:rPr>
          <w:rFonts w:ascii="Palatino Linotype" w:eastAsia="Palatino Linotype" w:hAnsi="Palatino Linotype" w:cs="Palatino Linotype"/>
          <w:i/>
        </w:rPr>
      </w:pPr>
    </w:p>
    <w:p w14:paraId="14595577" w14:textId="77777777" w:rsidR="002377AA" w:rsidRPr="00323D24" w:rsidRDefault="0046054B">
      <w:pPr>
        <w:spacing w:after="0" w:line="360" w:lineRule="auto"/>
        <w:ind w:right="-93"/>
        <w:jc w:val="both"/>
        <w:rPr>
          <w:rFonts w:ascii="Palatino Linotype" w:eastAsia="Palatino Linotype" w:hAnsi="Palatino Linotype" w:cs="Palatino Linotype"/>
        </w:rPr>
      </w:pPr>
      <w:r w:rsidRPr="00323D2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230710D" w14:textId="77777777" w:rsidR="002377AA" w:rsidRPr="00323D24" w:rsidRDefault="002377AA">
      <w:pPr>
        <w:spacing w:after="0" w:line="360" w:lineRule="auto"/>
        <w:ind w:right="-93"/>
        <w:jc w:val="both"/>
        <w:rPr>
          <w:rFonts w:ascii="Palatino Linotype" w:eastAsia="Palatino Linotype" w:hAnsi="Palatino Linotype" w:cs="Palatino Linotype"/>
        </w:rPr>
      </w:pPr>
    </w:p>
    <w:p w14:paraId="576DC9C0" w14:textId="77777777" w:rsidR="002377AA" w:rsidRPr="00323D24" w:rsidRDefault="0046054B">
      <w:pPr>
        <w:spacing w:after="0" w:line="360" w:lineRule="auto"/>
        <w:jc w:val="both"/>
        <w:rPr>
          <w:rFonts w:ascii="Palatino Linotype" w:eastAsia="Palatino Linotype" w:hAnsi="Palatino Linotype" w:cs="Palatino Linotype"/>
          <w:b/>
        </w:rPr>
      </w:pPr>
      <w:r w:rsidRPr="00323D24">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323D24">
        <w:rPr>
          <w:rFonts w:ascii="Palatino Linotype" w:eastAsia="Palatino Linotype" w:hAnsi="Palatino Linotype" w:cs="Palatino Linotype"/>
          <w:b/>
        </w:rPr>
        <w:t xml:space="preserve"> </w:t>
      </w:r>
    </w:p>
    <w:p w14:paraId="29E1B646" w14:textId="77777777" w:rsidR="002377AA" w:rsidRPr="00323D24" w:rsidRDefault="002377AA">
      <w:pPr>
        <w:spacing w:after="0"/>
        <w:ind w:left="851" w:right="850"/>
        <w:jc w:val="both"/>
        <w:rPr>
          <w:rFonts w:ascii="Palatino Linotype" w:eastAsia="Palatino Linotype" w:hAnsi="Palatino Linotype" w:cs="Palatino Linotype"/>
        </w:rPr>
      </w:pPr>
    </w:p>
    <w:p w14:paraId="531A6801"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No existe obligación de elaborar documentos ad hoc para atender las solicitudes de acceso a la información.</w:t>
      </w:r>
      <w:r w:rsidRPr="00323D2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714E0A1" w14:textId="77777777" w:rsidR="002377AA" w:rsidRPr="00323D24" w:rsidRDefault="002377AA">
      <w:pPr>
        <w:spacing w:after="0"/>
        <w:ind w:left="567" w:right="616"/>
        <w:jc w:val="both"/>
        <w:rPr>
          <w:rFonts w:ascii="Palatino Linotype" w:eastAsia="Palatino Linotype" w:hAnsi="Palatino Linotype" w:cs="Palatino Linotype"/>
          <w:i/>
        </w:rPr>
      </w:pPr>
    </w:p>
    <w:p w14:paraId="36FA5A67"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6AFA0F" w14:textId="77777777" w:rsidR="002377AA" w:rsidRPr="00323D24" w:rsidRDefault="002377AA">
      <w:pPr>
        <w:spacing w:after="0" w:line="360" w:lineRule="auto"/>
        <w:jc w:val="both"/>
        <w:rPr>
          <w:rFonts w:ascii="Palatino Linotype" w:eastAsia="Palatino Linotype" w:hAnsi="Palatino Linotype" w:cs="Palatino Linotype"/>
        </w:rPr>
      </w:pPr>
    </w:p>
    <w:p w14:paraId="4C07E6B8"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2AEF71" w14:textId="77777777" w:rsidR="002377AA" w:rsidRPr="00323D24" w:rsidRDefault="002377AA">
      <w:pPr>
        <w:spacing w:after="0" w:line="360" w:lineRule="auto"/>
        <w:ind w:right="49"/>
        <w:jc w:val="both"/>
        <w:rPr>
          <w:rFonts w:ascii="Palatino Linotype" w:eastAsia="Palatino Linotype" w:hAnsi="Palatino Linotype" w:cs="Palatino Linotype"/>
        </w:rPr>
      </w:pPr>
    </w:p>
    <w:p w14:paraId="1830B0A6"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F587AE" w14:textId="77777777" w:rsidR="002377AA" w:rsidRPr="00323D24" w:rsidRDefault="002377AA">
      <w:pPr>
        <w:spacing w:after="0" w:line="360" w:lineRule="auto"/>
        <w:jc w:val="both"/>
        <w:rPr>
          <w:rFonts w:ascii="Palatino Linotype" w:eastAsia="Palatino Linotype" w:hAnsi="Palatino Linotype" w:cs="Palatino Linotype"/>
        </w:rPr>
      </w:pPr>
    </w:p>
    <w:p w14:paraId="4C62DA9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 xml:space="preserve">Artículo 3. </w:t>
      </w:r>
      <w:r w:rsidRPr="00323D24">
        <w:rPr>
          <w:rFonts w:ascii="Palatino Linotype" w:eastAsia="Palatino Linotype" w:hAnsi="Palatino Linotype" w:cs="Palatino Linotype"/>
          <w:i/>
        </w:rPr>
        <w:t>Para los efectos de la presente Ley se entenderá por:</w:t>
      </w:r>
    </w:p>
    <w:p w14:paraId="07692F39"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6945590C"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XI. Documento:</w:t>
      </w:r>
      <w:r w:rsidRPr="00323D24">
        <w:rPr>
          <w:rFonts w:ascii="Palatino Linotype" w:eastAsia="Palatino Linotype" w:hAnsi="Palatino Linotype" w:cs="Palatino Linotype"/>
          <w:i/>
        </w:rPr>
        <w:t xml:space="preserve"> Los expedientes, reportes, estudios, actas</w:t>
      </w:r>
      <w:r w:rsidRPr="00323D24">
        <w:rPr>
          <w:rFonts w:ascii="Palatino Linotype" w:eastAsia="Palatino Linotype" w:hAnsi="Palatino Linotype" w:cs="Palatino Linotype"/>
          <w:b/>
          <w:i/>
        </w:rPr>
        <w:t>,</w:t>
      </w:r>
      <w:r w:rsidRPr="00323D2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761C2B" w14:textId="77777777" w:rsidR="002377AA" w:rsidRPr="00323D24" w:rsidRDefault="002377AA">
      <w:pPr>
        <w:spacing w:after="0" w:line="360" w:lineRule="auto"/>
        <w:ind w:left="851" w:right="899"/>
        <w:jc w:val="both"/>
        <w:rPr>
          <w:rFonts w:ascii="Palatino Linotype" w:eastAsia="Palatino Linotype" w:hAnsi="Palatino Linotype" w:cs="Palatino Linotype"/>
        </w:rPr>
      </w:pPr>
    </w:p>
    <w:p w14:paraId="62236C4B"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FE6ED0" w14:textId="77777777" w:rsidR="002377AA" w:rsidRPr="00323D24" w:rsidRDefault="002377AA">
      <w:pPr>
        <w:spacing w:after="0" w:line="360" w:lineRule="auto"/>
        <w:ind w:left="851" w:right="899"/>
        <w:jc w:val="both"/>
        <w:rPr>
          <w:rFonts w:ascii="Palatino Linotype" w:eastAsia="Palatino Linotype" w:hAnsi="Palatino Linotype" w:cs="Palatino Linotype"/>
        </w:rPr>
      </w:pPr>
    </w:p>
    <w:p w14:paraId="52EDD4D0" w14:textId="77777777" w:rsidR="002377AA" w:rsidRPr="00323D24" w:rsidRDefault="0046054B">
      <w:pPr>
        <w:tabs>
          <w:tab w:val="left" w:pos="7797"/>
        </w:tabs>
        <w:spacing w:after="0"/>
        <w:ind w:left="709" w:right="616"/>
        <w:jc w:val="both"/>
        <w:rPr>
          <w:rFonts w:ascii="Palatino Linotype" w:eastAsia="Palatino Linotype" w:hAnsi="Palatino Linotype" w:cs="Palatino Linotype"/>
          <w:b/>
          <w:i/>
        </w:rPr>
      </w:pPr>
      <w:r w:rsidRPr="00323D24">
        <w:rPr>
          <w:rFonts w:ascii="Palatino Linotype" w:eastAsia="Palatino Linotype" w:hAnsi="Palatino Linotype" w:cs="Palatino Linotype"/>
          <w:b/>
        </w:rPr>
        <w:t>“</w:t>
      </w:r>
      <w:r w:rsidRPr="00323D2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323D2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0A12B2" w14:textId="77777777" w:rsidR="002377AA" w:rsidRPr="00323D24" w:rsidRDefault="0046054B">
      <w:pPr>
        <w:tabs>
          <w:tab w:val="left" w:pos="7797"/>
        </w:tabs>
        <w:spacing w:after="0"/>
        <w:ind w:left="709"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En consecuencia el acceso a la información se refiere a que se cumplan cualquiera de los siguientes tres supuestos:</w:t>
      </w:r>
    </w:p>
    <w:p w14:paraId="627BF60D" w14:textId="77777777" w:rsidR="002377AA" w:rsidRPr="00323D24" w:rsidRDefault="0046054B">
      <w:pPr>
        <w:tabs>
          <w:tab w:val="left" w:pos="7797"/>
        </w:tabs>
        <w:spacing w:after="0"/>
        <w:ind w:left="709"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89B4430" w14:textId="77777777" w:rsidR="002377AA" w:rsidRPr="00323D24" w:rsidRDefault="0046054B">
      <w:pPr>
        <w:tabs>
          <w:tab w:val="left" w:pos="7797"/>
        </w:tabs>
        <w:spacing w:after="0"/>
        <w:ind w:left="709" w:right="616"/>
        <w:jc w:val="both"/>
        <w:rPr>
          <w:rFonts w:ascii="Palatino Linotype" w:eastAsia="Palatino Linotype" w:hAnsi="Palatino Linotype" w:cs="Palatino Linotype"/>
          <w:b/>
          <w:i/>
        </w:rPr>
      </w:pPr>
      <w:r w:rsidRPr="00323D24">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793BBC2" w14:textId="77777777" w:rsidR="002377AA" w:rsidRPr="00323D24" w:rsidRDefault="0046054B">
      <w:pPr>
        <w:tabs>
          <w:tab w:val="left" w:pos="7797"/>
        </w:tabs>
        <w:spacing w:after="0"/>
        <w:ind w:left="709" w:right="616"/>
        <w:jc w:val="both"/>
        <w:rPr>
          <w:rFonts w:ascii="Palatino Linotype" w:eastAsia="Palatino Linotype" w:hAnsi="Palatino Linotype" w:cs="Palatino Linotype"/>
          <w:b/>
          <w:i/>
        </w:rPr>
      </w:pPr>
      <w:r w:rsidRPr="00323D24">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4996BE8B" w14:textId="77777777" w:rsidR="002377AA" w:rsidRPr="00323D24" w:rsidRDefault="002377AA">
      <w:pPr>
        <w:spacing w:after="0" w:line="360" w:lineRule="auto"/>
        <w:jc w:val="both"/>
        <w:rPr>
          <w:rFonts w:ascii="Palatino Linotype" w:eastAsia="Palatino Linotype" w:hAnsi="Palatino Linotype" w:cs="Palatino Linotype"/>
        </w:rPr>
      </w:pPr>
    </w:p>
    <w:p w14:paraId="3718B5C2"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Dicho lo anterior, es de recordar que la parte Solicitante requirió se le proporcionara lo siguiente: </w:t>
      </w:r>
    </w:p>
    <w:p w14:paraId="4A01B675" w14:textId="77777777" w:rsidR="002377AA" w:rsidRPr="00323D24" w:rsidRDefault="002377AA">
      <w:pPr>
        <w:spacing w:after="0" w:line="360" w:lineRule="auto"/>
        <w:jc w:val="both"/>
        <w:rPr>
          <w:rFonts w:ascii="Palatino Linotype" w:eastAsia="Palatino Linotype" w:hAnsi="Palatino Linotype" w:cs="Palatino Linotype"/>
        </w:rPr>
      </w:pPr>
    </w:p>
    <w:p w14:paraId="3EC17E52" w14:textId="77777777" w:rsidR="002377AA" w:rsidRPr="00323D24" w:rsidRDefault="0046054B">
      <w:pPr>
        <w:spacing w:after="0" w:line="360" w:lineRule="auto"/>
        <w:jc w:val="both"/>
        <w:rPr>
          <w:rFonts w:ascii="Palatino Linotype" w:eastAsia="Palatino Linotype" w:hAnsi="Palatino Linotype" w:cs="Palatino Linotype"/>
          <w:b/>
        </w:rPr>
      </w:pPr>
      <w:r w:rsidRPr="00323D24">
        <w:rPr>
          <w:rFonts w:ascii="Palatino Linotype" w:eastAsia="Palatino Linotype" w:hAnsi="Palatino Linotype" w:cs="Palatino Linotype"/>
          <w:b/>
        </w:rPr>
        <w:t>De la Tesorería Municipal (</w:t>
      </w:r>
      <w:r w:rsidRPr="00323D24">
        <w:rPr>
          <w:rFonts w:ascii="Palatino Linotype" w:eastAsia="Palatino Linotype" w:hAnsi="Palatino Linotype" w:cs="Palatino Linotype"/>
        </w:rPr>
        <w:t>de los titulares y jefes de departamento)</w:t>
      </w:r>
      <w:r w:rsidRPr="00323D24">
        <w:rPr>
          <w:rFonts w:ascii="Palatino Linotype" w:eastAsia="Palatino Linotype" w:hAnsi="Palatino Linotype" w:cs="Palatino Linotype"/>
          <w:b/>
        </w:rPr>
        <w:t xml:space="preserve">: </w:t>
      </w:r>
    </w:p>
    <w:p w14:paraId="2017E522" w14:textId="77777777" w:rsidR="002377AA" w:rsidRPr="00323D24" w:rsidRDefault="002377AA">
      <w:pPr>
        <w:spacing w:after="0" w:line="360" w:lineRule="auto"/>
        <w:jc w:val="both"/>
        <w:rPr>
          <w:rFonts w:ascii="Palatino Linotype" w:eastAsia="Palatino Linotype" w:hAnsi="Palatino Linotype" w:cs="Palatino Linotype"/>
          <w:b/>
        </w:rPr>
      </w:pPr>
    </w:p>
    <w:p w14:paraId="4FBE1EEB" w14:textId="77777777" w:rsidR="002377AA" w:rsidRPr="00323D24" w:rsidRDefault="0046054B">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Organigrama. </w:t>
      </w:r>
    </w:p>
    <w:p w14:paraId="4BB507D8" w14:textId="77777777" w:rsidR="002377AA" w:rsidRPr="00323D24" w:rsidRDefault="0046054B">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Nombramientos </w:t>
      </w:r>
    </w:p>
    <w:p w14:paraId="7AFAC793" w14:textId="77777777" w:rsidR="002377AA" w:rsidRPr="00323D24" w:rsidRDefault="0046054B">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Comprobantes de estudio.</w:t>
      </w:r>
    </w:p>
    <w:p w14:paraId="01C75801" w14:textId="77777777" w:rsidR="002377AA" w:rsidRPr="00323D24" w:rsidRDefault="0046054B">
      <w:pPr>
        <w:numPr>
          <w:ilvl w:val="0"/>
          <w:numId w:val="1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Currículum. </w:t>
      </w:r>
    </w:p>
    <w:p w14:paraId="5787CCBE" w14:textId="77777777" w:rsidR="002377AA" w:rsidRPr="00323D24" w:rsidRDefault="002377AA">
      <w:pPr>
        <w:pBdr>
          <w:top w:val="nil"/>
          <w:left w:val="nil"/>
          <w:bottom w:val="nil"/>
          <w:right w:val="nil"/>
          <w:between w:val="nil"/>
        </w:pBdr>
        <w:spacing w:after="0" w:line="360" w:lineRule="auto"/>
        <w:ind w:left="720"/>
        <w:jc w:val="both"/>
        <w:rPr>
          <w:rFonts w:ascii="Palatino Linotype" w:eastAsia="Palatino Linotype" w:hAnsi="Palatino Linotype" w:cs="Palatino Linotype"/>
        </w:rPr>
      </w:pPr>
    </w:p>
    <w:p w14:paraId="0FC67F94"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respuesta, el Sujeto Obligado, proporcionó la siguiente información: </w:t>
      </w:r>
    </w:p>
    <w:p w14:paraId="4D19001F" w14:textId="77777777" w:rsidR="002377AA" w:rsidRPr="00323D24" w:rsidRDefault="0046054B">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tres servidores públicos. </w:t>
      </w:r>
    </w:p>
    <w:p w14:paraId="5326774F" w14:textId="77777777" w:rsidR="002377AA" w:rsidRPr="00323D24" w:rsidRDefault="0046054B">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Organigrama de la Tesorería Municipal.</w:t>
      </w:r>
    </w:p>
    <w:p w14:paraId="05BBE792" w14:textId="77777777" w:rsidR="002377AA" w:rsidRPr="00323D24" w:rsidRDefault="0046054B">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Nombramientos de tres servidores públicos como: Tesorero Municipal, Subdirectora de Ingresos, Subdirectora de Egresos. </w:t>
      </w:r>
    </w:p>
    <w:p w14:paraId="14AF85A9" w14:textId="77777777" w:rsidR="002377AA" w:rsidRPr="00323D24" w:rsidRDefault="0046054B">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Acuerdo Número CTM/VACHASO/A/00160/2025. </w:t>
      </w:r>
    </w:p>
    <w:p w14:paraId="2CA77206" w14:textId="77777777" w:rsidR="002377AA" w:rsidRPr="00323D24" w:rsidRDefault="0046054B">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Acta de la Décimo Quinta Sesión Extraordinaria del Comité de Transparencia, mediante el cual se aprueba la versión pública de los documentos enviados en respuesta. </w:t>
      </w:r>
    </w:p>
    <w:p w14:paraId="2ECE0A8D" w14:textId="77777777" w:rsidR="002377AA" w:rsidRPr="00323D24" w:rsidRDefault="0046054B">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Documentos comprobantes del grado de estudio de los servidores públicos. </w:t>
      </w:r>
    </w:p>
    <w:p w14:paraId="317789CE"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1EE81B8"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Derivado de ello, la parte Recurrente se inconformó arguyendo que, se había realizado el cambio de Tesorero Municipal, así como de los titulares de la subdirección y departamentos que lo conforman, por lo que, no correspondían con la actualidad.  </w:t>
      </w:r>
    </w:p>
    <w:p w14:paraId="45F36089" w14:textId="77777777" w:rsidR="002377AA" w:rsidRPr="00323D24" w:rsidRDefault="002377AA">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24CB48CE"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atención a ello, mediante informe justificado, el Sujeto Obligado remitió lo siguiente: </w:t>
      </w:r>
    </w:p>
    <w:p w14:paraId="25B4C2EE"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22A6F1DD"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Organigrama de la Tesorería Municipal. </w:t>
      </w:r>
    </w:p>
    <w:p w14:paraId="7999771C"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como Tesorera Municipal. </w:t>
      </w:r>
    </w:p>
    <w:p w14:paraId="0F7B667C"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la  Tesorera Municipal. </w:t>
      </w:r>
    </w:p>
    <w:p w14:paraId="0C175986"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Título Profesional de la Tesorera Municipal. </w:t>
      </w:r>
    </w:p>
    <w:p w14:paraId="76D21F2D"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del Jefe del Departamento de Contabilidad. </w:t>
      </w:r>
    </w:p>
    <w:p w14:paraId="7602F5B5"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del Jefe del Departamento de Contabilidad. </w:t>
      </w:r>
    </w:p>
    <w:p w14:paraId="6A992467"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Nombramiento de la Jefa del Departamento de Recursos Concertados.</w:t>
      </w:r>
    </w:p>
    <w:p w14:paraId="101662CE"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la Jefa del Departamento de Recursos Concertados. </w:t>
      </w:r>
    </w:p>
    <w:p w14:paraId="45D93514"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Título Profesional de la Jefa del Departamento de Recursos Concertados. </w:t>
      </w:r>
    </w:p>
    <w:p w14:paraId="38D61B9B"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del Subdirector de Ingresos. </w:t>
      </w:r>
    </w:p>
    <w:p w14:paraId="08EDCCE6"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del Subdirector de Ingresos. </w:t>
      </w:r>
    </w:p>
    <w:p w14:paraId="25DA40E3"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Título Profesional del Subdirector de Ingresos. </w:t>
      </w:r>
    </w:p>
    <w:p w14:paraId="40F81A2F"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Nombramiento de la Jefa del Departamento de Procedimientos Administrativos de Ejecución. </w:t>
      </w:r>
    </w:p>
    <w:p w14:paraId="09114F20"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Ficha curricular de la Jefa del Departamento de Procedimientos Administrativos de Ejecución. </w:t>
      </w:r>
    </w:p>
    <w:p w14:paraId="78152E20"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Cédula Profesional la Jefa del Departamento de Procedimientos Administrativos de Ejecución. </w:t>
      </w:r>
    </w:p>
    <w:p w14:paraId="5F9787F8"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Acta de la Décimo Quinta Sesión Extraordinaria del Comité de Transparencia del H. Ayuntamiento de Valle de Chalco Solidaridad, mediante el cual se aprueba la versión pública de los documentos proporcionados en respuesta. </w:t>
      </w:r>
    </w:p>
    <w:p w14:paraId="53482928" w14:textId="77777777" w:rsidR="002377AA" w:rsidRPr="00323D24" w:rsidRDefault="0046054B">
      <w:pPr>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Oficio de fecha veintisiete de mayo de dos mil veinticinco, mediante el cual refiere que, se entrega la actualización de la información. </w:t>
      </w:r>
    </w:p>
    <w:p w14:paraId="125FCB3C"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00047F43"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Cabe mencionar que el archivo que contiene la información relacionada con las fichas curriculares, las cédulas profesionales y los nombramientos, no se hicieron del conocimiento del Particular, en razón de que el Sujeto Obligado expuso información susceptible de ser clasificada como confidencial. </w:t>
      </w:r>
    </w:p>
    <w:p w14:paraId="4792E53C"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 </w:t>
      </w:r>
    </w:p>
    <w:p w14:paraId="69711BF7"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La parte Recurrente fue omisa en pronunciarse al respecto. </w:t>
      </w:r>
    </w:p>
    <w:p w14:paraId="334AD362"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589C2BB8"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323D24">
        <w:rPr>
          <w:rFonts w:ascii="Palatino Linotype" w:eastAsia="Palatino Linotype" w:hAnsi="Palatino Linotype" w:cs="Palatino Linotype"/>
          <w:b/>
        </w:rPr>
        <w:t>porque se le entregaron documentos que no correspondían con el Tesorero Municipal, los titulares de las subdirecciones y departamentos que la conforman, ya que habían cambiado</w:t>
      </w:r>
      <w:r w:rsidRPr="00323D24">
        <w:rPr>
          <w:rFonts w:ascii="Palatino Linotype" w:eastAsia="Palatino Linotype" w:hAnsi="Palatino Linotype" w:cs="Palatino Linotype"/>
        </w:rPr>
        <w:t xml:space="preserve">, se colige que, la parte de la respuesta que no fue impugnada debe declararse consentida, toda vez que, al no haber realizado manifestaciones de inconformidad respecto del </w:t>
      </w:r>
      <w:r w:rsidRPr="00323D24">
        <w:rPr>
          <w:rFonts w:ascii="Palatino Linotype" w:eastAsia="Palatino Linotype" w:hAnsi="Palatino Linotype" w:cs="Palatino Linotype"/>
          <w:b/>
        </w:rPr>
        <w:t>organigrama</w:t>
      </w:r>
      <w:r w:rsidRPr="00323D24">
        <w:rPr>
          <w:rFonts w:ascii="Palatino Linotype" w:eastAsia="Palatino Linotype" w:hAnsi="Palatino Linotype" w:cs="Palatino Linotype"/>
        </w:rPr>
        <w:t>, no pueden producirse efectos jurídicos tendentes a revocar, confirmar o modificar el acto reclamado, ya que, en el caso concreto se infiere que la información proporcionada por el Sujeto Obligado, satisface la solicitud presentada.</w:t>
      </w:r>
    </w:p>
    <w:p w14:paraId="7A4618DE" w14:textId="77777777" w:rsidR="002377AA" w:rsidRPr="00323D24" w:rsidRDefault="002377AA">
      <w:pPr>
        <w:spacing w:after="0" w:line="360" w:lineRule="auto"/>
        <w:jc w:val="both"/>
        <w:rPr>
          <w:rFonts w:ascii="Palatino Linotype" w:eastAsia="Palatino Linotype" w:hAnsi="Palatino Linotype" w:cs="Palatino Linotype"/>
        </w:rPr>
      </w:pPr>
    </w:p>
    <w:p w14:paraId="6E34F37B"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06DB930" w14:textId="77777777" w:rsidR="002377AA" w:rsidRPr="00323D24" w:rsidRDefault="002377AA">
      <w:pPr>
        <w:spacing w:after="0" w:line="360" w:lineRule="auto"/>
        <w:jc w:val="both"/>
        <w:rPr>
          <w:rFonts w:ascii="Palatino Linotype" w:eastAsia="Palatino Linotype" w:hAnsi="Palatino Linotype" w:cs="Palatino Linotype"/>
        </w:rPr>
      </w:pPr>
    </w:p>
    <w:p w14:paraId="0C661186" w14:textId="77777777" w:rsidR="002377AA" w:rsidRPr="00323D24" w:rsidRDefault="0046054B">
      <w:pPr>
        <w:spacing w:after="0" w:line="240" w:lineRule="auto"/>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 xml:space="preserve">“REVISIÓN EN AMPARO. LOS RESOLUTIVOS NO COMBATIDOS DEBEN DECLARARSE FIRMES. </w:t>
      </w:r>
      <w:r w:rsidRPr="00323D24">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2BB062A" w14:textId="77777777" w:rsidR="002377AA" w:rsidRPr="00323D24" w:rsidRDefault="002377AA">
      <w:pPr>
        <w:spacing w:after="0" w:line="360" w:lineRule="auto"/>
        <w:jc w:val="both"/>
        <w:rPr>
          <w:rFonts w:ascii="Palatino Linotype" w:eastAsia="Palatino Linotype" w:hAnsi="Palatino Linotype" w:cs="Palatino Linotype"/>
        </w:rPr>
      </w:pPr>
    </w:p>
    <w:p w14:paraId="1BE85F5A"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Consecuentemente, se insiste, ante la falta de impugnación eficaz, la respuesta entregada debe declararse consentida por la persona solicitante.</w:t>
      </w:r>
    </w:p>
    <w:p w14:paraId="3C9EB2A6" w14:textId="77777777" w:rsidR="002377AA" w:rsidRPr="00323D24" w:rsidRDefault="002377AA">
      <w:pPr>
        <w:spacing w:after="0" w:line="360" w:lineRule="auto"/>
        <w:jc w:val="both"/>
        <w:rPr>
          <w:rFonts w:ascii="Palatino Linotype" w:eastAsia="Palatino Linotype" w:hAnsi="Palatino Linotype" w:cs="Palatino Linotype"/>
        </w:rPr>
      </w:pPr>
    </w:p>
    <w:p w14:paraId="2F385190"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Lo anterior se sustenta con lo plasmado en el criterio orientador 01/20 emitido por el entonces Instituto Nacional de Transparencia, Acceso a la Información, y Protección de Datos Personales, INAI, que lleva por rubro y texto los siguientes: </w:t>
      </w:r>
    </w:p>
    <w:p w14:paraId="1E9DD130" w14:textId="77777777" w:rsidR="002377AA" w:rsidRPr="00323D24" w:rsidRDefault="002377AA">
      <w:pPr>
        <w:spacing w:after="0" w:line="360" w:lineRule="auto"/>
        <w:jc w:val="both"/>
        <w:rPr>
          <w:rFonts w:ascii="Palatino Linotype" w:eastAsia="Palatino Linotype" w:hAnsi="Palatino Linotype" w:cs="Palatino Linotype"/>
        </w:rPr>
      </w:pPr>
    </w:p>
    <w:p w14:paraId="276EEA0B" w14:textId="77777777" w:rsidR="002377AA" w:rsidRPr="00323D24" w:rsidRDefault="0046054B">
      <w:pPr>
        <w:pBdr>
          <w:top w:val="nil"/>
          <w:left w:val="nil"/>
          <w:bottom w:val="nil"/>
          <w:right w:val="nil"/>
          <w:between w:val="nil"/>
        </w:pBdr>
        <w:spacing w:after="0"/>
        <w:ind w:left="567" w:right="902"/>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 xml:space="preserve">Actos consentidos tácitamente. Improcedencia de su análisis. </w:t>
      </w:r>
      <w:r w:rsidRPr="00323D24">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5156609" w14:textId="77777777" w:rsidR="002377AA" w:rsidRPr="00323D24" w:rsidRDefault="002377AA">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00F85066"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1310676" w14:textId="77777777" w:rsidR="002377AA" w:rsidRPr="00323D24" w:rsidRDefault="002377AA">
      <w:pPr>
        <w:spacing w:after="0" w:line="360" w:lineRule="auto"/>
        <w:ind w:left="851" w:right="900"/>
        <w:jc w:val="both"/>
        <w:rPr>
          <w:rFonts w:ascii="Palatino Linotype" w:eastAsia="Palatino Linotype" w:hAnsi="Palatino Linotype" w:cs="Palatino Linotype"/>
          <w:b/>
          <w:i/>
          <w:smallCaps/>
        </w:rPr>
      </w:pPr>
    </w:p>
    <w:p w14:paraId="60D1B98E" w14:textId="77777777" w:rsidR="002377AA" w:rsidRPr="00323D24" w:rsidRDefault="0046054B">
      <w:pPr>
        <w:tabs>
          <w:tab w:val="left" w:pos="851"/>
          <w:tab w:val="left" w:pos="1276"/>
        </w:tabs>
        <w:spacing w:after="0"/>
        <w:ind w:left="567" w:right="709"/>
        <w:jc w:val="both"/>
        <w:rPr>
          <w:rFonts w:ascii="Palatino Linotype" w:eastAsia="Palatino Linotype" w:hAnsi="Palatino Linotype" w:cs="Palatino Linotype"/>
        </w:rPr>
      </w:pPr>
      <w:r w:rsidRPr="00323D24">
        <w:rPr>
          <w:rFonts w:ascii="Palatino Linotype" w:eastAsia="Palatino Linotype" w:hAnsi="Palatino Linotype" w:cs="Palatino Linotype"/>
          <w:b/>
          <w:i/>
          <w:smallCaps/>
        </w:rPr>
        <w:t xml:space="preserve">“ACTOS CONSENTIDOS. SON LOS QUE NO SE IMPUGNAN MEDIANTE EL RECURSO IDÓNEO. </w:t>
      </w:r>
      <w:r w:rsidRPr="00323D24">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C855F9"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897260B"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u w:val="single"/>
        </w:rPr>
      </w:pPr>
      <w:r w:rsidRPr="00323D24">
        <w:rPr>
          <w:rFonts w:ascii="Palatino Linotype" w:eastAsia="Palatino Linotype" w:hAnsi="Palatino Linotype" w:cs="Palatino Linotype"/>
        </w:rPr>
        <w:t xml:space="preserve">Dicho lo anterior, la información de la que resulta procedente pronunciarse es respecto de los nombramientos, comprobantes de estudio, currículo de los titulares y jefes de departamento de la Tesorería Municipal no así respecto del organigrama. </w:t>
      </w:r>
    </w:p>
    <w:p w14:paraId="099B661E"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29A93284"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Derivado de lo anterior, se procede al análisis de las actuaciones que obran en el expediente, conforme a lo siguiente: </w:t>
      </w:r>
    </w:p>
    <w:p w14:paraId="5B03AC79"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36FC727A" w14:textId="77777777" w:rsidR="002377AA" w:rsidRPr="00323D24" w:rsidRDefault="0046054B">
      <w:pPr>
        <w:numPr>
          <w:ilvl w:val="0"/>
          <w:numId w:val="11"/>
        </w:num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De los nombramientos de los servidores públicos. </w:t>
      </w:r>
    </w:p>
    <w:p w14:paraId="0DC087F7"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Respecto a ello, la Ley del Trabajo de los Servidores Públicos del Estado y Municipios, establece en su artículo 5 que,  la relación de trabajo entre las instituciones públicas y sus servidores públicos se entiende establecida mediante </w:t>
      </w:r>
      <w:r w:rsidRPr="00323D24">
        <w:rPr>
          <w:rFonts w:ascii="Palatino Linotype" w:eastAsia="Palatino Linotype" w:hAnsi="Palatino Linotype" w:cs="Palatino Linotype"/>
          <w:b/>
        </w:rPr>
        <w:t>nombramiento,</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formato único de movimiento de personal, contrato o por cualquier otro acto que tenga como consecuencia la prestación personal</w:t>
      </w:r>
      <w:r w:rsidRPr="00323D24">
        <w:rPr>
          <w:rFonts w:ascii="Palatino Linotype" w:eastAsia="Palatino Linotype" w:hAnsi="Palatino Linotype" w:cs="Palatino Linotype"/>
        </w:rPr>
        <w:t xml:space="preserve"> subordinada del servicio y la percepción de un sueldo. Para los efectos de esta ley, las instituciones públicas estarán representadas por sus titulares.</w:t>
      </w:r>
    </w:p>
    <w:p w14:paraId="2E2CD9CF" w14:textId="77777777" w:rsidR="002377AA" w:rsidRPr="00323D24" w:rsidRDefault="002377AA">
      <w:pPr>
        <w:spacing w:after="0" w:line="360" w:lineRule="auto"/>
        <w:ind w:right="-7"/>
        <w:jc w:val="both"/>
        <w:rPr>
          <w:rFonts w:ascii="Palatino Linotype" w:eastAsia="Palatino Linotype" w:hAnsi="Palatino Linotype" w:cs="Palatino Linotype"/>
        </w:rPr>
      </w:pPr>
    </w:p>
    <w:p w14:paraId="09ACB431"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Del mismo modo, el artículo 45 de la Ley en cita, establece que, los servidores públicos prestarán sus servicios mediante nombramiento, contrato o formato único de Movimientos de Personal expedidos por quien estuviere facultado legalmente para extenderlo.</w:t>
      </w:r>
    </w:p>
    <w:p w14:paraId="4189750C" w14:textId="77777777" w:rsidR="002377AA" w:rsidRPr="00323D24" w:rsidRDefault="002377AA">
      <w:pPr>
        <w:spacing w:after="0" w:line="360" w:lineRule="auto"/>
        <w:ind w:right="-7"/>
        <w:jc w:val="both"/>
        <w:rPr>
          <w:rFonts w:ascii="Palatino Linotype" w:eastAsia="Palatino Linotype" w:hAnsi="Palatino Linotype" w:cs="Palatino Linotype"/>
        </w:rPr>
      </w:pPr>
    </w:p>
    <w:p w14:paraId="515C1E82" w14:textId="77777777" w:rsidR="002377AA" w:rsidRPr="00323D24" w:rsidRDefault="0046054B">
      <w:pPr>
        <w:spacing w:after="0" w:line="360" w:lineRule="auto"/>
        <w:ind w:right="-7"/>
        <w:jc w:val="both"/>
        <w:rPr>
          <w:rFonts w:ascii="Palatino Linotype" w:eastAsia="Palatino Linotype" w:hAnsi="Palatino Linotype" w:cs="Palatino Linotype"/>
          <w:b/>
          <w:u w:val="single"/>
        </w:rPr>
      </w:pPr>
      <w:r w:rsidRPr="00323D24">
        <w:rPr>
          <w:rFonts w:ascii="Palatino Linotype" w:eastAsia="Palatino Linotype" w:hAnsi="Palatino Linotype" w:cs="Palatino Linotype"/>
        </w:rPr>
        <w:t xml:space="preserve">Por su lado, el artículo 48 de la normatividad referida, establece que, para iniciar la prestación de los servicios se requiere tener </w:t>
      </w:r>
      <w:r w:rsidRPr="00323D24">
        <w:rPr>
          <w:rFonts w:ascii="Palatino Linotype" w:eastAsia="Palatino Linotype" w:hAnsi="Palatino Linotype" w:cs="Palatino Linotype"/>
          <w:b/>
          <w:u w:val="single"/>
        </w:rPr>
        <w:t>conferido el nombramiento, contrato respectivo o formato único de Movimientos de Personal; rendir la protesta de ley en caso de nombramiento; y tomar posesión del cargo.</w:t>
      </w:r>
    </w:p>
    <w:p w14:paraId="560B3033" w14:textId="77777777" w:rsidR="002377AA" w:rsidRPr="00323D24" w:rsidRDefault="002377AA">
      <w:pPr>
        <w:pBdr>
          <w:top w:val="nil"/>
          <w:left w:val="nil"/>
          <w:bottom w:val="nil"/>
          <w:right w:val="nil"/>
          <w:between w:val="nil"/>
        </w:pBdr>
        <w:spacing w:after="0"/>
        <w:ind w:right="616"/>
        <w:jc w:val="both"/>
        <w:rPr>
          <w:rFonts w:ascii="Palatino Linotype" w:eastAsia="Palatino Linotype" w:hAnsi="Palatino Linotype" w:cs="Palatino Linotype"/>
          <w:b/>
        </w:rPr>
      </w:pPr>
    </w:p>
    <w:p w14:paraId="0644FF9B"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De tal manera que, su artículo 49 menciona que</w:t>
      </w:r>
      <w:r w:rsidRPr="00323D24">
        <w:rPr>
          <w:rFonts w:ascii="Palatino Linotype" w:eastAsia="Palatino Linotype" w:hAnsi="Palatino Linotype" w:cs="Palatino Linotype"/>
          <w:b/>
        </w:rPr>
        <w:t>, l</w:t>
      </w:r>
      <w:r w:rsidRPr="00323D24">
        <w:rPr>
          <w:rFonts w:ascii="Palatino Linotype" w:eastAsia="Palatino Linotype" w:hAnsi="Palatino Linotype" w:cs="Palatino Linotype"/>
        </w:rPr>
        <w:t>os nombramientos, contratos o formato único de Movimientos de Personal de los servidores públicos deberán contener, lo siguiente:</w:t>
      </w:r>
    </w:p>
    <w:p w14:paraId="200E8014" w14:textId="77777777" w:rsidR="002377AA" w:rsidRPr="00323D24" w:rsidRDefault="002377AA">
      <w:pPr>
        <w:pBdr>
          <w:top w:val="nil"/>
          <w:left w:val="nil"/>
          <w:bottom w:val="nil"/>
          <w:right w:val="nil"/>
          <w:between w:val="nil"/>
        </w:pBdr>
        <w:spacing w:after="0" w:line="360" w:lineRule="auto"/>
        <w:ind w:left="360" w:right="49"/>
        <w:jc w:val="both"/>
        <w:rPr>
          <w:rFonts w:ascii="Palatino Linotype" w:eastAsia="Palatino Linotype" w:hAnsi="Palatino Linotype" w:cs="Palatino Linotype"/>
          <w:b/>
        </w:rPr>
      </w:pPr>
    </w:p>
    <w:p w14:paraId="67543D87" w14:textId="77777777" w:rsidR="002377AA" w:rsidRPr="00323D24" w:rsidRDefault="0046054B">
      <w:pPr>
        <w:pBdr>
          <w:top w:val="nil"/>
          <w:left w:val="nil"/>
          <w:bottom w:val="nil"/>
          <w:right w:val="nil"/>
          <w:between w:val="nil"/>
        </w:pBdr>
        <w:spacing w:after="0"/>
        <w:ind w:left="360" w:right="616"/>
        <w:jc w:val="both"/>
        <w:rPr>
          <w:rFonts w:ascii="Palatino Linotype" w:eastAsia="Palatino Linotype" w:hAnsi="Palatino Linotype" w:cs="Palatino Linotype"/>
          <w:b/>
          <w:i/>
        </w:rPr>
      </w:pPr>
      <w:r w:rsidRPr="00323D24">
        <w:rPr>
          <w:rFonts w:ascii="Palatino Linotype" w:eastAsia="Palatino Linotype" w:hAnsi="Palatino Linotype" w:cs="Palatino Linotype"/>
          <w:b/>
          <w:i/>
        </w:rPr>
        <w:t xml:space="preserve">ARTÍCULO 49.- </w:t>
      </w:r>
      <w:r w:rsidRPr="00323D24">
        <w:rPr>
          <w:rFonts w:ascii="Palatino Linotype" w:eastAsia="Palatino Linotype" w:hAnsi="Palatino Linotype" w:cs="Palatino Linotype"/>
          <w:i/>
        </w:rPr>
        <w:t>Los nombramientos, contratos o formato único de Movimientos de Personal de los servidores públicos deberán contener:</w:t>
      </w:r>
    </w:p>
    <w:p w14:paraId="25C96213"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I. Nombre completo del servidor público;</w:t>
      </w:r>
    </w:p>
    <w:p w14:paraId="39C43A4F"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 xml:space="preserve">II. Cargo para el que es designado, </w:t>
      </w:r>
      <w:r w:rsidRPr="00323D24">
        <w:rPr>
          <w:rFonts w:ascii="Palatino Linotype" w:eastAsia="Palatino Linotype" w:hAnsi="Palatino Linotype" w:cs="Palatino Linotype"/>
          <w:b/>
          <w:i/>
          <w:u w:val="single"/>
        </w:rPr>
        <w:t>fecha de inicio de sus servicios</w:t>
      </w:r>
      <w:r w:rsidRPr="00323D24">
        <w:rPr>
          <w:rFonts w:ascii="Palatino Linotype" w:eastAsia="Palatino Linotype" w:hAnsi="Palatino Linotype" w:cs="Palatino Linotype"/>
          <w:i/>
        </w:rPr>
        <w:t xml:space="preserve"> y lugar de adscripción; </w:t>
      </w:r>
    </w:p>
    <w:p w14:paraId="37FDC683"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III. Carácter del nombramiento, ya sea de servidores públicos generales o de confianza, así como la temporalidad del mismo; </w:t>
      </w:r>
    </w:p>
    <w:p w14:paraId="1DB552F4"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IV. Remuneración correspondiente al puesto; </w:t>
      </w:r>
    </w:p>
    <w:p w14:paraId="503C196E"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V. Jornada de trabajo; </w:t>
      </w:r>
    </w:p>
    <w:p w14:paraId="2CA8730B"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VI. Derogada; </w:t>
      </w:r>
    </w:p>
    <w:p w14:paraId="55523DEB" w14:textId="77777777" w:rsidR="002377AA" w:rsidRPr="00323D24" w:rsidRDefault="0046054B">
      <w:pPr>
        <w:pBdr>
          <w:top w:val="nil"/>
          <w:left w:val="nil"/>
          <w:bottom w:val="nil"/>
          <w:right w:val="nil"/>
          <w:between w:val="nil"/>
        </w:pBdr>
        <w:spacing w:after="0"/>
        <w:ind w:left="360" w:right="560"/>
        <w:jc w:val="both"/>
        <w:rPr>
          <w:i/>
        </w:rPr>
      </w:pPr>
      <w:r w:rsidRPr="00323D24">
        <w:rPr>
          <w:rFonts w:ascii="Palatino Linotype" w:eastAsia="Palatino Linotype" w:hAnsi="Palatino Linotype" w:cs="Palatino Linotype"/>
          <w:i/>
        </w:rPr>
        <w:t>VII. Firma del servidor público autorizado para emitir el nombramiento, contrato o formato único de Movimientos de Personal, así como el fundamento legal de esa atribución.” (Énfasis añadido)</w:t>
      </w:r>
    </w:p>
    <w:p w14:paraId="4F1E40CE" w14:textId="77777777" w:rsidR="002377AA" w:rsidRPr="00323D24" w:rsidRDefault="002377AA">
      <w:pPr>
        <w:pBdr>
          <w:top w:val="nil"/>
          <w:left w:val="nil"/>
          <w:bottom w:val="nil"/>
          <w:right w:val="nil"/>
          <w:between w:val="nil"/>
        </w:pBdr>
        <w:spacing w:after="0" w:line="360" w:lineRule="auto"/>
        <w:ind w:left="360" w:right="49"/>
        <w:jc w:val="both"/>
      </w:pPr>
    </w:p>
    <w:p w14:paraId="56A8EFE8" w14:textId="77777777" w:rsidR="002377AA" w:rsidRPr="00323D24" w:rsidRDefault="0046054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Por lo anteriormente expuesto, se estima la relación laboral entre los servidores públicos y las entidades públicas se tiene por establecida mediante el nombramiento, formato único de movimientos o contrato, el cual deberá contener la información relacionada con el inicio de sus funciones, por lo que, es información que debe generar, administrar o poseer la autoridad correspondiente, aunado a que, la fecha de alta en el cargo, forma parte de una de las obligaciones de transparencia, establecidas en la Ley en la materia. </w:t>
      </w:r>
    </w:p>
    <w:p w14:paraId="2A0885A7"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23FC2080" w14:textId="77777777" w:rsidR="002377AA" w:rsidRPr="00323D24" w:rsidRDefault="0046054B">
      <w:pPr>
        <w:widowControl w:val="0"/>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323D24">
        <w:rPr>
          <w:rFonts w:ascii="Palatino Linotype" w:eastAsia="Palatino Linotype" w:hAnsi="Palatino Linotype" w:cs="Palatino Linotype"/>
          <w:b/>
        </w:rPr>
        <w:t>Documentos que dan cuenta del grado de estudios.</w:t>
      </w:r>
    </w:p>
    <w:p w14:paraId="1A779742" w14:textId="77777777" w:rsidR="002377AA" w:rsidRPr="00323D24" w:rsidRDefault="002377AA">
      <w:pPr>
        <w:widowControl w:val="0"/>
        <w:spacing w:after="0" w:line="360" w:lineRule="auto"/>
        <w:jc w:val="both"/>
        <w:rPr>
          <w:rFonts w:ascii="Palatino Linotype" w:eastAsia="Palatino Linotype" w:hAnsi="Palatino Linotype" w:cs="Palatino Linotype"/>
        </w:rPr>
      </w:pPr>
    </w:p>
    <w:p w14:paraId="78F280C3" w14:textId="77777777" w:rsidR="002377AA" w:rsidRPr="00323D24" w:rsidRDefault="0046054B">
      <w:pPr>
        <w:tabs>
          <w:tab w:val="left" w:pos="993"/>
        </w:tabs>
        <w:spacing w:after="0" w:line="360" w:lineRule="auto"/>
        <w:ind w:right="-28"/>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lo que respecta a la escolaridad, al otorgar una expresión documental, es información que se puede advertir en distintos documentos como lo es la ficha curricular o los documentos comprobatorios de grados de estudio, situación por la que, no resulta necesario que el Sujeto Obligado deba generar un documento, en el que se especifique la escolaridad de los servidores públicos, pues basta con la entrega de un documento que dé cuenta de esta información para tener por colmado dicho requerimiento. </w:t>
      </w:r>
    </w:p>
    <w:p w14:paraId="0A42A51D" w14:textId="77777777" w:rsidR="002377AA" w:rsidRPr="00323D24" w:rsidRDefault="002377AA">
      <w:pPr>
        <w:spacing w:after="0" w:line="360" w:lineRule="auto"/>
        <w:jc w:val="both"/>
        <w:rPr>
          <w:rFonts w:ascii="Palatino Linotype" w:eastAsia="Palatino Linotype" w:hAnsi="Palatino Linotype" w:cs="Palatino Linotype"/>
        </w:rPr>
      </w:pPr>
    </w:p>
    <w:p w14:paraId="39C50F25"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57E2CE77" w14:textId="77777777" w:rsidR="002377AA" w:rsidRPr="00323D24" w:rsidRDefault="002377AA">
      <w:pPr>
        <w:spacing w:after="0" w:line="360" w:lineRule="auto"/>
        <w:jc w:val="both"/>
        <w:rPr>
          <w:rFonts w:ascii="Palatino Linotype" w:eastAsia="Palatino Linotype" w:hAnsi="Palatino Linotype" w:cs="Palatino Linotype"/>
          <w:b/>
        </w:rPr>
      </w:pPr>
    </w:p>
    <w:p w14:paraId="331784C5"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veinticuatro de enero de dos mil veinticuatro, a las quince horas, en la liga </w:t>
      </w:r>
      <w:hyperlink r:id="rId8">
        <w:r w:rsidRPr="00323D24">
          <w:rPr>
            <w:rFonts w:ascii="Palatino Linotype" w:eastAsia="Palatino Linotype" w:hAnsi="Palatino Linotype" w:cs="Palatino Linotype"/>
            <w:u w:val="single"/>
          </w:rPr>
          <w:t>http://consultatucedula.mx/</w:t>
        </w:r>
      </w:hyperlink>
      <w:r w:rsidRPr="00323D24">
        <w:rPr>
          <w:rFonts w:ascii="Palatino Linotype" w:eastAsia="Palatino Linotype" w:hAnsi="Palatino Linotype" w:cs="Palatino Linotype"/>
        </w:rPr>
        <w:t>).</w:t>
      </w:r>
    </w:p>
    <w:p w14:paraId="284D55BB" w14:textId="77777777" w:rsidR="002377AA" w:rsidRPr="00323D24" w:rsidRDefault="002377AA">
      <w:pPr>
        <w:spacing w:after="0" w:line="360" w:lineRule="auto"/>
        <w:jc w:val="both"/>
        <w:rPr>
          <w:rFonts w:ascii="Palatino Linotype" w:eastAsia="Palatino Linotype" w:hAnsi="Palatino Linotype" w:cs="Palatino Linotype"/>
        </w:rPr>
      </w:pPr>
    </w:p>
    <w:p w14:paraId="39DEAA72" w14:textId="77777777" w:rsidR="002377AA" w:rsidRPr="00323D24" w:rsidRDefault="0046054B">
      <w:pPr>
        <w:spacing w:after="0" w:line="360" w:lineRule="auto"/>
        <w:jc w:val="both"/>
        <w:rPr>
          <w:rFonts w:ascii="Palatino Linotype" w:eastAsia="Palatino Linotype" w:hAnsi="Palatino Linotype" w:cs="Palatino Linotype"/>
          <w:b/>
        </w:rPr>
      </w:pPr>
      <w:r w:rsidRPr="00323D24">
        <w:rPr>
          <w:rFonts w:ascii="Palatino Linotype" w:eastAsia="Palatino Linotype" w:hAnsi="Palatino Linotype" w:cs="Palatino Linotype"/>
        </w:rPr>
        <w:t xml:space="preserve">En este sentido, los documentos que </w:t>
      </w:r>
      <w:r w:rsidRPr="00323D24">
        <w:rPr>
          <w:rFonts w:ascii="Palatino Linotype" w:eastAsia="Palatino Linotype" w:hAnsi="Palatino Linotype" w:cs="Palatino Linotype"/>
          <w:b/>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2E3DA424" w14:textId="77777777" w:rsidR="002377AA" w:rsidRPr="00323D24" w:rsidRDefault="002377AA">
      <w:pPr>
        <w:spacing w:after="0" w:line="360" w:lineRule="auto"/>
        <w:jc w:val="both"/>
        <w:rPr>
          <w:rFonts w:ascii="Palatino Linotype" w:eastAsia="Palatino Linotype" w:hAnsi="Palatino Linotype" w:cs="Palatino Linotype"/>
          <w:b/>
        </w:rPr>
      </w:pPr>
    </w:p>
    <w:p w14:paraId="0DCED2EC" w14:textId="77777777" w:rsidR="002377AA" w:rsidRPr="00323D24" w:rsidRDefault="0046054B">
      <w:pPr>
        <w:spacing w:after="0" w:line="360" w:lineRule="auto"/>
        <w:jc w:val="both"/>
        <w:rPr>
          <w:rFonts w:ascii="Palatino Linotype" w:eastAsia="Palatino Linotype" w:hAnsi="Palatino Linotype" w:cs="Palatino Linotype"/>
          <w:b/>
        </w:rPr>
      </w:pPr>
      <w:r w:rsidRPr="00323D24">
        <w:rPr>
          <w:rFonts w:ascii="Palatino Linotype" w:eastAsia="Palatino Linotype" w:hAnsi="Palatino Linotype" w:cs="Palatino Linotype"/>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323D24">
        <w:rPr>
          <w:rFonts w:ascii="Palatino Linotype" w:eastAsia="Palatino Linotype" w:hAnsi="Palatino Linotype" w:cs="Palatino Linotype"/>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27E530B" w14:textId="77777777" w:rsidR="002377AA" w:rsidRPr="00323D24" w:rsidRDefault="002377AA">
      <w:pPr>
        <w:spacing w:after="0" w:line="360" w:lineRule="auto"/>
        <w:jc w:val="both"/>
        <w:rPr>
          <w:rFonts w:ascii="Palatino Linotype" w:eastAsia="Palatino Linotype" w:hAnsi="Palatino Linotype" w:cs="Palatino Linotype"/>
          <w:b/>
        </w:rPr>
      </w:pPr>
    </w:p>
    <w:p w14:paraId="5344A662" w14:textId="77777777" w:rsidR="002377AA" w:rsidRPr="00323D24" w:rsidRDefault="002377AA">
      <w:pPr>
        <w:spacing w:after="0" w:line="360" w:lineRule="auto"/>
        <w:jc w:val="both"/>
        <w:rPr>
          <w:rFonts w:ascii="Palatino Linotype" w:eastAsia="Palatino Linotype" w:hAnsi="Palatino Linotype" w:cs="Palatino Linotype"/>
          <w:b/>
        </w:rPr>
      </w:pPr>
    </w:p>
    <w:p w14:paraId="0BAFF232" w14:textId="77777777" w:rsidR="002377AA" w:rsidRPr="00323D24" w:rsidRDefault="002377AA">
      <w:pPr>
        <w:spacing w:after="0" w:line="360" w:lineRule="auto"/>
        <w:jc w:val="both"/>
        <w:rPr>
          <w:rFonts w:ascii="Palatino Linotype" w:eastAsia="Palatino Linotype" w:hAnsi="Palatino Linotype" w:cs="Palatino Linotype"/>
          <w:b/>
        </w:rPr>
      </w:pPr>
    </w:p>
    <w:p w14:paraId="77EB0D8D" w14:textId="77777777" w:rsidR="002377AA" w:rsidRPr="00323D24" w:rsidRDefault="002377AA">
      <w:pPr>
        <w:spacing w:after="0" w:line="360" w:lineRule="auto"/>
        <w:jc w:val="both"/>
        <w:rPr>
          <w:rFonts w:ascii="Palatino Linotype" w:eastAsia="Palatino Linotype" w:hAnsi="Palatino Linotype" w:cs="Palatino Linotype"/>
          <w:b/>
        </w:rPr>
      </w:pPr>
    </w:p>
    <w:p w14:paraId="0F73CC91" w14:textId="77777777" w:rsidR="002377AA" w:rsidRPr="00323D24" w:rsidRDefault="0046054B">
      <w:pPr>
        <w:numPr>
          <w:ilvl w:val="0"/>
          <w:numId w:val="13"/>
        </w:num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b/>
        </w:rPr>
      </w:pPr>
      <w:r w:rsidRPr="00323D24">
        <w:rPr>
          <w:rFonts w:ascii="Palatino Linotype" w:eastAsia="Palatino Linotype" w:hAnsi="Palatino Linotype" w:cs="Palatino Linotype"/>
          <w:b/>
        </w:rPr>
        <w:t xml:space="preserve">De la información curricular. </w:t>
      </w:r>
    </w:p>
    <w:p w14:paraId="687B9158" w14:textId="77777777" w:rsidR="002377AA" w:rsidRPr="00323D24" w:rsidRDefault="002377AA">
      <w:pPr>
        <w:tabs>
          <w:tab w:val="left" w:pos="993"/>
        </w:tabs>
        <w:spacing w:after="0" w:line="360" w:lineRule="auto"/>
        <w:ind w:right="-7"/>
        <w:jc w:val="both"/>
        <w:rPr>
          <w:rFonts w:ascii="Palatino Linotype" w:eastAsia="Palatino Linotype" w:hAnsi="Palatino Linotype" w:cs="Palatino Linotype"/>
          <w:b/>
        </w:rPr>
      </w:pPr>
    </w:p>
    <w:p w14:paraId="6783BF6C" w14:textId="77777777" w:rsidR="002377AA" w:rsidRPr="00323D24" w:rsidRDefault="0046054B">
      <w:pPr>
        <w:spacing w:after="0" w:line="360" w:lineRule="auto"/>
        <w:ind w:right="-7"/>
        <w:jc w:val="both"/>
        <w:rPr>
          <w:rFonts w:ascii="Palatino Linotype" w:eastAsia="Palatino Linotype" w:hAnsi="Palatino Linotype" w:cs="Palatino Linotype"/>
          <w:i/>
        </w:rPr>
      </w:pPr>
      <w:r w:rsidRPr="00323D24">
        <w:rPr>
          <w:rFonts w:ascii="Palatino Linotype" w:eastAsia="Palatino Linotype" w:hAnsi="Palatino Linotype" w:cs="Palatino Linotype"/>
        </w:rPr>
        <w:t xml:space="preserve">En principio, es de destacar que el concepto </w:t>
      </w:r>
      <w:r w:rsidRPr="00323D24">
        <w:rPr>
          <w:rFonts w:ascii="Palatino Linotype" w:eastAsia="Palatino Linotype" w:hAnsi="Palatino Linotype" w:cs="Palatino Linotype"/>
          <w:i/>
        </w:rPr>
        <w:t xml:space="preserve">“Currículum” </w:t>
      </w:r>
      <w:r w:rsidRPr="00323D24">
        <w:rPr>
          <w:rFonts w:ascii="Palatino Linotype" w:eastAsia="Palatino Linotype" w:hAnsi="Palatino Linotype" w:cs="Palatino Linotype"/>
        </w:rPr>
        <w:t xml:space="preserve">corresponde a una locución latina cuyo significado es </w:t>
      </w:r>
      <w:r w:rsidRPr="00323D24">
        <w:rPr>
          <w:rFonts w:ascii="Palatino Linotype" w:eastAsia="Palatino Linotype" w:hAnsi="Palatino Linotype" w:cs="Palatino Linotype"/>
          <w:i/>
        </w:rPr>
        <w:t xml:space="preserve">“carrera de vida”, Se usa como locución nominal masculina para designar la relación de los datos personales, formación académica, actividad laboral y méritos de una persona.” </w:t>
      </w:r>
    </w:p>
    <w:p w14:paraId="44538600" w14:textId="77777777" w:rsidR="002377AA" w:rsidRPr="00323D24" w:rsidRDefault="002377AA">
      <w:pPr>
        <w:spacing w:after="0" w:line="360" w:lineRule="auto"/>
        <w:ind w:right="-7"/>
        <w:jc w:val="both"/>
        <w:rPr>
          <w:rFonts w:ascii="Palatino Linotype" w:eastAsia="Palatino Linotype" w:hAnsi="Palatino Linotype" w:cs="Palatino Linotype"/>
          <w:i/>
        </w:rPr>
      </w:pPr>
    </w:p>
    <w:p w14:paraId="534879D4"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 la interpretación a esta definición se desprende que el currículum vitae o </w:t>
      </w:r>
      <w:r w:rsidRPr="00323D24">
        <w:rPr>
          <w:rFonts w:ascii="Palatino Linotype" w:eastAsia="Palatino Linotype" w:hAnsi="Palatino Linotype" w:cs="Palatino Linotype"/>
          <w:b/>
          <w:u w:val="single"/>
        </w:rPr>
        <w:t>ficha curricular</w:t>
      </w:r>
      <w:r w:rsidRPr="00323D24">
        <w:rPr>
          <w:rFonts w:ascii="Palatino Linotype" w:eastAsia="Palatino Linotype" w:hAnsi="Palatino Linotype" w:cs="Palatino Linotype"/>
        </w:rPr>
        <w:t xml:space="preserve"> está relacionado con la hoja de vida o carrera de vida de una persona, donde se podría apreciar la preparación académica y laboral que tiene, además de los méritos obtenidos tal y como podrían ser cursos, certificaciones o capacitaciones.</w:t>
      </w:r>
    </w:p>
    <w:p w14:paraId="1E768CF7" w14:textId="77777777" w:rsidR="002377AA" w:rsidRPr="00323D24" w:rsidRDefault="002377AA">
      <w:pPr>
        <w:spacing w:after="0" w:line="360" w:lineRule="auto"/>
        <w:ind w:right="-7"/>
        <w:jc w:val="both"/>
        <w:rPr>
          <w:rFonts w:ascii="Palatino Linotype" w:eastAsia="Palatino Linotype" w:hAnsi="Palatino Linotype" w:cs="Palatino Linotype"/>
        </w:rPr>
      </w:pPr>
    </w:p>
    <w:p w14:paraId="450A9621"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Por su lado, la Real Academia Española, lo define como a continuación se cita: </w:t>
      </w:r>
      <w:r w:rsidRPr="00323D24">
        <w:rPr>
          <w:rFonts w:ascii="Palatino Linotype" w:eastAsia="Palatino Linotype" w:hAnsi="Palatino Linotype" w:cs="Palatino Linotype"/>
          <w:i/>
        </w:rPr>
        <w:t xml:space="preserve">“Relación de los títulos, honores, cargos, trabajos realizados, datos biográficos, etc, que califican a una persona” </w:t>
      </w:r>
    </w:p>
    <w:p w14:paraId="422E44E2" w14:textId="77777777" w:rsidR="002377AA" w:rsidRPr="00323D24" w:rsidRDefault="002377AA">
      <w:pPr>
        <w:spacing w:after="0" w:line="360" w:lineRule="auto"/>
        <w:ind w:right="-7"/>
        <w:jc w:val="both"/>
        <w:rPr>
          <w:rFonts w:ascii="Palatino Linotype" w:eastAsia="Palatino Linotype" w:hAnsi="Palatino Linotype" w:cs="Palatino Linotype"/>
        </w:rPr>
      </w:pPr>
    </w:p>
    <w:p w14:paraId="0415643A"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Desde esta perspectiva, a través del currículum vitae o </w:t>
      </w:r>
      <w:r w:rsidRPr="00323D24">
        <w:rPr>
          <w:rFonts w:ascii="Palatino Linotype" w:eastAsia="Palatino Linotype" w:hAnsi="Palatino Linotype" w:cs="Palatino Linotype"/>
          <w:b/>
          <w:u w:val="single"/>
        </w:rPr>
        <w:t>ficha curricular</w:t>
      </w:r>
      <w:r w:rsidRPr="00323D24">
        <w:rPr>
          <w:rFonts w:ascii="Palatino Linotype" w:eastAsia="Palatino Linotype" w:hAnsi="Palatino Linotype" w:cs="Palatino Linotype"/>
        </w:rPr>
        <w:t xml:space="preserve"> la persona solicitante puede advertir los estudios realizados o bien el nivel académico, así como la experiencia laboral de los servidores públicos que se encuentran adscritos al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43B2BB8B" w14:textId="77777777" w:rsidR="002377AA" w:rsidRPr="00323D24" w:rsidRDefault="002377AA">
      <w:pPr>
        <w:spacing w:after="0" w:line="360" w:lineRule="auto"/>
        <w:ind w:right="-7"/>
        <w:jc w:val="both"/>
        <w:rPr>
          <w:rFonts w:ascii="Palatino Linotype" w:eastAsia="Palatino Linotype" w:hAnsi="Palatino Linotype" w:cs="Palatino Linotype"/>
        </w:rPr>
      </w:pPr>
    </w:p>
    <w:p w14:paraId="3AD19F5C"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 “</w:t>
      </w:r>
      <w:r w:rsidRPr="00323D24">
        <w:rPr>
          <w:rFonts w:ascii="Palatino Linotype" w:eastAsia="Palatino Linotype" w:hAnsi="Palatino Linotype" w:cs="Palatino Linotype"/>
          <w:b/>
          <w:i/>
        </w:rPr>
        <w:t>Curriculum Vitae de servidores públicos.</w:t>
      </w:r>
      <w:r w:rsidRPr="00323D24">
        <w:rPr>
          <w:rFonts w:ascii="Palatino Linotype" w:eastAsia="Palatino Linotype" w:hAnsi="Palatino Linotype" w:cs="Palatino Linotype"/>
          <w:i/>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16DB5A6D" w14:textId="77777777" w:rsidR="002377AA" w:rsidRPr="00323D24" w:rsidRDefault="002377AA">
      <w:pPr>
        <w:spacing w:after="0" w:line="360" w:lineRule="auto"/>
        <w:ind w:left="567" w:right="560"/>
        <w:jc w:val="both"/>
        <w:rPr>
          <w:rFonts w:ascii="Palatino Linotype" w:eastAsia="Palatino Linotype" w:hAnsi="Palatino Linotype" w:cs="Palatino Linotype"/>
          <w:i/>
        </w:rPr>
      </w:pPr>
    </w:p>
    <w:p w14:paraId="7828BE71"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presentar una solicitud del empleo, como se desprende del artículo 47 fracción I de la Ley del Trabajo para los Servidores Públicos del Estado y Municipios.</w:t>
      </w:r>
    </w:p>
    <w:p w14:paraId="4E1EF3C1" w14:textId="77777777" w:rsidR="002377AA" w:rsidRPr="00323D24" w:rsidRDefault="002377AA">
      <w:pPr>
        <w:spacing w:after="0" w:line="360" w:lineRule="auto"/>
        <w:ind w:right="-7"/>
        <w:jc w:val="both"/>
        <w:rPr>
          <w:rFonts w:ascii="Palatino Linotype" w:eastAsia="Palatino Linotype" w:hAnsi="Palatino Linotype" w:cs="Palatino Linotype"/>
        </w:rPr>
      </w:pPr>
    </w:p>
    <w:p w14:paraId="147A12F3"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Por lo que es posible determinar que, el currículum vítae o la </w:t>
      </w:r>
      <w:r w:rsidRPr="00323D24">
        <w:rPr>
          <w:rFonts w:ascii="Palatino Linotype" w:eastAsia="Palatino Linotype" w:hAnsi="Palatino Linotype" w:cs="Palatino Linotype"/>
          <w:b/>
          <w:u w:val="single"/>
        </w:rPr>
        <w:t xml:space="preserve">ficha curricular </w:t>
      </w:r>
      <w:r w:rsidRPr="00323D24">
        <w:rPr>
          <w:rFonts w:ascii="Palatino Linotype" w:eastAsia="Palatino Linotype" w:hAnsi="Palatino Linotype" w:cs="Palatino Linotype"/>
        </w:rPr>
        <w:t>contiene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2A35B3F8" w14:textId="77777777" w:rsidR="002377AA" w:rsidRPr="00323D24" w:rsidRDefault="002377AA">
      <w:pPr>
        <w:spacing w:after="0" w:line="360" w:lineRule="auto"/>
        <w:ind w:right="-7"/>
        <w:jc w:val="both"/>
        <w:rPr>
          <w:rFonts w:ascii="Palatino Linotype" w:eastAsia="Palatino Linotype" w:hAnsi="Palatino Linotype" w:cs="Palatino Linotype"/>
        </w:rPr>
      </w:pPr>
    </w:p>
    <w:p w14:paraId="6945F3B4"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esa tesitura, debe apuntarse que la información curricular constituye una obligación de transparencia, pues </w:t>
      </w:r>
      <w:r w:rsidRPr="00323D24">
        <w:rPr>
          <w:rFonts w:ascii="Palatino Linotype" w:eastAsia="Palatino Linotype" w:hAnsi="Palatino Linotype" w:cs="Palatino Linotype"/>
          <w:b/>
        </w:rPr>
        <w:t>el Sujeto Obligado</w:t>
      </w:r>
      <w:r w:rsidRPr="00323D24">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3BA32C96" w14:textId="77777777" w:rsidR="002377AA" w:rsidRPr="00323D24" w:rsidRDefault="002377AA">
      <w:pPr>
        <w:spacing w:after="0" w:line="360" w:lineRule="auto"/>
        <w:ind w:right="-7"/>
        <w:jc w:val="both"/>
        <w:rPr>
          <w:rFonts w:ascii="Palatino Linotype" w:eastAsia="Palatino Linotype" w:hAnsi="Palatino Linotype" w:cs="Palatino Linotype"/>
        </w:rPr>
      </w:pPr>
    </w:p>
    <w:p w14:paraId="7DF25B6B"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 “</w:t>
      </w:r>
      <w:r w:rsidRPr="00323D24">
        <w:rPr>
          <w:rFonts w:ascii="Palatino Linotype" w:eastAsia="Palatino Linotype" w:hAnsi="Palatino Linotype" w:cs="Palatino Linotype"/>
          <w:b/>
          <w:i/>
        </w:rPr>
        <w:t>Artículo 92.</w:t>
      </w:r>
      <w:r w:rsidRPr="00323D24">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AA0B69" w14:textId="77777777" w:rsidR="002377AA" w:rsidRPr="00323D24" w:rsidRDefault="0046054B">
      <w:pPr>
        <w:spacing w:after="0"/>
        <w:ind w:left="567" w:right="-7"/>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77849894" w14:textId="77777777" w:rsidR="002377AA" w:rsidRPr="00323D24" w:rsidRDefault="0046054B">
      <w:pPr>
        <w:spacing w:after="0"/>
        <w:ind w:left="567" w:right="560"/>
        <w:jc w:val="both"/>
        <w:rPr>
          <w:rFonts w:ascii="Palatino Linotype" w:eastAsia="Palatino Linotype" w:hAnsi="Palatino Linotype" w:cs="Palatino Linotype"/>
          <w:b/>
          <w:i/>
        </w:rPr>
      </w:pPr>
      <w:r w:rsidRPr="00323D24">
        <w:rPr>
          <w:rFonts w:ascii="Palatino Linotype" w:eastAsia="Palatino Linotype" w:hAnsi="Palatino Linotype" w:cs="Palatino Linotype"/>
          <w:b/>
          <w:i/>
        </w:rPr>
        <w:t>XXI. La información curricular, desde el nivel de jefe de departamento o equivalente, hasta el titular del sujeto obligado, así como, en su caso, las sanciones administrativas de que haya sido objeto;</w:t>
      </w:r>
    </w:p>
    <w:p w14:paraId="34DE5303" w14:textId="77777777" w:rsidR="002377AA" w:rsidRPr="00323D24" w:rsidRDefault="0046054B">
      <w:pPr>
        <w:spacing w:after="0"/>
        <w:ind w:left="567" w:right="560"/>
        <w:jc w:val="both"/>
        <w:rPr>
          <w:rFonts w:ascii="Palatino Linotype" w:eastAsia="Palatino Linotype" w:hAnsi="Palatino Linotype" w:cs="Palatino Linotype"/>
          <w:b/>
          <w:i/>
        </w:rPr>
      </w:pPr>
      <w:r w:rsidRPr="00323D24">
        <w:rPr>
          <w:rFonts w:ascii="Palatino Linotype" w:eastAsia="Palatino Linotype" w:hAnsi="Palatino Linotype" w:cs="Palatino Linotype"/>
          <w:b/>
          <w:i/>
        </w:rPr>
        <w:t>…</w:t>
      </w:r>
    </w:p>
    <w:p w14:paraId="50236DA2" w14:textId="77777777" w:rsidR="002377AA" w:rsidRPr="00323D24" w:rsidRDefault="002377AA">
      <w:pPr>
        <w:spacing w:after="0" w:line="360" w:lineRule="auto"/>
        <w:ind w:left="567" w:right="-7"/>
        <w:jc w:val="both"/>
        <w:rPr>
          <w:rFonts w:ascii="Palatino Linotype" w:eastAsia="Palatino Linotype" w:hAnsi="Palatino Linotype" w:cs="Palatino Linotype"/>
        </w:rPr>
      </w:pPr>
    </w:p>
    <w:p w14:paraId="7A31CDFE"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vigente a la fecha de la solicitud de información y en la fracción IV del artículo 31 de la Ley General de Transparencia y Acceso a la Información Pública vigente  a la fecha de la solicitud de información, que deben de difundir los sujetos obligados en los portales de Internet y en la Plataforma Nacional de Transparencia, mismos que se insertan a continuación: </w:t>
      </w:r>
    </w:p>
    <w:p w14:paraId="63B889EC" w14:textId="77777777" w:rsidR="002377AA" w:rsidRPr="00323D24" w:rsidRDefault="002377AA">
      <w:pPr>
        <w:spacing w:after="0" w:line="360" w:lineRule="auto"/>
        <w:ind w:right="-7"/>
        <w:jc w:val="both"/>
        <w:rPr>
          <w:rFonts w:ascii="Palatino Linotype" w:eastAsia="Palatino Linotype" w:hAnsi="Palatino Linotype" w:cs="Palatino Linotype"/>
        </w:rPr>
      </w:pPr>
    </w:p>
    <w:p w14:paraId="39901E4B" w14:textId="77777777" w:rsidR="002377AA" w:rsidRPr="00323D24" w:rsidRDefault="0046054B">
      <w:pPr>
        <w:spacing w:after="0"/>
        <w:ind w:left="567" w:right="560"/>
        <w:jc w:val="both"/>
        <w:rPr>
          <w:rFonts w:ascii="Palatino Linotype" w:eastAsia="Palatino Linotype" w:hAnsi="Palatino Linotype" w:cs="Palatino Linotype"/>
          <w:b/>
          <w:i/>
        </w:rPr>
      </w:pPr>
      <w:r w:rsidRPr="00323D24">
        <w:rPr>
          <w:rFonts w:ascii="Palatino Linotype" w:eastAsia="Palatino Linotype" w:hAnsi="Palatino Linotype" w:cs="Palatino Linotype"/>
          <w:i/>
        </w:rPr>
        <w:t xml:space="preserve"> “</w:t>
      </w:r>
      <w:r w:rsidRPr="00323D24">
        <w:rPr>
          <w:rFonts w:ascii="Palatino Linotype" w:eastAsia="Palatino Linotype" w:hAnsi="Palatino Linotype" w:cs="Palatino Linotype"/>
          <w:b/>
          <w:i/>
        </w:rPr>
        <w:t xml:space="preserve">XVII. La información curricular desde el nivel de jefe de departamento o equivalente hasta el titular del sujeto obligado, así como, en su caso, las sanciones administrativas de que haya sido objeto. </w:t>
      </w:r>
    </w:p>
    <w:p w14:paraId="68E6EAE0" w14:textId="77777777" w:rsidR="002377AA" w:rsidRPr="00323D24" w:rsidRDefault="002377AA">
      <w:pPr>
        <w:spacing w:after="0"/>
        <w:ind w:left="567" w:right="560"/>
        <w:jc w:val="both"/>
        <w:rPr>
          <w:rFonts w:ascii="Palatino Linotype" w:eastAsia="Palatino Linotype" w:hAnsi="Palatino Linotype" w:cs="Palatino Linotype"/>
          <w:i/>
        </w:rPr>
      </w:pPr>
    </w:p>
    <w:p w14:paraId="7DCD8616"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14:paraId="509DFDB7"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Por cada servidor(a) público(a) se deberá especificar si ha sido acreedor a sanciones administrativas definitivas y que hayan sido aplicadas por autoridad u organismo competente. </w:t>
      </w:r>
    </w:p>
    <w:p w14:paraId="581B3BE8"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Periodo de actualización: trimestral </w:t>
      </w:r>
    </w:p>
    <w:p w14:paraId="27D618BC"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En su caso, 15 días hábiles después de alguna modificación a la información de los servidores públicos que integran el sujeto obligado, así como su información curricular.</w:t>
      </w:r>
    </w:p>
    <w:p w14:paraId="5B7FBBE3"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Conservar en el sitio de Internet: información vigente </w:t>
      </w:r>
    </w:p>
    <w:p w14:paraId="4E57DA44"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Aplica a: todos los sujetos obligados”</w:t>
      </w:r>
    </w:p>
    <w:p w14:paraId="1B5D44A3"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641EE433"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Criterios sustantivos de contenido </w:t>
      </w:r>
    </w:p>
    <w:p w14:paraId="10256135"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1 Ejercicio. </w:t>
      </w:r>
    </w:p>
    <w:p w14:paraId="050ED838" w14:textId="77777777" w:rsidR="002377AA" w:rsidRPr="00323D24" w:rsidRDefault="002377AA">
      <w:pPr>
        <w:spacing w:after="0"/>
        <w:ind w:left="567" w:right="560"/>
        <w:jc w:val="both"/>
        <w:rPr>
          <w:rFonts w:ascii="Palatino Linotype" w:eastAsia="Palatino Linotype" w:hAnsi="Palatino Linotype" w:cs="Palatino Linotype"/>
          <w:i/>
        </w:rPr>
      </w:pPr>
    </w:p>
    <w:p w14:paraId="25898508"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2 Periodo que se informa (fecha de inicio y fecha de término con el formato día/mes/año). </w:t>
      </w:r>
    </w:p>
    <w:p w14:paraId="27C14F96"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3 Denominación del puesto (de acuerdo con el catálogo que en su caso regule la actividad del sujeto obligado). La información debe publicarse con perspectiva de género59, en caso de que el catálogo que regule al sujeto obligado no contenga redacción con perspectiva de género, se incluirá la alternativa incluyente y no sexista entre paréntesis o corchetes. </w:t>
      </w:r>
    </w:p>
    <w:p w14:paraId="3E16F280" w14:textId="77777777" w:rsidR="002377AA" w:rsidRPr="00323D24" w:rsidRDefault="002377AA">
      <w:pPr>
        <w:spacing w:after="0"/>
        <w:ind w:left="567" w:right="560"/>
        <w:jc w:val="both"/>
        <w:rPr>
          <w:rFonts w:ascii="Palatino Linotype" w:eastAsia="Palatino Linotype" w:hAnsi="Palatino Linotype" w:cs="Palatino Linotype"/>
          <w:i/>
        </w:rPr>
      </w:pPr>
    </w:p>
    <w:p w14:paraId="1161FD82"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4 Denominación del cargo (de conformidad con el nombramiento otorgado). </w:t>
      </w:r>
    </w:p>
    <w:p w14:paraId="77471201" w14:textId="77777777" w:rsidR="002377AA" w:rsidRPr="00323D24" w:rsidRDefault="002377AA">
      <w:pPr>
        <w:spacing w:after="0"/>
        <w:ind w:left="567" w:right="560"/>
        <w:jc w:val="both"/>
        <w:rPr>
          <w:rFonts w:ascii="Palatino Linotype" w:eastAsia="Palatino Linotype" w:hAnsi="Palatino Linotype" w:cs="Palatino Linotype"/>
          <w:i/>
        </w:rPr>
      </w:pPr>
    </w:p>
    <w:p w14:paraId="7C8AAFE3"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5 Nombre de la persona servidora pública, integrante y/o, miembro del sujeto obligado, y/o persona que desempeñe un empleo, cargo o comisión y/o ejerza actos de autoridad (nombre[s], primer apellido, segundo apellido). </w:t>
      </w:r>
    </w:p>
    <w:p w14:paraId="6F8A9DA9" w14:textId="77777777" w:rsidR="002377AA" w:rsidRPr="00323D24" w:rsidRDefault="002377AA">
      <w:pPr>
        <w:spacing w:after="0"/>
        <w:ind w:left="567" w:right="560"/>
        <w:jc w:val="both"/>
        <w:rPr>
          <w:rFonts w:ascii="Palatino Linotype" w:eastAsia="Palatino Linotype" w:hAnsi="Palatino Linotype" w:cs="Palatino Linotype"/>
          <w:i/>
        </w:rPr>
      </w:pPr>
    </w:p>
    <w:p w14:paraId="33CF4286"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6 Sexo (catálogo): Mujer/Hombre. </w:t>
      </w:r>
    </w:p>
    <w:p w14:paraId="3137D856" w14:textId="77777777" w:rsidR="002377AA" w:rsidRPr="00323D24" w:rsidRDefault="002377AA">
      <w:pPr>
        <w:spacing w:after="0"/>
        <w:ind w:left="567" w:right="560"/>
        <w:jc w:val="both"/>
        <w:rPr>
          <w:rFonts w:ascii="Palatino Linotype" w:eastAsia="Palatino Linotype" w:hAnsi="Palatino Linotype" w:cs="Palatino Linotype"/>
          <w:i/>
        </w:rPr>
      </w:pPr>
    </w:p>
    <w:p w14:paraId="467323EC"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7 Área de adscripción (de acuerdo con el catálogo que en su caso regule la actividad del sujeto obligado). </w:t>
      </w:r>
    </w:p>
    <w:p w14:paraId="4A35F5EB" w14:textId="77777777" w:rsidR="002377AA" w:rsidRPr="00323D24" w:rsidRDefault="002377AA">
      <w:pPr>
        <w:spacing w:after="0"/>
        <w:ind w:left="567" w:right="560"/>
        <w:jc w:val="both"/>
        <w:rPr>
          <w:rFonts w:ascii="Palatino Linotype" w:eastAsia="Palatino Linotype" w:hAnsi="Palatino Linotype" w:cs="Palatino Linotype"/>
          <w:i/>
        </w:rPr>
      </w:pPr>
    </w:p>
    <w:p w14:paraId="13280267"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Respecto a la información curricular de la persona servidora pública y/o persona que desempeñe un empleo, cargo o comisión en el sujeto obligado se deberá publicar: </w:t>
      </w:r>
    </w:p>
    <w:p w14:paraId="00F0EE95" w14:textId="77777777" w:rsidR="002377AA" w:rsidRPr="00323D24" w:rsidRDefault="002377AA">
      <w:pPr>
        <w:spacing w:after="0"/>
        <w:ind w:left="567" w:right="560"/>
        <w:jc w:val="both"/>
        <w:rPr>
          <w:rFonts w:ascii="Palatino Linotype" w:eastAsia="Palatino Linotype" w:hAnsi="Palatino Linotype" w:cs="Palatino Linotype"/>
          <w:i/>
        </w:rPr>
      </w:pPr>
    </w:p>
    <w:p w14:paraId="35FD7058"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8 Escolaridad, nivel máximo de estudios concluido y comprobable (catálogo): Ninguno/Primaria/Secundaria/Bachillerato/Carrera. técnica/Licenciatura/Maestría/Doctorado/Posdoctorado/Especialización. </w:t>
      </w:r>
    </w:p>
    <w:p w14:paraId="56CBABDF" w14:textId="77777777" w:rsidR="002377AA" w:rsidRPr="00323D24" w:rsidRDefault="002377AA">
      <w:pPr>
        <w:spacing w:after="0"/>
        <w:ind w:left="567" w:right="560"/>
        <w:jc w:val="both"/>
        <w:rPr>
          <w:rFonts w:ascii="Palatino Linotype" w:eastAsia="Palatino Linotype" w:hAnsi="Palatino Linotype" w:cs="Palatino Linotype"/>
          <w:i/>
        </w:rPr>
      </w:pPr>
    </w:p>
    <w:p w14:paraId="5E8D6F63"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9 Carrera genérica, en su caso. </w:t>
      </w:r>
    </w:p>
    <w:p w14:paraId="72F71FF3" w14:textId="77777777" w:rsidR="002377AA" w:rsidRPr="00323D24" w:rsidRDefault="002377AA">
      <w:pPr>
        <w:spacing w:after="0"/>
        <w:ind w:left="567" w:right="560"/>
        <w:jc w:val="both"/>
        <w:rPr>
          <w:rFonts w:ascii="Palatino Linotype" w:eastAsia="Palatino Linotype" w:hAnsi="Palatino Linotype" w:cs="Palatino Linotype"/>
          <w:i/>
        </w:rPr>
      </w:pPr>
    </w:p>
    <w:p w14:paraId="0D919834"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Respecto de la experiencia laboral especificar, al menos, los tres últimos empleos, en donde se indique: </w:t>
      </w:r>
    </w:p>
    <w:p w14:paraId="2588BE29" w14:textId="77777777" w:rsidR="002377AA" w:rsidRPr="00323D24" w:rsidRDefault="002377AA">
      <w:pPr>
        <w:spacing w:after="0"/>
        <w:ind w:left="567" w:right="560"/>
        <w:jc w:val="both"/>
        <w:rPr>
          <w:rFonts w:ascii="Palatino Linotype" w:eastAsia="Palatino Linotype" w:hAnsi="Palatino Linotype" w:cs="Palatino Linotype"/>
          <w:i/>
        </w:rPr>
      </w:pPr>
    </w:p>
    <w:p w14:paraId="09F3F860"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10 Periodo (mes/año de inicio y mes/año de conclusión). </w:t>
      </w:r>
    </w:p>
    <w:p w14:paraId="6F8C274E" w14:textId="77777777" w:rsidR="002377AA" w:rsidRPr="00323D24" w:rsidRDefault="002377AA">
      <w:pPr>
        <w:spacing w:after="0"/>
        <w:ind w:left="567" w:right="560"/>
        <w:jc w:val="both"/>
        <w:rPr>
          <w:rFonts w:ascii="Palatino Linotype" w:eastAsia="Palatino Linotype" w:hAnsi="Palatino Linotype" w:cs="Palatino Linotype"/>
          <w:i/>
        </w:rPr>
      </w:pPr>
    </w:p>
    <w:p w14:paraId="6ECCD085"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11 Denominación de la institución o empresa. </w:t>
      </w:r>
    </w:p>
    <w:p w14:paraId="426881D1"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12 Cargo o puesto desempeñado. </w:t>
      </w:r>
    </w:p>
    <w:p w14:paraId="3E490060"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Criterio 13 Campo de experiencia. </w:t>
      </w:r>
    </w:p>
    <w:p w14:paraId="11A0275D" w14:textId="77777777" w:rsidR="002377AA" w:rsidRPr="00323D24" w:rsidRDefault="002377AA">
      <w:pPr>
        <w:spacing w:after="0"/>
        <w:ind w:left="567" w:right="560"/>
        <w:jc w:val="both"/>
        <w:rPr>
          <w:rFonts w:ascii="Palatino Linotype" w:eastAsia="Palatino Linotype" w:hAnsi="Palatino Linotype" w:cs="Palatino Linotype"/>
          <w:i/>
        </w:rPr>
      </w:pPr>
    </w:p>
    <w:p w14:paraId="4812CF03" w14:textId="77777777" w:rsidR="002377AA" w:rsidRPr="00323D24" w:rsidRDefault="0046054B">
      <w:pPr>
        <w:spacing w:after="0"/>
        <w:ind w:left="567" w:right="560"/>
        <w:jc w:val="both"/>
        <w:rPr>
          <w:rFonts w:ascii="Palatino Linotype" w:eastAsia="Palatino Linotype" w:hAnsi="Palatino Linotype" w:cs="Palatino Linotype"/>
          <w:i/>
        </w:rPr>
      </w:pPr>
      <w:r w:rsidRPr="00323D24">
        <w:rPr>
          <w:rFonts w:ascii="Palatino Linotype" w:eastAsia="Palatino Linotype" w:hAnsi="Palatino Linotype" w:cs="Palatino Linotype"/>
          <w:i/>
        </w:rPr>
        <w:t>Criterio 14 Hipervínculo al documento que contenga la información relativa a la trayectoria</w:t>
      </w:r>
      <w:r w:rsidRPr="00323D24">
        <w:rPr>
          <w:rFonts w:ascii="Palatino Linotype" w:eastAsia="Palatino Linotype" w:hAnsi="Palatino Linotype" w:cs="Palatino Linotype"/>
          <w:i/>
          <w:vertAlign w:val="superscript"/>
        </w:rPr>
        <w:t>60</w:t>
      </w:r>
      <w:r w:rsidRPr="00323D24">
        <w:rPr>
          <w:rFonts w:ascii="Palatino Linotype" w:eastAsia="Palatino Linotype" w:hAnsi="Palatino Linotype" w:cs="Palatino Linotype"/>
          <w:i/>
        </w:rPr>
        <w:t xml:space="preserve"> de la persona servidora pública, que deberá contener, además de los datos mencionados en los criterios anteriores, información adicional respecto a la trayectoria académica, profesional o laboral que acredite su capacidad y habilidades o pericia para ocupar el cargo público.”</w:t>
      </w:r>
    </w:p>
    <w:p w14:paraId="149C70B9" w14:textId="77777777" w:rsidR="002377AA" w:rsidRPr="00323D24" w:rsidRDefault="0046054B">
      <w:pPr>
        <w:spacing w:after="0" w:line="360" w:lineRule="auto"/>
        <w:ind w:left="567" w:right="560"/>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  </w:t>
      </w:r>
    </w:p>
    <w:p w14:paraId="509D1963"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Como se aprecia de lo anterior, lo sujetos obligados deben publicar la información curricular desde el nivel del jefe de departamento o equivalente hasta el titular del Sujeto Obligado, y en cuanto a la información que de manera medular se debe publicar conforme los criterios sustantivos, se encuentran: la denominación del puesto o cargo actual, el nombre completo del servidor público, su área de adscripción, la escolaridad o su nivel máximo de estudios, la carrera genérica, en su caso, así como la información de los últimos empleos que tuvo el servidor público.</w:t>
      </w:r>
    </w:p>
    <w:p w14:paraId="35E3BCF0" w14:textId="77777777" w:rsidR="002377AA" w:rsidRPr="00323D24" w:rsidRDefault="002377AA">
      <w:pPr>
        <w:spacing w:after="0" w:line="360" w:lineRule="auto"/>
        <w:ind w:right="-7"/>
        <w:jc w:val="both"/>
        <w:rPr>
          <w:rFonts w:ascii="Palatino Linotype" w:eastAsia="Palatino Linotype" w:hAnsi="Palatino Linotype" w:cs="Palatino Linotype"/>
        </w:rPr>
      </w:pPr>
    </w:p>
    <w:p w14:paraId="7CD41215"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Ahora bien, en relación con los agravios hechos valer por la parte Recurrente, relativos con la entrega de la información que no corresponde con lo solicitado, es de mencionar que, del análisis a las documentales que integran el expediente electrónico, se advierte que, el Sujeto Obligado, en respuesta, hizo entrega de documentos correspondientes a la administración pública 2022-2024, sin embargo, posterior a ello, proporcionó los documentos de los servidores públicos adscritos a la presente administración y, los cuales corresponden con lo solicitado. </w:t>
      </w:r>
    </w:p>
    <w:p w14:paraId="6EC6BA18" w14:textId="77777777" w:rsidR="002377AA" w:rsidRPr="00323D24" w:rsidRDefault="002377AA">
      <w:pPr>
        <w:spacing w:after="0" w:line="360" w:lineRule="auto"/>
        <w:ind w:right="-7"/>
        <w:jc w:val="both"/>
        <w:rPr>
          <w:rFonts w:ascii="Palatino Linotype" w:eastAsia="Palatino Linotype" w:hAnsi="Palatino Linotype" w:cs="Palatino Linotype"/>
        </w:rPr>
      </w:pPr>
    </w:p>
    <w:p w14:paraId="58DE1E55" w14:textId="77777777" w:rsidR="002377AA" w:rsidRPr="00323D24" w:rsidRDefault="0046054B">
      <w:pPr>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No obstante, estos no se hicieron del conocimiento del Particular porque se advirtió que se expusieron datos susceptibles de ser clasificados, tales como, </w:t>
      </w:r>
      <w:r w:rsidRPr="00323D24">
        <w:rPr>
          <w:rFonts w:ascii="Palatino Linotype" w:eastAsia="Palatino Linotype" w:hAnsi="Palatino Linotype" w:cs="Palatino Linotype"/>
          <w:b/>
        </w:rPr>
        <w:t>calificaciones contenidas dentro de un certificado de estudios</w:t>
      </w:r>
      <w:r w:rsidRPr="00323D24">
        <w:rPr>
          <w:rFonts w:ascii="Palatino Linotype" w:eastAsia="Palatino Linotype" w:hAnsi="Palatino Linotype" w:cs="Palatino Linotype"/>
        </w:rPr>
        <w:t xml:space="preserve">, por ello, vale la pena referir que: </w:t>
      </w:r>
    </w:p>
    <w:p w14:paraId="5C3E8735" w14:textId="77777777" w:rsidR="002377AA" w:rsidRPr="00323D24" w:rsidRDefault="002377AA">
      <w:pPr>
        <w:tabs>
          <w:tab w:val="left" w:pos="4962"/>
        </w:tabs>
        <w:spacing w:after="0" w:line="360" w:lineRule="auto"/>
        <w:ind w:right="-28"/>
        <w:jc w:val="both"/>
        <w:rPr>
          <w:rFonts w:ascii="Palatino Linotype" w:eastAsia="Palatino Linotype" w:hAnsi="Palatino Linotype" w:cs="Palatino Linotype"/>
        </w:rPr>
      </w:pPr>
    </w:p>
    <w:p w14:paraId="65D5DE68" w14:textId="77777777" w:rsidR="002377AA" w:rsidRPr="00323D24" w:rsidRDefault="0046054B">
      <w:pPr>
        <w:numPr>
          <w:ilvl w:val="0"/>
          <w:numId w:val="3"/>
        </w:num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b/>
        </w:rPr>
        <w:t>Calificaciones y promedio.</w:t>
      </w:r>
    </w:p>
    <w:p w14:paraId="58C23A09" w14:textId="77777777" w:rsidR="002377AA" w:rsidRPr="00323D24" w:rsidRDefault="002377AA">
      <w:pPr>
        <w:spacing w:after="0" w:line="360" w:lineRule="auto"/>
        <w:ind w:left="720"/>
        <w:jc w:val="both"/>
        <w:rPr>
          <w:rFonts w:ascii="Palatino Linotype" w:eastAsia="Palatino Linotype" w:hAnsi="Palatino Linotype" w:cs="Palatino Linotype"/>
        </w:rPr>
      </w:pPr>
    </w:p>
    <w:p w14:paraId="2E394795" w14:textId="77777777" w:rsidR="002377AA" w:rsidRPr="00323D24" w:rsidRDefault="0046054B">
      <w:pPr>
        <w:tabs>
          <w:tab w:val="left" w:pos="4962"/>
        </w:tabs>
        <w:spacing w:after="0" w:line="360" w:lineRule="auto"/>
        <w:ind w:right="-28"/>
        <w:jc w:val="both"/>
        <w:rPr>
          <w:rFonts w:ascii="Palatino Linotype" w:eastAsia="Palatino Linotype" w:hAnsi="Palatino Linotype" w:cs="Palatino Linotype"/>
        </w:rPr>
      </w:pPr>
      <w:r w:rsidRPr="00323D24">
        <w:rPr>
          <w:rFonts w:ascii="Palatino Linotype" w:eastAsia="Palatino Linotype" w:hAnsi="Palatino Linotype" w:cs="Palatino Linotype"/>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67BF093" w14:textId="77777777" w:rsidR="002377AA" w:rsidRPr="00323D24" w:rsidRDefault="0046054B">
      <w:pPr>
        <w:shd w:val="clear" w:color="auto" w:fill="FFFFFF"/>
        <w:spacing w:after="0" w:line="360" w:lineRule="auto"/>
        <w:ind w:left="720"/>
        <w:jc w:val="both"/>
        <w:rPr>
          <w:rFonts w:ascii="Palatino Linotype" w:eastAsia="Palatino Linotype" w:hAnsi="Palatino Linotype" w:cs="Palatino Linotype"/>
        </w:rPr>
      </w:pPr>
      <w:r w:rsidRPr="00323D24">
        <w:rPr>
          <w:rFonts w:ascii="Palatino Linotype" w:eastAsia="Palatino Linotype" w:hAnsi="Palatino Linotype" w:cs="Palatino Linotype"/>
        </w:rPr>
        <w:t> </w:t>
      </w:r>
    </w:p>
    <w:p w14:paraId="3BC92240" w14:textId="77777777" w:rsidR="002377AA" w:rsidRPr="00323D24" w:rsidRDefault="0046054B">
      <w:pPr>
        <w:tabs>
          <w:tab w:val="left" w:pos="4962"/>
        </w:tabs>
        <w:spacing w:after="0" w:line="360" w:lineRule="auto"/>
        <w:ind w:right="-28"/>
        <w:jc w:val="both"/>
        <w:rPr>
          <w:rFonts w:ascii="Palatino Linotype" w:eastAsia="Palatino Linotype" w:hAnsi="Palatino Linotype" w:cs="Palatino Linotype"/>
        </w:rPr>
      </w:pPr>
      <w:r w:rsidRPr="00323D24">
        <w:rPr>
          <w:rFonts w:ascii="Palatino Linotype" w:eastAsia="Palatino Linotype" w:hAnsi="Palatino Linotype" w:cs="Palatino Linotype"/>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2E33CBD7" w14:textId="77777777" w:rsidR="002377AA" w:rsidRPr="00323D24" w:rsidRDefault="0046054B">
      <w:pPr>
        <w:tabs>
          <w:tab w:val="left" w:pos="4962"/>
        </w:tabs>
        <w:spacing w:after="0" w:line="360" w:lineRule="auto"/>
        <w:ind w:right="-28"/>
        <w:jc w:val="both"/>
        <w:rPr>
          <w:rFonts w:ascii="Palatino Linotype" w:eastAsia="Palatino Linotype" w:hAnsi="Palatino Linotype" w:cs="Palatino Linotype"/>
        </w:rPr>
      </w:pPr>
      <w:r w:rsidRPr="00323D24">
        <w:rPr>
          <w:rFonts w:ascii="Palatino Linotype" w:eastAsia="Palatino Linotype" w:hAnsi="Palatino Linotype" w:cs="Palatino Linotype"/>
        </w:rPr>
        <w:t> </w:t>
      </w:r>
    </w:p>
    <w:p w14:paraId="141FC1BD" w14:textId="77777777" w:rsidR="002377AA" w:rsidRPr="00323D24" w:rsidRDefault="0046054B">
      <w:pPr>
        <w:tabs>
          <w:tab w:val="left" w:pos="4962"/>
        </w:tabs>
        <w:spacing w:after="0" w:line="360" w:lineRule="auto"/>
        <w:ind w:right="-28"/>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21581FD7" w14:textId="77777777" w:rsidR="002377AA" w:rsidRPr="00323D24" w:rsidRDefault="002377AA">
      <w:pPr>
        <w:tabs>
          <w:tab w:val="left" w:pos="4962"/>
        </w:tabs>
        <w:spacing w:after="0" w:line="360" w:lineRule="auto"/>
        <w:ind w:right="-28"/>
        <w:jc w:val="both"/>
        <w:rPr>
          <w:rFonts w:ascii="Palatino Linotype" w:eastAsia="Palatino Linotype" w:hAnsi="Palatino Linotype" w:cs="Palatino Linotype"/>
          <w:b/>
        </w:rPr>
      </w:pPr>
    </w:p>
    <w:p w14:paraId="4CCA4D14"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Conforme a lo anterior y lo expuesto, se advierte que el desempeño escolar de una persona es información íntima de este, lo cual concierne también a su vida privada; por lo cual, se considera que las calificaciones son confidenciales, en términos del artículo 143, fracción I, de la Ley de Transparencia y Acceso a la Información Pública del Estado de México y Municipios.</w:t>
      </w:r>
    </w:p>
    <w:p w14:paraId="07FBC72B" w14:textId="77777777" w:rsidR="002377AA" w:rsidRPr="00323D24" w:rsidRDefault="002377AA">
      <w:pPr>
        <w:spacing w:after="0" w:line="360" w:lineRule="auto"/>
        <w:jc w:val="both"/>
        <w:rPr>
          <w:rFonts w:ascii="Palatino Linotype" w:eastAsia="Palatino Linotype" w:hAnsi="Palatino Linotype" w:cs="Palatino Linotype"/>
        </w:rPr>
      </w:pPr>
    </w:p>
    <w:p w14:paraId="61147A5C"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Por otro lado, se advierte que, también estos se entregaron de manera incompleta, pues, de manera enunciativa, más no limitativa, faltaron los jefes de departamento de Caja General o de Catastro.</w:t>
      </w:r>
    </w:p>
    <w:p w14:paraId="69A70F09" w14:textId="77777777" w:rsidR="002377AA" w:rsidRPr="00323D24" w:rsidRDefault="002377AA">
      <w:pPr>
        <w:spacing w:after="0" w:line="360" w:lineRule="auto"/>
        <w:jc w:val="both"/>
        <w:rPr>
          <w:rFonts w:ascii="Palatino Linotype" w:eastAsia="Palatino Linotype" w:hAnsi="Palatino Linotype" w:cs="Palatino Linotype"/>
        </w:rPr>
      </w:pPr>
    </w:p>
    <w:p w14:paraId="48F8B086"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b/>
        </w:rPr>
      </w:pPr>
      <w:r w:rsidRPr="00323D24">
        <w:rPr>
          <w:rFonts w:ascii="Palatino Linotype" w:eastAsia="Palatino Linotype" w:hAnsi="Palatino Linotype" w:cs="Palatino Linotype"/>
        </w:rPr>
        <w:t xml:space="preserve">Es así que, en razón de que, el Sujeto Obligado en un acto posterior, como lo es el informe justificado, remitió los documentos solicitados por el ahora Recurrente y estos no se hicieron del conocimiento del Particular por contener datos personales, aunado a que, se entregaron de manera incompleta; el derecho de acceso a la información del solicitante </w:t>
      </w:r>
      <w:r w:rsidRPr="00323D24">
        <w:rPr>
          <w:rFonts w:ascii="Palatino Linotype" w:eastAsia="Palatino Linotype" w:hAnsi="Palatino Linotype" w:cs="Palatino Linotype"/>
          <w:b/>
        </w:rPr>
        <w:t xml:space="preserve">no se tiene por atendido. </w:t>
      </w:r>
    </w:p>
    <w:p w14:paraId="0798DFDF"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b/>
        </w:rPr>
      </w:pPr>
    </w:p>
    <w:p w14:paraId="0ED123AA"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Finalmente, es de mencionar que, se advirtió que en los documentos enviados en informe justificado, el Sujeto Obligado clasificó información relacionada con la Clave Única de Registro de Población, la firma del servidor público y el número de matrícula, siendo necesario referir que: </w:t>
      </w:r>
    </w:p>
    <w:p w14:paraId="0851E656"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48FE1FD9"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b/>
        </w:rPr>
      </w:pPr>
      <w:r w:rsidRPr="00323D24">
        <w:rPr>
          <w:rFonts w:ascii="Palatino Linotype" w:eastAsia="Palatino Linotype" w:hAnsi="Palatino Linotype" w:cs="Palatino Linotype"/>
          <w:b/>
        </w:rPr>
        <w:t>•</w:t>
      </w:r>
      <w:r w:rsidRPr="00323D24">
        <w:rPr>
          <w:rFonts w:ascii="Palatino Linotype" w:eastAsia="Palatino Linotype" w:hAnsi="Palatino Linotype" w:cs="Palatino Linotype"/>
          <w:b/>
        </w:rPr>
        <w:tab/>
        <w:t>Matrícula o número de cuenta, de expediente o de control.</w:t>
      </w:r>
    </w:p>
    <w:p w14:paraId="5818A0EC"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43E25673"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5D1B5603"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 </w:t>
      </w:r>
    </w:p>
    <w:p w14:paraId="7CBFA1EE" w14:textId="77777777" w:rsidR="002377AA" w:rsidRPr="00323D24" w:rsidRDefault="0046054B">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5EB4166E" w14:textId="77777777" w:rsidR="002377AA" w:rsidRPr="00323D24" w:rsidRDefault="002377AA">
      <w:pPr>
        <w:pBdr>
          <w:top w:val="nil"/>
          <w:left w:val="nil"/>
          <w:bottom w:val="nil"/>
          <w:right w:val="nil"/>
          <w:between w:val="nil"/>
        </w:pBdr>
        <w:tabs>
          <w:tab w:val="left" w:pos="1276"/>
        </w:tabs>
        <w:spacing w:after="0" w:line="360" w:lineRule="auto"/>
        <w:ind w:right="-7"/>
        <w:jc w:val="both"/>
        <w:rPr>
          <w:rFonts w:ascii="Palatino Linotype" w:eastAsia="Palatino Linotype" w:hAnsi="Palatino Linotype" w:cs="Palatino Linotype"/>
        </w:rPr>
      </w:pPr>
    </w:p>
    <w:p w14:paraId="3DCD5440" w14:textId="77777777" w:rsidR="002377AA" w:rsidRPr="00323D24" w:rsidRDefault="0046054B">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b/>
        </w:rPr>
        <w:t>Firma de servidores públicos.</w:t>
      </w:r>
      <w:r w:rsidRPr="00323D24">
        <w:rPr>
          <w:rFonts w:ascii="Palatino Linotype" w:eastAsia="Palatino Linotype" w:hAnsi="Palatino Linotype" w:cs="Palatino Linotype"/>
        </w:rPr>
        <w:t xml:space="preserve"> </w:t>
      </w:r>
    </w:p>
    <w:p w14:paraId="0925F05F" w14:textId="77777777" w:rsidR="002377AA" w:rsidRPr="00323D24" w:rsidRDefault="002377AA">
      <w:pPr>
        <w:spacing w:line="360" w:lineRule="auto"/>
        <w:jc w:val="both"/>
        <w:rPr>
          <w:rFonts w:ascii="Palatino Linotype" w:eastAsia="Palatino Linotype" w:hAnsi="Palatino Linotype" w:cs="Palatino Linotype"/>
        </w:rPr>
      </w:pPr>
    </w:p>
    <w:p w14:paraId="0F832D2E" w14:textId="77777777" w:rsidR="002377AA" w:rsidRPr="00323D24" w:rsidRDefault="0046054B">
      <w:pPr>
        <w:spacing w:line="360" w:lineRule="auto"/>
        <w:jc w:val="both"/>
        <w:rPr>
          <w:rFonts w:ascii="Palatino Linotype" w:eastAsia="Palatino Linotype" w:hAnsi="Palatino Linotype" w:cs="Palatino Linotype"/>
        </w:rPr>
      </w:pPr>
      <w:bookmarkStart w:id="3" w:name="_heading=h.lh1wp96r17zb" w:colFirst="0" w:colLast="0"/>
      <w:bookmarkEnd w:id="3"/>
      <w:r w:rsidRPr="00323D24">
        <w:rPr>
          <w:rFonts w:ascii="Palatino Linotype" w:eastAsia="Palatino Linotype" w:hAnsi="Palatino Linotype" w:cs="Palatino Linotype"/>
        </w:rPr>
        <w:t>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14:paraId="3668E7D2"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Robustece lo anterior el criterio orientador 02-19 emitido por el Instituto Nacional de Transparencia, Acceso a la Información y Protección de Datos Personales, INAI, el cual refiere:</w:t>
      </w:r>
    </w:p>
    <w:p w14:paraId="71924046" w14:textId="77777777" w:rsidR="002377AA" w:rsidRPr="00323D24" w:rsidRDefault="0046054B">
      <w:pPr>
        <w:pBdr>
          <w:top w:val="nil"/>
          <w:left w:val="nil"/>
          <w:bottom w:val="nil"/>
          <w:right w:val="nil"/>
          <w:between w:val="nil"/>
        </w:pBdr>
        <w:ind w:left="567" w:right="-7"/>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Firma y rúbrica de servidores públicos.</w:t>
      </w:r>
      <w:r w:rsidRPr="00323D24">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2B8A73B" w14:textId="77777777" w:rsidR="002377AA" w:rsidRPr="00323D24" w:rsidRDefault="0046054B">
      <w:pPr>
        <w:spacing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Contexto que en el presente asunto no se actualiza por no realizarse en ejercicio de sus funciones de derecho público; toda vez que 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0F44831" w14:textId="77777777" w:rsidR="002377AA" w:rsidRPr="00323D24" w:rsidRDefault="0046054B">
      <w:pPr>
        <w:spacing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Por su parte la cédula profesional, es el documento que toda persona a quien legalmente se le haya expedido título profesional o grado académico equivalente, podrá obtener con</w:t>
      </w:r>
      <w:r w:rsidRPr="00323D24">
        <w:rPr>
          <w:rFonts w:ascii="Palatino Linotype" w:eastAsia="Palatino Linotype" w:hAnsi="Palatino Linotype" w:cs="Palatino Linotype"/>
          <w:b/>
        </w:rPr>
        <w:t xml:space="preserve"> </w:t>
      </w:r>
      <w:r w:rsidRPr="00323D24">
        <w:rPr>
          <w:rFonts w:ascii="Palatino Linotype" w:eastAsia="Palatino Linotype" w:hAnsi="Palatino Linotype" w:cs="Palatino Linotype"/>
        </w:rPr>
        <w:t xml:space="preserve">efectos de patente;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w:t>
      </w:r>
    </w:p>
    <w:p w14:paraId="46825DC3" w14:textId="77777777" w:rsidR="002377AA" w:rsidRPr="00323D24" w:rsidRDefault="0046054B">
      <w:pPr>
        <w:spacing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Así, los documentos que dan cuenta de la preparación académica sirven como medios de identificación, para que a su titular lo relacionen con el nivel de estudios con que cuenta independientemente de que estos sean o no medios de identificación oficiales. </w:t>
      </w:r>
    </w:p>
    <w:p w14:paraId="1253D324" w14:textId="77777777" w:rsidR="002377AA" w:rsidRPr="00323D24" w:rsidRDefault="0046054B">
      <w:pPr>
        <w:spacing w:line="360" w:lineRule="auto"/>
        <w:ind w:right="-7"/>
        <w:jc w:val="both"/>
        <w:rPr>
          <w:rFonts w:ascii="Palatino Linotype" w:eastAsia="Palatino Linotype" w:hAnsi="Palatino Linotype" w:cs="Palatino Linotype"/>
        </w:rPr>
      </w:pPr>
      <w:r w:rsidRPr="00323D24">
        <w:rPr>
          <w:rFonts w:ascii="Palatino Linotype" w:eastAsia="Palatino Linotype" w:hAnsi="Palatino Linotype" w:cs="Palatino Linotype"/>
        </w:rPr>
        <w:t>Luego entonces, no es necesario que el ciudadano acceda a dicho dato personal, ya que actualiza la fracción I, del artículo 143 de la Ley de Transparencia y Acceso a la Información Pública del Estado de México y Municipios.</w:t>
      </w:r>
    </w:p>
    <w:p w14:paraId="34D7C2A0" w14:textId="77777777" w:rsidR="002377AA" w:rsidRPr="00323D24" w:rsidRDefault="0046054B">
      <w:pPr>
        <w:numPr>
          <w:ilvl w:val="0"/>
          <w:numId w:val="5"/>
        </w:numPr>
        <w:spacing w:after="0" w:line="360" w:lineRule="auto"/>
        <w:jc w:val="both"/>
        <w:rPr>
          <w:rFonts w:ascii="Palatino Linotype" w:eastAsia="Palatino Linotype" w:hAnsi="Palatino Linotype" w:cs="Palatino Linotype"/>
          <w:b/>
        </w:rPr>
      </w:pPr>
      <w:r w:rsidRPr="00323D24">
        <w:rPr>
          <w:rFonts w:ascii="Palatino Linotype" w:eastAsia="Palatino Linotype" w:hAnsi="Palatino Linotype" w:cs="Palatino Linotype"/>
          <w:b/>
        </w:rPr>
        <w:t>Clave Única de Registro de Población (CURP)</w:t>
      </w:r>
    </w:p>
    <w:p w14:paraId="545256F4"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5DEBEE1"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D4DC1AF"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En ese orden de ideas, la Secretaría de Gobernación en las direcciones </w:t>
      </w:r>
      <w:hyperlink r:id="rId9">
        <w:r w:rsidRPr="00323D24">
          <w:rPr>
            <w:rFonts w:ascii="Palatino Linotype" w:eastAsia="Palatino Linotype" w:hAnsi="Palatino Linotype" w:cs="Palatino Linotype"/>
            <w:u w:val="single"/>
          </w:rPr>
          <w:t>https://consultas.curp.gob.mx/CurpSP/html/informacionecurpPS.html</w:t>
        </w:r>
      </w:hyperlink>
      <w:r w:rsidRPr="00323D24">
        <w:rPr>
          <w:rFonts w:ascii="Palatino Linotype" w:eastAsia="Palatino Linotype" w:hAnsi="Palatino Linotype" w:cs="Palatino Linotype"/>
        </w:rPr>
        <w:t xml:space="preserve"> y </w:t>
      </w:r>
      <w:hyperlink r:id="rId10">
        <w:r w:rsidRPr="00323D24">
          <w:rPr>
            <w:rFonts w:ascii="Palatino Linotype" w:eastAsia="Palatino Linotype" w:hAnsi="Palatino Linotype" w:cs="Palatino Linotype"/>
            <w:u w:val="single"/>
          </w:rPr>
          <w:t>https://www.gob.mx/segob/renapo/acciones-y-programas/clave-unica-de-registro-de-poblacion-curp-142226</w:t>
        </w:r>
      </w:hyperlink>
      <w:r w:rsidRPr="00323D24">
        <w:rPr>
          <w:rFonts w:ascii="Palatino Linotype" w:eastAsia="Palatino Linotype" w:hAnsi="Palatino Linotype" w:cs="Palatino Linotype"/>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323D24">
        <w:rPr>
          <w:rFonts w:ascii="Palatino Linotype" w:eastAsia="Palatino Linotype" w:hAnsi="Palatino Linotype" w:cs="Palatino Linotype"/>
          <w:b/>
        </w:rPr>
        <w:t>se generan a partir de los datos contenidos en el documento probatorio de la identidad</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 xml:space="preserve">del interesado </w:t>
      </w:r>
      <w:r w:rsidRPr="00323D24">
        <w:rPr>
          <w:rFonts w:ascii="Palatino Linotype" w:eastAsia="Palatino Linotype" w:hAnsi="Palatino Linotype" w:cs="Palatino Linotype"/>
        </w:rPr>
        <w:t>(acta de nacimiento, carta de naturalización o documento migratorio) de la siguiente forma:</w:t>
      </w:r>
    </w:p>
    <w:p w14:paraId="2B0C51D5" w14:textId="77777777" w:rsidR="002377AA" w:rsidRPr="00323D24" w:rsidRDefault="0046054B">
      <w:pPr>
        <w:numPr>
          <w:ilvl w:val="0"/>
          <w:numId w:val="6"/>
        </w:num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El primero y segundo apellidos, así como al nombre de pila;</w:t>
      </w:r>
    </w:p>
    <w:p w14:paraId="12AC2A94" w14:textId="77777777" w:rsidR="002377AA" w:rsidRPr="00323D24" w:rsidRDefault="0046054B">
      <w:pPr>
        <w:numPr>
          <w:ilvl w:val="0"/>
          <w:numId w:val="6"/>
        </w:num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La fecha de nacimiento;</w:t>
      </w:r>
    </w:p>
    <w:p w14:paraId="71EA2D34" w14:textId="77777777" w:rsidR="002377AA" w:rsidRPr="00323D24" w:rsidRDefault="0046054B">
      <w:pPr>
        <w:numPr>
          <w:ilvl w:val="0"/>
          <w:numId w:val="6"/>
        </w:num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El sexo, y</w:t>
      </w:r>
    </w:p>
    <w:p w14:paraId="3FD521FF" w14:textId="77777777" w:rsidR="002377AA" w:rsidRPr="00323D24" w:rsidRDefault="0046054B">
      <w:pPr>
        <w:numPr>
          <w:ilvl w:val="0"/>
          <w:numId w:val="6"/>
        </w:num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La entidad federativa de nacimiento.</w:t>
      </w:r>
    </w:p>
    <w:p w14:paraId="6E860216"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Los dos últimos elementos de la Clave Única de Registro de Población evitan la duplicidad de la Clave y garantizan su correcta integración.</w:t>
      </w:r>
    </w:p>
    <w:p w14:paraId="260AE6A7"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B3F546F"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1796EFE8" w14:textId="77777777" w:rsidR="002377AA" w:rsidRPr="00323D24" w:rsidRDefault="0046054B">
      <w:pPr>
        <w:ind w:left="567" w:right="567"/>
        <w:jc w:val="both"/>
        <w:rPr>
          <w:rFonts w:ascii="Palatino Linotype" w:eastAsia="Palatino Linotype" w:hAnsi="Palatino Linotype" w:cs="Palatino Linotype"/>
          <w:i/>
        </w:rPr>
      </w:pPr>
      <w:r w:rsidRPr="00323D24">
        <w:rPr>
          <w:rFonts w:ascii="Palatino Linotype" w:eastAsia="Palatino Linotype" w:hAnsi="Palatino Linotype" w:cs="Palatino Linotype"/>
          <w:b/>
          <w:i/>
        </w:rPr>
        <w:t xml:space="preserve">“Clave Única de Registro de Población (CURP). </w:t>
      </w:r>
      <w:r w:rsidRPr="00323D24">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47E58FF" w14:textId="77777777" w:rsidR="002377AA" w:rsidRPr="00323D24" w:rsidRDefault="0046054B">
      <w:pPr>
        <w:spacing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E28ED93"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Es así como, en mérito de lo expuesto en líneas anteriores, resulta procedente </w:t>
      </w:r>
      <w:r w:rsidRPr="00323D24">
        <w:rPr>
          <w:rFonts w:ascii="Palatino Linotype" w:eastAsia="Palatino Linotype" w:hAnsi="Palatino Linotype" w:cs="Palatino Linotype"/>
          <w:b/>
        </w:rPr>
        <w:t>REVOCAR</w:t>
      </w:r>
      <w:r w:rsidRPr="00323D24">
        <w:rPr>
          <w:rFonts w:ascii="Palatino Linotype" w:eastAsia="Palatino Linotype" w:hAnsi="Palatino Linotype" w:cs="Palatino Linotype"/>
        </w:rPr>
        <w:t xml:space="preserve"> la respuesta del </w:t>
      </w:r>
      <w:r w:rsidRPr="00323D24">
        <w:rPr>
          <w:rFonts w:ascii="Palatino Linotype" w:eastAsia="Palatino Linotype" w:hAnsi="Palatino Linotype" w:cs="Palatino Linotype"/>
          <w:b/>
        </w:rPr>
        <w:t xml:space="preserve">Sujeto Obligado </w:t>
      </w:r>
      <w:r w:rsidRPr="00323D24">
        <w:rPr>
          <w:rFonts w:ascii="Palatino Linotype" w:eastAsia="Palatino Linotype" w:hAnsi="Palatino Linotype" w:cs="Palatino Linotype"/>
        </w:rPr>
        <w:t xml:space="preserve">y </w:t>
      </w:r>
      <w:r w:rsidRPr="00323D24">
        <w:rPr>
          <w:rFonts w:ascii="Palatino Linotype" w:eastAsia="Palatino Linotype" w:hAnsi="Palatino Linotype" w:cs="Palatino Linotype"/>
          <w:b/>
        </w:rPr>
        <w:t>ORDENAR</w:t>
      </w:r>
      <w:r w:rsidRPr="00323D24">
        <w:rPr>
          <w:rFonts w:ascii="Palatino Linotype" w:eastAsia="Palatino Linotype" w:hAnsi="Palatino Linotype" w:cs="Palatino Linotype"/>
        </w:rPr>
        <w:t xml:space="preserve"> la entrega, en versión pública correcta, vía Sistema de Acceso a la Información Mexiquense, de lo siguiente:</w:t>
      </w:r>
    </w:p>
    <w:p w14:paraId="132F106C" w14:textId="77777777" w:rsidR="002377AA" w:rsidRPr="00323D24" w:rsidRDefault="002377AA">
      <w:pPr>
        <w:spacing w:after="0" w:line="360" w:lineRule="auto"/>
        <w:ind w:right="49"/>
        <w:jc w:val="both"/>
        <w:rPr>
          <w:rFonts w:ascii="Palatino Linotype" w:eastAsia="Palatino Linotype" w:hAnsi="Palatino Linotype" w:cs="Palatino Linotype"/>
        </w:rPr>
      </w:pPr>
    </w:p>
    <w:p w14:paraId="0F95C7EB" w14:textId="77777777" w:rsidR="002377AA" w:rsidRPr="00323D24" w:rsidRDefault="0046054B">
      <w:pPr>
        <w:numPr>
          <w:ilvl w:val="0"/>
          <w:numId w:val="8"/>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323D24">
        <w:rPr>
          <w:rFonts w:ascii="Palatino Linotype" w:eastAsia="Palatino Linotype" w:hAnsi="Palatino Linotype" w:cs="Palatino Linotype"/>
          <w:b/>
        </w:rPr>
        <w:t xml:space="preserve">Nombramientos, comprobantes de estudio, fichas curriculares de los Titulares y Jefes de departamento de la Tesorería Municipal, enviados en informe justificado y los faltantes en funciones al veintiocho de abril de dos mil veinticinco.  </w:t>
      </w:r>
    </w:p>
    <w:p w14:paraId="00233D32" w14:textId="77777777" w:rsidR="002377AA" w:rsidRPr="00323D24" w:rsidRDefault="002377AA">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2EF4AD4" w14:textId="77777777" w:rsidR="002377AA" w:rsidRPr="00323D24" w:rsidRDefault="0046054B">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323D24">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116928B" w14:textId="77777777" w:rsidR="002377AA" w:rsidRPr="00323D24" w:rsidRDefault="002377AA">
      <w:pPr>
        <w:pBdr>
          <w:top w:val="nil"/>
          <w:left w:val="nil"/>
          <w:bottom w:val="nil"/>
          <w:right w:val="nil"/>
          <w:between w:val="nil"/>
        </w:pBdr>
        <w:spacing w:after="0"/>
        <w:ind w:left="567" w:right="49"/>
        <w:jc w:val="both"/>
        <w:rPr>
          <w:rFonts w:ascii="Palatino Linotype" w:eastAsia="Palatino Linotype" w:hAnsi="Palatino Linotype" w:cs="Palatino Linotype"/>
        </w:rPr>
      </w:pPr>
    </w:p>
    <w:p w14:paraId="2A009319" w14:textId="77777777" w:rsidR="002377AA" w:rsidRPr="00323D24" w:rsidRDefault="0046054B">
      <w:pPr>
        <w:pBdr>
          <w:top w:val="nil"/>
          <w:left w:val="nil"/>
          <w:bottom w:val="nil"/>
          <w:right w:val="nil"/>
          <w:between w:val="nil"/>
        </w:pBdr>
        <w:tabs>
          <w:tab w:val="left" w:pos="567"/>
          <w:tab w:val="left" w:pos="993"/>
        </w:tabs>
        <w:spacing w:after="0"/>
        <w:ind w:left="567" w:right="49"/>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Para el caso de que la información que se ordena entregar relativa a los comprobantes de estudios, no obre en los archivos del Sujeto Obligado, por no haberse poseído o administrado, por no ser un requisito para ocupar el cargo, deberá hacerlo del conocimiento del Particular en términos del artículo 19, párrafo segundo, de la Ley de Transparencia y Acceso a la Información Pública del Estado de México y Municipios, para tenerse por colmado dicho requerimiento. </w:t>
      </w:r>
    </w:p>
    <w:p w14:paraId="7317ED30" w14:textId="77777777" w:rsidR="002377AA" w:rsidRPr="00323D24" w:rsidRDefault="002377AA">
      <w:pPr>
        <w:spacing w:after="0" w:line="360" w:lineRule="auto"/>
        <w:ind w:right="49"/>
        <w:jc w:val="both"/>
        <w:rPr>
          <w:rFonts w:ascii="Palatino Linotype" w:eastAsia="Palatino Linotype" w:hAnsi="Palatino Linotype" w:cs="Palatino Linotype"/>
        </w:rPr>
      </w:pPr>
    </w:p>
    <w:p w14:paraId="77F332BC"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b/>
        </w:rPr>
        <w:t xml:space="preserve">Quinto. Versión Pública. </w:t>
      </w:r>
      <w:r w:rsidRPr="00323D24">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47EE5081" w14:textId="77777777" w:rsidR="002377AA" w:rsidRPr="00323D24" w:rsidRDefault="002377AA">
      <w:pPr>
        <w:spacing w:after="0" w:line="360" w:lineRule="auto"/>
        <w:jc w:val="both"/>
        <w:rPr>
          <w:rFonts w:ascii="Palatino Linotype" w:eastAsia="Palatino Linotype" w:hAnsi="Palatino Linotype" w:cs="Palatino Linotype"/>
        </w:rPr>
      </w:pPr>
    </w:p>
    <w:p w14:paraId="1C934898"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Ahora bien, es necesario pronunciarse respecto de, la fotografía de los servidores públicos, al tenor de lo siguiente: </w:t>
      </w:r>
    </w:p>
    <w:p w14:paraId="5954BFFD" w14:textId="77777777" w:rsidR="002377AA" w:rsidRPr="00323D24" w:rsidRDefault="002377AA">
      <w:pPr>
        <w:spacing w:after="0" w:line="360" w:lineRule="auto"/>
        <w:jc w:val="both"/>
        <w:rPr>
          <w:rFonts w:ascii="Palatino Linotype" w:eastAsia="Palatino Linotype" w:hAnsi="Palatino Linotype" w:cs="Palatino Linotype"/>
        </w:rPr>
      </w:pPr>
    </w:p>
    <w:p w14:paraId="235645C6" w14:textId="77777777" w:rsidR="002377AA" w:rsidRPr="00323D24" w:rsidRDefault="0046054B">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323D24">
        <w:rPr>
          <w:rFonts w:ascii="Palatino Linotype" w:eastAsia="Palatino Linotype" w:hAnsi="Palatino Linotype" w:cs="Palatino Linotype"/>
          <w:b/>
        </w:rPr>
        <w:t>Fotografías de los servidores públicos.</w:t>
      </w:r>
    </w:p>
    <w:p w14:paraId="3FBF6FE2" w14:textId="77777777" w:rsidR="002377AA" w:rsidRPr="00323D24" w:rsidRDefault="002377AA">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bookmarkStart w:id="4" w:name="_heading=h.2ope9h1vrbg5" w:colFirst="0" w:colLast="0"/>
      <w:bookmarkEnd w:id="4"/>
    </w:p>
    <w:p w14:paraId="2E33F85C" w14:textId="77777777" w:rsidR="002377AA" w:rsidRPr="00323D24" w:rsidRDefault="0046054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ACBB14C"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35D7C37"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4730806"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C0790F1"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9504152"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6E6C379"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0DE5ED40" w14:textId="77777777" w:rsidR="002377AA" w:rsidRPr="00323D24" w:rsidRDefault="0046054B">
      <w:pPr>
        <w:spacing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w:t>
      </w:r>
    </w:p>
    <w:p w14:paraId="48CB6021"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3D33AE73" w14:textId="77777777" w:rsidR="002377AA" w:rsidRPr="00323D24" w:rsidRDefault="002377AA">
      <w:pPr>
        <w:spacing w:after="0" w:line="360" w:lineRule="auto"/>
        <w:jc w:val="both"/>
        <w:rPr>
          <w:rFonts w:ascii="Palatino Linotype" w:eastAsia="Palatino Linotype" w:hAnsi="Palatino Linotype" w:cs="Palatino Linotype"/>
        </w:rPr>
      </w:pPr>
    </w:p>
    <w:p w14:paraId="02B8512A" w14:textId="77777777" w:rsidR="002377AA" w:rsidRPr="00323D24" w:rsidRDefault="0046054B">
      <w:pPr>
        <w:spacing w:after="0" w:line="360" w:lineRule="auto"/>
        <w:ind w:right="50"/>
        <w:jc w:val="both"/>
        <w:rPr>
          <w:rFonts w:ascii="Palatino Linotype" w:eastAsia="Palatino Linotype" w:hAnsi="Palatino Linotype" w:cs="Palatino Linotype"/>
        </w:rPr>
      </w:pPr>
      <w:r w:rsidRPr="00323D24">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740E747F" w14:textId="77777777" w:rsidR="002377AA" w:rsidRPr="00323D24" w:rsidRDefault="002377AA">
      <w:pPr>
        <w:spacing w:after="0" w:line="360" w:lineRule="auto"/>
        <w:ind w:right="50"/>
        <w:jc w:val="both"/>
        <w:rPr>
          <w:rFonts w:ascii="Palatino Linotype" w:eastAsia="Palatino Linotype" w:hAnsi="Palatino Linotype" w:cs="Palatino Linotype"/>
        </w:rPr>
      </w:pPr>
    </w:p>
    <w:p w14:paraId="69982DD6"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Artículo 3.</w:t>
      </w:r>
      <w:r w:rsidRPr="00323D24">
        <w:rPr>
          <w:rFonts w:ascii="Palatino Linotype" w:eastAsia="Palatino Linotype" w:hAnsi="Palatino Linotype" w:cs="Palatino Linotype"/>
          <w:i/>
        </w:rPr>
        <w:t xml:space="preserve"> Para los efectos de la presente Ley se entenderá por:</w:t>
      </w:r>
    </w:p>
    <w:p w14:paraId="0E236BB2"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7FE7564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68E651C9"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XX. Información clasificada: Aquella considerada por la presente Ley como reservada o confidencial;</w:t>
      </w:r>
    </w:p>
    <w:p w14:paraId="66DC846D"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D145D4"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B70B5FF"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0E02EBA1"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Artículo 91.</w:t>
      </w:r>
      <w:r w:rsidRPr="00323D2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11639DC"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Artículo 132.</w:t>
      </w:r>
      <w:r w:rsidRPr="00323D24">
        <w:rPr>
          <w:rFonts w:ascii="Palatino Linotype" w:eastAsia="Palatino Linotype" w:hAnsi="Palatino Linotype" w:cs="Palatino Linotype"/>
          <w:i/>
        </w:rPr>
        <w:t xml:space="preserve"> La clasificación de la información se llevará a cabo en el momento en que:</w:t>
      </w:r>
    </w:p>
    <w:p w14:paraId="6CB67380" w14:textId="77777777" w:rsidR="002377AA" w:rsidRPr="00323D24" w:rsidRDefault="0046054B">
      <w:pPr>
        <w:tabs>
          <w:tab w:val="left" w:pos="1134"/>
        </w:tabs>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 Se reciba una solicitud de acceso a la información;</w:t>
      </w:r>
    </w:p>
    <w:p w14:paraId="2E79F9C0" w14:textId="77777777" w:rsidR="002377AA" w:rsidRPr="00323D24" w:rsidRDefault="0046054B">
      <w:pPr>
        <w:tabs>
          <w:tab w:val="left" w:pos="1134"/>
        </w:tabs>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 Se determine mediante resolución de autoridad competente; o</w:t>
      </w:r>
    </w:p>
    <w:p w14:paraId="186F0528" w14:textId="77777777" w:rsidR="002377AA" w:rsidRPr="00323D24" w:rsidRDefault="0046054B">
      <w:pPr>
        <w:tabs>
          <w:tab w:val="left" w:pos="1134"/>
        </w:tabs>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III. Se generen versiones públicas para dar cumplimiento a las obligaciones de transparencia previstas en esta Ley.</w:t>
      </w:r>
    </w:p>
    <w:p w14:paraId="7625912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1A3EFCF5"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Artículo 143</w:t>
      </w:r>
      <w:r w:rsidRPr="00323D2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D7B10D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754270D4"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10EF7C1D"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III. La que presenten los particulares a los sujetos obligados, de conformidad con lo dispuesto por las leyes o los tratados internacionales.</w:t>
      </w:r>
    </w:p>
    <w:p w14:paraId="4E792B31"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97ADBA8"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949823E" w14:textId="77777777" w:rsidR="002377AA" w:rsidRPr="00323D24" w:rsidRDefault="002377AA">
      <w:pPr>
        <w:spacing w:after="0"/>
        <w:ind w:left="567" w:right="616"/>
        <w:jc w:val="both"/>
        <w:rPr>
          <w:rFonts w:ascii="Palatino Linotype" w:eastAsia="Palatino Linotype" w:hAnsi="Palatino Linotype" w:cs="Palatino Linotype"/>
          <w:i/>
        </w:rPr>
      </w:pPr>
    </w:p>
    <w:p w14:paraId="34163F91"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917C9C" w14:textId="77777777" w:rsidR="002377AA" w:rsidRPr="00323D24" w:rsidRDefault="002377AA">
      <w:pPr>
        <w:spacing w:after="0"/>
        <w:jc w:val="both"/>
        <w:rPr>
          <w:rFonts w:ascii="Palatino Linotype" w:eastAsia="Palatino Linotype" w:hAnsi="Palatino Linotype" w:cs="Palatino Linotype"/>
        </w:rPr>
      </w:pPr>
    </w:p>
    <w:p w14:paraId="6C664BD4"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2B77F815" w14:textId="77777777" w:rsidR="002377AA" w:rsidRPr="00323D24" w:rsidRDefault="002377AA">
      <w:pPr>
        <w:spacing w:after="0" w:line="360" w:lineRule="auto"/>
        <w:jc w:val="both"/>
        <w:rPr>
          <w:rFonts w:ascii="Palatino Linotype" w:eastAsia="Palatino Linotype" w:hAnsi="Palatino Linotype" w:cs="Palatino Linotype"/>
        </w:rPr>
      </w:pPr>
    </w:p>
    <w:p w14:paraId="3474FF0B"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 “</w:t>
      </w:r>
      <w:r w:rsidRPr="00323D24">
        <w:rPr>
          <w:rFonts w:ascii="Palatino Linotype" w:eastAsia="Palatino Linotype" w:hAnsi="Palatino Linotype" w:cs="Palatino Linotype"/>
          <w:b/>
          <w:i/>
        </w:rPr>
        <w:t>Quincuagésimo</w:t>
      </w:r>
      <w:r w:rsidRPr="00323D24">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769126E"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Quincuagésimo primero.</w:t>
      </w:r>
      <w:r w:rsidRPr="00323D24">
        <w:rPr>
          <w:rFonts w:ascii="Palatino Linotype" w:eastAsia="Palatino Linotype" w:hAnsi="Palatino Linotype" w:cs="Palatino Linotype"/>
          <w:i/>
        </w:rPr>
        <w:t xml:space="preserve"> Toda acta del Comité de Transparencia deberá contener: </w:t>
      </w:r>
    </w:p>
    <w:p w14:paraId="64F4B9BC"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 El número de sesión y fecha; </w:t>
      </w:r>
    </w:p>
    <w:p w14:paraId="1B864ED8"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II. El nombre del área que solicitó la clasificación de información; </w:t>
      </w:r>
    </w:p>
    <w:p w14:paraId="0A8B7D61"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III. La fundamentación legal y motivación correspondiente; </w:t>
      </w:r>
    </w:p>
    <w:p w14:paraId="24559B9A"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IV. La resolución o resoluciones aprobadas; y </w:t>
      </w:r>
    </w:p>
    <w:p w14:paraId="033F209E"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V. La rúbrica o firma digital de cada integrante del Comité de Transparencia. </w:t>
      </w:r>
    </w:p>
    <w:p w14:paraId="27D2ED52"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1E724CD"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 Los motivos y razonamientos que sustenten la confirmación o modificación de la prueba de daño;</w:t>
      </w:r>
    </w:p>
    <w:p w14:paraId="7B7BBE49"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II. Descripción de las partes o secciones reservadas, en caso de clasificación parcial; </w:t>
      </w:r>
    </w:p>
    <w:p w14:paraId="553FF359"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III. El periodo por el que mantendrá su clasificación y fecha de expiración; y </w:t>
      </w:r>
    </w:p>
    <w:p w14:paraId="11678EDA"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IV. El nombre del titular y área encargada de realizar la versión pública del documento, en su caso. </w:t>
      </w:r>
    </w:p>
    <w:p w14:paraId="4CDFFBCA"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7CB4FDF"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5DC3EF88"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Quincuagésimo segundo.</w:t>
      </w:r>
      <w:r w:rsidRPr="00323D24">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0C92639"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FCC2F2C"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 Fijar la fecha en que se elaboró la versión pública y la fecha en la cual el Comité de Transparencia confirmó dicha versión;</w:t>
      </w:r>
    </w:p>
    <w:p w14:paraId="573A9C5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E8CFBC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III. Señalar las personas o instancias autorizadas a acceder a la información clasificada.</w:t>
      </w:r>
    </w:p>
    <w:p w14:paraId="01A45F16"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9E07549" w14:textId="77777777" w:rsidR="002377AA" w:rsidRPr="00323D24" w:rsidRDefault="002377AA">
      <w:pPr>
        <w:spacing w:after="0" w:line="360" w:lineRule="auto"/>
        <w:jc w:val="both"/>
        <w:rPr>
          <w:rFonts w:ascii="Palatino Linotype" w:eastAsia="Palatino Linotype" w:hAnsi="Palatino Linotype" w:cs="Palatino Linotype"/>
        </w:rPr>
      </w:pPr>
    </w:p>
    <w:p w14:paraId="53001E07"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468CD3D6" w14:textId="77777777" w:rsidR="002377AA" w:rsidRPr="00323D24" w:rsidRDefault="002377AA">
      <w:pPr>
        <w:spacing w:after="0" w:line="360" w:lineRule="auto"/>
        <w:jc w:val="both"/>
        <w:rPr>
          <w:rFonts w:ascii="Palatino Linotype" w:eastAsia="Palatino Linotype" w:hAnsi="Palatino Linotype" w:cs="Palatino Linotype"/>
        </w:rPr>
      </w:pPr>
    </w:p>
    <w:p w14:paraId="23A7A072" w14:textId="77777777" w:rsidR="002377AA" w:rsidRPr="00323D24" w:rsidRDefault="0046054B">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r w:rsidRPr="00323D24">
        <w:rPr>
          <w:rFonts w:ascii="Palatino Linotype" w:eastAsia="Palatino Linotype" w:hAnsi="Palatino Linotype" w:cs="Palatino Linotype"/>
          <w:b/>
          <w:i/>
        </w:rPr>
        <w:t>Quincuagésimo cuarto.</w:t>
      </w:r>
      <w:r w:rsidRPr="00323D24">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0C2F7DF"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Quincuagésimo quinto.</w:t>
      </w:r>
      <w:r w:rsidRPr="00323D24">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2AC2AA4"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w:t>
      </w:r>
    </w:p>
    <w:p w14:paraId="21EC762D"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b/>
          <w:i/>
        </w:rPr>
        <w:t>Quincuagésimo séptimo.</w:t>
      </w:r>
      <w:r w:rsidRPr="00323D24">
        <w:rPr>
          <w:rFonts w:ascii="Palatino Linotype" w:eastAsia="Palatino Linotype" w:hAnsi="Palatino Linotype" w:cs="Palatino Linotype"/>
          <w:i/>
        </w:rPr>
        <w:t xml:space="preserve"> Se considera, en principio, como información pública y no podrá omitirse de las versiones públicas la siguiente: </w:t>
      </w:r>
    </w:p>
    <w:p w14:paraId="077E505B"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3DD596D"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2DBC5E13"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E71D093"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5F5B70CA" w14:textId="77777777" w:rsidR="002377AA" w:rsidRPr="00323D24" w:rsidRDefault="0046054B">
      <w:pPr>
        <w:spacing w:after="0"/>
        <w:ind w:left="567" w:right="616"/>
        <w:jc w:val="both"/>
        <w:rPr>
          <w:rFonts w:ascii="Palatino Linotype" w:eastAsia="Palatino Linotype" w:hAnsi="Palatino Linotype" w:cs="Palatino Linotype"/>
          <w:i/>
        </w:rPr>
      </w:pPr>
      <w:r w:rsidRPr="00323D24">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5202E9F8" w14:textId="77777777" w:rsidR="002377AA" w:rsidRPr="00323D24" w:rsidRDefault="002377AA">
      <w:pPr>
        <w:spacing w:after="0" w:line="360" w:lineRule="auto"/>
        <w:jc w:val="both"/>
        <w:rPr>
          <w:rFonts w:ascii="Palatino Linotype" w:eastAsia="Palatino Linotype" w:hAnsi="Palatino Linotype" w:cs="Palatino Linotype"/>
        </w:rPr>
      </w:pPr>
    </w:p>
    <w:p w14:paraId="54D6C135" w14:textId="77777777" w:rsidR="002377AA" w:rsidRPr="00323D24" w:rsidRDefault="0046054B">
      <w:pPr>
        <w:spacing w:after="0" w:line="360" w:lineRule="auto"/>
        <w:jc w:val="both"/>
        <w:rPr>
          <w:rFonts w:ascii="Palatino Linotype" w:eastAsia="Palatino Linotype" w:hAnsi="Palatino Linotype" w:cs="Palatino Linotype"/>
        </w:rPr>
      </w:pPr>
      <w:r w:rsidRPr="00323D24">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DBF0098" w14:textId="77777777" w:rsidR="002377AA" w:rsidRPr="00323D24" w:rsidRDefault="002377AA">
      <w:pPr>
        <w:spacing w:after="0" w:line="360" w:lineRule="auto"/>
        <w:ind w:right="49"/>
        <w:jc w:val="both"/>
        <w:rPr>
          <w:rFonts w:ascii="Palatino Linotype" w:eastAsia="Palatino Linotype" w:hAnsi="Palatino Linotype" w:cs="Palatino Linotype"/>
        </w:rPr>
      </w:pPr>
    </w:p>
    <w:p w14:paraId="3386A81A" w14:textId="77777777" w:rsidR="002377AA" w:rsidRPr="00323D24" w:rsidRDefault="0046054B">
      <w:pPr>
        <w:spacing w:after="0" w:line="360" w:lineRule="auto"/>
        <w:ind w:right="49"/>
        <w:jc w:val="both"/>
        <w:rPr>
          <w:rFonts w:ascii="Palatino Linotype" w:eastAsia="Palatino Linotype" w:hAnsi="Palatino Linotype" w:cs="Palatino Linotype"/>
          <w:b/>
        </w:rPr>
      </w:pPr>
      <w:r w:rsidRPr="00323D24">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323D24">
        <w:rPr>
          <w:rFonts w:ascii="Palatino Linotype" w:eastAsia="Palatino Linotype" w:hAnsi="Palatino Linotype" w:cs="Palatino Linotype"/>
          <w:b/>
        </w:rPr>
        <w:t>la parte</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Recurrente</w:t>
      </w:r>
      <w:r w:rsidRPr="00323D24">
        <w:rPr>
          <w:rFonts w:ascii="Palatino Linotype" w:eastAsia="Palatino Linotype" w:hAnsi="Palatino Linotype" w:cs="Palatino Linotype"/>
        </w:rPr>
        <w:t xml:space="preserve"> dentro del recurso de revisión </w:t>
      </w:r>
      <w:r w:rsidRPr="00323D24">
        <w:rPr>
          <w:rFonts w:ascii="Palatino Linotype" w:eastAsia="Palatino Linotype" w:hAnsi="Palatino Linotype" w:cs="Palatino Linotype"/>
          <w:b/>
        </w:rPr>
        <w:t>05794/INFOEM/IP/RR/2025</w:t>
      </w:r>
      <w:r w:rsidRPr="00323D24">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323D24">
        <w:rPr>
          <w:rFonts w:ascii="Palatino Linotype" w:eastAsia="Palatino Linotype" w:hAnsi="Palatino Linotype" w:cs="Palatino Linotype"/>
          <w:b/>
        </w:rPr>
        <w:t xml:space="preserve"> REVOCA </w:t>
      </w:r>
      <w:r w:rsidRPr="00323D24">
        <w:rPr>
          <w:rFonts w:ascii="Palatino Linotype" w:eastAsia="Palatino Linotype" w:hAnsi="Palatino Linotype" w:cs="Palatino Linotype"/>
        </w:rPr>
        <w:t xml:space="preserve">la respuesta a la solicitud de información número </w:t>
      </w:r>
      <w:r w:rsidRPr="00323D24">
        <w:rPr>
          <w:rFonts w:ascii="Palatino Linotype" w:eastAsia="Palatino Linotype" w:hAnsi="Palatino Linotype" w:cs="Palatino Linotype"/>
          <w:b/>
        </w:rPr>
        <w:t xml:space="preserve">00134/VACHASO/IP/2025. </w:t>
      </w:r>
    </w:p>
    <w:p w14:paraId="4FEBC1F7" w14:textId="77777777" w:rsidR="002377AA" w:rsidRPr="00323D24" w:rsidRDefault="002377AA">
      <w:pPr>
        <w:spacing w:after="0" w:line="360" w:lineRule="auto"/>
        <w:ind w:right="49"/>
        <w:jc w:val="both"/>
        <w:rPr>
          <w:rFonts w:ascii="Palatino Linotype" w:eastAsia="Palatino Linotype" w:hAnsi="Palatino Linotype" w:cs="Palatino Linotype"/>
          <w:b/>
        </w:rPr>
      </w:pPr>
    </w:p>
    <w:p w14:paraId="227CF660"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F048BF4" w14:textId="77777777" w:rsidR="002377AA" w:rsidRPr="00323D24" w:rsidRDefault="002377AA">
      <w:pPr>
        <w:spacing w:after="0" w:line="360" w:lineRule="auto"/>
        <w:ind w:right="49"/>
        <w:jc w:val="both"/>
        <w:rPr>
          <w:rFonts w:ascii="Palatino Linotype" w:eastAsia="Palatino Linotype" w:hAnsi="Palatino Linotype" w:cs="Palatino Linotype"/>
        </w:rPr>
      </w:pPr>
    </w:p>
    <w:p w14:paraId="5C79E9A1" w14:textId="77777777" w:rsidR="002377AA" w:rsidRPr="00323D24" w:rsidRDefault="0046054B">
      <w:pPr>
        <w:spacing w:after="0" w:line="360" w:lineRule="auto"/>
        <w:ind w:right="49"/>
        <w:jc w:val="center"/>
        <w:rPr>
          <w:rFonts w:ascii="Palatino Linotype" w:eastAsia="Palatino Linotype" w:hAnsi="Palatino Linotype" w:cs="Palatino Linotype"/>
          <w:b/>
        </w:rPr>
      </w:pPr>
      <w:r w:rsidRPr="00323D24">
        <w:rPr>
          <w:rFonts w:ascii="Palatino Linotype" w:eastAsia="Palatino Linotype" w:hAnsi="Palatino Linotype" w:cs="Palatino Linotype"/>
          <w:b/>
        </w:rPr>
        <w:t>III.</w:t>
      </w:r>
      <w:r w:rsidRPr="00323D24">
        <w:rPr>
          <w:rFonts w:ascii="Palatino Linotype" w:eastAsia="Palatino Linotype" w:hAnsi="Palatino Linotype" w:cs="Palatino Linotype"/>
          <w:b/>
        </w:rPr>
        <w:tab/>
        <w:t>R E S U E L V E:</w:t>
      </w:r>
    </w:p>
    <w:p w14:paraId="4C04A519" w14:textId="77777777" w:rsidR="002377AA" w:rsidRPr="00323D24" w:rsidRDefault="002377AA">
      <w:pPr>
        <w:spacing w:after="0" w:line="360" w:lineRule="auto"/>
        <w:ind w:right="49"/>
        <w:jc w:val="center"/>
        <w:rPr>
          <w:rFonts w:ascii="Palatino Linotype" w:eastAsia="Palatino Linotype" w:hAnsi="Palatino Linotype" w:cs="Palatino Linotype"/>
          <w:b/>
        </w:rPr>
      </w:pPr>
    </w:p>
    <w:p w14:paraId="693E813A"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Primero.</w:t>
      </w:r>
      <w:r w:rsidRPr="00323D24">
        <w:rPr>
          <w:rFonts w:ascii="Palatino Linotype" w:eastAsia="Palatino Linotype" w:hAnsi="Palatino Linotype" w:cs="Palatino Linotype"/>
        </w:rPr>
        <w:t xml:space="preserve"> Resultan</w:t>
      </w:r>
      <w:r w:rsidRPr="00323D24">
        <w:rPr>
          <w:rFonts w:ascii="Palatino Linotype" w:eastAsia="Palatino Linotype" w:hAnsi="Palatino Linotype" w:cs="Palatino Linotype"/>
          <w:b/>
        </w:rPr>
        <w:t xml:space="preserve"> fundados</w:t>
      </w:r>
      <w:r w:rsidRPr="00323D24">
        <w:rPr>
          <w:rFonts w:ascii="Palatino Linotype" w:eastAsia="Palatino Linotype" w:hAnsi="Palatino Linotype" w:cs="Palatino Linotype"/>
        </w:rPr>
        <w:t xml:space="preserve"> los motivos de inconformidad hechos valer por </w:t>
      </w:r>
      <w:r w:rsidRPr="00323D24">
        <w:rPr>
          <w:rFonts w:ascii="Palatino Linotype" w:eastAsia="Palatino Linotype" w:hAnsi="Palatino Linotype" w:cs="Palatino Linotype"/>
          <w:b/>
        </w:rPr>
        <w:t>la parte</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Recurrente</w:t>
      </w:r>
      <w:r w:rsidRPr="00323D24">
        <w:rPr>
          <w:rFonts w:ascii="Palatino Linotype" w:eastAsia="Palatino Linotype" w:hAnsi="Palatino Linotype" w:cs="Palatino Linotype"/>
        </w:rPr>
        <w:t xml:space="preserve"> en el Recurso de Revisión </w:t>
      </w:r>
      <w:r w:rsidRPr="00323D24">
        <w:rPr>
          <w:rFonts w:ascii="Palatino Linotype" w:eastAsia="Palatino Linotype" w:hAnsi="Palatino Linotype" w:cs="Palatino Linotype"/>
          <w:b/>
        </w:rPr>
        <w:t>05794/INFOEM/IP/RR/2025</w:t>
      </w:r>
      <w:r w:rsidRPr="00323D24">
        <w:rPr>
          <w:rFonts w:ascii="Palatino Linotype" w:eastAsia="Palatino Linotype" w:hAnsi="Palatino Linotype" w:cs="Palatino Linotype"/>
        </w:rPr>
        <w:t xml:space="preserve">, por lo que, en términos del </w:t>
      </w:r>
      <w:r w:rsidRPr="00323D24">
        <w:rPr>
          <w:rFonts w:ascii="Palatino Linotype" w:eastAsia="Palatino Linotype" w:hAnsi="Palatino Linotype" w:cs="Palatino Linotype"/>
          <w:b/>
        </w:rPr>
        <w:t>Considerando Cuarto</w:t>
      </w:r>
      <w:r w:rsidRPr="00323D24">
        <w:rPr>
          <w:rFonts w:ascii="Palatino Linotype" w:eastAsia="Palatino Linotype" w:hAnsi="Palatino Linotype" w:cs="Palatino Linotype"/>
        </w:rPr>
        <w:t xml:space="preserve"> de esta resolución, se </w:t>
      </w:r>
      <w:r w:rsidRPr="00323D24">
        <w:rPr>
          <w:rFonts w:ascii="Palatino Linotype" w:eastAsia="Palatino Linotype" w:hAnsi="Palatino Linotype" w:cs="Palatino Linotype"/>
          <w:b/>
        </w:rPr>
        <w:t xml:space="preserve">REVOCA </w:t>
      </w:r>
      <w:r w:rsidRPr="00323D24">
        <w:rPr>
          <w:rFonts w:ascii="Palatino Linotype" w:eastAsia="Palatino Linotype" w:hAnsi="Palatino Linotype" w:cs="Palatino Linotype"/>
        </w:rPr>
        <w:t xml:space="preserve">la respuesta emitida por el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w:t>
      </w:r>
    </w:p>
    <w:p w14:paraId="1DF08369" w14:textId="77777777" w:rsidR="002377AA" w:rsidRPr="00323D24" w:rsidRDefault="002377AA">
      <w:pPr>
        <w:spacing w:after="0" w:line="360" w:lineRule="auto"/>
        <w:ind w:right="49"/>
        <w:jc w:val="both"/>
        <w:rPr>
          <w:rFonts w:ascii="Palatino Linotype" w:eastAsia="Palatino Linotype" w:hAnsi="Palatino Linotype" w:cs="Palatino Linotype"/>
        </w:rPr>
      </w:pPr>
    </w:p>
    <w:p w14:paraId="2EEE17DB"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Segundo</w:t>
      </w:r>
      <w:r w:rsidRPr="00323D24">
        <w:rPr>
          <w:rFonts w:ascii="Palatino Linotype" w:eastAsia="Palatino Linotype" w:hAnsi="Palatino Linotype" w:cs="Palatino Linotype"/>
        </w:rPr>
        <w:t xml:space="preserve">. Se </w:t>
      </w:r>
      <w:r w:rsidRPr="00323D24">
        <w:rPr>
          <w:rFonts w:ascii="Palatino Linotype" w:eastAsia="Palatino Linotype" w:hAnsi="Palatino Linotype" w:cs="Palatino Linotype"/>
          <w:b/>
        </w:rPr>
        <w:t>ORDENA</w:t>
      </w:r>
      <w:r w:rsidRPr="00323D24">
        <w:rPr>
          <w:rFonts w:ascii="Palatino Linotype" w:eastAsia="Palatino Linotype" w:hAnsi="Palatino Linotype" w:cs="Palatino Linotype"/>
        </w:rPr>
        <w:t xml:space="preserve"> al </w:t>
      </w:r>
      <w:r w:rsidRPr="00323D24">
        <w:rPr>
          <w:rFonts w:ascii="Palatino Linotype" w:eastAsia="Palatino Linotype" w:hAnsi="Palatino Linotype" w:cs="Palatino Linotype"/>
          <w:b/>
        </w:rPr>
        <w:t xml:space="preserve">Sujeto Obligado </w:t>
      </w:r>
      <w:r w:rsidRPr="00323D24">
        <w:rPr>
          <w:rFonts w:ascii="Palatino Linotype" w:eastAsia="Palatino Linotype" w:hAnsi="Palatino Linotype" w:cs="Palatino Linotype"/>
        </w:rPr>
        <w:t xml:space="preserve">a que, en observancia de los </w:t>
      </w:r>
      <w:r w:rsidRPr="00323D24">
        <w:rPr>
          <w:rFonts w:ascii="Palatino Linotype" w:eastAsia="Palatino Linotype" w:hAnsi="Palatino Linotype" w:cs="Palatino Linotype"/>
          <w:b/>
        </w:rPr>
        <w:t>Considerandos Cuarto y Quinto</w:t>
      </w:r>
      <w:r w:rsidRPr="00323D24">
        <w:rPr>
          <w:rFonts w:ascii="Palatino Linotype" w:eastAsia="Palatino Linotype" w:hAnsi="Palatino Linotype" w:cs="Palatino Linotype"/>
        </w:rPr>
        <w:t xml:space="preserve">, hagan entrega, en versión pública correcta, vía Sistema de Acceso a la Información Mexiquense </w:t>
      </w:r>
      <w:r w:rsidRPr="00323D24">
        <w:rPr>
          <w:rFonts w:ascii="Palatino Linotype" w:eastAsia="Palatino Linotype" w:hAnsi="Palatino Linotype" w:cs="Palatino Linotype"/>
          <w:b/>
        </w:rPr>
        <w:t>(SAIMEX)</w:t>
      </w:r>
      <w:r w:rsidRPr="00323D24">
        <w:rPr>
          <w:rFonts w:ascii="Palatino Linotype" w:eastAsia="Palatino Linotype" w:hAnsi="Palatino Linotype" w:cs="Palatino Linotype"/>
        </w:rPr>
        <w:t>, de lo siguiente:</w:t>
      </w:r>
    </w:p>
    <w:p w14:paraId="7F15F5AF" w14:textId="77777777" w:rsidR="002377AA" w:rsidRPr="00323D24" w:rsidRDefault="002377AA">
      <w:pPr>
        <w:spacing w:after="0" w:line="360" w:lineRule="auto"/>
        <w:ind w:right="49"/>
        <w:jc w:val="both"/>
        <w:rPr>
          <w:rFonts w:ascii="Palatino Linotype" w:eastAsia="Palatino Linotype" w:hAnsi="Palatino Linotype" w:cs="Palatino Linotype"/>
        </w:rPr>
      </w:pPr>
    </w:p>
    <w:p w14:paraId="087F4592" w14:textId="77777777" w:rsidR="002377AA" w:rsidRPr="00323D24" w:rsidRDefault="0046054B">
      <w:pPr>
        <w:numPr>
          <w:ilvl w:val="0"/>
          <w:numId w:val="8"/>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323D24">
        <w:rPr>
          <w:rFonts w:ascii="Palatino Linotype" w:eastAsia="Palatino Linotype" w:hAnsi="Palatino Linotype" w:cs="Palatino Linotype"/>
          <w:b/>
        </w:rPr>
        <w:t xml:space="preserve">Nombramientos, comprobantes de estudio, ficha curricular de los titulares y jefes de departamento de la Tesorería Municipal, enviados en informe justificado y los faltantes, en funciones al veintiocho de abril de dos mil veinticinco.  </w:t>
      </w:r>
    </w:p>
    <w:p w14:paraId="159CA36B" w14:textId="77777777" w:rsidR="002377AA" w:rsidRPr="00323D24" w:rsidRDefault="002377AA">
      <w:p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p>
    <w:p w14:paraId="35360E3F" w14:textId="77777777" w:rsidR="002377AA" w:rsidRPr="00323D24" w:rsidRDefault="0046054B">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323D24">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5CD6093" w14:textId="77777777" w:rsidR="002377AA" w:rsidRPr="00323D24" w:rsidRDefault="002377AA">
      <w:pPr>
        <w:pBdr>
          <w:top w:val="nil"/>
          <w:left w:val="nil"/>
          <w:bottom w:val="nil"/>
          <w:right w:val="nil"/>
          <w:between w:val="nil"/>
        </w:pBdr>
        <w:spacing w:after="0"/>
        <w:ind w:left="720" w:right="49"/>
        <w:jc w:val="both"/>
        <w:rPr>
          <w:rFonts w:ascii="Palatino Linotype" w:eastAsia="Palatino Linotype" w:hAnsi="Palatino Linotype" w:cs="Palatino Linotype"/>
          <w:i/>
        </w:rPr>
      </w:pPr>
    </w:p>
    <w:p w14:paraId="62FED180" w14:textId="77777777" w:rsidR="002377AA" w:rsidRPr="00323D24" w:rsidRDefault="0046054B">
      <w:pPr>
        <w:pBdr>
          <w:top w:val="nil"/>
          <w:left w:val="nil"/>
          <w:bottom w:val="nil"/>
          <w:right w:val="nil"/>
          <w:between w:val="nil"/>
        </w:pBdr>
        <w:tabs>
          <w:tab w:val="left" w:pos="567"/>
          <w:tab w:val="left" w:pos="993"/>
        </w:tabs>
        <w:spacing w:after="0"/>
        <w:ind w:left="567" w:right="49"/>
        <w:jc w:val="both"/>
        <w:rPr>
          <w:rFonts w:ascii="Palatino Linotype" w:eastAsia="Palatino Linotype" w:hAnsi="Palatino Linotype" w:cs="Palatino Linotype"/>
          <w:i/>
        </w:rPr>
      </w:pPr>
      <w:r w:rsidRPr="00323D24">
        <w:rPr>
          <w:rFonts w:ascii="Palatino Linotype" w:eastAsia="Palatino Linotype" w:hAnsi="Palatino Linotype" w:cs="Palatino Linotype"/>
          <w:i/>
        </w:rPr>
        <w:t xml:space="preserve">Para el caso de que la información que se ordena entregar relativa a los comprobantes de estudios, no obre en los archivos del Sujeto Obligado, por no haberse poseído o administrado,  por no ser un requisito para ocupar el cargo,  deberá hacerlo del conocimiento del Particular en términos del artículo 19, párrafo segundo, de la Ley de Transparencia y Acceso a la Información Pública del Estado de México y Municipios, para tenerse por colmado dicho requerimiento. </w:t>
      </w:r>
    </w:p>
    <w:p w14:paraId="64B7FD21" w14:textId="77777777" w:rsidR="002377AA" w:rsidRPr="00323D24" w:rsidRDefault="002377AA">
      <w:pPr>
        <w:pBdr>
          <w:top w:val="nil"/>
          <w:left w:val="nil"/>
          <w:bottom w:val="nil"/>
          <w:right w:val="nil"/>
          <w:between w:val="nil"/>
        </w:pBdr>
        <w:tabs>
          <w:tab w:val="left" w:pos="567"/>
          <w:tab w:val="left" w:pos="993"/>
        </w:tabs>
        <w:spacing w:after="0"/>
        <w:ind w:right="560"/>
        <w:jc w:val="both"/>
        <w:rPr>
          <w:rFonts w:ascii="Palatino Linotype" w:eastAsia="Palatino Linotype" w:hAnsi="Palatino Linotype" w:cs="Palatino Linotype"/>
          <w:b/>
          <w:i/>
        </w:rPr>
      </w:pPr>
    </w:p>
    <w:p w14:paraId="0176CED5"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Tercero.</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 xml:space="preserve">Notifíquese vía SAIMEX </w:t>
      </w:r>
      <w:r w:rsidRPr="00323D24">
        <w:rPr>
          <w:rFonts w:ascii="Palatino Linotype" w:eastAsia="Palatino Linotype" w:hAnsi="Palatino Linotype" w:cs="Palatino Linotype"/>
        </w:rPr>
        <w:t>la presente resolución al T</w:t>
      </w:r>
      <w:r w:rsidRPr="00323D24">
        <w:rPr>
          <w:rFonts w:ascii="Palatino Linotype" w:eastAsia="Palatino Linotype" w:hAnsi="Palatino Linotype" w:cs="Palatino Linotype"/>
          <w:b/>
        </w:rPr>
        <w:t xml:space="preserve">itular de la Unidad de Transparencia </w:t>
      </w:r>
      <w:r w:rsidRPr="00323D24">
        <w:rPr>
          <w:rFonts w:ascii="Palatino Linotype" w:eastAsia="Palatino Linotype" w:hAnsi="Palatino Linotype" w:cs="Palatino Linotype"/>
        </w:rPr>
        <w:t xml:space="preserve">del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5E96DD0" w14:textId="77777777" w:rsidR="002377AA" w:rsidRPr="00323D24" w:rsidRDefault="002377AA">
      <w:pPr>
        <w:spacing w:after="0" w:line="360" w:lineRule="auto"/>
        <w:ind w:right="49"/>
        <w:jc w:val="both"/>
        <w:rPr>
          <w:rFonts w:ascii="Palatino Linotype" w:eastAsia="Palatino Linotype" w:hAnsi="Palatino Linotype" w:cs="Palatino Linotype"/>
        </w:rPr>
      </w:pPr>
    </w:p>
    <w:p w14:paraId="27269364"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Cuarto.</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Notifíquese vía SAIMEX</w:t>
      </w:r>
      <w:r w:rsidRPr="00323D24">
        <w:rPr>
          <w:rFonts w:ascii="Palatino Linotype" w:eastAsia="Palatino Linotype" w:hAnsi="Palatino Linotype" w:cs="Palatino Linotype"/>
        </w:rPr>
        <w:t xml:space="preserve"> a </w:t>
      </w:r>
      <w:r w:rsidRPr="00323D24">
        <w:rPr>
          <w:rFonts w:ascii="Palatino Linotype" w:eastAsia="Palatino Linotype" w:hAnsi="Palatino Linotype" w:cs="Palatino Linotype"/>
          <w:b/>
        </w:rPr>
        <w:t>la parte</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 xml:space="preserve">Recurrente </w:t>
      </w:r>
      <w:r w:rsidRPr="00323D24">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DF12591" w14:textId="77777777" w:rsidR="002377AA" w:rsidRPr="00323D24" w:rsidRDefault="002377AA">
      <w:pPr>
        <w:spacing w:after="0" w:line="360" w:lineRule="auto"/>
        <w:ind w:right="49"/>
        <w:jc w:val="both"/>
        <w:rPr>
          <w:rFonts w:ascii="Palatino Linotype" w:eastAsia="Palatino Linotype" w:hAnsi="Palatino Linotype" w:cs="Palatino Linotype"/>
        </w:rPr>
      </w:pPr>
    </w:p>
    <w:p w14:paraId="773AF507" w14:textId="77777777" w:rsidR="002377AA" w:rsidRPr="00323D24"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b/>
        </w:rPr>
        <w:t>Quinto.</w:t>
      </w:r>
      <w:r w:rsidRPr="00323D24">
        <w:rPr>
          <w:rFonts w:ascii="Palatino Linotype" w:eastAsia="Palatino Linotype" w:hAnsi="Palatino Linotype" w:cs="Palatino Linotype"/>
        </w:rPr>
        <w:t xml:space="preserve"> </w:t>
      </w:r>
      <w:r w:rsidRPr="00323D24">
        <w:rPr>
          <w:rFonts w:ascii="Palatino Linotype" w:eastAsia="Palatino Linotype" w:hAnsi="Palatino Linotype" w:cs="Palatino Linotype"/>
          <w:b/>
        </w:rPr>
        <w:t xml:space="preserve">Notifíquese vía SAIMEX </w:t>
      </w:r>
      <w:r w:rsidRPr="00323D24">
        <w:rPr>
          <w:rFonts w:ascii="Palatino Linotype" w:eastAsia="Palatino Linotype" w:hAnsi="Palatino Linotype" w:cs="Palatino Linotype"/>
        </w:rPr>
        <w:t>la presente resolución al T</w:t>
      </w:r>
      <w:r w:rsidRPr="00323D24">
        <w:rPr>
          <w:rFonts w:ascii="Palatino Linotype" w:eastAsia="Palatino Linotype" w:hAnsi="Palatino Linotype" w:cs="Palatino Linotype"/>
          <w:b/>
        </w:rPr>
        <w:t xml:space="preserve">itular de la Unidad de Transparencia </w:t>
      </w:r>
      <w:r w:rsidRPr="00323D24">
        <w:rPr>
          <w:rFonts w:ascii="Palatino Linotype" w:eastAsia="Palatino Linotype" w:hAnsi="Palatino Linotype" w:cs="Palatino Linotype"/>
        </w:rPr>
        <w:t xml:space="preserve">del </w:t>
      </w:r>
      <w:r w:rsidRPr="00323D24">
        <w:rPr>
          <w:rFonts w:ascii="Palatino Linotype" w:eastAsia="Palatino Linotype" w:hAnsi="Palatino Linotype" w:cs="Palatino Linotype"/>
          <w:b/>
        </w:rPr>
        <w:t>Sujeto Obligado</w:t>
      </w:r>
      <w:r w:rsidRPr="00323D24">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BD70714" w14:textId="77777777" w:rsidR="002377AA" w:rsidRPr="00323D24" w:rsidRDefault="002377AA">
      <w:pPr>
        <w:spacing w:after="0" w:line="360" w:lineRule="auto"/>
        <w:ind w:right="49"/>
        <w:jc w:val="both"/>
        <w:rPr>
          <w:rFonts w:ascii="Palatino Linotype" w:eastAsia="Palatino Linotype" w:hAnsi="Palatino Linotype" w:cs="Palatino Linotype"/>
        </w:rPr>
      </w:pPr>
    </w:p>
    <w:p w14:paraId="733755B7" w14:textId="77777777" w:rsidR="002377AA" w:rsidRPr="00DB443E" w:rsidRDefault="0046054B">
      <w:pPr>
        <w:spacing w:after="0" w:line="360" w:lineRule="auto"/>
        <w:ind w:right="49"/>
        <w:jc w:val="both"/>
        <w:rPr>
          <w:rFonts w:ascii="Palatino Linotype" w:eastAsia="Palatino Linotype" w:hAnsi="Palatino Linotype" w:cs="Palatino Linotype"/>
        </w:rPr>
      </w:pPr>
      <w:r w:rsidRPr="00323D2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EMITIENDO VOTO PARTICULAR MARÍA DEL ROSARIO MEJÍA AYALA EMITIENDO VOTO PARTICULAR, SHARON CRISTINA MORALES MARTÍNEZ, LUIS GUSTAVO PARRA NORIEGA, EMITIENDO VOTO PARTICULAR Y GUADALUPE RAMÍREZ PEÑA, EMITIENDO VOTO PARTICULAR; EN LA TRIGÉSIMA SÉPTIMA SESIÓN ORDINARIA CELEBRADA EL QUINCE DE OCTUBRE DE DOS MIL VEINTICINCO, ANTE EL SECRETARIO TÉCNICO DEL PLENO ALEXIS TAPIA RAMÍREZ.</w:t>
      </w:r>
      <w:r w:rsidRPr="00DB443E">
        <w:rPr>
          <w:rFonts w:ascii="Palatino Linotype" w:eastAsia="Palatino Linotype" w:hAnsi="Palatino Linotype" w:cs="Palatino Linotype"/>
        </w:rPr>
        <w:t xml:space="preserve"> </w:t>
      </w:r>
    </w:p>
    <w:p w14:paraId="2CE04A50" w14:textId="77777777" w:rsidR="002377AA" w:rsidRPr="00DB443E" w:rsidRDefault="002377AA">
      <w:pPr>
        <w:spacing w:after="0" w:line="360" w:lineRule="auto"/>
        <w:ind w:right="49"/>
        <w:jc w:val="both"/>
        <w:rPr>
          <w:rFonts w:ascii="Palatino Linotype" w:eastAsia="Palatino Linotype" w:hAnsi="Palatino Linotype" w:cs="Palatino Linotype"/>
        </w:rPr>
      </w:pPr>
    </w:p>
    <w:p w14:paraId="338FAA37" w14:textId="77777777" w:rsidR="002377AA" w:rsidRPr="00DB443E" w:rsidRDefault="002377AA">
      <w:pPr>
        <w:spacing w:after="0" w:line="360" w:lineRule="auto"/>
        <w:ind w:right="49"/>
        <w:jc w:val="both"/>
        <w:rPr>
          <w:rFonts w:ascii="Palatino Linotype" w:eastAsia="Palatino Linotype" w:hAnsi="Palatino Linotype" w:cs="Palatino Linotype"/>
        </w:rPr>
      </w:pPr>
      <w:bookmarkStart w:id="5" w:name="_heading=h.2et92p0" w:colFirst="0" w:colLast="0"/>
      <w:bookmarkEnd w:id="5"/>
    </w:p>
    <w:p w14:paraId="2981E0F0" w14:textId="77777777" w:rsidR="002377AA" w:rsidRPr="00DB443E" w:rsidRDefault="002377AA">
      <w:pPr>
        <w:spacing w:after="0" w:line="360" w:lineRule="auto"/>
        <w:ind w:right="49"/>
        <w:jc w:val="both"/>
        <w:rPr>
          <w:rFonts w:ascii="Palatino Linotype" w:eastAsia="Palatino Linotype" w:hAnsi="Palatino Linotype" w:cs="Palatino Linotype"/>
        </w:rPr>
      </w:pPr>
    </w:p>
    <w:p w14:paraId="769F32AC" w14:textId="77777777" w:rsidR="002377AA" w:rsidRPr="00DB443E" w:rsidRDefault="002377AA">
      <w:pPr>
        <w:spacing w:after="0" w:line="360" w:lineRule="auto"/>
        <w:ind w:right="49"/>
        <w:jc w:val="both"/>
        <w:rPr>
          <w:rFonts w:ascii="Palatino Linotype" w:eastAsia="Palatino Linotype" w:hAnsi="Palatino Linotype" w:cs="Palatino Linotype"/>
        </w:rPr>
      </w:pPr>
    </w:p>
    <w:p w14:paraId="5467E85E" w14:textId="77777777" w:rsidR="002377AA" w:rsidRPr="00DB443E" w:rsidRDefault="002377AA">
      <w:pPr>
        <w:spacing w:after="0" w:line="360" w:lineRule="auto"/>
        <w:ind w:right="49"/>
        <w:jc w:val="both"/>
        <w:rPr>
          <w:rFonts w:ascii="Palatino Linotype" w:eastAsia="Palatino Linotype" w:hAnsi="Palatino Linotype" w:cs="Palatino Linotype"/>
        </w:rPr>
      </w:pPr>
    </w:p>
    <w:p w14:paraId="314A4FF7" w14:textId="77777777" w:rsidR="002377AA" w:rsidRPr="00DB443E" w:rsidRDefault="002377AA">
      <w:pPr>
        <w:spacing w:after="0" w:line="360" w:lineRule="auto"/>
        <w:ind w:right="49"/>
        <w:jc w:val="both"/>
        <w:rPr>
          <w:rFonts w:ascii="Palatino Linotype" w:eastAsia="Palatino Linotype" w:hAnsi="Palatino Linotype" w:cs="Palatino Linotype"/>
        </w:rPr>
      </w:pPr>
    </w:p>
    <w:p w14:paraId="0AEA8D34" w14:textId="77777777" w:rsidR="002377AA" w:rsidRPr="00DB443E" w:rsidRDefault="002377AA">
      <w:pPr>
        <w:spacing w:after="0" w:line="360" w:lineRule="auto"/>
        <w:ind w:right="49"/>
        <w:jc w:val="both"/>
        <w:rPr>
          <w:rFonts w:ascii="Palatino Linotype" w:eastAsia="Palatino Linotype" w:hAnsi="Palatino Linotype" w:cs="Palatino Linotype"/>
        </w:rPr>
      </w:pPr>
    </w:p>
    <w:p w14:paraId="6337A887" w14:textId="77777777" w:rsidR="002377AA" w:rsidRPr="00DB443E" w:rsidRDefault="002377AA">
      <w:pPr>
        <w:spacing w:after="0" w:line="360" w:lineRule="auto"/>
        <w:ind w:right="49"/>
        <w:jc w:val="both"/>
        <w:rPr>
          <w:rFonts w:ascii="Palatino Linotype" w:eastAsia="Palatino Linotype" w:hAnsi="Palatino Linotype" w:cs="Palatino Linotype"/>
        </w:rPr>
      </w:pPr>
    </w:p>
    <w:p w14:paraId="69493C6D" w14:textId="77777777" w:rsidR="002377AA" w:rsidRPr="00DB443E" w:rsidRDefault="002377AA">
      <w:pPr>
        <w:spacing w:after="0" w:line="360" w:lineRule="auto"/>
        <w:ind w:right="49"/>
        <w:jc w:val="both"/>
        <w:rPr>
          <w:rFonts w:ascii="Palatino Linotype" w:eastAsia="Palatino Linotype" w:hAnsi="Palatino Linotype" w:cs="Palatino Linotype"/>
        </w:rPr>
      </w:pPr>
    </w:p>
    <w:p w14:paraId="39A00554" w14:textId="77777777" w:rsidR="002377AA" w:rsidRPr="00DB443E" w:rsidRDefault="002377AA">
      <w:pPr>
        <w:spacing w:after="0" w:line="360" w:lineRule="auto"/>
        <w:ind w:right="49"/>
        <w:jc w:val="both"/>
        <w:rPr>
          <w:rFonts w:ascii="Palatino Linotype" w:eastAsia="Palatino Linotype" w:hAnsi="Palatino Linotype" w:cs="Palatino Linotype"/>
        </w:rPr>
      </w:pPr>
    </w:p>
    <w:p w14:paraId="4AF9384A" w14:textId="77777777" w:rsidR="002377AA" w:rsidRPr="00DB443E" w:rsidRDefault="002377AA">
      <w:pPr>
        <w:spacing w:after="0" w:line="360" w:lineRule="auto"/>
        <w:ind w:right="49"/>
        <w:jc w:val="both"/>
        <w:rPr>
          <w:rFonts w:ascii="Palatino Linotype" w:eastAsia="Palatino Linotype" w:hAnsi="Palatino Linotype" w:cs="Palatino Linotype"/>
        </w:rPr>
      </w:pPr>
    </w:p>
    <w:p w14:paraId="55F14161" w14:textId="77777777" w:rsidR="002377AA" w:rsidRPr="00DB443E" w:rsidRDefault="002377AA">
      <w:pPr>
        <w:spacing w:after="0" w:line="360" w:lineRule="auto"/>
        <w:ind w:right="49"/>
        <w:jc w:val="both"/>
        <w:rPr>
          <w:rFonts w:ascii="Palatino Linotype" w:eastAsia="Palatino Linotype" w:hAnsi="Palatino Linotype" w:cs="Palatino Linotype"/>
        </w:rPr>
      </w:pPr>
    </w:p>
    <w:p w14:paraId="2365FF8E" w14:textId="77777777" w:rsidR="002377AA" w:rsidRPr="00DB443E" w:rsidRDefault="002377AA">
      <w:pPr>
        <w:spacing w:after="0" w:line="360" w:lineRule="auto"/>
        <w:ind w:right="49"/>
        <w:jc w:val="both"/>
        <w:rPr>
          <w:rFonts w:ascii="Palatino Linotype" w:eastAsia="Palatino Linotype" w:hAnsi="Palatino Linotype" w:cs="Palatino Linotype"/>
        </w:rPr>
      </w:pPr>
    </w:p>
    <w:p w14:paraId="1B09B1D8" w14:textId="77777777" w:rsidR="002377AA" w:rsidRPr="00DB443E" w:rsidRDefault="002377AA">
      <w:pPr>
        <w:spacing w:after="0" w:line="360" w:lineRule="auto"/>
        <w:ind w:right="49"/>
        <w:jc w:val="both"/>
        <w:rPr>
          <w:rFonts w:ascii="Palatino Linotype" w:eastAsia="Palatino Linotype" w:hAnsi="Palatino Linotype" w:cs="Palatino Linotype"/>
        </w:rPr>
      </w:pPr>
    </w:p>
    <w:p w14:paraId="5DF87B57" w14:textId="77777777" w:rsidR="002377AA" w:rsidRPr="00DB443E" w:rsidRDefault="002377AA">
      <w:pPr>
        <w:spacing w:after="0" w:line="360" w:lineRule="auto"/>
        <w:ind w:right="49"/>
        <w:jc w:val="both"/>
        <w:rPr>
          <w:rFonts w:ascii="Palatino Linotype" w:eastAsia="Palatino Linotype" w:hAnsi="Palatino Linotype" w:cs="Palatino Linotype"/>
        </w:rPr>
      </w:pPr>
    </w:p>
    <w:p w14:paraId="20A0AA93" w14:textId="77777777" w:rsidR="002377AA" w:rsidRPr="00DB443E" w:rsidRDefault="002377AA">
      <w:pPr>
        <w:spacing w:after="0" w:line="360" w:lineRule="auto"/>
        <w:ind w:right="49"/>
        <w:jc w:val="both"/>
        <w:rPr>
          <w:rFonts w:ascii="Palatino Linotype" w:eastAsia="Palatino Linotype" w:hAnsi="Palatino Linotype" w:cs="Palatino Linotype"/>
        </w:rPr>
      </w:pPr>
    </w:p>
    <w:p w14:paraId="4EBC8771" w14:textId="77777777" w:rsidR="002377AA" w:rsidRPr="00DB443E" w:rsidRDefault="002377AA">
      <w:pPr>
        <w:spacing w:after="0" w:line="360" w:lineRule="auto"/>
        <w:ind w:right="49"/>
        <w:jc w:val="both"/>
        <w:rPr>
          <w:rFonts w:ascii="Palatino Linotype" w:eastAsia="Palatino Linotype" w:hAnsi="Palatino Linotype" w:cs="Palatino Linotype"/>
        </w:rPr>
      </w:pPr>
    </w:p>
    <w:p w14:paraId="31A4E32D" w14:textId="77777777" w:rsidR="002377AA" w:rsidRPr="00DB443E" w:rsidRDefault="002377AA">
      <w:pPr>
        <w:spacing w:after="0" w:line="360" w:lineRule="auto"/>
        <w:ind w:right="49"/>
        <w:jc w:val="both"/>
        <w:rPr>
          <w:rFonts w:ascii="Palatino Linotype" w:eastAsia="Palatino Linotype" w:hAnsi="Palatino Linotype" w:cs="Palatino Linotype"/>
        </w:rPr>
      </w:pPr>
    </w:p>
    <w:p w14:paraId="1DAC091F" w14:textId="77777777" w:rsidR="002377AA" w:rsidRPr="00DB443E" w:rsidRDefault="002377AA">
      <w:pPr>
        <w:spacing w:after="0" w:line="360" w:lineRule="auto"/>
        <w:ind w:right="49"/>
        <w:jc w:val="both"/>
        <w:rPr>
          <w:rFonts w:ascii="Palatino Linotype" w:eastAsia="Palatino Linotype" w:hAnsi="Palatino Linotype" w:cs="Palatino Linotype"/>
        </w:rPr>
      </w:pPr>
    </w:p>
    <w:p w14:paraId="6BE6A095" w14:textId="77777777" w:rsidR="002377AA" w:rsidRPr="00DB443E" w:rsidRDefault="002377AA">
      <w:pPr>
        <w:spacing w:after="0" w:line="360" w:lineRule="auto"/>
        <w:ind w:right="49"/>
        <w:jc w:val="both"/>
        <w:rPr>
          <w:rFonts w:ascii="Palatino Linotype" w:eastAsia="Palatino Linotype" w:hAnsi="Palatino Linotype" w:cs="Palatino Linotype"/>
        </w:rPr>
      </w:pPr>
    </w:p>
    <w:p w14:paraId="09AB686C" w14:textId="77777777" w:rsidR="002377AA" w:rsidRPr="00DB443E" w:rsidRDefault="002377AA">
      <w:pPr>
        <w:spacing w:after="0" w:line="360" w:lineRule="auto"/>
        <w:ind w:right="49"/>
        <w:jc w:val="both"/>
        <w:rPr>
          <w:rFonts w:ascii="Palatino Linotype" w:eastAsia="Palatino Linotype" w:hAnsi="Palatino Linotype" w:cs="Palatino Linotype"/>
        </w:rPr>
      </w:pPr>
    </w:p>
    <w:p w14:paraId="0FD1A71E" w14:textId="77777777" w:rsidR="002377AA" w:rsidRPr="00DB443E" w:rsidRDefault="002377AA">
      <w:pPr>
        <w:spacing w:after="0" w:line="360" w:lineRule="auto"/>
        <w:ind w:right="49"/>
        <w:jc w:val="both"/>
        <w:rPr>
          <w:rFonts w:ascii="Palatino Linotype" w:eastAsia="Palatino Linotype" w:hAnsi="Palatino Linotype" w:cs="Palatino Linotype"/>
        </w:rPr>
      </w:pPr>
    </w:p>
    <w:p w14:paraId="7904DFFE" w14:textId="77777777" w:rsidR="002377AA" w:rsidRPr="00DB443E" w:rsidRDefault="002377AA">
      <w:pPr>
        <w:spacing w:after="0" w:line="360" w:lineRule="auto"/>
        <w:ind w:right="49"/>
        <w:jc w:val="both"/>
        <w:rPr>
          <w:rFonts w:ascii="Palatino Linotype" w:eastAsia="Palatino Linotype" w:hAnsi="Palatino Linotype" w:cs="Palatino Linotype"/>
        </w:rPr>
      </w:pPr>
    </w:p>
    <w:p w14:paraId="4B121905" w14:textId="77777777" w:rsidR="002377AA" w:rsidRPr="00DB443E" w:rsidRDefault="002377AA">
      <w:pPr>
        <w:spacing w:after="0" w:line="360" w:lineRule="auto"/>
        <w:ind w:right="49"/>
        <w:jc w:val="both"/>
        <w:rPr>
          <w:rFonts w:ascii="Palatino Linotype" w:eastAsia="Palatino Linotype" w:hAnsi="Palatino Linotype" w:cs="Palatino Linotype"/>
        </w:rPr>
      </w:pPr>
    </w:p>
    <w:p w14:paraId="1056B780" w14:textId="77777777" w:rsidR="002377AA" w:rsidRPr="00DB443E" w:rsidRDefault="002377AA">
      <w:pPr>
        <w:spacing w:after="0" w:line="360" w:lineRule="auto"/>
        <w:ind w:right="49"/>
        <w:jc w:val="both"/>
        <w:rPr>
          <w:rFonts w:ascii="Palatino Linotype" w:eastAsia="Palatino Linotype" w:hAnsi="Palatino Linotype" w:cs="Palatino Linotype"/>
        </w:rPr>
      </w:pPr>
    </w:p>
    <w:p w14:paraId="69CA6571" w14:textId="77777777" w:rsidR="002377AA" w:rsidRPr="00DB443E" w:rsidRDefault="002377AA">
      <w:pPr>
        <w:spacing w:after="0" w:line="360" w:lineRule="auto"/>
        <w:ind w:right="49"/>
        <w:jc w:val="both"/>
        <w:rPr>
          <w:rFonts w:ascii="Palatino Linotype" w:eastAsia="Palatino Linotype" w:hAnsi="Palatino Linotype" w:cs="Palatino Linotype"/>
        </w:rPr>
      </w:pPr>
    </w:p>
    <w:p w14:paraId="14A285E2" w14:textId="77777777" w:rsidR="002377AA" w:rsidRPr="00DB443E" w:rsidRDefault="002377AA">
      <w:pPr>
        <w:spacing w:after="0" w:line="360" w:lineRule="auto"/>
        <w:ind w:right="49"/>
        <w:jc w:val="both"/>
        <w:rPr>
          <w:rFonts w:ascii="Palatino Linotype" w:eastAsia="Palatino Linotype" w:hAnsi="Palatino Linotype" w:cs="Palatino Linotype"/>
        </w:rPr>
      </w:pPr>
    </w:p>
    <w:p w14:paraId="39F6DCCF" w14:textId="77777777" w:rsidR="002377AA" w:rsidRPr="00DB443E" w:rsidRDefault="002377AA">
      <w:pPr>
        <w:spacing w:after="0" w:line="360" w:lineRule="auto"/>
        <w:ind w:right="49"/>
        <w:jc w:val="both"/>
        <w:rPr>
          <w:rFonts w:ascii="Palatino Linotype" w:eastAsia="Palatino Linotype" w:hAnsi="Palatino Linotype" w:cs="Palatino Linotype"/>
        </w:rPr>
      </w:pPr>
    </w:p>
    <w:p w14:paraId="4E81C365" w14:textId="77777777" w:rsidR="002377AA" w:rsidRPr="00DB443E" w:rsidRDefault="002377AA">
      <w:pPr>
        <w:spacing w:after="0" w:line="360" w:lineRule="auto"/>
        <w:ind w:right="49"/>
        <w:jc w:val="both"/>
        <w:rPr>
          <w:rFonts w:ascii="Palatino Linotype" w:eastAsia="Palatino Linotype" w:hAnsi="Palatino Linotype" w:cs="Palatino Linotype"/>
        </w:rPr>
      </w:pPr>
    </w:p>
    <w:p w14:paraId="6331DD7E" w14:textId="77777777" w:rsidR="002377AA" w:rsidRPr="00DB443E" w:rsidRDefault="002377AA">
      <w:pPr>
        <w:spacing w:after="0" w:line="360" w:lineRule="auto"/>
        <w:ind w:right="49"/>
        <w:jc w:val="both"/>
        <w:rPr>
          <w:rFonts w:ascii="Palatino Linotype" w:eastAsia="Palatino Linotype" w:hAnsi="Palatino Linotype" w:cs="Palatino Linotype"/>
        </w:rPr>
      </w:pPr>
    </w:p>
    <w:sectPr w:rsidR="002377AA" w:rsidRPr="00DB443E">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CC2AE" w14:textId="77777777" w:rsidR="00A34834" w:rsidRDefault="00A34834">
      <w:pPr>
        <w:spacing w:after="0" w:line="240" w:lineRule="auto"/>
      </w:pPr>
      <w:r>
        <w:separator/>
      </w:r>
    </w:p>
  </w:endnote>
  <w:endnote w:type="continuationSeparator" w:id="0">
    <w:p w14:paraId="216503F1" w14:textId="77777777" w:rsidR="00A34834" w:rsidRDefault="00A3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0702" w14:textId="57609E4C" w:rsidR="002377AA" w:rsidRDefault="004605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6533">
      <w:rPr>
        <w:b/>
        <w:noProof/>
        <w:color w:val="000000"/>
        <w:sz w:val="24"/>
        <w:szCs w:val="24"/>
      </w:rPr>
      <w:t>42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6533">
      <w:rPr>
        <w:b/>
        <w:noProof/>
        <w:color w:val="000000"/>
        <w:sz w:val="24"/>
        <w:szCs w:val="24"/>
      </w:rPr>
      <w:t>43</w:t>
    </w:r>
    <w:r>
      <w:rPr>
        <w:b/>
        <w:color w:val="000000"/>
        <w:sz w:val="24"/>
        <w:szCs w:val="24"/>
      </w:rPr>
      <w:fldChar w:fldCharType="end"/>
    </w:r>
  </w:p>
  <w:p w14:paraId="6705C5DE" w14:textId="77777777" w:rsidR="002377AA" w:rsidRDefault="002377AA">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CFCE" w14:textId="478A78E8" w:rsidR="002377AA" w:rsidRDefault="0046054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4653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46533">
      <w:rPr>
        <w:b/>
        <w:noProof/>
        <w:color w:val="000000"/>
        <w:sz w:val="24"/>
        <w:szCs w:val="24"/>
      </w:rPr>
      <w:t>44</w:t>
    </w:r>
    <w:r>
      <w:rPr>
        <w:b/>
        <w:color w:val="000000"/>
        <w:sz w:val="24"/>
        <w:szCs w:val="24"/>
      </w:rPr>
      <w:fldChar w:fldCharType="end"/>
    </w:r>
  </w:p>
  <w:p w14:paraId="0F35DCD8" w14:textId="77777777" w:rsidR="002377AA" w:rsidRDefault="002377A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97E29" w14:textId="77777777" w:rsidR="00A34834" w:rsidRDefault="00A34834">
      <w:pPr>
        <w:spacing w:after="0" w:line="240" w:lineRule="auto"/>
      </w:pPr>
      <w:r>
        <w:separator/>
      </w:r>
    </w:p>
  </w:footnote>
  <w:footnote w:type="continuationSeparator" w:id="0">
    <w:p w14:paraId="6107A823" w14:textId="77777777" w:rsidR="00A34834" w:rsidRDefault="00A3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994F" w14:textId="77777777" w:rsidR="002377AA" w:rsidRDefault="0046054B">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0EAF5D6" wp14:editId="20E5BEE1">
          <wp:simplePos x="0" y="0"/>
          <wp:positionH relativeFrom="column">
            <wp:posOffset>-716276</wp:posOffset>
          </wp:positionH>
          <wp:positionV relativeFrom="paragraph">
            <wp:posOffset>-401951</wp:posOffset>
          </wp:positionV>
          <wp:extent cx="7809876" cy="10165823"/>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8"/>
      <w:tblW w:w="5603" w:type="dxa"/>
      <w:tblInd w:w="3611" w:type="dxa"/>
      <w:tblLayout w:type="fixed"/>
      <w:tblLook w:val="0400" w:firstRow="0" w:lastRow="0" w:firstColumn="0" w:lastColumn="0" w:noHBand="0" w:noVBand="1"/>
    </w:tblPr>
    <w:tblGrid>
      <w:gridCol w:w="2551"/>
      <w:gridCol w:w="3052"/>
    </w:tblGrid>
    <w:tr w:rsidR="002377AA" w14:paraId="0F31129A" w14:textId="77777777">
      <w:tc>
        <w:tcPr>
          <w:tcW w:w="2551" w:type="dxa"/>
          <w:vAlign w:val="center"/>
        </w:tcPr>
        <w:p w14:paraId="064A6370"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ED57D33"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05794/INFOEM/IP/RR/2025</w:t>
          </w:r>
        </w:p>
      </w:tc>
    </w:tr>
    <w:tr w:rsidR="002377AA" w14:paraId="0F9D705B" w14:textId="77777777">
      <w:trPr>
        <w:trHeight w:val="217"/>
      </w:trPr>
      <w:tc>
        <w:tcPr>
          <w:tcW w:w="2551" w:type="dxa"/>
          <w:vAlign w:val="center"/>
        </w:tcPr>
        <w:p w14:paraId="68A36832"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FE14697" w14:textId="77777777" w:rsidR="002377AA" w:rsidRDefault="002377A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605DF56E" w14:textId="77777777" w:rsidR="002377AA" w:rsidRDefault="0046054B">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Valle de Chalco Solidaridad</w:t>
          </w:r>
        </w:p>
      </w:tc>
    </w:tr>
    <w:tr w:rsidR="002377AA" w14:paraId="1BADEAC0" w14:textId="77777777">
      <w:tc>
        <w:tcPr>
          <w:tcW w:w="2551" w:type="dxa"/>
          <w:vAlign w:val="center"/>
        </w:tcPr>
        <w:p w14:paraId="25EBFC0C"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931198B"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A1387E3" w14:textId="77777777" w:rsidR="002377AA" w:rsidRDefault="002377AA">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DCD4" w14:textId="77777777" w:rsidR="002377AA" w:rsidRDefault="0046054B">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72576" behindDoc="1" locked="0" layoutInCell="1" hidden="0" allowOverlap="1" wp14:anchorId="28D887B2" wp14:editId="2D369183">
          <wp:simplePos x="0" y="0"/>
          <wp:positionH relativeFrom="column">
            <wp:posOffset>-692147</wp:posOffset>
          </wp:positionH>
          <wp:positionV relativeFrom="paragraph">
            <wp:posOffset>-248281</wp:posOffset>
          </wp:positionV>
          <wp:extent cx="7809865" cy="10165715"/>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9"/>
      <w:tblW w:w="5603" w:type="dxa"/>
      <w:tblInd w:w="3611" w:type="dxa"/>
      <w:tblLayout w:type="fixed"/>
      <w:tblLook w:val="0400" w:firstRow="0" w:lastRow="0" w:firstColumn="0" w:lastColumn="0" w:noHBand="0" w:noVBand="1"/>
    </w:tblPr>
    <w:tblGrid>
      <w:gridCol w:w="2551"/>
      <w:gridCol w:w="3052"/>
    </w:tblGrid>
    <w:tr w:rsidR="002377AA" w14:paraId="1F1B3680" w14:textId="77777777">
      <w:tc>
        <w:tcPr>
          <w:tcW w:w="2551" w:type="dxa"/>
          <w:vAlign w:val="center"/>
        </w:tcPr>
        <w:p w14:paraId="4CDBB62A"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3E83A8F"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05794/INFOEM/IP/RR/2025</w:t>
          </w:r>
        </w:p>
      </w:tc>
    </w:tr>
    <w:tr w:rsidR="002377AA" w14:paraId="37F23D31" w14:textId="77777777">
      <w:tc>
        <w:tcPr>
          <w:tcW w:w="2551" w:type="dxa"/>
          <w:vAlign w:val="center"/>
        </w:tcPr>
        <w:p w14:paraId="720688F7"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7FC15BF8" w14:textId="72E07693" w:rsidR="002377AA" w:rsidRDefault="00446533" w:rsidP="00446533">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 XXX XXXXX XXXXXX </w:t>
          </w:r>
        </w:p>
      </w:tc>
    </w:tr>
    <w:tr w:rsidR="002377AA" w14:paraId="0D9AB923" w14:textId="77777777">
      <w:trPr>
        <w:trHeight w:val="152"/>
      </w:trPr>
      <w:tc>
        <w:tcPr>
          <w:tcW w:w="2551" w:type="dxa"/>
          <w:vAlign w:val="center"/>
        </w:tcPr>
        <w:p w14:paraId="632263A1" w14:textId="77777777" w:rsidR="002377AA" w:rsidRDefault="0046054B">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95507BB" w14:textId="77777777" w:rsidR="002377AA" w:rsidRDefault="002377AA">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0E166E86" w14:textId="77777777" w:rsidR="002377AA" w:rsidRDefault="0046054B">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Valle de Chalco Solidaridad</w:t>
          </w:r>
        </w:p>
      </w:tc>
    </w:tr>
    <w:tr w:rsidR="002377AA" w14:paraId="3CC134CC" w14:textId="77777777">
      <w:tc>
        <w:tcPr>
          <w:tcW w:w="2551" w:type="dxa"/>
          <w:vAlign w:val="center"/>
        </w:tcPr>
        <w:p w14:paraId="03BD3EDF"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21AB9C" w14:textId="77777777" w:rsidR="002377AA" w:rsidRDefault="0046054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1347A1" w14:textId="77777777" w:rsidR="002377AA" w:rsidRDefault="0046054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E58"/>
    <w:multiLevelType w:val="multilevel"/>
    <w:tmpl w:val="7CEC0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F3898"/>
    <w:multiLevelType w:val="multilevel"/>
    <w:tmpl w:val="BF747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F303EB"/>
    <w:multiLevelType w:val="multilevel"/>
    <w:tmpl w:val="1A2EB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E411C0"/>
    <w:multiLevelType w:val="multilevel"/>
    <w:tmpl w:val="6A720BB8"/>
    <w:lvl w:ilvl="0">
      <w:start w:val="7"/>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0B67B3"/>
    <w:multiLevelType w:val="multilevel"/>
    <w:tmpl w:val="2548ABC6"/>
    <w:lvl w:ilvl="0">
      <w:start w:val="1"/>
      <w:numFmt w:val="bullet"/>
      <w:lvlText w:val="-"/>
      <w:lvlJc w:val="left"/>
      <w:pPr>
        <w:ind w:left="720" w:hanging="360"/>
      </w:pPr>
      <w:rPr>
        <w:rFonts w:ascii="Palatino Linotype" w:eastAsia="Palatino Linotype" w:hAnsi="Palatino Linotype" w:cs="Palatino Linotype"/>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6A7C0E"/>
    <w:multiLevelType w:val="multilevel"/>
    <w:tmpl w:val="FA46D63A"/>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20357B"/>
    <w:multiLevelType w:val="multilevel"/>
    <w:tmpl w:val="D9B48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5106F0"/>
    <w:multiLevelType w:val="multilevel"/>
    <w:tmpl w:val="87E4C67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754D47"/>
    <w:multiLevelType w:val="multilevel"/>
    <w:tmpl w:val="A3B28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4B3B33"/>
    <w:multiLevelType w:val="multilevel"/>
    <w:tmpl w:val="A92C7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EE795E"/>
    <w:multiLevelType w:val="multilevel"/>
    <w:tmpl w:val="B4B29EA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E16E93"/>
    <w:multiLevelType w:val="multilevel"/>
    <w:tmpl w:val="BF522D1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CF471F9"/>
    <w:multiLevelType w:val="multilevel"/>
    <w:tmpl w:val="5FA4A4D4"/>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8"/>
  </w:num>
  <w:num w:numId="3">
    <w:abstractNumId w:val="7"/>
  </w:num>
  <w:num w:numId="4">
    <w:abstractNumId w:val="2"/>
  </w:num>
  <w:num w:numId="5">
    <w:abstractNumId w:val="11"/>
  </w:num>
  <w:num w:numId="6">
    <w:abstractNumId w:val="6"/>
  </w:num>
  <w:num w:numId="7">
    <w:abstractNumId w:val="0"/>
  </w:num>
  <w:num w:numId="8">
    <w:abstractNumId w:val="4"/>
  </w:num>
  <w:num w:numId="9">
    <w:abstractNumId w:val="12"/>
  </w:num>
  <w:num w:numId="10">
    <w:abstractNumId w:val="3"/>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7AA"/>
    <w:rsid w:val="002377AA"/>
    <w:rsid w:val="00323D24"/>
    <w:rsid w:val="003F60A4"/>
    <w:rsid w:val="00446533"/>
    <w:rsid w:val="0046054B"/>
    <w:rsid w:val="00A24ACE"/>
    <w:rsid w:val="00A34834"/>
    <w:rsid w:val="00DB4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6680"/>
  <w15:docId w15:val="{F5233998-4526-47B6-9E2C-8855BE39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4"/>
    <w:pPr>
      <w:spacing w:after="0" w:line="240" w:lineRule="auto"/>
    </w:pPr>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top w:w="15" w:type="dxa"/>
        <w:left w:w="115" w:type="dxa"/>
        <w:bottom w:w="15" w:type="dxa"/>
        <w:right w:w="115" w:type="dxa"/>
      </w:tblCellMar>
    </w:tblPr>
  </w:style>
  <w:style w:type="table" w:customStyle="1" w:styleId="a1">
    <w:basedOn w:val="TableNormal4"/>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3"/>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3"/>
    <w:pPr>
      <w:spacing w:after="0" w:line="240" w:lineRule="auto"/>
    </w:pPr>
    <w:tblPr>
      <w:tblStyleRowBandSize w:val="1"/>
      <w:tblStyleColBandSize w:val="1"/>
      <w:tblCellMar>
        <w:top w:w="15" w:type="dxa"/>
        <w:left w:w="115" w:type="dxa"/>
        <w:bottom w:w="15" w:type="dxa"/>
        <w:right w:w="115" w:type="dxa"/>
      </w:tblCellMar>
    </w:tblPr>
  </w:style>
  <w:style w:type="character" w:customStyle="1" w:styleId="apple-tab-span">
    <w:name w:val="apple-tab-span"/>
    <w:basedOn w:val="Fuentedeprrafopredeter"/>
    <w:rsid w:val="003D3C1C"/>
  </w:style>
  <w:style w:type="table" w:customStyle="1" w:styleId="a4">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5">
    <w:basedOn w:val="TableNormal2"/>
    <w:pPr>
      <w:spacing w:after="0" w:line="240" w:lineRule="auto"/>
    </w:pPr>
    <w:tblPr>
      <w:tblStyleRowBandSize w:val="1"/>
      <w:tblStyleColBandSize w:val="1"/>
      <w:tblCellMar>
        <w:top w:w="15" w:type="dxa"/>
        <w:left w:w="115" w:type="dxa"/>
        <w:bottom w:w="15" w:type="dxa"/>
        <w:right w:w="115" w:type="dxa"/>
      </w:tblCellMar>
    </w:tblPr>
  </w:style>
  <w:style w:type="table" w:customStyle="1" w:styleId="a6">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1"/>
    <w:pPr>
      <w:spacing w:after="0" w:line="240" w:lineRule="auto"/>
    </w:pPr>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tucedula.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MFcL9AyMogKcSCjXZHSSb71Hg==">CgMxLjAyCWguM3pueXNoNzIJaC4zMGowemxsMg5oLmxoMXdwOTZyMTd6YjIOaC4yb3BlOWgxdnJiZzUyCWguMmV0OTJwMDgAciExWXVOd0h0b0lyUk41SXJXaHdnVk5INU1YR2tCQlV6LVY=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11555</Words>
  <Characters>63555</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2025-10-17T00:34:00Z</cp:lastPrinted>
  <dcterms:created xsi:type="dcterms:W3CDTF">2025-11-13T18:45:00Z</dcterms:created>
  <dcterms:modified xsi:type="dcterms:W3CDTF">2025-11-13T18:45:00Z</dcterms:modified>
</cp:coreProperties>
</file>