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B829C"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98792C">
        <w:rPr>
          <w:rFonts w:ascii="Palatino Linotype" w:eastAsia="Palatino Linotype" w:hAnsi="Palatino Linotype" w:cs="Palatino Linotype"/>
          <w:b/>
          <w:sz w:val="22"/>
          <w:szCs w:val="22"/>
        </w:rPr>
        <w:t>dieciocho de junio del dos mil veinticinco</w:t>
      </w:r>
      <w:r w:rsidRPr="0098792C">
        <w:rPr>
          <w:rFonts w:ascii="Palatino Linotype" w:eastAsia="Palatino Linotype" w:hAnsi="Palatino Linotype" w:cs="Palatino Linotype"/>
          <w:sz w:val="22"/>
          <w:szCs w:val="22"/>
        </w:rPr>
        <w:t xml:space="preserve">. </w:t>
      </w:r>
    </w:p>
    <w:p w14:paraId="7CDE7EFF" w14:textId="160DC3CE" w:rsidR="00C55892" w:rsidRPr="0098792C" w:rsidRDefault="00297FA7">
      <w:pPr>
        <w:tabs>
          <w:tab w:val="left" w:pos="5812"/>
        </w:tabs>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Visto</w:t>
      </w:r>
      <w:r w:rsidRPr="0098792C">
        <w:rPr>
          <w:rFonts w:ascii="Palatino Linotype" w:eastAsia="Palatino Linotype" w:hAnsi="Palatino Linotype" w:cs="Palatino Linotype"/>
          <w:sz w:val="22"/>
          <w:szCs w:val="22"/>
        </w:rPr>
        <w:t xml:space="preserve"> el expediente formado con motivo del recurso de revisión </w:t>
      </w:r>
      <w:r w:rsidRPr="0098792C">
        <w:rPr>
          <w:rFonts w:ascii="Palatino Linotype" w:eastAsia="Palatino Linotype" w:hAnsi="Palatino Linotype" w:cs="Palatino Linotype"/>
          <w:b/>
          <w:sz w:val="22"/>
          <w:szCs w:val="22"/>
        </w:rPr>
        <w:t>03409/INFOEM/IP/RR/2025</w:t>
      </w:r>
      <w:r w:rsidRPr="0098792C">
        <w:rPr>
          <w:rFonts w:ascii="Palatino Linotype" w:eastAsia="Palatino Linotype" w:hAnsi="Palatino Linotype" w:cs="Palatino Linotype"/>
          <w:sz w:val="22"/>
          <w:szCs w:val="22"/>
        </w:rPr>
        <w:t>, interpuesto por</w:t>
      </w:r>
      <w:r w:rsidRPr="0098792C">
        <w:rPr>
          <w:rFonts w:ascii="Palatino Linotype" w:eastAsia="Palatino Linotype" w:hAnsi="Palatino Linotype" w:cs="Palatino Linotype"/>
          <w:b/>
          <w:sz w:val="22"/>
          <w:szCs w:val="22"/>
        </w:rPr>
        <w:t xml:space="preserve"> </w:t>
      </w:r>
      <w:r w:rsidR="00564B7A" w:rsidRPr="00564B7A">
        <w:rPr>
          <w:rFonts w:ascii="Palatino Linotype" w:eastAsia="Palatino Linotype" w:hAnsi="Palatino Linotype" w:cs="Palatino Linotype"/>
          <w:b/>
          <w:sz w:val="22"/>
          <w:szCs w:val="22"/>
        </w:rPr>
        <w:t>XXXXX X XXXXXXXXX</w:t>
      </w:r>
      <w:r w:rsidR="00564B7A" w:rsidRPr="00564B7A">
        <w:rPr>
          <w:rFonts w:ascii="Palatino Linotype" w:eastAsia="Palatino Linotype" w:hAnsi="Palatino Linotype" w:cs="Palatino Linotype"/>
          <w:b/>
          <w:sz w:val="22"/>
          <w:szCs w:val="22"/>
        </w:rPr>
        <w:t xml:space="preserve"> </w:t>
      </w:r>
      <w:r w:rsidRPr="0098792C">
        <w:rPr>
          <w:rFonts w:ascii="Palatino Linotype" w:eastAsia="Palatino Linotype" w:hAnsi="Palatino Linotype" w:cs="Palatino Linotype"/>
          <w:sz w:val="22"/>
          <w:szCs w:val="22"/>
        </w:rPr>
        <w:t>en lo sucesivo,</w:t>
      </w:r>
      <w:r w:rsidRPr="0098792C">
        <w:rPr>
          <w:rFonts w:ascii="Palatino Linotype" w:eastAsia="Palatino Linotype" w:hAnsi="Palatino Linotype" w:cs="Palatino Linotype"/>
          <w:b/>
          <w:sz w:val="22"/>
          <w:szCs w:val="22"/>
        </w:rPr>
        <w:t xml:space="preserve"> 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 xml:space="preserve"> en contra de la respuesta a la solicitud de información con número de folio</w:t>
      </w:r>
      <w:r w:rsidRPr="0098792C">
        <w:rPr>
          <w:rFonts w:ascii="Palatino Linotype" w:eastAsia="Palatino Linotype" w:hAnsi="Palatino Linotype" w:cs="Palatino Linotype"/>
          <w:b/>
          <w:sz w:val="22"/>
          <w:szCs w:val="22"/>
        </w:rPr>
        <w:t xml:space="preserve"> 01122/TOLUCA/IP/2025, </w:t>
      </w:r>
      <w:r w:rsidRPr="0098792C">
        <w:rPr>
          <w:rFonts w:ascii="Palatino Linotype" w:eastAsia="Palatino Linotype" w:hAnsi="Palatino Linotype" w:cs="Palatino Linotype"/>
          <w:sz w:val="22"/>
          <w:szCs w:val="22"/>
        </w:rPr>
        <w:t xml:space="preserve">por parte del </w:t>
      </w:r>
      <w:r w:rsidRPr="0098792C">
        <w:rPr>
          <w:rFonts w:ascii="Palatino Linotype" w:eastAsia="Palatino Linotype" w:hAnsi="Palatino Linotype" w:cs="Palatino Linotype"/>
          <w:b/>
          <w:sz w:val="22"/>
          <w:szCs w:val="22"/>
        </w:rPr>
        <w:t xml:space="preserve">Ayuntamiento de Toluca, </w:t>
      </w:r>
      <w:r w:rsidRPr="0098792C">
        <w:rPr>
          <w:rFonts w:ascii="Palatino Linotype" w:eastAsia="Palatino Linotype" w:hAnsi="Palatino Linotype" w:cs="Palatino Linotype"/>
          <w:sz w:val="22"/>
          <w:szCs w:val="22"/>
        </w:rPr>
        <w:t xml:space="preserve">en lo sucesivo el </w:t>
      </w:r>
      <w:r w:rsidRPr="0098792C">
        <w:rPr>
          <w:rFonts w:ascii="Palatino Linotype" w:eastAsia="Palatino Linotype" w:hAnsi="Palatino Linotype" w:cs="Palatino Linotype"/>
          <w:b/>
          <w:sz w:val="22"/>
          <w:szCs w:val="22"/>
        </w:rPr>
        <w:t xml:space="preserve">Sujeto Obligado, </w:t>
      </w:r>
      <w:r w:rsidRPr="0098792C">
        <w:rPr>
          <w:rFonts w:ascii="Palatino Linotype" w:eastAsia="Palatino Linotype" w:hAnsi="Palatino Linotype" w:cs="Palatino Linotype"/>
          <w:sz w:val="22"/>
          <w:szCs w:val="22"/>
        </w:rPr>
        <w:t xml:space="preserve">se procede a dictar la presente resolución con base en los siguientes: </w:t>
      </w:r>
    </w:p>
    <w:p w14:paraId="7EBB0527" w14:textId="77777777" w:rsidR="00C55892" w:rsidRPr="0098792C" w:rsidRDefault="00297FA7">
      <w:pPr>
        <w:spacing w:before="240" w:after="240" w:line="360" w:lineRule="auto"/>
        <w:jc w:val="center"/>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I. A N T E C E D E N T E S</w:t>
      </w:r>
    </w:p>
    <w:p w14:paraId="67C1A792"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98792C">
        <w:rPr>
          <w:rFonts w:ascii="Palatino Linotype" w:eastAsia="Palatino Linotype" w:hAnsi="Palatino Linotype" w:cs="Palatino Linotype"/>
          <w:b/>
          <w:sz w:val="22"/>
          <w:szCs w:val="22"/>
        </w:rPr>
        <w:t>1. Solicitud de acceso a la información.</w:t>
      </w:r>
      <w:r w:rsidRPr="0098792C">
        <w:rPr>
          <w:rFonts w:ascii="Palatino Linotype" w:eastAsia="Palatino Linotype" w:hAnsi="Palatino Linotype" w:cs="Palatino Linotype"/>
          <w:sz w:val="22"/>
          <w:szCs w:val="22"/>
        </w:rPr>
        <w:t xml:space="preserve"> El </w:t>
      </w:r>
      <w:r w:rsidRPr="0098792C">
        <w:rPr>
          <w:rFonts w:ascii="Palatino Linotype" w:eastAsia="Palatino Linotype" w:hAnsi="Palatino Linotype" w:cs="Palatino Linotype"/>
          <w:b/>
          <w:sz w:val="22"/>
          <w:szCs w:val="22"/>
        </w:rPr>
        <w:t>veinticinco de febrero de dos mil veinticinco,</w:t>
      </w:r>
      <w:r w:rsidRPr="0098792C">
        <w:rPr>
          <w:rFonts w:ascii="Palatino Linotype" w:eastAsia="Palatino Linotype" w:hAnsi="Palatino Linotype" w:cs="Palatino Linotype"/>
          <w:sz w:val="22"/>
          <w:szCs w:val="22"/>
        </w:rPr>
        <w:t xml:space="preserve"> la parte </w:t>
      </w:r>
      <w:r w:rsidRPr="0098792C">
        <w:rPr>
          <w:rFonts w:ascii="Palatino Linotype" w:eastAsia="Palatino Linotype" w:hAnsi="Palatino Linotype" w:cs="Palatino Linotype"/>
          <w:b/>
          <w:sz w:val="22"/>
          <w:szCs w:val="22"/>
        </w:rPr>
        <w:t xml:space="preserve">Recurrente </w:t>
      </w:r>
      <w:r w:rsidRPr="0098792C">
        <w:rPr>
          <w:rFonts w:ascii="Palatino Linotype" w:eastAsia="Palatino Linotype" w:hAnsi="Palatino Linotype" w:cs="Palatino Linotype"/>
          <w:sz w:val="22"/>
          <w:szCs w:val="22"/>
        </w:rPr>
        <w:t xml:space="preserve">presentó, a través del Sistema de Acceso a la Información Mexiquense, en lo subsecuente el </w:t>
      </w:r>
      <w:r w:rsidRPr="0098792C">
        <w:rPr>
          <w:rFonts w:ascii="Palatino Linotype" w:eastAsia="Palatino Linotype" w:hAnsi="Palatino Linotype" w:cs="Palatino Linotype"/>
          <w:b/>
          <w:sz w:val="22"/>
          <w:szCs w:val="22"/>
        </w:rPr>
        <w:t>SAIMEX,</w:t>
      </w:r>
      <w:r w:rsidRPr="0098792C">
        <w:rPr>
          <w:rFonts w:ascii="Palatino Linotype" w:eastAsia="Palatino Linotype" w:hAnsi="Palatino Linotype" w:cs="Palatino Linotype"/>
          <w:sz w:val="22"/>
          <w:szCs w:val="22"/>
        </w:rPr>
        <w:t xml:space="preserve"> ante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la solicitud de acceso a la información pública, mediante la cual requirió la información siguiente: </w:t>
      </w:r>
    </w:p>
    <w:p w14:paraId="0B46765E" w14:textId="77777777" w:rsidR="00C55892" w:rsidRPr="0098792C" w:rsidRDefault="00297FA7">
      <w:pPr>
        <w:spacing w:before="120" w:after="120"/>
        <w:ind w:left="567" w:right="902"/>
        <w:jc w:val="both"/>
        <w:rPr>
          <w:rFonts w:ascii="Palatino Linotype" w:eastAsia="Palatino Linotype" w:hAnsi="Palatino Linotype" w:cs="Palatino Linotype"/>
          <w:b/>
          <w:i/>
          <w:sz w:val="22"/>
          <w:szCs w:val="22"/>
        </w:rPr>
      </w:pPr>
      <w:bookmarkStart w:id="1" w:name="_heading=h.gjdgxs" w:colFirst="0" w:colLast="0"/>
      <w:bookmarkEnd w:id="1"/>
      <w:r w:rsidRPr="0098792C">
        <w:rPr>
          <w:rFonts w:ascii="Palatino Linotype" w:eastAsia="Palatino Linotype" w:hAnsi="Palatino Linotype" w:cs="Palatino Linotype"/>
          <w:i/>
          <w:sz w:val="22"/>
          <w:szCs w:val="22"/>
        </w:rPr>
        <w:t xml:space="preserve"> “El presidente destilando amor y las ciudad más insegura </w:t>
      </w:r>
      <w:proofErr w:type="spellStart"/>
      <w:r w:rsidRPr="0098792C">
        <w:rPr>
          <w:rFonts w:ascii="Palatino Linotype" w:eastAsia="Palatino Linotype" w:hAnsi="Palatino Linotype" w:cs="Palatino Linotype"/>
          <w:i/>
          <w:sz w:val="22"/>
          <w:szCs w:val="22"/>
        </w:rPr>
        <w:t>quw</w:t>
      </w:r>
      <w:proofErr w:type="spellEnd"/>
      <w:r w:rsidRPr="0098792C">
        <w:rPr>
          <w:rFonts w:ascii="Palatino Linotype" w:eastAsia="Palatino Linotype" w:hAnsi="Palatino Linotype" w:cs="Palatino Linotype"/>
          <w:i/>
          <w:sz w:val="22"/>
          <w:szCs w:val="22"/>
        </w:rPr>
        <w:t xml:space="preserve"> nunca </w:t>
      </w:r>
      <w:r w:rsidRPr="0098792C">
        <w:rPr>
          <w:rFonts w:ascii="Palatino Linotype" w:eastAsia="Palatino Linotype" w:hAnsi="Palatino Linotype" w:cs="Palatino Linotype"/>
          <w:b/>
          <w:i/>
          <w:sz w:val="22"/>
          <w:szCs w:val="22"/>
        </w:rPr>
        <w:t xml:space="preserve">se solicita el número de patrullas, el </w:t>
      </w:r>
      <w:proofErr w:type="spellStart"/>
      <w:r w:rsidRPr="0098792C">
        <w:rPr>
          <w:rFonts w:ascii="Palatino Linotype" w:eastAsia="Palatino Linotype" w:hAnsi="Palatino Linotype" w:cs="Palatino Linotype"/>
          <w:b/>
          <w:i/>
          <w:sz w:val="22"/>
          <w:szCs w:val="22"/>
        </w:rPr>
        <w:t>numero</w:t>
      </w:r>
      <w:proofErr w:type="spellEnd"/>
      <w:r w:rsidRPr="0098792C">
        <w:rPr>
          <w:rFonts w:ascii="Palatino Linotype" w:eastAsia="Palatino Linotype" w:hAnsi="Palatino Linotype" w:cs="Palatino Linotype"/>
          <w:b/>
          <w:i/>
          <w:sz w:val="22"/>
          <w:szCs w:val="22"/>
        </w:rPr>
        <w:t xml:space="preserve"> de elementos, cuantos y donde se han realizado operativos los resultados y detenciones se los operativos, los índices de seguridad de último trimestre 2024 y los de enero y febrero todos con documentos que acredite no número documentos, los informes homologados de la detenciones, cuantas motos y vehículos se pusieron a </w:t>
      </w:r>
      <w:proofErr w:type="spellStart"/>
      <w:r w:rsidRPr="0098792C">
        <w:rPr>
          <w:rFonts w:ascii="Palatino Linotype" w:eastAsia="Palatino Linotype" w:hAnsi="Palatino Linotype" w:cs="Palatino Linotype"/>
          <w:b/>
          <w:i/>
          <w:sz w:val="22"/>
          <w:szCs w:val="22"/>
        </w:rPr>
        <w:t>disposion</w:t>
      </w:r>
      <w:proofErr w:type="spellEnd"/>
      <w:r w:rsidRPr="0098792C">
        <w:rPr>
          <w:rFonts w:ascii="Palatino Linotype" w:eastAsia="Palatino Linotype" w:hAnsi="Palatino Linotype" w:cs="Palatino Linotype"/>
          <w:b/>
          <w:i/>
          <w:sz w:val="22"/>
          <w:szCs w:val="22"/>
        </w:rPr>
        <w:t xml:space="preserve"> del ministerio público, cuantos cuadrantes tiene, las estrategias de seguridad el presupuesto asignado a seguridad pública en 2024 y cuanto para 2025 el presupuesto de FORTAMUM y como se aplica en los últimos 5 años incluyendo 2025</w:t>
      </w:r>
      <w:r w:rsidRPr="0098792C">
        <w:rPr>
          <w:rFonts w:ascii="Palatino Linotype" w:eastAsia="Palatino Linotype" w:hAnsi="Palatino Linotype" w:cs="Palatino Linotype"/>
          <w:i/>
          <w:sz w:val="22"/>
          <w:szCs w:val="22"/>
        </w:rPr>
        <w:t xml:space="preserve">” (Sic) </w:t>
      </w:r>
    </w:p>
    <w:p w14:paraId="29379DF6"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98792C">
        <w:rPr>
          <w:rFonts w:ascii="Palatino Linotype" w:eastAsia="Palatino Linotype" w:hAnsi="Palatino Linotype" w:cs="Palatino Linotype"/>
          <w:b/>
          <w:sz w:val="22"/>
          <w:szCs w:val="22"/>
        </w:rPr>
        <w:t xml:space="preserve">Modalidad de Entrega: </w:t>
      </w:r>
      <w:r w:rsidRPr="0098792C">
        <w:rPr>
          <w:rFonts w:ascii="Palatino Linotype" w:eastAsia="Palatino Linotype" w:hAnsi="Palatino Linotype" w:cs="Palatino Linotype"/>
          <w:sz w:val="22"/>
          <w:szCs w:val="22"/>
        </w:rPr>
        <w:t xml:space="preserve">A través del </w:t>
      </w:r>
      <w:r w:rsidRPr="0098792C">
        <w:rPr>
          <w:rFonts w:ascii="Palatino Linotype" w:eastAsia="Palatino Linotype" w:hAnsi="Palatino Linotype" w:cs="Palatino Linotype"/>
          <w:b/>
          <w:sz w:val="22"/>
          <w:szCs w:val="22"/>
        </w:rPr>
        <w:t>SAIMEX</w:t>
      </w:r>
      <w:r w:rsidRPr="0098792C">
        <w:rPr>
          <w:rFonts w:ascii="Palatino Linotype" w:eastAsia="Palatino Linotype" w:hAnsi="Palatino Linotype" w:cs="Palatino Linotype"/>
          <w:sz w:val="22"/>
          <w:szCs w:val="22"/>
        </w:rPr>
        <w:t>.</w:t>
      </w:r>
    </w:p>
    <w:p w14:paraId="55B3A77B" w14:textId="77777777" w:rsidR="00C55892" w:rsidRPr="0098792C" w:rsidRDefault="00297FA7">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lastRenderedPageBreak/>
        <w:t xml:space="preserve">2. Respuesta. </w:t>
      </w:r>
      <w:r w:rsidRPr="0098792C">
        <w:rPr>
          <w:rFonts w:ascii="Palatino Linotype" w:eastAsia="Palatino Linotype" w:hAnsi="Palatino Linotype" w:cs="Palatino Linotype"/>
          <w:sz w:val="22"/>
          <w:szCs w:val="22"/>
        </w:rPr>
        <w:t xml:space="preserve">El </w:t>
      </w:r>
      <w:r w:rsidRPr="0098792C">
        <w:rPr>
          <w:rFonts w:ascii="Palatino Linotype" w:eastAsia="Palatino Linotype" w:hAnsi="Palatino Linotype" w:cs="Palatino Linotype"/>
          <w:b/>
          <w:sz w:val="22"/>
          <w:szCs w:val="22"/>
        </w:rPr>
        <w:t>veinte de marzo de dos mil veinticinco,</w:t>
      </w:r>
      <w:r w:rsidRPr="0098792C">
        <w:rPr>
          <w:rFonts w:ascii="Palatino Linotype" w:eastAsia="Palatino Linotype" w:hAnsi="Palatino Linotype" w:cs="Palatino Linotype"/>
          <w:sz w:val="22"/>
          <w:szCs w:val="22"/>
        </w:rPr>
        <w:t xml:space="preserve"> el </w:t>
      </w:r>
      <w:r w:rsidRPr="0098792C">
        <w:rPr>
          <w:rFonts w:ascii="Palatino Linotype" w:eastAsia="Palatino Linotype" w:hAnsi="Palatino Linotype" w:cs="Palatino Linotype"/>
          <w:b/>
          <w:sz w:val="22"/>
          <w:szCs w:val="22"/>
        </w:rPr>
        <w:t xml:space="preserve">Sujeto Obligado </w:t>
      </w:r>
      <w:r w:rsidRPr="0098792C">
        <w:rPr>
          <w:rFonts w:ascii="Palatino Linotype" w:eastAsia="Palatino Linotype" w:hAnsi="Palatino Linotype" w:cs="Palatino Linotype"/>
          <w:sz w:val="22"/>
          <w:szCs w:val="22"/>
        </w:rPr>
        <w:t xml:space="preserve">notificó la respuesta a la presente solicitud de acceso a la información a través de SAIMEX, sustancialmente en los términos siguientes:   </w:t>
      </w:r>
    </w:p>
    <w:p w14:paraId="682CED9A" w14:textId="77777777" w:rsidR="00C55892" w:rsidRPr="0098792C" w:rsidRDefault="00297FA7">
      <w:pPr>
        <w:spacing w:before="240" w:after="240"/>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1EA41792" w14:textId="77777777" w:rsidR="00C55892" w:rsidRPr="0098792C" w:rsidRDefault="00297FA7">
      <w:pPr>
        <w:spacing w:before="240" w:after="240"/>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2901BA" w14:textId="77777777" w:rsidR="00C55892" w:rsidRPr="0098792C" w:rsidRDefault="00297FA7">
      <w:pPr>
        <w:spacing w:before="240" w:after="240"/>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atención a la solicitud con folio 01122/TOLUCA/IP/2025, me permito adjuntar al presente la respuesta correspondiente. Sin más por el momento, reciba un saludo.</w:t>
      </w:r>
    </w:p>
    <w:p w14:paraId="7833ED32" w14:textId="77777777" w:rsidR="00C55892" w:rsidRPr="0098792C" w:rsidRDefault="00297FA7">
      <w:pPr>
        <w:spacing w:before="240" w:after="240"/>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ATENTAMENTE</w:t>
      </w:r>
    </w:p>
    <w:p w14:paraId="7B1F92F1" w14:textId="77777777" w:rsidR="00C55892" w:rsidRPr="0098792C" w:rsidRDefault="00297FA7">
      <w:pPr>
        <w:spacing w:before="240" w:after="240"/>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Dr. Nahum Miguel Mendoza Morales” (Sic)</w:t>
      </w:r>
    </w:p>
    <w:p w14:paraId="05552A74" w14:textId="77777777" w:rsidR="00C55892" w:rsidRPr="0098792C" w:rsidRDefault="00297FA7">
      <w:pPr>
        <w:spacing w:before="240" w:after="240"/>
        <w:ind w:left="567" w:right="902"/>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Archivos adjuntos: </w:t>
      </w:r>
    </w:p>
    <w:p w14:paraId="2F4A6435" w14:textId="77777777" w:rsidR="00C55892" w:rsidRPr="0098792C" w:rsidRDefault="00297FA7">
      <w:pPr>
        <w:spacing w:before="240" w:after="240" w:line="360" w:lineRule="auto"/>
        <w:ind w:left="567" w:right="902"/>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i/>
          <w:sz w:val="22"/>
          <w:szCs w:val="22"/>
        </w:rPr>
        <w:t xml:space="preserve">“R. 01122_25.pdf”: </w:t>
      </w:r>
      <w:r w:rsidRPr="0098792C">
        <w:rPr>
          <w:rFonts w:ascii="Palatino Linotype" w:eastAsia="Palatino Linotype" w:hAnsi="Palatino Linotype" w:cs="Palatino Linotype"/>
          <w:sz w:val="22"/>
          <w:szCs w:val="22"/>
        </w:rPr>
        <w:t>Documento que se compone de cuatro fojas, suscrito por el Titular de la Unidad de Transparencia, por el cual se refiere medularmente lo siguiente:</w:t>
      </w:r>
    </w:p>
    <w:p w14:paraId="53F30458" w14:textId="77777777" w:rsidR="00C55892" w:rsidRPr="0098792C" w:rsidRDefault="00297FA7">
      <w:pPr>
        <w:spacing w:before="240" w:after="240" w:line="276" w:lineRule="auto"/>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“…hago de su conocimiento que la Dirección General de Seguridad y Protección y Servidor Público Habilitado, informó que </w:t>
      </w:r>
      <w:r w:rsidRPr="0098792C">
        <w:rPr>
          <w:rFonts w:ascii="Palatino Linotype" w:eastAsia="Palatino Linotype" w:hAnsi="Palatino Linotype" w:cs="Palatino Linotype"/>
          <w:b/>
          <w:i/>
          <w:sz w:val="22"/>
          <w:szCs w:val="22"/>
        </w:rPr>
        <w:t>parte de la información solicitada, fue Clasificada como reservada, por el Comité de Transparencia, recayendo el acuerdo CT/SE/265/01/2025, en el Acta de la DUCENTÉSIMA SEXAGÉSIMA QUINTA SESIÓN EXTRAORDINARIA 2025, de fecha dieciocho de marzo del año en curso</w:t>
      </w:r>
      <w:r w:rsidRPr="0098792C">
        <w:rPr>
          <w:rFonts w:ascii="Palatino Linotype" w:eastAsia="Palatino Linotype" w:hAnsi="Palatino Linotype" w:cs="Palatino Linotype"/>
          <w:i/>
          <w:sz w:val="22"/>
          <w:szCs w:val="22"/>
        </w:rPr>
        <w:t>, lo anterior de conformidad con los artículos 6 base A, fracción 1, y 21 de la Constitución Política de los Estados Unidos Mexicanos, 218 del Código Nacional de Procedimientos Penales, 54 de la Ley de Seguridad Nacional; 110 de la Ley General del Sistema Nacional de Seguridad Pública; 35 y 40 de la Ley que Regula el Uso de Tecnologías de la Información y Comunicación para la Seguridad Pública del Estado de México, 77, 78 y 81 fracciones III y V de la Ley de Seguridad del Estado de México; 140 fracciones IV, VI, VIII, IX, X y XI, y 141 de la Ley de Transparencia y Acceso a la Información Pública del Estado de México y Municipios.</w:t>
      </w:r>
    </w:p>
    <w:p w14:paraId="2CFA7B90" w14:textId="77777777" w:rsidR="00C55892" w:rsidRPr="0098792C" w:rsidRDefault="00297FA7">
      <w:pPr>
        <w:spacing w:before="240" w:after="240" w:line="276" w:lineRule="auto"/>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Así mismo se informa que en el año 2024 se realizaron 2,061 operativos en materia de tránsito, en las 48 Delegaciones que integran el Municipio de Toluca, encaminados a mejorar la condición vial del Municipio de Toluca, coadyuvando con ello a dotar de una movilidad segura las calles y salvaguardar la integridad física de peatones, ciclistas y automovilistas, el presupuesto asignado a la Dirección General de Seguridad y Protección en el año 2024 de los capítulos del 2000 al 9000 fue de $164,812,549.00 mientras que para el ejercicio fiscal 2025 aún no se da a conocer los techos presupuestales asignados a la Dirección General.</w:t>
      </w:r>
    </w:p>
    <w:p w14:paraId="206303C1" w14:textId="77777777" w:rsidR="00C55892" w:rsidRPr="0098792C" w:rsidRDefault="00297FA7">
      <w:pPr>
        <w:spacing w:before="240" w:after="240" w:line="276" w:lineRule="auto"/>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lo relacionado al presupuesto autorizado de FORTAMUN y la aplicación del mismo en los años 2021, 2022, 2023, 2024, le informo lo siguiente:</w:t>
      </w:r>
    </w:p>
    <w:p w14:paraId="1193BEAF" w14:textId="77777777" w:rsidR="00C55892" w:rsidRPr="0098792C" w:rsidRDefault="00297FA7">
      <w:pPr>
        <w:spacing w:before="240" w:after="240" w:line="360" w:lineRule="auto"/>
        <w:ind w:left="567" w:right="902"/>
        <w:jc w:val="center"/>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drawing>
          <wp:inline distT="0" distB="0" distL="0" distR="0" wp14:anchorId="041A0D1F" wp14:editId="767611CF">
            <wp:extent cx="3322875" cy="4468999"/>
            <wp:effectExtent l="0" t="0" r="0" b="0"/>
            <wp:docPr id="20832964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322875" cy="4468999"/>
                    </a:xfrm>
                    <a:prstGeom prst="rect">
                      <a:avLst/>
                    </a:prstGeom>
                    <a:ln/>
                  </pic:spPr>
                </pic:pic>
              </a:graphicData>
            </a:graphic>
          </wp:inline>
        </w:drawing>
      </w:r>
    </w:p>
    <w:p w14:paraId="6C07028F" w14:textId="77777777" w:rsidR="00C55892" w:rsidRPr="0098792C" w:rsidRDefault="00297FA7">
      <w:pPr>
        <w:spacing w:before="240" w:after="240" w:line="276" w:lineRule="auto"/>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relación al presupuesto del ejercicio fiscal 2025, le informo que la Tesorería Municipal, aún no notifica el presupuesto autorizado para este ejercicio fiscal.”</w:t>
      </w:r>
    </w:p>
    <w:p w14:paraId="63FA109F" w14:textId="77777777" w:rsidR="00C55892" w:rsidRPr="0098792C" w:rsidRDefault="00297FA7">
      <w:pPr>
        <w:spacing w:before="240" w:after="240"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lastRenderedPageBreak/>
        <w:t xml:space="preserve">3. Interposición del recurso de revisión. </w:t>
      </w:r>
      <w:r w:rsidRPr="0098792C">
        <w:rPr>
          <w:rFonts w:ascii="Palatino Linotype" w:eastAsia="Palatino Linotype" w:hAnsi="Palatino Linotype" w:cs="Palatino Linotype"/>
          <w:sz w:val="22"/>
          <w:szCs w:val="22"/>
        </w:rPr>
        <w:t xml:space="preserve">Inconforme con los términos de la respuesta emitida por parte del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el </w:t>
      </w:r>
      <w:r w:rsidRPr="0098792C">
        <w:rPr>
          <w:rFonts w:ascii="Palatino Linotype" w:eastAsia="Palatino Linotype" w:hAnsi="Palatino Linotype" w:cs="Palatino Linotype"/>
          <w:b/>
          <w:sz w:val="22"/>
          <w:szCs w:val="22"/>
        </w:rPr>
        <w:t>veinticuatro de marzo de dos mil veinticinco, la parte Recurrente</w:t>
      </w:r>
      <w:r w:rsidRPr="0098792C">
        <w:rPr>
          <w:rFonts w:ascii="Palatino Linotype" w:eastAsia="Palatino Linotype" w:hAnsi="Palatino Linotype" w:cs="Palatino Linotype"/>
          <w:sz w:val="22"/>
          <w:szCs w:val="22"/>
        </w:rPr>
        <w:t xml:space="preserve"> interpuso el recurso de revisión a través de </w:t>
      </w:r>
      <w:r w:rsidRPr="0098792C">
        <w:rPr>
          <w:rFonts w:ascii="Palatino Linotype" w:eastAsia="Palatino Linotype" w:hAnsi="Palatino Linotype" w:cs="Palatino Linotype"/>
          <w:b/>
          <w:sz w:val="22"/>
          <w:szCs w:val="22"/>
        </w:rPr>
        <w:t xml:space="preserve">SAIMEX, </w:t>
      </w:r>
      <w:r w:rsidRPr="0098792C">
        <w:rPr>
          <w:rFonts w:ascii="Palatino Linotype" w:eastAsia="Palatino Linotype" w:hAnsi="Palatino Linotype" w:cs="Palatino Linotype"/>
          <w:sz w:val="22"/>
          <w:szCs w:val="22"/>
        </w:rPr>
        <w:t>en donde se manifestó de la siguiente manera:</w:t>
      </w:r>
    </w:p>
    <w:p w14:paraId="0B5C9A87" w14:textId="77777777" w:rsidR="00C55892" w:rsidRPr="0098792C" w:rsidRDefault="00297FA7">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a) Acto impugnado: </w:t>
      </w:r>
      <w:r w:rsidRPr="0098792C">
        <w:rPr>
          <w:rFonts w:ascii="Palatino Linotype" w:eastAsia="Palatino Linotype" w:hAnsi="Palatino Linotype" w:cs="Palatino Linotype"/>
          <w:i/>
          <w:sz w:val="22"/>
          <w:szCs w:val="22"/>
        </w:rPr>
        <w:t>“La solicitud no se atiende en los términos solicitados” (Sic)</w:t>
      </w:r>
    </w:p>
    <w:p w14:paraId="7AA0DCB2" w14:textId="77777777" w:rsidR="00C55892" w:rsidRPr="0098792C" w:rsidRDefault="00297FA7">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98792C">
        <w:rPr>
          <w:rFonts w:ascii="Palatino Linotype" w:eastAsia="Palatino Linotype" w:hAnsi="Palatino Linotype" w:cs="Palatino Linotype"/>
          <w:b/>
          <w:sz w:val="22"/>
          <w:szCs w:val="22"/>
        </w:rPr>
        <w:t>b) Razones o motivos de inconformidad</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i/>
          <w:sz w:val="22"/>
          <w:szCs w:val="22"/>
        </w:rPr>
        <w:t xml:space="preserve">“No entrega toda la información y no se atendió la solicitud al reservar” (Sic) </w:t>
      </w:r>
    </w:p>
    <w:p w14:paraId="083F8696" w14:textId="77777777" w:rsidR="00C55892" w:rsidRPr="0098792C" w:rsidRDefault="00C55892">
      <w:pPr>
        <w:spacing w:line="360" w:lineRule="auto"/>
        <w:jc w:val="both"/>
        <w:rPr>
          <w:rFonts w:ascii="Palatino Linotype" w:eastAsia="Palatino Linotype" w:hAnsi="Palatino Linotype" w:cs="Palatino Linotype"/>
          <w:b/>
        </w:rPr>
      </w:pPr>
    </w:p>
    <w:p w14:paraId="081AEDF4"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 xml:space="preserve">4. Turno. </w:t>
      </w:r>
      <w:r w:rsidRPr="0098792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8792C">
        <w:rPr>
          <w:rFonts w:ascii="Palatino Linotype" w:eastAsia="Palatino Linotype" w:hAnsi="Palatino Linotype" w:cs="Palatino Linotype"/>
          <w:b/>
          <w:sz w:val="22"/>
          <w:szCs w:val="22"/>
        </w:rPr>
        <w:t xml:space="preserve">Guadalupe Ramírez Peña, </w:t>
      </w:r>
      <w:r w:rsidRPr="0098792C">
        <w:rPr>
          <w:rFonts w:ascii="Palatino Linotype" w:eastAsia="Palatino Linotype" w:hAnsi="Palatino Linotype" w:cs="Palatino Linotype"/>
          <w:sz w:val="22"/>
          <w:szCs w:val="22"/>
        </w:rPr>
        <w:t xml:space="preserve">a efecto de que analizara sobre su admisión o su </w:t>
      </w:r>
      <w:proofErr w:type="spellStart"/>
      <w:r w:rsidRPr="0098792C">
        <w:rPr>
          <w:rFonts w:ascii="Palatino Linotype" w:eastAsia="Palatino Linotype" w:hAnsi="Palatino Linotype" w:cs="Palatino Linotype"/>
          <w:sz w:val="22"/>
          <w:szCs w:val="22"/>
        </w:rPr>
        <w:t>desechamiento</w:t>
      </w:r>
      <w:proofErr w:type="spellEnd"/>
      <w:r w:rsidRPr="0098792C">
        <w:rPr>
          <w:rFonts w:ascii="Palatino Linotype" w:eastAsia="Palatino Linotype" w:hAnsi="Palatino Linotype" w:cs="Palatino Linotype"/>
          <w:sz w:val="22"/>
          <w:szCs w:val="22"/>
        </w:rPr>
        <w:t>.</w:t>
      </w:r>
    </w:p>
    <w:p w14:paraId="0C276BBB"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bookmarkStart w:id="4" w:name="_heading=h.2s8eyo1" w:colFirst="0" w:colLast="0"/>
      <w:bookmarkEnd w:id="4"/>
      <w:r w:rsidRPr="0098792C">
        <w:rPr>
          <w:rFonts w:ascii="Palatino Linotype" w:eastAsia="Palatino Linotype" w:hAnsi="Palatino Linotype" w:cs="Palatino Linotype"/>
          <w:b/>
          <w:sz w:val="22"/>
          <w:szCs w:val="22"/>
        </w:rPr>
        <w:t>5. Admisión del Recurso de revisión.</w:t>
      </w:r>
      <w:r w:rsidRPr="0098792C">
        <w:rPr>
          <w:rFonts w:ascii="Palatino Linotype" w:eastAsia="Palatino Linotype" w:hAnsi="Palatino Linotype" w:cs="Palatino Linotype"/>
          <w:sz w:val="22"/>
          <w:szCs w:val="22"/>
        </w:rPr>
        <w:t xml:space="preserve"> El</w:t>
      </w:r>
      <w:r w:rsidRPr="0098792C">
        <w:rPr>
          <w:rFonts w:ascii="Palatino Linotype" w:eastAsia="Palatino Linotype" w:hAnsi="Palatino Linotype" w:cs="Palatino Linotype"/>
          <w:b/>
          <w:sz w:val="22"/>
          <w:szCs w:val="22"/>
        </w:rPr>
        <w:t xml:space="preserve"> veintisiete de marzo de dos mil veinticinco, </w:t>
      </w:r>
      <w:r w:rsidRPr="0098792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8792C">
        <w:rPr>
          <w:rFonts w:ascii="Palatino Linotype" w:eastAsia="Palatino Linotype" w:hAnsi="Palatino Linotype" w:cs="Palatino Linotype"/>
          <w:b/>
          <w:sz w:val="22"/>
          <w:szCs w:val="22"/>
        </w:rPr>
        <w:t xml:space="preserve">Sujeto Obligado </w:t>
      </w:r>
      <w:r w:rsidRPr="0098792C">
        <w:rPr>
          <w:rFonts w:ascii="Palatino Linotype" w:eastAsia="Palatino Linotype" w:hAnsi="Palatino Linotype" w:cs="Palatino Linotype"/>
          <w:sz w:val="22"/>
          <w:szCs w:val="22"/>
        </w:rPr>
        <w:t>presentara su informe justificado.</w:t>
      </w:r>
    </w:p>
    <w:p w14:paraId="5F5CA05A" w14:textId="77777777" w:rsidR="00C55892" w:rsidRPr="0098792C" w:rsidRDefault="00297FA7">
      <w:pPr>
        <w:widowControl w:val="0"/>
        <w:spacing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 xml:space="preserve">6. Manifestaciones e Informe Justificado. </w:t>
      </w:r>
      <w:r w:rsidRPr="0098792C">
        <w:rPr>
          <w:rFonts w:ascii="Palatino Linotype" w:eastAsia="Palatino Linotype" w:hAnsi="Palatino Linotype" w:cs="Palatino Linotype"/>
          <w:sz w:val="22"/>
          <w:szCs w:val="22"/>
        </w:rPr>
        <w:t xml:space="preserve">De constancias del expediente electrónico del SAIMEX, se observa que el </w:t>
      </w:r>
      <w:r w:rsidRPr="0098792C">
        <w:rPr>
          <w:rFonts w:ascii="Palatino Linotype" w:eastAsia="Palatino Linotype" w:hAnsi="Palatino Linotype" w:cs="Palatino Linotype"/>
          <w:b/>
          <w:sz w:val="22"/>
          <w:szCs w:val="22"/>
        </w:rPr>
        <w:t>siete de abril de dos mil veinticinco</w:t>
      </w:r>
      <w:r w:rsidRPr="0098792C">
        <w:rPr>
          <w:rFonts w:ascii="Palatino Linotype" w:eastAsia="Palatino Linotype" w:hAnsi="Palatino Linotype" w:cs="Palatino Linotype"/>
          <w:sz w:val="22"/>
          <w:szCs w:val="22"/>
        </w:rPr>
        <w:t xml:space="preserv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remitió los archivos electrónicos denominados “</w:t>
      </w:r>
      <w:r w:rsidRPr="0098792C">
        <w:rPr>
          <w:rFonts w:ascii="Palatino Linotype" w:eastAsia="Palatino Linotype" w:hAnsi="Palatino Linotype" w:cs="Palatino Linotype"/>
          <w:b/>
          <w:i/>
          <w:sz w:val="22"/>
          <w:szCs w:val="22"/>
        </w:rPr>
        <w:t xml:space="preserve">Ratificación 3409.pdf “y “ANEXO RR 3409.pdf”, </w:t>
      </w:r>
      <w:r w:rsidRPr="0098792C">
        <w:rPr>
          <w:rFonts w:ascii="Palatino Linotype" w:eastAsia="Palatino Linotype" w:hAnsi="Palatino Linotype" w:cs="Palatino Linotype"/>
          <w:sz w:val="22"/>
          <w:szCs w:val="22"/>
        </w:rPr>
        <w:t>los cuales se describen a continuación:</w:t>
      </w:r>
    </w:p>
    <w:p w14:paraId="7F80781B" w14:textId="77777777" w:rsidR="00C55892" w:rsidRPr="0098792C" w:rsidRDefault="00C55892">
      <w:pPr>
        <w:widowControl w:val="0"/>
        <w:spacing w:line="360" w:lineRule="auto"/>
        <w:ind w:right="49"/>
        <w:jc w:val="both"/>
        <w:rPr>
          <w:rFonts w:ascii="Palatino Linotype" w:eastAsia="Palatino Linotype" w:hAnsi="Palatino Linotype" w:cs="Palatino Linotype"/>
          <w:sz w:val="22"/>
          <w:szCs w:val="22"/>
        </w:rPr>
      </w:pPr>
    </w:p>
    <w:p w14:paraId="7E8C94B9" w14:textId="77777777" w:rsidR="00C55892" w:rsidRPr="0098792C" w:rsidRDefault="00297FA7">
      <w:pPr>
        <w:widowControl w:val="0"/>
        <w:spacing w:line="360" w:lineRule="auto"/>
        <w:ind w:left="567" w:right="900"/>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w:t>
      </w:r>
      <w:r w:rsidRPr="0098792C">
        <w:rPr>
          <w:rFonts w:ascii="Palatino Linotype" w:eastAsia="Palatino Linotype" w:hAnsi="Palatino Linotype" w:cs="Palatino Linotype"/>
          <w:b/>
          <w:i/>
          <w:sz w:val="22"/>
          <w:szCs w:val="22"/>
        </w:rPr>
        <w:t xml:space="preserve">Ratificación 3409.pdf “: </w:t>
      </w:r>
      <w:r w:rsidRPr="0098792C">
        <w:rPr>
          <w:rFonts w:ascii="Palatino Linotype" w:eastAsia="Palatino Linotype" w:hAnsi="Palatino Linotype" w:cs="Palatino Linotype"/>
          <w:sz w:val="22"/>
          <w:szCs w:val="22"/>
        </w:rPr>
        <w:t>Archivo electrónico que se compone de una foja y contiene un oficio suscrito por el Titular de la Unidad de Transparencia, en el cual, sustancialmente ratifica la respuesta emitida el 20 de marzo de 2025 a la solicitud 01122/TOLUCA/IP/2025, relacionada con el Recurso de Revisión 03409/INFOEM/IP/RR/2025.</w:t>
      </w:r>
    </w:p>
    <w:p w14:paraId="72327337" w14:textId="77777777" w:rsidR="00C55892" w:rsidRPr="0098792C" w:rsidRDefault="00C55892">
      <w:pPr>
        <w:widowControl w:val="0"/>
        <w:spacing w:line="360" w:lineRule="auto"/>
        <w:ind w:left="567" w:right="900"/>
        <w:jc w:val="both"/>
        <w:rPr>
          <w:rFonts w:ascii="Palatino Linotype" w:eastAsia="Palatino Linotype" w:hAnsi="Palatino Linotype" w:cs="Palatino Linotype"/>
          <w:sz w:val="22"/>
          <w:szCs w:val="22"/>
        </w:rPr>
      </w:pPr>
    </w:p>
    <w:p w14:paraId="147B087C" w14:textId="77777777" w:rsidR="00C55892" w:rsidRPr="0098792C" w:rsidRDefault="00297FA7">
      <w:pPr>
        <w:widowControl w:val="0"/>
        <w:spacing w:line="360" w:lineRule="auto"/>
        <w:ind w:left="567" w:right="900"/>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i/>
          <w:sz w:val="22"/>
          <w:szCs w:val="22"/>
        </w:rPr>
        <w:t xml:space="preserve">“ANEXO RR 3409.pdf”: </w:t>
      </w:r>
      <w:r w:rsidRPr="0098792C">
        <w:rPr>
          <w:rFonts w:ascii="Palatino Linotype" w:eastAsia="Palatino Linotype" w:hAnsi="Palatino Linotype" w:cs="Palatino Linotype"/>
          <w:sz w:val="22"/>
          <w:szCs w:val="22"/>
        </w:rPr>
        <w:t xml:space="preserve">Oficio STCMSP/127/2025, suscrito por el </w:t>
      </w:r>
      <w:proofErr w:type="gramStart"/>
      <w:r w:rsidRPr="0098792C">
        <w:rPr>
          <w:rFonts w:ascii="Palatino Linotype" w:eastAsia="Palatino Linotype" w:hAnsi="Palatino Linotype" w:cs="Palatino Linotype"/>
          <w:sz w:val="22"/>
          <w:szCs w:val="22"/>
        </w:rPr>
        <w:t>Secretario Técnico</w:t>
      </w:r>
      <w:proofErr w:type="gramEnd"/>
      <w:r w:rsidRPr="0098792C">
        <w:rPr>
          <w:rFonts w:ascii="Palatino Linotype" w:eastAsia="Palatino Linotype" w:hAnsi="Palatino Linotype" w:cs="Palatino Linotype"/>
          <w:sz w:val="22"/>
          <w:szCs w:val="22"/>
        </w:rPr>
        <w:t xml:space="preserve"> del Consejo Municipal de Seguridad Pública, en el que manifiesta que una vez realizada la búsqueda exhaustiva en la plataforma del Sistema de Acceso a la Información Mexiquense (SAIMEX), no se localizó el turno 01122/TOLUCA/IP/2025. Por lo anterior, al desconocer el contenido de la solicitud de información, señala que la Secretaría Técnica no está en posibilidad de rendir el informe requerido.</w:t>
      </w:r>
    </w:p>
    <w:p w14:paraId="4F012821" w14:textId="77777777" w:rsidR="00C55892" w:rsidRPr="0098792C" w:rsidRDefault="00C55892">
      <w:pPr>
        <w:widowControl w:val="0"/>
        <w:spacing w:line="360" w:lineRule="auto"/>
        <w:ind w:right="49"/>
        <w:jc w:val="both"/>
        <w:rPr>
          <w:rFonts w:ascii="Palatino Linotype" w:eastAsia="Palatino Linotype" w:hAnsi="Palatino Linotype" w:cs="Palatino Linotype"/>
          <w:sz w:val="22"/>
          <w:szCs w:val="22"/>
        </w:rPr>
      </w:pPr>
    </w:p>
    <w:p w14:paraId="7A6D64D5" w14:textId="77777777" w:rsidR="00C55892" w:rsidRPr="0098792C" w:rsidRDefault="00297FA7">
      <w:pPr>
        <w:widowControl w:val="0"/>
        <w:spacing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Una vez conocida esta documentación, se determinó ponerla a la vista de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mediante acuerdo signado por la Comisionada Ponente el </w:t>
      </w:r>
      <w:r w:rsidRPr="0098792C">
        <w:rPr>
          <w:rFonts w:ascii="Palatino Linotype" w:eastAsia="Palatino Linotype" w:hAnsi="Palatino Linotype" w:cs="Palatino Linotype"/>
          <w:b/>
          <w:sz w:val="22"/>
          <w:szCs w:val="22"/>
        </w:rPr>
        <w:t>cuatro de junio de dos mil veinticinco</w:t>
      </w:r>
      <w:r w:rsidRPr="0098792C">
        <w:rPr>
          <w:rFonts w:ascii="Palatino Linotype" w:eastAsia="Palatino Linotype" w:hAnsi="Palatino Linotype" w:cs="Palatino Linotype"/>
          <w:sz w:val="22"/>
          <w:szCs w:val="22"/>
        </w:rPr>
        <w:t xml:space="preserve">, teniendo así que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fue omisa en adjuntar documento alguno para efecto de rendir sus manifestaciones o alegatos, por lo que se tiene por precluido su derecho para tal efecto. </w:t>
      </w:r>
    </w:p>
    <w:p w14:paraId="51C24054" w14:textId="77777777" w:rsidR="00C55892" w:rsidRPr="0098792C" w:rsidRDefault="00C55892">
      <w:pPr>
        <w:widowControl w:val="0"/>
        <w:spacing w:line="360" w:lineRule="auto"/>
        <w:ind w:right="49"/>
        <w:jc w:val="both"/>
        <w:rPr>
          <w:rFonts w:ascii="Palatino Linotype" w:eastAsia="Palatino Linotype" w:hAnsi="Palatino Linotype" w:cs="Palatino Linotype"/>
          <w:sz w:val="22"/>
          <w:szCs w:val="22"/>
        </w:rPr>
      </w:pPr>
    </w:p>
    <w:p w14:paraId="242AC796" w14:textId="77777777" w:rsidR="00C55892" w:rsidRPr="0098792C" w:rsidRDefault="00297FA7">
      <w:pPr>
        <w:spacing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 xml:space="preserve">7. Ampliación del término para resolver. </w:t>
      </w:r>
      <w:r w:rsidRPr="0098792C">
        <w:rPr>
          <w:rFonts w:ascii="Palatino Linotype" w:eastAsia="Palatino Linotype" w:hAnsi="Palatino Linotype" w:cs="Palatino Linotype"/>
          <w:sz w:val="22"/>
          <w:szCs w:val="22"/>
        </w:rPr>
        <w:t>El</w:t>
      </w:r>
      <w:r w:rsidRPr="0098792C">
        <w:rPr>
          <w:rFonts w:ascii="Palatino Linotype" w:eastAsia="Palatino Linotype" w:hAnsi="Palatino Linotype" w:cs="Palatino Linotype"/>
          <w:b/>
          <w:sz w:val="22"/>
          <w:szCs w:val="22"/>
        </w:rPr>
        <w:t xml:space="preserve"> cuatro de junio de dos mil veinticinco, </w:t>
      </w:r>
      <w:r w:rsidRPr="0098792C">
        <w:rPr>
          <w:rFonts w:ascii="Palatino Linotype" w:eastAsia="Palatino Linotype" w:hAnsi="Palatino Linotype" w:cs="Palatino Linotype"/>
          <w:sz w:val="22"/>
          <w:szCs w:val="22"/>
        </w:rPr>
        <w:t>se notificó a las partes, el acuerdo que amplía el término para resolver el recurso de revisión en términos del artículo 181 párrafo tercero de la Ley de Transparencia y Acceso a la Información Pública del Estado de México y Municipios.</w:t>
      </w:r>
    </w:p>
    <w:p w14:paraId="18377CA4"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Este organismo garante no pasa por alto justificar, que el plazo para emitir la resolución en el presente asunto encuentra justificación en el alto número de recursos de revisión </w:t>
      </w:r>
      <w:r w:rsidRPr="0098792C">
        <w:rPr>
          <w:rFonts w:ascii="Palatino Linotype" w:eastAsia="Palatino Linotype" w:hAnsi="Palatino Linotype" w:cs="Palatino Linotype"/>
          <w:sz w:val="22"/>
          <w:szCs w:val="22"/>
        </w:rPr>
        <w:lastRenderedPageBreak/>
        <w:t>recibidos, circunstancia atípica que ha rebasado las capacidades técnicas y humanas del personal encargado de la proyección de las resoluciones a dichos medios de impugnación.</w:t>
      </w:r>
    </w:p>
    <w:p w14:paraId="23B56D6E"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0233E43D"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BC7B262"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57131240"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AFF805"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26CA9855"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542B76A"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2B8342BD" w14:textId="77777777" w:rsidR="00C55892" w:rsidRPr="0098792C" w:rsidRDefault="00297FA7">
      <w:pPr>
        <w:spacing w:line="360" w:lineRule="auto"/>
        <w:jc w:val="both"/>
        <w:rPr>
          <w:rFonts w:ascii="Palatino Linotype" w:eastAsia="Palatino Linotype" w:hAnsi="Palatino Linotype" w:cs="Palatino Linotype"/>
          <w:strike/>
          <w:sz w:val="22"/>
          <w:szCs w:val="22"/>
        </w:rPr>
      </w:pPr>
      <w:r w:rsidRPr="0098792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5A40F58"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61ED9622" w14:textId="77777777" w:rsidR="00C55892" w:rsidRPr="0098792C" w:rsidRDefault="00297FA7">
      <w:pPr>
        <w:numPr>
          <w:ilvl w:val="0"/>
          <w:numId w:val="1"/>
        </w:numPr>
        <w:spacing w:line="360" w:lineRule="auto"/>
        <w:ind w:left="567" w:right="709" w:hanging="283"/>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Complejidad del Asunto:</w:t>
      </w:r>
      <w:r w:rsidRPr="0098792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2A57728" w14:textId="77777777" w:rsidR="00C55892" w:rsidRPr="0098792C" w:rsidRDefault="00297FA7">
      <w:pPr>
        <w:numPr>
          <w:ilvl w:val="0"/>
          <w:numId w:val="1"/>
        </w:numPr>
        <w:spacing w:line="360" w:lineRule="auto"/>
        <w:ind w:left="567" w:right="709" w:hanging="283"/>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Actividad Procesal del interesado</w:t>
      </w:r>
      <w:r w:rsidRPr="0098792C">
        <w:rPr>
          <w:rFonts w:ascii="Palatino Linotype" w:eastAsia="Palatino Linotype" w:hAnsi="Palatino Linotype" w:cs="Palatino Linotype"/>
          <w:sz w:val="22"/>
          <w:szCs w:val="22"/>
        </w:rPr>
        <w:t>. Acciones u omisiones del interesado.</w:t>
      </w:r>
    </w:p>
    <w:p w14:paraId="50D92D72" w14:textId="77777777" w:rsidR="00C55892" w:rsidRPr="0098792C" w:rsidRDefault="00297FA7">
      <w:pPr>
        <w:numPr>
          <w:ilvl w:val="0"/>
          <w:numId w:val="1"/>
        </w:numPr>
        <w:spacing w:line="360" w:lineRule="auto"/>
        <w:ind w:left="567" w:right="709" w:hanging="283"/>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lastRenderedPageBreak/>
        <w:t>Conducta de la Autoridad:</w:t>
      </w:r>
      <w:r w:rsidRPr="0098792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6B14841" w14:textId="77777777" w:rsidR="00C55892" w:rsidRPr="0098792C" w:rsidRDefault="00297FA7">
      <w:pPr>
        <w:spacing w:line="360" w:lineRule="auto"/>
        <w:ind w:left="567" w:right="709" w:hanging="283"/>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d) La afectación generada en la situación jurídica de la persona involucrada en el proceso:</w:t>
      </w:r>
      <w:r w:rsidRPr="0098792C">
        <w:rPr>
          <w:rFonts w:ascii="Palatino Linotype" w:eastAsia="Palatino Linotype" w:hAnsi="Palatino Linotype" w:cs="Palatino Linotype"/>
          <w:sz w:val="22"/>
          <w:szCs w:val="22"/>
        </w:rPr>
        <w:t xml:space="preserve"> Violación a sus derechos humanos.</w:t>
      </w:r>
    </w:p>
    <w:p w14:paraId="4A2DB749"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56DD44E8"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A96CE0"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5BC272C3" w14:textId="77777777" w:rsidR="00C55892" w:rsidRPr="0098792C" w:rsidRDefault="00297FA7">
      <w:pP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8792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8792C">
        <w:rPr>
          <w:rFonts w:ascii="Palatino Linotype" w:eastAsia="Palatino Linotype" w:hAnsi="Palatino Linotype" w:cs="Palatino Linotype"/>
          <w:sz w:val="22"/>
          <w:szCs w:val="22"/>
        </w:rPr>
        <w:t>, visible en la Gaceta del Seminario Judicial de la Federación con el registro digital 205635.</w:t>
      </w:r>
    </w:p>
    <w:p w14:paraId="4DB9952E"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639CF20E"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FEF5F4"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E2E5693"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2BC2370"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i/>
          <w:sz w:val="22"/>
          <w:szCs w:val="22"/>
        </w:rPr>
        <w:t>“PLAZO RAZONABLE PARA RESOLVER. DIMENSIÓN Y EFECTOS DE ESTE CONCEPTO CUANDO SE ADUCE EXCESIVA CARGA DE TRABAJO.”</w:t>
      </w:r>
      <w:r w:rsidRPr="0098792C">
        <w:rPr>
          <w:rFonts w:ascii="Palatino Linotype" w:eastAsia="Palatino Linotype" w:hAnsi="Palatino Linotype" w:cs="Palatino Linotype"/>
          <w:sz w:val="22"/>
          <w:szCs w:val="22"/>
        </w:rPr>
        <w:t xml:space="preserve"> consultable en el Seminario Judicial de la Federación y su gaceta, con el registro digital 2002351.</w:t>
      </w:r>
    </w:p>
    <w:p w14:paraId="66A857F3" w14:textId="77777777" w:rsidR="00C55892" w:rsidRPr="0098792C" w:rsidRDefault="00C55892">
      <w:pPr>
        <w:spacing w:line="360" w:lineRule="auto"/>
        <w:jc w:val="both"/>
        <w:rPr>
          <w:rFonts w:ascii="Palatino Linotype" w:eastAsia="Palatino Linotype" w:hAnsi="Palatino Linotype" w:cs="Palatino Linotype"/>
          <w:b/>
          <w:sz w:val="22"/>
          <w:szCs w:val="22"/>
        </w:rPr>
      </w:pPr>
    </w:p>
    <w:p w14:paraId="6343046E"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98792C">
        <w:rPr>
          <w:rFonts w:ascii="Palatino Linotype" w:eastAsia="Palatino Linotype" w:hAnsi="Palatino Linotype" w:cs="Palatino Linotype"/>
          <w:sz w:val="22"/>
          <w:szCs w:val="22"/>
        </w:rPr>
        <w:t>, visible en el Seminario Judicial de la Federación y su gaceta, con el registro digital 2002350.</w:t>
      </w:r>
    </w:p>
    <w:p w14:paraId="1D0DD32B"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66ADEFB"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3CF90C2A"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9547DF3" w14:textId="77777777" w:rsidR="00C55892" w:rsidRPr="0098792C" w:rsidRDefault="00297FA7">
      <w:pPr>
        <w:spacing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 xml:space="preserve">8. Cierre de instrucción. </w:t>
      </w:r>
      <w:r w:rsidRPr="0098792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98792C">
        <w:rPr>
          <w:rFonts w:ascii="Palatino Linotype" w:eastAsia="Palatino Linotype" w:hAnsi="Palatino Linotype" w:cs="Palatino Linotype"/>
          <w:b/>
          <w:sz w:val="22"/>
          <w:szCs w:val="22"/>
        </w:rPr>
        <w:t>doce de junio de dos mil veinticinco,</w:t>
      </w:r>
      <w:r w:rsidRPr="0098792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970B32F"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396FF18" w14:textId="77777777" w:rsidR="00C55892" w:rsidRPr="0098792C" w:rsidRDefault="00C55892">
      <w:pPr>
        <w:spacing w:before="240" w:after="240" w:line="360" w:lineRule="auto"/>
        <w:jc w:val="both"/>
        <w:rPr>
          <w:rFonts w:ascii="Palatino Linotype" w:eastAsia="Palatino Linotype" w:hAnsi="Palatino Linotype" w:cs="Palatino Linotype"/>
          <w:sz w:val="22"/>
          <w:szCs w:val="22"/>
        </w:rPr>
      </w:pPr>
    </w:p>
    <w:p w14:paraId="02C520A7" w14:textId="77777777" w:rsidR="00C55892" w:rsidRPr="0098792C" w:rsidRDefault="00297FA7">
      <w:pPr>
        <w:widowControl w:val="0"/>
        <w:spacing w:before="240" w:after="240" w:line="360" w:lineRule="auto"/>
        <w:jc w:val="center"/>
        <w:rPr>
          <w:rFonts w:ascii="Palatino Linotype" w:eastAsia="Palatino Linotype" w:hAnsi="Palatino Linotype" w:cs="Palatino Linotype"/>
          <w:b/>
        </w:rPr>
      </w:pPr>
      <w:r w:rsidRPr="0098792C">
        <w:rPr>
          <w:rFonts w:ascii="Palatino Linotype" w:eastAsia="Palatino Linotype" w:hAnsi="Palatino Linotype" w:cs="Palatino Linotype"/>
          <w:b/>
        </w:rPr>
        <w:lastRenderedPageBreak/>
        <w:t>II. C O N S I D E R A N D O S</w:t>
      </w:r>
    </w:p>
    <w:p w14:paraId="5F824D8E"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Primero. Competencia.</w:t>
      </w:r>
      <w:r w:rsidRPr="0098792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E624D8"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98792C">
        <w:rPr>
          <w:rFonts w:ascii="Palatino Linotype" w:eastAsia="Palatino Linotype" w:hAnsi="Palatino Linotype" w:cs="Palatino Linotype"/>
          <w:b/>
          <w:sz w:val="22"/>
          <w:szCs w:val="22"/>
        </w:rPr>
        <w:t>Segundo. Oportunidad y Procedibilidad del Recurso de Revisión</w:t>
      </w:r>
      <w:r w:rsidRPr="0098792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203E4C"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8792C">
        <w:rPr>
          <w:rFonts w:ascii="Palatino Linotype" w:eastAsia="Palatino Linotype" w:hAnsi="Palatino Linotype" w:cs="Palatino Linotype"/>
          <w:b/>
          <w:sz w:val="22"/>
          <w:szCs w:val="22"/>
        </w:rPr>
        <w:t xml:space="preserve">Sujeto Obligado </w:t>
      </w:r>
      <w:r w:rsidRPr="0098792C">
        <w:rPr>
          <w:rFonts w:ascii="Palatino Linotype" w:eastAsia="Palatino Linotype" w:hAnsi="Palatino Linotype" w:cs="Palatino Linotype"/>
          <w:sz w:val="22"/>
          <w:szCs w:val="22"/>
        </w:rPr>
        <w:t xml:space="preserve">notificó la respuesta a la solicitud de información el </w:t>
      </w:r>
      <w:r w:rsidRPr="0098792C">
        <w:rPr>
          <w:rFonts w:ascii="Palatino Linotype" w:eastAsia="Palatino Linotype" w:hAnsi="Palatino Linotype" w:cs="Palatino Linotype"/>
          <w:b/>
          <w:sz w:val="22"/>
          <w:szCs w:val="22"/>
        </w:rPr>
        <w:t>veinte de marzo</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 xml:space="preserve">de dos mil veinticinco, </w:t>
      </w:r>
      <w:r w:rsidRPr="0098792C">
        <w:rPr>
          <w:rFonts w:ascii="Palatino Linotype" w:eastAsia="Palatino Linotype" w:hAnsi="Palatino Linotype" w:cs="Palatino Linotype"/>
          <w:sz w:val="22"/>
          <w:szCs w:val="22"/>
        </w:rPr>
        <w:t xml:space="preserve">mientras que el recurso de revisión interpuesto por </w:t>
      </w:r>
      <w:r w:rsidRPr="0098792C">
        <w:rPr>
          <w:rFonts w:ascii="Palatino Linotype" w:eastAsia="Palatino Linotype" w:hAnsi="Palatino Linotype" w:cs="Palatino Linotype"/>
          <w:b/>
          <w:sz w:val="22"/>
          <w:szCs w:val="22"/>
        </w:rPr>
        <w:t>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 xml:space="preserve">, se tuvo por presentado el día </w:t>
      </w:r>
      <w:r w:rsidRPr="0098792C">
        <w:rPr>
          <w:rFonts w:ascii="Palatino Linotype" w:eastAsia="Palatino Linotype" w:hAnsi="Palatino Linotype" w:cs="Palatino Linotype"/>
          <w:b/>
          <w:sz w:val="22"/>
          <w:szCs w:val="22"/>
        </w:rPr>
        <w:t xml:space="preserve">veinticuatro de marzo de dos mil veinticinco, </w:t>
      </w:r>
      <w:r w:rsidRPr="0098792C">
        <w:rPr>
          <w:rFonts w:ascii="Palatino Linotype" w:eastAsia="Palatino Linotype" w:hAnsi="Palatino Linotype" w:cs="Palatino Linotype"/>
          <w:sz w:val="22"/>
          <w:szCs w:val="22"/>
        </w:rPr>
        <w:t xml:space="preserve">esto es, el </w:t>
      </w:r>
      <w:r w:rsidRPr="0098792C">
        <w:rPr>
          <w:rFonts w:ascii="Palatino Linotype" w:eastAsia="Palatino Linotype" w:hAnsi="Palatino Linotype" w:cs="Palatino Linotype"/>
          <w:b/>
          <w:sz w:val="22"/>
          <w:szCs w:val="22"/>
        </w:rPr>
        <w:t>segundo día hábil en el que tuvo conocimiento de la respuesta impugnada.</w:t>
      </w:r>
      <w:r w:rsidRPr="0098792C">
        <w:rPr>
          <w:rFonts w:ascii="Palatino Linotype" w:eastAsia="Palatino Linotype" w:hAnsi="Palatino Linotype" w:cs="Palatino Linotype"/>
          <w:sz w:val="22"/>
          <w:szCs w:val="22"/>
        </w:rPr>
        <w:t xml:space="preserve"> </w:t>
      </w:r>
    </w:p>
    <w:p w14:paraId="6C02BC8D"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40087059" w14:textId="77777777" w:rsidR="00C55892" w:rsidRPr="0098792C" w:rsidRDefault="00297FA7">
      <w:pPr>
        <w:spacing w:before="240" w:after="240" w:line="360" w:lineRule="auto"/>
        <w:ind w:right="40"/>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 xml:space="preserve">Asimismo por cuanto hace a la procedibilidad del recurso de revisión, es de suma importancia señalar que </w:t>
      </w:r>
      <w:r w:rsidRPr="0098792C">
        <w:rPr>
          <w:rFonts w:ascii="Palatino Linotype" w:eastAsia="Palatino Linotype" w:hAnsi="Palatino Linotype" w:cs="Palatino Linotype"/>
          <w:b/>
          <w:sz w:val="22"/>
          <w:szCs w:val="22"/>
        </w:rPr>
        <w:t>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no proporcionó nombre completo</w:t>
      </w:r>
      <w:r w:rsidRPr="0098792C">
        <w:rPr>
          <w:rFonts w:ascii="Palatino Linotype" w:eastAsia="Palatino Linotype" w:hAnsi="Palatino Linotype" w:cs="Palatino Linotype"/>
          <w:sz w:val="22"/>
          <w:szCs w:val="22"/>
        </w:rPr>
        <w:t xml:space="preserve"> con el que desea que se le identifique</w:t>
      </w:r>
      <w:r w:rsidRPr="0098792C">
        <w:rPr>
          <w:rFonts w:ascii="Palatino Linotype" w:eastAsia="Palatino Linotype" w:hAnsi="Palatino Linotype" w:cs="Palatino Linotype"/>
          <w:b/>
          <w:sz w:val="22"/>
          <w:szCs w:val="22"/>
        </w:rPr>
        <w:t>,</w:t>
      </w:r>
      <w:r w:rsidRPr="0098792C">
        <w:rPr>
          <w:rFonts w:ascii="Palatino Linotype" w:eastAsia="Palatino Linotype" w:hAnsi="Palatino Linotype" w:cs="Palatino Linotype"/>
          <w:sz w:val="22"/>
          <w:szCs w:val="22"/>
        </w:rPr>
        <w:t xml:space="preserve"> como se advierte en el detalle de seguimiento del SAIMEX, no obstante lo anterior, no proporcionar el nombre y únicamente contar con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CADB61" w14:textId="77777777" w:rsidR="00C55892" w:rsidRPr="0098792C" w:rsidRDefault="00297FA7">
      <w:pPr>
        <w:spacing w:before="240" w:after="240" w:line="276" w:lineRule="auto"/>
        <w:ind w:left="860" w:right="900"/>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 xml:space="preserve">Las solicitudes </w:t>
      </w:r>
      <w:r w:rsidRPr="0098792C">
        <w:rPr>
          <w:rFonts w:ascii="Palatino Linotype" w:eastAsia="Palatino Linotype" w:hAnsi="Palatino Linotype" w:cs="Palatino Linotype"/>
          <w:i/>
          <w:sz w:val="22"/>
          <w:szCs w:val="22"/>
        </w:rPr>
        <w:t xml:space="preserve">anónimas, con </w:t>
      </w:r>
      <w:r w:rsidRPr="0098792C">
        <w:rPr>
          <w:rFonts w:ascii="Palatino Linotype" w:eastAsia="Palatino Linotype" w:hAnsi="Palatino Linotype" w:cs="Palatino Linotype"/>
          <w:b/>
          <w:i/>
          <w:sz w:val="22"/>
          <w:szCs w:val="22"/>
        </w:rPr>
        <w:t>nombre incompleto o seudónimo</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rPr>
        <w:t>serán procedentes para su trámite por parte del sujeto obligado ante quien se presente</w:t>
      </w:r>
      <w:r w:rsidRPr="0098792C">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674ED1EE" w14:textId="77777777" w:rsidR="00C55892" w:rsidRPr="0098792C" w:rsidRDefault="00297FA7">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98792C">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5D8926B"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Finalmente, se advierte que resulta procedente la interposición del recurso, según lo manifestado por </w:t>
      </w:r>
      <w:r w:rsidRPr="0098792C">
        <w:rPr>
          <w:rFonts w:ascii="Palatino Linotype" w:eastAsia="Palatino Linotype" w:hAnsi="Palatino Linotype" w:cs="Palatino Linotype"/>
          <w:b/>
          <w:sz w:val="22"/>
          <w:szCs w:val="22"/>
        </w:rPr>
        <w:t>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 xml:space="preserve"> en sus motivos de inconformidad, de acuerdo al artículo 179, fracciones II y V del ordenamiento legal citado, que a la letra dice: </w:t>
      </w:r>
    </w:p>
    <w:p w14:paraId="7075EF7B" w14:textId="77777777" w:rsidR="00C55892" w:rsidRPr="0098792C" w:rsidRDefault="00297FA7">
      <w:pPr>
        <w:spacing w:before="120" w:after="120"/>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179.</w:t>
      </w:r>
      <w:r w:rsidRPr="0098792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7712F00" w14:textId="77777777" w:rsidR="00C55892" w:rsidRPr="0098792C" w:rsidRDefault="00297FA7">
      <w:pPr>
        <w:spacing w:before="120" w:after="120"/>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4C2513CD" w14:textId="77777777" w:rsidR="00C55892" w:rsidRPr="0098792C" w:rsidRDefault="00297FA7">
      <w:pPr>
        <w:spacing w:before="120" w:after="120"/>
        <w:ind w:left="567" w:right="902"/>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t>II. La clasificación de la información;</w:t>
      </w:r>
    </w:p>
    <w:p w14:paraId="4575829A" w14:textId="77777777" w:rsidR="00C55892" w:rsidRPr="0098792C" w:rsidRDefault="00297FA7">
      <w:pPr>
        <w:spacing w:before="120" w:after="120"/>
        <w:ind w:left="567" w:right="902"/>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w:t>
      </w:r>
    </w:p>
    <w:p w14:paraId="482033B3" w14:textId="77777777" w:rsidR="00C55892" w:rsidRPr="0098792C" w:rsidRDefault="00297FA7">
      <w:pPr>
        <w:spacing w:before="120" w:after="120"/>
        <w:ind w:left="567" w:right="902"/>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lastRenderedPageBreak/>
        <w:t>V. La entrega de información incompleta;”</w:t>
      </w:r>
      <w:r w:rsidRPr="0098792C">
        <w:rPr>
          <w:rFonts w:ascii="Palatino Linotype" w:eastAsia="Palatino Linotype" w:hAnsi="Palatino Linotype" w:cs="Palatino Linotype"/>
          <w:b/>
          <w:i/>
          <w:sz w:val="22"/>
          <w:szCs w:val="22"/>
        </w:rPr>
        <w:t xml:space="preserve"> </w:t>
      </w:r>
      <w:r w:rsidRPr="0098792C">
        <w:rPr>
          <w:rFonts w:ascii="Palatino Linotype" w:eastAsia="Palatino Linotype" w:hAnsi="Palatino Linotype" w:cs="Palatino Linotype"/>
          <w:i/>
          <w:sz w:val="22"/>
          <w:szCs w:val="22"/>
        </w:rPr>
        <w:t>(Énfasis añadido)</w:t>
      </w:r>
    </w:p>
    <w:p w14:paraId="166C2722" w14:textId="77777777" w:rsidR="00C55892" w:rsidRPr="0098792C" w:rsidRDefault="00297FA7">
      <w:pPr>
        <w:spacing w:before="240" w:after="240"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Tercero. Materia de la revisión. </w:t>
      </w:r>
      <w:r w:rsidRPr="0098792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8792C">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98792C">
        <w:rPr>
          <w:rFonts w:ascii="Palatino Linotype" w:eastAsia="Palatino Linotype" w:hAnsi="Palatino Linotype" w:cs="Palatino Linotype"/>
          <w:sz w:val="22"/>
          <w:szCs w:val="22"/>
        </w:rPr>
        <w:t xml:space="preserve">de </w:t>
      </w:r>
      <w:r w:rsidRPr="0098792C">
        <w:rPr>
          <w:rFonts w:ascii="Palatino Linotype" w:eastAsia="Palatino Linotype" w:hAnsi="Palatino Linotype" w:cs="Palatino Linotype"/>
          <w:b/>
          <w:sz w:val="22"/>
          <w:szCs w:val="22"/>
        </w:rPr>
        <w:t>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 o en su defecto, en caso de ser procedente, ordenar la entrega de información.</w:t>
      </w:r>
    </w:p>
    <w:p w14:paraId="4E25F34E" w14:textId="77777777" w:rsidR="00C55892" w:rsidRPr="0098792C" w:rsidRDefault="00297FA7">
      <w:pPr>
        <w:pBdr>
          <w:top w:val="nil"/>
          <w:left w:val="nil"/>
          <w:bottom w:val="nil"/>
          <w:right w:val="nil"/>
          <w:between w:val="nil"/>
        </w:pBdr>
        <w:spacing w:before="240" w:after="240" w:line="360" w:lineRule="auto"/>
        <w:jc w:val="both"/>
        <w:rPr>
          <w:sz w:val="22"/>
          <w:szCs w:val="22"/>
        </w:rPr>
      </w:pPr>
      <w:bookmarkStart w:id="7" w:name="_heading=h.2et92p0" w:colFirst="0" w:colLast="0"/>
      <w:bookmarkEnd w:id="7"/>
      <w:r w:rsidRPr="0098792C">
        <w:rPr>
          <w:rFonts w:ascii="Palatino Linotype" w:eastAsia="Palatino Linotype" w:hAnsi="Palatino Linotype" w:cs="Palatino Linotype"/>
          <w:b/>
          <w:sz w:val="22"/>
          <w:szCs w:val="22"/>
        </w:rPr>
        <w:t xml:space="preserve">Cuarto. Estudio del asunto </w:t>
      </w:r>
      <w:r w:rsidRPr="0098792C">
        <w:rPr>
          <w:rFonts w:ascii="Palatino Linotype" w:eastAsia="Palatino Linotype" w:hAnsi="Palatino Linotype" w:cs="Palatino Linotype"/>
          <w:sz w:val="22"/>
          <w:szCs w:val="22"/>
        </w:rPr>
        <w:t xml:space="preserve">Antes de entrar al análisis de los pronunciamientos del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0F3DAC5" w14:textId="77777777" w:rsidR="00C55892" w:rsidRPr="0098792C" w:rsidRDefault="00297FA7">
      <w:pPr>
        <w:pBdr>
          <w:top w:val="nil"/>
          <w:left w:val="nil"/>
          <w:bottom w:val="nil"/>
          <w:right w:val="nil"/>
          <w:between w:val="nil"/>
        </w:pBdr>
        <w:spacing w:before="240" w:after="240"/>
        <w:ind w:left="851" w:right="850"/>
        <w:jc w:val="both"/>
      </w:pPr>
      <w:r w:rsidRPr="0098792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8792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61C6C77" w14:textId="77777777" w:rsidR="00C55892" w:rsidRPr="0098792C" w:rsidRDefault="00297FA7">
      <w:pPr>
        <w:pBdr>
          <w:top w:val="nil"/>
          <w:left w:val="nil"/>
          <w:bottom w:val="nil"/>
          <w:right w:val="nil"/>
          <w:between w:val="nil"/>
        </w:pBdr>
        <w:spacing w:before="240" w:after="240"/>
        <w:ind w:left="851" w:right="850"/>
        <w:jc w:val="both"/>
      </w:pPr>
      <w:r w:rsidRPr="0098792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B79F436" w14:textId="77777777" w:rsidR="00C55892" w:rsidRPr="0098792C" w:rsidRDefault="00297FA7">
      <w:pPr>
        <w:pBdr>
          <w:top w:val="nil"/>
          <w:left w:val="nil"/>
          <w:bottom w:val="nil"/>
          <w:right w:val="nil"/>
          <w:between w:val="nil"/>
        </w:pBdr>
        <w:spacing w:before="240" w:after="240"/>
        <w:ind w:left="851" w:right="850"/>
        <w:jc w:val="both"/>
      </w:pPr>
      <w:r w:rsidRPr="0098792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8792C">
        <w:rPr>
          <w:rFonts w:ascii="Palatino Linotype" w:eastAsia="Palatino Linotype" w:hAnsi="Palatino Linotype" w:cs="Palatino Linotype"/>
          <w:i/>
          <w:sz w:val="22"/>
          <w:szCs w:val="22"/>
        </w:rPr>
        <w:t xml:space="preserve"> En consecuencia, el </w:t>
      </w:r>
      <w:r w:rsidRPr="0098792C">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209A936F" w14:textId="77777777" w:rsidR="00C55892" w:rsidRPr="0098792C" w:rsidRDefault="00297FA7">
      <w:pPr>
        <w:pBdr>
          <w:top w:val="nil"/>
          <w:left w:val="nil"/>
          <w:bottom w:val="nil"/>
          <w:right w:val="nil"/>
          <w:between w:val="nil"/>
        </w:pBdr>
        <w:spacing w:before="240" w:after="240"/>
        <w:ind w:left="851" w:right="850"/>
        <w:jc w:val="both"/>
      </w:pPr>
      <w:r w:rsidRPr="0098792C">
        <w:rPr>
          <w:rFonts w:ascii="Palatino Linotype" w:eastAsia="Palatino Linotype" w:hAnsi="Palatino Linotype" w:cs="Palatino Linotype"/>
          <w:i/>
          <w:sz w:val="22"/>
          <w:szCs w:val="22"/>
        </w:rPr>
        <w:t>[…]</w:t>
      </w:r>
    </w:p>
    <w:p w14:paraId="6516DEAA" w14:textId="77777777" w:rsidR="00C55892" w:rsidRPr="0098792C" w:rsidRDefault="00297FA7">
      <w:pPr>
        <w:pBdr>
          <w:top w:val="nil"/>
          <w:left w:val="nil"/>
          <w:bottom w:val="nil"/>
          <w:right w:val="nil"/>
          <w:between w:val="nil"/>
        </w:pBdr>
        <w:spacing w:before="240" w:after="240"/>
        <w:ind w:left="851" w:right="901"/>
        <w:jc w:val="both"/>
      </w:pPr>
      <w:r w:rsidRPr="0098792C">
        <w:rPr>
          <w:rFonts w:ascii="Palatino Linotype" w:eastAsia="Palatino Linotype" w:hAnsi="Palatino Linotype" w:cs="Palatino Linotype"/>
          <w:b/>
          <w:i/>
          <w:sz w:val="22"/>
          <w:szCs w:val="22"/>
        </w:rPr>
        <w:t>“Artículo 6o.</w:t>
      </w:r>
    </w:p>
    <w:p w14:paraId="39691BB1" w14:textId="77777777" w:rsidR="00C55892" w:rsidRPr="0098792C" w:rsidRDefault="00297FA7">
      <w:pPr>
        <w:pBdr>
          <w:top w:val="nil"/>
          <w:left w:val="nil"/>
          <w:bottom w:val="nil"/>
          <w:right w:val="nil"/>
          <w:between w:val="nil"/>
        </w:pBdr>
        <w:spacing w:before="240" w:after="240"/>
        <w:ind w:left="851" w:right="901"/>
        <w:jc w:val="both"/>
      </w:pPr>
      <w:r w:rsidRPr="0098792C">
        <w:rPr>
          <w:rFonts w:ascii="Palatino Linotype" w:eastAsia="Palatino Linotype" w:hAnsi="Palatino Linotype" w:cs="Palatino Linotype"/>
          <w:i/>
          <w:sz w:val="22"/>
          <w:szCs w:val="22"/>
        </w:rPr>
        <w:t>[...]</w:t>
      </w:r>
    </w:p>
    <w:p w14:paraId="1058196A" w14:textId="77777777" w:rsidR="00C55892" w:rsidRPr="0098792C" w:rsidRDefault="00297FA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 xml:space="preserve">A. Para el ejercicio del derecho de acceso a la información, la Federación y </w:t>
      </w:r>
      <w:r w:rsidRPr="0098792C">
        <w:rPr>
          <w:rFonts w:ascii="Palatino Linotype" w:eastAsia="Palatino Linotype" w:hAnsi="Palatino Linotype" w:cs="Palatino Linotype"/>
          <w:b/>
          <w:i/>
          <w:sz w:val="22"/>
          <w:szCs w:val="22"/>
          <w:u w:val="single"/>
        </w:rPr>
        <w:t>las entidades federativas</w:t>
      </w:r>
      <w:r w:rsidRPr="0098792C">
        <w:rPr>
          <w:rFonts w:ascii="Palatino Linotype" w:eastAsia="Palatino Linotype" w:hAnsi="Palatino Linotype" w:cs="Palatino Linotype"/>
          <w:b/>
          <w:i/>
          <w:sz w:val="22"/>
          <w:szCs w:val="22"/>
        </w:rPr>
        <w:t>,</w:t>
      </w:r>
      <w:r w:rsidRPr="0098792C">
        <w:rPr>
          <w:rFonts w:ascii="Palatino Linotype" w:eastAsia="Palatino Linotype" w:hAnsi="Palatino Linotype" w:cs="Palatino Linotype"/>
          <w:i/>
          <w:sz w:val="22"/>
          <w:szCs w:val="22"/>
        </w:rPr>
        <w:t xml:space="preserve"> en el ámbito de sus respectivas competencias, se regirán por los siguientes principios y bases:</w:t>
      </w:r>
    </w:p>
    <w:p w14:paraId="1ED3AF42" w14:textId="77777777" w:rsidR="00C55892" w:rsidRPr="0098792C" w:rsidRDefault="00297FA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w:t>
      </w:r>
      <w:r w:rsidRPr="0098792C">
        <w:rPr>
          <w:rFonts w:ascii="Palatino Linotype" w:eastAsia="Palatino Linotype" w:hAnsi="Palatino Linotype" w:cs="Palatino Linotype"/>
          <w:b/>
          <w:i/>
          <w:sz w:val="22"/>
          <w:szCs w:val="22"/>
        </w:rPr>
        <w:t xml:space="preserve">I. </w:t>
      </w:r>
      <w:r w:rsidRPr="0098792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8792C">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8792C">
        <w:rPr>
          <w:rFonts w:ascii="Palatino Linotype" w:eastAsia="Palatino Linotype" w:hAnsi="Palatino Linotype" w:cs="Palatino Linotype"/>
          <w:b/>
          <w:i/>
          <w:sz w:val="22"/>
          <w:szCs w:val="22"/>
        </w:rPr>
        <w:t>es pública y sólo podrá ser reservada temporalmente por razones de interés público y seguridad nacional,</w:t>
      </w:r>
      <w:r w:rsidRPr="0098792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F72FD9" w14:textId="77777777" w:rsidR="00C55892" w:rsidRPr="0098792C" w:rsidRDefault="00297FA7">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5AF36C80" w14:textId="77777777" w:rsidR="00C55892" w:rsidRPr="0098792C" w:rsidRDefault="00297FA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w:t>
      </w:r>
      <w:r w:rsidRPr="0098792C">
        <w:rPr>
          <w:rFonts w:ascii="Palatino Linotype" w:eastAsia="Palatino Linotype" w:hAnsi="Palatino Linotype" w:cs="Palatino Linotype"/>
          <w:b/>
          <w:i/>
          <w:sz w:val="22"/>
          <w:szCs w:val="22"/>
        </w:rPr>
        <w:t xml:space="preserve">III. </w:t>
      </w:r>
      <w:r w:rsidRPr="0098792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8792C">
        <w:rPr>
          <w:rFonts w:ascii="Palatino Linotype" w:eastAsia="Palatino Linotype" w:hAnsi="Palatino Linotype" w:cs="Palatino Linotype"/>
          <w:i/>
          <w:sz w:val="22"/>
          <w:szCs w:val="22"/>
        </w:rPr>
        <w:t xml:space="preserve"> a sus datos personales o a la rectificación de éstos.</w:t>
      </w:r>
    </w:p>
    <w:p w14:paraId="47964E14" w14:textId="77777777" w:rsidR="00C55892" w:rsidRPr="0098792C" w:rsidRDefault="00297FA7">
      <w:pPr>
        <w:pBdr>
          <w:top w:val="nil"/>
          <w:left w:val="nil"/>
          <w:bottom w:val="nil"/>
          <w:right w:val="nil"/>
          <w:between w:val="nil"/>
        </w:pBdr>
        <w:spacing w:before="240" w:after="240"/>
        <w:ind w:left="851" w:right="851"/>
        <w:jc w:val="both"/>
      </w:pPr>
      <w:r w:rsidRPr="0098792C">
        <w:rPr>
          <w:rFonts w:ascii="Palatino Linotype" w:eastAsia="Palatino Linotype" w:hAnsi="Palatino Linotype" w:cs="Palatino Linotype"/>
          <w:b/>
          <w:i/>
          <w:sz w:val="22"/>
          <w:szCs w:val="22"/>
        </w:rPr>
        <w:t>…</w:t>
      </w:r>
    </w:p>
    <w:p w14:paraId="6C3E3E76" w14:textId="77777777" w:rsidR="00C55892" w:rsidRPr="0098792C" w:rsidRDefault="00297FA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IV.</w:t>
      </w:r>
      <w:r w:rsidRPr="0098792C">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AEF35F8" w14:textId="77777777" w:rsidR="00C55892" w:rsidRPr="0098792C" w:rsidRDefault="00297FA7">
      <w:pPr>
        <w:pBdr>
          <w:top w:val="nil"/>
          <w:left w:val="nil"/>
          <w:bottom w:val="nil"/>
          <w:right w:val="nil"/>
          <w:between w:val="nil"/>
        </w:pBdr>
        <w:spacing w:before="240" w:after="240"/>
        <w:ind w:left="851" w:right="851"/>
        <w:jc w:val="both"/>
      </w:pPr>
      <w:r w:rsidRPr="0098792C">
        <w:rPr>
          <w:rFonts w:ascii="Palatino Linotype" w:eastAsia="Palatino Linotype" w:hAnsi="Palatino Linotype" w:cs="Palatino Linotype"/>
          <w:b/>
          <w:i/>
          <w:sz w:val="22"/>
          <w:szCs w:val="22"/>
        </w:rPr>
        <w:t xml:space="preserve">V. </w:t>
      </w:r>
      <w:r w:rsidRPr="0098792C">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98792C">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35F643BC" w14:textId="77777777" w:rsidR="00C55892" w:rsidRPr="0098792C" w:rsidRDefault="00297FA7">
      <w:pPr>
        <w:pBdr>
          <w:top w:val="nil"/>
          <w:left w:val="nil"/>
          <w:bottom w:val="nil"/>
          <w:right w:val="nil"/>
          <w:between w:val="nil"/>
        </w:pBdr>
        <w:spacing w:before="240" w:after="240"/>
        <w:ind w:left="851" w:right="851"/>
        <w:jc w:val="both"/>
      </w:pPr>
      <w:r w:rsidRPr="0098792C">
        <w:rPr>
          <w:rFonts w:ascii="Palatino Linotype" w:eastAsia="Palatino Linotype" w:hAnsi="Palatino Linotype" w:cs="Palatino Linotype"/>
          <w:i/>
          <w:sz w:val="22"/>
          <w:szCs w:val="22"/>
        </w:rPr>
        <w:t> </w:t>
      </w:r>
      <w:r w:rsidRPr="0098792C">
        <w:rPr>
          <w:rFonts w:ascii="Palatino Linotype" w:eastAsia="Palatino Linotype" w:hAnsi="Palatino Linotype" w:cs="Palatino Linotype"/>
          <w:b/>
          <w:i/>
          <w:sz w:val="22"/>
          <w:szCs w:val="22"/>
        </w:rPr>
        <w:t xml:space="preserve">VI. </w:t>
      </w:r>
      <w:r w:rsidRPr="0098792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3915891" w14:textId="77777777" w:rsidR="00C55892" w:rsidRPr="0098792C" w:rsidRDefault="00297FA7">
      <w:pPr>
        <w:pBdr>
          <w:top w:val="nil"/>
          <w:left w:val="nil"/>
          <w:bottom w:val="nil"/>
          <w:right w:val="nil"/>
          <w:between w:val="nil"/>
        </w:pBdr>
        <w:spacing w:before="240" w:after="240"/>
        <w:ind w:left="851" w:right="851"/>
        <w:jc w:val="both"/>
      </w:pPr>
      <w:r w:rsidRPr="0098792C">
        <w:rPr>
          <w:rFonts w:ascii="Palatino Linotype" w:eastAsia="Palatino Linotype" w:hAnsi="Palatino Linotype" w:cs="Palatino Linotype"/>
          <w:i/>
          <w:sz w:val="22"/>
          <w:szCs w:val="22"/>
        </w:rPr>
        <w:t> </w:t>
      </w:r>
      <w:r w:rsidRPr="0098792C">
        <w:rPr>
          <w:rFonts w:ascii="Palatino Linotype" w:eastAsia="Palatino Linotype" w:hAnsi="Palatino Linotype" w:cs="Palatino Linotype"/>
          <w:b/>
          <w:i/>
          <w:sz w:val="22"/>
          <w:szCs w:val="22"/>
        </w:rPr>
        <w:t xml:space="preserve">VII. </w:t>
      </w:r>
      <w:r w:rsidRPr="0098792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9FF8147" w14:textId="77777777" w:rsidR="00C55892" w:rsidRPr="0098792C" w:rsidRDefault="00297FA7">
      <w:pPr>
        <w:pBdr>
          <w:top w:val="nil"/>
          <w:left w:val="nil"/>
          <w:bottom w:val="nil"/>
          <w:right w:val="nil"/>
          <w:between w:val="nil"/>
        </w:pBdr>
        <w:spacing w:before="240" w:after="240" w:line="360" w:lineRule="auto"/>
        <w:jc w:val="both"/>
        <w:rPr>
          <w:sz w:val="22"/>
          <w:szCs w:val="22"/>
        </w:rPr>
      </w:pPr>
      <w:r w:rsidRPr="0098792C">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0F4907" w14:textId="77777777" w:rsidR="00C55892" w:rsidRPr="0098792C" w:rsidRDefault="00297FA7">
      <w:pPr>
        <w:pBdr>
          <w:top w:val="nil"/>
          <w:left w:val="nil"/>
          <w:bottom w:val="nil"/>
          <w:right w:val="nil"/>
          <w:between w:val="nil"/>
        </w:pBdr>
        <w:spacing w:before="240" w:after="240"/>
        <w:ind w:left="709" w:right="760"/>
        <w:jc w:val="both"/>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4</w:t>
      </w:r>
      <w:r w:rsidRPr="0098792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77148EA" w14:textId="77777777" w:rsidR="00C55892" w:rsidRPr="0098792C" w:rsidRDefault="00297FA7">
      <w:pPr>
        <w:pBdr>
          <w:top w:val="nil"/>
          <w:left w:val="nil"/>
          <w:bottom w:val="nil"/>
          <w:right w:val="nil"/>
          <w:between w:val="nil"/>
        </w:pBdr>
        <w:spacing w:before="240" w:after="240"/>
        <w:ind w:left="709" w:right="760"/>
        <w:jc w:val="both"/>
      </w:pPr>
      <w:r w:rsidRPr="0098792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0071BC4" w14:textId="77777777" w:rsidR="00C55892" w:rsidRPr="0098792C" w:rsidRDefault="00297FA7">
      <w:pPr>
        <w:pBdr>
          <w:top w:val="nil"/>
          <w:left w:val="nil"/>
          <w:bottom w:val="nil"/>
          <w:right w:val="nil"/>
          <w:between w:val="nil"/>
        </w:pBdr>
        <w:spacing w:before="240" w:after="240"/>
        <w:ind w:left="709" w:right="760"/>
        <w:jc w:val="both"/>
      </w:pPr>
      <w:r w:rsidRPr="0098792C">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1BC0F11E" w14:textId="77777777" w:rsidR="00C55892" w:rsidRPr="0098792C" w:rsidRDefault="00297FA7">
      <w:pPr>
        <w:pBdr>
          <w:top w:val="nil"/>
          <w:left w:val="nil"/>
          <w:bottom w:val="nil"/>
          <w:right w:val="nil"/>
          <w:between w:val="nil"/>
        </w:pBdr>
        <w:spacing w:before="240" w:after="240" w:line="360" w:lineRule="auto"/>
        <w:jc w:val="both"/>
        <w:rPr>
          <w:sz w:val="22"/>
          <w:szCs w:val="22"/>
        </w:rPr>
      </w:pPr>
      <w:r w:rsidRPr="0098792C">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3EEC73E" w14:textId="77777777" w:rsidR="00C55892" w:rsidRPr="0098792C" w:rsidRDefault="00297FA7">
      <w:pPr>
        <w:pBdr>
          <w:top w:val="nil"/>
          <w:left w:val="nil"/>
          <w:bottom w:val="nil"/>
          <w:right w:val="nil"/>
          <w:between w:val="nil"/>
        </w:pBdr>
        <w:spacing w:before="240" w:after="240"/>
        <w:ind w:left="567" w:right="758"/>
        <w:jc w:val="both"/>
        <w:rPr>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12</w:t>
      </w:r>
      <w:r w:rsidRPr="0098792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A5E69F9" w14:textId="77777777" w:rsidR="00C55892" w:rsidRPr="0098792C" w:rsidRDefault="00297FA7">
      <w:pPr>
        <w:pBdr>
          <w:top w:val="nil"/>
          <w:left w:val="nil"/>
          <w:bottom w:val="nil"/>
          <w:right w:val="nil"/>
          <w:between w:val="nil"/>
        </w:pBdr>
        <w:spacing w:before="240" w:after="240"/>
        <w:ind w:left="567" w:right="758"/>
        <w:jc w:val="both"/>
        <w:rPr>
          <w:sz w:val="22"/>
          <w:szCs w:val="22"/>
        </w:rPr>
      </w:pPr>
      <w:r w:rsidRPr="0098792C">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141DC4" w14:textId="77777777" w:rsidR="00C55892" w:rsidRPr="0098792C" w:rsidRDefault="00297FA7">
      <w:pPr>
        <w:pBdr>
          <w:top w:val="nil"/>
          <w:left w:val="nil"/>
          <w:bottom w:val="nil"/>
          <w:right w:val="nil"/>
          <w:between w:val="nil"/>
        </w:pBdr>
        <w:spacing w:before="240" w:after="240" w:line="360" w:lineRule="auto"/>
        <w:jc w:val="both"/>
        <w:rPr>
          <w:sz w:val="22"/>
          <w:szCs w:val="22"/>
        </w:rPr>
      </w:pPr>
      <w:r w:rsidRPr="0098792C">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98792C">
        <w:rPr>
          <w:rFonts w:ascii="Palatino Linotype" w:eastAsia="Palatino Linotype" w:hAnsi="Palatino Linotype" w:cs="Palatino Linotype"/>
          <w:b/>
          <w:sz w:val="22"/>
          <w:szCs w:val="22"/>
        </w:rPr>
        <w:t xml:space="preserve"> </w:t>
      </w:r>
      <w:r w:rsidRPr="0098792C">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98792C">
        <w:rPr>
          <w:rFonts w:ascii="Palatino Linotype" w:eastAsia="Palatino Linotype" w:hAnsi="Palatino Linotype" w:cs="Palatino Linotype"/>
          <w:i/>
          <w:sz w:val="22"/>
          <w:szCs w:val="22"/>
        </w:rPr>
        <w:t>ad hoc</w:t>
      </w:r>
      <w:r w:rsidRPr="0098792C">
        <w:rPr>
          <w:rFonts w:ascii="Palatino Linotype" w:eastAsia="Palatino Linotype" w:hAnsi="Palatino Linotype" w:cs="Palatino Linotype"/>
          <w:sz w:val="22"/>
          <w:szCs w:val="22"/>
        </w:rPr>
        <w:t>,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15C6DDC5" w14:textId="77777777" w:rsidR="00C55892" w:rsidRPr="0098792C" w:rsidRDefault="00297FA7">
      <w:pPr>
        <w:pBdr>
          <w:top w:val="nil"/>
          <w:left w:val="nil"/>
          <w:bottom w:val="nil"/>
          <w:right w:val="nil"/>
          <w:between w:val="nil"/>
        </w:pBdr>
        <w:spacing w:before="240" w:after="240"/>
        <w:ind w:left="567" w:right="900"/>
        <w:jc w:val="both"/>
        <w:rPr>
          <w:sz w:val="22"/>
          <w:szCs w:val="22"/>
        </w:rPr>
      </w:pPr>
      <w:r w:rsidRPr="0098792C">
        <w:rPr>
          <w:rFonts w:ascii="Palatino Linotype" w:eastAsia="Palatino Linotype" w:hAnsi="Palatino Linotype" w:cs="Palatino Linotype"/>
          <w:b/>
          <w:i/>
          <w:sz w:val="22"/>
          <w:szCs w:val="22"/>
        </w:rPr>
        <w:t>03/17</w:t>
      </w:r>
    </w:p>
    <w:p w14:paraId="093681D2" w14:textId="77777777" w:rsidR="00C55892" w:rsidRPr="0098792C" w:rsidRDefault="00297FA7">
      <w:pPr>
        <w:pBdr>
          <w:top w:val="nil"/>
          <w:left w:val="nil"/>
          <w:bottom w:val="nil"/>
          <w:right w:val="nil"/>
          <w:between w:val="nil"/>
        </w:pBdr>
        <w:spacing w:before="240" w:after="240"/>
        <w:ind w:left="567" w:right="900"/>
        <w:jc w:val="both"/>
        <w:rPr>
          <w:sz w:val="22"/>
          <w:szCs w:val="22"/>
        </w:rPr>
      </w:pPr>
      <w:r w:rsidRPr="0098792C">
        <w:rPr>
          <w:rFonts w:ascii="Palatino Linotype" w:eastAsia="Palatino Linotype" w:hAnsi="Palatino Linotype" w:cs="Palatino Linotype"/>
          <w:b/>
          <w:i/>
          <w:sz w:val="22"/>
          <w:szCs w:val="22"/>
        </w:rPr>
        <w:t>“NO EXISTE OBLIGACIÓN DE ELABORAR DOCUMENTOS AD HOC PARA ATENDER LAS SOLICITUDES DE ACCESO A LA INFORMACIÓN.</w:t>
      </w:r>
    </w:p>
    <w:p w14:paraId="0B1F120F" w14:textId="77777777" w:rsidR="00C55892" w:rsidRPr="0098792C" w:rsidRDefault="00297FA7">
      <w:pPr>
        <w:pBdr>
          <w:top w:val="nil"/>
          <w:left w:val="nil"/>
          <w:bottom w:val="nil"/>
          <w:right w:val="nil"/>
          <w:between w:val="nil"/>
        </w:pBdr>
        <w:spacing w:before="240" w:after="240"/>
        <w:ind w:left="567" w:right="900"/>
        <w:jc w:val="both"/>
        <w:rPr>
          <w:sz w:val="22"/>
          <w:szCs w:val="22"/>
        </w:rPr>
      </w:pPr>
      <w:r w:rsidRPr="0098792C">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w:t>
      </w:r>
      <w:r w:rsidRPr="0098792C">
        <w:rPr>
          <w:rFonts w:ascii="Palatino Linotype" w:eastAsia="Palatino Linotype" w:hAnsi="Palatino Linotype" w:cs="Palatino Linotype"/>
          <w:i/>
          <w:sz w:val="22"/>
          <w:szCs w:val="22"/>
        </w:rPr>
        <w:lastRenderedPageBreak/>
        <w:t>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20488D7" w14:textId="77777777" w:rsidR="00C55892" w:rsidRPr="0098792C" w:rsidRDefault="00297FA7">
      <w:pPr>
        <w:pBdr>
          <w:top w:val="nil"/>
          <w:left w:val="nil"/>
          <w:bottom w:val="nil"/>
          <w:right w:val="nil"/>
          <w:between w:val="nil"/>
        </w:pBdr>
        <w:spacing w:before="240" w:after="240" w:line="360" w:lineRule="auto"/>
        <w:jc w:val="both"/>
        <w:rPr>
          <w:sz w:val="22"/>
          <w:szCs w:val="22"/>
        </w:rPr>
      </w:pPr>
      <w:r w:rsidRPr="0098792C">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3026D35" w14:textId="77777777" w:rsidR="00C55892" w:rsidRPr="0098792C" w:rsidRDefault="00297FA7">
      <w:pPr>
        <w:pBdr>
          <w:top w:val="nil"/>
          <w:left w:val="nil"/>
          <w:bottom w:val="nil"/>
          <w:right w:val="nil"/>
          <w:between w:val="nil"/>
        </w:pBdr>
        <w:spacing w:before="240" w:after="240" w:line="360" w:lineRule="auto"/>
        <w:ind w:right="49"/>
        <w:jc w:val="both"/>
        <w:rPr>
          <w:sz w:val="22"/>
          <w:szCs w:val="22"/>
        </w:rPr>
      </w:pPr>
      <w:r w:rsidRPr="0098792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246092" w14:textId="77777777" w:rsidR="00C55892" w:rsidRPr="0098792C" w:rsidRDefault="00297FA7">
      <w:pPr>
        <w:pBdr>
          <w:top w:val="nil"/>
          <w:left w:val="nil"/>
          <w:bottom w:val="nil"/>
          <w:right w:val="nil"/>
          <w:between w:val="nil"/>
        </w:pBdr>
        <w:spacing w:before="240" w:after="240" w:line="360" w:lineRule="auto"/>
        <w:jc w:val="both"/>
        <w:rPr>
          <w:sz w:val="22"/>
          <w:szCs w:val="22"/>
        </w:rPr>
      </w:pPr>
      <w:r w:rsidRPr="0098792C">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199A478" w14:textId="77777777" w:rsidR="00C55892" w:rsidRPr="0098792C" w:rsidRDefault="00297FA7">
      <w:pPr>
        <w:pBdr>
          <w:top w:val="nil"/>
          <w:left w:val="nil"/>
          <w:bottom w:val="nil"/>
          <w:right w:val="nil"/>
          <w:between w:val="nil"/>
        </w:pBdr>
        <w:spacing w:before="240" w:after="240"/>
        <w:ind w:left="567" w:right="567"/>
        <w:jc w:val="both"/>
        <w:rPr>
          <w:sz w:val="22"/>
          <w:szCs w:val="22"/>
        </w:rPr>
      </w:pPr>
      <w:r w:rsidRPr="0098792C">
        <w:rPr>
          <w:rFonts w:ascii="Palatino Linotype" w:eastAsia="Palatino Linotype" w:hAnsi="Palatino Linotype" w:cs="Palatino Linotype"/>
          <w:i/>
          <w:sz w:val="22"/>
          <w:szCs w:val="22"/>
        </w:rPr>
        <w:lastRenderedPageBreak/>
        <w:t>“</w:t>
      </w:r>
      <w:r w:rsidRPr="0098792C">
        <w:rPr>
          <w:rFonts w:ascii="Palatino Linotype" w:eastAsia="Palatino Linotype" w:hAnsi="Palatino Linotype" w:cs="Palatino Linotype"/>
          <w:b/>
          <w:i/>
          <w:sz w:val="22"/>
          <w:szCs w:val="22"/>
        </w:rPr>
        <w:t xml:space="preserve">Artículo 3. </w:t>
      </w:r>
      <w:r w:rsidRPr="0098792C">
        <w:rPr>
          <w:rFonts w:ascii="Palatino Linotype" w:eastAsia="Palatino Linotype" w:hAnsi="Palatino Linotype" w:cs="Palatino Linotype"/>
          <w:i/>
          <w:sz w:val="22"/>
          <w:szCs w:val="22"/>
        </w:rPr>
        <w:t>Para los efectos de la presente Ley se entenderá por:</w:t>
      </w:r>
    </w:p>
    <w:p w14:paraId="3E476ADB" w14:textId="77777777" w:rsidR="00C55892" w:rsidRPr="0098792C" w:rsidRDefault="00297FA7">
      <w:pPr>
        <w:pBdr>
          <w:top w:val="nil"/>
          <w:left w:val="nil"/>
          <w:bottom w:val="nil"/>
          <w:right w:val="nil"/>
          <w:between w:val="nil"/>
        </w:pBdr>
        <w:spacing w:before="240" w:after="240"/>
        <w:ind w:left="567" w:right="567"/>
        <w:jc w:val="both"/>
        <w:rPr>
          <w:sz w:val="22"/>
          <w:szCs w:val="22"/>
        </w:rPr>
      </w:pPr>
      <w:r w:rsidRPr="0098792C">
        <w:rPr>
          <w:rFonts w:ascii="Palatino Linotype" w:eastAsia="Palatino Linotype" w:hAnsi="Palatino Linotype" w:cs="Palatino Linotype"/>
          <w:i/>
          <w:sz w:val="22"/>
          <w:szCs w:val="22"/>
        </w:rPr>
        <w:t>…</w:t>
      </w:r>
    </w:p>
    <w:p w14:paraId="54DB368A" w14:textId="77777777" w:rsidR="00C55892" w:rsidRPr="0098792C" w:rsidRDefault="00297FA7">
      <w:pPr>
        <w:pBdr>
          <w:top w:val="nil"/>
          <w:left w:val="nil"/>
          <w:bottom w:val="nil"/>
          <w:right w:val="nil"/>
          <w:between w:val="nil"/>
        </w:pBdr>
        <w:spacing w:before="240" w:after="240"/>
        <w:ind w:left="567" w:right="567"/>
        <w:jc w:val="both"/>
        <w:rPr>
          <w:sz w:val="22"/>
          <w:szCs w:val="22"/>
        </w:rPr>
      </w:pPr>
      <w:r w:rsidRPr="0098792C">
        <w:rPr>
          <w:rFonts w:ascii="Palatino Linotype" w:eastAsia="Palatino Linotype" w:hAnsi="Palatino Linotype" w:cs="Palatino Linotype"/>
          <w:b/>
          <w:i/>
          <w:sz w:val="22"/>
          <w:szCs w:val="22"/>
        </w:rPr>
        <w:t>XI. Documento:</w:t>
      </w:r>
      <w:r w:rsidRPr="0098792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8792C">
        <w:rPr>
          <w:rFonts w:ascii="Palatino Linotype" w:eastAsia="Palatino Linotype" w:hAnsi="Palatino Linotype" w:cs="Palatino Linotype"/>
          <w:b/>
          <w:i/>
          <w:sz w:val="22"/>
          <w:szCs w:val="22"/>
        </w:rPr>
        <w:t>…</w:t>
      </w:r>
      <w:r w:rsidRPr="0098792C">
        <w:rPr>
          <w:rFonts w:ascii="Palatino Linotype" w:eastAsia="Palatino Linotype" w:hAnsi="Palatino Linotype" w:cs="Palatino Linotype"/>
          <w:i/>
          <w:sz w:val="22"/>
          <w:szCs w:val="22"/>
        </w:rPr>
        <w:t>”</w:t>
      </w:r>
    </w:p>
    <w:p w14:paraId="78C823F2" w14:textId="77777777" w:rsidR="00C55892" w:rsidRPr="0098792C" w:rsidRDefault="00297FA7">
      <w:pPr>
        <w:pBdr>
          <w:top w:val="nil"/>
          <w:left w:val="nil"/>
          <w:bottom w:val="nil"/>
          <w:right w:val="nil"/>
          <w:between w:val="nil"/>
        </w:pBdr>
        <w:spacing w:before="240" w:after="240" w:line="360" w:lineRule="auto"/>
        <w:jc w:val="both"/>
        <w:rPr>
          <w:sz w:val="22"/>
          <w:szCs w:val="22"/>
        </w:rPr>
      </w:pPr>
      <w:r w:rsidRPr="0098792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17F69F" w14:textId="77777777" w:rsidR="00C55892" w:rsidRPr="0098792C" w:rsidRDefault="00297FA7">
      <w:pPr>
        <w:pBdr>
          <w:top w:val="nil"/>
          <w:left w:val="nil"/>
          <w:bottom w:val="nil"/>
          <w:right w:val="nil"/>
          <w:between w:val="nil"/>
        </w:pBdr>
        <w:spacing w:before="240" w:after="240"/>
        <w:ind w:left="567" w:right="567"/>
        <w:jc w:val="both"/>
        <w:rPr>
          <w:sz w:val="22"/>
          <w:szCs w:val="22"/>
        </w:rPr>
      </w:pPr>
      <w:r w:rsidRPr="0098792C">
        <w:rPr>
          <w:rFonts w:ascii="Palatino Linotype" w:eastAsia="Palatino Linotype" w:hAnsi="Palatino Linotype" w:cs="Palatino Linotype"/>
          <w:b/>
          <w:sz w:val="22"/>
          <w:szCs w:val="22"/>
        </w:rPr>
        <w:t>“</w:t>
      </w:r>
      <w:r w:rsidRPr="0098792C">
        <w:rPr>
          <w:rFonts w:ascii="Palatino Linotype" w:eastAsia="Palatino Linotype" w:hAnsi="Palatino Linotype" w:cs="Palatino Linotype"/>
          <w:b/>
          <w:i/>
          <w:sz w:val="22"/>
          <w:szCs w:val="22"/>
        </w:rPr>
        <w:t>CRITERIO 0002-11</w:t>
      </w:r>
    </w:p>
    <w:p w14:paraId="7F5D0767" w14:textId="77777777" w:rsidR="00C55892" w:rsidRPr="0098792C" w:rsidRDefault="00297FA7">
      <w:pPr>
        <w:pBdr>
          <w:top w:val="nil"/>
          <w:left w:val="nil"/>
          <w:bottom w:val="nil"/>
          <w:right w:val="nil"/>
          <w:between w:val="nil"/>
        </w:pBdr>
        <w:spacing w:before="240" w:after="240"/>
        <w:ind w:left="567" w:right="567"/>
        <w:jc w:val="both"/>
        <w:rPr>
          <w:sz w:val="22"/>
          <w:szCs w:val="22"/>
        </w:rPr>
      </w:pPr>
      <w:r w:rsidRPr="0098792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8792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F1EBDC" w14:textId="77777777" w:rsidR="00C55892" w:rsidRPr="0098792C" w:rsidRDefault="00297FA7">
      <w:pPr>
        <w:pBdr>
          <w:top w:val="nil"/>
          <w:left w:val="nil"/>
          <w:bottom w:val="nil"/>
          <w:right w:val="nil"/>
          <w:between w:val="nil"/>
        </w:pBdr>
        <w:spacing w:before="240" w:after="240"/>
        <w:ind w:left="567" w:right="567"/>
        <w:jc w:val="both"/>
        <w:rPr>
          <w:sz w:val="22"/>
          <w:szCs w:val="22"/>
        </w:rPr>
      </w:pPr>
      <w:r w:rsidRPr="0098792C">
        <w:rPr>
          <w:rFonts w:ascii="Palatino Linotype" w:eastAsia="Palatino Linotype" w:hAnsi="Palatino Linotype" w:cs="Palatino Linotype"/>
          <w:i/>
          <w:sz w:val="22"/>
          <w:szCs w:val="22"/>
        </w:rPr>
        <w:t xml:space="preserve">En </w:t>
      </w:r>
      <w:proofErr w:type="gramStart"/>
      <w:r w:rsidRPr="0098792C">
        <w:rPr>
          <w:rFonts w:ascii="Palatino Linotype" w:eastAsia="Palatino Linotype" w:hAnsi="Palatino Linotype" w:cs="Palatino Linotype"/>
          <w:i/>
          <w:sz w:val="22"/>
          <w:szCs w:val="22"/>
        </w:rPr>
        <w:t>consecuencia</w:t>
      </w:r>
      <w:proofErr w:type="gramEnd"/>
      <w:r w:rsidRPr="0098792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1F23110" w14:textId="77777777" w:rsidR="00C55892" w:rsidRPr="0098792C" w:rsidRDefault="00297FA7">
      <w:pPr>
        <w:numPr>
          <w:ilvl w:val="0"/>
          <w:numId w:val="6"/>
        </w:numPr>
        <w:pBdr>
          <w:top w:val="nil"/>
          <w:left w:val="nil"/>
          <w:bottom w:val="nil"/>
          <w:right w:val="nil"/>
          <w:between w:val="nil"/>
        </w:pBdr>
        <w:spacing w:before="240" w:after="240"/>
        <w:ind w:left="567" w:right="567" w:hanging="283"/>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Que se trate de información registrada en cualquier soporte documental, </w:t>
      </w:r>
      <w:proofErr w:type="gramStart"/>
      <w:r w:rsidRPr="0098792C">
        <w:rPr>
          <w:rFonts w:ascii="Palatino Linotype" w:eastAsia="Palatino Linotype" w:hAnsi="Palatino Linotype" w:cs="Palatino Linotype"/>
          <w:i/>
          <w:sz w:val="22"/>
          <w:szCs w:val="22"/>
        </w:rPr>
        <w:t>que</w:t>
      </w:r>
      <w:proofErr w:type="gramEnd"/>
      <w:r w:rsidRPr="0098792C">
        <w:rPr>
          <w:rFonts w:ascii="Palatino Linotype" w:eastAsia="Palatino Linotype" w:hAnsi="Palatino Linotype" w:cs="Palatino Linotype"/>
          <w:i/>
          <w:sz w:val="22"/>
          <w:szCs w:val="22"/>
        </w:rPr>
        <w:t xml:space="preserve"> en ejercicio de las atribuciones conferidas, sea generada por los Sujetos Obligados;</w:t>
      </w:r>
    </w:p>
    <w:p w14:paraId="1350F9FF" w14:textId="77777777" w:rsidR="00C55892" w:rsidRPr="0098792C" w:rsidRDefault="00297FA7">
      <w:pPr>
        <w:numPr>
          <w:ilvl w:val="0"/>
          <w:numId w:val="6"/>
        </w:numPr>
        <w:pBdr>
          <w:top w:val="nil"/>
          <w:left w:val="nil"/>
          <w:bottom w:val="nil"/>
          <w:right w:val="nil"/>
          <w:between w:val="nil"/>
        </w:pBdr>
        <w:spacing w:before="240" w:after="240"/>
        <w:ind w:left="567" w:right="567" w:hanging="283"/>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Que se trate de información registrada en cualquier soporte documental, </w:t>
      </w:r>
      <w:proofErr w:type="gramStart"/>
      <w:r w:rsidRPr="0098792C">
        <w:rPr>
          <w:rFonts w:ascii="Palatino Linotype" w:eastAsia="Palatino Linotype" w:hAnsi="Palatino Linotype" w:cs="Palatino Linotype"/>
          <w:i/>
          <w:sz w:val="22"/>
          <w:szCs w:val="22"/>
        </w:rPr>
        <w:t>que</w:t>
      </w:r>
      <w:proofErr w:type="gramEnd"/>
      <w:r w:rsidRPr="0098792C">
        <w:rPr>
          <w:rFonts w:ascii="Palatino Linotype" w:eastAsia="Palatino Linotype" w:hAnsi="Palatino Linotype" w:cs="Palatino Linotype"/>
          <w:i/>
          <w:sz w:val="22"/>
          <w:szCs w:val="22"/>
        </w:rPr>
        <w:t xml:space="preserve"> en ejercicio de las atribuciones conferidas, sea administrada por los Sujetos Obligados, y</w:t>
      </w:r>
    </w:p>
    <w:p w14:paraId="2493748B" w14:textId="77777777" w:rsidR="00C55892" w:rsidRPr="0098792C" w:rsidRDefault="00297FA7">
      <w:pPr>
        <w:pBdr>
          <w:top w:val="nil"/>
          <w:left w:val="nil"/>
          <w:bottom w:val="nil"/>
          <w:right w:val="nil"/>
          <w:between w:val="nil"/>
        </w:pBdr>
        <w:spacing w:before="240" w:after="240"/>
        <w:ind w:left="567" w:right="567" w:hanging="283"/>
        <w:jc w:val="both"/>
        <w:rPr>
          <w:sz w:val="22"/>
          <w:szCs w:val="22"/>
        </w:rPr>
      </w:pPr>
      <w:r w:rsidRPr="0098792C">
        <w:rPr>
          <w:rFonts w:ascii="Palatino Linotype" w:eastAsia="Palatino Linotype" w:hAnsi="Palatino Linotype" w:cs="Palatino Linotype"/>
          <w:i/>
          <w:sz w:val="22"/>
          <w:szCs w:val="22"/>
        </w:rPr>
        <w:lastRenderedPageBreak/>
        <w:t xml:space="preserve">3. </w:t>
      </w:r>
      <w:r w:rsidRPr="0098792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98792C">
        <w:rPr>
          <w:rFonts w:ascii="Palatino Linotype" w:eastAsia="Palatino Linotype" w:hAnsi="Palatino Linotype" w:cs="Palatino Linotype"/>
          <w:b/>
          <w:i/>
          <w:sz w:val="22"/>
          <w:szCs w:val="22"/>
        </w:rPr>
        <w:t>que</w:t>
      </w:r>
      <w:proofErr w:type="gramEnd"/>
      <w:r w:rsidRPr="0098792C">
        <w:rPr>
          <w:rFonts w:ascii="Palatino Linotype" w:eastAsia="Palatino Linotype" w:hAnsi="Palatino Linotype" w:cs="Palatino Linotype"/>
          <w:b/>
          <w:i/>
          <w:sz w:val="22"/>
          <w:szCs w:val="22"/>
        </w:rPr>
        <w:t xml:space="preserve"> en ejercicio de las atribuciones conferidas, se encuentre en posesión de los Sujetos Obligados.” </w:t>
      </w:r>
      <w:r w:rsidRPr="0098792C">
        <w:rPr>
          <w:rFonts w:ascii="Palatino Linotype" w:eastAsia="Palatino Linotype" w:hAnsi="Palatino Linotype" w:cs="Palatino Linotype"/>
          <w:i/>
          <w:sz w:val="22"/>
          <w:szCs w:val="22"/>
        </w:rPr>
        <w:t>(Énfasis añadido)</w:t>
      </w:r>
    </w:p>
    <w:p w14:paraId="47EAC838" w14:textId="77777777" w:rsidR="00C55892" w:rsidRPr="0098792C" w:rsidRDefault="00297FA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De ahí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50FF060" w14:textId="77777777" w:rsidR="00C55892" w:rsidRPr="0098792C" w:rsidRDefault="00297FA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Ahora bien, para profundizar en el estudio del presente asunto, es conveniente recordar </w:t>
      </w:r>
      <w:proofErr w:type="gramStart"/>
      <w:r w:rsidRPr="0098792C">
        <w:rPr>
          <w:rFonts w:ascii="Palatino Linotype" w:eastAsia="Palatino Linotype" w:hAnsi="Palatino Linotype" w:cs="Palatino Linotype"/>
          <w:sz w:val="22"/>
          <w:szCs w:val="22"/>
        </w:rPr>
        <w:t>que</w:t>
      </w:r>
      <w:proofErr w:type="gramEnd"/>
      <w:r w:rsidRPr="0098792C">
        <w:rPr>
          <w:rFonts w:ascii="Palatino Linotype" w:eastAsia="Palatino Linotype" w:hAnsi="Palatino Linotype" w:cs="Palatino Linotype"/>
          <w:sz w:val="22"/>
          <w:szCs w:val="22"/>
        </w:rPr>
        <w:t xml:space="preserve"> de un análisis a la solicitud de información, se advierte que la parte solicitante requirió al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le proporcionara lo siguiente:</w:t>
      </w:r>
    </w:p>
    <w:p w14:paraId="1F855929" w14:textId="77777777" w:rsidR="00C55892" w:rsidRPr="0098792C" w:rsidRDefault="00297FA7">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El número de patrullas</w:t>
      </w:r>
    </w:p>
    <w:p w14:paraId="59BA3BE8"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El número de elementos</w:t>
      </w:r>
    </w:p>
    <w:p w14:paraId="58990E18"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Respecto a los operativos realizados: </w:t>
      </w:r>
      <w:proofErr w:type="gramStart"/>
      <w:r w:rsidRPr="0098792C">
        <w:rPr>
          <w:rFonts w:ascii="Palatino Linotype" w:eastAsia="Palatino Linotype" w:hAnsi="Palatino Linotype" w:cs="Palatino Linotype"/>
          <w:b/>
          <w:sz w:val="22"/>
          <w:szCs w:val="22"/>
        </w:rPr>
        <w:t>cuantos</w:t>
      </w:r>
      <w:proofErr w:type="gramEnd"/>
      <w:r w:rsidRPr="0098792C">
        <w:rPr>
          <w:rFonts w:ascii="Palatino Linotype" w:eastAsia="Palatino Linotype" w:hAnsi="Palatino Linotype" w:cs="Palatino Linotype"/>
          <w:b/>
          <w:sz w:val="22"/>
          <w:szCs w:val="22"/>
        </w:rPr>
        <w:t xml:space="preserve"> y donde se realizaron, así como sus resultados y detenciones</w:t>
      </w:r>
    </w:p>
    <w:p w14:paraId="02BE8E42"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Los índices de seguridad de último trimestre 2024 y los de enero y febrero, así como todos los documentos que lo acrediten </w:t>
      </w:r>
    </w:p>
    <w:p w14:paraId="63641DCA"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Los informes homologados de las detenciones</w:t>
      </w:r>
    </w:p>
    <w:p w14:paraId="12D7C7D9"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Cuantas motos y vehículos se pusieron a disposición del ministerio público</w:t>
      </w:r>
    </w:p>
    <w:p w14:paraId="7B1A84CE"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Cuantos cuadrantes tiene</w:t>
      </w:r>
    </w:p>
    <w:p w14:paraId="4365BCC9"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Las estrategias de seguridad </w:t>
      </w:r>
    </w:p>
    <w:p w14:paraId="31083EDE" w14:textId="77777777" w:rsidR="00C55892" w:rsidRPr="0098792C" w:rsidRDefault="00297FA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El presupuesto asignado a seguridad pública en 2024 y cuanto para 2025 </w:t>
      </w:r>
    </w:p>
    <w:p w14:paraId="246087F1" w14:textId="77777777" w:rsidR="00C55892" w:rsidRPr="0098792C" w:rsidRDefault="00297FA7">
      <w:pPr>
        <w:numPr>
          <w:ilvl w:val="0"/>
          <w:numId w:val="2"/>
        </w:numPr>
        <w:pBdr>
          <w:top w:val="nil"/>
          <w:left w:val="nil"/>
          <w:bottom w:val="nil"/>
          <w:right w:val="nil"/>
          <w:between w:val="nil"/>
        </w:pBdr>
        <w:spacing w:after="240" w:line="360" w:lineRule="auto"/>
        <w:ind w:left="567" w:right="900"/>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lastRenderedPageBreak/>
        <w:t xml:space="preserve">El presupuesto de FORTAMUN y como se aplica en los últimos 5 años incluyendo 2025. </w:t>
      </w:r>
    </w:p>
    <w:p w14:paraId="264BF25B"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respuesta a la solicitud de información,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se pronunció a través de la Dirección General de Seguridad y Protección y Servidor Público Habilitado, la cual informó que parte de la información solicitada, fue clasificada como reservada, por el Comité de Transparencia, recayendo el acuerdo CT/SE/265/01/2025, en el Acta de la Ducentésima Sexagésima Quinta Sesión Extraordinaria 2025, de fecha dieciocho de marzo del año en curso, lo anterior de conformidad con los artículos 6 base A, fracción 1, y 21 de la Constitución Política de los Estados Unidos Mexicanos, 218 del Código Nacional de Procedimientos Penales, 54 de la Ley de Seguridad Nacional; 110 de la Ley General del Sistema Nacional de Seguridad Pública; 35 y 40 de la Ley que Regula el Uso de Tecnologías de la Información y Comunicación para la Seguridad Pública del Estado de México, 77, 78 y 81 fracciones III y V de la Ley de Seguridad del Estado de México; 140 fracciones IV, VI, VIII, IX, X y XI, y 141 de la Ley de Transparencia y Acceso a la Información Pública del Estado de México y Municipios.</w:t>
      </w:r>
    </w:p>
    <w:p w14:paraId="4A9D63AD"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Así mismo se informa que en el año 2024 se realizaron 2,061 operativos en materia de tránsito, en las 48 Delegaciones que integran el Municipio de Toluca, encaminados a mejorar la condición vial del Municipio de Toluca, coadyuvando con ello a dotar de una movilidad segura las calles y salvaguardar la integridad física de peatones, ciclistas y automovilistas, el presupuesto asignado a la </w:t>
      </w:r>
      <w:r w:rsidRPr="0098792C">
        <w:rPr>
          <w:rFonts w:ascii="Palatino Linotype" w:eastAsia="Palatino Linotype" w:hAnsi="Palatino Linotype" w:cs="Palatino Linotype"/>
          <w:b/>
          <w:sz w:val="22"/>
          <w:szCs w:val="22"/>
        </w:rPr>
        <w:t>Dirección General de Seguridad y Protección</w:t>
      </w:r>
      <w:r w:rsidRPr="0098792C">
        <w:rPr>
          <w:rFonts w:ascii="Palatino Linotype" w:eastAsia="Palatino Linotype" w:hAnsi="Palatino Linotype" w:cs="Palatino Linotype"/>
          <w:sz w:val="22"/>
          <w:szCs w:val="22"/>
        </w:rPr>
        <w:t xml:space="preserve"> en el año 2024 de los capítulos del 2000 al 9000 fue de $164,812,549.00 mientras que para el ejercicio fiscal 2025 aún no se da a conocer los techos presupuestales asignados a la Dirección General.</w:t>
      </w:r>
    </w:p>
    <w:p w14:paraId="1305BCCA"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En lo relacionado al presupuesto autorizado de FORTAMUN y la aplicación del mismo en los años 2021, 2022, 2023, 2024, reporta mediante una tabla, el presupuesto ejercido y la obra u acción.</w:t>
      </w:r>
    </w:p>
    <w:p w14:paraId="5E285C29"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Finalmente, refiere que en relación al presupuesto del ejercicio fiscal 2025, la Tesorería Municipal, aún no notifica el presupuesto autorizado para este ejercicio fiscal.</w:t>
      </w:r>
    </w:p>
    <w:p w14:paraId="4D64755F"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Una vez conocido este pronunciamiento, </w:t>
      </w:r>
      <w:r w:rsidRPr="0098792C">
        <w:rPr>
          <w:rFonts w:ascii="Palatino Linotype" w:eastAsia="Palatino Linotype" w:hAnsi="Palatino Linotype" w:cs="Palatino Linotype"/>
          <w:b/>
          <w:sz w:val="22"/>
          <w:szCs w:val="22"/>
        </w:rPr>
        <w:t xml:space="preserve">la parte Recurrente </w:t>
      </w:r>
      <w:r w:rsidRPr="0098792C">
        <w:rPr>
          <w:rFonts w:ascii="Palatino Linotype" w:eastAsia="Palatino Linotype" w:hAnsi="Palatino Linotype" w:cs="Palatino Linotype"/>
          <w:sz w:val="22"/>
          <w:szCs w:val="22"/>
        </w:rPr>
        <w:t>presentó el medio de impugnación que nos ocupa, inconformándose medularmente por la entrega de información incompleta, así como respecto de la clasificación de la información.</w:t>
      </w:r>
    </w:p>
    <w:p w14:paraId="21F7AD9B"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Así las cosas, durante la etapa de manifestaciones e informe justificado, se advierte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ratificó los términos de su respuesta, mientras que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fue omisa en adjuntar documento alguno, por lo que se tiene por precluido su derecho para tal efecto.</w:t>
      </w:r>
    </w:p>
    <w:p w14:paraId="35CBE2F5"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Una vez expuestas las posturas de las partes, resulta necesario iniciar el presente análisis, recordando que la unidad administrativa que se pronunció es la </w:t>
      </w:r>
      <w:r w:rsidRPr="0098792C">
        <w:rPr>
          <w:rFonts w:ascii="Palatino Linotype" w:eastAsia="Palatino Linotype" w:hAnsi="Palatino Linotype" w:cs="Palatino Linotype"/>
          <w:b/>
          <w:sz w:val="22"/>
          <w:szCs w:val="22"/>
        </w:rPr>
        <w:t>Dirección General de Seguridad y Protección</w:t>
      </w:r>
      <w:r w:rsidRPr="0098792C">
        <w:rPr>
          <w:rFonts w:ascii="Palatino Linotype" w:eastAsia="Palatino Linotype" w:hAnsi="Palatino Linotype" w:cs="Palatino Linotype"/>
          <w:sz w:val="22"/>
          <w:szCs w:val="22"/>
        </w:rPr>
        <w:t xml:space="preserve">, la </w:t>
      </w:r>
      <w:proofErr w:type="gramStart"/>
      <w:r w:rsidRPr="0098792C">
        <w:rPr>
          <w:rFonts w:ascii="Palatino Linotype" w:eastAsia="Palatino Linotype" w:hAnsi="Palatino Linotype" w:cs="Palatino Linotype"/>
          <w:sz w:val="22"/>
          <w:szCs w:val="22"/>
        </w:rPr>
        <w:t>cual</w:t>
      </w:r>
      <w:proofErr w:type="gramEnd"/>
      <w:r w:rsidRPr="0098792C">
        <w:rPr>
          <w:rFonts w:ascii="Palatino Linotype" w:eastAsia="Palatino Linotype" w:hAnsi="Palatino Linotype" w:cs="Palatino Linotype"/>
          <w:sz w:val="22"/>
          <w:szCs w:val="22"/>
        </w:rPr>
        <w:t xml:space="preserve"> de conformidad con el Código Reglamentario Municipal, cuenta con las siguientes atribuciones:</w:t>
      </w:r>
    </w:p>
    <w:p w14:paraId="69CEAE10"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F88C95"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“Artículo 3.31. La o el titular de la Dirección General de Seguridad y Protección tiene las siguientes atribuciones:</w:t>
      </w:r>
    </w:p>
    <w:p w14:paraId="3235F1C4"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I. Salvaguardar la integridad y derechos de las personas, así́ como preservar las libertades, el orden y la paz públicos;</w:t>
      </w:r>
    </w:p>
    <w:p w14:paraId="5A88CA89"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II. Garantizar la protección de las propiedades y posesiones de las personas dentro del Municipio;</w:t>
      </w:r>
    </w:p>
    <w:p w14:paraId="4CCEDDE8"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III. Organizar, operar, supervisar y controlar el cuerpo de seguridad pública municipal;</w:t>
      </w:r>
    </w:p>
    <w:p w14:paraId="3723FBF4"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 xml:space="preserve">IV. Otorgar la seguridad pública en el Municipio;” </w:t>
      </w:r>
      <w:r w:rsidRPr="0098792C">
        <w:rPr>
          <w:rFonts w:ascii="Palatino Linotype" w:eastAsia="Palatino Linotype" w:hAnsi="Palatino Linotype" w:cs="Palatino Linotype"/>
          <w:i/>
          <w:sz w:val="22"/>
          <w:szCs w:val="22"/>
        </w:rPr>
        <w:t>(Énfasis añadido)</w:t>
      </w:r>
    </w:p>
    <w:p w14:paraId="7A857DFA"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3EE4D1" w14:textId="77777777" w:rsidR="00C55892" w:rsidRPr="0098792C" w:rsidRDefault="00297FA7">
      <w:pPr>
        <w:spacing w:line="360" w:lineRule="auto"/>
        <w:ind w:right="14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tal tesitura, se tiene que obra un pronunciamiento de la unidad administrativa encargada de otorgar la seguridad pública en el Municipio, por consiguiente, es dable afirmar que en el presente asunto obra un pronunciamiento de la unidad administrativa </w:t>
      </w:r>
      <w:r w:rsidRPr="0098792C">
        <w:rPr>
          <w:rFonts w:ascii="Palatino Linotype" w:eastAsia="Palatino Linotype" w:hAnsi="Palatino Linotype" w:cs="Palatino Linotype"/>
          <w:sz w:val="22"/>
          <w:szCs w:val="22"/>
        </w:rPr>
        <w:lastRenderedPageBreak/>
        <w:t xml:space="preserve">competente, por lo que se determina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DDD0FA5" w14:textId="77777777" w:rsidR="00C55892" w:rsidRPr="0098792C" w:rsidRDefault="00297FA7">
      <w:pPr>
        <w:pBdr>
          <w:top w:val="nil"/>
          <w:left w:val="nil"/>
          <w:bottom w:val="nil"/>
          <w:right w:val="nil"/>
          <w:between w:val="nil"/>
        </w:pBdr>
        <w:ind w:left="864" w:right="864"/>
        <w:jc w:val="both"/>
      </w:pPr>
      <w:r w:rsidRPr="0098792C">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4AE3889" w14:textId="77777777" w:rsidR="00C55892" w:rsidRPr="0098792C" w:rsidRDefault="00C55892"/>
    <w:p w14:paraId="4ABBA288" w14:textId="77777777" w:rsidR="00C55892" w:rsidRPr="0098792C" w:rsidRDefault="00297FA7">
      <w:pPr>
        <w:pBdr>
          <w:top w:val="nil"/>
          <w:left w:val="nil"/>
          <w:bottom w:val="nil"/>
          <w:right w:val="nil"/>
          <w:between w:val="nil"/>
        </w:pBdr>
        <w:shd w:val="clear" w:color="auto" w:fill="FFFFFF"/>
        <w:spacing w:line="360" w:lineRule="auto"/>
        <w:jc w:val="both"/>
        <w:rPr>
          <w:sz w:val="22"/>
          <w:szCs w:val="22"/>
        </w:rPr>
      </w:pPr>
      <w:r w:rsidRPr="0098792C">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B570F2E" w14:textId="77777777" w:rsidR="00C55892" w:rsidRPr="0098792C" w:rsidRDefault="00C55892"/>
    <w:p w14:paraId="75EE0E08" w14:textId="77777777" w:rsidR="00C55892" w:rsidRPr="0098792C" w:rsidRDefault="00297FA7">
      <w:pPr>
        <w:pBdr>
          <w:top w:val="nil"/>
          <w:left w:val="nil"/>
          <w:bottom w:val="nil"/>
          <w:right w:val="nil"/>
          <w:between w:val="nil"/>
        </w:pBdr>
        <w:ind w:left="864" w:right="864"/>
        <w:jc w:val="both"/>
      </w:pPr>
      <w:r w:rsidRPr="0098792C">
        <w:rPr>
          <w:rFonts w:ascii="Palatino Linotype" w:eastAsia="Palatino Linotype" w:hAnsi="Palatino Linotype" w:cs="Palatino Linotype"/>
          <w:i/>
          <w:sz w:val="22"/>
          <w:szCs w:val="22"/>
        </w:rPr>
        <w:t xml:space="preserve">“Artículo 162. Las unidades de transparencia deberán garantizar que las solicitudes </w:t>
      </w:r>
      <w:r w:rsidRPr="0098792C">
        <w:rPr>
          <w:rFonts w:ascii="Palatino Linotype" w:eastAsia="Palatino Linotype" w:hAnsi="Palatino Linotype" w:cs="Palatino Linotype"/>
          <w:b/>
          <w:i/>
          <w:sz w:val="22"/>
          <w:szCs w:val="22"/>
        </w:rPr>
        <w:t xml:space="preserve">se turnen a todas las Áreas competentes </w:t>
      </w:r>
      <w:r w:rsidRPr="0098792C">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489D3D32"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417D68"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Establecido lo anterior, se procede al análisis de la respuesta proporcionada por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para ello debemos recordar que la </w:t>
      </w:r>
      <w:r w:rsidRPr="0098792C">
        <w:rPr>
          <w:rFonts w:ascii="Palatino Linotype" w:eastAsia="Palatino Linotype" w:hAnsi="Palatino Linotype" w:cs="Palatino Linotype"/>
          <w:b/>
          <w:sz w:val="22"/>
          <w:szCs w:val="22"/>
        </w:rPr>
        <w:t xml:space="preserve">Dirección General de Seguridad y Protección, reservó parte de la información solicitada </w:t>
      </w:r>
      <w:r w:rsidRPr="0098792C">
        <w:rPr>
          <w:rFonts w:ascii="Palatino Linotype" w:eastAsia="Palatino Linotype" w:hAnsi="Palatino Linotype" w:cs="Palatino Linotype"/>
          <w:sz w:val="22"/>
          <w:szCs w:val="22"/>
        </w:rPr>
        <w:t xml:space="preserve">mediante el acuerdo CT/SE/265/01/2025, en el Acta de la Ducentésima Sexagésima Quinta Sesión Extraordinaria 2025, de fecha dieciocho de marzo del año en curso, lo anterior de conformidad con los artículos 6 base A, fracción 1, y 21 de la Constitución Política de los Estados Unidos Mexicanos, 218 del Código Nacional de Procedimientos Penales, 54 de la Ley de Seguridad Nacional; 110 de la Ley General del Sistema Nacional de Seguridad Pública; 35 y 40 de la Ley que Regula el Uso de Tecnologías de la Información y Comunicación para la Seguridad Pública del Estado de México, 77, 78 </w:t>
      </w:r>
      <w:r w:rsidRPr="0098792C">
        <w:rPr>
          <w:rFonts w:ascii="Palatino Linotype" w:eastAsia="Palatino Linotype" w:hAnsi="Palatino Linotype" w:cs="Palatino Linotype"/>
          <w:sz w:val="22"/>
          <w:szCs w:val="22"/>
        </w:rPr>
        <w:lastRenderedPageBreak/>
        <w:t>y 81 fracciones III y V de la Ley de Seguridad del Estado de México; 140 fracciones IV, VI, VIII, IX, X y XI, y 141 de la Ley de Transparencia y Acceso a la Información Pública del Estado de México y Municipios.</w:t>
      </w:r>
    </w:p>
    <w:p w14:paraId="1274DB3F"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0BB8E9"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Bajo ese orden de ideas, resulta importante destacar que en una aproximación inicial a la respuesta emitida por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se advierte que esta no fue emitida bajo el principio de congruencia, en virtud de que en primera instancia </w:t>
      </w:r>
      <w:r w:rsidRPr="0098792C">
        <w:rPr>
          <w:rFonts w:ascii="Palatino Linotype" w:eastAsia="Palatino Linotype" w:hAnsi="Palatino Linotype" w:cs="Palatino Linotype"/>
          <w:b/>
          <w:sz w:val="22"/>
          <w:szCs w:val="22"/>
          <w:u w:val="single"/>
        </w:rPr>
        <w:t>se pretende reservar parte de la información solicitada</w:t>
      </w:r>
      <w:r w:rsidRPr="0098792C">
        <w:rPr>
          <w:rFonts w:ascii="Palatino Linotype" w:eastAsia="Palatino Linotype" w:hAnsi="Palatino Linotype" w:cs="Palatino Linotype"/>
          <w:sz w:val="22"/>
          <w:szCs w:val="22"/>
        </w:rPr>
        <w:t>, ello sin</w:t>
      </w:r>
      <w:r w:rsidRPr="0098792C">
        <w:rPr>
          <w:rFonts w:ascii="Palatino Linotype" w:eastAsia="Palatino Linotype" w:hAnsi="Palatino Linotype" w:cs="Palatino Linotype"/>
          <w:b/>
          <w:sz w:val="22"/>
          <w:szCs w:val="22"/>
        </w:rPr>
        <w:t xml:space="preserve"> </w:t>
      </w:r>
      <w:r w:rsidRPr="0098792C">
        <w:rPr>
          <w:rFonts w:ascii="Palatino Linotype" w:eastAsia="Palatino Linotype" w:hAnsi="Palatino Linotype" w:cs="Palatino Linotype"/>
          <w:sz w:val="22"/>
          <w:szCs w:val="22"/>
        </w:rPr>
        <w:t xml:space="preserve">el acuerdo de comité que sustente tal circunstancia, por lo tanto, es necesario hacer del conocimiento de las partes que para los casos en los que se deba realizar una clasificación de la información, estas deberán acompañarse con el acuerdo del Comité de Transparencia en donde se apruebe la clasificación respectiva, ya que en caso contrario </w:t>
      </w:r>
      <w:r w:rsidRPr="0098792C">
        <w:rPr>
          <w:rFonts w:ascii="Palatino Linotype" w:eastAsia="Palatino Linotype" w:hAnsi="Palatino Linotype" w:cs="Palatino Linotype"/>
          <w:b/>
          <w:sz w:val="22"/>
          <w:szCs w:val="22"/>
          <w:u w:val="single"/>
        </w:rPr>
        <w:t>se considera un acto deliberado del Sujeto Obligado en el que no se fundan ni motivan las razones por las que no es pertinente otorgar el acceso a determinadas documentales</w:t>
      </w:r>
      <w:r w:rsidRPr="0098792C">
        <w:rPr>
          <w:rFonts w:ascii="Palatino Linotype" w:eastAsia="Palatino Linotype" w:hAnsi="Palatino Linotype" w:cs="Palatino Linotype"/>
          <w:sz w:val="22"/>
          <w:szCs w:val="22"/>
        </w:rPr>
        <w:t xml:space="preserve">. </w:t>
      </w:r>
    </w:p>
    <w:p w14:paraId="64C17EE3"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2DA5CD"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En tal sentido, la Ley de Transparencias Local contempla que el derecho de acceso a la información puede ser restringido de manera excepcional por razones de interés público, en los términos de las causas legítimas y estrictamente necesarias previstas por la Ley, como se desprende del artículo 91 de la Ley de la Materia que es del tenor literal siguiente:</w:t>
      </w:r>
    </w:p>
    <w:p w14:paraId="683E936B"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3AA6A14" w14:textId="77777777" w:rsidR="00C55892" w:rsidRPr="0098792C" w:rsidRDefault="00297FA7">
      <w:pPr>
        <w:ind w:left="851"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 xml:space="preserve">“Artículo 91. </w:t>
      </w:r>
      <w:r w:rsidRPr="0098792C">
        <w:rPr>
          <w:rFonts w:ascii="Palatino Linotype" w:eastAsia="Palatino Linotype" w:hAnsi="Palatino Linotype" w:cs="Palatino Linotype"/>
          <w:i/>
          <w:sz w:val="22"/>
          <w:szCs w:val="22"/>
        </w:rPr>
        <w:t xml:space="preserve">El acceso a la información pública será </w:t>
      </w:r>
      <w:proofErr w:type="gramStart"/>
      <w:r w:rsidRPr="0098792C">
        <w:rPr>
          <w:rFonts w:ascii="Palatino Linotype" w:eastAsia="Palatino Linotype" w:hAnsi="Palatino Linotype" w:cs="Palatino Linotype"/>
          <w:i/>
          <w:sz w:val="22"/>
          <w:szCs w:val="22"/>
        </w:rPr>
        <w:t>restringido  excepcionalmente</w:t>
      </w:r>
      <w:proofErr w:type="gramEnd"/>
      <w:r w:rsidRPr="0098792C">
        <w:rPr>
          <w:rFonts w:ascii="Palatino Linotype" w:eastAsia="Palatino Linotype" w:hAnsi="Palatino Linotype" w:cs="Palatino Linotype"/>
          <w:i/>
          <w:sz w:val="22"/>
          <w:szCs w:val="22"/>
        </w:rPr>
        <w:t>, cuando ésta sea clasificada como reservada o confidencial.”</w:t>
      </w:r>
    </w:p>
    <w:p w14:paraId="7BB464EB" w14:textId="77777777" w:rsidR="00C55892" w:rsidRPr="0098792C" w:rsidRDefault="00C55892">
      <w:pPr>
        <w:ind w:left="851" w:right="900"/>
        <w:jc w:val="both"/>
        <w:rPr>
          <w:rFonts w:ascii="Palatino Linotype" w:eastAsia="Palatino Linotype" w:hAnsi="Palatino Linotype" w:cs="Palatino Linotype"/>
          <w:i/>
          <w:sz w:val="22"/>
          <w:szCs w:val="22"/>
        </w:rPr>
      </w:pPr>
    </w:p>
    <w:p w14:paraId="52907B8A"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0BE033D4"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 xml:space="preserve">Debe decirse que la Ley de Transparencia y Acceso a la Información Pública del Estado de México y Municipios, define como </w:t>
      </w:r>
      <w:r w:rsidRPr="0098792C">
        <w:rPr>
          <w:rFonts w:ascii="Palatino Linotype" w:eastAsia="Palatino Linotype" w:hAnsi="Palatino Linotype" w:cs="Palatino Linotype"/>
          <w:b/>
          <w:sz w:val="22"/>
          <w:szCs w:val="22"/>
        </w:rPr>
        <w:t xml:space="preserve">información reservada </w:t>
      </w:r>
      <w:r w:rsidRPr="0098792C">
        <w:rPr>
          <w:rFonts w:ascii="Palatino Linotype" w:eastAsia="Palatino Linotype" w:hAnsi="Palatino Linotype" w:cs="Palatino Linotype"/>
          <w:sz w:val="22"/>
          <w:szCs w:val="22"/>
        </w:rPr>
        <w:t>a la información pública clasificada con este carácter de manera temporal por las disposiciones de la Ley de la Materia, cuya divulgación puede causar daños a la seguridad pública, la que pueda menoscabar la conducción de las negociaciones y relaciones internacionales; ponga en riesgo la vida, la seguridad o la salud de una persona física; aquella cuya divulgación obstruya o pueda causar un serio perjuicio a las actividades de fiscalización, verificación, inspección, comprobación y auditoría sobre el cumplimiento de las Leyes; la recaudación de las contribuciones, aquella que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la que contengan las opiniones, recomendaciones o puntos de vista que formen parte del proceso deliberativo de los servidores públicos, hasta en tanto sea adoptada la decisión definitiva, la cual deberá estar documentada; vulnere la conducción de los expedientes judiciales o de los procedimientos administrativos seguidos en forma de juicio, en tanto no hayan quedado firmes, aquella que se encuentre contenida dentro de las investigaciones de hechos que la Ley señale como delitos y se tramiten ante el Ministerio Público; aquella cuyo daño que pueda producirse con la publicación de la información sea mayor que el interés público de conocer la información de referencia, siempre que esté directamente relacionado con procesos o procedimientos administrativos o judiciales que no hayan quedado firmes  y las que por disposición expresa de una ley tengan tal carácter, siempre que sean acordes con las bases, principios y disposiciones establecidos en esta Ley y no la contravengan; así como las previstas en tratados internacionales,</w:t>
      </w:r>
    </w:p>
    <w:p w14:paraId="33310590"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En lo que concierne a la información clasificada como reservada, para que el acceso a la información pública pueda ser restringido, se deben actualizar los supuestos establecidos en el artículo 113 de la Ley General de Transparencia Acceso a la Información Pública, vigente a la fecha de la solicitud y el artículo 140 de la Ley de Transparencia y Acceso a la Información Pública del Estado de México y Municipios, que a la letra señalan lo siguiente:</w:t>
      </w:r>
    </w:p>
    <w:p w14:paraId="7AAF2BF7"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113.</w:t>
      </w:r>
      <w:r w:rsidRPr="0098792C">
        <w:rPr>
          <w:rFonts w:ascii="Palatino Linotype" w:eastAsia="Palatino Linotype" w:hAnsi="Palatino Linotype" w:cs="Palatino Linotype"/>
          <w:i/>
          <w:sz w:val="22"/>
          <w:szCs w:val="22"/>
        </w:rPr>
        <w:t xml:space="preserve"> Como información reservada podrá clasificarse aquella cuya publicación:</w:t>
      </w:r>
    </w:p>
    <w:p w14:paraId="2D36ADF3"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 xml:space="preserve"> I.</w:t>
      </w:r>
      <w:r w:rsidRPr="0098792C">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25BC09A3"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w:t>
      </w:r>
      <w:r w:rsidRPr="0098792C">
        <w:rPr>
          <w:rFonts w:ascii="Palatino Linotype" w:eastAsia="Palatino Linotype" w:hAnsi="Palatino Linotype" w:cs="Palatino Linotype"/>
          <w:i/>
          <w:sz w:val="22"/>
          <w:szCs w:val="22"/>
        </w:rPr>
        <w:t xml:space="preserve"> Pueda menoscabar la conducción de las negociaciones y relaciones internacionales; </w:t>
      </w:r>
      <w:r w:rsidRPr="0098792C">
        <w:rPr>
          <w:rFonts w:ascii="Palatino Linotype" w:eastAsia="Palatino Linotype" w:hAnsi="Palatino Linotype" w:cs="Palatino Linotype"/>
          <w:i/>
          <w:sz w:val="22"/>
          <w:szCs w:val="22"/>
        </w:rPr>
        <w:br/>
      </w:r>
      <w:r w:rsidRPr="0098792C">
        <w:rPr>
          <w:rFonts w:ascii="Palatino Linotype" w:eastAsia="Palatino Linotype" w:hAnsi="Palatino Linotype" w:cs="Palatino Linotype"/>
          <w:b/>
          <w:i/>
          <w:sz w:val="22"/>
          <w:szCs w:val="22"/>
        </w:rPr>
        <w:t>III.</w:t>
      </w:r>
      <w:r w:rsidRPr="0098792C">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39CA7B32"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IV.</w:t>
      </w:r>
      <w:r w:rsidRPr="0098792C">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27E503DC"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w:t>
      </w:r>
      <w:r w:rsidRPr="0098792C">
        <w:rPr>
          <w:rFonts w:ascii="Palatino Linotype" w:eastAsia="Palatino Linotype" w:hAnsi="Palatino Linotype" w:cs="Palatino Linotype"/>
          <w:i/>
          <w:sz w:val="22"/>
          <w:szCs w:val="22"/>
        </w:rPr>
        <w:t xml:space="preserve"> Pueda poner en riesgo la vida, seguridad o salud de una persona física; </w:t>
      </w:r>
    </w:p>
    <w:p w14:paraId="17D1C878"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VI</w:t>
      </w:r>
      <w:r w:rsidRPr="0098792C">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66046A40"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VII.</w:t>
      </w:r>
      <w:r w:rsidRPr="0098792C">
        <w:rPr>
          <w:rFonts w:ascii="Palatino Linotype" w:eastAsia="Palatino Linotype" w:hAnsi="Palatino Linotype" w:cs="Palatino Linotype"/>
          <w:i/>
          <w:sz w:val="22"/>
          <w:szCs w:val="22"/>
        </w:rPr>
        <w:t xml:space="preserve"> Obstruya la prevención o persecución de los delitos; </w:t>
      </w:r>
    </w:p>
    <w:p w14:paraId="526CFE1A"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VIII.</w:t>
      </w:r>
      <w:r w:rsidRPr="0098792C">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3A5D1804"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IX.</w:t>
      </w:r>
      <w:r w:rsidRPr="0098792C">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206F32DD"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X.</w:t>
      </w:r>
      <w:r w:rsidRPr="0098792C">
        <w:rPr>
          <w:rFonts w:ascii="Palatino Linotype" w:eastAsia="Palatino Linotype" w:hAnsi="Palatino Linotype" w:cs="Palatino Linotype"/>
          <w:i/>
          <w:sz w:val="22"/>
          <w:szCs w:val="22"/>
        </w:rPr>
        <w:t xml:space="preserve"> Afecte los derechos del debido proceso; </w:t>
      </w:r>
    </w:p>
    <w:p w14:paraId="64FF00DB"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XI.</w:t>
      </w:r>
      <w:r w:rsidRPr="0098792C">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25D0B0B8"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lastRenderedPageBreak/>
        <w:t>Artículo 140</w:t>
      </w:r>
      <w:r w:rsidRPr="0098792C">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5218508B"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w:t>
      </w:r>
      <w:r w:rsidRPr="0098792C">
        <w:rPr>
          <w:rFonts w:ascii="Palatino Linotype" w:eastAsia="Palatino Linotype" w:hAnsi="Palatino Linotype" w:cs="Palatino Linotype"/>
          <w:i/>
          <w:sz w:val="22"/>
          <w:szCs w:val="22"/>
        </w:rPr>
        <w:t xml:space="preserve">. Comprometa la seguridad pública y cuente con un propósito genuino y un efecto demostrable; </w:t>
      </w:r>
    </w:p>
    <w:p w14:paraId="09D6CC33"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w:t>
      </w:r>
      <w:r w:rsidRPr="0098792C">
        <w:rPr>
          <w:rFonts w:ascii="Palatino Linotype" w:eastAsia="Palatino Linotype" w:hAnsi="Palatino Linotype" w:cs="Palatino Linotype"/>
          <w:i/>
          <w:sz w:val="22"/>
          <w:szCs w:val="22"/>
        </w:rPr>
        <w:t xml:space="preserve"> Pueda menoscabar la conducción de las negociaciones y relaciones internacionales; </w:t>
      </w:r>
    </w:p>
    <w:p w14:paraId="106482FE"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III.</w:t>
      </w:r>
      <w:r w:rsidRPr="0098792C">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B02022B"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IV.</w:t>
      </w:r>
      <w:r w:rsidRPr="0098792C">
        <w:rPr>
          <w:rFonts w:ascii="Palatino Linotype" w:eastAsia="Palatino Linotype" w:hAnsi="Palatino Linotype" w:cs="Palatino Linotype"/>
          <w:i/>
          <w:sz w:val="22"/>
          <w:szCs w:val="22"/>
        </w:rPr>
        <w:t xml:space="preserve"> Ponga en riesgo la vida, la seguridad o la salud de una persona física; </w:t>
      </w:r>
    </w:p>
    <w:p w14:paraId="171A18CB"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w:t>
      </w:r>
      <w:r w:rsidRPr="0098792C">
        <w:rPr>
          <w:rFonts w:ascii="Palatino Linotype" w:eastAsia="Palatino Linotype" w:hAnsi="Palatino Linotype" w:cs="Palatino Linotype"/>
          <w:i/>
          <w:sz w:val="22"/>
          <w:szCs w:val="22"/>
        </w:rPr>
        <w:t xml:space="preserve">. Aquella cuya divulgación obstruya o pueda causar un serio perjuicio a: </w:t>
      </w:r>
    </w:p>
    <w:p w14:paraId="5F35F03F"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334E8C2F"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2. La recaudación de las contribuciones. </w:t>
      </w:r>
    </w:p>
    <w:p w14:paraId="6764C51B"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VI</w:t>
      </w:r>
      <w:r w:rsidRPr="0098792C">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FEA9B71"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VII.</w:t>
      </w:r>
      <w:r w:rsidRPr="0098792C">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0659F07B"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VIII.</w:t>
      </w:r>
      <w:r w:rsidRPr="0098792C">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436B5B87"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IX</w:t>
      </w:r>
      <w:r w:rsidRPr="0098792C">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08A31068"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X.</w:t>
      </w:r>
      <w:r w:rsidRPr="0098792C">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2B90865"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w:t>
      </w:r>
      <w:r w:rsidRPr="0098792C">
        <w:rPr>
          <w:rFonts w:ascii="Palatino Linotype" w:eastAsia="Palatino Linotype" w:hAnsi="Palatino Linotype" w:cs="Palatino Linotype"/>
          <w:i/>
          <w:sz w:val="22"/>
          <w:szCs w:val="22"/>
        </w:rPr>
        <w:lastRenderedPageBreak/>
        <w:t xml:space="preserve">que esté directamente relacionado con procesos o procedimientos administrativos o judiciales que no hayan quedado firmes; y </w:t>
      </w:r>
    </w:p>
    <w:p w14:paraId="3F8407BF" w14:textId="77777777" w:rsidR="00C55892" w:rsidRPr="0098792C" w:rsidRDefault="00297FA7">
      <w:pPr>
        <w:spacing w:before="120" w:after="120"/>
        <w:ind w:left="567"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XI.</w:t>
      </w:r>
      <w:r w:rsidRPr="0098792C">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472A0A5F"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98792C">
        <w:rPr>
          <w:rFonts w:ascii="Palatino Linotype" w:eastAsia="Palatino Linotype" w:hAnsi="Palatino Linotype" w:cs="Palatino Linotype"/>
          <w:b/>
          <w:sz w:val="22"/>
          <w:szCs w:val="22"/>
        </w:rPr>
        <w:t>Reservada</w:t>
      </w:r>
      <w:r w:rsidRPr="0098792C">
        <w:rPr>
          <w:rFonts w:ascii="Palatino Linotype" w:eastAsia="Palatino Linotype" w:hAnsi="Palatino Linotype" w:cs="Palatino Linotype"/>
          <w:sz w:val="22"/>
          <w:szCs w:val="22"/>
        </w:rPr>
        <w:t>,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32DCAC23"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14:paraId="56C49B72"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F8C515C"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Dicha valoración, debe realizarse caso por caso, a través de lo que se conoce como la llamada </w:t>
      </w:r>
      <w:r w:rsidRPr="0098792C">
        <w:rPr>
          <w:rFonts w:ascii="Palatino Linotype" w:eastAsia="Palatino Linotype" w:hAnsi="Palatino Linotype" w:cs="Palatino Linotype"/>
          <w:i/>
          <w:sz w:val="22"/>
          <w:szCs w:val="22"/>
        </w:rPr>
        <w:t>“prueba de daño”</w:t>
      </w:r>
      <w:r w:rsidRPr="0098792C">
        <w:rPr>
          <w:rFonts w:ascii="Palatino Linotype" w:eastAsia="Palatino Linotype" w:hAnsi="Palatino Linotype" w:cs="Palatino Linotype"/>
          <w:sz w:val="22"/>
          <w:szCs w:val="22"/>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14:paraId="551A144E"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6489E507"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Es importante referir, lo que al respecto establece el Lineamiento Segundo, fracción XIII, de los Lineamientos Generales en Materia de Clasificación y Desclasificación de la Información, así como para la elaboración de Versiones Públicas, que a la letra dice:</w:t>
      </w:r>
    </w:p>
    <w:p w14:paraId="19241E94"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19B5CFDC" w14:textId="77777777" w:rsidR="00C55892" w:rsidRPr="0098792C" w:rsidRDefault="00297FA7">
      <w:pPr>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“Segundo.</w:t>
      </w:r>
      <w:r w:rsidRPr="0098792C">
        <w:rPr>
          <w:rFonts w:ascii="Palatino Linotype" w:eastAsia="Palatino Linotype" w:hAnsi="Palatino Linotype" w:cs="Palatino Linotype"/>
          <w:i/>
          <w:sz w:val="22"/>
          <w:szCs w:val="22"/>
        </w:rPr>
        <w:t xml:space="preserve"> Para efectos de los presentes Lineamientos Generales, se entenderá por: </w:t>
      </w:r>
    </w:p>
    <w:p w14:paraId="6EF3F852" w14:textId="77777777" w:rsidR="00C55892" w:rsidRPr="0098792C" w:rsidRDefault="00297FA7">
      <w:pPr>
        <w:ind w:left="567" w:right="902"/>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w:t>
      </w:r>
    </w:p>
    <w:p w14:paraId="208A53FB" w14:textId="77777777" w:rsidR="00C55892" w:rsidRPr="0098792C" w:rsidRDefault="00297FA7">
      <w:pPr>
        <w:ind w:left="567" w:right="902"/>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XIII.    Prueba de daño</w:t>
      </w:r>
      <w:r w:rsidRPr="0098792C">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98792C">
        <w:rPr>
          <w:rFonts w:ascii="Palatino Linotype" w:eastAsia="Palatino Linotype" w:hAnsi="Palatino Linotype" w:cs="Palatino Linotype"/>
          <w:b/>
          <w:i/>
          <w:sz w:val="22"/>
          <w:szCs w:val="22"/>
        </w:rPr>
        <w:t>”</w:t>
      </w:r>
    </w:p>
    <w:p w14:paraId="75C49720"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11E6A9C1"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w:t>
      </w:r>
      <w:r w:rsidRPr="0098792C">
        <w:rPr>
          <w:rFonts w:ascii="Palatino Linotype" w:eastAsia="Palatino Linotype" w:hAnsi="Palatino Linotype" w:cs="Palatino Linotype"/>
          <w:sz w:val="22"/>
          <w:szCs w:val="22"/>
        </w:rPr>
        <w:lastRenderedPageBreak/>
        <w:t>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590AFFCB"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603EECF" w14:textId="77777777" w:rsidR="00C55892" w:rsidRPr="0098792C" w:rsidRDefault="00297FA7">
      <w:pPr>
        <w:numPr>
          <w:ilvl w:val="0"/>
          <w:numId w:val="5"/>
        </w:numPr>
        <w:spacing w:line="360" w:lineRule="auto"/>
        <w:ind w:left="8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Se reciba una solicitud de acceso a la información.</w:t>
      </w:r>
    </w:p>
    <w:p w14:paraId="2FED296E" w14:textId="77777777" w:rsidR="00C55892" w:rsidRPr="0098792C" w:rsidRDefault="00297FA7">
      <w:pPr>
        <w:numPr>
          <w:ilvl w:val="0"/>
          <w:numId w:val="5"/>
        </w:numPr>
        <w:spacing w:line="360" w:lineRule="auto"/>
        <w:ind w:left="8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Se determine mediante resolución de autoridad competente.</w:t>
      </w:r>
    </w:p>
    <w:p w14:paraId="385B3D93" w14:textId="77777777" w:rsidR="00C55892" w:rsidRPr="0098792C" w:rsidRDefault="00297FA7">
      <w:pPr>
        <w:numPr>
          <w:ilvl w:val="0"/>
          <w:numId w:val="5"/>
        </w:numPr>
        <w:spacing w:line="360" w:lineRule="auto"/>
        <w:ind w:left="8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Se generen versiones públicas para dar cumplimiento a las obligaciones de transparencia previstas en la Ley.</w:t>
      </w:r>
    </w:p>
    <w:p w14:paraId="1F55F75D"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FFF5EC9"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42E4211B"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4D6EBB7"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041D9C55" w14:textId="77777777" w:rsidR="00C55892" w:rsidRPr="0098792C" w:rsidRDefault="00297FA7">
      <w:pPr>
        <w:spacing w:before="240" w:after="240"/>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129</w:t>
      </w:r>
      <w:r w:rsidRPr="0098792C">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7F031BFA" w14:textId="77777777" w:rsidR="00C55892" w:rsidRPr="0098792C" w:rsidRDefault="00297FA7">
      <w:pPr>
        <w:spacing w:before="240" w:after="240"/>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lastRenderedPageBreak/>
        <w:t>I</w:t>
      </w:r>
      <w:r w:rsidRPr="0098792C">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35554161" w14:textId="77777777" w:rsidR="00C55892" w:rsidRPr="0098792C" w:rsidRDefault="00297FA7">
      <w:pPr>
        <w:spacing w:before="240" w:after="240"/>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w:t>
      </w:r>
      <w:r w:rsidRPr="0098792C">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22B9EDF2" w14:textId="77777777" w:rsidR="00C55892" w:rsidRPr="0098792C" w:rsidRDefault="00297FA7">
      <w:pPr>
        <w:spacing w:before="240" w:after="240"/>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III.</w:t>
      </w:r>
      <w:r w:rsidRPr="0098792C">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51EA303C"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-el riesgo al divulgarse- supera al segundo -el interés de que se conozca-.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2049470A"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En el mismo tenor el Lineamiento Trigésimo Tercero, de los Lineamientos Generales en Materia de Clasificación y Desclasificación de la Información, dispone lo siguiente:</w:t>
      </w:r>
    </w:p>
    <w:p w14:paraId="36370AEC" w14:textId="77777777" w:rsidR="00C55892" w:rsidRPr="0098792C" w:rsidRDefault="00297FA7">
      <w:pPr>
        <w:spacing w:before="120" w:after="120"/>
        <w:ind w:left="567" w:right="758"/>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Trigésimo tercero</w:t>
      </w:r>
      <w:r w:rsidRPr="0098792C">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78AAD3BA" w14:textId="77777777" w:rsidR="00C55892" w:rsidRPr="0098792C" w:rsidRDefault="00297FA7">
      <w:pPr>
        <w:tabs>
          <w:tab w:val="left" w:pos="1701"/>
        </w:tabs>
        <w:spacing w:before="120" w:after="120"/>
        <w:ind w:left="567" w:right="76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 xml:space="preserve">I. </w:t>
      </w:r>
      <w:r w:rsidRPr="0098792C">
        <w:rPr>
          <w:rFonts w:ascii="Palatino Linotype" w:eastAsia="Palatino Linotype" w:hAnsi="Palatino Linotype" w:cs="Palatino Linotype"/>
          <w:i/>
          <w:sz w:val="22"/>
          <w:szCs w:val="22"/>
        </w:rPr>
        <w:t xml:space="preserve">Se deberá fundar la clasificación, al citar la fracción y la hipótesis de la causal aplicable del artículo 113 de la Ley General, vinculándola con el Lineamiento específico </w:t>
      </w:r>
      <w:r w:rsidRPr="0098792C">
        <w:rPr>
          <w:rFonts w:ascii="Palatino Linotype" w:eastAsia="Palatino Linotype" w:hAnsi="Palatino Linotype" w:cs="Palatino Linotype"/>
          <w:i/>
          <w:sz w:val="22"/>
          <w:szCs w:val="22"/>
        </w:rPr>
        <w:lastRenderedPageBreak/>
        <w:t>del presente ordenamiento y cuando corresponda, el supuesto normativo que expresamente le otorga el carácter de información reservada;</w:t>
      </w:r>
    </w:p>
    <w:p w14:paraId="4C897829" w14:textId="77777777" w:rsidR="00C55892" w:rsidRPr="0098792C" w:rsidRDefault="00297FA7">
      <w:pPr>
        <w:tabs>
          <w:tab w:val="left" w:pos="1701"/>
        </w:tabs>
        <w:spacing w:before="120" w:after="120"/>
        <w:ind w:left="567" w:right="76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w:t>
      </w:r>
      <w:r w:rsidRPr="0098792C">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50D3A4D2" w14:textId="77777777" w:rsidR="00C55892" w:rsidRPr="0098792C" w:rsidRDefault="00297FA7">
      <w:pPr>
        <w:tabs>
          <w:tab w:val="left" w:pos="1701"/>
        </w:tabs>
        <w:spacing w:before="120" w:after="120"/>
        <w:ind w:left="567" w:right="76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III.</w:t>
      </w:r>
      <w:r w:rsidRPr="0098792C">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6266E3A7" w14:textId="77777777" w:rsidR="00C55892" w:rsidRPr="0098792C" w:rsidRDefault="00297FA7">
      <w:pPr>
        <w:tabs>
          <w:tab w:val="left" w:pos="1701"/>
        </w:tabs>
        <w:spacing w:before="120" w:after="120"/>
        <w:ind w:left="567" w:right="76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IV.</w:t>
      </w:r>
      <w:r w:rsidRPr="0098792C">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98792C">
        <w:rPr>
          <w:rFonts w:ascii="Palatino Linotype" w:eastAsia="Palatino Linotype" w:hAnsi="Palatino Linotype" w:cs="Palatino Linotype"/>
          <w:b/>
          <w:i/>
          <w:sz w:val="22"/>
          <w:szCs w:val="22"/>
        </w:rPr>
        <w:t xml:space="preserve"> </w:t>
      </w:r>
    </w:p>
    <w:p w14:paraId="203875EE" w14:textId="77777777" w:rsidR="00C55892" w:rsidRPr="0098792C" w:rsidRDefault="00297FA7">
      <w:pPr>
        <w:tabs>
          <w:tab w:val="left" w:pos="1701"/>
        </w:tabs>
        <w:spacing w:before="120" w:after="120"/>
        <w:ind w:left="567" w:right="76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V</w:t>
      </w:r>
      <w:r w:rsidRPr="0098792C">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98792C">
        <w:rPr>
          <w:rFonts w:ascii="Palatino Linotype" w:eastAsia="Palatino Linotype" w:hAnsi="Palatino Linotype" w:cs="Palatino Linotype"/>
          <w:b/>
          <w:i/>
          <w:sz w:val="22"/>
          <w:szCs w:val="22"/>
        </w:rPr>
        <w:t xml:space="preserve"> </w:t>
      </w:r>
    </w:p>
    <w:p w14:paraId="3110F365" w14:textId="77777777" w:rsidR="00C55892" w:rsidRPr="0098792C" w:rsidRDefault="00297FA7">
      <w:pPr>
        <w:tabs>
          <w:tab w:val="left" w:pos="1701"/>
        </w:tabs>
        <w:spacing w:before="120" w:after="120"/>
        <w:ind w:left="567" w:right="76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VI</w:t>
      </w:r>
      <w:r w:rsidRPr="0098792C">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72562B8D"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6ED1B376"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7DDE9DCA" w14:textId="77777777" w:rsidR="00C55892" w:rsidRPr="0098792C" w:rsidRDefault="00297FA7">
      <w:pPr>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 xml:space="preserve">INFORMACIÓN RESERVADA. APLICACIÓN DE LA "PRUEBA DE DAÑO E INTERÉS PÚBLICO" PARA DETERMINAR LO ADECUADO DE LA APORTADA CON ESA CLASIFICACIÓN EN EL JUICIO DE AMPARO POR LA AUTORIDAD RESPONSABLE, A EFECTO DE </w:t>
      </w:r>
      <w:r w:rsidRPr="0098792C">
        <w:rPr>
          <w:rFonts w:ascii="Palatino Linotype" w:eastAsia="Palatino Linotype" w:hAnsi="Palatino Linotype" w:cs="Palatino Linotype"/>
          <w:b/>
          <w:i/>
          <w:sz w:val="22"/>
          <w:szCs w:val="22"/>
        </w:rPr>
        <w:lastRenderedPageBreak/>
        <w:t>HACER VIABLE LA DEFENSA EFECTIVA DEL QUEJOSO.</w:t>
      </w:r>
      <w:r w:rsidRPr="0098792C">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98792C">
        <w:rPr>
          <w:rFonts w:ascii="Palatino Linotype" w:eastAsia="Palatino Linotype" w:hAnsi="Palatino Linotype" w:cs="Palatino Linotype"/>
          <w:i/>
          <w:sz w:val="22"/>
          <w:szCs w:val="22"/>
        </w:rPr>
        <w:t>officio</w:t>
      </w:r>
      <w:proofErr w:type="spellEnd"/>
      <w:r w:rsidRPr="0098792C">
        <w:rPr>
          <w:rFonts w:ascii="Palatino Linotype" w:eastAsia="Palatino Linotype" w:hAnsi="Palatino Linotype" w:cs="Palatino Linotype"/>
          <w:i/>
          <w:sz w:val="22"/>
          <w:szCs w:val="22"/>
        </w:rPr>
        <w:t>, con el propósito de obtener una versión que sea pública para la parte interesada.”</w:t>
      </w:r>
    </w:p>
    <w:p w14:paraId="60584C30"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Prueba de daño, que cobra relevancia puesto que sí esta no arroja resultados contundentes sobre un posible peligro, deberá de publicarse o difundirse la información.</w:t>
      </w:r>
    </w:p>
    <w:p w14:paraId="366FA661"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Asimismo, de conformidad con los artículos 108 de la Ley General de Transparencia y Acceso a la Información Pública, vigente a la fecha de la solicitud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744EA204"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De este modo, es necesario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w:t>
      </w:r>
      <w:r w:rsidRPr="0098792C">
        <w:rPr>
          <w:rFonts w:ascii="Palatino Linotype" w:eastAsia="Palatino Linotype" w:hAnsi="Palatino Linotype" w:cs="Palatino Linotype"/>
          <w:sz w:val="22"/>
          <w:szCs w:val="22"/>
        </w:rPr>
        <w:lastRenderedPageBreak/>
        <w:t>de la aplicación de dicha prueba, con el propósito de obtener, una versión pública o acuerdo conforme a lo solicitado.</w:t>
      </w:r>
    </w:p>
    <w:p w14:paraId="07AA57F0"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 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2CFC35A1"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Sirve de sustento a lo anterior, la Tesis jurisprudencial número I.</w:t>
      </w:r>
      <w:proofErr w:type="gramStart"/>
      <w:r w:rsidRPr="0098792C">
        <w:rPr>
          <w:rFonts w:ascii="Palatino Linotype" w:eastAsia="Palatino Linotype" w:hAnsi="Palatino Linotype" w:cs="Palatino Linotype"/>
          <w:sz w:val="22"/>
          <w:szCs w:val="22"/>
        </w:rPr>
        <w:t>4º.A.</w:t>
      </w:r>
      <w:proofErr w:type="gramEnd"/>
      <w:r w:rsidRPr="0098792C">
        <w:rPr>
          <w:rFonts w:ascii="Palatino Linotype" w:eastAsia="Palatino Linotype" w:hAnsi="Palatino Linotype" w:cs="Palatino Linotype"/>
          <w:sz w:val="22"/>
          <w:szCs w:val="22"/>
        </w:rPr>
        <w:t xml:space="preserve"> J/43, publicada en el Semanario Judicial de la Federación y su Gaceta, bajo el número de registro 175,082; que a la letra dice:</w:t>
      </w:r>
    </w:p>
    <w:p w14:paraId="62A2381B"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044F3CC1" w14:textId="77777777" w:rsidR="00C55892" w:rsidRPr="0098792C" w:rsidRDefault="00297FA7">
      <w:pPr>
        <w:ind w:left="567"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98792C">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98792C">
        <w:rPr>
          <w:rFonts w:ascii="Palatino Linotype" w:eastAsia="Palatino Linotype" w:hAnsi="Palatino Linotype" w:cs="Palatino Linotype"/>
          <w:b/>
          <w:i/>
          <w:sz w:val="22"/>
          <w:szCs w:val="22"/>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w:t>
      </w:r>
      <w:r w:rsidRPr="0098792C">
        <w:rPr>
          <w:rFonts w:ascii="Palatino Linotype" w:eastAsia="Palatino Linotype" w:hAnsi="Palatino Linotype" w:cs="Palatino Linotype"/>
          <w:b/>
          <w:i/>
          <w:sz w:val="22"/>
          <w:szCs w:val="22"/>
        </w:rPr>
        <w:lastRenderedPageBreak/>
        <w:t>permitiéndole una real y auténtica defensa</w:t>
      </w:r>
      <w:r w:rsidRPr="0098792C">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8792C">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8792C">
        <w:rPr>
          <w:rFonts w:ascii="Palatino Linotype" w:eastAsia="Palatino Linotype" w:hAnsi="Palatino Linotype" w:cs="Palatino Linotype"/>
          <w:i/>
          <w:sz w:val="22"/>
          <w:szCs w:val="22"/>
        </w:rPr>
        <w:t> del que se deduzca la relación de pertenencia lógica de los hechos al derecho invocado, que es la subsunción.”</w:t>
      </w:r>
    </w:p>
    <w:p w14:paraId="6EDA5C87"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A1C8B86"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Hechas estas precisiones, se advierte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no cumplió con lo señalado en lo procedente, al omitir acompañar el acuerdo de su Comité de Transparencia que funde y motive del por qué se determinó reservar parte de la información solicitada, creando con ello una incertidumbre jurídica, por no sustentar a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las razones por las que se determina pertinente reserva la información. </w:t>
      </w:r>
    </w:p>
    <w:p w14:paraId="44215D7C"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F0C34AA"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Al respecto, el máximo tribunal del país ha establecido jurisprudencia respecto a qué debe entenderse por fundamentación y motivación, en los siguientes términos:</w:t>
      </w:r>
    </w:p>
    <w:p w14:paraId="224D36B3" w14:textId="77777777" w:rsidR="00C55892" w:rsidRPr="0098792C" w:rsidRDefault="00C55892">
      <w:pPr>
        <w:jc w:val="both"/>
        <w:rPr>
          <w:rFonts w:ascii="Palatino Linotype" w:eastAsia="Palatino Linotype" w:hAnsi="Palatino Linotype" w:cs="Palatino Linotype"/>
        </w:rPr>
      </w:pPr>
    </w:p>
    <w:p w14:paraId="07383BCF" w14:textId="77777777" w:rsidR="00C55892" w:rsidRPr="0098792C" w:rsidRDefault="00297FA7">
      <w:pPr>
        <w:ind w:left="851" w:right="85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 xml:space="preserve">“FUNDAMENTACION Y MOTIVACION. </w:t>
      </w:r>
      <w:r w:rsidRPr="0098792C">
        <w:rPr>
          <w:rFonts w:ascii="Palatino Linotype" w:eastAsia="Palatino Linotype" w:hAnsi="Palatino Linotype" w:cs="Palatino Linotype"/>
          <w:i/>
          <w:sz w:val="22"/>
          <w:szCs w:val="22"/>
        </w:rPr>
        <w:t xml:space="preserve">La </w:t>
      </w:r>
      <w:r w:rsidRPr="0098792C">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8792C">
        <w:rPr>
          <w:rFonts w:ascii="Palatino Linotype" w:eastAsia="Palatino Linotype" w:hAnsi="Palatino Linotype" w:cs="Palatino Linotype"/>
          <w:i/>
          <w:sz w:val="22"/>
          <w:szCs w:val="22"/>
        </w:rPr>
        <w:t>.</w:t>
      </w:r>
    </w:p>
    <w:p w14:paraId="135B3251" w14:textId="77777777" w:rsidR="00C55892" w:rsidRPr="0098792C" w:rsidRDefault="00297FA7">
      <w:pPr>
        <w:ind w:left="851" w:right="85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 xml:space="preserve">…” </w:t>
      </w:r>
    </w:p>
    <w:p w14:paraId="2CA61728" w14:textId="77777777" w:rsidR="00C55892" w:rsidRPr="0098792C" w:rsidRDefault="00C55892">
      <w:pPr>
        <w:ind w:left="851" w:right="850"/>
        <w:jc w:val="both"/>
        <w:rPr>
          <w:rFonts w:ascii="Palatino Linotype" w:eastAsia="Palatino Linotype" w:hAnsi="Palatino Linotype" w:cs="Palatino Linotype"/>
          <w:i/>
          <w:sz w:val="22"/>
          <w:szCs w:val="22"/>
        </w:rPr>
      </w:pPr>
    </w:p>
    <w:p w14:paraId="7AD3292D"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1DFA6C6" w14:textId="77777777" w:rsidR="00C55892" w:rsidRPr="0098792C" w:rsidRDefault="00C55892">
      <w:pPr>
        <w:spacing w:line="360" w:lineRule="auto"/>
        <w:ind w:right="-518"/>
        <w:jc w:val="both"/>
        <w:rPr>
          <w:rFonts w:ascii="Palatino Linotype" w:eastAsia="Palatino Linotype" w:hAnsi="Palatino Linotype" w:cs="Palatino Linotype"/>
          <w:sz w:val="22"/>
          <w:szCs w:val="22"/>
        </w:rPr>
      </w:pPr>
    </w:p>
    <w:p w14:paraId="4C0DC47C"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737989F" w14:textId="77777777" w:rsidR="00C55892" w:rsidRPr="0098792C" w:rsidRDefault="00C55892">
      <w:pPr>
        <w:ind w:right="-518"/>
        <w:jc w:val="both"/>
        <w:rPr>
          <w:rFonts w:ascii="Palatino Linotype" w:eastAsia="Palatino Linotype" w:hAnsi="Palatino Linotype" w:cs="Palatino Linotype"/>
        </w:rPr>
      </w:pPr>
    </w:p>
    <w:p w14:paraId="3AE6E1DB" w14:textId="77777777" w:rsidR="00C55892" w:rsidRPr="0098792C" w:rsidRDefault="00297FA7">
      <w:pPr>
        <w:ind w:left="851" w:right="899"/>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98792C">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98792C">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8792C">
        <w:rPr>
          <w:rFonts w:ascii="Palatino Linotype" w:eastAsia="Palatino Linotype" w:hAnsi="Palatino Linotype" w:cs="Palatino Linotype"/>
          <w:i/>
          <w:sz w:val="22"/>
          <w:szCs w:val="22"/>
        </w:rPr>
        <w:t xml:space="preserve">. Por tanto, </w:t>
      </w:r>
      <w:r w:rsidRPr="0098792C">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98792C">
        <w:rPr>
          <w:rFonts w:ascii="Palatino Linotype" w:eastAsia="Palatino Linotype" w:hAnsi="Palatino Linotype" w:cs="Palatino Linotype"/>
          <w:i/>
          <w:sz w:val="22"/>
          <w:szCs w:val="22"/>
        </w:rPr>
        <w:t>, que impida la finalidad del conocimiento, comprobación y defensa pertinente</w:t>
      </w:r>
      <w:r w:rsidRPr="0098792C">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8792C">
        <w:rPr>
          <w:rFonts w:ascii="Palatino Linotype" w:eastAsia="Palatino Linotype" w:hAnsi="Palatino Linotype" w:cs="Palatino Linotype"/>
          <w:i/>
          <w:sz w:val="22"/>
          <w:szCs w:val="22"/>
        </w:rPr>
        <w:t>.” Énfasis añadido.</w:t>
      </w:r>
    </w:p>
    <w:p w14:paraId="46735D15"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consecuencia, la fundamentación y motivación implica </w:t>
      </w:r>
      <w:proofErr w:type="gramStart"/>
      <w:r w:rsidRPr="0098792C">
        <w:rPr>
          <w:rFonts w:ascii="Palatino Linotype" w:eastAsia="Palatino Linotype" w:hAnsi="Palatino Linotype" w:cs="Palatino Linotype"/>
          <w:sz w:val="22"/>
          <w:szCs w:val="22"/>
        </w:rPr>
        <w:t>que</w:t>
      </w:r>
      <w:proofErr w:type="gramEnd"/>
      <w:r w:rsidRPr="0098792C">
        <w:rPr>
          <w:rFonts w:ascii="Palatino Linotype" w:eastAsia="Palatino Linotype" w:hAnsi="Palatino Linotype" w:cs="Palatino Linotype"/>
          <w:sz w:val="22"/>
          <w:szCs w:val="22"/>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52C6D641" w14:textId="77777777" w:rsidR="00C55892" w:rsidRPr="0098792C" w:rsidRDefault="00297FA7">
      <w:pPr>
        <w:shd w:val="clear" w:color="auto" w:fill="FFFFFF"/>
        <w:spacing w:before="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 xml:space="preserve">Aunado a ello no se debe perder de vista que la clasificación es el proceso mediante el cual el sujeto obligado determina que la información en su poder </w:t>
      </w:r>
      <w:proofErr w:type="spellStart"/>
      <w:r w:rsidRPr="0098792C">
        <w:rPr>
          <w:rFonts w:ascii="Palatino Linotype" w:eastAsia="Palatino Linotype" w:hAnsi="Palatino Linotype" w:cs="Palatino Linotype"/>
          <w:sz w:val="22"/>
          <w:szCs w:val="22"/>
        </w:rPr>
        <w:t>actualiza</w:t>
      </w:r>
      <w:proofErr w:type="spellEnd"/>
      <w:r w:rsidRPr="0098792C">
        <w:rPr>
          <w:rFonts w:ascii="Palatino Linotype" w:eastAsia="Palatino Linotype" w:hAnsi="Palatino Linotype" w:cs="Palatino Linotype"/>
          <w:sz w:val="22"/>
          <w:szCs w:val="22"/>
        </w:rPr>
        <w:t xml:space="preserve"> alguno de los supuestos de reserva o confidencialidad, los cuales deberán ser acordes con las bases, principios y disposiciones establecidos en la Ley General de Transparencia, vigente a la fecha de la solicitud, al respecto, conviene referir que la Ley de Transparencia vigente en el Estado de México establece lo siguiente:</w:t>
      </w:r>
    </w:p>
    <w:p w14:paraId="31165D79" w14:textId="77777777" w:rsidR="00C55892" w:rsidRPr="0098792C" w:rsidRDefault="00C55892">
      <w:pPr>
        <w:shd w:val="clear" w:color="auto" w:fill="FFFFFF"/>
        <w:spacing w:line="360" w:lineRule="auto"/>
        <w:jc w:val="both"/>
        <w:rPr>
          <w:b/>
        </w:rPr>
      </w:pPr>
    </w:p>
    <w:p w14:paraId="420CA6FA" w14:textId="77777777" w:rsidR="00C55892" w:rsidRPr="0098792C" w:rsidRDefault="00297FA7">
      <w:pPr>
        <w:shd w:val="clear" w:color="auto" w:fill="FFFFFF"/>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131.</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98792C">
        <w:rPr>
          <w:rFonts w:ascii="Palatino Linotype" w:eastAsia="Palatino Linotype" w:hAnsi="Palatino Linotype" w:cs="Palatino Linotype"/>
          <w:i/>
          <w:sz w:val="22"/>
          <w:szCs w:val="22"/>
        </w:rPr>
        <w:t xml:space="preserve"> previstos en esta Ley </w:t>
      </w:r>
      <w:r w:rsidRPr="0098792C">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98792C">
        <w:rPr>
          <w:rFonts w:ascii="Palatino Linotype" w:eastAsia="Palatino Linotype" w:hAnsi="Palatino Linotype" w:cs="Palatino Linotype"/>
          <w:i/>
          <w:sz w:val="22"/>
          <w:szCs w:val="22"/>
        </w:rPr>
        <w:t>, de conformidad con lo previsto en la presente Ley.</w:t>
      </w:r>
    </w:p>
    <w:p w14:paraId="7A6E8B40" w14:textId="77777777" w:rsidR="00C55892" w:rsidRPr="0098792C" w:rsidRDefault="00C55892">
      <w:pPr>
        <w:shd w:val="clear" w:color="auto" w:fill="FFFFFF"/>
        <w:ind w:left="851" w:right="851"/>
        <w:jc w:val="both"/>
        <w:rPr>
          <w:rFonts w:ascii="Palatino Linotype" w:eastAsia="Palatino Linotype" w:hAnsi="Palatino Linotype" w:cs="Palatino Linotype"/>
          <w:b/>
          <w:i/>
          <w:sz w:val="22"/>
          <w:szCs w:val="22"/>
        </w:rPr>
      </w:pPr>
    </w:p>
    <w:p w14:paraId="7DE10C8F" w14:textId="77777777" w:rsidR="00C55892" w:rsidRPr="0098792C" w:rsidRDefault="00297FA7">
      <w:pPr>
        <w:shd w:val="clear" w:color="auto" w:fill="FFFFFF"/>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132.</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u w:val="single"/>
        </w:rPr>
        <w:t>La clasificación de la información se llevará a cabo</w:t>
      </w:r>
      <w:r w:rsidRPr="0098792C">
        <w:rPr>
          <w:rFonts w:ascii="Palatino Linotype" w:eastAsia="Palatino Linotype" w:hAnsi="Palatino Linotype" w:cs="Palatino Linotype"/>
          <w:i/>
          <w:sz w:val="22"/>
          <w:szCs w:val="22"/>
        </w:rPr>
        <w:t xml:space="preserve"> en el momento en que:</w:t>
      </w:r>
    </w:p>
    <w:p w14:paraId="3DABC2F5" w14:textId="77777777" w:rsidR="00C55892" w:rsidRPr="0098792C" w:rsidRDefault="00297FA7">
      <w:pPr>
        <w:shd w:val="clear" w:color="auto" w:fill="FFFFFF"/>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u w:val="single"/>
        </w:rPr>
        <w:t>Se reciba una solicitud de acceso a la información</w:t>
      </w:r>
      <w:r w:rsidRPr="0098792C">
        <w:rPr>
          <w:rFonts w:ascii="Palatino Linotype" w:eastAsia="Palatino Linotype" w:hAnsi="Palatino Linotype" w:cs="Palatino Linotype"/>
          <w:i/>
          <w:sz w:val="22"/>
          <w:szCs w:val="22"/>
        </w:rPr>
        <w:t>;</w:t>
      </w:r>
    </w:p>
    <w:p w14:paraId="01631856" w14:textId="77777777" w:rsidR="00C55892" w:rsidRPr="0098792C" w:rsidRDefault="00297FA7">
      <w:pPr>
        <w:shd w:val="clear" w:color="auto" w:fill="FFFFFF"/>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w:t>
      </w:r>
      <w:r w:rsidRPr="0098792C">
        <w:rPr>
          <w:rFonts w:ascii="Palatino Linotype" w:eastAsia="Palatino Linotype" w:hAnsi="Palatino Linotype" w:cs="Palatino Linotype"/>
          <w:i/>
          <w:sz w:val="22"/>
          <w:szCs w:val="22"/>
        </w:rPr>
        <w:t xml:space="preserve"> Se determine mediante resolución de autoridad competente; o</w:t>
      </w:r>
    </w:p>
    <w:p w14:paraId="51A93ADC" w14:textId="77777777" w:rsidR="00C55892" w:rsidRPr="0098792C" w:rsidRDefault="00297FA7">
      <w:pPr>
        <w:shd w:val="clear" w:color="auto" w:fill="FFFFFF"/>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III.</w:t>
      </w:r>
      <w:r w:rsidRPr="0098792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443FCC9" w14:textId="77777777" w:rsidR="00C55892" w:rsidRPr="0098792C" w:rsidRDefault="00C55892">
      <w:pPr>
        <w:shd w:val="clear" w:color="auto" w:fill="FFFFFF"/>
        <w:ind w:left="851" w:right="851"/>
        <w:jc w:val="both"/>
        <w:rPr>
          <w:rFonts w:ascii="Palatino Linotype" w:eastAsia="Palatino Linotype" w:hAnsi="Palatino Linotype" w:cs="Palatino Linotype"/>
          <w:i/>
          <w:sz w:val="22"/>
          <w:szCs w:val="22"/>
        </w:rPr>
      </w:pPr>
    </w:p>
    <w:p w14:paraId="1F45A1C8" w14:textId="77777777" w:rsidR="00C55892" w:rsidRPr="0098792C" w:rsidRDefault="00297FA7">
      <w:pPr>
        <w:shd w:val="clear" w:color="auto" w:fill="FFFFFF"/>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4D5C4BAC" w14:textId="77777777" w:rsidR="00C55892" w:rsidRPr="0098792C" w:rsidRDefault="00C55892">
      <w:pPr>
        <w:shd w:val="clear" w:color="auto" w:fill="FFFFFF"/>
        <w:ind w:left="851" w:right="851"/>
        <w:jc w:val="both"/>
        <w:rPr>
          <w:rFonts w:ascii="Palatino Linotype" w:eastAsia="Palatino Linotype" w:hAnsi="Palatino Linotype" w:cs="Palatino Linotype"/>
          <w:i/>
          <w:sz w:val="22"/>
          <w:szCs w:val="22"/>
        </w:rPr>
      </w:pPr>
    </w:p>
    <w:p w14:paraId="68CFF367" w14:textId="77777777" w:rsidR="00C55892" w:rsidRPr="0098792C" w:rsidRDefault="00297FA7">
      <w:pPr>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134.</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u w:val="single"/>
        </w:rPr>
        <w:t>Los sujetos obligados no podrán emitir acuerdos de carácter general</w:t>
      </w:r>
      <w:r w:rsidRPr="0098792C">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0CB9A22B" w14:textId="77777777" w:rsidR="00C55892" w:rsidRPr="0098792C" w:rsidRDefault="00C55892">
      <w:pPr>
        <w:ind w:left="851" w:right="851"/>
        <w:jc w:val="both"/>
        <w:rPr>
          <w:rFonts w:ascii="Palatino Linotype" w:eastAsia="Palatino Linotype" w:hAnsi="Palatino Linotype" w:cs="Palatino Linotype"/>
          <w:i/>
          <w:sz w:val="22"/>
          <w:szCs w:val="22"/>
        </w:rPr>
      </w:pPr>
    </w:p>
    <w:p w14:paraId="488F06BD" w14:textId="77777777" w:rsidR="00C55892" w:rsidRPr="0098792C" w:rsidRDefault="00297FA7">
      <w:pPr>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u w:val="single"/>
        </w:rPr>
        <w:t>En ningún caso se podrán clasificar documentos antes de que se genere la información</w:t>
      </w:r>
      <w:r w:rsidRPr="0098792C">
        <w:rPr>
          <w:rFonts w:ascii="Palatino Linotype" w:eastAsia="Palatino Linotype" w:hAnsi="Palatino Linotype" w:cs="Palatino Linotype"/>
          <w:i/>
          <w:sz w:val="22"/>
          <w:szCs w:val="22"/>
        </w:rPr>
        <w:t>.</w:t>
      </w:r>
    </w:p>
    <w:p w14:paraId="32026690" w14:textId="77777777" w:rsidR="00C55892" w:rsidRPr="0098792C" w:rsidRDefault="00C55892">
      <w:pPr>
        <w:ind w:left="851" w:right="851"/>
        <w:jc w:val="both"/>
        <w:rPr>
          <w:rFonts w:ascii="Palatino Linotype" w:eastAsia="Palatino Linotype" w:hAnsi="Palatino Linotype" w:cs="Palatino Linotype"/>
          <w:i/>
          <w:sz w:val="22"/>
          <w:szCs w:val="22"/>
        </w:rPr>
      </w:pPr>
    </w:p>
    <w:p w14:paraId="21257D5A" w14:textId="77777777" w:rsidR="00C55892" w:rsidRPr="0098792C" w:rsidRDefault="00297FA7">
      <w:pPr>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3646B3C6" w14:textId="77777777" w:rsidR="00C55892" w:rsidRPr="0098792C" w:rsidRDefault="00C55892">
      <w:pPr>
        <w:ind w:left="851" w:right="851"/>
        <w:jc w:val="both"/>
        <w:rPr>
          <w:rFonts w:ascii="Palatino Linotype" w:eastAsia="Palatino Linotype" w:hAnsi="Palatino Linotype" w:cs="Palatino Linotype"/>
          <w:b/>
          <w:i/>
          <w:sz w:val="22"/>
          <w:szCs w:val="22"/>
        </w:rPr>
      </w:pPr>
    </w:p>
    <w:p w14:paraId="516B70BF" w14:textId="77777777" w:rsidR="00C55892" w:rsidRPr="0098792C" w:rsidRDefault="00297FA7">
      <w:pPr>
        <w:ind w:left="851" w:right="85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135.</w:t>
      </w:r>
      <w:r w:rsidRPr="0098792C">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 (Énfasis añadido)</w:t>
      </w:r>
    </w:p>
    <w:p w14:paraId="21D1239C" w14:textId="77777777" w:rsidR="00C55892" w:rsidRPr="0098792C" w:rsidRDefault="00C55892">
      <w:pPr>
        <w:ind w:left="851" w:right="851"/>
        <w:jc w:val="both"/>
        <w:rPr>
          <w:rFonts w:ascii="Palatino Linotype" w:eastAsia="Palatino Linotype" w:hAnsi="Palatino Linotype" w:cs="Palatino Linotype"/>
          <w:i/>
          <w:sz w:val="22"/>
          <w:szCs w:val="22"/>
        </w:rPr>
      </w:pPr>
    </w:p>
    <w:p w14:paraId="6F4FD170"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De la normatividad se aprecia que l</w:t>
      </w:r>
      <w:r w:rsidRPr="0098792C">
        <w:rPr>
          <w:rFonts w:ascii="Palatino Linotype" w:eastAsia="Palatino Linotype" w:hAnsi="Palatino Linotype" w:cs="Palatino Linotype"/>
          <w:b/>
          <w:sz w:val="22"/>
          <w:szCs w:val="22"/>
        </w:rPr>
        <w:t xml:space="preserve">a </w:t>
      </w:r>
      <w:r w:rsidRPr="0098792C">
        <w:rPr>
          <w:rFonts w:ascii="Palatino Linotype" w:eastAsia="Palatino Linotype" w:hAnsi="Palatino Linotype" w:cs="Palatino Linotype"/>
          <w:sz w:val="22"/>
          <w:szCs w:val="22"/>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98792C">
        <w:rPr>
          <w:rFonts w:ascii="Palatino Linotype" w:eastAsia="Palatino Linotype" w:hAnsi="Palatino Linotype" w:cs="Palatino Linotype"/>
          <w:i/>
          <w:sz w:val="22"/>
          <w:szCs w:val="22"/>
        </w:rPr>
        <w:t>se reciba una solicitud de acceso a la información;</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i/>
          <w:sz w:val="22"/>
          <w:szCs w:val="22"/>
        </w:rPr>
        <w:t>determine mediante resolución de autoridad competente; o</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i/>
          <w:sz w:val="22"/>
          <w:szCs w:val="22"/>
        </w:rPr>
        <w:t>generen versiones públicas para dar cumplimiento a las obligaciones de transparencia,</w:t>
      </w:r>
      <w:r w:rsidRPr="0098792C">
        <w:rPr>
          <w:rFonts w:ascii="Palatino Linotype" w:eastAsia="Palatino Linotype" w:hAnsi="Palatino Linotype" w:cs="Palatino Linotype"/>
          <w:sz w:val="22"/>
          <w:szCs w:val="22"/>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w:t>
      </w:r>
      <w:r w:rsidRPr="0098792C">
        <w:rPr>
          <w:rFonts w:ascii="Palatino Linotype" w:eastAsia="Palatino Linotype" w:hAnsi="Palatino Linotype" w:cs="Palatino Linotype"/>
          <w:b/>
          <w:sz w:val="22"/>
          <w:szCs w:val="22"/>
          <w:u w:val="single"/>
        </w:rPr>
        <w:t xml:space="preserve"> formalidades que en el presente asunto no fueron observadas por el Sujeto Obligado</w:t>
      </w:r>
      <w:r w:rsidRPr="0098792C">
        <w:rPr>
          <w:rFonts w:ascii="Palatino Linotype" w:eastAsia="Palatino Linotype" w:hAnsi="Palatino Linotype" w:cs="Palatino Linotype"/>
          <w:sz w:val="22"/>
          <w:szCs w:val="22"/>
        </w:rPr>
        <w:t>.</w:t>
      </w:r>
    </w:p>
    <w:p w14:paraId="6422B79C"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Establecido lo anterior, resulta importante señalar </w:t>
      </w:r>
      <w:proofErr w:type="gramStart"/>
      <w:r w:rsidRPr="0098792C">
        <w:rPr>
          <w:rFonts w:ascii="Palatino Linotype" w:eastAsia="Palatino Linotype" w:hAnsi="Palatino Linotype" w:cs="Palatino Linotype"/>
          <w:sz w:val="22"/>
          <w:szCs w:val="22"/>
        </w:rPr>
        <w:t>que</w:t>
      </w:r>
      <w:proofErr w:type="gramEnd"/>
      <w:r w:rsidRPr="0098792C">
        <w:rPr>
          <w:rFonts w:ascii="Palatino Linotype" w:eastAsia="Palatino Linotype" w:hAnsi="Palatino Linotype" w:cs="Palatino Linotype"/>
          <w:sz w:val="22"/>
          <w:szCs w:val="22"/>
        </w:rPr>
        <w:t xml:space="preserve"> en el presente caso, </w:t>
      </w:r>
      <w:r w:rsidRPr="0098792C">
        <w:rPr>
          <w:rFonts w:ascii="Palatino Linotype" w:eastAsia="Palatino Linotype" w:hAnsi="Palatino Linotype" w:cs="Palatino Linotype"/>
          <w:b/>
          <w:sz w:val="22"/>
          <w:szCs w:val="22"/>
        </w:rPr>
        <w:t>no es posible validar la reserva realizada por el Sujeto Obligado</w:t>
      </w:r>
      <w:r w:rsidRPr="0098792C">
        <w:rPr>
          <w:rFonts w:ascii="Palatino Linotype" w:eastAsia="Palatino Linotype" w:hAnsi="Palatino Linotype" w:cs="Palatino Linotype"/>
          <w:sz w:val="22"/>
          <w:szCs w:val="22"/>
        </w:rPr>
        <w:t xml:space="preserve">, por lo que se procede al análisis pormenorizado de cada uno de los puntos para efecto de determinar la procedencia de la entrega de la información o en su caso, de la clasificación de la información. </w:t>
      </w:r>
    </w:p>
    <w:p w14:paraId="22EADAAD" w14:textId="77777777" w:rsidR="00C55892" w:rsidRPr="0098792C" w:rsidRDefault="00297FA7">
      <w:pPr>
        <w:shd w:val="clear" w:color="auto" w:fill="EEECE1"/>
        <w:spacing w:before="240" w:after="240"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1. Del número de patrullas, cuadrantes y elementos</w:t>
      </w:r>
    </w:p>
    <w:p w14:paraId="26D3F41E"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lo concerniente a este punto, tenemos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pretendió la reserva de la información, sin embargo, de un análisis al requerimiento de información, visualizamos que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únicamente </w:t>
      </w:r>
      <w:r w:rsidRPr="0098792C">
        <w:rPr>
          <w:rFonts w:ascii="Palatino Linotype" w:eastAsia="Palatino Linotype" w:hAnsi="Palatino Linotype" w:cs="Palatino Linotype"/>
          <w:b/>
          <w:sz w:val="22"/>
          <w:szCs w:val="22"/>
        </w:rPr>
        <w:t>requiere un dato de carácter estadístico, no así información que haga identificables a los elementos, brinde especificaciones técnicas de las patrullas o bien, refiera conformación de los cuadrantes</w:t>
      </w:r>
      <w:r w:rsidRPr="0098792C">
        <w:rPr>
          <w:rFonts w:ascii="Palatino Linotype" w:eastAsia="Palatino Linotype" w:hAnsi="Palatino Linotype" w:cs="Palatino Linotype"/>
          <w:sz w:val="22"/>
          <w:szCs w:val="22"/>
        </w:rPr>
        <w:t xml:space="preserve">, por lo tanto, resulta de vital importancia traer a colación a nuestro estudio, el criterio 11/09 emitido por el entonces </w:t>
      </w:r>
      <w:r w:rsidRPr="0098792C">
        <w:rPr>
          <w:rFonts w:ascii="Palatino Linotype" w:eastAsia="Palatino Linotype" w:hAnsi="Palatino Linotype" w:cs="Palatino Linotype"/>
          <w:sz w:val="22"/>
          <w:szCs w:val="22"/>
        </w:rPr>
        <w:lastRenderedPageBreak/>
        <w:t>Instituto Nacional de Transparencia, Acceso a la Información y Protección de Datos Personales, que a la letra dispone lo siguiente:</w:t>
      </w:r>
    </w:p>
    <w:p w14:paraId="2C48F180" w14:textId="77777777" w:rsidR="00C55892" w:rsidRPr="0098792C" w:rsidRDefault="00297FA7">
      <w:pPr>
        <w:spacing w:after="160"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“LA INFORMACIÓN ESTADÍSTICA ES DE NATURALEZA PÚBLICA, INDEPENDIENTEMENTE DE LA MATERIA CON LA QUE SE ENCUENTRE VINCULADA.</w:t>
      </w:r>
    </w:p>
    <w:p w14:paraId="056583BC" w14:textId="77777777" w:rsidR="00C55892" w:rsidRPr="0098792C" w:rsidRDefault="00297FA7">
      <w:pPr>
        <w:spacing w:after="160" w:line="276" w:lineRule="auto"/>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w:t>
      </w:r>
      <w:r w:rsidRPr="0098792C">
        <w:rPr>
          <w:rFonts w:ascii="Palatino Linotype" w:eastAsia="Palatino Linotype" w:hAnsi="Palatino Linotype" w:cs="Palatino Linotype"/>
          <w:b/>
          <w:i/>
          <w:sz w:val="22"/>
          <w:szCs w:val="22"/>
          <w:u w:val="single"/>
        </w:rPr>
        <w:t>la información estadística es de naturaleza pública. Lo anterior se debe también a que, por definición, los datos estadísticos no se encuentran individualizados o personalizados a casos o situaciones específicas que pudieran llegar a justificar su clasificación.</w:t>
      </w:r>
      <w:r w:rsidRPr="0098792C">
        <w:rPr>
          <w:rFonts w:ascii="Palatino Linotype" w:eastAsia="Palatino Linotype" w:hAnsi="Palatino Linotype" w:cs="Palatino Linotype"/>
          <w:i/>
          <w:sz w:val="22"/>
          <w:szCs w:val="22"/>
        </w:rPr>
        <w:t>” (Énfasis añadido)</w:t>
      </w:r>
    </w:p>
    <w:p w14:paraId="227B7AAC" w14:textId="77777777" w:rsidR="00C55892" w:rsidRPr="0098792C" w:rsidRDefault="00297FA7">
      <w:pPr>
        <w:spacing w:after="160"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De lo anteriormente citado, se tiene que la información de carácter estadística es susceptible de considerarse pública, en razón de que se insiste, esta no da cuenta de información de carácter particular sobre elementos operativos en materia de seguridad pública, los cuadrantes o de especificaciones de las patrullas, pues en dado caso efectivamente aplicaría la reserva de la información. </w:t>
      </w:r>
    </w:p>
    <w:p w14:paraId="761DD4E0" w14:textId="77777777" w:rsidR="00C55892" w:rsidRPr="0098792C" w:rsidRDefault="00297FA7">
      <w:pPr>
        <w:spacing w:after="160"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 mayor abundamiento de lo anterior, resulta pertinente señalar que la Dirección General de Seguridad y Protección, cuenta con un Departamento de Recursos Humanos y un Departamento de Recursos Materiales y Control Patrimonial, los cuales de conformidad con el Manual de Organización de la Dirección General de Seguridad y Protección cuenta con las siguientes atribuciones:</w:t>
      </w:r>
    </w:p>
    <w:p w14:paraId="717C7EA6"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“205011002 Departamento de Recursos Humanos</w:t>
      </w:r>
    </w:p>
    <w:p w14:paraId="50138816"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Objetivo:</w:t>
      </w:r>
    </w:p>
    <w:p w14:paraId="18588F7B"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Elaborar, documentar, validar y remitir a la Dirección de Recursos Humanos de la Dirección General de Administración, </w:t>
      </w:r>
      <w:r w:rsidRPr="0098792C">
        <w:rPr>
          <w:rFonts w:ascii="Palatino Linotype" w:eastAsia="Palatino Linotype" w:hAnsi="Palatino Linotype" w:cs="Palatino Linotype"/>
          <w:b/>
          <w:i/>
          <w:sz w:val="22"/>
          <w:szCs w:val="22"/>
        </w:rPr>
        <w:t>los movimientos de personal como son:</w:t>
      </w:r>
      <w:r w:rsidRPr="0098792C">
        <w:rPr>
          <w:rFonts w:ascii="Palatino Linotype" w:eastAsia="Palatino Linotype" w:hAnsi="Palatino Linotype" w:cs="Palatino Linotype"/>
          <w:i/>
          <w:sz w:val="22"/>
          <w:szCs w:val="22"/>
        </w:rPr>
        <w:t xml:space="preserve"> admisión, asistencia, actas administrativas, permisos, retardos, horas extras, vacaciones, promociones, licencias, </w:t>
      </w:r>
      <w:r w:rsidRPr="0098792C">
        <w:rPr>
          <w:rFonts w:ascii="Palatino Linotype" w:eastAsia="Palatino Linotype" w:hAnsi="Palatino Linotype" w:cs="Palatino Linotype"/>
          <w:b/>
          <w:i/>
          <w:sz w:val="22"/>
          <w:szCs w:val="22"/>
        </w:rPr>
        <w:t>altas,</w:t>
      </w:r>
      <w:r w:rsidRPr="0098792C">
        <w:rPr>
          <w:rFonts w:ascii="Palatino Linotype" w:eastAsia="Palatino Linotype" w:hAnsi="Palatino Linotype" w:cs="Palatino Linotype"/>
          <w:i/>
          <w:sz w:val="22"/>
          <w:szCs w:val="22"/>
        </w:rPr>
        <w:t xml:space="preserve"> bajas, notificaciones, incidencias y todo lo relacionado en la materia, para que se atiendan conforme a los lineamientos establecidos.</w:t>
      </w:r>
    </w:p>
    <w:p w14:paraId="18853335"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Funciones:</w:t>
      </w:r>
    </w:p>
    <w:p w14:paraId="490A43B5"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29D44D39" w14:textId="77777777" w:rsidR="00C55892" w:rsidRPr="0098792C" w:rsidRDefault="00297FA7">
      <w:pPr>
        <w:spacing w:after="160" w:line="276" w:lineRule="auto"/>
        <w:ind w:left="567" w:right="1041"/>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i/>
          <w:sz w:val="22"/>
          <w:szCs w:val="22"/>
        </w:rPr>
        <w:t xml:space="preserve">8. </w:t>
      </w:r>
      <w:r w:rsidRPr="0098792C">
        <w:rPr>
          <w:rFonts w:ascii="Palatino Linotype" w:eastAsia="Palatino Linotype" w:hAnsi="Palatino Linotype" w:cs="Palatino Linotype"/>
          <w:b/>
          <w:i/>
          <w:sz w:val="22"/>
          <w:szCs w:val="22"/>
          <w:u w:val="single"/>
        </w:rPr>
        <w:t>Ingresar los datos de los miembros del cuerpo policial en el Registro Nacional de Personal de Seguridad Pública (RNPSP), así como de la plataforma estatal llamada Registro de Listado Nominal (RELINO);</w:t>
      </w:r>
    </w:p>
    <w:p w14:paraId="50A34EB6"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205011003 </w:t>
      </w:r>
      <w:proofErr w:type="gramStart"/>
      <w:r w:rsidRPr="0098792C">
        <w:rPr>
          <w:rFonts w:ascii="Palatino Linotype" w:eastAsia="Palatino Linotype" w:hAnsi="Palatino Linotype" w:cs="Palatino Linotype"/>
          <w:i/>
          <w:sz w:val="22"/>
          <w:szCs w:val="22"/>
        </w:rPr>
        <w:t>Departamento</w:t>
      </w:r>
      <w:proofErr w:type="gramEnd"/>
      <w:r w:rsidRPr="0098792C">
        <w:rPr>
          <w:rFonts w:ascii="Palatino Linotype" w:eastAsia="Palatino Linotype" w:hAnsi="Palatino Linotype" w:cs="Palatino Linotype"/>
          <w:i/>
          <w:sz w:val="22"/>
          <w:szCs w:val="22"/>
        </w:rPr>
        <w:t xml:space="preserve"> de Recursos Materiales y Control Patrimonial</w:t>
      </w:r>
    </w:p>
    <w:p w14:paraId="240F6F24"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Objetivo:</w:t>
      </w:r>
    </w:p>
    <w:p w14:paraId="7F277571"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Coordinar, controlar y evaluar las actividades relacionadas con la administración de los recursos materiales, así como la prestación de los servicios generales y todo lo concerniente al patrimonio operativo (bienes muebles e inmuebles) conforme a las normas y lineamientos establecidos por la norma especial en la materia y demás correlativas de la Dirección General Seguridad y Protección.</w:t>
      </w:r>
    </w:p>
    <w:p w14:paraId="27D16730"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Funciones:</w:t>
      </w:r>
    </w:p>
    <w:p w14:paraId="27706F16" w14:textId="77777777" w:rsidR="00C55892" w:rsidRPr="0098792C" w:rsidRDefault="00297FA7">
      <w:pPr>
        <w:spacing w:after="160" w:line="276" w:lineRule="auto"/>
        <w:ind w:left="567" w:right="10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1. Integrar, custodiar y mantener actualizados los expedientes y resguardos de los vehículos asignados, procurando que estén siempre al corriente en cuanto al pago de derechos;</w:t>
      </w:r>
    </w:p>
    <w:p w14:paraId="1F625FE2" w14:textId="77777777" w:rsidR="00C55892" w:rsidRPr="0098792C" w:rsidRDefault="00297FA7">
      <w:pPr>
        <w:spacing w:after="160" w:line="276" w:lineRule="auto"/>
        <w:ind w:left="567" w:right="1041"/>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2. Controlar, resguardar e inventariar los bienes muebles e inmuebles asignados a la Dirección General, en coordinación con el Departamento de Control Patrimonial de la Dirección General de Administración;”</w:t>
      </w:r>
    </w:p>
    <w:p w14:paraId="1C05201E" w14:textId="77777777" w:rsidR="00C55892" w:rsidRPr="0098792C" w:rsidRDefault="00C55892">
      <w:pPr>
        <w:pBdr>
          <w:top w:val="nil"/>
          <w:left w:val="nil"/>
          <w:bottom w:val="nil"/>
          <w:right w:val="nil"/>
          <w:between w:val="nil"/>
        </w:pBdr>
        <w:spacing w:line="276" w:lineRule="auto"/>
        <w:ind w:left="567" w:right="1041"/>
        <w:jc w:val="both"/>
        <w:rPr>
          <w:rFonts w:ascii="Palatino Linotype" w:eastAsia="Palatino Linotype" w:hAnsi="Palatino Linotype" w:cs="Palatino Linotype"/>
          <w:b/>
          <w:i/>
          <w:sz w:val="22"/>
          <w:szCs w:val="22"/>
          <w:u w:val="single"/>
        </w:rPr>
      </w:pPr>
    </w:p>
    <w:p w14:paraId="0BADEF86"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8" w:name="_heading=h.sdto4k79bb6u" w:colFirst="0" w:colLast="0"/>
      <w:bookmarkEnd w:id="8"/>
      <w:r w:rsidRPr="0098792C">
        <w:rPr>
          <w:rFonts w:ascii="Palatino Linotype" w:eastAsia="Palatino Linotype" w:hAnsi="Palatino Linotype" w:cs="Palatino Linotype"/>
          <w:sz w:val="22"/>
          <w:szCs w:val="22"/>
        </w:rPr>
        <w:t xml:space="preserve">De lo anteriormente citado, se aprecia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cuenta con atribuciones para generar información relacionada con el número de miembros del cuerpo policial, así como </w:t>
      </w:r>
      <w:r w:rsidRPr="0098792C">
        <w:rPr>
          <w:rFonts w:ascii="Palatino Linotype" w:eastAsia="Palatino Linotype" w:hAnsi="Palatino Linotype" w:cs="Palatino Linotype"/>
          <w:sz w:val="22"/>
          <w:szCs w:val="22"/>
        </w:rPr>
        <w:lastRenderedPageBreak/>
        <w:t xml:space="preserve">de los vehículos asignados, por lo tanto, se insiste que a la información en análisis es susceptible de considerarse como pública, por ende, se determina pertinente ordenar la entrega de los documentos que den cuenta del </w:t>
      </w:r>
      <w:r w:rsidRPr="0098792C">
        <w:rPr>
          <w:rFonts w:ascii="Palatino Linotype" w:eastAsia="Palatino Linotype" w:hAnsi="Palatino Linotype" w:cs="Palatino Linotype"/>
          <w:b/>
          <w:sz w:val="22"/>
          <w:szCs w:val="22"/>
        </w:rPr>
        <w:t>número de patrullas, cuadrantes y elementos policiales, con los que cuente al veinticinco de febrero de dos mil veinticinco, al mayor grado de desagregación</w:t>
      </w:r>
      <w:r w:rsidRPr="0098792C">
        <w:rPr>
          <w:rFonts w:ascii="Palatino Linotype" w:eastAsia="Palatino Linotype" w:hAnsi="Palatino Linotype" w:cs="Palatino Linotype"/>
          <w:sz w:val="22"/>
          <w:szCs w:val="22"/>
        </w:rPr>
        <w:t>.</w:t>
      </w:r>
    </w:p>
    <w:p w14:paraId="2ACAAC3E"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3C3E81B8" w14:textId="77777777" w:rsidR="00C55892" w:rsidRPr="0098792C" w:rsidRDefault="00297FA7">
      <w:pPr>
        <w:pBdr>
          <w:top w:val="nil"/>
          <w:left w:val="nil"/>
          <w:bottom w:val="nil"/>
          <w:right w:val="nil"/>
          <w:between w:val="nil"/>
        </w:pBdr>
        <w:shd w:val="clear" w:color="auto" w:fill="EEECE1"/>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2. </w:t>
      </w:r>
      <w:proofErr w:type="gramStart"/>
      <w:r w:rsidRPr="0098792C">
        <w:rPr>
          <w:rFonts w:ascii="Palatino Linotype" w:eastAsia="Palatino Linotype" w:hAnsi="Palatino Linotype" w:cs="Palatino Linotype"/>
          <w:b/>
          <w:sz w:val="22"/>
          <w:szCs w:val="22"/>
        </w:rPr>
        <w:t>De  los</w:t>
      </w:r>
      <w:proofErr w:type="gramEnd"/>
      <w:r w:rsidRPr="0098792C">
        <w:rPr>
          <w:rFonts w:ascii="Palatino Linotype" w:eastAsia="Palatino Linotype" w:hAnsi="Palatino Linotype" w:cs="Palatino Linotype"/>
          <w:b/>
          <w:sz w:val="22"/>
          <w:szCs w:val="22"/>
        </w:rPr>
        <w:t xml:space="preserve"> operativos realizados: cuantos  y donde se realizaron, así como sus resultados y detenciones.</w:t>
      </w:r>
    </w:p>
    <w:p w14:paraId="4503365A"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48F19D"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trike/>
          <w:sz w:val="22"/>
          <w:szCs w:val="22"/>
        </w:rPr>
      </w:pPr>
      <w:r w:rsidRPr="0098792C">
        <w:rPr>
          <w:rFonts w:ascii="Palatino Linotype" w:eastAsia="Palatino Linotype" w:hAnsi="Palatino Linotype" w:cs="Palatino Linotype"/>
          <w:sz w:val="22"/>
          <w:szCs w:val="22"/>
        </w:rPr>
        <w:t xml:space="preserve">En lo concerniente a este apartado de la solicitud, tenemos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refirió que </w:t>
      </w:r>
      <w:r w:rsidRPr="0098792C">
        <w:rPr>
          <w:rFonts w:ascii="Palatino Linotype" w:eastAsia="Palatino Linotype" w:hAnsi="Palatino Linotype" w:cs="Palatino Linotype"/>
          <w:b/>
          <w:sz w:val="22"/>
          <w:szCs w:val="22"/>
        </w:rPr>
        <w:t>en el año 2024 se realizaron 2,061 operativos en materia de tránsito, en las 48 Delegaciones que integran el Municipio de Toluca, encaminados a mejorar la condición vial del Municipio de Toluca</w:t>
      </w:r>
      <w:r w:rsidRPr="0098792C">
        <w:rPr>
          <w:rFonts w:ascii="Palatino Linotype" w:eastAsia="Palatino Linotype" w:hAnsi="Palatino Linotype" w:cs="Palatino Linotype"/>
          <w:sz w:val="22"/>
          <w:szCs w:val="22"/>
        </w:rPr>
        <w:t>, coadyuvando con ello a dotar de una movilidad segura las calles y salvaguardar la integridad física de peatones, ciclistas y automovilistas, por consiguiente, con este pronunciamiento emitido por la persona servidora pública habilitada competente, se tienen por satisfechos estos puntos de la solicitud.</w:t>
      </w:r>
      <w:r w:rsidRPr="0098792C">
        <w:rPr>
          <w:rFonts w:ascii="Palatino Linotype" w:eastAsia="Palatino Linotype" w:hAnsi="Palatino Linotype" w:cs="Palatino Linotype"/>
          <w:strike/>
          <w:sz w:val="22"/>
          <w:szCs w:val="22"/>
        </w:rPr>
        <w:t xml:space="preserve"> </w:t>
      </w:r>
    </w:p>
    <w:p w14:paraId="3469E27C"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228FB4"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Por otra parte, respecto a los resultados, el Plan Municipal de Desarrollo del Ayuntamiento de Toluca de los años 2022-2024, contempla dentro de sus líneas de acción, la siguiente:</w:t>
      </w:r>
    </w:p>
    <w:p w14:paraId="11EFD25F"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drawing>
          <wp:inline distT="0" distB="0" distL="0" distR="0" wp14:anchorId="2A963134" wp14:editId="5EEA6D3B">
            <wp:extent cx="5591955" cy="1267002"/>
            <wp:effectExtent l="0" t="0" r="0" b="0"/>
            <wp:docPr id="20832964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91955" cy="1267002"/>
                    </a:xfrm>
                    <a:prstGeom prst="rect">
                      <a:avLst/>
                    </a:prstGeom>
                    <a:ln/>
                  </pic:spPr>
                </pic:pic>
              </a:graphicData>
            </a:graphic>
          </wp:inline>
        </w:drawing>
      </w:r>
    </w:p>
    <w:p w14:paraId="38664228"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tal tesitura, la Guía </w:t>
      </w:r>
      <w:proofErr w:type="gramStart"/>
      <w:r w:rsidRPr="0098792C">
        <w:rPr>
          <w:rFonts w:ascii="Palatino Linotype" w:eastAsia="Palatino Linotype" w:hAnsi="Palatino Linotype" w:cs="Palatino Linotype"/>
          <w:sz w:val="22"/>
          <w:szCs w:val="22"/>
        </w:rPr>
        <w:t>Metodológica  para</w:t>
      </w:r>
      <w:proofErr w:type="gramEnd"/>
      <w:r w:rsidRPr="0098792C">
        <w:rPr>
          <w:rFonts w:ascii="Palatino Linotype" w:eastAsia="Palatino Linotype" w:hAnsi="Palatino Linotype" w:cs="Palatino Linotype"/>
          <w:sz w:val="22"/>
          <w:szCs w:val="22"/>
        </w:rPr>
        <w:t xml:space="preserve"> el Seguimiento y Evaluación del Plan de Desarrollo Municipal Vigente, contempla la generación de dos documentos que dan cuenta del avance de lo plasmado en el plan de desarrollo municipal, siendo estos el </w:t>
      </w:r>
      <w:proofErr w:type="spellStart"/>
      <w:r w:rsidRPr="0098792C">
        <w:rPr>
          <w:rFonts w:ascii="Palatino Linotype" w:eastAsia="Palatino Linotype" w:hAnsi="Palatino Linotype" w:cs="Palatino Linotype"/>
          <w:sz w:val="22"/>
          <w:szCs w:val="22"/>
        </w:rPr>
        <w:t>PbRM</w:t>
      </w:r>
      <w:proofErr w:type="spellEnd"/>
      <w:r w:rsidRPr="0098792C">
        <w:rPr>
          <w:rFonts w:ascii="Palatino Linotype" w:eastAsia="Palatino Linotype" w:hAnsi="Palatino Linotype" w:cs="Palatino Linotype"/>
          <w:sz w:val="22"/>
          <w:szCs w:val="22"/>
        </w:rPr>
        <w:t xml:space="preserve"> 08b y </w:t>
      </w:r>
      <w:proofErr w:type="spellStart"/>
      <w:r w:rsidRPr="0098792C">
        <w:rPr>
          <w:rFonts w:ascii="Palatino Linotype" w:eastAsia="Palatino Linotype" w:hAnsi="Palatino Linotype" w:cs="Palatino Linotype"/>
          <w:sz w:val="22"/>
          <w:szCs w:val="22"/>
        </w:rPr>
        <w:lastRenderedPageBreak/>
        <w:t>PbRM</w:t>
      </w:r>
      <w:proofErr w:type="spellEnd"/>
      <w:r w:rsidRPr="0098792C">
        <w:rPr>
          <w:rFonts w:ascii="Palatino Linotype" w:eastAsia="Palatino Linotype" w:hAnsi="Palatino Linotype" w:cs="Palatino Linotype"/>
          <w:sz w:val="22"/>
          <w:szCs w:val="22"/>
        </w:rPr>
        <w:t xml:space="preserve"> 08c, los cuales contienen entre otros aspectos: la descripción de resultados y justificación, programa presupuestario, proyecto presupuestario, tal como se demuestra en la  siguiente ilustración:</w:t>
      </w:r>
    </w:p>
    <w:p w14:paraId="4604C27C" w14:textId="77777777" w:rsidR="00C55892" w:rsidRPr="0098792C" w:rsidRDefault="00297FA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drawing>
          <wp:inline distT="0" distB="0" distL="0" distR="0" wp14:anchorId="626D6C5D" wp14:editId="1AE31643">
            <wp:extent cx="4696697" cy="5085165"/>
            <wp:effectExtent l="0" t="0" r="0" b="0"/>
            <wp:docPr id="20832964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696697" cy="5085165"/>
                    </a:xfrm>
                    <a:prstGeom prst="rect">
                      <a:avLst/>
                    </a:prstGeom>
                    <a:ln/>
                  </pic:spPr>
                </pic:pic>
              </a:graphicData>
            </a:graphic>
          </wp:inline>
        </w:drawing>
      </w:r>
    </w:p>
    <w:p w14:paraId="3FA5F39A"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lastRenderedPageBreak/>
        <w:drawing>
          <wp:inline distT="0" distB="0" distL="0" distR="0" wp14:anchorId="14D9C017" wp14:editId="00AAEB3B">
            <wp:extent cx="5612130" cy="7067550"/>
            <wp:effectExtent l="0" t="0" r="0" b="0"/>
            <wp:docPr id="20832964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7067550"/>
                    </a:xfrm>
                    <a:prstGeom prst="rect">
                      <a:avLst/>
                    </a:prstGeom>
                    <a:ln/>
                  </pic:spPr>
                </pic:pic>
              </a:graphicData>
            </a:graphic>
          </wp:inline>
        </w:drawing>
      </w:r>
      <w:r w:rsidRPr="0098792C">
        <w:rPr>
          <w:noProof/>
        </w:rPr>
        <mc:AlternateContent>
          <mc:Choice Requires="wpg">
            <w:drawing>
              <wp:anchor distT="0" distB="0" distL="114300" distR="114300" simplePos="0" relativeHeight="251658240" behindDoc="0" locked="0" layoutInCell="1" hidden="0" allowOverlap="1" wp14:anchorId="380EE4BD" wp14:editId="2E6A0A3E">
                <wp:simplePos x="0" y="0"/>
                <wp:positionH relativeFrom="column">
                  <wp:posOffset>50801</wp:posOffset>
                </wp:positionH>
                <wp:positionV relativeFrom="paragraph">
                  <wp:posOffset>5803900</wp:posOffset>
                </wp:positionV>
                <wp:extent cx="5562600" cy="438150"/>
                <wp:effectExtent l="0" t="0" r="0" b="0"/>
                <wp:wrapNone/>
                <wp:docPr id="2083296417" name="Rectángulo 2083296417"/>
                <wp:cNvGraphicFramePr/>
                <a:graphic xmlns:a="http://schemas.openxmlformats.org/drawingml/2006/main">
                  <a:graphicData uri="http://schemas.microsoft.com/office/word/2010/wordprocessingShape">
                    <wps:wsp>
                      <wps:cNvSpPr/>
                      <wps:spPr>
                        <a:xfrm>
                          <a:off x="2578988" y="3575213"/>
                          <a:ext cx="5534025" cy="409575"/>
                        </a:xfrm>
                        <a:prstGeom prst="rect">
                          <a:avLst/>
                        </a:prstGeom>
                        <a:noFill/>
                        <a:ln w="28575" cap="flat" cmpd="sng">
                          <a:solidFill>
                            <a:srgbClr val="FF0000"/>
                          </a:solidFill>
                          <a:prstDash val="solid"/>
                          <a:round/>
                          <a:headEnd type="none" w="sm" len="sm"/>
                          <a:tailEnd type="none" w="sm" len="sm"/>
                        </a:ln>
                      </wps:spPr>
                      <wps:txbx>
                        <w:txbxContent>
                          <w:p w14:paraId="7ADA16D1" w14:textId="77777777" w:rsidR="00C55892" w:rsidRDefault="00C5589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5803900</wp:posOffset>
                </wp:positionV>
                <wp:extent cx="5562600" cy="438150"/>
                <wp:effectExtent b="0" l="0" r="0" t="0"/>
                <wp:wrapNone/>
                <wp:docPr id="2083296417"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562600" cy="438150"/>
                        </a:xfrm>
                        <a:prstGeom prst="rect"/>
                        <a:ln/>
                      </pic:spPr>
                    </pic:pic>
                  </a:graphicData>
                </a:graphic>
              </wp:anchor>
            </w:drawing>
          </mc:Fallback>
        </mc:AlternateContent>
      </w:r>
    </w:p>
    <w:p w14:paraId="5C7F2BA4"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BA2479"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98792C">
        <w:rPr>
          <w:rFonts w:ascii="Palatino Linotype" w:eastAsia="Palatino Linotype" w:hAnsi="Palatino Linotype" w:cs="Palatino Linotype"/>
          <w:b/>
          <w:noProof/>
          <w:sz w:val="22"/>
          <w:szCs w:val="22"/>
          <w:u w:val="single"/>
        </w:rPr>
        <w:lastRenderedPageBreak/>
        <w:drawing>
          <wp:inline distT="0" distB="0" distL="0" distR="0" wp14:anchorId="3517BAD3" wp14:editId="6A67035F">
            <wp:extent cx="5612130" cy="6646545"/>
            <wp:effectExtent l="0" t="0" r="0" b="0"/>
            <wp:docPr id="20832964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6646545"/>
                    </a:xfrm>
                    <a:prstGeom prst="rect">
                      <a:avLst/>
                    </a:prstGeom>
                    <a:ln/>
                  </pic:spPr>
                </pic:pic>
              </a:graphicData>
            </a:graphic>
          </wp:inline>
        </w:drawing>
      </w:r>
    </w:p>
    <w:p w14:paraId="2115ED08"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Por lo tanto, de lo anteriormente citado, tenemos que, con la entrega de estos documentos, el particular podrá advertir los resultados de los operativos realizados, toda vez que, se </w:t>
      </w:r>
      <w:r w:rsidRPr="0098792C">
        <w:rPr>
          <w:rFonts w:ascii="Palatino Linotype" w:eastAsia="Palatino Linotype" w:hAnsi="Palatino Linotype" w:cs="Palatino Linotype"/>
          <w:sz w:val="22"/>
          <w:szCs w:val="22"/>
        </w:rPr>
        <w:lastRenderedPageBreak/>
        <w:t>reitera, estos fueron contemplados en el Plan Municipal de Desarrollo, correspondiente al periodo 2022-2024.</w:t>
      </w:r>
    </w:p>
    <w:p w14:paraId="613312C9"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F64A2C6"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sz w:val="22"/>
          <w:szCs w:val="22"/>
        </w:rPr>
        <w:t>Para lo tocante a las detenciones,</w:t>
      </w:r>
      <w:r w:rsidRPr="0098792C">
        <w:rPr>
          <w:rFonts w:ascii="Palatino Linotype" w:eastAsia="Palatino Linotype" w:hAnsi="Palatino Linotype" w:cs="Palatino Linotype"/>
          <w:b/>
          <w:sz w:val="22"/>
          <w:szCs w:val="22"/>
        </w:rPr>
        <w:t xml:space="preserve"> el Sujeto Obligado </w:t>
      </w:r>
      <w:r w:rsidRPr="0098792C">
        <w:rPr>
          <w:rFonts w:ascii="Palatino Linotype" w:eastAsia="Palatino Linotype" w:hAnsi="Palatino Linotype" w:cs="Palatino Linotype"/>
          <w:sz w:val="22"/>
          <w:szCs w:val="22"/>
        </w:rPr>
        <w:t>deberá estarse a lo que se analizará en páginas subsecuentes respecto de los informes de las detenciones.</w:t>
      </w:r>
      <w:r w:rsidRPr="0098792C">
        <w:rPr>
          <w:rFonts w:ascii="Palatino Linotype" w:eastAsia="Palatino Linotype" w:hAnsi="Palatino Linotype" w:cs="Palatino Linotype"/>
          <w:b/>
          <w:sz w:val="22"/>
          <w:szCs w:val="22"/>
        </w:rPr>
        <w:t xml:space="preserve"> </w:t>
      </w:r>
    </w:p>
    <w:p w14:paraId="52C58C80"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FABED07" w14:textId="77777777" w:rsidR="00C55892" w:rsidRPr="0098792C" w:rsidRDefault="00297FA7">
      <w:pPr>
        <w:pBdr>
          <w:top w:val="nil"/>
          <w:left w:val="nil"/>
          <w:bottom w:val="nil"/>
          <w:right w:val="nil"/>
          <w:between w:val="nil"/>
        </w:pBdr>
        <w:shd w:val="clear" w:color="auto" w:fill="EEECE1"/>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3. Los índices de seguridad de último trimestre 2024 y los de enero y febrero, todos con documentos que acrediten </w:t>
      </w:r>
    </w:p>
    <w:p w14:paraId="01B12048"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03300BA7"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principio, resulta oportuno traer a colación los artículos 5, fracciones II, XVII, 7, fracción IX, 19, fracción I, 39, inciso b), fracción VI y XI, 117 y 118 de la Ley General del Sistema Nacional de Seguridad Pública; que disponen lo siguiente: </w:t>
      </w:r>
    </w:p>
    <w:p w14:paraId="653BC090" w14:textId="77777777" w:rsidR="00C55892" w:rsidRPr="0098792C" w:rsidRDefault="00C55892">
      <w:pPr>
        <w:spacing w:line="276" w:lineRule="auto"/>
        <w:ind w:left="567" w:right="616"/>
        <w:jc w:val="both"/>
        <w:rPr>
          <w:rFonts w:ascii="Palatino Linotype" w:eastAsia="Palatino Linotype" w:hAnsi="Palatino Linotype" w:cs="Palatino Linotype"/>
          <w:sz w:val="22"/>
          <w:szCs w:val="22"/>
        </w:rPr>
      </w:pPr>
    </w:p>
    <w:p w14:paraId="40573C4F" w14:textId="77777777" w:rsidR="00C55892" w:rsidRPr="0098792C" w:rsidRDefault="00297FA7">
      <w:pPr>
        <w:pBdr>
          <w:top w:val="nil"/>
          <w:left w:val="nil"/>
          <w:bottom w:val="nil"/>
          <w:right w:val="nil"/>
          <w:between w:val="nil"/>
        </w:pBdr>
        <w:spacing w:line="276" w:lineRule="auto"/>
        <w:ind w:left="567" w:right="616"/>
        <w:jc w:val="center"/>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Ley General del Sistema Nacional de Seguridad Pública</w:t>
      </w:r>
    </w:p>
    <w:p w14:paraId="6DB17964" w14:textId="77777777" w:rsidR="00C55892" w:rsidRPr="0098792C" w:rsidRDefault="00C55892">
      <w:pPr>
        <w:pBdr>
          <w:top w:val="nil"/>
          <w:left w:val="nil"/>
          <w:bottom w:val="nil"/>
          <w:right w:val="nil"/>
          <w:between w:val="nil"/>
        </w:pBdr>
        <w:spacing w:line="276" w:lineRule="auto"/>
        <w:ind w:left="567" w:right="616"/>
        <w:jc w:val="center"/>
        <w:rPr>
          <w:rFonts w:ascii="Palatino Linotype" w:eastAsia="Palatino Linotype" w:hAnsi="Palatino Linotype" w:cs="Palatino Linotype"/>
          <w:b/>
          <w:i/>
          <w:sz w:val="22"/>
          <w:szCs w:val="22"/>
        </w:rPr>
      </w:pPr>
    </w:p>
    <w:p w14:paraId="4C8AD13C"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5.-</w:t>
      </w:r>
      <w:r w:rsidRPr="0098792C">
        <w:rPr>
          <w:rFonts w:ascii="Palatino Linotype" w:eastAsia="Palatino Linotype" w:hAnsi="Palatino Linotype" w:cs="Palatino Linotype"/>
          <w:i/>
          <w:sz w:val="22"/>
          <w:szCs w:val="22"/>
        </w:rPr>
        <w:t xml:space="preserve"> Para los efectos de esta Ley, se entenderá por:</w:t>
      </w:r>
    </w:p>
    <w:p w14:paraId="0489D7D2"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372951C8"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 Bases de Datos: Las bases de datos que constituyen subconjuntos sistematizados de la información contenida en Registros Nacionales, archivos digitales o bancos de datos en materias relativas a detenciones, armamento, equipo y personal de seguridad pública, medidas u órdenes de protección para mujeres, adolescentes, niñas y niños,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47332BDD"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11269EB2"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XVII. Sistema Nacional de Información: al Sistema Nacional de Información en Seguridad Pública, el cual constituye el conjunto integrado, organizado y sistematizado </w:t>
      </w:r>
      <w:r w:rsidRPr="0098792C">
        <w:rPr>
          <w:rFonts w:ascii="Palatino Linotype" w:eastAsia="Palatino Linotype" w:hAnsi="Palatino Linotype" w:cs="Palatino Linotype"/>
          <w:i/>
          <w:sz w:val="22"/>
          <w:szCs w:val="22"/>
        </w:rPr>
        <w:lastRenderedPageBreak/>
        <w:t>de las Bases de Datos. Está integrado por elementos metodológicos y procedimentales que permiten a las Instituciones de Seguridad Pública su consulta e interconexión para el desempeño de sus funciones.</w:t>
      </w:r>
    </w:p>
    <w:p w14:paraId="11A2CB3D"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2D5B9BF5"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7.-</w:t>
      </w:r>
      <w:r w:rsidRPr="0098792C">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2E7AD3B5"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 a VIII…</w:t>
      </w:r>
    </w:p>
    <w:p w14:paraId="39188818"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7D29C32D"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14:paraId="463199F8"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X a XVI. </w:t>
      </w:r>
    </w:p>
    <w:p w14:paraId="77ECAC69"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4D9F38DF"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19.-</w:t>
      </w:r>
      <w:r w:rsidRPr="0098792C">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14:paraId="70559F3F"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 Determinar los criterios técnicos y de homologación de las Bases de Datos que conforman el Sistema Nacional de Información;</w:t>
      </w:r>
    </w:p>
    <w:p w14:paraId="1FCB24BB"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4F4CE2B0"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t>Artículo 39.- La concurrencia de facultades entre la Federación, las entidades federativas y los Municipios, quedará distribuida conforme a lo siguiente:</w:t>
      </w:r>
    </w:p>
    <w:p w14:paraId="53A16216"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713CD243"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t>B. Corresponde a la Federación, a las entidades federativas y a los Municipios, en el ámbito de sus respectivas competencias:</w:t>
      </w:r>
    </w:p>
    <w:p w14:paraId="455B403D"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58BC2D37"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 Designar a un responsable del control, suministro y adecuado manejo de la información a que se refiere esta Ley;</w:t>
      </w:r>
    </w:p>
    <w:p w14:paraId="461F74A4"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3FCA935E"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t xml:space="preserve">XI. Integrar y consultar la información relativa a la operación y Desarrollo Policial para el registro y seguimiento en el Sistema Nacional de Información; </w:t>
      </w:r>
    </w:p>
    <w:p w14:paraId="5984442E"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42387A0B"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“Artículo 117</w:t>
      </w:r>
      <w:r w:rsidRPr="0098792C">
        <w:rPr>
          <w:rFonts w:ascii="Palatino Linotype" w:eastAsia="Palatino Linotype" w:hAnsi="Palatino Linotype" w:cs="Palatino Linotype"/>
          <w:i/>
          <w:sz w:val="22"/>
          <w:szCs w:val="22"/>
        </w:rPr>
        <w:t xml:space="preserve">.- La Federación, las entidades federativas y </w:t>
      </w:r>
      <w:r w:rsidRPr="0098792C">
        <w:rPr>
          <w:rFonts w:ascii="Palatino Linotype" w:eastAsia="Palatino Linotype" w:hAnsi="Palatino Linotype" w:cs="Palatino Linotype"/>
          <w:b/>
          <w:i/>
          <w:sz w:val="22"/>
          <w:szCs w:val="22"/>
        </w:rPr>
        <w:t xml:space="preserve">los Municipios serán responsables de integrar y actualizar el Sistema Nacional de Información, con </w:t>
      </w:r>
      <w:r w:rsidRPr="0098792C">
        <w:rPr>
          <w:rFonts w:ascii="Palatino Linotype" w:eastAsia="Palatino Linotype" w:hAnsi="Palatino Linotype" w:cs="Palatino Linotype"/>
          <w:b/>
          <w:i/>
          <w:sz w:val="22"/>
          <w:szCs w:val="22"/>
        </w:rPr>
        <w:lastRenderedPageBreak/>
        <w:t>la información que generen las Instituciones de Procuración de Justicia e Instituciones Policiales,</w:t>
      </w:r>
      <w:r w:rsidRPr="0098792C">
        <w:rPr>
          <w:rFonts w:ascii="Palatino Linotype" w:eastAsia="Palatino Linotype" w:hAnsi="Palatino Linotype" w:cs="Palatino Linotype"/>
          <w:i/>
          <w:sz w:val="22"/>
          <w:szCs w:val="22"/>
        </w:rPr>
        <w:t xml:space="preserve"> que coadyuve a salvaguardar la integridad y derechos de las personas, así como preservar las libertades, el orden y la paz públicos, </w:t>
      </w:r>
      <w:r w:rsidRPr="0098792C">
        <w:rPr>
          <w:rFonts w:ascii="Palatino Linotype" w:eastAsia="Palatino Linotype" w:hAnsi="Palatino Linotype" w:cs="Palatino Linotype"/>
          <w:b/>
          <w:i/>
          <w:sz w:val="22"/>
          <w:szCs w:val="22"/>
        </w:rPr>
        <w:t>mediante la prevención, persecución y sanción de las infracciones y delitos</w:t>
      </w:r>
      <w:r w:rsidRPr="0098792C">
        <w:rPr>
          <w:rFonts w:ascii="Palatino Linotype" w:eastAsia="Palatino Linotype" w:hAnsi="Palatino Linotype" w:cs="Palatino Linotype"/>
          <w:i/>
          <w:sz w:val="22"/>
          <w:szCs w:val="22"/>
        </w:rPr>
        <w:t>, así como la reinserción social.</w:t>
      </w:r>
    </w:p>
    <w:p w14:paraId="0BAECFF7"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118.-</w:t>
      </w:r>
      <w:r w:rsidRPr="0098792C">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14:paraId="4C6CF3A6"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0ACBF4A2"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i/>
          <w:sz w:val="22"/>
          <w:szCs w:val="22"/>
        </w:rPr>
        <w:t xml:space="preserve">El Registro Nacional de Detenciones se vinculará con las Bases de Datos a que se refiere el presente artículo, mediante el número de identificación al que hace referencia la ley de la materia.” </w:t>
      </w:r>
    </w:p>
    <w:p w14:paraId="4D74AFB6" w14:textId="77777777" w:rsidR="00C55892" w:rsidRPr="0098792C" w:rsidRDefault="00297FA7">
      <w:pPr>
        <w:tabs>
          <w:tab w:val="left" w:pos="7938"/>
        </w:tabs>
        <w:spacing w:line="276" w:lineRule="auto"/>
        <w:ind w:left="567" w:right="616"/>
        <w:jc w:val="center"/>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Ley de Seguridad del Estado de México</w:t>
      </w:r>
    </w:p>
    <w:p w14:paraId="1085B030"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Decreto número 360 publicado en el Periódico Oficial “Gaceta del Gobierno” del Estado de México, el diecinueve de octubre de dos mil once.</w:t>
      </w:r>
    </w:p>
    <w:p w14:paraId="73C4D775" w14:textId="77777777" w:rsidR="00C55892" w:rsidRPr="0098792C" w:rsidRDefault="00C55892">
      <w:pPr>
        <w:tabs>
          <w:tab w:val="left" w:pos="7938"/>
        </w:tabs>
        <w:spacing w:line="276" w:lineRule="auto"/>
        <w:ind w:left="567" w:right="616"/>
        <w:jc w:val="both"/>
        <w:rPr>
          <w:rFonts w:ascii="Palatino Linotype" w:eastAsia="Palatino Linotype" w:hAnsi="Palatino Linotype" w:cs="Palatino Linotype"/>
          <w:b/>
          <w:i/>
          <w:sz w:val="22"/>
          <w:szCs w:val="22"/>
          <w:u w:val="single"/>
        </w:rPr>
      </w:pPr>
    </w:p>
    <w:p w14:paraId="618AA248"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t xml:space="preserve">Artículo 22.- Son atribuciones del </w:t>
      </w:r>
      <w:proofErr w:type="gramStart"/>
      <w:r w:rsidRPr="0098792C">
        <w:rPr>
          <w:rFonts w:ascii="Palatino Linotype" w:eastAsia="Palatino Linotype" w:hAnsi="Palatino Linotype" w:cs="Palatino Linotype"/>
          <w:b/>
          <w:i/>
          <w:sz w:val="22"/>
          <w:szCs w:val="22"/>
          <w:u w:val="single"/>
        </w:rPr>
        <w:t>Director</w:t>
      </w:r>
      <w:proofErr w:type="gramEnd"/>
      <w:r w:rsidRPr="0098792C">
        <w:rPr>
          <w:rFonts w:ascii="Palatino Linotype" w:eastAsia="Palatino Linotype" w:hAnsi="Palatino Linotype" w:cs="Palatino Linotype"/>
          <w:b/>
          <w:i/>
          <w:sz w:val="22"/>
          <w:szCs w:val="22"/>
          <w:u w:val="single"/>
        </w:rPr>
        <w:t xml:space="preserve"> de Seguridad Pública Municipal:</w:t>
      </w:r>
    </w:p>
    <w:p w14:paraId="1E808AE3"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 Participar en la elaboración del Programa Municipal de Seguridad Pública y del Programa Municipal de Prevención Social de la Violencia y la Delincuencia con Participación Ciudadana;</w:t>
      </w:r>
      <w:r w:rsidRPr="0098792C">
        <w:rPr>
          <w:rFonts w:ascii="Palatino Linotype" w:eastAsia="Palatino Linotype" w:hAnsi="Palatino Linotype" w:cs="Palatino Linotype"/>
          <w:i/>
          <w:sz w:val="22"/>
          <w:szCs w:val="22"/>
        </w:rPr>
        <w:br/>
        <w:t>II. Organizar, operar, supervisar y controlar a los integrantes de las instituciones policiales a su cargo;</w:t>
      </w:r>
      <w:r w:rsidRPr="0098792C">
        <w:rPr>
          <w:rFonts w:ascii="Palatino Linotype" w:eastAsia="Palatino Linotype" w:hAnsi="Palatino Linotype" w:cs="Palatino Linotype"/>
          <w:i/>
          <w:sz w:val="22"/>
          <w:szCs w:val="22"/>
        </w:rPr>
        <w:br/>
        <w:t xml:space="preserve">III. Aplicar las directrices que conforme a sus atribuciones expresas dicten las autoridades competentes para la prestación del servicio, coordinación, funcionamiento, normatividad técnica y disciplina de los integrantes de las instituciones policiales a su cargo; </w:t>
      </w:r>
    </w:p>
    <w:p w14:paraId="445CDB11"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IV. Proponer programas para mejorar y ampliar la cobertura del servicio de seguridad pública; </w:t>
      </w:r>
    </w:p>
    <w:p w14:paraId="394CE249"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t xml:space="preserve">V. Contar con las estadísticas delictivas y efectuar la supervisión de las acciones de seguridad pública municipal; </w:t>
      </w:r>
    </w:p>
    <w:p w14:paraId="5591CC75"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VI. Promover la capacitación técnica y práctica de las o los integrantes de las instituciones policiales a su cargo; </w:t>
      </w:r>
    </w:p>
    <w:p w14:paraId="555D7859"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 xml:space="preserve">VII. Informar a las autoridades competentes sobre los movimientos de altas y bajas de los miembros de las instituciones policiales a su cargo, así como de sus vehículos, armamento, municiones y equipo; </w:t>
      </w:r>
    </w:p>
    <w:p w14:paraId="7DDED1FC"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VIII. Denunciar oportunamente ante las autoridades competentes el extravío o robo de armamento a su cargo para los efectos legales correspondientes; </w:t>
      </w:r>
    </w:p>
    <w:p w14:paraId="682AA0B6"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IX. Proporcionar a la Secretaría los informes que le sean solicitados; </w:t>
      </w:r>
    </w:p>
    <w:p w14:paraId="4664632C"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X. Auxiliar a las autoridades federales y de otras entidades federativas cuando sea requerido para ello; y, </w:t>
      </w:r>
    </w:p>
    <w:p w14:paraId="143D6EE5"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XI. Informar al </w:t>
      </w:r>
      <w:proofErr w:type="gramStart"/>
      <w:r w:rsidRPr="0098792C">
        <w:rPr>
          <w:rFonts w:ascii="Palatino Linotype" w:eastAsia="Palatino Linotype" w:hAnsi="Palatino Linotype" w:cs="Palatino Linotype"/>
          <w:i/>
          <w:sz w:val="22"/>
          <w:szCs w:val="22"/>
        </w:rPr>
        <w:t>Presidente</w:t>
      </w:r>
      <w:proofErr w:type="gramEnd"/>
      <w:r w:rsidRPr="0098792C">
        <w:rPr>
          <w:rFonts w:ascii="Palatino Linotype" w:eastAsia="Palatino Linotype" w:hAnsi="Palatino Linotype" w:cs="Palatino Linotype"/>
          <w:i/>
          <w:sz w:val="22"/>
          <w:szCs w:val="22"/>
        </w:rPr>
        <w:t xml:space="preserve"> o Presidenta Municipal de los resultados y procesos de verificación y evaluaciones de confianza a los que se sometan los integrantes de las instituciones policiales a su cargo, y, </w:t>
      </w:r>
    </w:p>
    <w:p w14:paraId="13D40DDA"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XII. Las demás que les confieran otras leyes.”</w:t>
      </w:r>
    </w:p>
    <w:p w14:paraId="492422AF" w14:textId="77777777" w:rsidR="00C55892" w:rsidRPr="0098792C" w:rsidRDefault="00297FA7">
      <w:pPr>
        <w:tabs>
          <w:tab w:val="left" w:pos="7938"/>
        </w:tabs>
        <w:spacing w:line="276" w:lineRule="auto"/>
        <w:ind w:left="567"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i/>
          <w:sz w:val="22"/>
          <w:szCs w:val="22"/>
        </w:rPr>
        <w:t>(Énfasis Añadido)</w:t>
      </w:r>
    </w:p>
    <w:p w14:paraId="0A538026" w14:textId="77777777" w:rsidR="00C55892" w:rsidRPr="0098792C" w:rsidRDefault="00C55892">
      <w:pPr>
        <w:tabs>
          <w:tab w:val="left" w:pos="7938"/>
        </w:tabs>
        <w:spacing w:line="360" w:lineRule="auto"/>
        <w:jc w:val="center"/>
        <w:rPr>
          <w:rFonts w:ascii="Palatino Linotype" w:eastAsia="Palatino Linotype" w:hAnsi="Palatino Linotype" w:cs="Palatino Linotype"/>
          <w:b/>
          <w:sz w:val="22"/>
          <w:szCs w:val="22"/>
        </w:rPr>
      </w:pPr>
    </w:p>
    <w:p w14:paraId="4067ECD9" w14:textId="77777777" w:rsidR="00C55892" w:rsidRPr="0098792C" w:rsidRDefault="00297FA7">
      <w:pPr>
        <w:tabs>
          <w:tab w:val="left" w:pos="7938"/>
        </w:tabs>
        <w:spacing w:line="360" w:lineRule="auto"/>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sz w:val="22"/>
          <w:szCs w:val="22"/>
        </w:rPr>
        <w:t>Por otra parte, los numerales 125, fracción VIII y 142 de la Ley Orgánica Municipal del Estado de México, señalan lo siguiente:</w:t>
      </w:r>
      <w:r w:rsidRPr="0098792C">
        <w:rPr>
          <w:rFonts w:ascii="Palatino Linotype" w:eastAsia="Palatino Linotype" w:hAnsi="Palatino Linotype" w:cs="Palatino Linotype"/>
          <w:b/>
          <w:i/>
          <w:sz w:val="22"/>
          <w:szCs w:val="22"/>
        </w:rPr>
        <w:t xml:space="preserve"> </w:t>
      </w:r>
    </w:p>
    <w:p w14:paraId="6DF61FC4" w14:textId="77777777" w:rsidR="00C55892" w:rsidRPr="0098792C" w:rsidRDefault="00C55892">
      <w:pPr>
        <w:tabs>
          <w:tab w:val="left" w:pos="7938"/>
        </w:tabs>
        <w:spacing w:line="360" w:lineRule="auto"/>
        <w:jc w:val="both"/>
        <w:rPr>
          <w:rFonts w:ascii="Palatino Linotype" w:eastAsia="Palatino Linotype" w:hAnsi="Palatino Linotype" w:cs="Palatino Linotype"/>
          <w:i/>
          <w:sz w:val="22"/>
          <w:szCs w:val="22"/>
        </w:rPr>
      </w:pPr>
    </w:p>
    <w:p w14:paraId="162D815D"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125.-</w:t>
      </w:r>
      <w:r w:rsidRPr="0098792C">
        <w:rPr>
          <w:rFonts w:ascii="Palatino Linotype" w:eastAsia="Palatino Linotype" w:hAnsi="Palatino Linotype" w:cs="Palatino Linotype"/>
          <w:i/>
          <w:sz w:val="22"/>
          <w:szCs w:val="22"/>
        </w:rPr>
        <w:t xml:space="preserve"> Los municipios tendrán a su cargo la prestación, explotación, administración y conservación de los servicios públicos municipales, considerándose enunciativa y no limitativamente, los siguientes:</w:t>
      </w:r>
    </w:p>
    <w:p w14:paraId="6AC89AA2"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2CE12E7E"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VIII. Seguridad pública y tránsito;</w:t>
      </w:r>
    </w:p>
    <w:p w14:paraId="55C15224"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74791C05"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142.-</w:t>
      </w:r>
      <w:r w:rsidRPr="0098792C">
        <w:rPr>
          <w:rFonts w:ascii="Palatino Linotype" w:eastAsia="Palatino Linotype" w:hAnsi="Palatino Linotype" w:cs="Palatino Linotype"/>
          <w:i/>
          <w:sz w:val="22"/>
          <w:szCs w:val="22"/>
        </w:rPr>
        <w:t xml:space="preserve"> Las funciones de seguridad pública del municipio en su respectivo ámbito de competencia, estarán a cargo de un </w:t>
      </w:r>
      <w:proofErr w:type="gramStart"/>
      <w:r w:rsidRPr="0098792C">
        <w:rPr>
          <w:rFonts w:ascii="Palatino Linotype" w:eastAsia="Palatino Linotype" w:hAnsi="Palatino Linotype" w:cs="Palatino Linotype"/>
          <w:i/>
          <w:sz w:val="22"/>
          <w:szCs w:val="22"/>
        </w:rPr>
        <w:t>Director</w:t>
      </w:r>
      <w:proofErr w:type="gramEnd"/>
      <w:r w:rsidRPr="0098792C">
        <w:rPr>
          <w:rFonts w:ascii="Palatino Linotype" w:eastAsia="Palatino Linotype" w:hAnsi="Palatino Linotype" w:cs="Palatino Linotype"/>
          <w:i/>
          <w:sz w:val="22"/>
          <w:szCs w:val="22"/>
        </w:rPr>
        <w:t xml:space="preserve"> de Seguridad Pública Municipal o su equivalente, el cual deberá ser nombrado en los términos y requisitos establecidos en la Ley de Seguridad del Estado de México.</w:t>
      </w:r>
    </w:p>
    <w:p w14:paraId="6534F010" w14:textId="77777777" w:rsidR="00C55892" w:rsidRPr="0098792C" w:rsidRDefault="00C55892">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3AEA8695"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i/>
          <w:sz w:val="22"/>
          <w:szCs w:val="22"/>
        </w:rPr>
        <w:t xml:space="preserve">En cada municipio se deberán integrar cuerpos de seguridad pública, de búsqueda de personas, de bomberos y, en su caso, de tránsito, estos servidores públicos preferentemente serán vecinos del municipio, de los cuales el presidente municipal será el jefe inmediato” </w:t>
      </w:r>
      <w:r w:rsidRPr="0098792C">
        <w:rPr>
          <w:rFonts w:ascii="Palatino Linotype" w:eastAsia="Palatino Linotype" w:hAnsi="Palatino Linotype" w:cs="Palatino Linotype"/>
          <w:b/>
          <w:i/>
          <w:sz w:val="22"/>
          <w:szCs w:val="22"/>
        </w:rPr>
        <w:t xml:space="preserve"> </w:t>
      </w:r>
    </w:p>
    <w:p w14:paraId="5239C3C4"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18148B"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Además, cabe aclarar que la Ley General del Sistema Nacional de Seguridad Pública, se creó desde el año 2009, como se advierte a continuación:</w:t>
      </w:r>
    </w:p>
    <w:p w14:paraId="6FD8BFE8"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4715F3"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drawing>
          <wp:inline distT="0" distB="0" distL="0" distR="0" wp14:anchorId="0CF941BC" wp14:editId="515B8431">
            <wp:extent cx="5441950" cy="1111250"/>
            <wp:effectExtent l="0" t="0" r="0" b="0"/>
            <wp:docPr id="2083296426" name="image6.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El contenido generado por IA puede ser incorrecto."/>
                    <pic:cNvPicPr preferRelativeResize="0"/>
                  </pic:nvPicPr>
                  <pic:blipFill>
                    <a:blip r:embed="rId14"/>
                    <a:srcRect l="25910" t="18716" r="29732" b="60153"/>
                    <a:stretch>
                      <a:fillRect/>
                    </a:stretch>
                  </pic:blipFill>
                  <pic:spPr>
                    <a:xfrm>
                      <a:off x="0" y="0"/>
                      <a:ext cx="5441950" cy="1111250"/>
                    </a:xfrm>
                    <a:prstGeom prst="rect">
                      <a:avLst/>
                    </a:prstGeom>
                    <a:ln/>
                  </pic:spPr>
                </pic:pic>
              </a:graphicData>
            </a:graphic>
          </wp:inline>
        </w:drawing>
      </w:r>
    </w:p>
    <w:p w14:paraId="6721F00E"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032EB1"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Es decir, desde esa fecha se estableció en su artículo 9 fracción IV que los municipios deberían de contar con una base de datos criminalísticos, como se advierte: </w:t>
      </w:r>
    </w:p>
    <w:p w14:paraId="4122FB77"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7615E2C9" w14:textId="77777777" w:rsidR="00C55892" w:rsidRPr="0098792C" w:rsidRDefault="00297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9.</w:t>
      </w:r>
      <w:r w:rsidRPr="0098792C">
        <w:rPr>
          <w:rFonts w:ascii="Palatino Linotype" w:eastAsia="Palatino Linotype" w:hAnsi="Palatino Linotype" w:cs="Palatino Linotype"/>
          <w:i/>
          <w:sz w:val="22"/>
          <w:szCs w:val="22"/>
        </w:rPr>
        <w:t xml:space="preserve"> El presidente de la república, los gobernadores, el jefe de gobierno del Distrito Federal, los procuradores de Justicia y los secretarios de Seguridad Pública de la federación, los estados, el Distrito Federal y </w:t>
      </w:r>
      <w:r w:rsidRPr="0098792C">
        <w:rPr>
          <w:rFonts w:ascii="Palatino Linotype" w:eastAsia="Palatino Linotype" w:hAnsi="Palatino Linotype" w:cs="Palatino Linotype"/>
          <w:b/>
          <w:i/>
          <w:sz w:val="22"/>
          <w:szCs w:val="22"/>
        </w:rPr>
        <w:t xml:space="preserve">los municipios, integrarán el Sistema Nacional de Seguridad Pública, para implantar, en los términos de esta ley y de </w:t>
      </w:r>
      <w:proofErr w:type="gramStart"/>
      <w:r w:rsidRPr="0098792C">
        <w:rPr>
          <w:rFonts w:ascii="Palatino Linotype" w:eastAsia="Palatino Linotype" w:hAnsi="Palatino Linotype" w:cs="Palatino Linotype"/>
          <w:b/>
          <w:i/>
          <w:sz w:val="22"/>
          <w:szCs w:val="22"/>
        </w:rPr>
        <w:t>la leyes locales</w:t>
      </w:r>
      <w:proofErr w:type="gramEnd"/>
      <w:r w:rsidRPr="0098792C">
        <w:rPr>
          <w:rFonts w:ascii="Palatino Linotype" w:eastAsia="Palatino Linotype" w:hAnsi="Palatino Linotype" w:cs="Palatino Linotype"/>
          <w:b/>
          <w:i/>
          <w:sz w:val="22"/>
          <w:szCs w:val="22"/>
        </w:rPr>
        <w:t>, los procesos para</w:t>
      </w:r>
      <w:r w:rsidRPr="0098792C">
        <w:rPr>
          <w:rFonts w:ascii="Palatino Linotype" w:eastAsia="Palatino Linotype" w:hAnsi="Palatino Linotype" w:cs="Palatino Linotype"/>
          <w:i/>
          <w:sz w:val="22"/>
          <w:szCs w:val="22"/>
        </w:rPr>
        <w:t>:</w:t>
      </w:r>
    </w:p>
    <w:p w14:paraId="40AA4210" w14:textId="77777777" w:rsidR="00C55892" w:rsidRPr="0098792C" w:rsidRDefault="00297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5EB54231" w14:textId="77777777" w:rsidR="00C55892" w:rsidRPr="0098792C" w:rsidRDefault="00297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IV. El establecimiento de las bases de datos criminalísticos</w:t>
      </w:r>
      <w:r w:rsidRPr="0098792C">
        <w:rPr>
          <w:rFonts w:ascii="Palatino Linotype" w:eastAsia="Palatino Linotype" w:hAnsi="Palatino Linotype" w:cs="Palatino Linotype"/>
          <w:i/>
          <w:sz w:val="22"/>
          <w:szCs w:val="22"/>
        </w:rPr>
        <w:t>, de personal y equipamiento para las instituciones de seguridad pública;” (Sic)</w:t>
      </w:r>
    </w:p>
    <w:p w14:paraId="6AB93E98"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A34387"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9" w:name="_heading=h.f3zv5uj7xtfk" w:colFirst="0" w:colLast="0"/>
      <w:bookmarkEnd w:id="9"/>
      <w:r w:rsidRPr="0098792C">
        <w:rPr>
          <w:rFonts w:ascii="Palatino Linotype" w:eastAsia="Palatino Linotype" w:hAnsi="Palatino Linotype" w:cs="Palatino Linotype"/>
          <w:sz w:val="22"/>
          <w:szCs w:val="22"/>
        </w:rPr>
        <w:t>De ahí que deba arribarse a la premisa de que la Ley General del Sistema Nacional de Seguridad Pública prevé un esquema de distribución de competencias entre la Federación, los Estados y los Municipios, a fin de que, estos últimos,</w:t>
      </w:r>
      <w:r w:rsidRPr="0098792C">
        <w:rPr>
          <w:rFonts w:ascii="Palatino Linotype" w:eastAsia="Palatino Linotype" w:hAnsi="Palatino Linotype" w:cs="Palatino Linotype"/>
          <w:b/>
          <w:sz w:val="22"/>
          <w:szCs w:val="22"/>
          <w:u w:val="single"/>
        </w:rPr>
        <w:t xml:space="preserve"> realicen la integración y actualización de diversas Bases de Datos que integran información de incidencia delictiva</w:t>
      </w:r>
      <w:r w:rsidRPr="0098792C">
        <w:rPr>
          <w:rFonts w:ascii="Palatino Linotype" w:eastAsia="Palatino Linotype" w:hAnsi="Palatino Linotype" w:cs="Palatino Linotype"/>
          <w:b/>
          <w:sz w:val="22"/>
          <w:szCs w:val="22"/>
        </w:rPr>
        <w:t xml:space="preserve">; </w:t>
      </w:r>
      <w:r w:rsidRPr="0098792C">
        <w:rPr>
          <w:rFonts w:ascii="Palatino Linotype" w:eastAsia="Palatino Linotype" w:hAnsi="Palatino Linotype" w:cs="Palatino Linotype"/>
          <w:sz w:val="22"/>
          <w:szCs w:val="22"/>
        </w:rPr>
        <w:t xml:space="preserve">máxime que, desde la entrada en vigor de la Ley de Seguridad del Estado de México </w:t>
      </w:r>
      <w:r w:rsidRPr="0098792C">
        <w:rPr>
          <w:rFonts w:ascii="Palatino Linotype" w:eastAsia="Palatino Linotype" w:hAnsi="Palatino Linotype" w:cs="Palatino Linotype"/>
          <w:i/>
          <w:sz w:val="22"/>
          <w:szCs w:val="22"/>
        </w:rPr>
        <w:t xml:space="preserve">-el 20 de octubre de 2011- </w:t>
      </w:r>
      <w:r w:rsidRPr="0098792C">
        <w:rPr>
          <w:rFonts w:ascii="Palatino Linotype" w:eastAsia="Palatino Linotype" w:hAnsi="Palatino Linotype" w:cs="Palatino Linotype"/>
          <w:sz w:val="22"/>
          <w:szCs w:val="22"/>
        </w:rPr>
        <w:t xml:space="preserve">se desprende la atribución expresa para que, el Director de Seguridad Pública Municipal, entre otras cosas, </w:t>
      </w:r>
      <w:r w:rsidRPr="0098792C">
        <w:rPr>
          <w:rFonts w:ascii="Palatino Linotype" w:eastAsia="Palatino Linotype" w:hAnsi="Palatino Linotype" w:cs="Palatino Linotype"/>
          <w:b/>
          <w:sz w:val="22"/>
          <w:szCs w:val="22"/>
          <w:u w:val="single"/>
        </w:rPr>
        <w:t>genere estadística delictiva</w:t>
      </w:r>
      <w:r w:rsidRPr="0098792C">
        <w:rPr>
          <w:rFonts w:ascii="Palatino Linotype" w:eastAsia="Palatino Linotype" w:hAnsi="Palatino Linotype" w:cs="Palatino Linotype"/>
          <w:sz w:val="22"/>
          <w:szCs w:val="22"/>
        </w:rPr>
        <w:t>.</w:t>
      </w:r>
    </w:p>
    <w:p w14:paraId="15628AFB"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7A791B"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 xml:space="preserve">Así las cosas, de la información requerida estriban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14:paraId="7584C3F1" w14:textId="77777777" w:rsidR="00C55892" w:rsidRPr="0098792C" w:rsidRDefault="00C5589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p>
    <w:p w14:paraId="015DEB2B" w14:textId="77777777" w:rsidR="00C55892" w:rsidRPr="0098792C" w:rsidRDefault="00297FA7">
      <w:pP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rPr>
        <w:t>“Artículo 24.</w:t>
      </w:r>
      <w:r w:rsidRPr="0098792C">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0B137DF5" w14:textId="77777777" w:rsidR="00C55892" w:rsidRPr="0098792C" w:rsidRDefault="00297FA7">
      <w:pPr>
        <w:spacing w:line="276" w:lineRule="auto"/>
        <w:ind w:left="567" w:right="616"/>
        <w:jc w:val="both"/>
        <w:rPr>
          <w:rFonts w:ascii="Palatino Linotype" w:eastAsia="Palatino Linotype" w:hAnsi="Palatino Linotype" w:cs="Palatino Linotype"/>
          <w:b/>
          <w:i/>
          <w:sz w:val="22"/>
          <w:szCs w:val="22"/>
          <w:u w:val="single"/>
        </w:rPr>
      </w:pPr>
      <w:r w:rsidRPr="0098792C">
        <w:rPr>
          <w:rFonts w:ascii="Palatino Linotype" w:eastAsia="Palatino Linotype" w:hAnsi="Palatino Linotype" w:cs="Palatino Linotype"/>
          <w:b/>
          <w:i/>
          <w:sz w:val="22"/>
          <w:szCs w:val="22"/>
          <w:u w:val="single"/>
        </w:rPr>
        <w:t>XII. Publicar y mantener actualizada la información relativa a las obligaciones generales de transparencia previstas en la presente Ley o determinadas así por el Instituto, y en general aquella que sea de interés público;</w:t>
      </w:r>
    </w:p>
    <w:p w14:paraId="05D3CF5D" w14:textId="77777777" w:rsidR="00C55892" w:rsidRPr="0098792C" w:rsidRDefault="00297FA7">
      <w:pP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92.</w:t>
      </w:r>
      <w:r w:rsidRPr="0098792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C6D9F9" w14:textId="77777777" w:rsidR="00C55892" w:rsidRPr="0098792C" w:rsidRDefault="00297FA7">
      <w:pPr>
        <w:spacing w:line="276" w:lineRule="auto"/>
        <w:ind w:left="567"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4CA4E39C" w14:textId="77777777" w:rsidR="00C55892" w:rsidRPr="0098792C" w:rsidRDefault="00297FA7">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XXXIV. Las estadísticas que generen en cumplimiento de sus facultades, competencias o funciones con la mayor desagregación posible…”</w:t>
      </w:r>
      <w:r w:rsidRPr="0098792C">
        <w:rPr>
          <w:rFonts w:ascii="Palatino Linotype" w:eastAsia="Palatino Linotype" w:hAnsi="Palatino Linotype" w:cs="Palatino Linotype"/>
          <w:i/>
          <w:sz w:val="22"/>
          <w:szCs w:val="22"/>
        </w:rPr>
        <w:t xml:space="preserve"> </w:t>
      </w:r>
    </w:p>
    <w:p w14:paraId="6CBCB811"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EE44FC"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De forma complementaria, resulta de nuestro particular interés el criterio orientador número </w:t>
      </w:r>
      <w:r w:rsidRPr="0098792C">
        <w:rPr>
          <w:rFonts w:ascii="Palatino Linotype" w:eastAsia="Palatino Linotype" w:hAnsi="Palatino Linotype" w:cs="Palatino Linotype"/>
          <w:b/>
          <w:sz w:val="22"/>
          <w:szCs w:val="22"/>
        </w:rPr>
        <w:t xml:space="preserve">11/09 </w:t>
      </w:r>
      <w:r w:rsidRPr="0098792C">
        <w:rPr>
          <w:rFonts w:ascii="Palatino Linotype" w:eastAsia="Palatino Linotype" w:hAnsi="Palatino Linotype" w:cs="Palatino Linotype"/>
          <w:sz w:val="22"/>
          <w:szCs w:val="22"/>
        </w:rPr>
        <w:t xml:space="preserve">emitido por el entonces Instituto Nacional de Transparencia, Acceso a la Información y Protección de Datos Personales, previamente citado en líneas anteriores. </w:t>
      </w:r>
    </w:p>
    <w:p w14:paraId="35D94519"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B3CA9D8"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De tales circunstancias, se concluye que los Sujetos Obligados deberán hacer entrega de la información estadística como obren en sus archivos. </w:t>
      </w:r>
    </w:p>
    <w:p w14:paraId="114CB48A"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B6C95B"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0" w:name="_heading=h.ypf8lmb9gzlp" w:colFirst="0" w:colLast="0"/>
      <w:bookmarkEnd w:id="10"/>
      <w:r w:rsidRPr="0098792C">
        <w:rPr>
          <w:rFonts w:ascii="Palatino Linotype" w:eastAsia="Palatino Linotype" w:hAnsi="Palatino Linotype" w:cs="Palatino Linotype"/>
          <w:sz w:val="22"/>
          <w:szCs w:val="22"/>
        </w:rPr>
        <w:t xml:space="preserve">De modo que como ya fue referido en párrafos que anteceden, los ayuntamientos cuentan con atribuciones para realizar la integración y actualización de diversas Bases de Datos que </w:t>
      </w:r>
      <w:r w:rsidRPr="0098792C">
        <w:rPr>
          <w:rFonts w:ascii="Palatino Linotype" w:eastAsia="Palatino Linotype" w:hAnsi="Palatino Linotype" w:cs="Palatino Linotype"/>
          <w:sz w:val="22"/>
          <w:szCs w:val="22"/>
        </w:rPr>
        <w:lastRenderedPageBreak/>
        <w:t xml:space="preserve">integran información de incidencia delictiva, información que desea conocer el particular; por lo que contrario, a lo referido por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no procede su clasificación, toda vez que es información estadística de naturaleza pública; por lo que resulta procedente ordenar, en el mayor grado de desagregación en que esta se encuentre, la entrega del documento en donde conste el índice de seguridad generado en el último trimestre de 2024, así como del 01 de enero al 25 de febrero de 2025, de ser procedente en versión pública. </w:t>
      </w:r>
    </w:p>
    <w:p w14:paraId="6D577CE0"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05E8EE4" w14:textId="77777777" w:rsidR="00C55892" w:rsidRPr="0098792C" w:rsidRDefault="00297FA7">
      <w:pPr>
        <w:pBdr>
          <w:top w:val="nil"/>
          <w:left w:val="nil"/>
          <w:bottom w:val="nil"/>
          <w:right w:val="nil"/>
          <w:between w:val="nil"/>
        </w:pBdr>
        <w:shd w:val="clear" w:color="auto" w:fill="EEECE1"/>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4. Los informes homologados de las detenciones</w:t>
      </w:r>
    </w:p>
    <w:p w14:paraId="569CA1DC"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51FA5760"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Respecto a este punto, debemos recordar que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pretendió reservar la información, sin embargo, al no adjuntar el acuerdo, no se cuenta con la certeza jurídica sobre los motivos que le llevaron a determinar la clasificación de la información.</w:t>
      </w:r>
    </w:p>
    <w:p w14:paraId="0BF6F1A5"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1BA0EC68"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sz w:val="22"/>
          <w:szCs w:val="22"/>
        </w:rPr>
        <w:t xml:space="preserve">En primera instancia resulta importante mencionar que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omitió señalar elemento temporal sobre el que versará la búsqueda de la información, sin embargo, el criterio </w:t>
      </w:r>
      <w:r w:rsidRPr="0098792C">
        <w:rPr>
          <w:rFonts w:ascii="Palatino Linotype" w:eastAsia="Palatino Linotype" w:hAnsi="Palatino Linotype" w:cs="Palatino Linotype"/>
          <w:b/>
          <w:sz w:val="22"/>
          <w:szCs w:val="22"/>
        </w:rPr>
        <w:t xml:space="preserve">3/19 </w:t>
      </w:r>
      <w:r w:rsidRPr="0098792C">
        <w:rPr>
          <w:rFonts w:ascii="Palatino Linotype" w:eastAsia="Palatino Linotype" w:hAnsi="Palatino Linotype" w:cs="Palatino Linotype"/>
          <w:sz w:val="22"/>
          <w:szCs w:val="22"/>
        </w:rPr>
        <w:t>emitido por el Instituto Nacional de Transparencia, Acceso a la Información y Protección de Datos Personales, el cual se citó en líneas anteriores, por lo tanto, se deberá tomar en cuenta que el periodo de la información solicitada, comprenderá del 25 de febrero de 2024 al 25 de febrero de 2025.</w:t>
      </w:r>
    </w:p>
    <w:p w14:paraId="079A24BB" w14:textId="77777777" w:rsidR="00C55892" w:rsidRPr="0098792C" w:rsidRDefault="00C55892">
      <w:pPr>
        <w:spacing w:line="276" w:lineRule="auto"/>
        <w:jc w:val="both"/>
        <w:rPr>
          <w:rFonts w:ascii="Palatino Linotype" w:eastAsia="Palatino Linotype" w:hAnsi="Palatino Linotype" w:cs="Palatino Linotype"/>
          <w:sz w:val="22"/>
          <w:szCs w:val="22"/>
        </w:rPr>
      </w:pPr>
    </w:p>
    <w:p w14:paraId="3F7FD055"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Establecido lo anterior, resulta pertinente analizar la naturaleza de la información, para lo cual, conviene traer a colación el artículo 41 de la Ley General del Sistema Nacional de Seguridad, el cual refiere que todas las Instituciones de Seguridad Pública deben registrar todos los datos de las actividades e investigaciones que se realicen; tal y como se advierte a continuación: </w:t>
      </w:r>
    </w:p>
    <w:p w14:paraId="256821C6"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41.-</w:t>
      </w:r>
      <w:r w:rsidRPr="0098792C">
        <w:rPr>
          <w:rFonts w:ascii="Palatino Linotype" w:eastAsia="Palatino Linotype" w:hAnsi="Palatino Linotype" w:cs="Palatino Linotype"/>
          <w:i/>
          <w:sz w:val="22"/>
          <w:szCs w:val="22"/>
        </w:rPr>
        <w:t xml:space="preserve"> Además de lo señalado en el artículo anterior, los integrantes de las Instituciones Policiales, tendrán específicamente las obligaciones siguientes:</w:t>
      </w:r>
    </w:p>
    <w:p w14:paraId="26E47B0E" w14:textId="77777777" w:rsidR="00C55892" w:rsidRPr="0098792C" w:rsidRDefault="00297FA7">
      <w:pPr>
        <w:spacing w:line="276" w:lineRule="auto"/>
        <w:ind w:left="851"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i/>
          <w:sz w:val="22"/>
          <w:szCs w:val="22"/>
        </w:rPr>
        <w:lastRenderedPageBreak/>
        <w:t xml:space="preserve">I. </w:t>
      </w:r>
      <w:r w:rsidRPr="0098792C">
        <w:rPr>
          <w:rFonts w:ascii="Palatino Linotype" w:eastAsia="Palatino Linotype" w:hAnsi="Palatino Linotype" w:cs="Palatino Linotype"/>
          <w:b/>
          <w:i/>
          <w:sz w:val="22"/>
          <w:szCs w:val="22"/>
        </w:rPr>
        <w:t xml:space="preserve">Registrar en el Informe Policial Homologado los datos de las actividades e investigaciones que realice; </w:t>
      </w:r>
    </w:p>
    <w:p w14:paraId="26517E9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II. Remitir a la instancia que corresponda la información recopilada, en el cumplimiento de sus misiones o en el desempeño de sus actividades, para su análisis y registro. Asimismo, entregar la información que le sea solicitada por otras Instituciones de Seguridad Pública, en los términos de las leyes correspondientes; </w:t>
      </w:r>
    </w:p>
    <w:p w14:paraId="1F710FD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III. Apoyar a las autoridades que así se lo soliciten en la investigación y persecución de delitos bajo el mando y conducción del Ministerio Público, así como en situaciones de grave riesgo, catástrofes o desastres; </w:t>
      </w:r>
    </w:p>
    <w:p w14:paraId="4F786C9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IV. Ejecutar los mandamientos judiciales y </w:t>
      </w:r>
      <w:proofErr w:type="gramStart"/>
      <w:r w:rsidRPr="0098792C">
        <w:rPr>
          <w:rFonts w:ascii="Palatino Linotype" w:eastAsia="Palatino Linotype" w:hAnsi="Palatino Linotype" w:cs="Palatino Linotype"/>
          <w:i/>
          <w:sz w:val="22"/>
          <w:szCs w:val="22"/>
        </w:rPr>
        <w:t>ministeriales;…</w:t>
      </w:r>
      <w:proofErr w:type="gramEnd"/>
      <w:r w:rsidRPr="0098792C">
        <w:rPr>
          <w:rFonts w:ascii="Palatino Linotype" w:eastAsia="Palatino Linotype" w:hAnsi="Palatino Linotype" w:cs="Palatino Linotype"/>
          <w:i/>
          <w:sz w:val="22"/>
          <w:szCs w:val="22"/>
        </w:rPr>
        <w:t>”</w:t>
      </w:r>
    </w:p>
    <w:p w14:paraId="59E9AD86"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(Énfasis Añadido)</w:t>
      </w:r>
    </w:p>
    <w:p w14:paraId="74B2C604"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09638D94"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Ahora bien, la Ley de Seguridad del Estado de México replica la atribución prevista en la Ley General de referencia en su artículo 75, cuyo precepto y sentido literal es el siguiente: </w:t>
      </w:r>
    </w:p>
    <w:p w14:paraId="4B3B1FA3"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63984E2" w14:textId="77777777" w:rsidR="00C55892" w:rsidRPr="0098792C" w:rsidRDefault="00297FA7">
      <w:pPr>
        <w:spacing w:line="276" w:lineRule="auto"/>
        <w:ind w:left="851" w:right="616"/>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75.-</w:t>
      </w:r>
      <w:r w:rsidRPr="0098792C">
        <w:rPr>
          <w:rFonts w:ascii="Palatino Linotype" w:eastAsia="Palatino Linotype" w:hAnsi="Palatino Linotype" w:cs="Palatino Linotype"/>
          <w:i/>
          <w:sz w:val="22"/>
          <w:szCs w:val="22"/>
        </w:rPr>
        <w:t xml:space="preserve"> Los integrantes de las instituciones policiales del Estado de México deberán llenar el Informe Policial Homologado, en términos de los acuerdos adoptados en el Sistema Nacional, </w:t>
      </w:r>
      <w:r w:rsidRPr="0098792C">
        <w:rPr>
          <w:rFonts w:ascii="Palatino Linotype" w:eastAsia="Palatino Linotype" w:hAnsi="Palatino Linotype" w:cs="Palatino Linotype"/>
          <w:b/>
          <w:i/>
          <w:sz w:val="22"/>
          <w:szCs w:val="22"/>
          <w:u w:val="single"/>
        </w:rPr>
        <w:t>con los datos de las actividades que realicen</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i/>
          <w:sz w:val="22"/>
          <w:szCs w:val="22"/>
        </w:rPr>
        <w:t xml:space="preserve">(Énfasis Añadido) </w:t>
      </w:r>
    </w:p>
    <w:p w14:paraId="57ABB5AE"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7165BD68"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Por lo anterior, es necesario mencionar que los Lineamientos para el Llenado, Entrega, Recepción, Registro, Resguardo y Consulta del Informe Policial Homologado tienen como objetivo establecer las etapas y pautas que deben seguir los tres órdenes de gobierno para </w:t>
      </w:r>
      <w:proofErr w:type="spellStart"/>
      <w:r w:rsidRPr="0098792C">
        <w:rPr>
          <w:rFonts w:ascii="Palatino Linotype" w:eastAsia="Palatino Linotype" w:hAnsi="Palatino Linotype" w:cs="Palatino Linotype"/>
          <w:sz w:val="22"/>
          <w:szCs w:val="22"/>
        </w:rPr>
        <w:t>eficientar</w:t>
      </w:r>
      <w:proofErr w:type="spellEnd"/>
      <w:r w:rsidRPr="0098792C">
        <w:rPr>
          <w:rFonts w:ascii="Palatino Linotype" w:eastAsia="Palatino Linotype" w:hAnsi="Palatino Linotype" w:cs="Palatino Linotype"/>
          <w:sz w:val="22"/>
          <w:szCs w:val="22"/>
        </w:rPr>
        <w:t xml:space="preserve"> las puestas a disposición, garantizar el debido proceso, y fomentar el uso de la información para acciones de inteligencia, a través del Informe Policial Homologado sobre hechos presumiblemente constitutivos de delito y/o infracciones administrativas. </w:t>
      </w:r>
    </w:p>
    <w:p w14:paraId="67203FE1"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5B3F99BE"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Lineamientos que en el apartado de ámbito de aplicación señalan que son de observancia obligatoria para las Instituciones involucradas en la seguridad pública de los tres órdenes </w:t>
      </w:r>
      <w:r w:rsidRPr="0098792C">
        <w:rPr>
          <w:rFonts w:ascii="Palatino Linotype" w:eastAsia="Palatino Linotype" w:hAnsi="Palatino Linotype" w:cs="Palatino Linotype"/>
          <w:sz w:val="22"/>
          <w:szCs w:val="22"/>
        </w:rPr>
        <w:lastRenderedPageBreak/>
        <w:t xml:space="preserve">de gobierno, tal es el caso de las Secretarías de Seguridad Pública Municipal, Direcciones de Seguridad Pública Municipal o sus equivalentes. </w:t>
      </w:r>
    </w:p>
    <w:p w14:paraId="31F9E34B"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5A9182D8"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Ahora bien, el Informe Policial Homologado es el medio a través del cual los integrantes de las instituciones policiales documentan la información relacionada con las puestas a disposición de personas y/o de objetos derivados de su intervención, a las autoridades competentes.</w:t>
      </w:r>
    </w:p>
    <w:p w14:paraId="1B558711"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B2B4E8C"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Así las cosas, el numeral décimo tercero de los Lineamientos señala que los integrantes de las instituciones policiales de los tres órdenes de gobierno que realicen el llenado del Informe Policial Homologado, deberán entregarlo junto con las personas detenidas y/o arrestadas y/o los objetos asegurados a la autoridad competente, según se trate de un hecho probablemente delictivo o una infracción administrativa; de este modo, la autoridad competente estará obligada a recibir el Informe policial junto con las personas detenidas y/o arrestadas y/o los objetos asegurados, en un término máximo de dos horas contadas a partir del arribo a sus oficinas de las instituciones policiales que realizan la puesta a disposición. </w:t>
      </w:r>
    </w:p>
    <w:p w14:paraId="0771339E"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1CD5F750"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esa tesitura, la Ley General del Sistema Nacional de Seguridad Pública en su artículo 43, señala que es responsabilidad de los integrantes de las Instituciones Policiales recabar y registrar en el Informe Policial Homologado datos generales de registro, motivo (tipo y subtipo de evento), ubicación del evento, descripción de hechos, entrevistas realizadas y demás información complementaria; en caso de detenciones, deberán señalarse motivo, descripción de la persona y de su estado físico aparente, datos generales del detenido, objetos asegurados, autoridad y lugar en que se haya puesto a disposición; precepto normativo que se inserta para mayor entendimiento: </w:t>
      </w:r>
    </w:p>
    <w:p w14:paraId="577D7368"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02C1313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w:t>
      </w:r>
      <w:r w:rsidRPr="0098792C">
        <w:rPr>
          <w:rFonts w:ascii="Palatino Linotype" w:eastAsia="Palatino Linotype" w:hAnsi="Palatino Linotype" w:cs="Palatino Linotype"/>
          <w:b/>
          <w:i/>
          <w:sz w:val="22"/>
          <w:szCs w:val="22"/>
        </w:rPr>
        <w:t>Artículo 43.-</w:t>
      </w:r>
      <w:r w:rsidRPr="0098792C">
        <w:rPr>
          <w:rFonts w:ascii="Palatino Linotype" w:eastAsia="Palatino Linotype" w:hAnsi="Palatino Linotype" w:cs="Palatino Linotype"/>
          <w:i/>
          <w:sz w:val="22"/>
          <w:szCs w:val="22"/>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488A4CB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 El área que lo emite;</w:t>
      </w:r>
    </w:p>
    <w:p w14:paraId="7CAF0A96"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 El usuario capturista;</w:t>
      </w:r>
    </w:p>
    <w:p w14:paraId="62360D1C"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III. Los Datos Generales de registro;</w:t>
      </w:r>
    </w:p>
    <w:p w14:paraId="4EA1C54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IV. Motivo, que se clasifica en;</w:t>
      </w:r>
    </w:p>
    <w:p w14:paraId="2F1B553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a) Tipo de evento, y</w:t>
      </w:r>
    </w:p>
    <w:p w14:paraId="46A21AC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b) Subtipo de evento.</w:t>
      </w:r>
    </w:p>
    <w:p w14:paraId="53EAAD78"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 La ubicación del evento y en su caso, los caminos;</w:t>
      </w:r>
    </w:p>
    <w:p w14:paraId="6D0DB89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 La descripción de hechos, que deberá detallar modo, tiempo y lugar, entre otros datos.</w:t>
      </w:r>
    </w:p>
    <w:p w14:paraId="42709868"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VII. Entrevistas realizadas, y</w:t>
      </w:r>
    </w:p>
    <w:p w14:paraId="7493B64E"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VIII. En caso de detenciones:</w:t>
      </w:r>
    </w:p>
    <w:p w14:paraId="61C5B715"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a) Señalar los motivos de la detención;</w:t>
      </w:r>
    </w:p>
    <w:p w14:paraId="790D9E6E"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b) Descripción de la persona;</w:t>
      </w:r>
    </w:p>
    <w:p w14:paraId="1A83E131"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c) El nombre del detenido y apodo, en su caso;</w:t>
      </w:r>
    </w:p>
    <w:p w14:paraId="5062D8C3"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d) Descripción de estado físico aparente;</w:t>
      </w:r>
    </w:p>
    <w:p w14:paraId="7B228103"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 Objetos que le fueron encontrados;</w:t>
      </w:r>
    </w:p>
    <w:p w14:paraId="75BC379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f) Autoridad a la que fue puesto a disposición, y</w:t>
      </w:r>
    </w:p>
    <w:p w14:paraId="50AC89A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g) Lugar en el que fue puesto a disposición.</w:t>
      </w:r>
    </w:p>
    <w:p w14:paraId="062A56C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21504BEA"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207D2341"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Por su parte el numeral Décimo Primero de los Lineamientos para el Llenado, Entrega, Recepción, Registro, Resguardo y Consulta del Informe Policial Homologado, dispone lo siguiente:</w:t>
      </w:r>
    </w:p>
    <w:p w14:paraId="7BBE46E2"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DB236E0" w14:textId="77777777" w:rsidR="00C55892" w:rsidRPr="0098792C" w:rsidRDefault="00297FA7">
      <w:pPr>
        <w:spacing w:line="276" w:lineRule="auto"/>
        <w:ind w:left="851"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DÉCIMO PRIMERO. LLENADO DEL IPH.</w:t>
      </w:r>
    </w:p>
    <w:p w14:paraId="48F00312"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 xml:space="preserve">Los </w:t>
      </w:r>
      <w:r w:rsidRPr="0098792C">
        <w:rPr>
          <w:rFonts w:ascii="Palatino Linotype" w:eastAsia="Palatino Linotype" w:hAnsi="Palatino Linotype" w:cs="Palatino Linotype"/>
          <w:b/>
          <w:i/>
          <w:sz w:val="22"/>
          <w:szCs w:val="22"/>
        </w:rPr>
        <w:t>integrantes de las instituciones policiales de los tres órdenes de gobierno</w:t>
      </w:r>
      <w:r w:rsidRPr="0098792C">
        <w:rPr>
          <w:rFonts w:ascii="Palatino Linotype" w:eastAsia="Palatino Linotype" w:hAnsi="Palatino Linotype" w:cs="Palatino Linotype"/>
          <w:i/>
          <w:sz w:val="22"/>
          <w:szCs w:val="22"/>
        </w:rPr>
        <w:t xml:space="preserve"> deberán registrar en el IPH la información relacionada con las puestas a disposición de personas y/o de objetos derivados de su intervención.</w:t>
      </w:r>
    </w:p>
    <w:p w14:paraId="3AB29F42"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El IPH para hechos probablemente delictivos contendrá</w:t>
      </w:r>
      <w:r w:rsidRPr="0098792C">
        <w:rPr>
          <w:rFonts w:ascii="Palatino Linotype" w:eastAsia="Palatino Linotype" w:hAnsi="Palatino Linotype" w:cs="Palatino Linotype"/>
          <w:i/>
          <w:sz w:val="22"/>
          <w:szCs w:val="22"/>
        </w:rPr>
        <w:t xml:space="preserve"> al menos los siguientes datos:</w:t>
      </w:r>
    </w:p>
    <w:p w14:paraId="71947905"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     El Número de Referencia o el Número de folio asignado;</w:t>
      </w:r>
    </w:p>
    <w:p w14:paraId="67F3B10C"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     Los datos del o los integrantes de la institución policial que lo emite;</w:t>
      </w:r>
    </w:p>
    <w:p w14:paraId="0ADBF97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III.    Los datos de la autoridad competente que lo recibe;</w:t>
      </w:r>
    </w:p>
    <w:p w14:paraId="33FF3256"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IV.   Los datos generales de la intervención o actuación;</w:t>
      </w:r>
    </w:p>
    <w:p w14:paraId="603AE5B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    El motivo de la intervención o actuación;</w:t>
      </w:r>
    </w:p>
    <w:p w14:paraId="4E8C24A1"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   La ubicación del o los lugares de la intervención o actuación;</w:t>
      </w:r>
    </w:p>
    <w:p w14:paraId="71660B54"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VII.   La descripción de hechos, que deberá detallar modo, tiempo y lugar, entre otros datos. Así como, justificar razonablemente el control provisional preventivo y/o los niveles de contacto;</w:t>
      </w:r>
    </w:p>
    <w:p w14:paraId="72CD835C"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VIII.  En caso de personas detenidas:</w:t>
      </w:r>
    </w:p>
    <w:p w14:paraId="51354559"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a)   El Número del Registro Nacional de Detenciones;</w:t>
      </w:r>
    </w:p>
    <w:p w14:paraId="03B25AF3"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b)   Los motivos de la detención;</w:t>
      </w:r>
    </w:p>
    <w:p w14:paraId="6C57DA2A"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c)   Los datos generales de la persona;</w:t>
      </w:r>
    </w:p>
    <w:p w14:paraId="01597ED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d)   La descripción de la persona, incluyendo su estado físico aparente;</w:t>
      </w:r>
    </w:p>
    <w:p w14:paraId="6162A749"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   Las armas de fuego y/o los objetos que le fueron recolectados y/o asegurados, y</w:t>
      </w:r>
    </w:p>
    <w:p w14:paraId="20B87E6E"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f)    El lugar al que es puesta a disposición la persona;</w:t>
      </w:r>
    </w:p>
    <w:p w14:paraId="60D6F7E8"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IX.   En caso de lesionados y/o fallecidos, un informe del uso de la fuerza en el que se describa la conducta que lo motivó y el nivel proporcional empleado de acuerdo con lo dispuesto por los artículos 10 y 11 de la Ley Nacional sobre el Uso de la Fuerza. Éste será distinto al reporte pormenorizado señalado en el artículo 32 de la misma Ley;</w:t>
      </w:r>
    </w:p>
    <w:p w14:paraId="31F17718"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X.    En caso de inspección de vehículo, los datos generales sobre sus características;</w:t>
      </w:r>
    </w:p>
    <w:p w14:paraId="17729835"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XI.   En caso de recolección y/o aseguramiento de armas de fuego u objetos, los datos generales sobre sus características y apariencias;</w:t>
      </w:r>
    </w:p>
    <w:p w14:paraId="2245DD7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XII.   En caso de preservar el lugar de la intervención o actuación, los datos generales sobre su entrega-recepción, y</w:t>
      </w:r>
    </w:p>
    <w:p w14:paraId="6D4E824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XIII.  En caso de entrevistas, los datos generales de la persona entrevistada y el relato de la misma.</w:t>
      </w:r>
    </w:p>
    <w:p w14:paraId="77EA0D9A" w14:textId="77777777" w:rsidR="00C55892" w:rsidRPr="0098792C" w:rsidRDefault="00297FA7">
      <w:pPr>
        <w:spacing w:line="276" w:lineRule="auto"/>
        <w:ind w:left="851" w:right="61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El IPH para infracciones administrativas contendrá al menos los siguientes datos:</w:t>
      </w:r>
    </w:p>
    <w:p w14:paraId="6918C55A"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I.     El Número de Referencia o el Número de folio asignado;</w:t>
      </w:r>
    </w:p>
    <w:p w14:paraId="76580A0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     Los datos del o los integrantes de la institución policial que lo emite;</w:t>
      </w:r>
    </w:p>
    <w:p w14:paraId="2A8488F4"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III.    Los datos de la autoridad competente que lo recibe;</w:t>
      </w:r>
    </w:p>
    <w:p w14:paraId="3986C24C"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IV.   Los datos generales de la intervención o actuación;</w:t>
      </w:r>
    </w:p>
    <w:p w14:paraId="01D8A64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    El motivo de la intervención o actuación;</w:t>
      </w:r>
    </w:p>
    <w:p w14:paraId="6F70461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   La ubicación del o los lugares de la intervención o actuación;</w:t>
      </w:r>
    </w:p>
    <w:p w14:paraId="413CC435"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VII.   La descripción de hechos, que deberá detallar modo, tiempo y lugar, entre otros datos. Así como, justificar razonablemente el control provisional preventivo y/o los niveles de contacto;</w:t>
      </w:r>
    </w:p>
    <w:p w14:paraId="5340017D"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VIII.  En caso de personas arrestadas:</w:t>
      </w:r>
    </w:p>
    <w:p w14:paraId="59860940"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a)   El Número del Registro Nacional de Detenciones;</w:t>
      </w:r>
    </w:p>
    <w:p w14:paraId="061DCB39"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b)   Los motivos de la detención;</w:t>
      </w:r>
    </w:p>
    <w:p w14:paraId="4009FD8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c)   Los datos generales de la persona;</w:t>
      </w:r>
    </w:p>
    <w:p w14:paraId="5A512519"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d)   La descripción de la persona, incluyendo su estado físico aparente, y</w:t>
      </w:r>
    </w:p>
    <w:p w14:paraId="76091B3A"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   El lugar en el que es puesta a disposición la persona, y</w:t>
      </w:r>
    </w:p>
    <w:p w14:paraId="56667688"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IX.   En caso de involucramiento de vehículo, los datos generales sobre sus características.</w:t>
      </w:r>
    </w:p>
    <w:p w14:paraId="33DE1FFD" w14:textId="77777777" w:rsidR="00C55892" w:rsidRPr="0098792C" w:rsidRDefault="00C55892">
      <w:pPr>
        <w:spacing w:line="276" w:lineRule="auto"/>
        <w:ind w:left="851" w:right="616"/>
        <w:jc w:val="both"/>
        <w:rPr>
          <w:rFonts w:ascii="Palatino Linotype" w:eastAsia="Palatino Linotype" w:hAnsi="Palatino Linotype" w:cs="Palatino Linotype"/>
          <w:i/>
          <w:sz w:val="22"/>
          <w:szCs w:val="22"/>
        </w:rPr>
      </w:pPr>
    </w:p>
    <w:p w14:paraId="6B7E0BE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el llenado del IPH se anotará por completo la información del evento. En caso de no contar con algún dato, no se realice la actividad y/o no aplique su llenado, se deberá dejar constancia de ello, o testar o cancelar el espacio respectivo a fin de que no se haga un mal uso de él.</w:t>
      </w:r>
    </w:p>
    <w:p w14:paraId="5D9C1C7F" w14:textId="77777777" w:rsidR="00C55892" w:rsidRPr="0098792C" w:rsidRDefault="00C55892">
      <w:pPr>
        <w:spacing w:line="276" w:lineRule="auto"/>
        <w:ind w:left="851" w:right="616"/>
        <w:jc w:val="both"/>
        <w:rPr>
          <w:rFonts w:ascii="Palatino Linotype" w:eastAsia="Palatino Linotype" w:hAnsi="Palatino Linotype" w:cs="Palatino Linotype"/>
          <w:i/>
          <w:sz w:val="22"/>
          <w:szCs w:val="22"/>
        </w:rPr>
      </w:pPr>
    </w:p>
    <w:p w14:paraId="48FE2427" w14:textId="77777777" w:rsidR="00C55892" w:rsidRPr="0098792C" w:rsidRDefault="00297FA7">
      <w:pPr>
        <w:spacing w:line="276" w:lineRule="auto"/>
        <w:ind w:left="851" w:right="616"/>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i/>
          <w:sz w:val="22"/>
          <w:szCs w:val="22"/>
        </w:rPr>
        <w:t>No se exigirá la totalidad del llenado y entrega de los Anexos cuando el caso no lo amerite.”</w:t>
      </w:r>
    </w:p>
    <w:p w14:paraId="58BDDB36"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068F87CE"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De lo anteriormente expuesto se advierte que, el Informe Policial Homologado es el máximo instrumento que tienen los cuerpos de seguridad pública para certificar las circunstancias de modo, tiempo y lugar en que se llevó a cabo la detención de una persona, sea por la posible comisión de un delito o, por actos que supongan una infracción administrativa.</w:t>
      </w:r>
    </w:p>
    <w:p w14:paraId="4B598D80"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45965306"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Por otro lado, la Ley de Seguridad del Estado de México en su artículo 27, señala y considera como confidencial y reservada la información contenida en el Sistema Estatal, mientras que </w:t>
      </w:r>
      <w:r w:rsidRPr="0098792C">
        <w:rPr>
          <w:rFonts w:ascii="Palatino Linotype" w:eastAsia="Palatino Linotype" w:hAnsi="Palatino Linotype" w:cs="Palatino Linotype"/>
          <w:sz w:val="22"/>
          <w:szCs w:val="22"/>
        </w:rPr>
        <w:lastRenderedPageBreak/>
        <w:t xml:space="preserve">el artículo 81 señala que toda la información para la seguridad pública generada o en poder de instituciones de Seguridad Pública es considera como reservada, tal y como se observa a continuación: </w:t>
      </w:r>
    </w:p>
    <w:p w14:paraId="32FBD9C2"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02DDB362"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27.-</w:t>
      </w:r>
      <w:r w:rsidRPr="0098792C">
        <w:rPr>
          <w:rFonts w:ascii="Palatino Linotype" w:eastAsia="Palatino Linotype" w:hAnsi="Palatino Linotype" w:cs="Palatino Linotype"/>
          <w:i/>
          <w:sz w:val="22"/>
          <w:szCs w:val="22"/>
        </w:rPr>
        <w:t xml:space="preserve"> La información contenida en el Sistema Estatal será clasificada como confidencial o reservada en los términos que establezcan las normas aplicables, así como en los acuerdos que emita para tal efecto el Consejo Estatal.</w:t>
      </w:r>
    </w:p>
    <w:p w14:paraId="0E376A28" w14:textId="77777777" w:rsidR="00C55892" w:rsidRPr="0098792C" w:rsidRDefault="00C55892">
      <w:pPr>
        <w:spacing w:line="276" w:lineRule="auto"/>
        <w:ind w:left="851" w:right="616"/>
        <w:jc w:val="both"/>
        <w:rPr>
          <w:rFonts w:ascii="Palatino Linotype" w:eastAsia="Palatino Linotype" w:hAnsi="Palatino Linotype" w:cs="Palatino Linotype"/>
          <w:i/>
          <w:sz w:val="22"/>
          <w:szCs w:val="22"/>
        </w:rPr>
      </w:pPr>
    </w:p>
    <w:p w14:paraId="7EF032CF"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Los instrumentos jurídicos sobre criterios y protocolos de operación, investigaciones preventivas, datos y criterios empleados en el sistema de reinserción social, así como datos personales de los servidores públicos de las instituciones de seguridad pública a cargo de operativos y demás acciones de investigación, serán considerados como confidenciales.</w:t>
      </w:r>
    </w:p>
    <w:p w14:paraId="5FDA1B78"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 </w:t>
      </w:r>
    </w:p>
    <w:p w14:paraId="4D5CB691"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81.-</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u w:val="single"/>
        </w:rPr>
        <w:t>Toda información para la seguridad pública generada</w:t>
      </w:r>
      <w:r w:rsidRPr="0098792C">
        <w:rPr>
          <w:rFonts w:ascii="Palatino Linotype" w:eastAsia="Palatino Linotype" w:hAnsi="Palatino Linotype" w:cs="Palatino Linotype"/>
          <w:i/>
          <w:sz w:val="22"/>
          <w:szCs w:val="22"/>
        </w:rPr>
        <w:t xml:space="preserve"> o en poder de Instituciones de Seguridad Pública o de cualquier instancia del Sistema Estatal debe registrarse, clasificarse y tratarse de conformidad con las disposiciones aplicables. No </w:t>
      </w:r>
      <w:proofErr w:type="gramStart"/>
      <w:r w:rsidRPr="0098792C">
        <w:rPr>
          <w:rFonts w:ascii="Palatino Linotype" w:eastAsia="Palatino Linotype" w:hAnsi="Palatino Linotype" w:cs="Palatino Linotype"/>
          <w:i/>
          <w:sz w:val="22"/>
          <w:szCs w:val="22"/>
        </w:rPr>
        <w:t>obstante</w:t>
      </w:r>
      <w:proofErr w:type="gramEnd"/>
      <w:r w:rsidRPr="0098792C">
        <w:rPr>
          <w:rFonts w:ascii="Palatino Linotype" w:eastAsia="Palatino Linotype" w:hAnsi="Palatino Linotype" w:cs="Palatino Linotype"/>
          <w:i/>
          <w:sz w:val="22"/>
          <w:szCs w:val="22"/>
        </w:rPr>
        <w:t xml:space="preserve"> lo anterior, esta información </w:t>
      </w:r>
      <w:r w:rsidRPr="0098792C">
        <w:rPr>
          <w:rFonts w:ascii="Palatino Linotype" w:eastAsia="Palatino Linotype" w:hAnsi="Palatino Linotype" w:cs="Palatino Linotype"/>
          <w:b/>
          <w:i/>
          <w:sz w:val="22"/>
          <w:szCs w:val="22"/>
        </w:rPr>
        <w:t xml:space="preserve">se </w:t>
      </w:r>
      <w:r w:rsidRPr="0098792C">
        <w:rPr>
          <w:rFonts w:ascii="Palatino Linotype" w:eastAsia="Palatino Linotype" w:hAnsi="Palatino Linotype" w:cs="Palatino Linotype"/>
          <w:b/>
          <w:i/>
          <w:sz w:val="22"/>
          <w:szCs w:val="22"/>
          <w:u w:val="single"/>
        </w:rPr>
        <w:t>considerará reservada</w:t>
      </w:r>
      <w:r w:rsidRPr="0098792C">
        <w:rPr>
          <w:rFonts w:ascii="Palatino Linotype" w:eastAsia="Palatino Linotype" w:hAnsi="Palatino Linotype" w:cs="Palatino Linotype"/>
          <w:i/>
          <w:sz w:val="22"/>
          <w:szCs w:val="22"/>
        </w:rPr>
        <w:t xml:space="preserve"> en los casos siguientes:</w:t>
      </w:r>
    </w:p>
    <w:p w14:paraId="78D4A8B2"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14:paraId="1158B492"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 Aquella cuya revelación pueda ser utilizada para actualizar o potenciar una amenaza a la seguridad pública o a las instituciones del Estado de México;</w:t>
      </w:r>
    </w:p>
    <w:p w14:paraId="1313FAEA"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III. La relativa a los servidores públicos integrantes de las instituciones de seguridad pública, cuya revelación pueda poner en riesgo su vida e integridad física con motivo de sus funciones;</w:t>
      </w:r>
    </w:p>
    <w:p w14:paraId="008DAD7E"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IV. La que sea producto de una intervención de comunicaciones privadas autorizadas conforme a la Constitución Federal y las disposiciones legales correspondientes; y, </w:t>
      </w:r>
    </w:p>
    <w:p w14:paraId="56455D04"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V. La contenida en averiguaciones previas, carpetas de investigación, expedientes y demás archivos relativos a la investigación para la prevención y la investigación de los delitos y faltas administrativas, en términos de las disposiciones aplicables.</w:t>
      </w:r>
    </w:p>
    <w:p w14:paraId="3E0E3CAB" w14:textId="77777777" w:rsidR="00C55892" w:rsidRPr="0098792C" w:rsidRDefault="00297FA7">
      <w:pPr>
        <w:spacing w:line="276" w:lineRule="auto"/>
        <w:ind w:left="851" w:right="61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La inobservancia a lo anterior se sancionará de conformidad con las disposiciones aplicables.” (Énfasis Añadido)</w:t>
      </w:r>
    </w:p>
    <w:p w14:paraId="433A45BC"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2D92206E"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Aclarado lo anterior, es conviene recordar que como bien fue señalado por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en respuesta, dicha información es clasificada como reservada; sin embargo, omitió hacer entrega del Acuerdo del Comité de Transparencia en el que fundara y motivara las razones por las cuales se confirmó la reserva de la información. </w:t>
      </w:r>
    </w:p>
    <w:p w14:paraId="59F2DB59" w14:textId="77777777" w:rsidR="00C55892" w:rsidRPr="0098792C" w:rsidRDefault="00C55892">
      <w:pPr>
        <w:spacing w:line="360" w:lineRule="auto"/>
        <w:ind w:right="49"/>
        <w:jc w:val="both"/>
        <w:rPr>
          <w:rFonts w:ascii="Palatino Linotype" w:eastAsia="Palatino Linotype" w:hAnsi="Palatino Linotype" w:cs="Palatino Linotype"/>
          <w:sz w:val="22"/>
          <w:szCs w:val="22"/>
        </w:rPr>
      </w:pPr>
    </w:p>
    <w:p w14:paraId="54D5D8CC" w14:textId="77777777" w:rsidR="00C55892" w:rsidRPr="0098792C" w:rsidRDefault="00297FA7">
      <w:pPr>
        <w:spacing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 efecto de robustecer lo anterior, sirve de sustento el criterio orientador 29/10 emitido por el entonces Instituto Nacional de Transparencia, Acceso a la Información y Protección de Datos Personales</w:t>
      </w:r>
      <w:r w:rsidRPr="0098792C">
        <w:rPr>
          <w:rFonts w:ascii="Palatino Linotype" w:eastAsia="Palatino Linotype" w:hAnsi="Palatino Linotype" w:cs="Palatino Linotype"/>
          <w:b/>
          <w:sz w:val="22"/>
          <w:szCs w:val="22"/>
        </w:rPr>
        <w:t xml:space="preserve">, </w:t>
      </w:r>
      <w:r w:rsidRPr="0098792C">
        <w:rPr>
          <w:rFonts w:ascii="Palatino Linotype" w:eastAsia="Palatino Linotype" w:hAnsi="Palatino Linotype" w:cs="Palatino Linotype"/>
          <w:sz w:val="22"/>
          <w:szCs w:val="22"/>
        </w:rPr>
        <w:t xml:space="preserve">el cual refiere lo siguiente: </w:t>
      </w:r>
    </w:p>
    <w:p w14:paraId="2AEAE06E" w14:textId="77777777" w:rsidR="00C55892" w:rsidRPr="0098792C" w:rsidRDefault="00C55892">
      <w:pPr>
        <w:spacing w:line="360" w:lineRule="auto"/>
        <w:ind w:right="49"/>
        <w:jc w:val="both"/>
        <w:rPr>
          <w:rFonts w:ascii="Palatino Linotype" w:eastAsia="Palatino Linotype" w:hAnsi="Palatino Linotype" w:cs="Palatino Linotype"/>
          <w:sz w:val="22"/>
          <w:szCs w:val="22"/>
        </w:rPr>
      </w:pPr>
    </w:p>
    <w:p w14:paraId="0FB09908" w14:textId="77777777" w:rsidR="00C55892" w:rsidRPr="0098792C" w:rsidRDefault="00297FA7">
      <w:pPr>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 xml:space="preserve">“La clasificación y la inexistencia de información son conceptos que no pueden coexistir. </w:t>
      </w:r>
      <w:r w:rsidRPr="0098792C">
        <w:rPr>
          <w:rFonts w:ascii="Palatino Linotype" w:eastAsia="Palatino Linotype" w:hAnsi="Palatino Linotype" w:cs="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98792C">
        <w:rPr>
          <w:rFonts w:ascii="Palatino Linotype" w:eastAsia="Palatino Linotype" w:hAnsi="Palatino Linotype" w:cs="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98792C">
        <w:rPr>
          <w:rFonts w:ascii="Palatino Linotype" w:eastAsia="Palatino Linotype" w:hAnsi="Palatino Linotype" w:cs="Palatino Linotype"/>
          <w:i/>
          <w:sz w:val="22"/>
          <w:szCs w:val="22"/>
        </w:rPr>
        <w:t>.”</w:t>
      </w:r>
    </w:p>
    <w:p w14:paraId="04EB7CCF" w14:textId="77777777" w:rsidR="00C55892" w:rsidRPr="0098792C" w:rsidRDefault="00C558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1FCDD1" w14:textId="77777777" w:rsidR="00C55892" w:rsidRPr="0098792C" w:rsidRDefault="00297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De esta manera, después de analizar la naturaleza de la información solicitada, este Instituto arriba a la conclusión de que la divulgación de la información requerida por la persona solicitante, generaría un daño que sería mayor al interés público, puesto que darla a conocer, revelaría las narraciones, circunstancias de modo, tiempo y lugar en la que se </w:t>
      </w:r>
      <w:r w:rsidRPr="0098792C">
        <w:rPr>
          <w:rFonts w:ascii="Palatino Linotype" w:eastAsia="Palatino Linotype" w:hAnsi="Palatino Linotype" w:cs="Palatino Linotype"/>
          <w:sz w:val="22"/>
          <w:szCs w:val="22"/>
        </w:rPr>
        <w:lastRenderedPageBreak/>
        <w:t>detuvo a una persona por la posible comisión de un delito y que, una vez detenido, se tiene que presentar ante el Ministerio Público competente para que sea éste quien determine la situación jurídica de la persona detenida, actualizando la hipótesis de reserva prevista en el artículo 140, fracción I de la Ley de Transparencia, Acceso a la Información Pública del Estado de México y Municipios.</w:t>
      </w:r>
    </w:p>
    <w:p w14:paraId="3427A2BE" w14:textId="77777777" w:rsidR="00C55892" w:rsidRPr="0098792C" w:rsidRDefault="00C558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F9B285D" w14:textId="77777777" w:rsidR="00C55892" w:rsidRPr="0098792C" w:rsidRDefault="00297FA7">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sz w:val="22"/>
          <w:szCs w:val="22"/>
        </w:rPr>
        <w:t xml:space="preserve">Resulta necesario señalar que este precepto normativo, se vincula con el artículo 113, fracción I de la Ley General de Transparencia y Acceso a la Información Pública, relativa a </w:t>
      </w:r>
      <w:proofErr w:type="gramStart"/>
      <w:r w:rsidRPr="0098792C">
        <w:rPr>
          <w:rFonts w:ascii="Palatino Linotype" w:eastAsia="Palatino Linotype" w:hAnsi="Palatino Linotype" w:cs="Palatino Linotype"/>
          <w:sz w:val="22"/>
          <w:szCs w:val="22"/>
        </w:rPr>
        <w:t>comprometer  la</w:t>
      </w:r>
      <w:proofErr w:type="gramEnd"/>
      <w:r w:rsidRPr="0098792C">
        <w:rPr>
          <w:rFonts w:ascii="Palatino Linotype" w:eastAsia="Palatino Linotype" w:hAnsi="Palatino Linotype" w:cs="Palatino Linotype"/>
          <w:sz w:val="22"/>
          <w:szCs w:val="22"/>
        </w:rPr>
        <w:t xml:space="preserve"> seguridad nacional, </w:t>
      </w:r>
      <w:r w:rsidRPr="0098792C">
        <w:rPr>
          <w:rFonts w:ascii="Palatino Linotype" w:eastAsia="Palatino Linotype" w:hAnsi="Palatino Linotype" w:cs="Palatino Linotype"/>
          <w:b/>
          <w:sz w:val="22"/>
          <w:szCs w:val="22"/>
        </w:rPr>
        <w:t>la seguridad pública</w:t>
      </w:r>
      <w:r w:rsidRPr="0098792C">
        <w:rPr>
          <w:rFonts w:ascii="Palatino Linotype" w:eastAsia="Palatino Linotype" w:hAnsi="Palatino Linotype" w:cs="Palatino Linotype"/>
          <w:sz w:val="22"/>
          <w:szCs w:val="22"/>
        </w:rPr>
        <w:t xml:space="preserve"> o la defensa nacional </w:t>
      </w:r>
      <w:r w:rsidRPr="0098792C">
        <w:rPr>
          <w:rFonts w:ascii="Palatino Linotype" w:eastAsia="Palatino Linotype" w:hAnsi="Palatino Linotype" w:cs="Palatino Linotype"/>
          <w:b/>
          <w:sz w:val="22"/>
          <w:szCs w:val="22"/>
        </w:rPr>
        <w:t>y cuente con un propósito genuino y un efecto demostrable.</w:t>
      </w:r>
    </w:p>
    <w:p w14:paraId="2E6873B8" w14:textId="77777777" w:rsidR="00C55892" w:rsidRPr="0098792C" w:rsidRDefault="00C5589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782C1E1A" w14:textId="77777777" w:rsidR="00C55892" w:rsidRPr="0098792C" w:rsidRDefault="00297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Para tal efecto, debe vincularse con el numeral décimo octavo de los Lineamientos Generales en Materia de Clasificación y Desclasificación de la Información, así como para la Elaboración de Versiones Públicas, el cual establece que se considera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lo cual en este caso puede suceder con la divulgación de los informes policiales homologados pues de manera general revelaría información sobre los intervinientes, así como sobre los posibles hechos delictivos.</w:t>
      </w:r>
    </w:p>
    <w:p w14:paraId="4F8BB77E"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3E0B33EA" w14:textId="77777777" w:rsidR="00C55892" w:rsidRPr="0098792C" w:rsidRDefault="00297FA7">
      <w:pPr>
        <w:pBdr>
          <w:top w:val="nil"/>
          <w:left w:val="nil"/>
          <w:bottom w:val="nil"/>
          <w:right w:val="nil"/>
          <w:between w:val="nil"/>
        </w:pBdr>
        <w:shd w:val="clear" w:color="auto" w:fill="EEECE1"/>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5. Cuantas motos y vehículos se pusieron a disposición del ministerio público</w:t>
      </w:r>
    </w:p>
    <w:p w14:paraId="4ED37B5D"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22307315"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sz w:val="22"/>
          <w:szCs w:val="22"/>
        </w:rPr>
        <w:t xml:space="preserve">En primera instancia resulta importante mencionar que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omitió señalar elemento temporal sobre el que versará la búsqueda de la información, sin embargo, el criterio </w:t>
      </w:r>
      <w:r w:rsidRPr="0098792C">
        <w:rPr>
          <w:rFonts w:ascii="Palatino Linotype" w:eastAsia="Palatino Linotype" w:hAnsi="Palatino Linotype" w:cs="Palatino Linotype"/>
          <w:b/>
          <w:sz w:val="22"/>
          <w:szCs w:val="22"/>
        </w:rPr>
        <w:t xml:space="preserve">3/19 </w:t>
      </w:r>
      <w:r w:rsidRPr="0098792C">
        <w:rPr>
          <w:rFonts w:ascii="Palatino Linotype" w:eastAsia="Palatino Linotype" w:hAnsi="Palatino Linotype" w:cs="Palatino Linotype"/>
          <w:sz w:val="22"/>
          <w:szCs w:val="22"/>
        </w:rPr>
        <w:t xml:space="preserve">emitido por el Instituto Nacional de Transparencia, Acceso a la Información y Protección de Datos Personales, el cual se citó en líneas anteriores, por lo tanto, se deberá </w:t>
      </w:r>
      <w:r w:rsidRPr="0098792C">
        <w:rPr>
          <w:rFonts w:ascii="Palatino Linotype" w:eastAsia="Palatino Linotype" w:hAnsi="Palatino Linotype" w:cs="Palatino Linotype"/>
          <w:sz w:val="22"/>
          <w:szCs w:val="22"/>
        </w:rPr>
        <w:lastRenderedPageBreak/>
        <w:t>tomar en cuenta que el periodo de la información solicitada, comprenderá del 25 de febrero de 2024 al 25 de febrero de 2025.</w:t>
      </w:r>
    </w:p>
    <w:p w14:paraId="37BBAD5E"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F6C697"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Ahora bien, respecto a esta información, resulta importante destacar que nos encontramos ante un dato de naturaleza estadística, el cual es de naturaleza estadística, por lo tanto, no procede la reserva, pues se insiste, como lo establece el criterio 11/09 emitido por el entonces Instituto Nacional de Transparencia, Acceso a la Información y Protección de Datos Personales, la información estadística es de naturaleza pública.</w:t>
      </w:r>
    </w:p>
    <w:p w14:paraId="572D67B8" w14:textId="77777777" w:rsidR="00C55892" w:rsidRPr="0098792C" w:rsidRDefault="00297FA7">
      <w:pPr>
        <w:spacing w:before="240" w:after="240"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Teniendo esto en cuenta, resulta importante señalar que el Código Reglamentario Municipal establece en su artículo 3.32, fracción IV, que le compete a la Dirección Operativa de la Dirección General de Seguridad y Protección; detener y presentar ante el Ministerio Público a quienes quebranten los ordenamientos penales del fuero común o federal, sin embargo, </w:t>
      </w:r>
      <w:r w:rsidRPr="0098792C">
        <w:rPr>
          <w:rFonts w:ascii="Palatino Linotype" w:eastAsia="Palatino Linotype" w:hAnsi="Palatino Linotype" w:cs="Palatino Linotype"/>
          <w:b/>
          <w:sz w:val="22"/>
          <w:szCs w:val="22"/>
        </w:rPr>
        <w:t>cabe la posibilidad de que al momento de esta puesta a disposición, los imputados contaran con algún vehículo o moto o no, por lo que de ser el caso en el que haya realizado las puestas a disposición de imputados con vehículos automotores</w:t>
      </w:r>
      <w:r w:rsidRPr="0098792C">
        <w:rPr>
          <w:rFonts w:ascii="Palatino Linotype" w:eastAsia="Palatino Linotype" w:hAnsi="Palatino Linotype" w:cs="Palatino Linotype"/>
          <w:sz w:val="22"/>
          <w:szCs w:val="22"/>
        </w:rPr>
        <w:t xml:space="preserve">, procede la entrega de la información pero, </w:t>
      </w:r>
      <w:r w:rsidRPr="0098792C">
        <w:rPr>
          <w:rFonts w:ascii="Palatino Linotype" w:eastAsia="Palatino Linotype" w:hAnsi="Palatino Linotype" w:cs="Palatino Linotype"/>
          <w:b/>
          <w:sz w:val="22"/>
          <w:szCs w:val="22"/>
        </w:rPr>
        <w:t>de no actualizarse este supuesto</w:t>
      </w:r>
      <w:r w:rsidRPr="0098792C">
        <w:rPr>
          <w:rFonts w:ascii="Palatino Linotype" w:eastAsia="Palatino Linotype" w:hAnsi="Palatino Linotype" w:cs="Palatino Linotype"/>
          <w:sz w:val="22"/>
          <w:szCs w:val="22"/>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3F0E805" w14:textId="77777777" w:rsidR="00C55892" w:rsidRPr="0098792C" w:rsidRDefault="00297FA7">
      <w:pPr>
        <w:spacing w:before="240" w:after="240" w:line="276" w:lineRule="auto"/>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“Artículo 19…</w:t>
      </w:r>
    </w:p>
    <w:p w14:paraId="4C01CA0D" w14:textId="77777777" w:rsidR="00C55892" w:rsidRPr="0098792C" w:rsidRDefault="00297FA7">
      <w:pPr>
        <w:spacing w:before="240" w:after="240" w:line="276" w:lineRule="auto"/>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BB14470" w14:textId="77777777" w:rsidR="00C55892" w:rsidRPr="0098792C" w:rsidRDefault="00297FA7">
      <w:pPr>
        <w:pBdr>
          <w:top w:val="nil"/>
          <w:left w:val="nil"/>
          <w:bottom w:val="nil"/>
          <w:right w:val="nil"/>
          <w:between w:val="nil"/>
        </w:pBdr>
        <w:shd w:val="clear" w:color="auto" w:fill="EEECE1"/>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6. Las estrategias de seguridad</w:t>
      </w:r>
    </w:p>
    <w:p w14:paraId="5A9B7638"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1913342A"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sz w:val="22"/>
          <w:szCs w:val="22"/>
        </w:rPr>
        <w:lastRenderedPageBreak/>
        <w:t xml:space="preserve">Para abordar este punto, resulta importante mencionar que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omitió señalar elemento temporal sobre el que versará la búsqueda de la información, sin embargo, el criterio </w:t>
      </w:r>
      <w:r w:rsidRPr="0098792C">
        <w:rPr>
          <w:rFonts w:ascii="Palatino Linotype" w:eastAsia="Palatino Linotype" w:hAnsi="Palatino Linotype" w:cs="Palatino Linotype"/>
          <w:b/>
          <w:sz w:val="22"/>
          <w:szCs w:val="22"/>
        </w:rPr>
        <w:t xml:space="preserve">3/19 </w:t>
      </w:r>
      <w:r w:rsidRPr="0098792C">
        <w:rPr>
          <w:rFonts w:ascii="Palatino Linotype" w:eastAsia="Palatino Linotype" w:hAnsi="Palatino Linotype" w:cs="Palatino Linotype"/>
          <w:sz w:val="22"/>
          <w:szCs w:val="22"/>
        </w:rPr>
        <w:t>emitido por el Instituto Nacional de Transparencia, Acceso a la Información y Protección de Datos Personales, el cual se citó en líneas anteriores, por lo tanto, se deberá tomar en cuenta que el periodo de la información solicitada, comprenderá del 25 de febrero de 2024 al 25 de febrero de 2025.</w:t>
      </w:r>
    </w:p>
    <w:p w14:paraId="10C4DF5D"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BB9BDC9"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Una estrategia de seguridad pública es un conjunto planificado de acciones, políticas, programas y medidas que diseñan los gobiernos (locales, regionales o nacionales) para prevenir, reducir y controlar la violencia, el crimen y otras amenazas a la seguridad de la población, es decir, dan cuenta de manera pormenorizada de las acciones a realizar por un gobierno, por lo tanto, resulta pertinente señalar que para este punto en particular, podrá invocarse la reserva bajo el supuesto previsto en la fracción I del artículo</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sz w:val="22"/>
          <w:szCs w:val="22"/>
        </w:rPr>
        <w:t>140 de la Ley de Transparencia y Acceso a la Información Pública del Estado de México y Municipios, que a la letra dice lo siguiente.</w:t>
      </w:r>
    </w:p>
    <w:p w14:paraId="4FB2C167" w14:textId="77777777" w:rsidR="00C55892" w:rsidRPr="0098792C" w:rsidRDefault="00297FA7">
      <w:pPr>
        <w:spacing w:line="276" w:lineRule="auto"/>
        <w:ind w:left="851" w:right="567"/>
        <w:jc w:val="center"/>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“Capítulo II</w:t>
      </w:r>
    </w:p>
    <w:p w14:paraId="17B27026" w14:textId="77777777" w:rsidR="00C55892" w:rsidRPr="0098792C" w:rsidRDefault="00297FA7">
      <w:pPr>
        <w:spacing w:before="240" w:after="160" w:line="276" w:lineRule="auto"/>
        <w:ind w:left="851" w:right="567"/>
        <w:jc w:val="center"/>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De la Información Reservada</w:t>
      </w:r>
    </w:p>
    <w:p w14:paraId="33853294" w14:textId="77777777" w:rsidR="00C55892" w:rsidRPr="0098792C" w:rsidRDefault="00297FA7">
      <w:pPr>
        <w:spacing w:before="240" w:after="160" w:line="276" w:lineRule="auto"/>
        <w:ind w:left="851" w:right="567"/>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Artículo 140.</w:t>
      </w:r>
      <w:r w:rsidRPr="0098792C">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14:paraId="17F22A44" w14:textId="77777777" w:rsidR="00C55892" w:rsidRPr="0098792C" w:rsidRDefault="00297FA7">
      <w:pPr>
        <w:spacing w:before="240" w:after="160" w:line="276" w:lineRule="auto"/>
        <w:ind w:left="851" w:right="567"/>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b/>
          <w:i/>
          <w:sz w:val="22"/>
          <w:szCs w:val="22"/>
        </w:rPr>
        <w:t>I.</w:t>
      </w:r>
      <w:r w:rsidRPr="0098792C">
        <w:rPr>
          <w:rFonts w:ascii="Palatino Linotype" w:eastAsia="Palatino Linotype" w:hAnsi="Palatino Linotype" w:cs="Palatino Linotype"/>
          <w:i/>
          <w:sz w:val="22"/>
          <w:szCs w:val="22"/>
        </w:rPr>
        <w:t xml:space="preserve"> Comprometa la seguridad pública y cuente con un propósito genuino y un efecto demostrable;</w:t>
      </w:r>
    </w:p>
    <w:p w14:paraId="404C25A8"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Ello bajo las formalidades establecidas en líneas anteriores respecto del acuerdo de clasificación.</w:t>
      </w:r>
    </w:p>
    <w:p w14:paraId="444D654A"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3397C1" w14:textId="77777777" w:rsidR="00C55892" w:rsidRPr="0098792C" w:rsidRDefault="00297FA7">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sz w:val="22"/>
          <w:szCs w:val="22"/>
        </w:rPr>
        <w:lastRenderedPageBreak/>
        <w:t xml:space="preserve">Cabe señalar que este precepto normativo, se vincula con el artículo 113, fracción I de la Ley General de Transparencia y Acceso a la Información Pública, relativa a </w:t>
      </w:r>
      <w:proofErr w:type="gramStart"/>
      <w:r w:rsidRPr="0098792C">
        <w:rPr>
          <w:rFonts w:ascii="Palatino Linotype" w:eastAsia="Palatino Linotype" w:hAnsi="Palatino Linotype" w:cs="Palatino Linotype"/>
          <w:sz w:val="22"/>
          <w:szCs w:val="22"/>
        </w:rPr>
        <w:t>comprometer  la</w:t>
      </w:r>
      <w:proofErr w:type="gramEnd"/>
      <w:r w:rsidRPr="0098792C">
        <w:rPr>
          <w:rFonts w:ascii="Palatino Linotype" w:eastAsia="Palatino Linotype" w:hAnsi="Palatino Linotype" w:cs="Palatino Linotype"/>
          <w:sz w:val="22"/>
          <w:szCs w:val="22"/>
        </w:rPr>
        <w:t xml:space="preserve"> seguridad nacional, </w:t>
      </w:r>
      <w:r w:rsidRPr="0098792C">
        <w:rPr>
          <w:rFonts w:ascii="Palatino Linotype" w:eastAsia="Palatino Linotype" w:hAnsi="Palatino Linotype" w:cs="Palatino Linotype"/>
          <w:b/>
          <w:sz w:val="22"/>
          <w:szCs w:val="22"/>
        </w:rPr>
        <w:t>la seguridad pública</w:t>
      </w:r>
      <w:r w:rsidRPr="0098792C">
        <w:rPr>
          <w:rFonts w:ascii="Palatino Linotype" w:eastAsia="Palatino Linotype" w:hAnsi="Palatino Linotype" w:cs="Palatino Linotype"/>
          <w:sz w:val="22"/>
          <w:szCs w:val="22"/>
        </w:rPr>
        <w:t xml:space="preserve"> o la defensa nacional </w:t>
      </w:r>
      <w:r w:rsidRPr="0098792C">
        <w:rPr>
          <w:rFonts w:ascii="Palatino Linotype" w:eastAsia="Palatino Linotype" w:hAnsi="Palatino Linotype" w:cs="Palatino Linotype"/>
          <w:b/>
          <w:sz w:val="22"/>
          <w:szCs w:val="22"/>
        </w:rPr>
        <w:t>y cuente con un propósito genuino y un efecto demostrable.</w:t>
      </w:r>
    </w:p>
    <w:p w14:paraId="1E51B915" w14:textId="77777777" w:rsidR="00C55892" w:rsidRPr="0098792C" w:rsidRDefault="00C5589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03618AB" w14:textId="77777777" w:rsidR="00C55892" w:rsidRPr="0098792C" w:rsidRDefault="00297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Para tal efecto, debe vincularse con el numeral décimo octavo de los Lineamientos Generales en Materia de Clasificación y Desclasificación de la Información, así como para la Elaboración de Versiones Públicas, el cual establece que se considera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lo cual en este caso puede suceder con la divulgación de las estrategias, las cuales indudablemente darían cuenta de las acciones e incluso especificaciones respecto de la función de la seguridad pública.</w:t>
      </w:r>
    </w:p>
    <w:p w14:paraId="765D413E"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9CE1A7" w14:textId="77777777" w:rsidR="00C55892" w:rsidRPr="0098792C" w:rsidRDefault="00297FA7">
      <w:pPr>
        <w:pBdr>
          <w:top w:val="nil"/>
          <w:left w:val="nil"/>
          <w:bottom w:val="nil"/>
          <w:right w:val="nil"/>
          <w:between w:val="nil"/>
        </w:pBdr>
        <w:shd w:val="clear" w:color="auto" w:fill="EEECE1"/>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7. El presupuesto asignado a seguridad pública en 2024 y cuanto para 2025</w:t>
      </w:r>
    </w:p>
    <w:p w14:paraId="0789C6DF"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4B9F0E96"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Respecto a este punto,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manifestó que </w:t>
      </w:r>
      <w:r w:rsidRPr="0098792C">
        <w:rPr>
          <w:rFonts w:ascii="Palatino Linotype" w:eastAsia="Palatino Linotype" w:hAnsi="Palatino Linotype" w:cs="Palatino Linotype"/>
          <w:b/>
          <w:sz w:val="22"/>
          <w:szCs w:val="22"/>
        </w:rPr>
        <w:t xml:space="preserve">el presupuesto asignado a la Dirección General de Seguridad y Protección en el año 2024 </w:t>
      </w:r>
      <w:r w:rsidRPr="0098792C">
        <w:rPr>
          <w:rFonts w:ascii="Palatino Linotype" w:eastAsia="Palatino Linotype" w:hAnsi="Palatino Linotype" w:cs="Palatino Linotype"/>
          <w:sz w:val="22"/>
          <w:szCs w:val="22"/>
        </w:rPr>
        <w:t xml:space="preserve">de los capítulos del 2000 al 9000 </w:t>
      </w:r>
      <w:r w:rsidRPr="0098792C">
        <w:rPr>
          <w:rFonts w:ascii="Palatino Linotype" w:eastAsia="Palatino Linotype" w:hAnsi="Palatino Linotype" w:cs="Palatino Linotype"/>
          <w:b/>
          <w:sz w:val="22"/>
          <w:szCs w:val="22"/>
        </w:rPr>
        <w:t>fue de $164,812,549.00</w:t>
      </w:r>
      <w:r w:rsidRPr="0098792C">
        <w:rPr>
          <w:rFonts w:ascii="Palatino Linotype" w:eastAsia="Palatino Linotype" w:hAnsi="Palatino Linotype" w:cs="Palatino Linotype"/>
          <w:sz w:val="22"/>
          <w:szCs w:val="22"/>
        </w:rPr>
        <w:t xml:space="preserve"> mientras que para el ejercicio fiscal 2025 aún no se da a conocer los techos presupuestales asignados a la Dirección General.</w:t>
      </w:r>
    </w:p>
    <w:p w14:paraId="2FFF6576" w14:textId="77777777" w:rsidR="00C55892" w:rsidRPr="0098792C" w:rsidRDefault="00C558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E438F4" w14:textId="77777777" w:rsidR="00C55892" w:rsidRPr="0098792C" w:rsidRDefault="00297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tal tesitura, se tiene que se brindó la información concerniente al ejercicio fiscal 2024, sin embargo, respecto al ejercicio fiscal 2025, resulta pertinente señalar que el artículo 125, párrafo cuarto de la Constitución Política del Estado Libre y Soberano de México, contempla que el plazo para </w:t>
      </w:r>
      <w:r w:rsidRPr="0098792C">
        <w:rPr>
          <w:rFonts w:ascii="Palatino Linotype" w:eastAsia="Palatino Linotype" w:hAnsi="Palatino Linotype" w:cs="Palatino Linotype"/>
          <w:b/>
          <w:sz w:val="22"/>
          <w:szCs w:val="22"/>
        </w:rPr>
        <w:t xml:space="preserve">la publicación y promulgación del Presupuesto de Egresos Municipal deberá realizarse a más tardar, el 25 de febrero de cada año, enviándolo al Órgano </w:t>
      </w:r>
      <w:r w:rsidRPr="0098792C">
        <w:rPr>
          <w:rFonts w:ascii="Palatino Linotype" w:eastAsia="Palatino Linotype" w:hAnsi="Palatino Linotype" w:cs="Palatino Linotype"/>
          <w:b/>
          <w:sz w:val="22"/>
          <w:szCs w:val="22"/>
        </w:rPr>
        <w:lastRenderedPageBreak/>
        <w:t>Superior de Fiscalización en esa misma fecha</w:t>
      </w:r>
      <w:r w:rsidRPr="0098792C">
        <w:rPr>
          <w:rFonts w:ascii="Palatino Linotype" w:eastAsia="Palatino Linotype" w:hAnsi="Palatino Linotype" w:cs="Palatino Linotype"/>
          <w:sz w:val="22"/>
          <w:szCs w:val="22"/>
        </w:rPr>
        <w:t xml:space="preserve">, dicha circunstancia es replicada por el artículo 351 del Código Financiero del Estado de México y Municipios. </w:t>
      </w:r>
    </w:p>
    <w:p w14:paraId="1569E7B9" w14:textId="77777777" w:rsidR="00C55892" w:rsidRPr="0098792C" w:rsidRDefault="00C55892">
      <w:pPr>
        <w:spacing w:line="360" w:lineRule="auto"/>
        <w:ind w:right="51"/>
        <w:jc w:val="both"/>
        <w:rPr>
          <w:rFonts w:ascii="Palatino Linotype" w:eastAsia="Palatino Linotype" w:hAnsi="Palatino Linotype" w:cs="Palatino Linotype"/>
          <w:sz w:val="22"/>
          <w:szCs w:val="22"/>
        </w:rPr>
      </w:pPr>
    </w:p>
    <w:p w14:paraId="1AEB5A15" w14:textId="77777777" w:rsidR="00C55892" w:rsidRPr="0098792C" w:rsidRDefault="00297FA7">
      <w:pPr>
        <w:spacing w:line="360" w:lineRule="auto"/>
        <w:ind w:right="51"/>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sz w:val="22"/>
          <w:szCs w:val="22"/>
        </w:rPr>
        <w:t xml:space="preserve">Para robustecer lo anteriormente estudiado, este Instituto consultó los Lineamientos para la Integración, Envío y Recepción Electrónica del Paquete Presupuestal Municipal 2025, obteniendo así que este documento normativo contempla que la firma del envío/recepción del Paquete Presupuestal Municipal 2025, validado con la firma electrónica avanzada, </w:t>
      </w:r>
      <w:r w:rsidRPr="0098792C">
        <w:rPr>
          <w:rFonts w:ascii="Palatino Linotype" w:eastAsia="Palatino Linotype" w:hAnsi="Palatino Linotype" w:cs="Palatino Linotype"/>
          <w:b/>
          <w:sz w:val="22"/>
          <w:szCs w:val="22"/>
        </w:rPr>
        <w:t>será a más tardar el martes 25 de febrero de 2025.</w:t>
      </w:r>
    </w:p>
    <w:p w14:paraId="51EBA21B" w14:textId="77777777" w:rsidR="00C55892" w:rsidRPr="0098792C" w:rsidRDefault="00C55892">
      <w:pPr>
        <w:spacing w:line="360" w:lineRule="auto"/>
        <w:ind w:right="51"/>
        <w:jc w:val="both"/>
        <w:rPr>
          <w:rFonts w:ascii="Palatino Linotype" w:eastAsia="Palatino Linotype" w:hAnsi="Palatino Linotype" w:cs="Palatino Linotype"/>
          <w:b/>
          <w:sz w:val="22"/>
          <w:szCs w:val="22"/>
        </w:rPr>
      </w:pPr>
    </w:p>
    <w:p w14:paraId="57B6D4C7" w14:textId="77777777" w:rsidR="00C55892" w:rsidRPr="0098792C" w:rsidRDefault="00297FA7">
      <w:pPr>
        <w:spacing w:line="360" w:lineRule="auto"/>
        <w:ind w:right="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Dicho Presupuesto contendrá lo siguiente:</w:t>
      </w:r>
    </w:p>
    <w:p w14:paraId="1C0DB082" w14:textId="77777777" w:rsidR="00C55892" w:rsidRPr="0098792C" w:rsidRDefault="00C55892">
      <w:pPr>
        <w:spacing w:line="360" w:lineRule="auto"/>
        <w:ind w:right="51"/>
        <w:jc w:val="both"/>
        <w:rPr>
          <w:rFonts w:ascii="Palatino Linotype" w:eastAsia="Palatino Linotype" w:hAnsi="Palatino Linotype" w:cs="Palatino Linotype"/>
          <w:b/>
          <w:sz w:val="22"/>
          <w:szCs w:val="22"/>
        </w:rPr>
      </w:pPr>
    </w:p>
    <w:p w14:paraId="54393960" w14:textId="77777777" w:rsidR="00C55892" w:rsidRPr="0098792C" w:rsidRDefault="00297FA7">
      <w:pPr>
        <w:spacing w:line="360" w:lineRule="auto"/>
        <w:ind w:right="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drawing>
          <wp:inline distT="0" distB="0" distL="0" distR="0" wp14:anchorId="3EEB1CCC" wp14:editId="5CBCA582">
            <wp:extent cx="5031276" cy="2718870"/>
            <wp:effectExtent l="0" t="0" r="0" b="0"/>
            <wp:docPr id="20832964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031276" cy="2718870"/>
                    </a:xfrm>
                    <a:prstGeom prst="rect">
                      <a:avLst/>
                    </a:prstGeom>
                    <a:ln/>
                  </pic:spPr>
                </pic:pic>
              </a:graphicData>
            </a:graphic>
          </wp:inline>
        </w:drawing>
      </w:r>
    </w:p>
    <w:p w14:paraId="325B0306" w14:textId="77777777" w:rsidR="00C55892" w:rsidRPr="0098792C" w:rsidRDefault="00C55892">
      <w:pPr>
        <w:spacing w:line="360" w:lineRule="auto"/>
        <w:ind w:right="51"/>
        <w:jc w:val="both"/>
        <w:rPr>
          <w:rFonts w:ascii="Palatino Linotype" w:eastAsia="Palatino Linotype" w:hAnsi="Palatino Linotype" w:cs="Palatino Linotype"/>
          <w:sz w:val="22"/>
          <w:szCs w:val="22"/>
        </w:rPr>
      </w:pPr>
    </w:p>
    <w:p w14:paraId="688FCD47" w14:textId="77777777" w:rsidR="00C55892" w:rsidRPr="0098792C" w:rsidRDefault="00297FA7">
      <w:pPr>
        <w:pBdr>
          <w:top w:val="nil"/>
          <w:left w:val="nil"/>
          <w:bottom w:val="nil"/>
          <w:right w:val="nil"/>
          <w:between w:val="nil"/>
        </w:pBdr>
        <w:spacing w:before="280" w:after="280" w:line="360" w:lineRule="auto"/>
        <w:ind w:right="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En armonía con lo anteriormente expuesto, el Manual para la Planeación, Programación y Presupuesto de Egresos Municipal para el Ejercicio Fiscal 2025, aplicable para las Dependencias Generales, Auxiliares y Organismos, contempla lo siguiente en lo tocante a la aprobación del presupuesto.</w:t>
      </w:r>
    </w:p>
    <w:p w14:paraId="6FC2FD4C"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lastRenderedPageBreak/>
        <w:drawing>
          <wp:inline distT="0" distB="0" distL="0" distR="0" wp14:anchorId="4C265F8A" wp14:editId="772C1FE0">
            <wp:extent cx="5612130" cy="2528570"/>
            <wp:effectExtent l="0" t="0" r="0" b="0"/>
            <wp:docPr id="20832964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2528570"/>
                    </a:xfrm>
                    <a:prstGeom prst="rect">
                      <a:avLst/>
                    </a:prstGeom>
                    <a:ln/>
                  </pic:spPr>
                </pic:pic>
              </a:graphicData>
            </a:graphic>
          </wp:inline>
        </w:drawing>
      </w:r>
    </w:p>
    <w:p w14:paraId="267C4B04"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3.2.1. Lineamientos para la integración del Programa Anual.</w:t>
      </w:r>
    </w:p>
    <w:p w14:paraId="09569C6B"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5ABB5EAE"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 Para la formulación del Programa Anual deberán ser llenados los formatos: PbRM-01a, PbRM-01b, PbRM-01c, PbRM-01d y PbRM-01e. </w:t>
      </w:r>
    </w:p>
    <w:p w14:paraId="612C20AF"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74EED3DB"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Para iniciar con el llenado de los formatos que integran el Programa Anual y el Anteproyecto de Presupuesto de Egresos se deberá llenar el formato PbRM-01a “Dimensión Administrativa del Gasto”, el cual tiene como propósito identificar a nivel de estructura administrativa los programas y proyectos de los cuales se responsabiliza cada una de las Dependencias y Organismos municipales.</w:t>
      </w:r>
    </w:p>
    <w:p w14:paraId="0942632F"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52E3C7D5"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este contexto se continua con el llenado del formato PbRM-01b “Descripción del Programa presupuestario”, mismo que tiene como propósito, identificar el diagnóstico del entorno de responsabilidad del programa respectivo para sustentar y justificar la asignación del presupuesto del ejercicio fiscal 2023, definir los objetivos que se pretenden alcanzar y establecer las estrategias que serán aplicadas para dar viabilidad al logro de dichos objetivos.</w:t>
      </w:r>
    </w:p>
    <w:p w14:paraId="07761458"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57F71EE7"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w:t>
      </w:r>
      <w:r w:rsidRPr="0098792C">
        <w:rPr>
          <w:rFonts w:ascii="Palatino Linotype" w:eastAsia="Palatino Linotype" w:hAnsi="Palatino Linotype" w:cs="Palatino Linotype"/>
          <w:i/>
          <w:sz w:val="22"/>
          <w:szCs w:val="22"/>
        </w:rPr>
        <w:lastRenderedPageBreak/>
        <w:t xml:space="preserve">deberá tener en cuenta la situación diagnóstica y los objetivos de cada programa y proyecto. Para apoyar este proceso se deben tomar en cuenta lo establecido en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 </w:t>
      </w:r>
    </w:p>
    <w:p w14:paraId="3E6960D4"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6BB487D8"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El formato PbRM-01d “Ficha técnica de diseño de indicadores estratégicos o de gestión 2023”,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14:paraId="07CC59B7"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459A78DA"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2023. 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14:paraId="521B25F3" w14:textId="77777777" w:rsidR="00C55892" w:rsidRPr="0098792C" w:rsidRDefault="00C55892">
      <w:pPr>
        <w:spacing w:line="276" w:lineRule="auto"/>
        <w:jc w:val="both"/>
        <w:rPr>
          <w:rFonts w:ascii="Palatino Linotype" w:eastAsia="Palatino Linotype" w:hAnsi="Palatino Linotype" w:cs="Palatino Linotype"/>
          <w:i/>
          <w:sz w:val="22"/>
          <w:szCs w:val="22"/>
        </w:rPr>
      </w:pPr>
    </w:p>
    <w:p w14:paraId="768BC48C" w14:textId="77777777" w:rsidR="00C55892" w:rsidRPr="0098792C" w:rsidRDefault="00297FA7">
      <w:pPr>
        <w:spacing w:line="276" w:lineRule="auto"/>
        <w:jc w:val="center"/>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noProof/>
          <w:sz w:val="22"/>
          <w:szCs w:val="22"/>
        </w:rPr>
        <w:lastRenderedPageBreak/>
        <w:drawing>
          <wp:inline distT="0" distB="0" distL="0" distR="0" wp14:anchorId="72CFC00B" wp14:editId="270766F3">
            <wp:extent cx="4829916" cy="2680554"/>
            <wp:effectExtent l="0" t="0" r="0" b="0"/>
            <wp:docPr id="20832964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829916" cy="2680554"/>
                    </a:xfrm>
                    <a:prstGeom prst="rect">
                      <a:avLst/>
                    </a:prstGeom>
                    <a:ln/>
                  </pic:spPr>
                </pic:pic>
              </a:graphicData>
            </a:graphic>
          </wp:inline>
        </w:drawing>
      </w:r>
    </w:p>
    <w:p w14:paraId="6B0036ED"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02481CE9"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3.4. Tercera Etapa: Presupuesto de Egresos Municipal. </w:t>
      </w:r>
    </w:p>
    <w:p w14:paraId="2389BF08"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w:t>
      </w:r>
      <w:proofErr w:type="gramStart"/>
      <w:r w:rsidRPr="0098792C">
        <w:rPr>
          <w:rFonts w:ascii="Palatino Linotype" w:eastAsia="Palatino Linotype" w:hAnsi="Palatino Linotype" w:cs="Palatino Linotype"/>
          <w:i/>
          <w:sz w:val="22"/>
          <w:szCs w:val="22"/>
        </w:rPr>
        <w:t>Presidente</w:t>
      </w:r>
      <w:proofErr w:type="gramEnd"/>
      <w:r w:rsidRPr="0098792C">
        <w:rPr>
          <w:rFonts w:ascii="Palatino Linotype" w:eastAsia="Palatino Linotype" w:hAnsi="Palatino Linotype" w:cs="Palatino Linotype"/>
          <w:i/>
          <w:sz w:val="22"/>
          <w:szCs w:val="22"/>
        </w:rPr>
        <w:t xml:space="preserv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sidRPr="0098792C">
        <w:rPr>
          <w:rFonts w:ascii="Calibri" w:eastAsia="Calibri" w:hAnsi="Calibri" w:cs="Calibri"/>
          <w:sz w:val="22"/>
          <w:szCs w:val="22"/>
        </w:rPr>
        <w:t xml:space="preserve"> </w:t>
      </w:r>
    </w:p>
    <w:p w14:paraId="76726C13"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1EA90167"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3.4.1. Formatos que integran el Presupuesto de Egresos aprobado</w:t>
      </w:r>
    </w:p>
    <w:p w14:paraId="54A7807E"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38F944D4"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p>
    <w:p w14:paraId="4DD257CD"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98792C">
        <w:rPr>
          <w:rFonts w:ascii="Palatino Linotype" w:eastAsia="Palatino Linotype" w:hAnsi="Palatino Linotype" w:cs="Palatino Linotype"/>
          <w:i/>
          <w:sz w:val="22"/>
          <w:szCs w:val="22"/>
        </w:rPr>
        <w:t>PbRM</w:t>
      </w:r>
      <w:proofErr w:type="spellEnd"/>
      <w:r w:rsidRPr="0098792C">
        <w:rPr>
          <w:rFonts w:ascii="Palatino Linotype" w:eastAsia="Palatino Linotype" w:hAnsi="Palatino Linotype" w:cs="Palatino Linotype"/>
          <w:i/>
          <w:sz w:val="22"/>
          <w:szCs w:val="22"/>
        </w:rPr>
        <w:t xml:space="preserve"> 01a y </w:t>
      </w:r>
      <w:proofErr w:type="spellStart"/>
      <w:r w:rsidRPr="0098792C">
        <w:rPr>
          <w:rFonts w:ascii="Palatino Linotype" w:eastAsia="Palatino Linotype" w:hAnsi="Palatino Linotype" w:cs="Palatino Linotype"/>
          <w:i/>
          <w:sz w:val="22"/>
          <w:szCs w:val="22"/>
        </w:rPr>
        <w:t>PbRM</w:t>
      </w:r>
      <w:proofErr w:type="spellEnd"/>
      <w:r w:rsidRPr="0098792C">
        <w:rPr>
          <w:rFonts w:ascii="Palatino Linotype" w:eastAsia="Palatino Linotype" w:hAnsi="Palatino Linotype" w:cs="Palatino Linotype"/>
          <w:i/>
          <w:sz w:val="22"/>
          <w:szCs w:val="22"/>
        </w:rPr>
        <w:t xml:space="preserve"> 01c. </w:t>
      </w:r>
    </w:p>
    <w:p w14:paraId="197F24B3" w14:textId="77777777" w:rsidR="00C55892" w:rsidRPr="0098792C" w:rsidRDefault="00C55892">
      <w:pPr>
        <w:spacing w:line="276" w:lineRule="auto"/>
        <w:ind w:left="851" w:right="902"/>
        <w:jc w:val="both"/>
        <w:rPr>
          <w:rFonts w:ascii="Palatino Linotype" w:eastAsia="Palatino Linotype" w:hAnsi="Palatino Linotype" w:cs="Palatino Linotype"/>
          <w:i/>
          <w:sz w:val="22"/>
          <w:szCs w:val="22"/>
        </w:rPr>
      </w:pPr>
    </w:p>
    <w:p w14:paraId="3DAF969B" w14:textId="77777777" w:rsidR="00C55892" w:rsidRPr="0098792C" w:rsidRDefault="00297FA7">
      <w:pPr>
        <w:spacing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lastRenderedPageBreak/>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w:t>
      </w:r>
    </w:p>
    <w:p w14:paraId="14319F43" w14:textId="77777777" w:rsidR="00C55892" w:rsidRPr="0098792C" w:rsidRDefault="00C55892">
      <w:pPr>
        <w:spacing w:line="276" w:lineRule="auto"/>
        <w:ind w:right="902"/>
        <w:jc w:val="both"/>
        <w:rPr>
          <w:rFonts w:ascii="Palatino Linotype" w:eastAsia="Palatino Linotype" w:hAnsi="Palatino Linotype" w:cs="Palatino Linotype"/>
          <w:i/>
          <w:sz w:val="22"/>
          <w:szCs w:val="22"/>
        </w:rPr>
      </w:pPr>
    </w:p>
    <w:p w14:paraId="4EB796D8"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Conforme a lo anterior, se abordan a la conclusión de que el Presupuesto de Egresos Municipal se promulga y publica a más tardar el 25 de febrero de cada año y la solicitud ingresó al SAIMEX, el </w:t>
      </w:r>
      <w:r w:rsidRPr="0098792C">
        <w:rPr>
          <w:rFonts w:ascii="Palatino Linotype" w:eastAsia="Palatino Linotype" w:hAnsi="Palatino Linotype" w:cs="Palatino Linotype"/>
          <w:b/>
          <w:sz w:val="22"/>
          <w:szCs w:val="22"/>
        </w:rPr>
        <w:t>veintisiete de enero de dos mil veinticinco</w:t>
      </w:r>
      <w:r w:rsidRPr="0098792C">
        <w:rPr>
          <w:rFonts w:ascii="Palatino Linotype" w:eastAsia="Palatino Linotype" w:hAnsi="Palatino Linotype" w:cs="Palatino Linotype"/>
          <w:sz w:val="22"/>
          <w:szCs w:val="22"/>
        </w:rPr>
        <w:t xml:space="preserve">, tenemos </w:t>
      </w:r>
      <w:proofErr w:type="gramStart"/>
      <w:r w:rsidRPr="0098792C">
        <w:rPr>
          <w:rFonts w:ascii="Palatino Linotype" w:eastAsia="Palatino Linotype" w:hAnsi="Palatino Linotype" w:cs="Palatino Linotype"/>
          <w:sz w:val="22"/>
          <w:szCs w:val="22"/>
        </w:rPr>
        <w:t>que</w:t>
      </w:r>
      <w:proofErr w:type="gramEnd"/>
      <w:r w:rsidRPr="0098792C">
        <w:rPr>
          <w:rFonts w:ascii="Palatino Linotype" w:eastAsia="Palatino Linotype" w:hAnsi="Palatino Linotype" w:cs="Palatino Linotype"/>
          <w:sz w:val="22"/>
          <w:szCs w:val="22"/>
        </w:rPr>
        <w:t xml:space="preserve"> a la fecha de la solicitud, se encontraba en proceso de la integración de la información, por lo que se tiene por satisfecho este punto de la solicitud.</w:t>
      </w:r>
    </w:p>
    <w:p w14:paraId="7422BD93"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73CF99D3" w14:textId="77777777" w:rsidR="00C55892" w:rsidRPr="0098792C" w:rsidRDefault="00297FA7">
      <w:pPr>
        <w:shd w:val="clear" w:color="auto" w:fill="EEECE1"/>
        <w:spacing w:line="360" w:lineRule="auto"/>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8. El presupuesto de FORTAMUN y como se aplica en los últimos 5 años incluyendo 2025</w:t>
      </w:r>
    </w:p>
    <w:p w14:paraId="7E4D235E"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7052C6C1"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Finalmente, en lo tocante a este punto de la solicitud,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presentó una tabla donde se aprecia el </w:t>
      </w:r>
      <w:r w:rsidRPr="0098792C">
        <w:rPr>
          <w:rFonts w:ascii="Palatino Linotype" w:eastAsia="Palatino Linotype" w:hAnsi="Palatino Linotype" w:cs="Palatino Linotype"/>
          <w:b/>
          <w:sz w:val="22"/>
          <w:szCs w:val="22"/>
        </w:rPr>
        <w:t>monto ejercido</w:t>
      </w:r>
      <w:r w:rsidRPr="0098792C">
        <w:rPr>
          <w:rFonts w:ascii="Palatino Linotype" w:eastAsia="Palatino Linotype" w:hAnsi="Palatino Linotype" w:cs="Palatino Linotype"/>
          <w:sz w:val="22"/>
          <w:szCs w:val="22"/>
        </w:rPr>
        <w:t xml:space="preserve"> del presupuesto FORTAMUN, tal como se observa en la siguiente impresión de pantalla:</w:t>
      </w:r>
    </w:p>
    <w:p w14:paraId="329FD2D3"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867B41B" w14:textId="77777777" w:rsidR="00C55892" w:rsidRPr="0098792C" w:rsidRDefault="00297FA7">
      <w:pPr>
        <w:spacing w:line="360" w:lineRule="auto"/>
        <w:jc w:val="center"/>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lastRenderedPageBreak/>
        <w:drawing>
          <wp:inline distT="0" distB="0" distL="0" distR="0" wp14:anchorId="620542FB" wp14:editId="7EE774B1">
            <wp:extent cx="3237527" cy="4354214"/>
            <wp:effectExtent l="0" t="0" r="0" b="0"/>
            <wp:docPr id="20832964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237527" cy="4354214"/>
                    </a:xfrm>
                    <a:prstGeom prst="rect">
                      <a:avLst/>
                    </a:prstGeom>
                    <a:ln/>
                  </pic:spPr>
                </pic:pic>
              </a:graphicData>
            </a:graphic>
          </wp:inline>
        </w:drawing>
      </w:r>
    </w:p>
    <w:p w14:paraId="7D754646" w14:textId="77777777" w:rsidR="00C55892" w:rsidRPr="0098792C" w:rsidRDefault="00C55892">
      <w:pPr>
        <w:spacing w:line="360" w:lineRule="auto"/>
        <w:rPr>
          <w:rFonts w:ascii="Palatino Linotype" w:eastAsia="Palatino Linotype" w:hAnsi="Palatino Linotype" w:cs="Palatino Linotype"/>
          <w:sz w:val="22"/>
          <w:szCs w:val="22"/>
        </w:rPr>
      </w:pPr>
    </w:p>
    <w:p w14:paraId="1715DCCD"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No </w:t>
      </w:r>
      <w:proofErr w:type="gramStart"/>
      <w:r w:rsidRPr="0098792C">
        <w:rPr>
          <w:rFonts w:ascii="Palatino Linotype" w:eastAsia="Palatino Linotype" w:hAnsi="Palatino Linotype" w:cs="Palatino Linotype"/>
          <w:sz w:val="22"/>
          <w:szCs w:val="22"/>
        </w:rPr>
        <w:t>obstante</w:t>
      </w:r>
      <w:proofErr w:type="gramEnd"/>
      <w:r w:rsidRPr="0098792C">
        <w:rPr>
          <w:rFonts w:ascii="Palatino Linotype" w:eastAsia="Palatino Linotype" w:hAnsi="Palatino Linotype" w:cs="Palatino Linotype"/>
          <w:sz w:val="22"/>
          <w:szCs w:val="22"/>
        </w:rPr>
        <w:t xml:space="preserve"> lo anterior, tenemos que el requerimiento de información versa sobre el presupuesto asignado, no así sobre el ejercido, por consiguiente, se estima que la respuesta proporcionada no agotó los principios de congruencia y exhaustividad, sirviendo de apoyo el criterio orientador con clave de control SO/002/2017, emitido por el entonces Instituto Nacional de Transparencia, Acceso a la Información y Protección de Datos Personales, que señala lo siguiente:</w:t>
      </w:r>
    </w:p>
    <w:p w14:paraId="3CC45135" w14:textId="77777777" w:rsidR="00C55892" w:rsidRPr="0098792C" w:rsidRDefault="00297FA7">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98792C">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w:t>
      </w:r>
      <w:r w:rsidRPr="0098792C">
        <w:rPr>
          <w:rFonts w:ascii="Palatino Linotype" w:eastAsia="Palatino Linotype" w:hAnsi="Palatino Linotype" w:cs="Palatino Linotype"/>
          <w:i/>
          <w:sz w:val="22"/>
          <w:szCs w:val="22"/>
        </w:rPr>
        <w:lastRenderedPageBreak/>
        <w:t>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26C2296"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1977C783"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En tal tesitura, el Acuerdo por el que se dan a conocer las variables, la fórmula, metodología, distribución y el calendario de las asignaciones por municipio que corresponden al fondo de aportaciones para el fortalecimiento de los municipios y de las demarcaciones territoriales del distrito federal (FORTAMUN) para cada ejercicio fiscal, publicado en el Periódico Oficial "Gaceta de Gobierno”, de manera enunciativa más no limitativa contempla el monto que se destina a cada municipio por concepto de este fondo, por lo tanto para dar cumplimiento a este punto, deberá entregarse el monto destinado al Ayuntamiento de Toluca de los años 2020-2024.</w:t>
      </w:r>
    </w:p>
    <w:p w14:paraId="232D9919"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275729E0"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Bajo otro orden de ideas, sobre el presupuesto de FORTAMUN del ejercicio fiscal 2025, este Instituto advirtió que el Acuerdo en comento se emitió el 31 de enero de 2025, es decir, de manera previa a la fecha de la solicitud de información: </w:t>
      </w:r>
    </w:p>
    <w:p w14:paraId="55EE4F64"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2688113"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noProof/>
          <w:sz w:val="22"/>
          <w:szCs w:val="22"/>
        </w:rPr>
        <w:lastRenderedPageBreak/>
        <w:drawing>
          <wp:inline distT="0" distB="0" distL="0" distR="0" wp14:anchorId="10749E85" wp14:editId="64F1FD4D">
            <wp:extent cx="5612130" cy="2068830"/>
            <wp:effectExtent l="0" t="0" r="0" b="0"/>
            <wp:docPr id="20832964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2130" cy="2068830"/>
                    </a:xfrm>
                    <a:prstGeom prst="rect">
                      <a:avLst/>
                    </a:prstGeom>
                    <a:ln/>
                  </pic:spPr>
                </pic:pic>
              </a:graphicData>
            </a:graphic>
          </wp:inline>
        </w:drawing>
      </w:r>
    </w:p>
    <w:p w14:paraId="6E2C9642"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En consecuencia, a la fecha de la solicitud, es dable afirmar que ya se cuentan con los montos de las asignaciones realizadas al municipio de Toluca por el FORTAMUN para los años 2020, 2021, 2022, 2023, 2024 y 2025, por lo que procede ordenar su entrega.</w:t>
      </w:r>
    </w:p>
    <w:p w14:paraId="3F8D5272"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2BA0AB9E"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Por otro lado, respecto a la aplicación de los recursos del FORTAMUN, los Lineamientos Generales de Operación del Fondo de Aportaciones para la Infraestructura Social Municipal y de las Demarcaciones Territoriales del Distrito Federal (FAISMUN) y del Fondo de Aportaciones para el Fortalecimiento de los Municipios y de las Demarcaciones Territoriales Del Distrito Federal (FORTAMUN), establece lo siguiente:</w:t>
      </w:r>
    </w:p>
    <w:p w14:paraId="4DE49BD2"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563AB5CF" w14:textId="77777777" w:rsidR="00C55892" w:rsidRPr="0098792C" w:rsidRDefault="00297FA7">
      <w:pPr>
        <w:spacing w:line="276" w:lineRule="auto"/>
        <w:ind w:left="567"/>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“5.2 INFORMES TRIMESTRALES </w:t>
      </w:r>
    </w:p>
    <w:p w14:paraId="255D9CF8" w14:textId="77777777" w:rsidR="00C55892" w:rsidRPr="0098792C" w:rsidRDefault="00297FA7">
      <w:pPr>
        <w:spacing w:line="276" w:lineRule="auto"/>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De conformidad con lo establecido en los artículos 48 y 49 de la Ley de Coordinación Fiscal; 85 y 110 de la Ley Federal de  Presupuesto y Responsabilidad Hacendaria; y 75 de la Ley General de Contabilidad Gubernamental; así como en el  Presupuesto de Egresos de la Federación para el Ejercicio Fiscal correspondiente; y en los Lineamientos para Informar  sobre los Recursos Federales Transferidos a las Entidades Federativas, Municipios y Demarcaciones Territoriales del Distrito  Federal y de Operación de los Recursos del Ramo General 33, el estado y los municipios enviarán al Ejecutivo Federal, por  conducto de la SHCP, informes sobre el ejercicio y destino de los recursos del FAISMUN y FORTAMUN, a más tardar dentro  de los 15 días naturales posteriores a la terminación de cada trimestre.”</w:t>
      </w:r>
    </w:p>
    <w:p w14:paraId="135B969C"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BADA135"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lastRenderedPageBreak/>
        <w:t>En tal virtud, a juicio de este Organismo Garante, los soportes documentales que pueden dar cuenta de la manera en la que se aplican los recursos del FORTAMUN, constan en los informes trimestrales, por lo que resulta pertinente ordenar su entrega únicamente por cuanto hace a los años 2020-2024, en razón de que a la fecha de la solicitud no ha transcurrido el primer trimestre de 2025, lo cual implicaría ordenar información de hechos futuros; por lo que no es procedente que los sujetos obligados proporcionen dicha información; siendo aplicable la tesis con número de registro digital 209001</w:t>
      </w:r>
      <w:r w:rsidRPr="0098792C">
        <w:rPr>
          <w:rFonts w:ascii="Palatino Linotype" w:eastAsia="Palatino Linotype" w:hAnsi="Palatino Linotype" w:cs="Palatino Linotype"/>
          <w:sz w:val="22"/>
          <w:szCs w:val="22"/>
          <w:vertAlign w:val="superscript"/>
        </w:rPr>
        <w:footnoteReference w:id="1"/>
      </w:r>
      <w:r w:rsidRPr="0098792C">
        <w:rPr>
          <w:rFonts w:ascii="Palatino Linotype" w:eastAsia="Palatino Linotype" w:hAnsi="Palatino Linotype" w:cs="Palatino Linotype"/>
          <w:sz w:val="22"/>
          <w:szCs w:val="22"/>
        </w:rPr>
        <w:t xml:space="preserve"> emitida por el Poder Judicial de la Federación, que dispone lo siguiente:</w:t>
      </w:r>
    </w:p>
    <w:p w14:paraId="0F0E537C"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33A57EBC" w14:textId="77777777" w:rsidR="00C55892" w:rsidRPr="0098792C" w:rsidRDefault="00297FA7">
      <w:pPr>
        <w:pBdr>
          <w:top w:val="nil"/>
          <w:left w:val="nil"/>
          <w:bottom w:val="nil"/>
          <w:right w:val="nil"/>
          <w:between w:val="nil"/>
        </w:pBdr>
        <w:ind w:left="567" w:right="426"/>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ACTOS FUTUROS DE REALIZACION INCIERTA. NO PROCEDE EL JUICIO DE AMPARO CONTRA LOS.</w:t>
      </w:r>
    </w:p>
    <w:p w14:paraId="6EFBBF19" w14:textId="77777777" w:rsidR="00C55892" w:rsidRPr="0098792C" w:rsidRDefault="00297FA7">
      <w:pPr>
        <w:pBdr>
          <w:top w:val="nil"/>
          <w:left w:val="nil"/>
          <w:bottom w:val="nil"/>
          <w:right w:val="nil"/>
          <w:between w:val="nil"/>
        </w:pBdr>
        <w:ind w:left="567" w:right="42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Contra actos futuros de realización incierta no procede el juicio de garantías.</w:t>
      </w:r>
    </w:p>
    <w:p w14:paraId="4ADF02E4" w14:textId="77777777" w:rsidR="00C55892" w:rsidRPr="0098792C" w:rsidRDefault="00C55892">
      <w:pPr>
        <w:ind w:left="567" w:right="426"/>
        <w:jc w:val="both"/>
        <w:rPr>
          <w:rFonts w:ascii="Palatino Linotype" w:eastAsia="Palatino Linotype" w:hAnsi="Palatino Linotype" w:cs="Palatino Linotype"/>
          <w:i/>
          <w:sz w:val="22"/>
          <w:szCs w:val="22"/>
        </w:rPr>
      </w:pPr>
    </w:p>
    <w:p w14:paraId="687EB260" w14:textId="77777777" w:rsidR="00C55892" w:rsidRPr="0098792C" w:rsidRDefault="00297FA7">
      <w:pPr>
        <w:ind w:left="567" w:right="426"/>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5F8E0D00" w14:textId="77777777" w:rsidR="00C55892" w:rsidRPr="0098792C" w:rsidRDefault="00C55892">
      <w:pPr>
        <w:spacing w:line="360" w:lineRule="auto"/>
        <w:jc w:val="both"/>
        <w:rPr>
          <w:rFonts w:ascii="Palatino Linotype" w:eastAsia="Palatino Linotype" w:hAnsi="Palatino Linotype" w:cs="Palatino Linotype"/>
          <w:sz w:val="22"/>
          <w:szCs w:val="22"/>
        </w:rPr>
      </w:pPr>
    </w:p>
    <w:p w14:paraId="6795AA11" w14:textId="77777777" w:rsidR="00C55892" w:rsidRPr="0098792C" w:rsidRDefault="00297FA7">
      <w:pPr>
        <w:spacing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En tal tesitura de lo expuesto a lo largo de estas líneas administrativas es que este Organismo Garante determina pertinente </w:t>
      </w:r>
      <w:r w:rsidRPr="0098792C">
        <w:rPr>
          <w:rFonts w:ascii="Palatino Linotype" w:eastAsia="Palatino Linotype" w:hAnsi="Palatino Linotype" w:cs="Palatino Linotype"/>
          <w:b/>
          <w:sz w:val="22"/>
          <w:szCs w:val="22"/>
        </w:rPr>
        <w:t>MODIFICAR</w:t>
      </w:r>
      <w:r w:rsidRPr="0098792C">
        <w:rPr>
          <w:rFonts w:ascii="Palatino Linotype" w:eastAsia="Palatino Linotype" w:hAnsi="Palatino Linotype" w:cs="Palatino Linotype"/>
          <w:sz w:val="22"/>
          <w:szCs w:val="22"/>
        </w:rPr>
        <w:t xml:space="preserve"> la respuesta y ordenar la entrega de la siguiente información</w:t>
      </w:r>
      <w:r w:rsidRPr="0098792C">
        <w:rPr>
          <w:rFonts w:ascii="Palatino Linotype" w:eastAsia="Palatino Linotype" w:hAnsi="Palatino Linotype" w:cs="Palatino Linotype"/>
          <w:b/>
          <w:sz w:val="22"/>
          <w:szCs w:val="22"/>
        </w:rPr>
        <w:t>, en versión pública de ser procedente</w:t>
      </w:r>
      <w:r w:rsidRPr="0098792C">
        <w:rPr>
          <w:rFonts w:ascii="Palatino Linotype" w:eastAsia="Palatino Linotype" w:hAnsi="Palatino Linotype" w:cs="Palatino Linotype"/>
          <w:sz w:val="22"/>
          <w:szCs w:val="22"/>
        </w:rPr>
        <w:t>, conforme al considerando quinto:</w:t>
      </w:r>
    </w:p>
    <w:p w14:paraId="73AA2BAF" w14:textId="77777777" w:rsidR="00C55892" w:rsidRPr="0098792C" w:rsidRDefault="00297FA7">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Número de patrullas, elementos policiales y cuadrantes con los que cuente al veinticinco de febrero de dos mil veinticinco.</w:t>
      </w:r>
    </w:p>
    <w:p w14:paraId="625ACCC9" w14:textId="77777777" w:rsidR="00C55892" w:rsidRPr="0098792C" w:rsidRDefault="00297FA7">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El índice de seguridad generado en el último trimestre de 2024, así como del 01 de enero al 25 de febrero de 2025.</w:t>
      </w:r>
    </w:p>
    <w:p w14:paraId="506F30BB" w14:textId="77777777" w:rsidR="00C55892" w:rsidRPr="0098792C" w:rsidRDefault="00297FA7">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Resultados de los operativos realizados del 25 de febrero de 2024 al 25 de febrero de 2025.</w:t>
      </w:r>
    </w:p>
    <w:p w14:paraId="54AD5D7C" w14:textId="77777777" w:rsidR="00C55892" w:rsidRPr="0098792C" w:rsidRDefault="00297FA7">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lastRenderedPageBreak/>
        <w:t>Número de motos y vehículos puestos a disposición del ministerio público, del 25 de febrero de 2024 al 25 de febrero de 2025.</w:t>
      </w:r>
    </w:p>
    <w:p w14:paraId="19E838F0" w14:textId="77777777" w:rsidR="00C55892" w:rsidRPr="0098792C" w:rsidRDefault="00297FA7">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Monto de las asignaciones del FORTAMUN, contempladas para el municipio de Toluca para los años 2020, 2021, 2022, 2023, 2024 y 2025.</w:t>
      </w:r>
    </w:p>
    <w:p w14:paraId="7CDD0F53" w14:textId="77777777" w:rsidR="00C55892" w:rsidRPr="0098792C" w:rsidRDefault="00297FA7">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Informes trimestrales generados para dar cuenta de la aplicación de los recursos asignados del FORTAMUN, de los años 2020, 2021, 2022, 2023 y 2024.</w:t>
      </w:r>
    </w:p>
    <w:p w14:paraId="47A1CF93" w14:textId="77777777" w:rsidR="00C55892" w:rsidRPr="0098792C" w:rsidRDefault="00297FA7">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El Acuerdo de clasificación emitido por el Comité de Transparencia, en donde de manera debidamente fundada y motivada, a través de una prueba de daño, confirme la clasificación como reservada, en términos del artículo 140 de la Ley de Transparencia y Acceso a la Información Pública del Estado de México y Municipios, de la siguiente información:</w:t>
      </w:r>
    </w:p>
    <w:p w14:paraId="25A50DF3" w14:textId="77777777" w:rsidR="00C55892" w:rsidRPr="0098792C" w:rsidRDefault="00297FA7">
      <w:pPr>
        <w:numPr>
          <w:ilvl w:val="0"/>
          <w:numId w:val="4"/>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Informe Policial Homologado de las detenciones realizadas del 25 de febrero de 2024 al 25 de febrero de 2025.</w:t>
      </w:r>
    </w:p>
    <w:p w14:paraId="4814EB0F" w14:textId="77777777" w:rsidR="00C55892" w:rsidRPr="0098792C" w:rsidRDefault="00297FA7">
      <w:pPr>
        <w:numPr>
          <w:ilvl w:val="0"/>
          <w:numId w:val="4"/>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Estrategias de seguridad, implementadas del 25 de febrero de 2024 al 25 de febrero de 2025.</w:t>
      </w:r>
    </w:p>
    <w:p w14:paraId="658A78BC" w14:textId="77777777" w:rsidR="00C55892" w:rsidRPr="0098792C" w:rsidRDefault="00297FA7">
      <w:pPr>
        <w:pBdr>
          <w:top w:val="nil"/>
          <w:left w:val="nil"/>
          <w:bottom w:val="nil"/>
          <w:right w:val="nil"/>
          <w:between w:val="nil"/>
        </w:pBdr>
        <w:spacing w:before="240" w:after="240" w:line="360" w:lineRule="auto"/>
        <w:ind w:right="49"/>
        <w:jc w:val="both"/>
        <w:rPr>
          <w:sz w:val="22"/>
          <w:szCs w:val="22"/>
        </w:rPr>
      </w:pPr>
      <w:bookmarkStart w:id="11" w:name="_heading=h.ijv98pntcd5s" w:colFirst="0" w:colLast="0"/>
      <w:bookmarkEnd w:id="11"/>
      <w:r w:rsidRPr="0098792C">
        <w:rPr>
          <w:rFonts w:ascii="Palatino Linotype" w:eastAsia="Palatino Linotype" w:hAnsi="Palatino Linotype" w:cs="Palatino Linotype"/>
          <w:b/>
          <w:sz w:val="22"/>
          <w:szCs w:val="22"/>
        </w:rPr>
        <w:t xml:space="preserve">Quinto. Versión Pública. </w:t>
      </w:r>
      <w:r w:rsidRPr="0098792C">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98792C">
        <w:rPr>
          <w:rFonts w:ascii="Palatino Linotype" w:eastAsia="Palatino Linotype" w:hAnsi="Palatino Linotype" w:cs="Palatino Linotype"/>
          <w:b/>
          <w:sz w:val="22"/>
          <w:szCs w:val="22"/>
        </w:rPr>
        <w:t>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 xml:space="preserve"> sin menoscabar el derecho a la protección de los datos personales de terceros.</w:t>
      </w:r>
    </w:p>
    <w:p w14:paraId="0C46BFC8" w14:textId="77777777" w:rsidR="00C55892" w:rsidRPr="0098792C" w:rsidRDefault="00297FA7">
      <w:pPr>
        <w:pBdr>
          <w:top w:val="nil"/>
          <w:left w:val="nil"/>
          <w:bottom w:val="nil"/>
          <w:right w:val="nil"/>
          <w:between w:val="nil"/>
        </w:pBdr>
        <w:spacing w:before="240" w:after="240" w:line="360" w:lineRule="auto"/>
        <w:ind w:right="49"/>
        <w:jc w:val="both"/>
        <w:rPr>
          <w:sz w:val="22"/>
          <w:szCs w:val="22"/>
        </w:rPr>
      </w:pPr>
      <w:r w:rsidRPr="0098792C">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11381C53"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 “Artículo 3. Para los efectos de la presente Ley se entenderá por:</w:t>
      </w:r>
    </w:p>
    <w:p w14:paraId="30A34643"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lastRenderedPageBreak/>
        <w:t>IX. Datos personales:</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rPr>
        <w:t>La información concerniente a una persona, identificada o identificable</w:t>
      </w:r>
      <w:r w:rsidRPr="0098792C">
        <w:rPr>
          <w:rFonts w:ascii="Palatino Linotype" w:eastAsia="Palatino Linotype" w:hAnsi="Palatino Linotype" w:cs="Palatino Linotype"/>
          <w:i/>
          <w:sz w:val="22"/>
          <w:szCs w:val="22"/>
        </w:rPr>
        <w:t xml:space="preserve"> según lo dispuesto por la Ley de Protección de Datos Personales del Estado de México;</w:t>
      </w:r>
    </w:p>
    <w:p w14:paraId="02CB5554"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XX. Información clasificada:</w:t>
      </w:r>
      <w:r w:rsidRPr="0098792C">
        <w:rPr>
          <w:rFonts w:ascii="Palatino Linotype" w:eastAsia="Palatino Linotype" w:hAnsi="Palatino Linotype" w:cs="Palatino Linotype"/>
          <w:i/>
          <w:sz w:val="22"/>
          <w:szCs w:val="22"/>
        </w:rPr>
        <w:t xml:space="preserve"> Aquella considerada por la presente Ley como reservada o confidencial;</w:t>
      </w:r>
    </w:p>
    <w:p w14:paraId="4D953AF3"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XXXII. Protección de Datos Personales:</w:t>
      </w:r>
      <w:r w:rsidRPr="0098792C">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1036866"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XLV. Versión pública</w:t>
      </w:r>
      <w:r w:rsidRPr="0098792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AC90605" w14:textId="77777777" w:rsidR="00C55892" w:rsidRPr="0098792C" w:rsidRDefault="00C55892">
      <w:pPr>
        <w:spacing w:line="276" w:lineRule="auto"/>
        <w:ind w:left="567" w:right="900"/>
        <w:jc w:val="both"/>
        <w:rPr>
          <w:sz w:val="22"/>
          <w:szCs w:val="22"/>
        </w:rPr>
      </w:pPr>
    </w:p>
    <w:p w14:paraId="7CF8B61E"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“Artículo 6.</w:t>
      </w:r>
      <w:r w:rsidRPr="0098792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C6FA7F7" w14:textId="77777777" w:rsidR="00C55892" w:rsidRPr="0098792C" w:rsidRDefault="00C55892">
      <w:pPr>
        <w:spacing w:line="276" w:lineRule="auto"/>
        <w:ind w:left="567" w:right="900"/>
        <w:jc w:val="both"/>
        <w:rPr>
          <w:sz w:val="22"/>
          <w:szCs w:val="22"/>
        </w:rPr>
      </w:pPr>
    </w:p>
    <w:p w14:paraId="128B8D5E"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“Artículo 137.</w:t>
      </w:r>
      <w:r w:rsidRPr="0098792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EBB1283" w14:textId="77777777" w:rsidR="00C55892" w:rsidRPr="0098792C" w:rsidRDefault="00C55892">
      <w:pPr>
        <w:spacing w:line="276" w:lineRule="auto"/>
        <w:jc w:val="both"/>
        <w:rPr>
          <w:sz w:val="22"/>
          <w:szCs w:val="22"/>
        </w:rPr>
      </w:pPr>
    </w:p>
    <w:p w14:paraId="39C1EA61"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“Artículo 143</w:t>
      </w:r>
      <w:r w:rsidRPr="0098792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F496D51"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I.</w:t>
      </w:r>
      <w:r w:rsidRPr="0098792C">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EF3B3B7"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6422D8E"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33DA4B4C" w14:textId="77777777" w:rsidR="00C55892" w:rsidRPr="0098792C" w:rsidRDefault="00C55892">
      <w:pPr>
        <w:spacing w:line="360" w:lineRule="auto"/>
        <w:jc w:val="both"/>
        <w:rPr>
          <w:sz w:val="22"/>
          <w:szCs w:val="22"/>
        </w:rPr>
      </w:pPr>
    </w:p>
    <w:p w14:paraId="58876A9D" w14:textId="77777777" w:rsidR="00C55892" w:rsidRPr="0098792C" w:rsidRDefault="00297FA7">
      <w:pPr>
        <w:pBdr>
          <w:top w:val="nil"/>
          <w:left w:val="nil"/>
          <w:bottom w:val="nil"/>
          <w:right w:val="nil"/>
          <w:between w:val="nil"/>
        </w:pBdr>
        <w:spacing w:line="360" w:lineRule="auto"/>
        <w:ind w:right="51"/>
        <w:jc w:val="both"/>
        <w:rPr>
          <w:sz w:val="22"/>
          <w:szCs w:val="22"/>
        </w:rPr>
      </w:pPr>
      <w:r w:rsidRPr="0098792C">
        <w:rPr>
          <w:rFonts w:ascii="Palatino Linotype" w:eastAsia="Palatino Linotype" w:hAnsi="Palatino Linotype" w:cs="Palatino Linotype"/>
          <w:sz w:val="22"/>
          <w:szCs w:val="22"/>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98792C">
        <w:rPr>
          <w:rFonts w:ascii="Palatino Linotype" w:eastAsia="Palatino Linotype" w:hAnsi="Palatino Linotype" w:cs="Palatino Linotype"/>
          <w:b/>
          <w:sz w:val="22"/>
          <w:szCs w:val="22"/>
        </w:rPr>
        <w:t>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E11F83A" w14:textId="77777777" w:rsidR="00C55892" w:rsidRPr="0098792C" w:rsidRDefault="00C55892">
      <w:pPr>
        <w:spacing w:line="360" w:lineRule="auto"/>
        <w:jc w:val="both"/>
        <w:rPr>
          <w:sz w:val="22"/>
          <w:szCs w:val="22"/>
        </w:rPr>
      </w:pPr>
    </w:p>
    <w:p w14:paraId="726CB830" w14:textId="77777777" w:rsidR="00C55892" w:rsidRPr="0098792C" w:rsidRDefault="00297FA7">
      <w:pPr>
        <w:pBdr>
          <w:top w:val="nil"/>
          <w:left w:val="nil"/>
          <w:bottom w:val="nil"/>
          <w:right w:val="nil"/>
          <w:between w:val="nil"/>
        </w:pBdr>
        <w:spacing w:line="360" w:lineRule="auto"/>
        <w:ind w:right="50"/>
        <w:jc w:val="both"/>
        <w:rPr>
          <w:sz w:val="22"/>
          <w:szCs w:val="22"/>
        </w:rPr>
      </w:pPr>
      <w:r w:rsidRPr="0098792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FE2F196" w14:textId="77777777" w:rsidR="00C55892" w:rsidRPr="0098792C" w:rsidRDefault="00C55892">
      <w:pPr>
        <w:spacing w:line="360" w:lineRule="auto"/>
        <w:jc w:val="both"/>
        <w:rPr>
          <w:sz w:val="22"/>
          <w:szCs w:val="22"/>
        </w:rPr>
      </w:pPr>
    </w:p>
    <w:p w14:paraId="505AF3EA" w14:textId="77777777" w:rsidR="00C55892" w:rsidRPr="0098792C" w:rsidRDefault="00297FA7">
      <w:pPr>
        <w:pBdr>
          <w:top w:val="nil"/>
          <w:left w:val="nil"/>
          <w:bottom w:val="nil"/>
          <w:right w:val="nil"/>
          <w:between w:val="nil"/>
        </w:pBdr>
        <w:spacing w:line="360" w:lineRule="auto"/>
        <w:ind w:right="51"/>
        <w:jc w:val="both"/>
        <w:rPr>
          <w:sz w:val="22"/>
          <w:szCs w:val="22"/>
        </w:rPr>
      </w:pPr>
      <w:r w:rsidRPr="0098792C">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w:t>
      </w:r>
      <w:proofErr w:type="gramStart"/>
      <w:r w:rsidRPr="0098792C">
        <w:rPr>
          <w:rFonts w:ascii="Palatino Linotype" w:eastAsia="Palatino Linotype" w:hAnsi="Palatino Linotype" w:cs="Palatino Linotype"/>
          <w:sz w:val="22"/>
          <w:szCs w:val="22"/>
        </w:rPr>
        <w:t>Responsable</w:t>
      </w:r>
      <w:proofErr w:type="gramEnd"/>
      <w:r w:rsidRPr="0098792C">
        <w:rPr>
          <w:rFonts w:ascii="Palatino Linotype" w:eastAsia="Palatino Linotype" w:hAnsi="Palatino Linotype" w:cs="Palatino Linotype"/>
          <w:sz w:val="22"/>
          <w:szCs w:val="22"/>
        </w:rPr>
        <w:t xml:space="preserve"> de la Unidad de Transparencia del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4C4C2B7A" w14:textId="77777777" w:rsidR="00C55892" w:rsidRPr="0098792C" w:rsidRDefault="00C55892">
      <w:pPr>
        <w:spacing w:line="360" w:lineRule="auto"/>
        <w:jc w:val="both"/>
        <w:rPr>
          <w:sz w:val="22"/>
          <w:szCs w:val="22"/>
        </w:rPr>
      </w:pPr>
    </w:p>
    <w:p w14:paraId="212CCE80"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“Artículo 49.</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rPr>
        <w:t>Los Comités de Transparencia</w:t>
      </w:r>
      <w:r w:rsidRPr="0098792C">
        <w:rPr>
          <w:rFonts w:ascii="Palatino Linotype" w:eastAsia="Palatino Linotype" w:hAnsi="Palatino Linotype" w:cs="Palatino Linotype"/>
          <w:i/>
          <w:sz w:val="22"/>
          <w:szCs w:val="22"/>
        </w:rPr>
        <w:t xml:space="preserve"> tendrán las siguientes atribuciones:</w:t>
      </w:r>
    </w:p>
    <w:p w14:paraId="4EFABC8C"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VIII. Aprobar, modificar o revocar la clasificación de la información</w:t>
      </w:r>
      <w:r w:rsidRPr="0098792C">
        <w:rPr>
          <w:rFonts w:ascii="Palatino Linotype" w:eastAsia="Palatino Linotype" w:hAnsi="Palatino Linotype" w:cs="Palatino Linotype"/>
          <w:i/>
          <w:sz w:val="22"/>
          <w:szCs w:val="22"/>
        </w:rPr>
        <w:t>…”</w:t>
      </w:r>
    </w:p>
    <w:p w14:paraId="04201B9B"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53.</w:t>
      </w:r>
      <w:r w:rsidRPr="0098792C">
        <w:rPr>
          <w:rFonts w:ascii="Palatino Linotype" w:eastAsia="Palatino Linotype" w:hAnsi="Palatino Linotype" w:cs="Palatino Linotype"/>
          <w:i/>
          <w:sz w:val="22"/>
          <w:szCs w:val="22"/>
        </w:rPr>
        <w:t xml:space="preserve"> Las </w:t>
      </w:r>
      <w:r w:rsidRPr="0098792C">
        <w:rPr>
          <w:rFonts w:ascii="Palatino Linotype" w:eastAsia="Palatino Linotype" w:hAnsi="Palatino Linotype" w:cs="Palatino Linotype"/>
          <w:b/>
          <w:i/>
          <w:sz w:val="22"/>
          <w:szCs w:val="22"/>
        </w:rPr>
        <w:t>Unidades de Transparencia</w:t>
      </w:r>
      <w:r w:rsidRPr="0098792C">
        <w:rPr>
          <w:rFonts w:ascii="Palatino Linotype" w:eastAsia="Palatino Linotype" w:hAnsi="Palatino Linotype" w:cs="Palatino Linotype"/>
          <w:i/>
          <w:sz w:val="22"/>
          <w:szCs w:val="22"/>
        </w:rPr>
        <w:t xml:space="preserve"> tendrán las siguientes </w:t>
      </w:r>
      <w:r w:rsidRPr="0098792C">
        <w:rPr>
          <w:rFonts w:ascii="Palatino Linotype" w:eastAsia="Palatino Linotype" w:hAnsi="Palatino Linotype" w:cs="Palatino Linotype"/>
          <w:b/>
          <w:i/>
          <w:sz w:val="22"/>
          <w:szCs w:val="22"/>
        </w:rPr>
        <w:t>funciones</w:t>
      </w:r>
      <w:r w:rsidRPr="0098792C">
        <w:rPr>
          <w:rFonts w:ascii="Palatino Linotype" w:eastAsia="Palatino Linotype" w:hAnsi="Palatino Linotype" w:cs="Palatino Linotype"/>
          <w:i/>
          <w:sz w:val="22"/>
          <w:szCs w:val="22"/>
        </w:rPr>
        <w:t>:</w:t>
      </w:r>
    </w:p>
    <w:p w14:paraId="5ECFCD7E"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X. Presentar ante el Comité, el proyecto de clasificación de información</w:t>
      </w:r>
      <w:r w:rsidRPr="0098792C">
        <w:rPr>
          <w:rFonts w:ascii="Palatino Linotype" w:eastAsia="Palatino Linotype" w:hAnsi="Palatino Linotype" w:cs="Palatino Linotype"/>
          <w:i/>
          <w:sz w:val="22"/>
          <w:szCs w:val="22"/>
        </w:rPr>
        <w:t>…” </w:t>
      </w:r>
    </w:p>
    <w:p w14:paraId="650B3FDA"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lastRenderedPageBreak/>
        <w:t>“Artículo 59.</w:t>
      </w:r>
      <w:r w:rsidRPr="0098792C">
        <w:rPr>
          <w:rFonts w:ascii="Palatino Linotype" w:eastAsia="Palatino Linotype" w:hAnsi="Palatino Linotype" w:cs="Palatino Linotype"/>
          <w:i/>
          <w:sz w:val="22"/>
          <w:szCs w:val="22"/>
        </w:rPr>
        <w:t xml:space="preserve"> Los </w:t>
      </w:r>
      <w:r w:rsidRPr="0098792C">
        <w:rPr>
          <w:rFonts w:ascii="Palatino Linotype" w:eastAsia="Palatino Linotype" w:hAnsi="Palatino Linotype" w:cs="Palatino Linotype"/>
          <w:b/>
          <w:i/>
          <w:sz w:val="22"/>
          <w:szCs w:val="22"/>
        </w:rPr>
        <w:t>servidores públicos habilitados</w:t>
      </w:r>
      <w:r w:rsidRPr="0098792C">
        <w:rPr>
          <w:rFonts w:ascii="Palatino Linotype" w:eastAsia="Palatino Linotype" w:hAnsi="Palatino Linotype" w:cs="Palatino Linotype"/>
          <w:i/>
          <w:sz w:val="22"/>
          <w:szCs w:val="22"/>
        </w:rPr>
        <w:t xml:space="preserve"> tendrán las </w:t>
      </w:r>
      <w:r w:rsidRPr="0098792C">
        <w:rPr>
          <w:rFonts w:ascii="Palatino Linotype" w:eastAsia="Palatino Linotype" w:hAnsi="Palatino Linotype" w:cs="Palatino Linotype"/>
          <w:b/>
          <w:i/>
          <w:sz w:val="22"/>
          <w:szCs w:val="22"/>
        </w:rPr>
        <w:t>funciones</w:t>
      </w:r>
      <w:r w:rsidRPr="0098792C">
        <w:rPr>
          <w:rFonts w:ascii="Palatino Linotype" w:eastAsia="Palatino Linotype" w:hAnsi="Palatino Linotype" w:cs="Palatino Linotype"/>
          <w:i/>
          <w:sz w:val="22"/>
          <w:szCs w:val="22"/>
        </w:rPr>
        <w:t xml:space="preserve"> siguientes:</w:t>
      </w:r>
    </w:p>
    <w:p w14:paraId="7B9D694E" w14:textId="77777777" w:rsidR="00C55892" w:rsidRPr="0098792C" w:rsidRDefault="00297FA7">
      <w:pPr>
        <w:pBdr>
          <w:top w:val="nil"/>
          <w:left w:val="nil"/>
          <w:bottom w:val="nil"/>
          <w:right w:val="nil"/>
          <w:between w:val="nil"/>
        </w:pBdr>
        <w:spacing w:line="276" w:lineRule="auto"/>
        <w:ind w:left="567" w:right="900"/>
        <w:jc w:val="both"/>
        <w:rPr>
          <w:sz w:val="22"/>
          <w:szCs w:val="22"/>
        </w:rPr>
      </w:pPr>
      <w:r w:rsidRPr="0098792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8792C">
        <w:rPr>
          <w:rFonts w:ascii="Palatino Linotype" w:eastAsia="Palatino Linotype" w:hAnsi="Palatino Linotype" w:cs="Palatino Linotype"/>
          <w:i/>
          <w:sz w:val="22"/>
          <w:szCs w:val="22"/>
        </w:rPr>
        <w:t>, la cual tendrá los fundamentos y argumentos en que se basa dicha propuesta…” </w:t>
      </w:r>
    </w:p>
    <w:p w14:paraId="60DDD0BE" w14:textId="77777777" w:rsidR="00C55892" w:rsidRPr="0098792C" w:rsidRDefault="00C55892">
      <w:pPr>
        <w:spacing w:line="360" w:lineRule="auto"/>
        <w:jc w:val="both"/>
        <w:rPr>
          <w:sz w:val="22"/>
          <w:szCs w:val="22"/>
        </w:rPr>
      </w:pPr>
    </w:p>
    <w:p w14:paraId="389DE928" w14:textId="77777777" w:rsidR="00C55892" w:rsidRPr="0098792C" w:rsidRDefault="00297FA7">
      <w:pPr>
        <w:pBdr>
          <w:top w:val="nil"/>
          <w:left w:val="nil"/>
          <w:bottom w:val="nil"/>
          <w:right w:val="nil"/>
          <w:between w:val="nil"/>
        </w:pBdr>
        <w:spacing w:line="360" w:lineRule="auto"/>
        <w:jc w:val="both"/>
        <w:rPr>
          <w:sz w:val="22"/>
          <w:szCs w:val="22"/>
        </w:rPr>
      </w:pPr>
      <w:r w:rsidRPr="0098792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D067F19" w14:textId="77777777" w:rsidR="00C55892" w:rsidRPr="0098792C" w:rsidRDefault="00C55892">
      <w:pPr>
        <w:spacing w:line="360" w:lineRule="auto"/>
        <w:jc w:val="both"/>
        <w:rPr>
          <w:sz w:val="22"/>
          <w:szCs w:val="22"/>
        </w:rPr>
      </w:pPr>
    </w:p>
    <w:p w14:paraId="1D469436" w14:textId="77777777" w:rsidR="00C55892" w:rsidRPr="0098792C" w:rsidRDefault="00297FA7">
      <w:pPr>
        <w:pBdr>
          <w:top w:val="nil"/>
          <w:left w:val="nil"/>
          <w:bottom w:val="nil"/>
          <w:right w:val="nil"/>
          <w:between w:val="nil"/>
        </w:pBdr>
        <w:spacing w:line="360" w:lineRule="auto"/>
        <w:jc w:val="both"/>
        <w:rPr>
          <w:sz w:val="22"/>
          <w:szCs w:val="22"/>
        </w:rPr>
      </w:pPr>
      <w:r w:rsidRPr="0098792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7B0A2F3" w14:textId="77777777" w:rsidR="00C55892" w:rsidRPr="0098792C" w:rsidRDefault="00C55892">
      <w:pPr>
        <w:spacing w:line="276" w:lineRule="auto"/>
        <w:jc w:val="both"/>
        <w:rPr>
          <w:sz w:val="22"/>
          <w:szCs w:val="22"/>
        </w:rPr>
      </w:pPr>
    </w:p>
    <w:p w14:paraId="0E681B1F" w14:textId="77777777" w:rsidR="00C55892" w:rsidRPr="0098792C" w:rsidRDefault="00297FA7">
      <w:pPr>
        <w:pBdr>
          <w:top w:val="nil"/>
          <w:left w:val="nil"/>
          <w:bottom w:val="nil"/>
          <w:right w:val="nil"/>
          <w:between w:val="nil"/>
        </w:pBdr>
        <w:spacing w:after="240" w:line="276" w:lineRule="auto"/>
        <w:ind w:left="567" w:right="900"/>
        <w:jc w:val="both"/>
        <w:rPr>
          <w:sz w:val="22"/>
          <w:szCs w:val="22"/>
        </w:rPr>
      </w:pPr>
      <w:r w:rsidRPr="0098792C">
        <w:rPr>
          <w:rFonts w:ascii="Palatino Linotype" w:eastAsia="Palatino Linotype" w:hAnsi="Palatino Linotype" w:cs="Palatino Linotype"/>
          <w:i/>
          <w:sz w:val="22"/>
          <w:szCs w:val="22"/>
        </w:rPr>
        <w:t>“</w:t>
      </w:r>
      <w:r w:rsidRPr="0098792C">
        <w:rPr>
          <w:rFonts w:ascii="Palatino Linotype" w:eastAsia="Palatino Linotype" w:hAnsi="Palatino Linotype" w:cs="Palatino Linotype"/>
          <w:b/>
          <w:i/>
          <w:sz w:val="22"/>
          <w:szCs w:val="22"/>
        </w:rPr>
        <w:t>Artículo 149.</w:t>
      </w:r>
      <w:r w:rsidRPr="0098792C">
        <w:rPr>
          <w:rFonts w:ascii="Palatino Linotype" w:eastAsia="Palatino Linotype" w:hAnsi="Palatino Linotype" w:cs="Palatino Linotype"/>
          <w:i/>
          <w:sz w:val="22"/>
          <w:szCs w:val="22"/>
        </w:rPr>
        <w:t xml:space="preserve"> El </w:t>
      </w:r>
      <w:r w:rsidRPr="0098792C">
        <w:rPr>
          <w:rFonts w:ascii="Palatino Linotype" w:eastAsia="Palatino Linotype" w:hAnsi="Palatino Linotype" w:cs="Palatino Linotype"/>
          <w:b/>
          <w:i/>
          <w:sz w:val="22"/>
          <w:szCs w:val="22"/>
        </w:rPr>
        <w:t>acuerdo que clasifique la información como confidencial</w:t>
      </w:r>
      <w:r w:rsidRPr="0098792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4AE53BBE" w14:textId="77777777" w:rsidR="00C55892" w:rsidRPr="0098792C" w:rsidRDefault="00297FA7">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Es decir,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731CCCD" w14:textId="77777777" w:rsidR="00C55892" w:rsidRPr="0098792C" w:rsidRDefault="00C55892">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2C8ABA14" w14:textId="77777777" w:rsidR="00C55892" w:rsidRPr="0098792C" w:rsidRDefault="00297FA7">
      <w:pPr>
        <w:pBdr>
          <w:top w:val="nil"/>
          <w:left w:val="nil"/>
          <w:bottom w:val="nil"/>
          <w:right w:val="nil"/>
          <w:between w:val="nil"/>
        </w:pBdr>
        <w:spacing w:line="360" w:lineRule="auto"/>
        <w:ind w:right="51"/>
        <w:jc w:val="both"/>
        <w:rPr>
          <w:sz w:val="22"/>
          <w:szCs w:val="22"/>
        </w:rPr>
      </w:pPr>
      <w:bookmarkStart w:id="12" w:name="_heading=h.b8zb6inxa54i" w:colFirst="0" w:colLast="0"/>
      <w:bookmarkEnd w:id="12"/>
      <w:r w:rsidRPr="0098792C">
        <w:rPr>
          <w:rFonts w:ascii="Palatino Linotype" w:eastAsia="Palatino Linotype" w:hAnsi="Palatino Linotype" w:cs="Palatino Linotype"/>
          <w:sz w:val="22"/>
          <w:szCs w:val="22"/>
        </w:rPr>
        <w:t xml:space="preserve">Al respecto, se destaca que la versión pública que elabore el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8792C">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98792C">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se encuentran vigentes a la fecha de la solicitud, que literalmente expresan:</w:t>
      </w:r>
    </w:p>
    <w:p w14:paraId="6111506E" w14:textId="77777777" w:rsidR="00C55892" w:rsidRPr="0098792C" w:rsidRDefault="00C55892">
      <w:pPr>
        <w:spacing w:line="360" w:lineRule="auto"/>
        <w:jc w:val="both"/>
        <w:rPr>
          <w:sz w:val="22"/>
          <w:szCs w:val="22"/>
        </w:rPr>
      </w:pPr>
    </w:p>
    <w:p w14:paraId="70476A85"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ECE52FE"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i/>
          <w:sz w:val="22"/>
          <w:szCs w:val="22"/>
        </w:rPr>
        <w:t>“</w:t>
      </w:r>
      <w:proofErr w:type="gramStart"/>
      <w:r w:rsidRPr="0098792C">
        <w:rPr>
          <w:rFonts w:ascii="Palatino Linotype" w:eastAsia="Palatino Linotype" w:hAnsi="Palatino Linotype" w:cs="Palatino Linotype"/>
          <w:b/>
          <w:i/>
          <w:sz w:val="22"/>
          <w:szCs w:val="22"/>
        </w:rPr>
        <w:t>Segundo.-</w:t>
      </w:r>
      <w:proofErr w:type="gramEnd"/>
      <w:r w:rsidRPr="0098792C">
        <w:rPr>
          <w:rFonts w:ascii="Palatino Linotype" w:eastAsia="Palatino Linotype" w:hAnsi="Palatino Linotype" w:cs="Palatino Linotype"/>
          <w:i/>
          <w:sz w:val="22"/>
          <w:szCs w:val="22"/>
        </w:rPr>
        <w:t xml:space="preserve"> Para efectos de los presentes Lineamientos Generales, se entenderá por:</w:t>
      </w:r>
    </w:p>
    <w:p w14:paraId="4C52E304"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XVIII.</w:t>
      </w:r>
      <w:r w:rsidRPr="0098792C">
        <w:rPr>
          <w:rFonts w:ascii="Palatino Linotype" w:eastAsia="Palatino Linotype" w:hAnsi="Palatino Linotype" w:cs="Palatino Linotype"/>
          <w:i/>
          <w:sz w:val="22"/>
          <w:szCs w:val="22"/>
        </w:rPr>
        <w:t xml:space="preserve"> </w:t>
      </w:r>
      <w:r w:rsidRPr="0098792C">
        <w:rPr>
          <w:rFonts w:ascii="Palatino Linotype" w:eastAsia="Palatino Linotype" w:hAnsi="Palatino Linotype" w:cs="Palatino Linotype"/>
          <w:b/>
          <w:i/>
          <w:sz w:val="22"/>
          <w:szCs w:val="22"/>
        </w:rPr>
        <w:t>Versión pública:</w:t>
      </w:r>
      <w:r w:rsidRPr="0098792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8792C">
        <w:rPr>
          <w:rFonts w:ascii="Palatino Linotype" w:eastAsia="Palatino Linotype" w:hAnsi="Palatino Linotype" w:cs="Palatino Linotype"/>
          <w:b/>
          <w:i/>
          <w:sz w:val="22"/>
          <w:szCs w:val="22"/>
          <w:u w:val="single"/>
        </w:rPr>
        <w:t>fundando y motivando la</w:t>
      </w:r>
      <w:r w:rsidRPr="0098792C">
        <w:rPr>
          <w:rFonts w:ascii="Palatino Linotype" w:eastAsia="Palatino Linotype" w:hAnsi="Palatino Linotype" w:cs="Palatino Linotype"/>
          <w:i/>
          <w:sz w:val="22"/>
          <w:szCs w:val="22"/>
        </w:rPr>
        <w:t xml:space="preserve"> reserva o </w:t>
      </w:r>
      <w:r w:rsidRPr="0098792C">
        <w:rPr>
          <w:rFonts w:ascii="Palatino Linotype" w:eastAsia="Palatino Linotype" w:hAnsi="Palatino Linotype" w:cs="Palatino Linotype"/>
          <w:b/>
          <w:i/>
          <w:sz w:val="22"/>
          <w:szCs w:val="22"/>
          <w:u w:val="single"/>
        </w:rPr>
        <w:t>confidencialidad</w:t>
      </w:r>
      <w:r w:rsidRPr="0098792C">
        <w:rPr>
          <w:rFonts w:ascii="Palatino Linotype" w:eastAsia="Palatino Linotype" w:hAnsi="Palatino Linotype" w:cs="Palatino Linotype"/>
          <w:i/>
          <w:sz w:val="22"/>
          <w:szCs w:val="22"/>
        </w:rPr>
        <w:t>, a través de la resolución que para tal efecto emita el Comité de Transparencia.</w:t>
      </w:r>
    </w:p>
    <w:p w14:paraId="22DBFD53"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Cuarto.</w:t>
      </w:r>
      <w:r w:rsidRPr="0098792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923011"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3F4AF0FD"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Quinto.</w:t>
      </w:r>
      <w:r w:rsidRPr="0098792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90BFAA5"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w:t>
      </w:r>
    </w:p>
    <w:p w14:paraId="1B9B5287"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Séptimo.</w:t>
      </w:r>
      <w:r w:rsidRPr="0098792C">
        <w:rPr>
          <w:rFonts w:ascii="Palatino Linotype" w:eastAsia="Palatino Linotype" w:hAnsi="Palatino Linotype" w:cs="Palatino Linotype"/>
          <w:i/>
          <w:sz w:val="22"/>
          <w:szCs w:val="22"/>
        </w:rPr>
        <w:t xml:space="preserve"> La clasificación de la información se llevará a cabo en el momento en que:</w:t>
      </w:r>
    </w:p>
    <w:p w14:paraId="30B9BC91"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I.</w:t>
      </w:r>
      <w:r w:rsidRPr="0098792C">
        <w:rPr>
          <w:rFonts w:ascii="Palatino Linotype" w:eastAsia="Palatino Linotype" w:hAnsi="Palatino Linotype" w:cs="Palatino Linotype"/>
          <w:i/>
          <w:sz w:val="22"/>
          <w:szCs w:val="22"/>
        </w:rPr>
        <w:t xml:space="preserve"> Se reciba una solicitud de acceso a la información;</w:t>
      </w:r>
    </w:p>
    <w:p w14:paraId="6083D101"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II.</w:t>
      </w:r>
      <w:r w:rsidRPr="0098792C">
        <w:rPr>
          <w:rFonts w:ascii="Palatino Linotype" w:eastAsia="Palatino Linotype" w:hAnsi="Palatino Linotype" w:cs="Palatino Linotype"/>
          <w:i/>
          <w:sz w:val="22"/>
          <w:szCs w:val="22"/>
        </w:rPr>
        <w:t xml:space="preserve"> </w:t>
      </w:r>
      <w:proofErr w:type="gramStart"/>
      <w:r w:rsidRPr="0098792C">
        <w:rPr>
          <w:rFonts w:ascii="Palatino Linotype" w:eastAsia="Palatino Linotype" w:hAnsi="Palatino Linotype" w:cs="Palatino Linotype"/>
          <w:i/>
          <w:sz w:val="22"/>
          <w:szCs w:val="22"/>
        </w:rPr>
        <w:t>Se  determine</w:t>
      </w:r>
      <w:proofErr w:type="gramEnd"/>
      <w:r w:rsidRPr="0098792C">
        <w:rPr>
          <w:rFonts w:ascii="Palatino Linotype" w:eastAsia="Palatino Linotype" w:hAnsi="Palatino Linotype" w:cs="Palatino Linotype"/>
          <w:i/>
          <w:sz w:val="22"/>
          <w:szCs w:val="22"/>
        </w:rPr>
        <w:t xml:space="preserve"> mediante resolución del Comité de Transparencia, el órgano garante competente, o en cumplimiento a una sentencia del Poder Judicial; o</w:t>
      </w:r>
    </w:p>
    <w:p w14:paraId="3BF5F465"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III.</w:t>
      </w:r>
      <w:r w:rsidRPr="0098792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5ADA925"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23EE434"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Octavo.</w:t>
      </w:r>
      <w:r w:rsidRPr="0098792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1C59115"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35BA594"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DEBD52B"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Noveno.</w:t>
      </w:r>
      <w:r w:rsidRPr="0098792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98792C">
        <w:rPr>
          <w:rFonts w:ascii="Palatino Linotype" w:eastAsia="Palatino Linotype" w:hAnsi="Palatino Linotype" w:cs="Palatino Linotype"/>
          <w:i/>
          <w:sz w:val="22"/>
          <w:szCs w:val="22"/>
        </w:rPr>
        <w:lastRenderedPageBreak/>
        <w:t>siguiendo los procedimientos establecidos en el Capítulo IX de los presentes lineamientos.</w:t>
      </w:r>
    </w:p>
    <w:p w14:paraId="2B5D8127"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Décimo.</w:t>
      </w:r>
      <w:r w:rsidRPr="0098792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D30874A"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9C2FEB9"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Décimo primero.</w:t>
      </w:r>
      <w:r w:rsidRPr="0098792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8B2B4B5" w14:textId="77777777" w:rsidR="00C55892" w:rsidRPr="0098792C" w:rsidRDefault="00C55892">
      <w:pPr>
        <w:spacing w:line="276" w:lineRule="auto"/>
        <w:jc w:val="both"/>
        <w:rPr>
          <w:sz w:val="22"/>
          <w:szCs w:val="22"/>
        </w:rPr>
      </w:pPr>
    </w:p>
    <w:p w14:paraId="1ACB51C2"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i/>
          <w:sz w:val="22"/>
          <w:szCs w:val="22"/>
        </w:rPr>
        <w:t>[…]</w:t>
      </w:r>
    </w:p>
    <w:p w14:paraId="050C3654" w14:textId="77777777" w:rsidR="00C55892" w:rsidRPr="0098792C" w:rsidRDefault="00297FA7">
      <w:pPr>
        <w:pBdr>
          <w:top w:val="nil"/>
          <w:left w:val="nil"/>
          <w:bottom w:val="nil"/>
          <w:right w:val="nil"/>
          <w:between w:val="nil"/>
        </w:pBdr>
        <w:spacing w:line="276" w:lineRule="auto"/>
        <w:ind w:left="709" w:right="709"/>
        <w:jc w:val="both"/>
        <w:rPr>
          <w:sz w:val="22"/>
          <w:szCs w:val="22"/>
        </w:rPr>
      </w:pPr>
      <w:r w:rsidRPr="0098792C">
        <w:rPr>
          <w:rFonts w:ascii="Palatino Linotype" w:eastAsia="Palatino Linotype" w:hAnsi="Palatino Linotype" w:cs="Palatino Linotype"/>
          <w:b/>
          <w:i/>
          <w:sz w:val="22"/>
          <w:szCs w:val="22"/>
        </w:rPr>
        <w:t>CAPÍTULO VIII</w:t>
      </w:r>
    </w:p>
    <w:p w14:paraId="408CE67E"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b/>
          <w:i/>
          <w:sz w:val="22"/>
          <w:szCs w:val="22"/>
        </w:rPr>
        <w:t>DE LOS ELEMENTOS PARA LA CLASIFICACIÓN</w:t>
      </w:r>
    </w:p>
    <w:p w14:paraId="78734F87"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b/>
          <w:i/>
          <w:sz w:val="22"/>
          <w:szCs w:val="22"/>
        </w:rPr>
        <w:t>Quincuagésimo</w:t>
      </w:r>
      <w:r w:rsidRPr="0098792C">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ABEF37D"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b/>
          <w:i/>
          <w:sz w:val="22"/>
          <w:szCs w:val="22"/>
        </w:rPr>
        <w:t>Quincuagésimo primero</w:t>
      </w:r>
      <w:r w:rsidRPr="0098792C">
        <w:rPr>
          <w:rFonts w:ascii="Palatino Linotype" w:eastAsia="Palatino Linotype" w:hAnsi="Palatino Linotype" w:cs="Palatino Linotype"/>
          <w:i/>
          <w:sz w:val="22"/>
          <w:szCs w:val="22"/>
        </w:rPr>
        <w:t>. Toda acta del Comité de Transparencia deberá contener:</w:t>
      </w:r>
    </w:p>
    <w:p w14:paraId="0A8FEF96"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 El número de sesión y fecha; </w:t>
      </w:r>
    </w:p>
    <w:p w14:paraId="4EE6F3A1"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II. El nombre del área que solicitó la clasificación de información;</w:t>
      </w:r>
    </w:p>
    <w:p w14:paraId="0D1D52CA"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III. La fundamentación legal y motivación correspondiente;</w:t>
      </w:r>
    </w:p>
    <w:p w14:paraId="38FDC70E"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IV. La resolución o resoluciones aprobadas; y</w:t>
      </w:r>
    </w:p>
    <w:p w14:paraId="7ACA3C59"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V. La rúbrica o firma digital de cada integrante del Comité de Transparencia. </w:t>
      </w:r>
    </w:p>
    <w:p w14:paraId="3B7A217C"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7637553"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lastRenderedPageBreak/>
        <w:t>I. Los motivos y razonamientos que sustenten la confirmación o modificación de la prueba de daño;</w:t>
      </w:r>
    </w:p>
    <w:p w14:paraId="1D98E4D8"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II. Descripción de las partes o secciones reservadas, en caso de clasificación parcial;</w:t>
      </w:r>
    </w:p>
    <w:p w14:paraId="0D8FF755"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III. El periodo por el que mantendrá su clasificación y fecha de expiración; y</w:t>
      </w:r>
    </w:p>
    <w:p w14:paraId="67102895"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IV. El nombre del titular y área encargada de realizar la versión pública del documento, en su caso.</w:t>
      </w:r>
    </w:p>
    <w:p w14:paraId="71F1B883"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6140785E"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15694E1"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b/>
          <w:i/>
          <w:sz w:val="22"/>
          <w:szCs w:val="22"/>
        </w:rPr>
        <w:t>Quincuagésimo segundo</w:t>
      </w:r>
      <w:r w:rsidRPr="0098792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19A3056"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33D40B7"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FE87A09"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49E5EAC" w14:textId="77777777" w:rsidR="00C55892" w:rsidRPr="0098792C" w:rsidRDefault="00297FA7">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III. Señalar las personas o instancias autorizadas a acceder a la información clasificada.</w:t>
      </w:r>
    </w:p>
    <w:p w14:paraId="3AA2B730"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w:t>
      </w:r>
    </w:p>
    <w:p w14:paraId="0F5A89F4"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98792C">
        <w:rPr>
          <w:rFonts w:ascii="Palatino Linotype" w:eastAsia="Palatino Linotype" w:hAnsi="Palatino Linotype" w:cs="Palatino Linotype"/>
          <w:i/>
          <w:sz w:val="22"/>
          <w:szCs w:val="22"/>
        </w:rPr>
        <w:lastRenderedPageBreak/>
        <w:t>identificar en la carátula del expediente del cual formen parte, la fecha y sesión del Comité de Transparencia en la que se confirmó dicha clasificación.</w:t>
      </w:r>
    </w:p>
    <w:p w14:paraId="1F6AFD21" w14:textId="77777777" w:rsidR="00C55892" w:rsidRPr="0098792C" w:rsidRDefault="00297FA7">
      <w:pPr>
        <w:pBdr>
          <w:top w:val="nil"/>
          <w:left w:val="nil"/>
          <w:bottom w:val="nil"/>
          <w:right w:val="nil"/>
          <w:between w:val="nil"/>
        </w:pBdr>
        <w:spacing w:after="160" w:line="276" w:lineRule="auto"/>
        <w:ind w:left="709" w:right="709"/>
        <w:jc w:val="both"/>
        <w:rPr>
          <w:sz w:val="22"/>
          <w:szCs w:val="22"/>
        </w:rPr>
      </w:pPr>
      <w:r w:rsidRPr="0098792C">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98792C">
        <w:rPr>
          <w:rFonts w:ascii="Palatino Linotype" w:eastAsia="Palatino Linotype" w:hAnsi="Palatino Linotype" w:cs="Palatino Linotype"/>
          <w:i/>
          <w:sz w:val="22"/>
          <w:szCs w:val="22"/>
        </w:rPr>
        <w:t>testado</w:t>
      </w:r>
      <w:proofErr w:type="spellEnd"/>
      <w:r w:rsidRPr="0098792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667DAA43" w14:textId="77777777" w:rsidR="00C55892" w:rsidRPr="0098792C" w:rsidRDefault="00C55892">
      <w:pPr>
        <w:spacing w:line="360" w:lineRule="auto"/>
        <w:jc w:val="both"/>
        <w:rPr>
          <w:sz w:val="22"/>
          <w:szCs w:val="22"/>
        </w:rPr>
      </w:pPr>
    </w:p>
    <w:p w14:paraId="7DF9ACEB" w14:textId="77777777" w:rsidR="00C55892" w:rsidRPr="0098792C" w:rsidRDefault="00297FA7">
      <w:pPr>
        <w:pBdr>
          <w:top w:val="nil"/>
          <w:left w:val="nil"/>
          <w:bottom w:val="nil"/>
          <w:right w:val="nil"/>
          <w:between w:val="nil"/>
        </w:pBdr>
        <w:spacing w:line="360" w:lineRule="auto"/>
        <w:jc w:val="both"/>
        <w:rPr>
          <w:sz w:val="22"/>
          <w:szCs w:val="22"/>
        </w:rPr>
      </w:pPr>
      <w:r w:rsidRPr="0098792C">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6E6BB8BE" w14:textId="77777777" w:rsidR="00C55892" w:rsidRPr="0098792C" w:rsidRDefault="00C55892">
      <w:pPr>
        <w:spacing w:line="360" w:lineRule="auto"/>
        <w:jc w:val="both"/>
        <w:rPr>
          <w:sz w:val="22"/>
          <w:szCs w:val="22"/>
        </w:rPr>
      </w:pPr>
    </w:p>
    <w:p w14:paraId="359B3727" w14:textId="77777777" w:rsidR="00C55892" w:rsidRPr="0098792C" w:rsidRDefault="00297FA7">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98792C">
        <w:rPr>
          <w:rFonts w:ascii="Palatino Linotype" w:eastAsia="Palatino Linotype" w:hAnsi="Palatino Linotype" w:cs="Palatino Linotype"/>
          <w:b/>
          <w:sz w:val="22"/>
          <w:szCs w:val="22"/>
        </w:rPr>
        <w:t>la parte</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Recurrente</w:t>
      </w:r>
      <w:r w:rsidRPr="0098792C">
        <w:rPr>
          <w:rFonts w:ascii="Palatino Linotype" w:eastAsia="Palatino Linotype" w:hAnsi="Palatino Linotype" w:cs="Palatino Linotype"/>
          <w:sz w:val="22"/>
          <w:szCs w:val="22"/>
        </w:rPr>
        <w:t>.</w:t>
      </w:r>
    </w:p>
    <w:p w14:paraId="1E9F9CD3" w14:textId="77777777" w:rsidR="00C55892" w:rsidRPr="0098792C" w:rsidRDefault="00297FA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6C501355" w14:textId="77777777" w:rsidR="00C55892" w:rsidRPr="0098792C" w:rsidRDefault="00297FA7">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98792C">
        <w:rPr>
          <w:rFonts w:ascii="Palatino Linotype" w:eastAsia="Palatino Linotype" w:hAnsi="Palatino Linotype" w:cs="Palatino Linotype"/>
          <w:b/>
        </w:rPr>
        <w:lastRenderedPageBreak/>
        <w:t>III. R E S U E L V E</w:t>
      </w:r>
    </w:p>
    <w:p w14:paraId="5702850F" w14:textId="77777777" w:rsidR="00C55892" w:rsidRPr="0098792C" w:rsidRDefault="00297FA7">
      <w:pPr>
        <w:spacing w:before="240" w:after="240" w:line="360" w:lineRule="auto"/>
        <w:jc w:val="both"/>
        <w:rPr>
          <w:rFonts w:ascii="Palatino Linotype" w:eastAsia="Palatino Linotype" w:hAnsi="Palatino Linotype" w:cs="Palatino Linotype"/>
          <w:b/>
          <w:sz w:val="22"/>
          <w:szCs w:val="22"/>
        </w:rPr>
      </w:pPr>
      <w:bookmarkStart w:id="13" w:name="_heading=h.26in1rg" w:colFirst="0" w:colLast="0"/>
      <w:bookmarkEnd w:id="13"/>
      <w:r w:rsidRPr="0098792C">
        <w:rPr>
          <w:rFonts w:ascii="Palatino Linotype" w:eastAsia="Palatino Linotype" w:hAnsi="Palatino Linotype" w:cs="Palatino Linotype"/>
          <w:b/>
          <w:sz w:val="22"/>
          <w:szCs w:val="22"/>
        </w:rPr>
        <w:t xml:space="preserve">Primero. </w:t>
      </w:r>
      <w:r w:rsidRPr="0098792C">
        <w:rPr>
          <w:rFonts w:ascii="Palatino Linotype" w:eastAsia="Palatino Linotype" w:hAnsi="Palatino Linotype" w:cs="Palatino Linotype"/>
          <w:sz w:val="22"/>
          <w:szCs w:val="22"/>
        </w:rPr>
        <w:t xml:space="preserve">Resultan </w:t>
      </w:r>
      <w:r w:rsidRPr="0098792C">
        <w:rPr>
          <w:rFonts w:ascii="Palatino Linotype" w:eastAsia="Palatino Linotype" w:hAnsi="Palatino Linotype" w:cs="Palatino Linotype"/>
          <w:b/>
          <w:sz w:val="22"/>
          <w:szCs w:val="22"/>
        </w:rPr>
        <w:t>fundadas</w:t>
      </w:r>
      <w:r w:rsidRPr="0098792C">
        <w:rPr>
          <w:rFonts w:ascii="Palatino Linotype" w:eastAsia="Palatino Linotype" w:hAnsi="Palatino Linotype" w:cs="Palatino Linotype"/>
          <w:sz w:val="22"/>
          <w:szCs w:val="22"/>
        </w:rPr>
        <w:t xml:space="preserve"> las razones o motivos de inconformidad hechos valer por </w:t>
      </w:r>
      <w:r w:rsidRPr="0098792C">
        <w:rPr>
          <w:rFonts w:ascii="Palatino Linotype" w:eastAsia="Palatino Linotype" w:hAnsi="Palatino Linotype" w:cs="Palatino Linotype"/>
          <w:b/>
          <w:sz w:val="22"/>
          <w:szCs w:val="22"/>
        </w:rPr>
        <w:t>la parte Recurrente</w:t>
      </w:r>
      <w:r w:rsidRPr="0098792C">
        <w:rPr>
          <w:rFonts w:ascii="Palatino Linotype" w:eastAsia="Palatino Linotype" w:hAnsi="Palatino Linotype" w:cs="Palatino Linotype"/>
          <w:sz w:val="22"/>
          <w:szCs w:val="22"/>
        </w:rPr>
        <w:t xml:space="preserve"> en el recurso de revisión </w:t>
      </w:r>
      <w:r w:rsidRPr="0098792C">
        <w:rPr>
          <w:rFonts w:ascii="Palatino Linotype" w:eastAsia="Palatino Linotype" w:hAnsi="Palatino Linotype" w:cs="Palatino Linotype"/>
          <w:b/>
          <w:sz w:val="22"/>
          <w:szCs w:val="22"/>
        </w:rPr>
        <w:t>03409/INFOEM/IP/RR/2025</w:t>
      </w:r>
      <w:r w:rsidRPr="0098792C">
        <w:rPr>
          <w:rFonts w:ascii="Palatino Linotype" w:eastAsia="Palatino Linotype" w:hAnsi="Palatino Linotype" w:cs="Palatino Linotype"/>
          <w:sz w:val="22"/>
          <w:szCs w:val="22"/>
        </w:rPr>
        <w:t xml:space="preserve">; por lo que, en términos del </w:t>
      </w:r>
      <w:r w:rsidRPr="0098792C">
        <w:rPr>
          <w:rFonts w:ascii="Palatino Linotype" w:eastAsia="Palatino Linotype" w:hAnsi="Palatino Linotype" w:cs="Palatino Linotype"/>
          <w:b/>
          <w:sz w:val="22"/>
          <w:szCs w:val="22"/>
        </w:rPr>
        <w:t>Considerando</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 xml:space="preserve">Cuarto </w:t>
      </w:r>
      <w:r w:rsidRPr="0098792C">
        <w:rPr>
          <w:rFonts w:ascii="Palatino Linotype" w:eastAsia="Palatino Linotype" w:hAnsi="Palatino Linotype" w:cs="Palatino Linotype"/>
          <w:sz w:val="22"/>
          <w:szCs w:val="22"/>
        </w:rPr>
        <w:t xml:space="preserve">de esta resolución, se </w:t>
      </w:r>
      <w:r w:rsidRPr="0098792C">
        <w:rPr>
          <w:rFonts w:ascii="Palatino Linotype" w:eastAsia="Palatino Linotype" w:hAnsi="Palatino Linotype" w:cs="Palatino Linotype"/>
          <w:b/>
          <w:sz w:val="22"/>
          <w:szCs w:val="22"/>
        </w:rPr>
        <w:t xml:space="preserve">MODIFICA </w:t>
      </w:r>
      <w:r w:rsidRPr="0098792C">
        <w:rPr>
          <w:rFonts w:ascii="Palatino Linotype" w:eastAsia="Palatino Linotype" w:hAnsi="Palatino Linotype" w:cs="Palatino Linotype"/>
          <w:sz w:val="22"/>
          <w:szCs w:val="22"/>
        </w:rPr>
        <w:t xml:space="preserve">la respuesta emitida por el </w:t>
      </w:r>
      <w:r w:rsidRPr="0098792C">
        <w:rPr>
          <w:rFonts w:ascii="Palatino Linotype" w:eastAsia="Palatino Linotype" w:hAnsi="Palatino Linotype" w:cs="Palatino Linotype"/>
          <w:b/>
          <w:sz w:val="22"/>
          <w:szCs w:val="22"/>
        </w:rPr>
        <w:t xml:space="preserve">Sujeto Obligado. </w:t>
      </w:r>
    </w:p>
    <w:p w14:paraId="16B780EB" w14:textId="77777777" w:rsidR="00C55892" w:rsidRPr="0098792C" w:rsidRDefault="00297FA7">
      <w:pPr>
        <w:spacing w:before="240" w:after="240" w:line="360" w:lineRule="auto"/>
        <w:ind w:right="49"/>
        <w:jc w:val="both"/>
        <w:rPr>
          <w:rFonts w:ascii="Palatino Linotype" w:eastAsia="Palatino Linotype" w:hAnsi="Palatino Linotype" w:cs="Palatino Linotype"/>
          <w:b/>
          <w:sz w:val="22"/>
          <w:szCs w:val="22"/>
        </w:rPr>
      </w:pPr>
      <w:r w:rsidRPr="0098792C">
        <w:rPr>
          <w:rFonts w:ascii="Palatino Linotype" w:eastAsia="Palatino Linotype" w:hAnsi="Palatino Linotype" w:cs="Palatino Linotype"/>
          <w:b/>
          <w:sz w:val="22"/>
          <w:szCs w:val="22"/>
        </w:rPr>
        <w:t xml:space="preserve">Segundo. </w:t>
      </w:r>
      <w:r w:rsidRPr="0098792C">
        <w:rPr>
          <w:rFonts w:ascii="Palatino Linotype" w:eastAsia="Palatino Linotype" w:hAnsi="Palatino Linotype" w:cs="Palatino Linotype"/>
          <w:sz w:val="22"/>
          <w:szCs w:val="22"/>
        </w:rPr>
        <w:t xml:space="preserve">Se </w:t>
      </w:r>
      <w:r w:rsidRPr="0098792C">
        <w:rPr>
          <w:rFonts w:ascii="Palatino Linotype" w:eastAsia="Palatino Linotype" w:hAnsi="Palatino Linotype" w:cs="Palatino Linotype"/>
          <w:b/>
          <w:sz w:val="22"/>
          <w:szCs w:val="22"/>
        </w:rPr>
        <w:t xml:space="preserve">Ordena </w:t>
      </w:r>
      <w:r w:rsidRPr="0098792C">
        <w:rPr>
          <w:rFonts w:ascii="Palatino Linotype" w:eastAsia="Palatino Linotype" w:hAnsi="Palatino Linotype" w:cs="Palatino Linotype"/>
          <w:sz w:val="22"/>
          <w:szCs w:val="22"/>
        </w:rPr>
        <w:t xml:space="preserve">al </w:t>
      </w:r>
      <w:r w:rsidRPr="0098792C">
        <w:rPr>
          <w:rFonts w:ascii="Palatino Linotype" w:eastAsia="Palatino Linotype" w:hAnsi="Palatino Linotype" w:cs="Palatino Linotype"/>
          <w:b/>
          <w:sz w:val="22"/>
          <w:szCs w:val="22"/>
        </w:rPr>
        <w:t>Sujeto Obligado</w:t>
      </w:r>
      <w:r w:rsidRPr="0098792C">
        <w:rPr>
          <w:rFonts w:ascii="Palatino Linotype" w:eastAsia="Palatino Linotype" w:hAnsi="Palatino Linotype" w:cs="Palatino Linotype"/>
          <w:sz w:val="22"/>
          <w:szCs w:val="22"/>
        </w:rPr>
        <w:t xml:space="preserve"> haga entrega, a</w:t>
      </w:r>
      <w:r w:rsidRPr="0098792C">
        <w:rPr>
          <w:rFonts w:ascii="Palatino Linotype" w:eastAsia="Palatino Linotype" w:hAnsi="Palatino Linotype" w:cs="Palatino Linotype"/>
          <w:b/>
          <w:sz w:val="22"/>
          <w:szCs w:val="22"/>
        </w:rPr>
        <w:t xml:space="preserve"> la parte Recurrente,</w:t>
      </w:r>
      <w:r w:rsidRPr="0098792C">
        <w:rPr>
          <w:rFonts w:ascii="Palatino Linotype" w:eastAsia="Palatino Linotype" w:hAnsi="Palatino Linotype" w:cs="Palatino Linotype"/>
          <w:sz w:val="22"/>
          <w:szCs w:val="22"/>
        </w:rPr>
        <w:t xml:space="preserve"> vía </w:t>
      </w:r>
      <w:r w:rsidRPr="0098792C">
        <w:rPr>
          <w:rFonts w:ascii="Palatino Linotype" w:eastAsia="Palatino Linotype" w:hAnsi="Palatino Linotype" w:cs="Palatino Linotype"/>
          <w:b/>
          <w:sz w:val="22"/>
          <w:szCs w:val="22"/>
        </w:rPr>
        <w:t xml:space="preserve">SAIMEX, </w:t>
      </w:r>
      <w:r w:rsidRPr="0098792C">
        <w:rPr>
          <w:rFonts w:ascii="Palatino Linotype" w:eastAsia="Palatino Linotype" w:hAnsi="Palatino Linotype" w:cs="Palatino Linotype"/>
          <w:sz w:val="22"/>
          <w:szCs w:val="22"/>
        </w:rPr>
        <w:t xml:space="preserve">en versión pública de ser procedente, previa búsqueda exhaustiva y razonable, en términos de los </w:t>
      </w:r>
      <w:r w:rsidRPr="0098792C">
        <w:rPr>
          <w:rFonts w:ascii="Palatino Linotype" w:eastAsia="Palatino Linotype" w:hAnsi="Palatino Linotype" w:cs="Palatino Linotype"/>
          <w:b/>
          <w:sz w:val="22"/>
          <w:szCs w:val="22"/>
        </w:rPr>
        <w:t>Considerandos</w:t>
      </w:r>
      <w:r w:rsidRPr="0098792C">
        <w:rPr>
          <w:rFonts w:ascii="Palatino Linotype" w:eastAsia="Palatino Linotype" w:hAnsi="Palatino Linotype" w:cs="Palatino Linotype"/>
          <w:sz w:val="22"/>
          <w:szCs w:val="22"/>
        </w:rPr>
        <w:t xml:space="preserve"> </w:t>
      </w:r>
      <w:r w:rsidRPr="0098792C">
        <w:rPr>
          <w:rFonts w:ascii="Palatino Linotype" w:eastAsia="Palatino Linotype" w:hAnsi="Palatino Linotype" w:cs="Palatino Linotype"/>
          <w:b/>
          <w:sz w:val="22"/>
          <w:szCs w:val="22"/>
        </w:rPr>
        <w:t xml:space="preserve">Cuarto y Quinto, los documentos donde </w:t>
      </w:r>
      <w:proofErr w:type="gramStart"/>
      <w:r w:rsidRPr="0098792C">
        <w:rPr>
          <w:rFonts w:ascii="Palatino Linotype" w:eastAsia="Palatino Linotype" w:hAnsi="Palatino Linotype" w:cs="Palatino Linotype"/>
          <w:b/>
          <w:sz w:val="22"/>
          <w:szCs w:val="22"/>
        </w:rPr>
        <w:t xml:space="preserve">conste </w:t>
      </w:r>
      <w:r w:rsidRPr="0098792C">
        <w:rPr>
          <w:rFonts w:ascii="Palatino Linotype" w:eastAsia="Palatino Linotype" w:hAnsi="Palatino Linotype" w:cs="Palatino Linotype"/>
          <w:sz w:val="22"/>
          <w:szCs w:val="22"/>
        </w:rPr>
        <w:t xml:space="preserve"> lo</w:t>
      </w:r>
      <w:proofErr w:type="gramEnd"/>
      <w:r w:rsidRPr="0098792C">
        <w:rPr>
          <w:rFonts w:ascii="Palatino Linotype" w:eastAsia="Palatino Linotype" w:hAnsi="Palatino Linotype" w:cs="Palatino Linotype"/>
          <w:sz w:val="22"/>
          <w:szCs w:val="22"/>
        </w:rPr>
        <w:t xml:space="preserve"> siguiente, al mayor grado de desagregación:</w:t>
      </w:r>
    </w:p>
    <w:p w14:paraId="18D98380" w14:textId="77777777" w:rsidR="00C55892" w:rsidRPr="0098792C" w:rsidRDefault="00C558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B968DF4"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1. Número de patrullas, elementos policiales y cuadrantes con los que cuente al veinticinco de febrero de dos mil veinticinco.</w:t>
      </w:r>
    </w:p>
    <w:p w14:paraId="09D0BC49"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2. El índice de seguridad generado en el último trimestre de 2024, así como del 01 de enero al 25 de febrero de 2025.</w:t>
      </w:r>
    </w:p>
    <w:p w14:paraId="27D3ECB3"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3. Resultados de los operativos realizados del 25 de febrero de 2024 al 25 de febrero de 2025.</w:t>
      </w:r>
    </w:p>
    <w:p w14:paraId="082C6101"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4. Número de motos y vehículos puestos a disposición del ministerio público, del 25 de febrero de 2024 al 25 de febrero de 2025.</w:t>
      </w:r>
    </w:p>
    <w:p w14:paraId="29920BE7"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5.Monto de las asignaciones del FORTAMUN, contempladas para el municipio de Toluca para los años 2020, 2021, 2022, 2023, 2024 y 2025.</w:t>
      </w:r>
    </w:p>
    <w:p w14:paraId="62DF5AA8"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6. Informes trimestrales generados para dar cuenta de la aplicación de los recursos asignados del FORTAMUN, de los años 2020, 2021, 2022, 2023 y 2024.</w:t>
      </w:r>
    </w:p>
    <w:p w14:paraId="2DA5D2A6"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98792C">
        <w:rPr>
          <w:rFonts w:ascii="Palatino Linotype" w:eastAsia="Palatino Linotype" w:hAnsi="Palatino Linotype" w:cs="Palatino Linotype"/>
          <w:i/>
          <w:sz w:val="22"/>
          <w:szCs w:val="22"/>
        </w:rPr>
        <w:t xml:space="preserve">Para la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98792C">
        <w:rPr>
          <w:rFonts w:ascii="Palatino Linotype" w:eastAsia="Palatino Linotype" w:hAnsi="Palatino Linotype" w:cs="Palatino Linotype"/>
          <w:b/>
          <w:i/>
          <w:sz w:val="22"/>
          <w:szCs w:val="22"/>
        </w:rPr>
        <w:t>la parte Recurrente</w:t>
      </w:r>
      <w:r w:rsidRPr="0098792C">
        <w:rPr>
          <w:rFonts w:ascii="Palatino Linotype" w:eastAsia="Palatino Linotype" w:hAnsi="Palatino Linotype" w:cs="Palatino Linotype"/>
          <w:i/>
          <w:sz w:val="22"/>
          <w:szCs w:val="22"/>
        </w:rPr>
        <w:t>.</w:t>
      </w:r>
    </w:p>
    <w:p w14:paraId="4D8EE832" w14:textId="77777777" w:rsidR="00C55892" w:rsidRPr="0098792C" w:rsidRDefault="00C558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7E6EA159"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rPr>
      </w:pPr>
      <w:r w:rsidRPr="0098792C">
        <w:rPr>
          <w:rFonts w:ascii="Palatino Linotype" w:eastAsia="Palatino Linotype" w:hAnsi="Palatino Linotype" w:cs="Palatino Linotype"/>
          <w:i/>
          <w:sz w:val="22"/>
          <w:szCs w:val="22"/>
        </w:rPr>
        <w:t xml:space="preserve">En el supuesto que no se llegara a localizar la información que se ordena en el </w:t>
      </w:r>
      <w:r w:rsidRPr="0098792C">
        <w:rPr>
          <w:rFonts w:ascii="Palatino Linotype" w:eastAsia="Palatino Linotype" w:hAnsi="Palatino Linotype" w:cs="Palatino Linotype"/>
          <w:b/>
          <w:i/>
          <w:sz w:val="22"/>
          <w:szCs w:val="22"/>
        </w:rPr>
        <w:t>punto 4</w:t>
      </w:r>
      <w:r w:rsidRPr="0098792C">
        <w:rPr>
          <w:rFonts w:ascii="Palatino Linotype" w:eastAsia="Palatino Linotype" w:hAnsi="Palatino Linotype" w:cs="Palatino Linotype"/>
          <w:i/>
          <w:sz w:val="22"/>
          <w:szCs w:val="22"/>
        </w:rPr>
        <w:t xml:space="preserve">, por no haberse generado la información, bastará con que así se haga del </w:t>
      </w:r>
      <w:r w:rsidRPr="0098792C">
        <w:rPr>
          <w:rFonts w:ascii="Palatino Linotype" w:eastAsia="Palatino Linotype" w:hAnsi="Palatino Linotype" w:cs="Palatino Linotype"/>
          <w:i/>
          <w:sz w:val="22"/>
          <w:szCs w:val="22"/>
        </w:rPr>
        <w:lastRenderedPageBreak/>
        <w:t xml:space="preserve">conocimiento de la parte </w:t>
      </w:r>
      <w:r w:rsidRPr="0098792C">
        <w:rPr>
          <w:rFonts w:ascii="Palatino Linotype" w:eastAsia="Palatino Linotype" w:hAnsi="Palatino Linotype" w:cs="Palatino Linotype"/>
          <w:b/>
          <w:i/>
          <w:sz w:val="22"/>
          <w:szCs w:val="22"/>
        </w:rPr>
        <w:t>Recurrente</w:t>
      </w:r>
      <w:r w:rsidRPr="0098792C">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para tener por colmados el requerimiento de información.</w:t>
      </w:r>
    </w:p>
    <w:p w14:paraId="7530D5B4" w14:textId="77777777" w:rsidR="00C55892" w:rsidRPr="0098792C" w:rsidRDefault="00C558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D835CB0"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7.El Acuerdo de clasificación emitido por el Comité de Transparencia, en donde de manera debidamente fundada y motivada, a través de una prueba de daño, confirme la clasificación como reservada, en términos del artículo 140 de la Ley de Transparencia y Acceso a la Información Pública del Estado de México y Municipios, de la siguiente información:</w:t>
      </w:r>
    </w:p>
    <w:p w14:paraId="6387C758"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a) Informe Policial Homologado de las detenciones realizadas del 25 de febrero de 2024 al 25 de febrero de 2025.</w:t>
      </w:r>
    </w:p>
    <w:p w14:paraId="6AF75B19" w14:textId="77777777" w:rsidR="00C55892" w:rsidRPr="0098792C" w:rsidRDefault="00297F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98792C">
        <w:rPr>
          <w:rFonts w:ascii="Palatino Linotype" w:eastAsia="Palatino Linotype" w:hAnsi="Palatino Linotype" w:cs="Palatino Linotype"/>
          <w:b/>
          <w:i/>
          <w:sz w:val="22"/>
          <w:szCs w:val="22"/>
        </w:rPr>
        <w:t>b) Estrategias de seguridad, implementadas del 25 de febrero de 2024 al 25 de febrero de 2025.</w:t>
      </w:r>
    </w:p>
    <w:p w14:paraId="2E6ED002" w14:textId="77777777" w:rsidR="00C55892" w:rsidRPr="0098792C" w:rsidRDefault="00297FA7">
      <w:pPr>
        <w:spacing w:before="240" w:after="240" w:line="360" w:lineRule="auto"/>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 xml:space="preserve">Tercero.  Notifíquese vía SAIMEX, </w:t>
      </w:r>
      <w:r w:rsidRPr="0098792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2EB55D" w14:textId="77777777" w:rsidR="00C55892" w:rsidRPr="0098792C" w:rsidRDefault="00297FA7">
      <w:pPr>
        <w:spacing w:before="240" w:after="240"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Cuarto. Notifíquese vía SAIMEX,</w:t>
      </w:r>
      <w:r w:rsidRPr="0098792C">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F0AC6A" w14:textId="77777777" w:rsidR="00C55892" w:rsidRPr="0098792C" w:rsidRDefault="00297FA7">
      <w:pPr>
        <w:spacing w:before="240" w:after="240" w:line="360" w:lineRule="auto"/>
        <w:ind w:right="49"/>
        <w:jc w:val="both"/>
        <w:rPr>
          <w:rFonts w:ascii="Palatino Linotype" w:eastAsia="Palatino Linotype" w:hAnsi="Palatino Linotype" w:cs="Palatino Linotype"/>
          <w:sz w:val="22"/>
          <w:szCs w:val="22"/>
        </w:rPr>
      </w:pPr>
      <w:r w:rsidRPr="0098792C">
        <w:rPr>
          <w:rFonts w:ascii="Palatino Linotype" w:eastAsia="Palatino Linotype" w:hAnsi="Palatino Linotype" w:cs="Palatino Linotype"/>
          <w:b/>
          <w:sz w:val="22"/>
          <w:szCs w:val="22"/>
        </w:rPr>
        <w:t xml:space="preserve">Quinto. Notifíquese vía SAIMEX, </w:t>
      </w:r>
      <w:r w:rsidRPr="0098792C">
        <w:rPr>
          <w:rFonts w:ascii="Palatino Linotype" w:eastAsia="Palatino Linotype" w:hAnsi="Palatino Linotype" w:cs="Palatino Linotype"/>
          <w:sz w:val="22"/>
          <w:szCs w:val="22"/>
        </w:rPr>
        <w:t>a</w:t>
      </w:r>
      <w:r w:rsidRPr="0098792C">
        <w:rPr>
          <w:rFonts w:ascii="Palatino Linotype" w:eastAsia="Palatino Linotype" w:hAnsi="Palatino Linotype" w:cs="Palatino Linotype"/>
          <w:b/>
          <w:sz w:val="22"/>
          <w:szCs w:val="22"/>
        </w:rPr>
        <w:t xml:space="preserve"> la parte Recurrente</w:t>
      </w:r>
      <w:r w:rsidRPr="0098792C">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w:t>
      </w:r>
      <w:r w:rsidRPr="0098792C">
        <w:rPr>
          <w:rFonts w:ascii="Palatino Linotype" w:eastAsia="Palatino Linotype" w:hAnsi="Palatino Linotype" w:cs="Palatino Linotype"/>
          <w:sz w:val="22"/>
          <w:szCs w:val="22"/>
        </w:rPr>
        <w:lastRenderedPageBreak/>
        <w:t>conformidad con lo establecido en el artículo 196 de la Ley de Transparencia y Acceso a la Información Pública del Estado de México y Municipios.</w:t>
      </w:r>
    </w:p>
    <w:p w14:paraId="6A13539E" w14:textId="77777777" w:rsidR="00C55892" w:rsidRPr="000F0FCA" w:rsidRDefault="000F0FCA">
      <w:pPr>
        <w:spacing w:before="240" w:after="240" w:line="360" w:lineRule="auto"/>
        <w:jc w:val="both"/>
        <w:rPr>
          <w:rFonts w:ascii="Palatino Linotype" w:eastAsia="Palatino Linotype" w:hAnsi="Palatino Linotype" w:cs="Palatino Linotype"/>
        </w:rPr>
      </w:pPr>
      <w:bookmarkStart w:id="14" w:name="_heading=h.d52z2u8870ch" w:colFirst="0" w:colLast="0"/>
      <w:bookmarkEnd w:id="14"/>
      <w:r w:rsidRPr="0098792C">
        <w:rPr>
          <w:rFonts w:ascii="Palatino Linotype" w:eastAsia="Palatino Linotype" w:hAnsi="Palatino Linotype" w:cs="Palatino Linotype"/>
        </w:rPr>
        <w:t>ASÍ LO RESUELVE</w:t>
      </w:r>
      <w:r w:rsidR="00297FA7" w:rsidRPr="0098792C">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VIGÉSIMA SEGUNDA SESIÓN ORDINARIA CELEBRADA EL DIECIOCHO DE JUNIO DE DOS MIL VEINTICINCO, ANTE EL SECRETARIO TÉCNICO DEL PLENO ALEXIS TAPIA RAMÍREZ.</w:t>
      </w:r>
    </w:p>
    <w:p w14:paraId="027BD0EF" w14:textId="77777777" w:rsidR="00C55892" w:rsidRPr="000F0FCA" w:rsidRDefault="00C55892">
      <w:pPr>
        <w:spacing w:line="360" w:lineRule="auto"/>
        <w:ind w:right="141"/>
        <w:jc w:val="both"/>
        <w:rPr>
          <w:rFonts w:ascii="Palatino Linotype" w:eastAsia="Palatino Linotype" w:hAnsi="Palatino Linotype" w:cs="Palatino Linotype"/>
          <w:sz w:val="22"/>
          <w:szCs w:val="22"/>
        </w:rPr>
      </w:pPr>
    </w:p>
    <w:p w14:paraId="630B0FF4" w14:textId="77777777" w:rsidR="00C55892" w:rsidRPr="000F0FCA" w:rsidRDefault="00C55892">
      <w:pPr>
        <w:spacing w:line="360" w:lineRule="auto"/>
        <w:ind w:right="141"/>
        <w:jc w:val="both"/>
        <w:rPr>
          <w:rFonts w:ascii="Palatino Linotype" w:eastAsia="Palatino Linotype" w:hAnsi="Palatino Linotype" w:cs="Palatino Linotype"/>
          <w:sz w:val="22"/>
          <w:szCs w:val="22"/>
        </w:rPr>
      </w:pPr>
    </w:p>
    <w:p w14:paraId="3A6FE726" w14:textId="77777777" w:rsidR="00C55892" w:rsidRPr="000F0FCA" w:rsidRDefault="00C55892">
      <w:pPr>
        <w:spacing w:line="360" w:lineRule="auto"/>
        <w:ind w:right="141"/>
        <w:jc w:val="both"/>
        <w:rPr>
          <w:rFonts w:ascii="Palatino Linotype" w:eastAsia="Palatino Linotype" w:hAnsi="Palatino Linotype" w:cs="Palatino Linotype"/>
          <w:sz w:val="22"/>
          <w:szCs w:val="22"/>
        </w:rPr>
      </w:pPr>
    </w:p>
    <w:p w14:paraId="72036FAC" w14:textId="77777777" w:rsidR="00C55892" w:rsidRPr="000F0FCA" w:rsidRDefault="00C5589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sz w:val="22"/>
          <w:szCs w:val="22"/>
        </w:rPr>
      </w:pPr>
    </w:p>
    <w:p w14:paraId="08E015A5" w14:textId="77777777" w:rsidR="00C55892" w:rsidRPr="000F0FCA" w:rsidRDefault="00C5589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sz w:val="22"/>
          <w:szCs w:val="22"/>
        </w:rPr>
      </w:pPr>
    </w:p>
    <w:p w14:paraId="17AB0DAC" w14:textId="77777777" w:rsidR="00C55892" w:rsidRPr="000F0FCA" w:rsidRDefault="00C55892">
      <w:pPr>
        <w:spacing w:before="240" w:after="240" w:line="360" w:lineRule="auto"/>
        <w:jc w:val="both"/>
        <w:rPr>
          <w:rFonts w:ascii="Palatino Linotype" w:eastAsia="Palatino Linotype" w:hAnsi="Palatino Linotype" w:cs="Palatino Linotype"/>
          <w:sz w:val="22"/>
          <w:szCs w:val="22"/>
        </w:rPr>
      </w:pPr>
    </w:p>
    <w:p w14:paraId="183831D7" w14:textId="77777777" w:rsidR="00C55892" w:rsidRPr="000F0FCA" w:rsidRDefault="00C55892">
      <w:pPr>
        <w:spacing w:before="240" w:after="240" w:line="360" w:lineRule="auto"/>
        <w:jc w:val="both"/>
        <w:rPr>
          <w:rFonts w:ascii="Palatino Linotype" w:eastAsia="Palatino Linotype" w:hAnsi="Palatino Linotype" w:cs="Palatino Linotype"/>
          <w:b/>
        </w:rPr>
      </w:pPr>
    </w:p>
    <w:p w14:paraId="3EDCBAFB" w14:textId="77777777" w:rsidR="00C55892" w:rsidRPr="000F0FCA" w:rsidRDefault="00C55892">
      <w:pPr>
        <w:spacing w:before="240" w:after="240" w:line="360" w:lineRule="auto"/>
        <w:jc w:val="both"/>
        <w:rPr>
          <w:rFonts w:ascii="Palatino Linotype" w:eastAsia="Palatino Linotype" w:hAnsi="Palatino Linotype" w:cs="Palatino Linotype"/>
          <w:b/>
        </w:rPr>
      </w:pPr>
    </w:p>
    <w:p w14:paraId="34FDF9AA" w14:textId="77777777" w:rsidR="00C55892" w:rsidRPr="000F0FCA" w:rsidRDefault="00C55892">
      <w:pPr>
        <w:spacing w:before="240" w:after="240" w:line="360" w:lineRule="auto"/>
        <w:jc w:val="both"/>
        <w:rPr>
          <w:rFonts w:ascii="Palatino Linotype" w:eastAsia="Palatino Linotype" w:hAnsi="Palatino Linotype" w:cs="Palatino Linotype"/>
          <w:b/>
        </w:rPr>
      </w:pPr>
    </w:p>
    <w:p w14:paraId="0E5FB75E" w14:textId="77777777" w:rsidR="00C55892" w:rsidRPr="000F0FCA" w:rsidRDefault="00C55892">
      <w:pPr>
        <w:spacing w:line="360" w:lineRule="auto"/>
        <w:jc w:val="both"/>
        <w:rPr>
          <w:rFonts w:ascii="Palatino Linotype" w:eastAsia="Palatino Linotype" w:hAnsi="Palatino Linotype" w:cs="Palatino Linotype"/>
        </w:rPr>
      </w:pPr>
    </w:p>
    <w:p w14:paraId="090A4501" w14:textId="77777777" w:rsidR="00C55892" w:rsidRPr="000F0FCA" w:rsidRDefault="00C55892">
      <w:pPr>
        <w:spacing w:line="360" w:lineRule="auto"/>
        <w:jc w:val="both"/>
        <w:rPr>
          <w:rFonts w:ascii="Palatino Linotype" w:eastAsia="Palatino Linotype" w:hAnsi="Palatino Linotype" w:cs="Palatino Linotype"/>
        </w:rPr>
      </w:pPr>
    </w:p>
    <w:p w14:paraId="6A05DF26" w14:textId="77777777" w:rsidR="00C55892" w:rsidRPr="000F0FCA" w:rsidRDefault="00C55892">
      <w:pPr>
        <w:spacing w:line="360" w:lineRule="auto"/>
        <w:jc w:val="both"/>
        <w:rPr>
          <w:rFonts w:ascii="Palatino Linotype" w:eastAsia="Palatino Linotype" w:hAnsi="Palatino Linotype" w:cs="Palatino Linotype"/>
        </w:rPr>
      </w:pPr>
    </w:p>
    <w:p w14:paraId="7E4E9FF3" w14:textId="77777777" w:rsidR="00C55892" w:rsidRPr="000F0FCA" w:rsidRDefault="00C55892">
      <w:pPr>
        <w:spacing w:line="360" w:lineRule="auto"/>
        <w:jc w:val="both"/>
        <w:rPr>
          <w:rFonts w:ascii="Palatino Linotype" w:eastAsia="Palatino Linotype" w:hAnsi="Palatino Linotype" w:cs="Palatino Linotype"/>
        </w:rPr>
      </w:pPr>
    </w:p>
    <w:p w14:paraId="295B23BE" w14:textId="77777777" w:rsidR="00C55892" w:rsidRPr="000F0FCA" w:rsidRDefault="00C55892">
      <w:pPr>
        <w:spacing w:line="360" w:lineRule="auto"/>
        <w:jc w:val="both"/>
        <w:rPr>
          <w:rFonts w:ascii="Palatino Linotype" w:eastAsia="Palatino Linotype" w:hAnsi="Palatino Linotype" w:cs="Palatino Linotype"/>
        </w:rPr>
      </w:pPr>
    </w:p>
    <w:p w14:paraId="2876EA3F" w14:textId="77777777" w:rsidR="00C55892" w:rsidRPr="000F0FCA" w:rsidRDefault="00C55892">
      <w:pPr>
        <w:spacing w:line="360" w:lineRule="auto"/>
        <w:jc w:val="both"/>
        <w:rPr>
          <w:rFonts w:ascii="Palatino Linotype" w:eastAsia="Palatino Linotype" w:hAnsi="Palatino Linotype" w:cs="Palatino Linotype"/>
        </w:rPr>
      </w:pPr>
    </w:p>
    <w:p w14:paraId="75052B88" w14:textId="77777777" w:rsidR="00C55892" w:rsidRPr="000F0FCA" w:rsidRDefault="00C55892">
      <w:pPr>
        <w:spacing w:line="360" w:lineRule="auto"/>
        <w:jc w:val="both"/>
        <w:rPr>
          <w:rFonts w:ascii="Palatino Linotype" w:eastAsia="Palatino Linotype" w:hAnsi="Palatino Linotype" w:cs="Palatino Linotype"/>
        </w:rPr>
      </w:pPr>
    </w:p>
    <w:p w14:paraId="6263E688" w14:textId="77777777" w:rsidR="00C55892" w:rsidRPr="000F0FCA" w:rsidRDefault="00C55892">
      <w:pPr>
        <w:spacing w:line="360" w:lineRule="auto"/>
        <w:jc w:val="both"/>
        <w:rPr>
          <w:rFonts w:ascii="Palatino Linotype" w:eastAsia="Palatino Linotype" w:hAnsi="Palatino Linotype" w:cs="Palatino Linotype"/>
        </w:rPr>
      </w:pPr>
    </w:p>
    <w:p w14:paraId="2D8FDF6D" w14:textId="77777777" w:rsidR="00C55892" w:rsidRPr="000F0FCA" w:rsidRDefault="00C55892">
      <w:pPr>
        <w:spacing w:line="360" w:lineRule="auto"/>
        <w:jc w:val="both"/>
        <w:rPr>
          <w:rFonts w:ascii="Palatino Linotype" w:eastAsia="Palatino Linotype" w:hAnsi="Palatino Linotype" w:cs="Palatino Linotype"/>
        </w:rPr>
      </w:pPr>
    </w:p>
    <w:p w14:paraId="037B2148" w14:textId="77777777" w:rsidR="00C55892" w:rsidRPr="000F0FCA" w:rsidRDefault="00C55892">
      <w:pPr>
        <w:spacing w:line="360" w:lineRule="auto"/>
        <w:jc w:val="both"/>
        <w:rPr>
          <w:rFonts w:ascii="Palatino Linotype" w:eastAsia="Palatino Linotype" w:hAnsi="Palatino Linotype" w:cs="Palatino Linotype"/>
        </w:rPr>
      </w:pPr>
    </w:p>
    <w:p w14:paraId="25B881FA" w14:textId="77777777" w:rsidR="00C55892" w:rsidRPr="000F0FCA" w:rsidRDefault="00C55892">
      <w:pPr>
        <w:spacing w:line="360" w:lineRule="auto"/>
        <w:jc w:val="both"/>
        <w:rPr>
          <w:rFonts w:ascii="Palatino Linotype" w:eastAsia="Palatino Linotype" w:hAnsi="Palatino Linotype" w:cs="Palatino Linotype"/>
        </w:rPr>
      </w:pPr>
    </w:p>
    <w:p w14:paraId="325F1DDA" w14:textId="77777777" w:rsidR="00C55892" w:rsidRPr="000F0FCA" w:rsidRDefault="00C55892">
      <w:pPr>
        <w:spacing w:line="360" w:lineRule="auto"/>
        <w:jc w:val="both"/>
        <w:rPr>
          <w:rFonts w:ascii="Palatino Linotype" w:eastAsia="Palatino Linotype" w:hAnsi="Palatino Linotype" w:cs="Palatino Linotype"/>
        </w:rPr>
      </w:pPr>
    </w:p>
    <w:p w14:paraId="0608F95C" w14:textId="77777777" w:rsidR="00C55892" w:rsidRPr="000F0FCA" w:rsidRDefault="00C55892">
      <w:pPr>
        <w:spacing w:line="360" w:lineRule="auto"/>
        <w:jc w:val="both"/>
        <w:rPr>
          <w:rFonts w:ascii="Palatino Linotype" w:eastAsia="Palatino Linotype" w:hAnsi="Palatino Linotype" w:cs="Palatino Linotype"/>
        </w:rPr>
      </w:pPr>
    </w:p>
    <w:p w14:paraId="2152E4A3" w14:textId="77777777" w:rsidR="00C55892" w:rsidRPr="000F0FCA" w:rsidRDefault="00C55892">
      <w:pPr>
        <w:spacing w:line="360" w:lineRule="auto"/>
        <w:jc w:val="both"/>
        <w:rPr>
          <w:rFonts w:ascii="Palatino Linotype" w:eastAsia="Palatino Linotype" w:hAnsi="Palatino Linotype" w:cs="Palatino Linotype"/>
        </w:rPr>
      </w:pPr>
    </w:p>
    <w:sectPr w:rsidR="00C55892" w:rsidRPr="000F0FCA">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3A909" w14:textId="77777777" w:rsidR="00FF7D77" w:rsidRDefault="00FF7D77">
      <w:r>
        <w:separator/>
      </w:r>
    </w:p>
  </w:endnote>
  <w:endnote w:type="continuationSeparator" w:id="0">
    <w:p w14:paraId="2E1FE4D3" w14:textId="77777777" w:rsidR="00FF7D77" w:rsidRDefault="00FF7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33BB" w14:textId="77777777" w:rsidR="00C55892" w:rsidRDefault="00297F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7910">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7910">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14:paraId="2EDB528B" w14:textId="77777777" w:rsidR="00C55892" w:rsidRDefault="00C5589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D9DF" w14:textId="77777777" w:rsidR="00C55892" w:rsidRDefault="00297F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791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7910">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14:paraId="74851128" w14:textId="77777777" w:rsidR="00C55892" w:rsidRDefault="00C5589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F5A86" w14:textId="77777777" w:rsidR="00FF7D77" w:rsidRDefault="00FF7D77">
      <w:r>
        <w:separator/>
      </w:r>
    </w:p>
  </w:footnote>
  <w:footnote w:type="continuationSeparator" w:id="0">
    <w:p w14:paraId="07931E2E" w14:textId="77777777" w:rsidR="00FF7D77" w:rsidRDefault="00FF7D77">
      <w:r>
        <w:continuationSeparator/>
      </w:r>
    </w:p>
  </w:footnote>
  <w:footnote w:id="1">
    <w:p w14:paraId="6087BD05" w14:textId="77777777" w:rsidR="00C55892" w:rsidRDefault="00297FA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Tesis XX.308 K, </w:t>
      </w:r>
      <w:r>
        <w:rPr>
          <w:rFonts w:ascii="Cambria" w:eastAsia="Cambria" w:hAnsi="Cambria" w:cs="Cambria"/>
          <w:i/>
          <w:color w:val="000000"/>
          <w:sz w:val="20"/>
          <w:szCs w:val="20"/>
        </w:rPr>
        <w:t>Semanario Judicial de la Federación</w:t>
      </w:r>
      <w:r>
        <w:rPr>
          <w:rFonts w:ascii="Cambria" w:eastAsia="Cambria" w:hAnsi="Cambria" w:cs="Cambria"/>
          <w:color w:val="000000"/>
          <w:sz w:val="20"/>
          <w:szCs w:val="20"/>
        </w:rPr>
        <w:t>, Octava Época, tomo XV-1, febrero de 1995, pág. 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D83D" w14:textId="77777777" w:rsidR="00C55892" w:rsidRDefault="00297FA7">
    <w:pPr>
      <w:rPr>
        <w:rFonts w:ascii="Cambria" w:eastAsia="Cambria" w:hAnsi="Cambria" w:cs="Cambria"/>
        <w:color w:val="000000"/>
      </w:rPr>
    </w:pPr>
    <w:r>
      <w:rPr>
        <w:noProof/>
      </w:rPr>
      <w:drawing>
        <wp:anchor distT="0" distB="0" distL="0" distR="0" simplePos="0" relativeHeight="251658240" behindDoc="1" locked="0" layoutInCell="1" hidden="0" allowOverlap="1" wp14:anchorId="21187515" wp14:editId="42505CA7">
          <wp:simplePos x="0" y="0"/>
          <wp:positionH relativeFrom="column">
            <wp:posOffset>-1080132</wp:posOffset>
          </wp:positionH>
          <wp:positionV relativeFrom="paragraph">
            <wp:posOffset>-488275</wp:posOffset>
          </wp:positionV>
          <wp:extent cx="7809865" cy="10165715"/>
          <wp:effectExtent l="0" t="0" r="0" b="0"/>
          <wp:wrapNone/>
          <wp:docPr id="20832964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811" w:type="dxa"/>
      <w:tblInd w:w="3261" w:type="dxa"/>
      <w:tblLayout w:type="fixed"/>
      <w:tblLook w:val="0400" w:firstRow="0" w:lastRow="0" w:firstColumn="0" w:lastColumn="0" w:noHBand="0" w:noVBand="1"/>
    </w:tblPr>
    <w:tblGrid>
      <w:gridCol w:w="2489"/>
      <w:gridCol w:w="3322"/>
    </w:tblGrid>
    <w:tr w:rsidR="00C55892" w14:paraId="271D1E59" w14:textId="77777777">
      <w:tc>
        <w:tcPr>
          <w:tcW w:w="2489" w:type="dxa"/>
          <w:shd w:val="clear" w:color="auto" w:fill="auto"/>
        </w:tcPr>
        <w:p w14:paraId="4EC1813D" w14:textId="77777777" w:rsidR="00C55892" w:rsidRDefault="00297F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22" w:type="dxa"/>
          <w:shd w:val="clear" w:color="auto" w:fill="auto"/>
          <w:vAlign w:val="center"/>
        </w:tcPr>
        <w:p w14:paraId="7087DC58" w14:textId="77777777" w:rsidR="00C55892" w:rsidRDefault="00297FA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03409/INFOEM/IP/RR/2025</w:t>
          </w:r>
        </w:p>
      </w:tc>
    </w:tr>
    <w:tr w:rsidR="00C55892" w14:paraId="7FAA3E56" w14:textId="77777777">
      <w:trPr>
        <w:trHeight w:val="228"/>
      </w:trPr>
      <w:tc>
        <w:tcPr>
          <w:tcW w:w="2489" w:type="dxa"/>
          <w:shd w:val="clear" w:color="auto" w:fill="auto"/>
          <w:vAlign w:val="center"/>
        </w:tcPr>
        <w:p w14:paraId="2321F1E8" w14:textId="77777777" w:rsidR="00C55892" w:rsidRDefault="00297F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22" w:type="dxa"/>
          <w:shd w:val="clear" w:color="auto" w:fill="auto"/>
          <w:vAlign w:val="center"/>
        </w:tcPr>
        <w:p w14:paraId="684A263F" w14:textId="77777777" w:rsidR="00C55892" w:rsidRDefault="00297FA7">
          <w:pPr>
            <w:ind w:left="-45" w:right="-2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55892" w14:paraId="48C44D06" w14:textId="77777777">
      <w:tc>
        <w:tcPr>
          <w:tcW w:w="2489" w:type="dxa"/>
          <w:shd w:val="clear" w:color="auto" w:fill="auto"/>
          <w:vAlign w:val="center"/>
        </w:tcPr>
        <w:p w14:paraId="41266852" w14:textId="77777777" w:rsidR="00C55892" w:rsidRDefault="00297FA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22" w:type="dxa"/>
          <w:shd w:val="clear" w:color="auto" w:fill="auto"/>
          <w:vAlign w:val="center"/>
        </w:tcPr>
        <w:p w14:paraId="797CEE06" w14:textId="77777777" w:rsidR="00C55892" w:rsidRDefault="00297FA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CBA7F0" w14:textId="77777777" w:rsidR="00C55892" w:rsidRDefault="00297FA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BDDB" w14:textId="77777777" w:rsidR="00C55892" w:rsidRDefault="00297FA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FFF4B16" wp14:editId="1FF04B5C">
          <wp:simplePos x="0" y="0"/>
          <wp:positionH relativeFrom="column">
            <wp:posOffset>-1080127</wp:posOffset>
          </wp:positionH>
          <wp:positionV relativeFrom="paragraph">
            <wp:posOffset>-369902</wp:posOffset>
          </wp:positionV>
          <wp:extent cx="7809865" cy="10165715"/>
          <wp:effectExtent l="0" t="0" r="0" b="0"/>
          <wp:wrapNone/>
          <wp:docPr id="20832964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6095" w:type="dxa"/>
      <w:tblInd w:w="3261" w:type="dxa"/>
      <w:tblLayout w:type="fixed"/>
      <w:tblLook w:val="0400" w:firstRow="0" w:lastRow="0" w:firstColumn="0" w:lastColumn="0" w:noHBand="0" w:noVBand="1"/>
    </w:tblPr>
    <w:tblGrid>
      <w:gridCol w:w="2489"/>
      <w:gridCol w:w="3606"/>
    </w:tblGrid>
    <w:tr w:rsidR="00C55892" w14:paraId="22ACF193" w14:textId="77777777">
      <w:tc>
        <w:tcPr>
          <w:tcW w:w="2489" w:type="dxa"/>
          <w:shd w:val="clear" w:color="auto" w:fill="auto"/>
        </w:tcPr>
        <w:p w14:paraId="2B7656B9" w14:textId="77777777" w:rsidR="00C55892" w:rsidRDefault="00297F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shd w:val="clear" w:color="auto" w:fill="auto"/>
          <w:vAlign w:val="center"/>
        </w:tcPr>
        <w:p w14:paraId="75E9BAB7" w14:textId="77777777" w:rsidR="00C55892" w:rsidRDefault="00297FA7">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03409/INFOEM/IP/RR/2025</w:t>
          </w:r>
        </w:p>
      </w:tc>
    </w:tr>
    <w:tr w:rsidR="00C55892" w14:paraId="0799198A" w14:textId="77777777">
      <w:tc>
        <w:tcPr>
          <w:tcW w:w="2489" w:type="dxa"/>
          <w:shd w:val="clear" w:color="auto" w:fill="auto"/>
        </w:tcPr>
        <w:p w14:paraId="5FBC47E0" w14:textId="77777777" w:rsidR="00C55892" w:rsidRDefault="00297F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06" w:type="dxa"/>
          <w:shd w:val="clear" w:color="auto" w:fill="auto"/>
          <w:vAlign w:val="center"/>
        </w:tcPr>
        <w:p w14:paraId="551E5469" w14:textId="45FB5DCA" w:rsidR="00C55892" w:rsidRDefault="00564B7A">
          <w:pPr>
            <w:ind w:right="594"/>
            <w:jc w:val="both"/>
            <w:rPr>
              <w:rFonts w:ascii="Palatino Linotype" w:eastAsia="Palatino Linotype" w:hAnsi="Palatino Linotype" w:cs="Palatino Linotype"/>
              <w:b/>
              <w:sz w:val="22"/>
              <w:szCs w:val="22"/>
            </w:rPr>
          </w:pPr>
          <w:bookmarkStart w:id="15" w:name="_Hlk201920771"/>
          <w:r>
            <w:rPr>
              <w:rFonts w:ascii="Palatino Linotype" w:eastAsia="Palatino Linotype" w:hAnsi="Palatino Linotype" w:cs="Palatino Linotype"/>
              <w:b/>
              <w:sz w:val="22"/>
              <w:szCs w:val="22"/>
            </w:rPr>
            <w:t>XXXXX X XXXXXXXXX</w:t>
          </w:r>
          <w:bookmarkEnd w:id="15"/>
        </w:p>
      </w:tc>
    </w:tr>
    <w:tr w:rsidR="00C55892" w14:paraId="3F61BC4E" w14:textId="77777777">
      <w:trPr>
        <w:trHeight w:val="228"/>
      </w:trPr>
      <w:tc>
        <w:tcPr>
          <w:tcW w:w="2489" w:type="dxa"/>
          <w:shd w:val="clear" w:color="auto" w:fill="auto"/>
          <w:vAlign w:val="center"/>
        </w:tcPr>
        <w:p w14:paraId="17756AFF" w14:textId="77777777" w:rsidR="00C55892" w:rsidRDefault="00297F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shd w:val="clear" w:color="auto" w:fill="auto"/>
          <w:vAlign w:val="center"/>
        </w:tcPr>
        <w:p w14:paraId="0E968464" w14:textId="77777777" w:rsidR="00C55892" w:rsidRDefault="00297FA7">
          <w:pPr>
            <w:ind w:right="-2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55892" w14:paraId="3C52D0EE" w14:textId="77777777">
      <w:tc>
        <w:tcPr>
          <w:tcW w:w="2489" w:type="dxa"/>
          <w:shd w:val="clear" w:color="auto" w:fill="auto"/>
          <w:vAlign w:val="center"/>
        </w:tcPr>
        <w:p w14:paraId="2381DD38" w14:textId="77777777" w:rsidR="00C55892" w:rsidRDefault="00297FA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shd w:val="clear" w:color="auto" w:fill="auto"/>
          <w:vAlign w:val="center"/>
        </w:tcPr>
        <w:p w14:paraId="481081DD" w14:textId="77777777" w:rsidR="00C55892" w:rsidRDefault="00297F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26058A" w14:textId="77777777" w:rsidR="00C55892" w:rsidRDefault="00C558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0B15"/>
    <w:multiLevelType w:val="multilevel"/>
    <w:tmpl w:val="D17CF95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E3419CA"/>
    <w:multiLevelType w:val="multilevel"/>
    <w:tmpl w:val="3ED612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0020596"/>
    <w:multiLevelType w:val="multilevel"/>
    <w:tmpl w:val="FC8E939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2872D9C"/>
    <w:multiLevelType w:val="multilevel"/>
    <w:tmpl w:val="D42E8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2041E8"/>
    <w:multiLevelType w:val="multilevel"/>
    <w:tmpl w:val="48F08D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82C5D7E"/>
    <w:multiLevelType w:val="multilevel"/>
    <w:tmpl w:val="D6AA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C03AA6"/>
    <w:multiLevelType w:val="multilevel"/>
    <w:tmpl w:val="89B6901A"/>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5"/>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892"/>
    <w:rsid w:val="00037910"/>
    <w:rsid w:val="000F0FCA"/>
    <w:rsid w:val="00297FA7"/>
    <w:rsid w:val="00564B7A"/>
    <w:rsid w:val="0098792C"/>
    <w:rsid w:val="00C55892"/>
    <w:rsid w:val="00FF7D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AEE10"/>
  <w15:docId w15:val="{21CE4435-415C-4E42-BFDE-AFC53B6F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08" w:type="dxa"/>
        <w:right w:w="108"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CA1155"/>
    <w:pPr>
      <w:numPr>
        <w:numId w:val="7"/>
      </w:numPr>
      <w:contextualSpacing/>
    </w:pPr>
    <w:rPr>
      <w:lang w:eastAsia="es-ES"/>
    </w:r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0MHH/ZVEy7kVV2gZ41g4sjsEqg==">CgMxLjAyCWguNGQzNG9nODIIaC5namRneHMyCWguM2R5NnZrbTIJaC4zMGowemxsMgloLjJzOGV5bzEyCGgudHlqY3d0MgloLjN6bnlzaDcyCWguMmV0OTJwMDIOaC5zZHRvNGs3OWJiNnUyDmguZjN6djV1ajd4dGZrMg5oLnlwZjhsbWI5Z3pscDIOaC5panY5OHBudGNkNXMyDmguYjh6YjZpbnhhNTRpMgloLjI2aW4xcmcyDmguZDUyejJ1ODg3MGNoOAByITFYeEVLR05OV21nZUJtdHUzbm9VR0tScXgyajJWNXVZ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22115</Words>
  <Characters>121637</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2025-06-20T19:11:00Z</cp:lastPrinted>
  <dcterms:created xsi:type="dcterms:W3CDTF">2025-06-27T18:49:00Z</dcterms:created>
  <dcterms:modified xsi:type="dcterms:W3CDTF">2025-06-27T18:49:00Z</dcterms:modified>
</cp:coreProperties>
</file>