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31545998"/>
        <w:docPartObj>
          <w:docPartGallery w:val="Table of Contents"/>
          <w:docPartUnique/>
        </w:docPartObj>
      </w:sdtPr>
      <w:sdtEndPr>
        <w:rPr>
          <w:b/>
          <w:bCs/>
        </w:rPr>
      </w:sdtEndPr>
      <w:sdtContent>
        <w:p w14:paraId="19A39CD4" w14:textId="77777777" w:rsidR="000162A1" w:rsidRPr="0007620B" w:rsidRDefault="000162A1" w:rsidP="0007620B">
          <w:pPr>
            <w:pStyle w:val="TtulodeTDC"/>
            <w:rPr>
              <w:color w:val="auto"/>
            </w:rPr>
          </w:pPr>
          <w:r w:rsidRPr="0007620B">
            <w:rPr>
              <w:color w:val="auto"/>
              <w:lang w:val="es-ES"/>
            </w:rPr>
            <w:t>Contenido</w:t>
          </w:r>
        </w:p>
        <w:p w14:paraId="6778F4E7" w14:textId="58DF15E6" w:rsidR="0007620B" w:rsidRPr="0007620B" w:rsidRDefault="000162A1" w:rsidP="0007620B">
          <w:pPr>
            <w:pStyle w:val="TDC1"/>
            <w:tabs>
              <w:tab w:val="right" w:leader="dot" w:pos="9034"/>
            </w:tabs>
            <w:rPr>
              <w:rFonts w:asciiTheme="minorHAnsi" w:eastAsiaTheme="minorEastAsia" w:hAnsiTheme="minorHAnsi" w:cstheme="minorBidi"/>
              <w:noProof/>
            </w:rPr>
          </w:pPr>
          <w:r w:rsidRPr="0007620B">
            <w:rPr>
              <w:b/>
              <w:bCs/>
              <w:lang w:val="es-ES"/>
            </w:rPr>
            <w:fldChar w:fldCharType="begin"/>
          </w:r>
          <w:r w:rsidRPr="0007620B">
            <w:rPr>
              <w:b/>
              <w:bCs/>
              <w:lang w:val="es-ES"/>
            </w:rPr>
            <w:instrText xml:space="preserve"> TOC \o "1-3" \h \z \u </w:instrText>
          </w:r>
          <w:r w:rsidRPr="0007620B">
            <w:rPr>
              <w:b/>
              <w:bCs/>
              <w:lang w:val="es-ES"/>
            </w:rPr>
            <w:fldChar w:fldCharType="separate"/>
          </w:r>
          <w:hyperlink w:anchor="_Toc202996991" w:history="1">
            <w:r w:rsidR="0007620B" w:rsidRPr="0007620B">
              <w:rPr>
                <w:rStyle w:val="Hipervnculo"/>
                <w:noProof/>
                <w:color w:val="auto"/>
              </w:rPr>
              <w:t>ANTECEDENTES</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_Toc202996991 \h </w:instrText>
            </w:r>
            <w:r w:rsidR="0007620B" w:rsidRPr="0007620B">
              <w:rPr>
                <w:noProof/>
                <w:webHidden/>
              </w:rPr>
            </w:r>
            <w:r w:rsidR="0007620B" w:rsidRPr="0007620B">
              <w:rPr>
                <w:noProof/>
                <w:webHidden/>
              </w:rPr>
              <w:fldChar w:fldCharType="separate"/>
            </w:r>
            <w:r w:rsidR="0007620B" w:rsidRPr="0007620B">
              <w:rPr>
                <w:noProof/>
                <w:webHidden/>
              </w:rPr>
              <w:t>1</w:t>
            </w:r>
            <w:r w:rsidR="0007620B" w:rsidRPr="0007620B">
              <w:rPr>
                <w:noProof/>
                <w:webHidden/>
              </w:rPr>
              <w:fldChar w:fldCharType="end"/>
            </w:r>
          </w:hyperlink>
        </w:p>
        <w:p w14:paraId="26582799" w14:textId="708F37B8" w:rsidR="0007620B" w:rsidRPr="0007620B" w:rsidRDefault="007B0EE0" w:rsidP="0007620B">
          <w:pPr>
            <w:pStyle w:val="TDC2"/>
            <w:tabs>
              <w:tab w:val="right" w:leader="dot" w:pos="9034"/>
            </w:tabs>
            <w:rPr>
              <w:rFonts w:asciiTheme="minorHAnsi" w:eastAsiaTheme="minorEastAsia" w:hAnsiTheme="minorHAnsi" w:cstheme="minorBidi"/>
              <w:noProof/>
            </w:rPr>
          </w:pPr>
          <w:hyperlink w:anchor="_Toc202996992" w:history="1">
            <w:r w:rsidR="0007620B" w:rsidRPr="0007620B">
              <w:rPr>
                <w:rStyle w:val="Hipervnculo"/>
                <w:noProof/>
                <w:color w:val="auto"/>
              </w:rPr>
              <w:t>DE LA SOLICITUD DE INFORMACIÓN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_Toc202996992 \h </w:instrText>
            </w:r>
            <w:r w:rsidR="0007620B" w:rsidRPr="0007620B">
              <w:rPr>
                <w:noProof/>
                <w:webHidden/>
              </w:rPr>
            </w:r>
            <w:r w:rsidR="0007620B" w:rsidRPr="0007620B">
              <w:rPr>
                <w:noProof/>
                <w:webHidden/>
              </w:rPr>
              <w:fldChar w:fldCharType="separate"/>
            </w:r>
            <w:r w:rsidR="0007620B" w:rsidRPr="0007620B">
              <w:rPr>
                <w:noProof/>
                <w:webHidden/>
              </w:rPr>
              <w:t>1</w:t>
            </w:r>
            <w:r w:rsidR="0007620B" w:rsidRPr="0007620B">
              <w:rPr>
                <w:noProof/>
                <w:webHidden/>
              </w:rPr>
              <w:fldChar w:fldCharType="end"/>
            </w:r>
          </w:hyperlink>
        </w:p>
        <w:p w14:paraId="1EF3DEB8" w14:textId="343DA7C5"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3" w:history="1">
            <w:r w:rsidR="0007620B" w:rsidRPr="0007620B">
              <w:rPr>
                <w:rStyle w:val="Hipervnculo"/>
                <w:noProof/>
                <w:color w:val="auto"/>
              </w:rPr>
              <w:t>a) Solicitud de información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_Toc202996993 \h </w:instrText>
            </w:r>
            <w:r w:rsidR="0007620B" w:rsidRPr="0007620B">
              <w:rPr>
                <w:noProof/>
                <w:webHidden/>
              </w:rPr>
            </w:r>
            <w:r w:rsidR="0007620B" w:rsidRPr="0007620B">
              <w:rPr>
                <w:noProof/>
                <w:webHidden/>
              </w:rPr>
              <w:fldChar w:fldCharType="separate"/>
            </w:r>
            <w:r w:rsidR="0007620B" w:rsidRPr="0007620B">
              <w:rPr>
                <w:noProof/>
                <w:webHidden/>
              </w:rPr>
              <w:t>1</w:t>
            </w:r>
            <w:r w:rsidR="0007620B" w:rsidRPr="0007620B">
              <w:rPr>
                <w:noProof/>
                <w:webHidden/>
              </w:rPr>
              <w:fldChar w:fldCharType="end"/>
            </w:r>
          </w:hyperlink>
        </w:p>
        <w:p w14:paraId="0CB3ECEC" w14:textId="5ED2AC98"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4" w:history="1">
            <w:r w:rsidR="0007620B" w:rsidRPr="0007620B">
              <w:rPr>
                <w:rStyle w:val="Hipervnculo"/>
                <w:noProof/>
                <w:color w:val="auto"/>
              </w:rPr>
              <w:t>b) Turno de la solicitud de información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_Toc202996994 \h </w:instrText>
            </w:r>
            <w:r w:rsidR="0007620B" w:rsidRPr="0007620B">
              <w:rPr>
                <w:noProof/>
                <w:webHidden/>
              </w:rPr>
            </w:r>
            <w:r w:rsidR="0007620B" w:rsidRPr="0007620B">
              <w:rPr>
                <w:noProof/>
                <w:webHidden/>
              </w:rPr>
              <w:fldChar w:fldCharType="separate"/>
            </w:r>
            <w:r w:rsidR="0007620B" w:rsidRPr="0007620B">
              <w:rPr>
                <w:noProof/>
                <w:webHidden/>
              </w:rPr>
              <w:t>2</w:t>
            </w:r>
            <w:r w:rsidR="0007620B" w:rsidRPr="0007620B">
              <w:rPr>
                <w:noProof/>
                <w:webHidden/>
              </w:rPr>
              <w:fldChar w:fldCharType="end"/>
            </w:r>
          </w:hyperlink>
        </w:p>
        <w:p w14:paraId="6D94D66D" w14:textId="65BD87A9"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5" w:history="1">
            <w:r w:rsidR="0007620B" w:rsidRPr="0007620B">
              <w:rPr>
                <w:rStyle w:val="Hipervnculo"/>
                <w:noProof/>
                <w:color w:val="auto"/>
              </w:rPr>
              <w:t>c) Respuesta del Sujeto Obligado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_Toc202996995 \h </w:instrText>
            </w:r>
            <w:r w:rsidR="0007620B" w:rsidRPr="0007620B">
              <w:rPr>
                <w:noProof/>
                <w:webHidden/>
              </w:rPr>
            </w:r>
            <w:r w:rsidR="0007620B" w:rsidRPr="0007620B">
              <w:rPr>
                <w:noProof/>
                <w:webHidden/>
              </w:rPr>
              <w:fldChar w:fldCharType="separate"/>
            </w:r>
            <w:r w:rsidR="0007620B" w:rsidRPr="0007620B">
              <w:rPr>
                <w:noProof/>
                <w:webHidden/>
              </w:rPr>
              <w:t>2</w:t>
            </w:r>
            <w:r w:rsidR="0007620B" w:rsidRPr="0007620B">
              <w:rPr>
                <w:noProof/>
                <w:webHidden/>
              </w:rPr>
              <w:fldChar w:fldCharType="end"/>
            </w:r>
          </w:hyperlink>
        </w:p>
        <w:p w14:paraId="01F2F263" w14:textId="27C044BD" w:rsidR="0007620B" w:rsidRPr="0007620B" w:rsidRDefault="007B0EE0" w:rsidP="0007620B">
          <w:pPr>
            <w:pStyle w:val="TDC2"/>
            <w:tabs>
              <w:tab w:val="right" w:leader="dot" w:pos="9034"/>
            </w:tabs>
            <w:rPr>
              <w:rFonts w:asciiTheme="minorHAnsi" w:eastAsiaTheme="minorEastAsia" w:hAnsiTheme="minorHAnsi" w:cstheme="minorBidi"/>
              <w:noProof/>
            </w:rPr>
          </w:pPr>
          <w:hyperlink w:anchor="_Toc202996996" w:history="1">
            <w:r w:rsidR="0007620B" w:rsidRPr="0007620B">
              <w:rPr>
                <w:rStyle w:val="Hipervnculo"/>
                <w:noProof/>
                <w:color w:val="auto"/>
              </w:rPr>
              <w:t>DEL RECURSO DE REVISIÓN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_Toc202996996 \h </w:instrText>
            </w:r>
            <w:r w:rsidR="0007620B" w:rsidRPr="0007620B">
              <w:rPr>
                <w:noProof/>
                <w:webHidden/>
              </w:rPr>
            </w:r>
            <w:r w:rsidR="0007620B" w:rsidRPr="0007620B">
              <w:rPr>
                <w:noProof/>
                <w:webHidden/>
              </w:rPr>
              <w:fldChar w:fldCharType="separate"/>
            </w:r>
            <w:r w:rsidR="0007620B" w:rsidRPr="0007620B">
              <w:rPr>
                <w:noProof/>
                <w:webHidden/>
              </w:rPr>
              <w:t>5</w:t>
            </w:r>
            <w:r w:rsidR="0007620B" w:rsidRPr="0007620B">
              <w:rPr>
                <w:noProof/>
                <w:webHidden/>
              </w:rPr>
              <w:fldChar w:fldCharType="end"/>
            </w:r>
          </w:hyperlink>
        </w:p>
        <w:p w14:paraId="60496AE6" w14:textId="63577FB6"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7" w:history="1">
            <w:r w:rsidR="0007620B" w:rsidRPr="0007620B">
              <w:rPr>
                <w:rStyle w:val="Hipervnculo"/>
                <w:noProof/>
                <w:color w:val="auto"/>
              </w:rPr>
              <w:t>a) Interposición del Recurso de Revisión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_Toc202996997 \h </w:instrText>
            </w:r>
            <w:r w:rsidR="0007620B" w:rsidRPr="0007620B">
              <w:rPr>
                <w:noProof/>
                <w:webHidden/>
              </w:rPr>
            </w:r>
            <w:r w:rsidR="0007620B" w:rsidRPr="0007620B">
              <w:rPr>
                <w:noProof/>
                <w:webHidden/>
              </w:rPr>
              <w:fldChar w:fldCharType="separate"/>
            </w:r>
            <w:r w:rsidR="0007620B" w:rsidRPr="0007620B">
              <w:rPr>
                <w:noProof/>
                <w:webHidden/>
              </w:rPr>
              <w:t>5</w:t>
            </w:r>
            <w:r w:rsidR="0007620B" w:rsidRPr="0007620B">
              <w:rPr>
                <w:noProof/>
                <w:webHidden/>
              </w:rPr>
              <w:fldChar w:fldCharType="end"/>
            </w:r>
          </w:hyperlink>
        </w:p>
        <w:p w14:paraId="7B96D677" w14:textId="2A03A9DD"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8" w:history="1">
            <w:r w:rsidR="0007620B" w:rsidRPr="0007620B">
              <w:rPr>
                <w:rStyle w:val="Hipervnculo"/>
                <w:noProof/>
                <w:color w:val="auto"/>
              </w:rPr>
              <w:t>b) Turno del Recurso de Revisión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_Toc202996998 \h </w:instrText>
            </w:r>
            <w:r w:rsidR="0007620B" w:rsidRPr="0007620B">
              <w:rPr>
                <w:noProof/>
                <w:webHidden/>
              </w:rPr>
            </w:r>
            <w:r w:rsidR="0007620B" w:rsidRPr="0007620B">
              <w:rPr>
                <w:noProof/>
                <w:webHidden/>
              </w:rPr>
              <w:fldChar w:fldCharType="separate"/>
            </w:r>
            <w:r w:rsidR="0007620B" w:rsidRPr="0007620B">
              <w:rPr>
                <w:noProof/>
                <w:webHidden/>
              </w:rPr>
              <w:t>6</w:t>
            </w:r>
            <w:r w:rsidR="0007620B" w:rsidRPr="0007620B">
              <w:rPr>
                <w:noProof/>
                <w:webHidden/>
              </w:rPr>
              <w:fldChar w:fldCharType="end"/>
            </w:r>
          </w:hyperlink>
        </w:p>
        <w:p w14:paraId="64AE8D10" w14:textId="270724A2"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6999" w:history="1">
            <w:r w:rsidR="0007620B" w:rsidRPr="0007620B">
              <w:rPr>
                <w:rStyle w:val="Hipervnculo"/>
                <w:noProof/>
                <w:color w:val="auto"/>
              </w:rPr>
              <w:t>c) Admisión del Recurso de Revisión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_Toc202996999 \h </w:instrText>
            </w:r>
            <w:r w:rsidR="0007620B" w:rsidRPr="0007620B">
              <w:rPr>
                <w:noProof/>
                <w:webHidden/>
              </w:rPr>
            </w:r>
            <w:r w:rsidR="0007620B" w:rsidRPr="0007620B">
              <w:rPr>
                <w:noProof/>
                <w:webHidden/>
              </w:rPr>
              <w:fldChar w:fldCharType="separate"/>
            </w:r>
            <w:r w:rsidR="0007620B" w:rsidRPr="0007620B">
              <w:rPr>
                <w:noProof/>
                <w:webHidden/>
              </w:rPr>
              <w:t>6</w:t>
            </w:r>
            <w:r w:rsidR="0007620B" w:rsidRPr="0007620B">
              <w:rPr>
                <w:noProof/>
                <w:webHidden/>
              </w:rPr>
              <w:fldChar w:fldCharType="end"/>
            </w:r>
          </w:hyperlink>
        </w:p>
        <w:p w14:paraId="17668624" w14:textId="32FAE7AE"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0" w:history="1">
            <w:r w:rsidR="0007620B" w:rsidRPr="0007620B">
              <w:rPr>
                <w:rStyle w:val="Hipervnculo"/>
                <w:noProof/>
                <w:color w:val="auto"/>
              </w:rPr>
              <w:t>d) Informe Justificado del Sujeto Obligado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_Toc202997000 \h </w:instrText>
            </w:r>
            <w:r w:rsidR="0007620B" w:rsidRPr="0007620B">
              <w:rPr>
                <w:noProof/>
                <w:webHidden/>
              </w:rPr>
            </w:r>
            <w:r w:rsidR="0007620B" w:rsidRPr="0007620B">
              <w:rPr>
                <w:noProof/>
                <w:webHidden/>
              </w:rPr>
              <w:fldChar w:fldCharType="separate"/>
            </w:r>
            <w:r w:rsidR="0007620B" w:rsidRPr="0007620B">
              <w:rPr>
                <w:noProof/>
                <w:webHidden/>
              </w:rPr>
              <w:t>6</w:t>
            </w:r>
            <w:r w:rsidR="0007620B" w:rsidRPr="0007620B">
              <w:rPr>
                <w:noProof/>
                <w:webHidden/>
              </w:rPr>
              <w:fldChar w:fldCharType="end"/>
            </w:r>
          </w:hyperlink>
        </w:p>
        <w:p w14:paraId="5334D90F" w14:textId="088C5915"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1" w:history="1">
            <w:r w:rsidR="0007620B" w:rsidRPr="0007620B">
              <w:rPr>
                <w:rStyle w:val="Hipervnculo"/>
                <w:noProof/>
                <w:color w:val="auto"/>
              </w:rPr>
              <w:t>e) Manifestaciones de la Parte Recurrente</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_Toc202997001 \h </w:instrText>
            </w:r>
            <w:r w:rsidR="0007620B" w:rsidRPr="0007620B">
              <w:rPr>
                <w:noProof/>
                <w:webHidden/>
              </w:rPr>
            </w:r>
            <w:r w:rsidR="0007620B" w:rsidRPr="0007620B">
              <w:rPr>
                <w:noProof/>
                <w:webHidden/>
              </w:rPr>
              <w:fldChar w:fldCharType="separate"/>
            </w:r>
            <w:r w:rsidR="0007620B" w:rsidRPr="0007620B">
              <w:rPr>
                <w:noProof/>
                <w:webHidden/>
              </w:rPr>
              <w:t>6</w:t>
            </w:r>
            <w:r w:rsidR="0007620B" w:rsidRPr="0007620B">
              <w:rPr>
                <w:noProof/>
                <w:webHidden/>
              </w:rPr>
              <w:fldChar w:fldCharType="end"/>
            </w:r>
          </w:hyperlink>
        </w:p>
        <w:p w14:paraId="2D780751" w14:textId="5EAB55D9"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2" w:history="1">
            <w:r w:rsidR="0007620B" w:rsidRPr="0007620B">
              <w:rPr>
                <w:rStyle w:val="Hipervnculo"/>
                <w:noProof/>
                <w:color w:val="auto"/>
              </w:rPr>
              <w:t>f) Cierre de instrucción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_Toc202997002 \h </w:instrText>
            </w:r>
            <w:r w:rsidR="0007620B" w:rsidRPr="0007620B">
              <w:rPr>
                <w:noProof/>
                <w:webHidden/>
              </w:rPr>
            </w:r>
            <w:r w:rsidR="0007620B" w:rsidRPr="0007620B">
              <w:rPr>
                <w:noProof/>
                <w:webHidden/>
              </w:rPr>
              <w:fldChar w:fldCharType="separate"/>
            </w:r>
            <w:r w:rsidR="0007620B" w:rsidRPr="0007620B">
              <w:rPr>
                <w:noProof/>
                <w:webHidden/>
              </w:rPr>
              <w:t>7</w:t>
            </w:r>
            <w:r w:rsidR="0007620B" w:rsidRPr="0007620B">
              <w:rPr>
                <w:noProof/>
                <w:webHidden/>
              </w:rPr>
              <w:fldChar w:fldCharType="end"/>
            </w:r>
          </w:hyperlink>
        </w:p>
        <w:p w14:paraId="70BD735B" w14:textId="76CE253A"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3" w:history="1">
            <w:r w:rsidR="0007620B" w:rsidRPr="0007620B">
              <w:rPr>
                <w:rStyle w:val="Hipervnculo"/>
                <w:noProof/>
                <w:color w:val="auto"/>
              </w:rPr>
              <w:t>g) Ampliación de Plazo para Resolver</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_Toc202997003 \h </w:instrText>
            </w:r>
            <w:r w:rsidR="0007620B" w:rsidRPr="0007620B">
              <w:rPr>
                <w:noProof/>
                <w:webHidden/>
              </w:rPr>
            </w:r>
            <w:r w:rsidR="0007620B" w:rsidRPr="0007620B">
              <w:rPr>
                <w:noProof/>
                <w:webHidden/>
              </w:rPr>
              <w:fldChar w:fldCharType="separate"/>
            </w:r>
            <w:r w:rsidR="0007620B" w:rsidRPr="0007620B">
              <w:rPr>
                <w:noProof/>
                <w:webHidden/>
              </w:rPr>
              <w:t>7</w:t>
            </w:r>
            <w:r w:rsidR="0007620B" w:rsidRPr="0007620B">
              <w:rPr>
                <w:noProof/>
                <w:webHidden/>
              </w:rPr>
              <w:fldChar w:fldCharType="end"/>
            </w:r>
          </w:hyperlink>
        </w:p>
        <w:p w14:paraId="2EFF6E75" w14:textId="7341E4F2" w:rsidR="0007620B" w:rsidRPr="0007620B" w:rsidRDefault="007B0EE0" w:rsidP="0007620B">
          <w:pPr>
            <w:pStyle w:val="TDC1"/>
            <w:tabs>
              <w:tab w:val="right" w:leader="dot" w:pos="9034"/>
            </w:tabs>
            <w:rPr>
              <w:rFonts w:asciiTheme="minorHAnsi" w:eastAsiaTheme="minorEastAsia" w:hAnsiTheme="minorHAnsi" w:cstheme="minorBidi"/>
              <w:noProof/>
            </w:rPr>
          </w:pPr>
          <w:hyperlink w:anchor="_Toc202997004" w:history="1">
            <w:r w:rsidR="0007620B" w:rsidRPr="0007620B">
              <w:rPr>
                <w:rStyle w:val="Hipervnculo"/>
                <w:noProof/>
                <w:color w:val="auto"/>
              </w:rPr>
              <w:t>CONSIDERANDOS</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_Toc202997004 \h </w:instrText>
            </w:r>
            <w:r w:rsidR="0007620B" w:rsidRPr="0007620B">
              <w:rPr>
                <w:noProof/>
                <w:webHidden/>
              </w:rPr>
            </w:r>
            <w:r w:rsidR="0007620B" w:rsidRPr="0007620B">
              <w:rPr>
                <w:noProof/>
                <w:webHidden/>
              </w:rPr>
              <w:fldChar w:fldCharType="separate"/>
            </w:r>
            <w:r w:rsidR="0007620B" w:rsidRPr="0007620B">
              <w:rPr>
                <w:noProof/>
                <w:webHidden/>
              </w:rPr>
              <w:t>7</w:t>
            </w:r>
            <w:r w:rsidR="0007620B" w:rsidRPr="0007620B">
              <w:rPr>
                <w:noProof/>
                <w:webHidden/>
              </w:rPr>
              <w:fldChar w:fldCharType="end"/>
            </w:r>
          </w:hyperlink>
        </w:p>
        <w:p w14:paraId="183D56D9" w14:textId="6EAAB678" w:rsidR="0007620B" w:rsidRPr="0007620B" w:rsidRDefault="007B0EE0" w:rsidP="0007620B">
          <w:pPr>
            <w:pStyle w:val="TDC2"/>
            <w:tabs>
              <w:tab w:val="right" w:leader="dot" w:pos="9034"/>
            </w:tabs>
            <w:rPr>
              <w:rFonts w:asciiTheme="minorHAnsi" w:eastAsiaTheme="minorEastAsia" w:hAnsiTheme="minorHAnsi" w:cstheme="minorBidi"/>
              <w:noProof/>
            </w:rPr>
          </w:pPr>
          <w:hyperlink w:anchor="_Toc202997005" w:history="1">
            <w:r w:rsidR="0007620B" w:rsidRPr="0007620B">
              <w:rPr>
                <w:rStyle w:val="Hipervnculo"/>
                <w:noProof/>
                <w:color w:val="auto"/>
              </w:rPr>
              <w:t>PRIMERO. Procedibilidad</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_Toc202997005 \h </w:instrText>
            </w:r>
            <w:r w:rsidR="0007620B" w:rsidRPr="0007620B">
              <w:rPr>
                <w:noProof/>
                <w:webHidden/>
              </w:rPr>
            </w:r>
            <w:r w:rsidR="0007620B" w:rsidRPr="0007620B">
              <w:rPr>
                <w:noProof/>
                <w:webHidden/>
              </w:rPr>
              <w:fldChar w:fldCharType="separate"/>
            </w:r>
            <w:r w:rsidR="0007620B" w:rsidRPr="0007620B">
              <w:rPr>
                <w:noProof/>
                <w:webHidden/>
              </w:rPr>
              <w:t>7</w:t>
            </w:r>
            <w:r w:rsidR="0007620B" w:rsidRPr="0007620B">
              <w:rPr>
                <w:noProof/>
                <w:webHidden/>
              </w:rPr>
              <w:fldChar w:fldCharType="end"/>
            </w:r>
          </w:hyperlink>
        </w:p>
        <w:p w14:paraId="04397C3B" w14:textId="357EFC18"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6" w:history="1">
            <w:r w:rsidR="0007620B" w:rsidRPr="0007620B">
              <w:rPr>
                <w:rStyle w:val="Hipervnculo"/>
                <w:noProof/>
                <w:color w:val="auto"/>
              </w:rPr>
              <w:t>a) Competencia del Instituto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_Toc202997006 \h </w:instrText>
            </w:r>
            <w:r w:rsidR="0007620B" w:rsidRPr="0007620B">
              <w:rPr>
                <w:noProof/>
                <w:webHidden/>
              </w:rPr>
            </w:r>
            <w:r w:rsidR="0007620B" w:rsidRPr="0007620B">
              <w:rPr>
                <w:noProof/>
                <w:webHidden/>
              </w:rPr>
              <w:fldChar w:fldCharType="separate"/>
            </w:r>
            <w:r w:rsidR="0007620B" w:rsidRPr="0007620B">
              <w:rPr>
                <w:noProof/>
                <w:webHidden/>
              </w:rPr>
              <w:t>7</w:t>
            </w:r>
            <w:r w:rsidR="0007620B" w:rsidRPr="0007620B">
              <w:rPr>
                <w:noProof/>
                <w:webHidden/>
              </w:rPr>
              <w:fldChar w:fldCharType="end"/>
            </w:r>
          </w:hyperlink>
        </w:p>
        <w:p w14:paraId="2C5F9C28" w14:textId="5676F3BA"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7" w:history="1">
            <w:r w:rsidR="0007620B" w:rsidRPr="0007620B">
              <w:rPr>
                <w:rStyle w:val="Hipervnculo"/>
                <w:noProof/>
                <w:color w:val="auto"/>
              </w:rPr>
              <w:t>b) Legitimidad de la parte recurrente</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_Toc202997007 \h </w:instrText>
            </w:r>
            <w:r w:rsidR="0007620B" w:rsidRPr="0007620B">
              <w:rPr>
                <w:noProof/>
                <w:webHidden/>
              </w:rPr>
            </w:r>
            <w:r w:rsidR="0007620B" w:rsidRPr="0007620B">
              <w:rPr>
                <w:noProof/>
                <w:webHidden/>
              </w:rPr>
              <w:fldChar w:fldCharType="separate"/>
            </w:r>
            <w:r w:rsidR="0007620B" w:rsidRPr="0007620B">
              <w:rPr>
                <w:noProof/>
                <w:webHidden/>
              </w:rPr>
              <w:t>8</w:t>
            </w:r>
            <w:r w:rsidR="0007620B" w:rsidRPr="0007620B">
              <w:rPr>
                <w:noProof/>
                <w:webHidden/>
              </w:rPr>
              <w:fldChar w:fldCharType="end"/>
            </w:r>
          </w:hyperlink>
        </w:p>
        <w:p w14:paraId="6AF67143" w14:textId="7CC2499D"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8" w:history="1">
            <w:r w:rsidR="0007620B" w:rsidRPr="0007620B">
              <w:rPr>
                <w:rStyle w:val="Hipervnculo"/>
                <w:noProof/>
                <w:color w:val="auto"/>
              </w:rPr>
              <w:t>c) Plazo para interponer el recurso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_Toc202997008 \h </w:instrText>
            </w:r>
            <w:r w:rsidR="0007620B" w:rsidRPr="0007620B">
              <w:rPr>
                <w:noProof/>
                <w:webHidden/>
              </w:rPr>
            </w:r>
            <w:r w:rsidR="0007620B" w:rsidRPr="0007620B">
              <w:rPr>
                <w:noProof/>
                <w:webHidden/>
              </w:rPr>
              <w:fldChar w:fldCharType="separate"/>
            </w:r>
            <w:r w:rsidR="0007620B" w:rsidRPr="0007620B">
              <w:rPr>
                <w:noProof/>
                <w:webHidden/>
              </w:rPr>
              <w:t>8</w:t>
            </w:r>
            <w:r w:rsidR="0007620B" w:rsidRPr="0007620B">
              <w:rPr>
                <w:noProof/>
                <w:webHidden/>
              </w:rPr>
              <w:fldChar w:fldCharType="end"/>
            </w:r>
          </w:hyperlink>
        </w:p>
        <w:p w14:paraId="0B64032A" w14:textId="672DFDD6"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09" w:history="1">
            <w:r w:rsidR="0007620B" w:rsidRPr="0007620B">
              <w:rPr>
                <w:rStyle w:val="Hipervnculo"/>
                <w:noProof/>
                <w:color w:val="auto"/>
              </w:rPr>
              <w:t>d) Causal de Procedencia</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_Toc202997009 \h </w:instrText>
            </w:r>
            <w:r w:rsidR="0007620B" w:rsidRPr="0007620B">
              <w:rPr>
                <w:noProof/>
                <w:webHidden/>
              </w:rPr>
            </w:r>
            <w:r w:rsidR="0007620B" w:rsidRPr="0007620B">
              <w:rPr>
                <w:noProof/>
                <w:webHidden/>
              </w:rPr>
              <w:fldChar w:fldCharType="separate"/>
            </w:r>
            <w:r w:rsidR="0007620B" w:rsidRPr="0007620B">
              <w:rPr>
                <w:noProof/>
                <w:webHidden/>
              </w:rPr>
              <w:t>8</w:t>
            </w:r>
            <w:r w:rsidR="0007620B" w:rsidRPr="0007620B">
              <w:rPr>
                <w:noProof/>
                <w:webHidden/>
              </w:rPr>
              <w:fldChar w:fldCharType="end"/>
            </w:r>
          </w:hyperlink>
        </w:p>
        <w:p w14:paraId="16DA246C" w14:textId="7D5E9F20"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0" w:history="1">
            <w:r w:rsidR="0007620B" w:rsidRPr="0007620B">
              <w:rPr>
                <w:rStyle w:val="Hipervnculo"/>
                <w:noProof/>
                <w:color w:val="auto"/>
              </w:rPr>
              <w:t>e) Requisitos formales para la interposición del recurso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_Toc202997010 \h </w:instrText>
            </w:r>
            <w:r w:rsidR="0007620B" w:rsidRPr="0007620B">
              <w:rPr>
                <w:noProof/>
                <w:webHidden/>
              </w:rPr>
            </w:r>
            <w:r w:rsidR="0007620B" w:rsidRPr="0007620B">
              <w:rPr>
                <w:noProof/>
                <w:webHidden/>
              </w:rPr>
              <w:fldChar w:fldCharType="separate"/>
            </w:r>
            <w:r w:rsidR="0007620B" w:rsidRPr="0007620B">
              <w:rPr>
                <w:noProof/>
                <w:webHidden/>
              </w:rPr>
              <w:t>9</w:t>
            </w:r>
            <w:r w:rsidR="0007620B" w:rsidRPr="0007620B">
              <w:rPr>
                <w:noProof/>
                <w:webHidden/>
              </w:rPr>
              <w:fldChar w:fldCharType="end"/>
            </w:r>
          </w:hyperlink>
        </w:p>
        <w:p w14:paraId="49B4059F" w14:textId="2D114F25" w:rsidR="0007620B" w:rsidRPr="0007620B" w:rsidRDefault="007B0EE0" w:rsidP="0007620B">
          <w:pPr>
            <w:pStyle w:val="TDC2"/>
            <w:tabs>
              <w:tab w:val="right" w:leader="dot" w:pos="9034"/>
            </w:tabs>
            <w:rPr>
              <w:rFonts w:asciiTheme="minorHAnsi" w:eastAsiaTheme="minorEastAsia" w:hAnsiTheme="minorHAnsi" w:cstheme="minorBidi"/>
              <w:noProof/>
            </w:rPr>
          </w:pPr>
          <w:hyperlink w:anchor="_Toc202997011" w:history="1">
            <w:r w:rsidR="0007620B" w:rsidRPr="0007620B">
              <w:rPr>
                <w:rStyle w:val="Hipervnculo"/>
                <w:noProof/>
                <w:color w:val="auto"/>
              </w:rPr>
              <w:t>SEGUNDO. Estudio de Fondo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_Toc202997011 \h </w:instrText>
            </w:r>
            <w:r w:rsidR="0007620B" w:rsidRPr="0007620B">
              <w:rPr>
                <w:noProof/>
                <w:webHidden/>
              </w:rPr>
            </w:r>
            <w:r w:rsidR="0007620B" w:rsidRPr="0007620B">
              <w:rPr>
                <w:noProof/>
                <w:webHidden/>
              </w:rPr>
              <w:fldChar w:fldCharType="separate"/>
            </w:r>
            <w:r w:rsidR="0007620B" w:rsidRPr="0007620B">
              <w:rPr>
                <w:noProof/>
                <w:webHidden/>
              </w:rPr>
              <w:t>9</w:t>
            </w:r>
            <w:r w:rsidR="0007620B" w:rsidRPr="0007620B">
              <w:rPr>
                <w:noProof/>
                <w:webHidden/>
              </w:rPr>
              <w:fldChar w:fldCharType="end"/>
            </w:r>
          </w:hyperlink>
        </w:p>
        <w:p w14:paraId="1A487C0E" w14:textId="0056A2D7"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2" w:history="1">
            <w:r w:rsidR="0007620B" w:rsidRPr="0007620B">
              <w:rPr>
                <w:rStyle w:val="Hipervnculo"/>
                <w:noProof/>
                <w:color w:val="auto"/>
              </w:rPr>
              <w:t>a) Mandato de transparencia y responsabilidad del Sujeto Obligado</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_Toc202997012 \h </w:instrText>
            </w:r>
            <w:r w:rsidR="0007620B" w:rsidRPr="0007620B">
              <w:rPr>
                <w:noProof/>
                <w:webHidden/>
              </w:rPr>
            </w:r>
            <w:r w:rsidR="0007620B" w:rsidRPr="0007620B">
              <w:rPr>
                <w:noProof/>
                <w:webHidden/>
              </w:rPr>
              <w:fldChar w:fldCharType="separate"/>
            </w:r>
            <w:r w:rsidR="0007620B" w:rsidRPr="0007620B">
              <w:rPr>
                <w:noProof/>
                <w:webHidden/>
              </w:rPr>
              <w:t>9</w:t>
            </w:r>
            <w:r w:rsidR="0007620B" w:rsidRPr="0007620B">
              <w:rPr>
                <w:noProof/>
                <w:webHidden/>
              </w:rPr>
              <w:fldChar w:fldCharType="end"/>
            </w:r>
          </w:hyperlink>
        </w:p>
        <w:p w14:paraId="69CBF003" w14:textId="5EA6BAE0"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3" w:history="1">
            <w:r w:rsidR="0007620B" w:rsidRPr="0007620B">
              <w:rPr>
                <w:rStyle w:val="Hipervnculo"/>
                <w:noProof/>
                <w:color w:val="auto"/>
              </w:rPr>
              <w:t>b) Controversia a resolver</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_Toc202997013 \h </w:instrText>
            </w:r>
            <w:r w:rsidR="0007620B" w:rsidRPr="0007620B">
              <w:rPr>
                <w:noProof/>
                <w:webHidden/>
              </w:rPr>
            </w:r>
            <w:r w:rsidR="0007620B" w:rsidRPr="0007620B">
              <w:rPr>
                <w:noProof/>
                <w:webHidden/>
              </w:rPr>
              <w:fldChar w:fldCharType="separate"/>
            </w:r>
            <w:r w:rsidR="0007620B" w:rsidRPr="0007620B">
              <w:rPr>
                <w:noProof/>
                <w:webHidden/>
              </w:rPr>
              <w:t>12</w:t>
            </w:r>
            <w:r w:rsidR="0007620B" w:rsidRPr="0007620B">
              <w:rPr>
                <w:noProof/>
                <w:webHidden/>
              </w:rPr>
              <w:fldChar w:fldCharType="end"/>
            </w:r>
          </w:hyperlink>
        </w:p>
        <w:p w14:paraId="4FC39581" w14:textId="6C8866AB"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4" w:history="1">
            <w:r w:rsidR="0007620B" w:rsidRPr="0007620B">
              <w:rPr>
                <w:rStyle w:val="Hipervnculo"/>
                <w:noProof/>
                <w:color w:val="auto"/>
              </w:rPr>
              <w:t>c) Estudio de la controversia</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_Toc202997014 \h </w:instrText>
            </w:r>
            <w:r w:rsidR="0007620B" w:rsidRPr="0007620B">
              <w:rPr>
                <w:noProof/>
                <w:webHidden/>
              </w:rPr>
            </w:r>
            <w:r w:rsidR="0007620B" w:rsidRPr="0007620B">
              <w:rPr>
                <w:noProof/>
                <w:webHidden/>
              </w:rPr>
              <w:fldChar w:fldCharType="separate"/>
            </w:r>
            <w:r w:rsidR="0007620B" w:rsidRPr="0007620B">
              <w:rPr>
                <w:noProof/>
                <w:webHidden/>
              </w:rPr>
              <w:t>14</w:t>
            </w:r>
            <w:r w:rsidR="0007620B" w:rsidRPr="0007620B">
              <w:rPr>
                <w:noProof/>
                <w:webHidden/>
              </w:rPr>
              <w:fldChar w:fldCharType="end"/>
            </w:r>
          </w:hyperlink>
        </w:p>
        <w:p w14:paraId="1D4B5DB7" w14:textId="7FC096DD"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5" w:history="1">
            <w:r w:rsidR="0007620B" w:rsidRPr="0007620B">
              <w:rPr>
                <w:rStyle w:val="Hipervnculo"/>
                <w:noProof/>
                <w:color w:val="auto"/>
              </w:rPr>
              <w:t>d) Versión pública.</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_Toc202997015 \h </w:instrText>
            </w:r>
            <w:r w:rsidR="0007620B" w:rsidRPr="0007620B">
              <w:rPr>
                <w:noProof/>
                <w:webHidden/>
              </w:rPr>
            </w:r>
            <w:r w:rsidR="0007620B" w:rsidRPr="0007620B">
              <w:rPr>
                <w:noProof/>
                <w:webHidden/>
              </w:rPr>
              <w:fldChar w:fldCharType="separate"/>
            </w:r>
            <w:r w:rsidR="0007620B" w:rsidRPr="0007620B">
              <w:rPr>
                <w:noProof/>
                <w:webHidden/>
              </w:rPr>
              <w:t>49</w:t>
            </w:r>
            <w:r w:rsidR="0007620B" w:rsidRPr="0007620B">
              <w:rPr>
                <w:noProof/>
                <w:webHidden/>
              </w:rPr>
              <w:fldChar w:fldCharType="end"/>
            </w:r>
          </w:hyperlink>
        </w:p>
        <w:p w14:paraId="6F5705E0" w14:textId="4783E696" w:rsidR="0007620B" w:rsidRPr="0007620B" w:rsidRDefault="007B0EE0" w:rsidP="0007620B">
          <w:pPr>
            <w:pStyle w:val="TDC3"/>
            <w:tabs>
              <w:tab w:val="right" w:leader="dot" w:pos="9034"/>
            </w:tabs>
            <w:rPr>
              <w:rFonts w:asciiTheme="minorHAnsi" w:eastAsiaTheme="minorEastAsia" w:hAnsiTheme="minorHAnsi" w:cstheme="minorBidi"/>
              <w:noProof/>
            </w:rPr>
          </w:pPr>
          <w:hyperlink w:anchor="_Toc202997016" w:history="1">
            <w:r w:rsidR="0007620B" w:rsidRPr="0007620B">
              <w:rPr>
                <w:rStyle w:val="Hipervnculo"/>
                <w:noProof/>
                <w:color w:val="auto"/>
              </w:rPr>
              <w:t>e) Conclusión</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_Toc202997016 \h </w:instrText>
            </w:r>
            <w:r w:rsidR="0007620B" w:rsidRPr="0007620B">
              <w:rPr>
                <w:noProof/>
                <w:webHidden/>
              </w:rPr>
            </w:r>
            <w:r w:rsidR="0007620B" w:rsidRPr="0007620B">
              <w:rPr>
                <w:noProof/>
                <w:webHidden/>
              </w:rPr>
              <w:fldChar w:fldCharType="separate"/>
            </w:r>
            <w:r w:rsidR="0007620B" w:rsidRPr="0007620B">
              <w:rPr>
                <w:noProof/>
                <w:webHidden/>
              </w:rPr>
              <w:t>58</w:t>
            </w:r>
            <w:r w:rsidR="0007620B" w:rsidRPr="0007620B">
              <w:rPr>
                <w:noProof/>
                <w:webHidden/>
              </w:rPr>
              <w:fldChar w:fldCharType="end"/>
            </w:r>
          </w:hyperlink>
        </w:p>
        <w:p w14:paraId="78895EC1" w14:textId="57C523F5" w:rsidR="0007620B" w:rsidRPr="0007620B" w:rsidRDefault="007B0EE0" w:rsidP="0007620B">
          <w:pPr>
            <w:pStyle w:val="TDC1"/>
            <w:tabs>
              <w:tab w:val="right" w:leader="dot" w:pos="9034"/>
            </w:tabs>
            <w:rPr>
              <w:rFonts w:asciiTheme="minorHAnsi" w:eastAsiaTheme="minorEastAsia" w:hAnsiTheme="minorHAnsi" w:cstheme="minorBidi"/>
              <w:noProof/>
            </w:rPr>
          </w:pPr>
          <w:hyperlink w:anchor="_Toc202997017" w:history="1">
            <w:r w:rsidR="0007620B" w:rsidRPr="0007620B">
              <w:rPr>
                <w:rStyle w:val="Hipervnculo"/>
                <w:noProof/>
                <w:color w:val="auto"/>
              </w:rPr>
              <w:t>RESUELVE</w:t>
            </w:r>
            <w:r w:rsidR="0007620B" w:rsidRPr="0007620B">
              <w:rPr>
                <w:noProof/>
                <w:webHidden/>
              </w:rPr>
              <w:tab/>
            </w:r>
            <w:r w:rsidR="0007620B" w:rsidRPr="0007620B">
              <w:rPr>
                <w:noProof/>
                <w:webHidden/>
              </w:rPr>
              <w:fldChar w:fldCharType="begin"/>
            </w:r>
            <w:r w:rsidR="0007620B" w:rsidRPr="0007620B">
              <w:rPr>
                <w:noProof/>
                <w:webHidden/>
              </w:rPr>
              <w:instrText xml:space="preserve"> PAGEREF _Toc202997017 \h </w:instrText>
            </w:r>
            <w:r w:rsidR="0007620B" w:rsidRPr="0007620B">
              <w:rPr>
                <w:noProof/>
                <w:webHidden/>
              </w:rPr>
            </w:r>
            <w:r w:rsidR="0007620B" w:rsidRPr="0007620B">
              <w:rPr>
                <w:noProof/>
                <w:webHidden/>
              </w:rPr>
              <w:fldChar w:fldCharType="separate"/>
            </w:r>
            <w:r w:rsidR="0007620B" w:rsidRPr="0007620B">
              <w:rPr>
                <w:noProof/>
                <w:webHidden/>
              </w:rPr>
              <w:t>58</w:t>
            </w:r>
            <w:r w:rsidR="0007620B" w:rsidRPr="0007620B">
              <w:rPr>
                <w:noProof/>
                <w:webHidden/>
              </w:rPr>
              <w:fldChar w:fldCharType="end"/>
            </w:r>
          </w:hyperlink>
        </w:p>
        <w:p w14:paraId="2F48606F" w14:textId="79770E9F" w:rsidR="000162A1" w:rsidRPr="0007620B" w:rsidRDefault="000162A1" w:rsidP="0007620B">
          <w:r w:rsidRPr="0007620B">
            <w:rPr>
              <w:b/>
              <w:bCs/>
              <w:lang w:val="es-ES"/>
            </w:rPr>
            <w:fldChar w:fldCharType="end"/>
          </w:r>
        </w:p>
      </w:sdtContent>
    </w:sdt>
    <w:p w14:paraId="06A84BAF" w14:textId="77777777" w:rsidR="00FF365E" w:rsidRPr="0007620B" w:rsidRDefault="00FF365E" w:rsidP="0007620B">
      <w:pPr>
        <w:pBdr>
          <w:top w:val="nil"/>
          <w:left w:val="nil"/>
          <w:bottom w:val="nil"/>
          <w:right w:val="nil"/>
          <w:between w:val="nil"/>
        </w:pBdr>
        <w:tabs>
          <w:tab w:val="right" w:pos="9034"/>
        </w:tabs>
        <w:spacing w:after="100"/>
        <w:rPr>
          <w:b/>
        </w:rPr>
        <w:sectPr w:rsidR="00FF365E" w:rsidRPr="0007620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16C2563" w14:textId="6A103284" w:rsidR="00FF365E" w:rsidRPr="0007620B" w:rsidRDefault="00A83939" w:rsidP="0007620B">
      <w:pPr>
        <w:rPr>
          <w:b/>
        </w:rPr>
      </w:pPr>
      <w:r w:rsidRPr="0007620B">
        <w:lastRenderedPageBreak/>
        <w:t>Resolución del Pleno del Instituto de Transparencia, Acceso a la Información Pública y Protección de Datos Personales del Estado de México y Municipios, con domicilio en Metepec, Estado de México, de</w:t>
      </w:r>
      <w:r w:rsidR="0007620B" w:rsidRPr="0007620B">
        <w:t>l</w:t>
      </w:r>
      <w:r w:rsidR="0024296E" w:rsidRPr="0007620B">
        <w:t xml:space="preserve"> </w:t>
      </w:r>
      <w:r w:rsidR="0024296E" w:rsidRPr="0007620B">
        <w:rPr>
          <w:b/>
          <w:bCs/>
        </w:rPr>
        <w:t>nueve</w:t>
      </w:r>
      <w:r w:rsidR="00D74E84" w:rsidRPr="0007620B">
        <w:rPr>
          <w:b/>
        </w:rPr>
        <w:t xml:space="preserve"> de julio</w:t>
      </w:r>
      <w:r w:rsidRPr="0007620B">
        <w:rPr>
          <w:b/>
        </w:rPr>
        <w:t xml:space="preserve"> de dos mil veinticinco.</w:t>
      </w:r>
    </w:p>
    <w:p w14:paraId="2CE2EBE8" w14:textId="77777777" w:rsidR="00FF365E" w:rsidRPr="0007620B" w:rsidRDefault="00FF365E" w:rsidP="0007620B"/>
    <w:p w14:paraId="1880EBD1" w14:textId="2CE8F538" w:rsidR="00FF365E" w:rsidRPr="0007620B" w:rsidRDefault="00A83939" w:rsidP="0007620B">
      <w:r w:rsidRPr="0007620B">
        <w:rPr>
          <w:b/>
        </w:rPr>
        <w:t xml:space="preserve">VISTO </w:t>
      </w:r>
      <w:r w:rsidRPr="0007620B">
        <w:t xml:space="preserve">el expediente formado con motivo del Recurso de Revisión </w:t>
      </w:r>
      <w:r w:rsidR="00323569" w:rsidRPr="0007620B">
        <w:rPr>
          <w:b/>
        </w:rPr>
        <w:t>04417/INFOEM/IP/RR/2025</w:t>
      </w:r>
      <w:r w:rsidRPr="0007620B">
        <w:rPr>
          <w:b/>
        </w:rPr>
        <w:t xml:space="preserve"> </w:t>
      </w:r>
      <w:r w:rsidRPr="0007620B">
        <w:t xml:space="preserve">interpuesto por </w:t>
      </w:r>
      <w:r w:rsidR="009C2044">
        <w:rPr>
          <w:b/>
        </w:rPr>
        <w:t>XXXX</w:t>
      </w:r>
      <w:r w:rsidRPr="0007620B">
        <w:t xml:space="preserve">, a quien en lo subsecuente se le denominará </w:t>
      </w:r>
      <w:r w:rsidRPr="0007620B">
        <w:rPr>
          <w:b/>
        </w:rPr>
        <w:t>LA PARTE RECURRENTE</w:t>
      </w:r>
      <w:r w:rsidRPr="0007620B">
        <w:t xml:space="preserve">, en contra de la respuesta emitida por el </w:t>
      </w:r>
      <w:r w:rsidR="0096071E" w:rsidRPr="0007620B">
        <w:rPr>
          <w:b/>
        </w:rPr>
        <w:t>Ayuntamiento de Chimalhuacán</w:t>
      </w:r>
      <w:r w:rsidRPr="0007620B">
        <w:t xml:space="preserve">, en adelante </w:t>
      </w:r>
      <w:r w:rsidRPr="0007620B">
        <w:rPr>
          <w:b/>
        </w:rPr>
        <w:t>EL SUJETO OBLIGADO</w:t>
      </w:r>
      <w:r w:rsidRPr="0007620B">
        <w:t>, se emite la presente Resolución con base en los Antecedentes y Considerandos que se exponen a continuación:</w:t>
      </w:r>
    </w:p>
    <w:p w14:paraId="24E36950" w14:textId="77777777" w:rsidR="00FF365E" w:rsidRPr="0007620B" w:rsidRDefault="00FF365E" w:rsidP="0007620B"/>
    <w:p w14:paraId="434BDC9E" w14:textId="77777777" w:rsidR="00FF365E" w:rsidRPr="0007620B" w:rsidRDefault="00A83939" w:rsidP="0007620B">
      <w:pPr>
        <w:pStyle w:val="Ttulo1"/>
      </w:pPr>
      <w:bookmarkStart w:id="2" w:name="_Toc202996991"/>
      <w:r w:rsidRPr="0007620B">
        <w:t>ANTECEDENTES</w:t>
      </w:r>
      <w:bookmarkEnd w:id="2"/>
    </w:p>
    <w:p w14:paraId="505B8495" w14:textId="77777777" w:rsidR="00FF365E" w:rsidRPr="0007620B" w:rsidRDefault="00FF365E" w:rsidP="0007620B"/>
    <w:p w14:paraId="61FA2EEE" w14:textId="77777777" w:rsidR="00FF365E" w:rsidRPr="0007620B" w:rsidRDefault="00A83939" w:rsidP="0007620B">
      <w:pPr>
        <w:pStyle w:val="Ttulo2"/>
      </w:pPr>
      <w:bookmarkStart w:id="3" w:name="_Toc202996992"/>
      <w:r w:rsidRPr="0007620B">
        <w:t>DE LA SOLICITUD DE INFORMACIÓN</w:t>
      </w:r>
      <w:bookmarkEnd w:id="3"/>
    </w:p>
    <w:p w14:paraId="55E74264" w14:textId="77777777" w:rsidR="00FF365E" w:rsidRPr="0007620B" w:rsidRDefault="00A83939" w:rsidP="0007620B">
      <w:pPr>
        <w:pStyle w:val="Ttulo3"/>
      </w:pPr>
      <w:bookmarkStart w:id="4" w:name="_Toc202996993"/>
      <w:r w:rsidRPr="0007620B">
        <w:t>a) Solicitud de información</w:t>
      </w:r>
      <w:bookmarkEnd w:id="4"/>
    </w:p>
    <w:p w14:paraId="23EADFAE" w14:textId="00A0AA39" w:rsidR="00FF365E" w:rsidRPr="0007620B" w:rsidRDefault="00A83939" w:rsidP="0007620B">
      <w:r w:rsidRPr="0007620B">
        <w:t xml:space="preserve">El </w:t>
      </w:r>
      <w:r w:rsidR="000A6E45" w:rsidRPr="0007620B">
        <w:rPr>
          <w:b/>
        </w:rPr>
        <w:t>veint</w:t>
      </w:r>
      <w:r w:rsidR="00323569" w:rsidRPr="0007620B">
        <w:rPr>
          <w:b/>
        </w:rPr>
        <w:t>e de marzo</w:t>
      </w:r>
      <w:r w:rsidRPr="0007620B">
        <w:rPr>
          <w:b/>
        </w:rPr>
        <w:t xml:space="preserve"> de dos mil veinticinco,</w:t>
      </w:r>
      <w:r w:rsidRPr="0007620B">
        <w:t xml:space="preserve"> </w:t>
      </w:r>
      <w:r w:rsidRPr="0007620B">
        <w:rPr>
          <w:b/>
        </w:rPr>
        <w:t>LA PARTE RECURRENTE</w:t>
      </w:r>
      <w:r w:rsidRPr="0007620B">
        <w:t xml:space="preserve"> presentó una solicitud de acceso a la información pública ante el </w:t>
      </w:r>
      <w:r w:rsidRPr="0007620B">
        <w:rPr>
          <w:b/>
        </w:rPr>
        <w:t>SUJETO OBLIGADO</w:t>
      </w:r>
      <w:r w:rsidRPr="0007620B">
        <w:t>, a través del Sistema de Acceso a la Información Mexiquense (SAIMEX). Dicha solicitud quedó registrada con el número de folio</w:t>
      </w:r>
      <w:r w:rsidRPr="0007620B">
        <w:rPr>
          <w:b/>
        </w:rPr>
        <w:t xml:space="preserve"> </w:t>
      </w:r>
      <w:r w:rsidR="00323569" w:rsidRPr="0007620B">
        <w:rPr>
          <w:b/>
        </w:rPr>
        <w:t>00062/CHIMALHU/IP/2025</w:t>
      </w:r>
      <w:r w:rsidRPr="0007620B">
        <w:rPr>
          <w:b/>
        </w:rPr>
        <w:t xml:space="preserve"> </w:t>
      </w:r>
      <w:r w:rsidRPr="0007620B">
        <w:t>y en ella se requirió la siguiente información:</w:t>
      </w:r>
    </w:p>
    <w:p w14:paraId="0493D887" w14:textId="77777777" w:rsidR="00FF365E" w:rsidRPr="0007620B" w:rsidRDefault="00FF365E" w:rsidP="0007620B">
      <w:pPr>
        <w:tabs>
          <w:tab w:val="left" w:pos="4667"/>
        </w:tabs>
        <w:ind w:right="567"/>
        <w:rPr>
          <w:i/>
        </w:rPr>
      </w:pPr>
      <w:bookmarkStart w:id="5" w:name="_Hlk202283085"/>
    </w:p>
    <w:p w14:paraId="36E65D01" w14:textId="21010B2A" w:rsidR="00FF365E" w:rsidRPr="0007620B" w:rsidRDefault="00A83939" w:rsidP="0007620B">
      <w:pPr>
        <w:pStyle w:val="Puesto"/>
        <w:ind w:firstLine="0"/>
        <w:rPr>
          <w:color w:val="auto"/>
        </w:rPr>
      </w:pPr>
      <w:bookmarkStart w:id="6" w:name="_heading=h.9kjanwsfvsso" w:colFirst="0" w:colLast="0"/>
      <w:bookmarkEnd w:id="6"/>
      <w:r w:rsidRPr="0007620B">
        <w:rPr>
          <w:color w:val="auto"/>
        </w:rPr>
        <w:t>“</w:t>
      </w:r>
      <w:r w:rsidR="0096071E" w:rsidRPr="0007620B">
        <w:rPr>
          <w:color w:val="auto"/>
        </w:rPr>
        <w:t xml:space="preserve">quiero saber bajo que fundamento legal el departamento de desarrollo urbano del municipio de Chimalhuacán tiene autorizado cobrar licencia de construcción y uso de suelo , si soy beneficiario con el programa de mejoramiento de vivienda para el bienestar, si claramente el día de la entrega de dicho apoyo la presidenta de la nación CLAUDIA SHEINVAUN indico que con ese apoyo se podía construir, remodelar o hacer mejoras en la </w:t>
      </w:r>
      <w:proofErr w:type="spellStart"/>
      <w:r w:rsidR="0096071E" w:rsidRPr="0007620B">
        <w:rPr>
          <w:color w:val="auto"/>
        </w:rPr>
        <w:t>viviendo</w:t>
      </w:r>
      <w:proofErr w:type="spellEnd"/>
      <w:r w:rsidR="0096071E" w:rsidRPr="0007620B">
        <w:rPr>
          <w:color w:val="auto"/>
        </w:rPr>
        <w:t xml:space="preserve"> y que se tendría que pagar permiso alguno ya que era un programa de apoyo federal de la comisión de vivienda dirigido a grupos de personas de bajos recursos, y se denunciara en caso de alguna anomalía ya que el documento que nos fue entregado con el apoyo fungirá como permiso de construcción, aunque ese documento fue mostrado al notificador c. Víctor l. Vázquez </w:t>
      </w:r>
      <w:proofErr w:type="spellStart"/>
      <w:r w:rsidR="0096071E" w:rsidRPr="0007620B">
        <w:rPr>
          <w:color w:val="auto"/>
        </w:rPr>
        <w:t>Audelo</w:t>
      </w:r>
      <w:proofErr w:type="spellEnd"/>
      <w:r w:rsidR="0096071E" w:rsidRPr="0007620B">
        <w:rPr>
          <w:color w:val="auto"/>
        </w:rPr>
        <w:t xml:space="preserve"> solicito me presentara para tramitar la licencia ya </w:t>
      </w:r>
      <w:r w:rsidR="0096071E" w:rsidRPr="0007620B">
        <w:rPr>
          <w:color w:val="auto"/>
        </w:rPr>
        <w:lastRenderedPageBreak/>
        <w:t xml:space="preserve">que no podía construir sin permiso cuando claramente es un error ya que en las reglas de operación de dicho programa especifica que es </w:t>
      </w:r>
      <w:proofErr w:type="spellStart"/>
      <w:r w:rsidR="0096071E" w:rsidRPr="0007620B">
        <w:rPr>
          <w:color w:val="auto"/>
        </w:rPr>
        <w:t>valido</w:t>
      </w:r>
      <w:proofErr w:type="spellEnd"/>
      <w:r w:rsidR="0096071E" w:rsidRPr="0007620B">
        <w:rPr>
          <w:color w:val="auto"/>
        </w:rPr>
        <w:t xml:space="preserve"> lo cual lo pueden checar en el siguiente link https://www.gob.mx/conavi/documentos/reglas-de-operacion-del-programa-de-vivienda-social-para-el-ejercicio-fiscal-2024?idiom=es razón por lo cual solicito me indique : ante que autoridad puedo denunciar al ARQ. MARCOS LOPEZ CASTAÑEDA director de desarrollo urbano de Chimalhuacán ya que su personal tiene la indicación de </w:t>
      </w:r>
      <w:proofErr w:type="spellStart"/>
      <w:r w:rsidR="0096071E" w:rsidRPr="0007620B">
        <w:rPr>
          <w:color w:val="auto"/>
        </w:rPr>
        <w:t>el</w:t>
      </w:r>
      <w:proofErr w:type="spellEnd"/>
      <w:r w:rsidR="0096071E" w:rsidRPr="0007620B">
        <w:rPr>
          <w:color w:val="auto"/>
        </w:rPr>
        <w:t xml:space="preserve">, como jefe de área hacer el cobro de licencias de construcción que donde me solicitar entre 10 y 12 mil pesos de lo contrario me colocarían sellos y que después tendría que pagar por retirarlo además del permiso y me indicaron que mi documento no tiene ningún valor para ese fin. </w:t>
      </w:r>
      <w:proofErr w:type="gramStart"/>
      <w:r w:rsidR="0096071E" w:rsidRPr="0007620B">
        <w:rPr>
          <w:color w:val="auto"/>
        </w:rPr>
        <w:t>que</w:t>
      </w:r>
      <w:proofErr w:type="gramEnd"/>
      <w:r w:rsidR="0096071E" w:rsidRPr="0007620B">
        <w:rPr>
          <w:color w:val="auto"/>
        </w:rPr>
        <w:t xml:space="preserve"> pasara con </w:t>
      </w:r>
      <w:proofErr w:type="spellStart"/>
      <w:r w:rsidR="0096071E" w:rsidRPr="0007620B">
        <w:rPr>
          <w:color w:val="auto"/>
        </w:rPr>
        <w:t>el</w:t>
      </w:r>
      <w:proofErr w:type="spellEnd"/>
      <w:r w:rsidR="0096071E" w:rsidRPr="0007620B">
        <w:rPr>
          <w:color w:val="auto"/>
        </w:rPr>
        <w:t xml:space="preserve"> para ver de </w:t>
      </w:r>
      <w:proofErr w:type="spellStart"/>
      <w:r w:rsidR="0096071E" w:rsidRPr="0007620B">
        <w:rPr>
          <w:color w:val="auto"/>
        </w:rPr>
        <w:t>que</w:t>
      </w:r>
      <w:proofErr w:type="spellEnd"/>
      <w:r w:rsidR="0096071E" w:rsidRPr="0007620B">
        <w:rPr>
          <w:color w:val="auto"/>
        </w:rPr>
        <w:t xml:space="preserve"> forma me podían apoyar. </w:t>
      </w:r>
      <w:proofErr w:type="gramStart"/>
      <w:r w:rsidR="0096071E" w:rsidRPr="0007620B">
        <w:rPr>
          <w:color w:val="auto"/>
        </w:rPr>
        <w:t>o</w:t>
      </w:r>
      <w:proofErr w:type="gramEnd"/>
      <w:r w:rsidR="0096071E" w:rsidRPr="0007620B">
        <w:rPr>
          <w:color w:val="auto"/>
        </w:rPr>
        <w:t xml:space="preserve"> de lo contrario que pase a realizar mi pago, -nombramiento y comprobante de estudios del director de desarrollo urbano -recibos de </w:t>
      </w:r>
      <w:proofErr w:type="spellStart"/>
      <w:r w:rsidR="0096071E" w:rsidRPr="0007620B">
        <w:rPr>
          <w:color w:val="auto"/>
        </w:rPr>
        <w:t>nomina</w:t>
      </w:r>
      <w:proofErr w:type="spellEnd"/>
      <w:r w:rsidR="0096071E" w:rsidRPr="0007620B">
        <w:rPr>
          <w:color w:val="auto"/>
        </w:rPr>
        <w:t xml:space="preserve"> correspondientes al mes de diciembre del 2024 al 15 de marzo del 2025 con su respectiva versión publica -monto recaudado por licencias de construcción del mes de diciembre del 2024 al 15 de marzo del 2025 y recibos de ingresos que lo avale al igual en su versión publica</w:t>
      </w:r>
      <w:r w:rsidR="00DB0313" w:rsidRPr="0007620B">
        <w:rPr>
          <w:color w:val="auto"/>
        </w:rPr>
        <w:t>”</w:t>
      </w:r>
      <w:r w:rsidRPr="0007620B">
        <w:rPr>
          <w:color w:val="auto"/>
        </w:rPr>
        <w:t xml:space="preserve"> Sic</w:t>
      </w:r>
    </w:p>
    <w:p w14:paraId="3E8ABE6A" w14:textId="77777777" w:rsidR="00FF365E" w:rsidRPr="0007620B" w:rsidRDefault="00FF365E" w:rsidP="0007620B"/>
    <w:bookmarkEnd w:id="5"/>
    <w:p w14:paraId="6BB7B42F" w14:textId="77777777" w:rsidR="00FF365E" w:rsidRPr="0007620B" w:rsidRDefault="00A83939" w:rsidP="0007620B">
      <w:pPr>
        <w:tabs>
          <w:tab w:val="left" w:pos="4667"/>
        </w:tabs>
        <w:ind w:right="567"/>
        <w:rPr>
          <w:i/>
        </w:rPr>
      </w:pPr>
      <w:r w:rsidRPr="0007620B">
        <w:rPr>
          <w:b/>
        </w:rPr>
        <w:t>Modalidad de entrega</w:t>
      </w:r>
      <w:r w:rsidRPr="0007620B">
        <w:t>: a</w:t>
      </w:r>
      <w:r w:rsidRPr="0007620B">
        <w:rPr>
          <w:i/>
        </w:rPr>
        <w:t xml:space="preserve"> través del </w:t>
      </w:r>
      <w:r w:rsidRPr="0007620B">
        <w:rPr>
          <w:b/>
          <w:i/>
        </w:rPr>
        <w:t>SAIMEX</w:t>
      </w:r>
      <w:r w:rsidRPr="0007620B">
        <w:rPr>
          <w:i/>
        </w:rPr>
        <w:t>.</w:t>
      </w:r>
    </w:p>
    <w:p w14:paraId="01885A73" w14:textId="77777777" w:rsidR="00FF365E" w:rsidRPr="0007620B" w:rsidRDefault="00FF365E" w:rsidP="0007620B">
      <w:pPr>
        <w:tabs>
          <w:tab w:val="left" w:pos="4667"/>
        </w:tabs>
        <w:ind w:right="567"/>
        <w:rPr>
          <w:i/>
        </w:rPr>
      </w:pPr>
    </w:p>
    <w:p w14:paraId="6702AC7E" w14:textId="77777777" w:rsidR="00FF365E" w:rsidRPr="0007620B" w:rsidRDefault="00A83939" w:rsidP="0007620B">
      <w:pPr>
        <w:pStyle w:val="Ttulo3"/>
      </w:pPr>
      <w:bookmarkStart w:id="7" w:name="_Toc202996994"/>
      <w:r w:rsidRPr="0007620B">
        <w:t>b) Turno de la solicitud de información</w:t>
      </w:r>
      <w:bookmarkEnd w:id="7"/>
    </w:p>
    <w:p w14:paraId="6CA038E3" w14:textId="4C8C7DAE" w:rsidR="00FF365E" w:rsidRPr="0007620B" w:rsidRDefault="00A83939" w:rsidP="0007620B">
      <w:r w:rsidRPr="0007620B">
        <w:t xml:space="preserve">En cumplimiento al artículo 162 de la Ley de Transparencia y Acceso a la Información Pública del Estado de México y Municipios, el </w:t>
      </w:r>
      <w:r w:rsidR="00323569" w:rsidRPr="0007620B">
        <w:rPr>
          <w:b/>
        </w:rPr>
        <w:t>veinticuatro de marzo</w:t>
      </w:r>
      <w:r w:rsidRPr="0007620B">
        <w:rPr>
          <w:b/>
        </w:rPr>
        <w:t xml:space="preserve"> de dos mil veinticinco</w:t>
      </w:r>
      <w:r w:rsidRPr="0007620B">
        <w:t xml:space="preserve">, el Titular de la Unidad de Transparencia del </w:t>
      </w:r>
      <w:r w:rsidRPr="0007620B">
        <w:rPr>
          <w:b/>
        </w:rPr>
        <w:t>SUJETO OBLIGADO</w:t>
      </w:r>
      <w:r w:rsidRPr="0007620B">
        <w:t xml:space="preserve"> turnó la solicitud de información al servidor público habilitado que estimó pertinente.</w:t>
      </w:r>
    </w:p>
    <w:p w14:paraId="59B33CF9" w14:textId="77777777" w:rsidR="00FF365E" w:rsidRPr="0007620B" w:rsidRDefault="00FF365E" w:rsidP="0007620B">
      <w:pPr>
        <w:tabs>
          <w:tab w:val="left" w:pos="4667"/>
        </w:tabs>
        <w:ind w:right="567"/>
        <w:rPr>
          <w:i/>
        </w:rPr>
      </w:pPr>
    </w:p>
    <w:p w14:paraId="4C36F47F" w14:textId="77777777" w:rsidR="00FF365E" w:rsidRPr="0007620B" w:rsidRDefault="00A83939" w:rsidP="0007620B">
      <w:pPr>
        <w:pStyle w:val="Ttulo3"/>
      </w:pPr>
      <w:bookmarkStart w:id="8" w:name="_Toc202996995"/>
      <w:r w:rsidRPr="0007620B">
        <w:t>c) Respuesta del Sujeto Obligado</w:t>
      </w:r>
      <w:bookmarkEnd w:id="8"/>
    </w:p>
    <w:p w14:paraId="734E9662" w14:textId="7C7580B4" w:rsidR="00FF365E" w:rsidRPr="0007620B" w:rsidRDefault="00A83939" w:rsidP="0007620B">
      <w:pPr>
        <w:pBdr>
          <w:top w:val="nil"/>
          <w:left w:val="nil"/>
          <w:bottom w:val="nil"/>
          <w:right w:val="nil"/>
          <w:between w:val="nil"/>
        </w:pBdr>
      </w:pPr>
      <w:r w:rsidRPr="0007620B">
        <w:t xml:space="preserve">El </w:t>
      </w:r>
      <w:r w:rsidR="00323569" w:rsidRPr="0007620B">
        <w:rPr>
          <w:b/>
        </w:rPr>
        <w:t>nueve de abril</w:t>
      </w:r>
      <w:r w:rsidRPr="0007620B">
        <w:rPr>
          <w:b/>
        </w:rPr>
        <w:t xml:space="preserve"> de dos mil veinticinco, </w:t>
      </w:r>
      <w:r w:rsidRPr="0007620B">
        <w:t xml:space="preserve">el Titular de la Unidad de Transparencia del </w:t>
      </w:r>
      <w:r w:rsidRPr="0007620B">
        <w:rPr>
          <w:b/>
        </w:rPr>
        <w:t>SUJETO OBLIGADO</w:t>
      </w:r>
      <w:r w:rsidRPr="0007620B">
        <w:t xml:space="preserve"> notificó a través del </w:t>
      </w:r>
      <w:r w:rsidRPr="0007620B">
        <w:rPr>
          <w:b/>
        </w:rPr>
        <w:t>SAIMEX</w:t>
      </w:r>
      <w:r w:rsidRPr="0007620B">
        <w:t xml:space="preserve"> la siguiente respuesta:</w:t>
      </w:r>
    </w:p>
    <w:p w14:paraId="28EC1D2C" w14:textId="77777777" w:rsidR="00FF365E" w:rsidRPr="0007620B" w:rsidRDefault="00FF365E" w:rsidP="0007620B">
      <w:pPr>
        <w:pStyle w:val="Puesto"/>
        <w:ind w:left="0" w:firstLine="0"/>
        <w:rPr>
          <w:color w:val="auto"/>
        </w:rPr>
      </w:pPr>
    </w:p>
    <w:p w14:paraId="3C25982B" w14:textId="77777777" w:rsidR="0096071E" w:rsidRPr="0007620B" w:rsidRDefault="00A83939" w:rsidP="0007620B">
      <w:pPr>
        <w:pStyle w:val="Puesto"/>
        <w:jc w:val="right"/>
        <w:rPr>
          <w:color w:val="auto"/>
        </w:rPr>
      </w:pPr>
      <w:r w:rsidRPr="0007620B">
        <w:rPr>
          <w:color w:val="auto"/>
        </w:rPr>
        <w:t>“</w:t>
      </w:r>
      <w:r w:rsidR="0096071E" w:rsidRPr="0007620B">
        <w:rPr>
          <w:color w:val="auto"/>
        </w:rPr>
        <w:t>Folio de la solicitud: 00062/CHIMALHU/IP/2025</w:t>
      </w:r>
    </w:p>
    <w:p w14:paraId="23513F0D" w14:textId="77777777" w:rsidR="0096071E" w:rsidRPr="0007620B" w:rsidRDefault="0096071E" w:rsidP="0007620B"/>
    <w:p w14:paraId="094B8E67" w14:textId="77777777" w:rsidR="0096071E" w:rsidRPr="0007620B" w:rsidRDefault="0096071E" w:rsidP="0007620B">
      <w:pPr>
        <w:pStyle w:val="Puesto"/>
        <w:ind w:firstLine="0"/>
        <w:rPr>
          <w:color w:val="auto"/>
        </w:rPr>
      </w:pPr>
      <w:r w:rsidRPr="0007620B">
        <w:rPr>
          <w:color w:val="auto"/>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7C1E85F" w14:textId="77777777" w:rsidR="0096071E" w:rsidRPr="0007620B" w:rsidRDefault="0096071E" w:rsidP="0007620B"/>
    <w:p w14:paraId="32A2C4A9" w14:textId="77777777" w:rsidR="0096071E" w:rsidRPr="0007620B" w:rsidRDefault="0096071E" w:rsidP="0007620B">
      <w:pPr>
        <w:pStyle w:val="Puesto"/>
        <w:ind w:firstLine="0"/>
        <w:rPr>
          <w:color w:val="auto"/>
        </w:rPr>
      </w:pPr>
      <w:r w:rsidRPr="0007620B">
        <w:rPr>
          <w:color w:val="auto"/>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Sin más por el momento y garantizando su derecho de acceso a la información hago saber a usted que la información proporcionada se encuentra bajo los principios del articulo 11 y 12 de la Ley de Transparencia y Acceso a la Información Pública del Estado de México y Municipios.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spellStart"/>
      <w:r w:rsidRPr="0007620B">
        <w:rPr>
          <w:color w:val="auto"/>
        </w:rPr>
        <w:t>Asi</w:t>
      </w:r>
      <w:proofErr w:type="spellEnd"/>
      <w:r w:rsidRPr="0007620B">
        <w:rPr>
          <w:color w:val="auto"/>
        </w:rPr>
        <w:t xml:space="preserve"> miso hago entrega de las respuestas emitidas por las áreas de Desarrollo Urbano, Recursos Humanos e Ingresos del H. Chimalhuacán, en atención a su solicitud.</w:t>
      </w:r>
    </w:p>
    <w:p w14:paraId="07557997" w14:textId="77777777" w:rsidR="0096071E" w:rsidRPr="0007620B" w:rsidRDefault="0096071E" w:rsidP="0007620B"/>
    <w:p w14:paraId="295F4690" w14:textId="77777777" w:rsidR="0096071E" w:rsidRPr="0007620B" w:rsidRDefault="0096071E" w:rsidP="0007620B">
      <w:pPr>
        <w:pStyle w:val="Puesto"/>
        <w:ind w:firstLine="0"/>
        <w:rPr>
          <w:color w:val="auto"/>
        </w:rPr>
      </w:pPr>
      <w:r w:rsidRPr="0007620B">
        <w:rPr>
          <w:color w:val="auto"/>
        </w:rPr>
        <w:t>ATENTAMENTE</w:t>
      </w:r>
    </w:p>
    <w:p w14:paraId="7A57C8C8" w14:textId="4722BA82" w:rsidR="00FF365E" w:rsidRPr="0007620B" w:rsidRDefault="0096071E" w:rsidP="0007620B">
      <w:pPr>
        <w:pStyle w:val="Puesto"/>
        <w:ind w:firstLine="0"/>
        <w:rPr>
          <w:color w:val="auto"/>
        </w:rPr>
      </w:pPr>
      <w:r w:rsidRPr="0007620B">
        <w:rPr>
          <w:color w:val="auto"/>
        </w:rPr>
        <w:t>C. DIANA KAREN GRACIA HERNANDEZ</w:t>
      </w:r>
      <w:r w:rsidR="00A83939" w:rsidRPr="0007620B">
        <w:rPr>
          <w:color w:val="auto"/>
        </w:rPr>
        <w:t>” Sic.</w:t>
      </w:r>
    </w:p>
    <w:p w14:paraId="14BE9685" w14:textId="77777777" w:rsidR="00FF365E" w:rsidRPr="0007620B" w:rsidRDefault="00FF365E" w:rsidP="0007620B">
      <w:pPr>
        <w:ind w:right="-28"/>
      </w:pPr>
    </w:p>
    <w:p w14:paraId="6EA13B83" w14:textId="77777777" w:rsidR="00FF365E" w:rsidRPr="0007620B" w:rsidRDefault="00A83939" w:rsidP="0007620B">
      <w:pPr>
        <w:ind w:right="-28"/>
      </w:pPr>
      <w:r w:rsidRPr="0007620B">
        <w:lastRenderedPageBreak/>
        <w:t xml:space="preserve">Asimismo, </w:t>
      </w:r>
      <w:r w:rsidRPr="0007620B">
        <w:rPr>
          <w:b/>
        </w:rPr>
        <w:t xml:space="preserve">EL SUJETO OBLIGADO </w:t>
      </w:r>
      <w:r w:rsidRPr="0007620B">
        <w:t>adjuntó a su respuesta los archivos electrónicos que se describen:</w:t>
      </w:r>
    </w:p>
    <w:p w14:paraId="7D736901" w14:textId="77777777" w:rsidR="00DB0313" w:rsidRPr="0007620B" w:rsidRDefault="00DB0313" w:rsidP="0007620B">
      <w:pPr>
        <w:ind w:right="-28"/>
        <w:rPr>
          <w:i/>
        </w:rPr>
      </w:pPr>
    </w:p>
    <w:p w14:paraId="00000226" w14:textId="77777777" w:rsidR="00EC7FC7" w:rsidRPr="0007620B" w:rsidRDefault="0096071E" w:rsidP="0007620B">
      <w:pPr>
        <w:numPr>
          <w:ilvl w:val="0"/>
          <w:numId w:val="16"/>
        </w:numPr>
        <w:ind w:right="-28"/>
        <w:rPr>
          <w:iCs/>
        </w:rPr>
      </w:pPr>
      <w:r w:rsidRPr="0007620B">
        <w:rPr>
          <w:b/>
          <w:bCs/>
          <w:i/>
        </w:rPr>
        <w:t>RECIBOS DE NÓMINA.pdf</w:t>
      </w:r>
      <w:r w:rsidR="006D3338" w:rsidRPr="0007620B">
        <w:rPr>
          <w:b/>
          <w:bCs/>
          <w:i/>
        </w:rPr>
        <w:t>.</w:t>
      </w:r>
      <w:r w:rsidR="006D3338" w:rsidRPr="0007620B">
        <w:rPr>
          <w:i/>
        </w:rPr>
        <w:t xml:space="preserve">- </w:t>
      </w:r>
      <w:r w:rsidR="006D3338" w:rsidRPr="0007620B">
        <w:rPr>
          <w:iCs/>
        </w:rPr>
        <w:t>Diversos recibos de nómina del C. Adrián Jesús Soto Díaz, correspondientes a la primera y segunda quincena de diciembre de 2024</w:t>
      </w:r>
      <w:r w:rsidR="0027460F" w:rsidRPr="0007620B">
        <w:rPr>
          <w:iCs/>
        </w:rPr>
        <w:t>. Del C. Marcos López Castañeda</w:t>
      </w:r>
      <w:r w:rsidR="006D3338" w:rsidRPr="0007620B">
        <w:rPr>
          <w:iCs/>
        </w:rPr>
        <w:t xml:space="preserve">, </w:t>
      </w:r>
      <w:r w:rsidR="0027460F" w:rsidRPr="0007620B">
        <w:rPr>
          <w:iCs/>
        </w:rPr>
        <w:t xml:space="preserve">recibos de nómina de la segunda quincena de enero, </w:t>
      </w:r>
      <w:r w:rsidR="006D3338" w:rsidRPr="0007620B">
        <w:rPr>
          <w:iCs/>
        </w:rPr>
        <w:t>primera de febrero</w:t>
      </w:r>
      <w:r w:rsidR="0027460F" w:rsidRPr="0007620B">
        <w:rPr>
          <w:iCs/>
        </w:rPr>
        <w:t xml:space="preserve">, </w:t>
      </w:r>
      <w:r w:rsidR="006D3338" w:rsidRPr="0007620B">
        <w:rPr>
          <w:iCs/>
        </w:rPr>
        <w:t xml:space="preserve">segunda </w:t>
      </w:r>
      <w:r w:rsidR="0027460F" w:rsidRPr="0007620B">
        <w:rPr>
          <w:iCs/>
        </w:rPr>
        <w:t xml:space="preserve">quincena </w:t>
      </w:r>
      <w:r w:rsidR="006D3338" w:rsidRPr="0007620B">
        <w:rPr>
          <w:iCs/>
        </w:rPr>
        <w:t>de febrero y primera</w:t>
      </w:r>
      <w:r w:rsidR="0027460F" w:rsidRPr="0007620B">
        <w:rPr>
          <w:iCs/>
        </w:rPr>
        <w:t xml:space="preserve"> quincena</w:t>
      </w:r>
      <w:r w:rsidR="006D3338" w:rsidRPr="0007620B">
        <w:rPr>
          <w:iCs/>
        </w:rPr>
        <w:t xml:space="preserve"> de marzo de 2025, en versión pública.</w:t>
      </w:r>
    </w:p>
    <w:p w14:paraId="4653850B" w14:textId="77777777" w:rsidR="00EC7FC7" w:rsidRPr="0007620B" w:rsidRDefault="0096071E" w:rsidP="0007620B">
      <w:pPr>
        <w:numPr>
          <w:ilvl w:val="0"/>
          <w:numId w:val="16"/>
        </w:numPr>
        <w:ind w:right="-28"/>
        <w:rPr>
          <w:iCs/>
        </w:rPr>
      </w:pPr>
      <w:r w:rsidRPr="0007620B">
        <w:rPr>
          <w:b/>
          <w:bCs/>
          <w:i/>
        </w:rPr>
        <w:t>SEXTA SESIÓN EXTRAORDINARIA.pdf</w:t>
      </w:r>
      <w:r w:rsidR="006D3338" w:rsidRPr="0007620B">
        <w:rPr>
          <w:b/>
          <w:bCs/>
          <w:i/>
        </w:rPr>
        <w:t>.</w:t>
      </w:r>
      <w:r w:rsidR="006D3338" w:rsidRPr="0007620B">
        <w:rPr>
          <w:i/>
        </w:rPr>
        <w:t>-</w:t>
      </w:r>
      <w:r w:rsidR="006D3338" w:rsidRPr="0007620B">
        <w:rPr>
          <w:iCs/>
        </w:rPr>
        <w:t>Acta de la Sexta sesión extraordinaria del Comité de Transparencia, a fin de dar respuesta a diversas solicitudes de información, incluida la materia del presente recursos, es decir, la 00062/CHIMALHU/IP/2025.</w:t>
      </w:r>
    </w:p>
    <w:p w14:paraId="5794E39B" w14:textId="77777777" w:rsidR="00EC7FC7" w:rsidRPr="0007620B" w:rsidRDefault="0096071E" w:rsidP="0007620B">
      <w:pPr>
        <w:numPr>
          <w:ilvl w:val="0"/>
          <w:numId w:val="16"/>
        </w:numPr>
        <w:ind w:right="-28"/>
        <w:rPr>
          <w:iCs/>
        </w:rPr>
      </w:pPr>
      <w:r w:rsidRPr="0007620B">
        <w:rPr>
          <w:b/>
          <w:bCs/>
          <w:i/>
        </w:rPr>
        <w:t>FUNDAMENTO LEGAL.pdf</w:t>
      </w:r>
      <w:r w:rsidR="006D3338" w:rsidRPr="0007620B">
        <w:rPr>
          <w:i/>
        </w:rPr>
        <w:t xml:space="preserve">.- </w:t>
      </w:r>
      <w:r w:rsidR="0027460F" w:rsidRPr="0007620B">
        <w:rPr>
          <w:iCs/>
        </w:rPr>
        <w:t>O</w:t>
      </w:r>
      <w:r w:rsidR="006D3338" w:rsidRPr="0007620B">
        <w:rPr>
          <w:iCs/>
        </w:rPr>
        <w:t xml:space="preserve">ficio número PM/DDU/00143/2025, de fecha 30 de marzo de 2025, suscrito por el Director de Desarrollo </w:t>
      </w:r>
      <w:r w:rsidR="0027460F" w:rsidRPr="0007620B">
        <w:rPr>
          <w:iCs/>
        </w:rPr>
        <w:t>U</w:t>
      </w:r>
      <w:r w:rsidR="006D3338" w:rsidRPr="0007620B">
        <w:rPr>
          <w:iCs/>
        </w:rPr>
        <w:t>rbano, en el que le indica el fundamento legal para el cobro de las licencias.</w:t>
      </w:r>
    </w:p>
    <w:p w14:paraId="11F77D62" w14:textId="77777777" w:rsidR="00EC7FC7" w:rsidRPr="0007620B" w:rsidRDefault="0096071E" w:rsidP="0007620B">
      <w:pPr>
        <w:numPr>
          <w:ilvl w:val="0"/>
          <w:numId w:val="16"/>
        </w:numPr>
        <w:ind w:right="-28"/>
        <w:rPr>
          <w:iCs/>
        </w:rPr>
      </w:pPr>
      <w:r w:rsidRPr="0007620B">
        <w:rPr>
          <w:b/>
          <w:bCs/>
          <w:i/>
        </w:rPr>
        <w:t>RESPUESTA RH SOLICITUD 62.pdf</w:t>
      </w:r>
      <w:r w:rsidR="006D3338" w:rsidRPr="0007620B">
        <w:rPr>
          <w:i/>
        </w:rPr>
        <w:t xml:space="preserve">.- </w:t>
      </w:r>
      <w:r w:rsidR="0027460F" w:rsidRPr="0007620B">
        <w:rPr>
          <w:iCs/>
        </w:rPr>
        <w:t>Oficio número DRH/0247/2025, de fecha 08 de abril de 2025, suscrito por el Titular del Departamento de Recursos Humanos, en el que le indica el que anexa la versión pública del nombramiento, comprobantes de estudio y recibos de nómina, asimismo aclara que del periodo de diciembre de 2024 el Director de Desarrollo Urbano fue el C. Adrián Jesús Soto Díaz, y de enero a marzo de 2025, el C. Marcos López Castañeda.</w:t>
      </w:r>
    </w:p>
    <w:p w14:paraId="49B444A8" w14:textId="77777777" w:rsidR="00EC7FC7" w:rsidRPr="0007620B" w:rsidRDefault="0096071E" w:rsidP="0007620B">
      <w:pPr>
        <w:numPr>
          <w:ilvl w:val="0"/>
          <w:numId w:val="16"/>
        </w:numPr>
        <w:ind w:right="-28"/>
        <w:rPr>
          <w:iCs/>
        </w:rPr>
      </w:pPr>
      <w:r w:rsidRPr="0007620B">
        <w:rPr>
          <w:b/>
          <w:bCs/>
          <w:i/>
        </w:rPr>
        <w:t>MONTO RECAUDADO.pdf</w:t>
      </w:r>
      <w:r w:rsidR="002170E8" w:rsidRPr="0007620B">
        <w:rPr>
          <w:i/>
        </w:rPr>
        <w:t xml:space="preserve">.- </w:t>
      </w:r>
      <w:r w:rsidR="002170E8" w:rsidRPr="0007620B">
        <w:rPr>
          <w:iCs/>
        </w:rPr>
        <w:t>Oficio número TCH/DI/00324/2025, de fecha 27 de marzo de 2025, suscrito por la Directora de Ingresos, en el que le indica el monto recaudado por las licencias de construcción.</w:t>
      </w:r>
    </w:p>
    <w:p w14:paraId="733980BD" w14:textId="43EF2D93" w:rsidR="002170E8" w:rsidRPr="0007620B" w:rsidRDefault="0096071E" w:rsidP="0007620B">
      <w:pPr>
        <w:numPr>
          <w:ilvl w:val="0"/>
          <w:numId w:val="16"/>
        </w:numPr>
        <w:ind w:right="-28"/>
        <w:rPr>
          <w:iCs/>
        </w:rPr>
      </w:pPr>
      <w:r w:rsidRPr="0007620B">
        <w:rPr>
          <w:b/>
          <w:bCs/>
          <w:i/>
        </w:rPr>
        <w:t>NOMBRAMIENTO Y COMPROBANTE DE ESTUDIOS.pdf</w:t>
      </w:r>
      <w:r w:rsidR="002170E8" w:rsidRPr="0007620B">
        <w:rPr>
          <w:i/>
        </w:rPr>
        <w:t xml:space="preserve">.- </w:t>
      </w:r>
    </w:p>
    <w:p w14:paraId="0F0D2A21" w14:textId="47BC5AFF" w:rsidR="002170E8" w:rsidRPr="0007620B" w:rsidRDefault="002170E8" w:rsidP="0007620B">
      <w:pPr>
        <w:numPr>
          <w:ilvl w:val="0"/>
          <w:numId w:val="17"/>
        </w:numPr>
        <w:ind w:right="-28"/>
        <w:rPr>
          <w:iCs/>
        </w:rPr>
      </w:pPr>
      <w:r w:rsidRPr="0007620B">
        <w:rPr>
          <w:iCs/>
        </w:rPr>
        <w:t>Página 1. Nombramiento del Director General de Desarrollo Urbano a nombre de Adrián Jesús Soto Díaz.</w:t>
      </w:r>
    </w:p>
    <w:p w14:paraId="252EC128" w14:textId="16D587A4" w:rsidR="0096071E" w:rsidRPr="0007620B" w:rsidRDefault="002170E8" w:rsidP="0007620B">
      <w:pPr>
        <w:numPr>
          <w:ilvl w:val="0"/>
          <w:numId w:val="17"/>
        </w:numPr>
        <w:ind w:right="-28"/>
        <w:rPr>
          <w:iCs/>
        </w:rPr>
      </w:pPr>
      <w:r w:rsidRPr="0007620B">
        <w:rPr>
          <w:iCs/>
        </w:rPr>
        <w:t xml:space="preserve">Página 2. Título Profesional a nombre de Adrián Jesús Soto Díaz. </w:t>
      </w:r>
    </w:p>
    <w:p w14:paraId="775721C9" w14:textId="1550CC62" w:rsidR="0096071E" w:rsidRPr="0007620B" w:rsidRDefault="002170E8" w:rsidP="0007620B">
      <w:pPr>
        <w:numPr>
          <w:ilvl w:val="0"/>
          <w:numId w:val="17"/>
        </w:numPr>
        <w:ind w:right="-28"/>
        <w:rPr>
          <w:iCs/>
        </w:rPr>
      </w:pPr>
      <w:r w:rsidRPr="0007620B">
        <w:rPr>
          <w:iCs/>
        </w:rPr>
        <w:lastRenderedPageBreak/>
        <w:t>Página 3. Nombramiento del Director General de Desarrollo Urbano a nombre de Marcos López Castañeda.</w:t>
      </w:r>
    </w:p>
    <w:p w14:paraId="58F06916" w14:textId="12EB311F" w:rsidR="00F71836" w:rsidRPr="0007620B" w:rsidRDefault="00F71836" w:rsidP="0007620B">
      <w:pPr>
        <w:numPr>
          <w:ilvl w:val="0"/>
          <w:numId w:val="17"/>
        </w:numPr>
        <w:ind w:right="-28"/>
        <w:rPr>
          <w:i/>
        </w:rPr>
      </w:pPr>
      <w:r w:rsidRPr="0007620B">
        <w:rPr>
          <w:iCs/>
        </w:rPr>
        <w:t>Página 4. Cédula Profesional a nombre de Marcos López Castañeda.</w:t>
      </w:r>
    </w:p>
    <w:p w14:paraId="36E0118B" w14:textId="77777777" w:rsidR="00DB0313" w:rsidRPr="0007620B" w:rsidRDefault="00DB0313" w:rsidP="0007620B">
      <w:pPr>
        <w:ind w:right="-28"/>
        <w:rPr>
          <w:i/>
        </w:rPr>
      </w:pPr>
    </w:p>
    <w:p w14:paraId="2F751DB0" w14:textId="77777777" w:rsidR="00FF365E" w:rsidRPr="0007620B" w:rsidRDefault="00A83939" w:rsidP="0007620B">
      <w:pPr>
        <w:pStyle w:val="Ttulo2"/>
        <w:jc w:val="left"/>
      </w:pPr>
      <w:bookmarkStart w:id="9" w:name="_Toc202996996"/>
      <w:r w:rsidRPr="0007620B">
        <w:t>DEL RECURSO DE REVISIÓN</w:t>
      </w:r>
      <w:bookmarkEnd w:id="9"/>
    </w:p>
    <w:p w14:paraId="3B00B9F0" w14:textId="77777777" w:rsidR="00FF365E" w:rsidRPr="0007620B" w:rsidRDefault="00A83939" w:rsidP="0007620B">
      <w:pPr>
        <w:pStyle w:val="Ttulo3"/>
      </w:pPr>
      <w:bookmarkStart w:id="10" w:name="_Toc202996997"/>
      <w:r w:rsidRPr="0007620B">
        <w:t>a) Interposición del Recurso de Revisión</w:t>
      </w:r>
      <w:bookmarkEnd w:id="10"/>
    </w:p>
    <w:p w14:paraId="25E9ED3A" w14:textId="17CCCD3A" w:rsidR="00FF365E" w:rsidRPr="0007620B" w:rsidRDefault="00A83939" w:rsidP="0007620B">
      <w:pPr>
        <w:ind w:right="-28"/>
      </w:pPr>
      <w:r w:rsidRPr="0007620B">
        <w:t>El</w:t>
      </w:r>
      <w:r w:rsidRPr="0007620B">
        <w:rPr>
          <w:b/>
        </w:rPr>
        <w:t xml:space="preserve"> </w:t>
      </w:r>
      <w:r w:rsidR="00F34A4B" w:rsidRPr="0007620B">
        <w:rPr>
          <w:b/>
        </w:rPr>
        <w:t>veintiuno</w:t>
      </w:r>
      <w:r w:rsidR="00F34A4B" w:rsidRPr="0007620B">
        <w:rPr>
          <w:b/>
          <w:vertAlign w:val="superscript"/>
        </w:rPr>
        <w:footnoteReference w:id="1"/>
      </w:r>
      <w:r w:rsidR="00EE6F7D" w:rsidRPr="0007620B">
        <w:rPr>
          <w:b/>
        </w:rPr>
        <w:t xml:space="preserve"> de abril</w:t>
      </w:r>
      <w:r w:rsidRPr="0007620B">
        <w:rPr>
          <w:b/>
        </w:rPr>
        <w:t xml:space="preserve"> de dos mil veinticinco,</w:t>
      </w:r>
      <w:r w:rsidRPr="0007620B">
        <w:t xml:space="preserve"> </w:t>
      </w:r>
      <w:r w:rsidRPr="0007620B">
        <w:rPr>
          <w:b/>
        </w:rPr>
        <w:t>LA PARTE RECURRENTE</w:t>
      </w:r>
      <w:r w:rsidRPr="0007620B">
        <w:t xml:space="preserve"> interpuso el recurso de revisión en contra de la respuesta emitida por el </w:t>
      </w:r>
      <w:r w:rsidRPr="0007620B">
        <w:rPr>
          <w:b/>
        </w:rPr>
        <w:t>SUJETO OBLIGADO</w:t>
      </w:r>
      <w:r w:rsidRPr="0007620B">
        <w:t xml:space="preserve">, mismo que fue registrado en el </w:t>
      </w:r>
      <w:r w:rsidRPr="0007620B">
        <w:rPr>
          <w:b/>
        </w:rPr>
        <w:t>SAIMEX</w:t>
      </w:r>
      <w:r w:rsidRPr="0007620B">
        <w:t xml:space="preserve"> con el número de expediente </w:t>
      </w:r>
      <w:r w:rsidR="00323569" w:rsidRPr="0007620B">
        <w:rPr>
          <w:b/>
        </w:rPr>
        <w:t>04417/INFOEM/IP/RR/2025</w:t>
      </w:r>
      <w:r w:rsidRPr="0007620B">
        <w:t>, y en el cual manifestó lo siguiente:</w:t>
      </w:r>
    </w:p>
    <w:p w14:paraId="1A3E9706" w14:textId="77777777" w:rsidR="00FF365E" w:rsidRPr="0007620B" w:rsidRDefault="00FF365E" w:rsidP="0007620B">
      <w:pPr>
        <w:tabs>
          <w:tab w:val="left" w:pos="4667"/>
        </w:tabs>
        <w:ind w:right="539"/>
      </w:pPr>
    </w:p>
    <w:p w14:paraId="6E34898F" w14:textId="77777777" w:rsidR="00FF365E" w:rsidRPr="0007620B" w:rsidRDefault="00A83939" w:rsidP="0007620B">
      <w:pPr>
        <w:tabs>
          <w:tab w:val="left" w:pos="4667"/>
        </w:tabs>
        <w:ind w:left="567" w:right="539"/>
        <w:rPr>
          <w:b/>
        </w:rPr>
      </w:pPr>
      <w:r w:rsidRPr="0007620B">
        <w:rPr>
          <w:b/>
        </w:rPr>
        <w:t>ACTO IMPUGNADO</w:t>
      </w:r>
    </w:p>
    <w:p w14:paraId="708E1E9E" w14:textId="1ED59AFB" w:rsidR="00FF365E" w:rsidRPr="0007620B" w:rsidRDefault="00F03788" w:rsidP="0007620B">
      <w:pPr>
        <w:pStyle w:val="Puesto"/>
        <w:ind w:firstLine="0"/>
        <w:rPr>
          <w:color w:val="auto"/>
        </w:rPr>
      </w:pPr>
      <w:r w:rsidRPr="0007620B">
        <w:rPr>
          <w:color w:val="auto"/>
        </w:rPr>
        <w:t>“</w:t>
      </w:r>
      <w:bookmarkStart w:id="11" w:name="_Hlk202277238"/>
      <w:r w:rsidR="0096071E" w:rsidRPr="0007620B">
        <w:rPr>
          <w:color w:val="auto"/>
        </w:rPr>
        <w:t xml:space="preserve">no me dan completa la información, debido a que no mandaron los recibos de ingresos por cobro de las licencias de construcción, debido a que según ellos se vulnera la identidad de las personas, siendo que solicite esa información en versión publica , eso quiere decir con el correcto testado para no vulnerar los derechos de nadie. </w:t>
      </w:r>
      <w:proofErr w:type="gramStart"/>
      <w:r w:rsidR="0096071E" w:rsidRPr="0007620B">
        <w:rPr>
          <w:color w:val="auto"/>
        </w:rPr>
        <w:t>otra</w:t>
      </w:r>
      <w:proofErr w:type="gramEnd"/>
      <w:r w:rsidR="0096071E" w:rsidRPr="0007620B">
        <w:rPr>
          <w:color w:val="auto"/>
        </w:rPr>
        <w:t xml:space="preserve"> en los recibos de </w:t>
      </w:r>
      <w:proofErr w:type="spellStart"/>
      <w:r w:rsidR="0096071E" w:rsidRPr="0007620B">
        <w:rPr>
          <w:color w:val="auto"/>
        </w:rPr>
        <w:t>nomina</w:t>
      </w:r>
      <w:proofErr w:type="spellEnd"/>
      <w:r w:rsidR="0096071E" w:rsidRPr="0007620B">
        <w:rPr>
          <w:color w:val="auto"/>
        </w:rPr>
        <w:t xml:space="preserve"> testaron el sueldo base y las deducciones, lo cual es incorrecto ya que como servidores públicos sus ingresos son pagados con dinero </w:t>
      </w:r>
      <w:proofErr w:type="spellStart"/>
      <w:r w:rsidR="0096071E" w:rsidRPr="0007620B">
        <w:rPr>
          <w:color w:val="auto"/>
        </w:rPr>
        <w:t>publico</w:t>
      </w:r>
      <w:proofErr w:type="spellEnd"/>
      <w:r w:rsidR="0096071E" w:rsidRPr="0007620B">
        <w:rPr>
          <w:color w:val="auto"/>
        </w:rPr>
        <w:t xml:space="preserve">, así que no tendría </w:t>
      </w:r>
      <w:proofErr w:type="spellStart"/>
      <w:r w:rsidR="0096071E" w:rsidRPr="0007620B">
        <w:rPr>
          <w:color w:val="auto"/>
        </w:rPr>
        <w:t>por que</w:t>
      </w:r>
      <w:proofErr w:type="spellEnd"/>
      <w:r w:rsidR="0096071E" w:rsidRPr="0007620B">
        <w:rPr>
          <w:color w:val="auto"/>
        </w:rPr>
        <w:t xml:space="preserve"> ser un dato privado al igual que las deducciones, al igual que el </w:t>
      </w:r>
      <w:proofErr w:type="spellStart"/>
      <w:r w:rsidR="0096071E" w:rsidRPr="0007620B">
        <w:rPr>
          <w:color w:val="auto"/>
        </w:rPr>
        <w:t>testado</w:t>
      </w:r>
      <w:proofErr w:type="spellEnd"/>
      <w:r w:rsidR="0096071E" w:rsidRPr="0007620B">
        <w:rPr>
          <w:color w:val="auto"/>
        </w:rPr>
        <w:t xml:space="preserve"> de del </w:t>
      </w:r>
      <w:proofErr w:type="spellStart"/>
      <w:r w:rsidR="0096071E" w:rsidRPr="0007620B">
        <w:rPr>
          <w:color w:val="auto"/>
        </w:rPr>
        <w:t>titulo</w:t>
      </w:r>
      <w:proofErr w:type="spellEnd"/>
      <w:r w:rsidR="0096071E" w:rsidRPr="0007620B">
        <w:rPr>
          <w:color w:val="auto"/>
        </w:rPr>
        <w:t xml:space="preserve"> profesional, deberían consultar la guía emitida por el </w:t>
      </w:r>
      <w:proofErr w:type="spellStart"/>
      <w:r w:rsidR="0096071E" w:rsidRPr="0007620B">
        <w:rPr>
          <w:color w:val="auto"/>
        </w:rPr>
        <w:t>infoem</w:t>
      </w:r>
      <w:proofErr w:type="spellEnd"/>
      <w:r w:rsidR="0096071E" w:rsidRPr="0007620B">
        <w:rPr>
          <w:color w:val="auto"/>
        </w:rPr>
        <w:t xml:space="preserve"> . </w:t>
      </w:r>
      <w:proofErr w:type="gramStart"/>
      <w:r w:rsidR="0096071E" w:rsidRPr="0007620B">
        <w:rPr>
          <w:color w:val="auto"/>
        </w:rPr>
        <w:t>ya</w:t>
      </w:r>
      <w:proofErr w:type="gramEnd"/>
      <w:r w:rsidR="0096071E" w:rsidRPr="0007620B">
        <w:rPr>
          <w:color w:val="auto"/>
        </w:rPr>
        <w:t xml:space="preserve"> que la fotografía </w:t>
      </w:r>
      <w:proofErr w:type="spellStart"/>
      <w:r w:rsidR="0096071E" w:rsidRPr="0007620B">
        <w:rPr>
          <w:color w:val="auto"/>
        </w:rPr>
        <w:t>tendria</w:t>
      </w:r>
      <w:proofErr w:type="spellEnd"/>
      <w:r w:rsidR="0096071E" w:rsidRPr="0007620B">
        <w:rPr>
          <w:color w:val="auto"/>
        </w:rPr>
        <w:t xml:space="preserve"> que ser visible como servidores públicos</w:t>
      </w:r>
      <w:bookmarkEnd w:id="11"/>
      <w:r w:rsidR="0096071E" w:rsidRPr="0007620B">
        <w:rPr>
          <w:color w:val="auto"/>
        </w:rPr>
        <w:t>.</w:t>
      </w:r>
      <w:r w:rsidRPr="0007620B">
        <w:rPr>
          <w:color w:val="auto"/>
        </w:rPr>
        <w:t>” Sic.</w:t>
      </w:r>
    </w:p>
    <w:p w14:paraId="1739945A" w14:textId="77777777" w:rsidR="00FF365E" w:rsidRPr="0007620B" w:rsidRDefault="00FF365E" w:rsidP="0007620B">
      <w:pPr>
        <w:tabs>
          <w:tab w:val="left" w:pos="4667"/>
        </w:tabs>
        <w:ind w:left="567" w:right="539"/>
        <w:rPr>
          <w:b/>
        </w:rPr>
      </w:pPr>
    </w:p>
    <w:p w14:paraId="16FD0B67" w14:textId="77777777" w:rsidR="00FF365E" w:rsidRPr="0007620B" w:rsidRDefault="00A83939" w:rsidP="0007620B">
      <w:pPr>
        <w:tabs>
          <w:tab w:val="left" w:pos="4667"/>
        </w:tabs>
        <w:ind w:left="567" w:right="539"/>
        <w:rPr>
          <w:b/>
        </w:rPr>
      </w:pPr>
      <w:r w:rsidRPr="0007620B">
        <w:rPr>
          <w:b/>
        </w:rPr>
        <w:t>RAZONES O MOTIVOS DE LA INCONFORMIDAD</w:t>
      </w:r>
      <w:r w:rsidRPr="0007620B">
        <w:rPr>
          <w:b/>
        </w:rPr>
        <w:tab/>
      </w:r>
    </w:p>
    <w:p w14:paraId="04AB2592" w14:textId="718D2518" w:rsidR="00FF365E" w:rsidRPr="0007620B" w:rsidRDefault="00F03788" w:rsidP="0007620B">
      <w:pPr>
        <w:pStyle w:val="Puesto"/>
        <w:ind w:firstLine="0"/>
        <w:rPr>
          <w:color w:val="auto"/>
        </w:rPr>
      </w:pPr>
      <w:r w:rsidRPr="0007620B">
        <w:rPr>
          <w:color w:val="auto"/>
        </w:rPr>
        <w:t>“</w:t>
      </w:r>
      <w:r w:rsidR="00F03868" w:rsidRPr="0007620B">
        <w:rPr>
          <w:color w:val="auto"/>
        </w:rPr>
        <w:t>no entregan la información completa</w:t>
      </w:r>
      <w:r w:rsidRPr="0007620B">
        <w:rPr>
          <w:color w:val="auto"/>
        </w:rPr>
        <w:t xml:space="preserve">” </w:t>
      </w:r>
    </w:p>
    <w:p w14:paraId="34CCF987" w14:textId="77777777" w:rsidR="0039675F" w:rsidRPr="0007620B" w:rsidRDefault="0039675F" w:rsidP="0007620B">
      <w:pPr>
        <w:ind w:left="567"/>
      </w:pPr>
    </w:p>
    <w:p w14:paraId="368D7F51" w14:textId="77777777" w:rsidR="00FF365E" w:rsidRPr="0007620B" w:rsidRDefault="00A83939" w:rsidP="0007620B">
      <w:pPr>
        <w:pStyle w:val="Ttulo3"/>
      </w:pPr>
      <w:bookmarkStart w:id="12" w:name="_Toc202996998"/>
      <w:r w:rsidRPr="0007620B">
        <w:lastRenderedPageBreak/>
        <w:t>b) Turno del Recurso de Revisión</w:t>
      </w:r>
      <w:bookmarkEnd w:id="12"/>
    </w:p>
    <w:p w14:paraId="6D5A2702" w14:textId="11B813A5" w:rsidR="00FF365E" w:rsidRPr="0007620B" w:rsidRDefault="00A83939" w:rsidP="0007620B">
      <w:r w:rsidRPr="0007620B">
        <w:t>Con fundamento en el artículo 185, fracción I de la Ley de Transparencia y Acceso a la Información Pública del Estado de México y Municipios, el</w:t>
      </w:r>
      <w:r w:rsidRPr="0007620B">
        <w:rPr>
          <w:b/>
        </w:rPr>
        <w:t xml:space="preserve"> </w:t>
      </w:r>
      <w:r w:rsidR="00B34591" w:rsidRPr="0007620B">
        <w:rPr>
          <w:b/>
        </w:rPr>
        <w:t>doce</w:t>
      </w:r>
      <w:r w:rsidR="00EE6F7D" w:rsidRPr="0007620B">
        <w:rPr>
          <w:b/>
        </w:rPr>
        <w:t xml:space="preserve"> de abril </w:t>
      </w:r>
      <w:r w:rsidRPr="0007620B">
        <w:rPr>
          <w:b/>
        </w:rPr>
        <w:t>de dos mil veinticinco,</w:t>
      </w:r>
      <w:r w:rsidRPr="0007620B">
        <w:t xml:space="preserve"> se turnó el recurso de revisión a través del SAIMEX a la </w:t>
      </w:r>
      <w:r w:rsidRPr="0007620B">
        <w:rPr>
          <w:b/>
        </w:rPr>
        <w:t>Comisionada Sharon Cristina Morales Martínez</w:t>
      </w:r>
      <w:r w:rsidRPr="0007620B">
        <w:t xml:space="preserve">, a efecto de decretar su admisión o </w:t>
      </w:r>
      <w:proofErr w:type="spellStart"/>
      <w:r w:rsidRPr="0007620B">
        <w:t>desechamiento</w:t>
      </w:r>
      <w:proofErr w:type="spellEnd"/>
      <w:r w:rsidRPr="0007620B">
        <w:t xml:space="preserve">. </w:t>
      </w:r>
    </w:p>
    <w:p w14:paraId="369756BD" w14:textId="77777777" w:rsidR="00FF365E" w:rsidRPr="0007620B" w:rsidRDefault="00FF365E" w:rsidP="0007620B"/>
    <w:p w14:paraId="66E7506C" w14:textId="77777777" w:rsidR="00FF365E" w:rsidRPr="0007620B" w:rsidRDefault="00A83939" w:rsidP="0007620B">
      <w:pPr>
        <w:pStyle w:val="Ttulo3"/>
      </w:pPr>
      <w:bookmarkStart w:id="13" w:name="_Toc202996999"/>
      <w:r w:rsidRPr="0007620B">
        <w:t>c) Admisión del Recurso de Revisión</w:t>
      </w:r>
      <w:bookmarkEnd w:id="13"/>
    </w:p>
    <w:p w14:paraId="53052F2D" w14:textId="07F3008B" w:rsidR="00FF365E" w:rsidRPr="0007620B" w:rsidRDefault="00A83939" w:rsidP="0007620B">
      <w:r w:rsidRPr="0007620B">
        <w:t xml:space="preserve">El </w:t>
      </w:r>
      <w:r w:rsidR="00323569" w:rsidRPr="0007620B">
        <w:rPr>
          <w:b/>
        </w:rPr>
        <w:t>veintitrés</w:t>
      </w:r>
      <w:r w:rsidRPr="0007620B">
        <w:rPr>
          <w:b/>
        </w:rPr>
        <w:t xml:space="preserve"> </w:t>
      </w:r>
      <w:r w:rsidR="00EE6F7D" w:rsidRPr="0007620B">
        <w:rPr>
          <w:b/>
        </w:rPr>
        <w:t>de abril</w:t>
      </w:r>
      <w:r w:rsidRPr="0007620B">
        <w:rPr>
          <w:b/>
        </w:rPr>
        <w:t xml:space="preserve"> de dos mil veinticinco,</w:t>
      </w:r>
      <w:r w:rsidRPr="0007620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8EFB96D" w14:textId="77777777" w:rsidR="00FF365E" w:rsidRPr="0007620B" w:rsidRDefault="00FF365E" w:rsidP="0007620B"/>
    <w:p w14:paraId="6FA94989" w14:textId="77777777" w:rsidR="00FF365E" w:rsidRPr="0007620B" w:rsidRDefault="00A83939" w:rsidP="0007620B">
      <w:pPr>
        <w:pStyle w:val="Ttulo3"/>
      </w:pPr>
      <w:bookmarkStart w:id="14" w:name="_Toc202997000"/>
      <w:r w:rsidRPr="0007620B">
        <w:t>d) Informe Justificado del Sujeto Obligado</w:t>
      </w:r>
      <w:bookmarkEnd w:id="14"/>
    </w:p>
    <w:p w14:paraId="013CDA79" w14:textId="77777777" w:rsidR="00F03868" w:rsidRPr="0007620B" w:rsidRDefault="00F03868" w:rsidP="0007620B">
      <w:r w:rsidRPr="0007620B">
        <w:t xml:space="preserve">De las constancias que obran en el expediente electrónico del </w:t>
      </w:r>
      <w:r w:rsidRPr="0007620B">
        <w:rPr>
          <w:b/>
        </w:rPr>
        <w:t>SAIMEX</w:t>
      </w:r>
      <w:r w:rsidRPr="0007620B">
        <w:t xml:space="preserve">, se advierte que </w:t>
      </w:r>
      <w:r w:rsidRPr="0007620B">
        <w:rPr>
          <w:b/>
        </w:rPr>
        <w:t>EL SUJETO OBLIGADO</w:t>
      </w:r>
      <w:r w:rsidRPr="0007620B">
        <w:t xml:space="preserve"> omitió remitir su informe justificado dentro del plazo legalmente concedido.</w:t>
      </w:r>
    </w:p>
    <w:p w14:paraId="0FB0371B" w14:textId="77777777" w:rsidR="00FF365E" w:rsidRPr="0007620B" w:rsidRDefault="00FF365E" w:rsidP="0007620B"/>
    <w:p w14:paraId="763EBE1A" w14:textId="77777777" w:rsidR="00FF365E" w:rsidRPr="0007620B" w:rsidRDefault="00A83939" w:rsidP="0007620B">
      <w:pPr>
        <w:pStyle w:val="Ttulo3"/>
      </w:pPr>
      <w:bookmarkStart w:id="15" w:name="_Toc202997001"/>
      <w:r w:rsidRPr="0007620B">
        <w:t>e) Manifestaciones de la Parte Recurrente</w:t>
      </w:r>
      <w:bookmarkEnd w:id="15"/>
    </w:p>
    <w:p w14:paraId="600FED98" w14:textId="77777777" w:rsidR="00FF365E" w:rsidRPr="0007620B" w:rsidRDefault="00A83939" w:rsidP="0007620B">
      <w:r w:rsidRPr="0007620B">
        <w:rPr>
          <w:b/>
        </w:rPr>
        <w:t xml:space="preserve">LA PARTE RECURRENTE </w:t>
      </w:r>
      <w:r w:rsidRPr="0007620B">
        <w:t>no realizó manifestación alguna dentro del término legalmente concedido para tal efecto, ni presentó pruebas o alegatos.</w:t>
      </w:r>
    </w:p>
    <w:p w14:paraId="1059BACF" w14:textId="77777777" w:rsidR="00FD3AFB" w:rsidRPr="0007620B" w:rsidRDefault="00FD3AFB" w:rsidP="0007620B"/>
    <w:p w14:paraId="4551C13D" w14:textId="1525D0E4" w:rsidR="00FF365E" w:rsidRPr="0007620B" w:rsidRDefault="00CC14F9" w:rsidP="0007620B">
      <w:pPr>
        <w:pStyle w:val="Ttulo3"/>
      </w:pPr>
      <w:bookmarkStart w:id="16" w:name="_Toc202997002"/>
      <w:r w:rsidRPr="0007620B">
        <w:lastRenderedPageBreak/>
        <w:t>f</w:t>
      </w:r>
      <w:r w:rsidR="00A83939" w:rsidRPr="0007620B">
        <w:t>) Cierre de instrucción</w:t>
      </w:r>
      <w:bookmarkEnd w:id="16"/>
    </w:p>
    <w:p w14:paraId="6C6F1501" w14:textId="6A93A6DF" w:rsidR="00FF365E" w:rsidRPr="0007620B" w:rsidRDefault="00A83939" w:rsidP="0007620B">
      <w:r w:rsidRPr="0007620B">
        <w:t xml:space="preserve">Al no existir diligencias pendientes por desahogar, el </w:t>
      </w:r>
      <w:r w:rsidR="00323569" w:rsidRPr="0007620B">
        <w:rPr>
          <w:b/>
        </w:rPr>
        <w:t>veinte de mayo</w:t>
      </w:r>
      <w:r w:rsidR="00FD3AFB" w:rsidRPr="0007620B">
        <w:rPr>
          <w:b/>
        </w:rPr>
        <w:t xml:space="preserve"> </w:t>
      </w:r>
      <w:r w:rsidRPr="0007620B">
        <w:rPr>
          <w:b/>
        </w:rPr>
        <w:t>de dos mil veinticinco,</w:t>
      </w:r>
      <w:r w:rsidRPr="0007620B">
        <w:t xml:space="preserve"> la </w:t>
      </w:r>
      <w:r w:rsidRPr="0007620B">
        <w:rPr>
          <w:b/>
        </w:rPr>
        <w:t xml:space="preserve">Comisionada Sharon Cristina Morales Martínez </w:t>
      </w:r>
      <w:r w:rsidRPr="0007620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7620B">
        <w:rPr>
          <w:b/>
        </w:rPr>
        <w:t>SAIMEX</w:t>
      </w:r>
      <w:r w:rsidRPr="0007620B">
        <w:t>.</w:t>
      </w:r>
    </w:p>
    <w:p w14:paraId="1ECA688B" w14:textId="77777777" w:rsidR="00323569" w:rsidRPr="0007620B" w:rsidRDefault="00323569" w:rsidP="0007620B"/>
    <w:p w14:paraId="4B8FDC70" w14:textId="183439AB" w:rsidR="00323569" w:rsidRPr="0007620B" w:rsidRDefault="00CC14F9" w:rsidP="0007620B">
      <w:pPr>
        <w:pStyle w:val="Ttulo3"/>
      </w:pPr>
      <w:bookmarkStart w:id="17" w:name="_Toc201499945"/>
      <w:bookmarkStart w:id="18" w:name="_Toc202997003"/>
      <w:r w:rsidRPr="0007620B">
        <w:t>g</w:t>
      </w:r>
      <w:r w:rsidR="00323569" w:rsidRPr="0007620B">
        <w:t>) Ampliación de Plazo para Resolver</w:t>
      </w:r>
      <w:bookmarkEnd w:id="17"/>
      <w:bookmarkEnd w:id="18"/>
      <w:r w:rsidR="00323569" w:rsidRPr="0007620B">
        <w:t xml:space="preserve"> </w:t>
      </w:r>
    </w:p>
    <w:p w14:paraId="6908A17B" w14:textId="6E0EAFD8" w:rsidR="00323569" w:rsidRPr="0007620B" w:rsidRDefault="00323569" w:rsidP="0007620B">
      <w:r w:rsidRPr="0007620B">
        <w:t xml:space="preserve">El </w:t>
      </w:r>
      <w:r w:rsidRPr="0007620B">
        <w:rPr>
          <w:b/>
        </w:rPr>
        <w:t>veinticuatro de junio de dos mil veinticinco</w:t>
      </w:r>
      <w:r w:rsidRPr="0007620B">
        <w:t>, se notificó el acuerdo de ampliación de plazo para resolver el presente Recurso de Revisión, previsto en el artículo 181, tercer párrafo de la Ley de Transparencia y Acceso a la Información Pública del Estado de México y Municipios.</w:t>
      </w:r>
    </w:p>
    <w:p w14:paraId="2367435C" w14:textId="77777777" w:rsidR="00323569" w:rsidRPr="0007620B" w:rsidRDefault="00323569" w:rsidP="0007620B"/>
    <w:p w14:paraId="7C85AB04" w14:textId="77777777" w:rsidR="00FF365E" w:rsidRPr="0007620B" w:rsidRDefault="00FF365E" w:rsidP="0007620B"/>
    <w:p w14:paraId="2EFEA8C6" w14:textId="77777777" w:rsidR="00FF365E" w:rsidRPr="0007620B" w:rsidRDefault="00A83939" w:rsidP="0007620B">
      <w:pPr>
        <w:pStyle w:val="Ttulo1"/>
      </w:pPr>
      <w:bookmarkStart w:id="19" w:name="_Toc202997004"/>
      <w:r w:rsidRPr="0007620B">
        <w:t>CONSIDERANDOS</w:t>
      </w:r>
      <w:bookmarkEnd w:id="19"/>
    </w:p>
    <w:p w14:paraId="7A9D7231" w14:textId="77777777" w:rsidR="00FF365E" w:rsidRPr="0007620B" w:rsidRDefault="00FF365E" w:rsidP="0007620B">
      <w:pPr>
        <w:jc w:val="center"/>
        <w:rPr>
          <w:b/>
        </w:rPr>
      </w:pPr>
    </w:p>
    <w:p w14:paraId="0532BFD6" w14:textId="77777777" w:rsidR="00FF365E" w:rsidRPr="0007620B" w:rsidRDefault="00A83939" w:rsidP="0007620B">
      <w:pPr>
        <w:pStyle w:val="Ttulo2"/>
      </w:pPr>
      <w:bookmarkStart w:id="20" w:name="_Toc202997005"/>
      <w:r w:rsidRPr="0007620B">
        <w:t xml:space="preserve">PRIMERO. </w:t>
      </w:r>
      <w:proofErr w:type="spellStart"/>
      <w:r w:rsidRPr="0007620B">
        <w:t>Procedibilidad</w:t>
      </w:r>
      <w:bookmarkEnd w:id="20"/>
      <w:proofErr w:type="spellEnd"/>
    </w:p>
    <w:p w14:paraId="06F615F0" w14:textId="77777777" w:rsidR="00FF365E" w:rsidRPr="0007620B" w:rsidRDefault="00A83939" w:rsidP="0007620B">
      <w:pPr>
        <w:pStyle w:val="Ttulo3"/>
      </w:pPr>
      <w:bookmarkStart w:id="21" w:name="_Toc202997006"/>
      <w:r w:rsidRPr="0007620B">
        <w:t>a) Competencia del Instituto</w:t>
      </w:r>
      <w:bookmarkEnd w:id="21"/>
    </w:p>
    <w:p w14:paraId="29B45D93" w14:textId="34A1B972" w:rsidR="00FF365E" w:rsidRPr="0007620B" w:rsidRDefault="00A83939" w:rsidP="0007620B">
      <w:r w:rsidRPr="0007620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w:t>
      </w:r>
      <w:r w:rsidR="00CC14F9" w:rsidRPr="0007620B">
        <w:t xml:space="preserve"> cuadragésimo y cuadragésimo primero</w:t>
      </w:r>
      <w:r w:rsidRPr="0007620B">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07620B">
        <w:lastRenderedPageBreak/>
        <w:t>de México y Municipios; y 9, fracciones I y XXIII y 11 del Reglamento Interior del Instituto de Transparencia, Acceso a la Información Pública y Protección de Datos Personales del Estado de México y Municipios.</w:t>
      </w:r>
    </w:p>
    <w:p w14:paraId="07768B86" w14:textId="77777777" w:rsidR="00FF365E" w:rsidRPr="0007620B" w:rsidRDefault="00FF365E" w:rsidP="0007620B"/>
    <w:p w14:paraId="69D35337" w14:textId="77777777" w:rsidR="00FF365E" w:rsidRPr="0007620B" w:rsidRDefault="00A83939" w:rsidP="0007620B">
      <w:pPr>
        <w:pStyle w:val="Ttulo3"/>
      </w:pPr>
      <w:bookmarkStart w:id="22" w:name="_Toc202997007"/>
      <w:r w:rsidRPr="0007620B">
        <w:t>b) Legitimidad de la parte recurrente</w:t>
      </w:r>
      <w:bookmarkEnd w:id="22"/>
    </w:p>
    <w:p w14:paraId="6B2C6661" w14:textId="77777777" w:rsidR="00FF365E" w:rsidRPr="0007620B" w:rsidRDefault="00A83939" w:rsidP="0007620B">
      <w:r w:rsidRPr="0007620B">
        <w:t>El recurso de revisión fue interpuesto por parte legítima, ya que se presentó por la misma persona que formuló la solicitud de acceso a la Información Pública,</w:t>
      </w:r>
      <w:r w:rsidRPr="0007620B">
        <w:rPr>
          <w:b/>
        </w:rPr>
        <w:t xml:space="preserve"> </w:t>
      </w:r>
      <w:r w:rsidRPr="0007620B">
        <w:t>debido a que los datos de acceso</w:t>
      </w:r>
      <w:r w:rsidRPr="0007620B">
        <w:rPr>
          <w:b/>
        </w:rPr>
        <w:t xml:space="preserve"> SAIMEX</w:t>
      </w:r>
      <w:r w:rsidRPr="0007620B">
        <w:t xml:space="preserve"> son personales e irrepetibles.</w:t>
      </w:r>
    </w:p>
    <w:p w14:paraId="21608BAE" w14:textId="77777777" w:rsidR="00FF365E" w:rsidRPr="0007620B" w:rsidRDefault="00FF365E" w:rsidP="0007620B"/>
    <w:p w14:paraId="0FDB502E" w14:textId="77777777" w:rsidR="00FF365E" w:rsidRPr="0007620B" w:rsidRDefault="00A83939" w:rsidP="0007620B">
      <w:pPr>
        <w:pStyle w:val="Ttulo3"/>
      </w:pPr>
      <w:bookmarkStart w:id="23" w:name="_Toc202997008"/>
      <w:r w:rsidRPr="0007620B">
        <w:t>c) Plazo para interponer el recurso</w:t>
      </w:r>
      <w:bookmarkEnd w:id="23"/>
    </w:p>
    <w:p w14:paraId="6B9FB080" w14:textId="454D188D" w:rsidR="00FF365E" w:rsidRPr="0007620B" w:rsidRDefault="00A83939" w:rsidP="0007620B">
      <w:r w:rsidRPr="0007620B">
        <w:rPr>
          <w:b/>
        </w:rPr>
        <w:t>EL SUJETO OBLIGADO</w:t>
      </w:r>
      <w:r w:rsidRPr="0007620B">
        <w:t xml:space="preserve"> notificó la respuesta a la solicitud de acceso a la Información Pública el </w:t>
      </w:r>
      <w:r w:rsidR="00F03868" w:rsidRPr="0007620B">
        <w:rPr>
          <w:b/>
        </w:rPr>
        <w:t>nueve de abril</w:t>
      </w:r>
      <w:r w:rsidRPr="0007620B">
        <w:rPr>
          <w:b/>
        </w:rPr>
        <w:t xml:space="preserve"> de dos mil veinticinco,</w:t>
      </w:r>
      <w:r w:rsidRPr="0007620B">
        <w:t xml:space="preserve"> y el recurso que nos ocupa se tuvo por presentado el </w:t>
      </w:r>
      <w:r w:rsidR="00F03868" w:rsidRPr="0007620B">
        <w:rPr>
          <w:b/>
        </w:rPr>
        <w:t>veintiuno</w:t>
      </w:r>
      <w:r w:rsidR="00F03868" w:rsidRPr="0007620B">
        <w:rPr>
          <w:rStyle w:val="Refdenotaalpie"/>
          <w:b/>
        </w:rPr>
        <w:footnoteReference w:id="2"/>
      </w:r>
      <w:r w:rsidR="00496FDC" w:rsidRPr="0007620B">
        <w:rPr>
          <w:b/>
        </w:rPr>
        <w:t xml:space="preserve"> de abril</w:t>
      </w:r>
      <w:r w:rsidRPr="0007620B">
        <w:rPr>
          <w:b/>
        </w:rPr>
        <w:t xml:space="preserve"> de dos mil veinticinco</w:t>
      </w:r>
      <w:r w:rsidRPr="0007620B">
        <w:t>; por lo tanto, éste se encuentra dentro del margen temporal previsto en el artículo 178 de la Ley de Transparencia y Acceso a la Información Pública del Estado de México y Municipios.</w:t>
      </w:r>
    </w:p>
    <w:p w14:paraId="68431CC1" w14:textId="77777777" w:rsidR="00FF365E" w:rsidRPr="0007620B" w:rsidRDefault="00FF365E" w:rsidP="0007620B"/>
    <w:p w14:paraId="71B2F47F" w14:textId="77777777" w:rsidR="00FF365E" w:rsidRPr="0007620B" w:rsidRDefault="00A83939" w:rsidP="0007620B">
      <w:pPr>
        <w:pStyle w:val="Ttulo3"/>
      </w:pPr>
      <w:bookmarkStart w:id="24" w:name="_Toc202997009"/>
      <w:r w:rsidRPr="0007620B">
        <w:t>d) Causal de Procedencia</w:t>
      </w:r>
      <w:bookmarkEnd w:id="24"/>
    </w:p>
    <w:p w14:paraId="795AAAEA" w14:textId="0A4456B6" w:rsidR="00FF365E" w:rsidRPr="0007620B" w:rsidRDefault="00A83939" w:rsidP="0007620B">
      <w:r w:rsidRPr="0007620B">
        <w:t xml:space="preserve">Resulta procedente la interposición del recurso de revisión, ya que se actualiza la causal de procedencia señalada en el artículo 179, fracción </w:t>
      </w:r>
      <w:r w:rsidR="0071166F" w:rsidRPr="0007620B">
        <w:t>V</w:t>
      </w:r>
      <w:r w:rsidRPr="0007620B">
        <w:t xml:space="preserve"> de la Ley de Transparencia y Acceso a la Información Pública del Estado de México y Municipios.</w:t>
      </w:r>
    </w:p>
    <w:p w14:paraId="265BB9BD" w14:textId="77777777" w:rsidR="00FF365E" w:rsidRPr="0007620B" w:rsidRDefault="00FF365E" w:rsidP="0007620B"/>
    <w:p w14:paraId="27F13C56" w14:textId="77777777" w:rsidR="00FF365E" w:rsidRPr="0007620B" w:rsidRDefault="00A83939" w:rsidP="0007620B">
      <w:pPr>
        <w:pStyle w:val="Ttulo3"/>
      </w:pPr>
      <w:bookmarkStart w:id="25" w:name="_Toc202997010"/>
      <w:r w:rsidRPr="0007620B">
        <w:lastRenderedPageBreak/>
        <w:t>e) Requisitos formales para la interposición del recurso</w:t>
      </w:r>
      <w:bookmarkEnd w:id="25"/>
    </w:p>
    <w:p w14:paraId="6CA47D51" w14:textId="77777777" w:rsidR="00FF365E" w:rsidRPr="0007620B" w:rsidRDefault="00A83939" w:rsidP="0007620B">
      <w:r w:rsidRPr="0007620B">
        <w:t xml:space="preserve">Es importante mencionar que, de la revisión del expediente electrónico del </w:t>
      </w:r>
      <w:r w:rsidRPr="0007620B">
        <w:rPr>
          <w:b/>
        </w:rPr>
        <w:t>SAIMEX</w:t>
      </w:r>
      <w:r w:rsidRPr="0007620B">
        <w:t xml:space="preserve">, se observa que </w:t>
      </w:r>
      <w:r w:rsidRPr="0007620B">
        <w:rPr>
          <w:b/>
        </w:rPr>
        <w:t>LA PARTE RECURRENTE</w:t>
      </w:r>
      <w:r w:rsidRPr="0007620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7620B">
        <w:rPr>
          <w:b/>
          <w:u w:val="single"/>
        </w:rPr>
        <w:t>el nombre no es un requisito indispensable</w:t>
      </w:r>
      <w:r w:rsidRPr="0007620B">
        <w:t xml:space="preserve"> para que las y los ciudadanos ejerzan el derecho de acceso a la información pública. </w:t>
      </w:r>
    </w:p>
    <w:p w14:paraId="7D68709A" w14:textId="77777777" w:rsidR="00FF365E" w:rsidRPr="0007620B" w:rsidRDefault="00FF365E" w:rsidP="0007620B"/>
    <w:p w14:paraId="2AB4BE9B" w14:textId="77777777" w:rsidR="00FF365E" w:rsidRPr="0007620B" w:rsidRDefault="00A83939" w:rsidP="0007620B">
      <w:r w:rsidRPr="0007620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7620B">
        <w:rPr>
          <w:b/>
        </w:rPr>
        <w:t>LA PARTE RECURRENTE</w:t>
      </w:r>
      <w:r w:rsidRPr="0007620B">
        <w:t xml:space="preserve">; por lo que, en el presente caso, al haber sido presentado el recurso de revisión vía </w:t>
      </w:r>
      <w:r w:rsidRPr="0007620B">
        <w:rPr>
          <w:b/>
        </w:rPr>
        <w:t>SAIMEX</w:t>
      </w:r>
      <w:r w:rsidRPr="0007620B">
        <w:t>, dicho requisito resulta innecesario.</w:t>
      </w:r>
    </w:p>
    <w:p w14:paraId="7301011E" w14:textId="77777777" w:rsidR="00FF365E" w:rsidRPr="0007620B" w:rsidRDefault="00FF365E" w:rsidP="0007620B"/>
    <w:p w14:paraId="0894E0AD" w14:textId="77777777" w:rsidR="00FF365E" w:rsidRPr="0007620B" w:rsidRDefault="00A83939" w:rsidP="0007620B">
      <w:pPr>
        <w:pStyle w:val="Ttulo2"/>
      </w:pPr>
      <w:bookmarkStart w:id="26" w:name="_Toc202997011"/>
      <w:r w:rsidRPr="0007620B">
        <w:t>SEGUNDO. Estudio de Fondo</w:t>
      </w:r>
      <w:bookmarkEnd w:id="26"/>
    </w:p>
    <w:p w14:paraId="527BFB3A" w14:textId="77777777" w:rsidR="00FF365E" w:rsidRPr="0007620B" w:rsidRDefault="00A83939" w:rsidP="0007620B">
      <w:pPr>
        <w:pStyle w:val="Ttulo3"/>
      </w:pPr>
      <w:bookmarkStart w:id="27" w:name="_Toc202997012"/>
      <w:r w:rsidRPr="0007620B">
        <w:t>a) Mandato de transparencia y responsabilidad del Sujeto Obligado</w:t>
      </w:r>
      <w:bookmarkEnd w:id="27"/>
    </w:p>
    <w:p w14:paraId="7961CA9D" w14:textId="77777777" w:rsidR="00FF365E" w:rsidRPr="0007620B" w:rsidRDefault="00A83939" w:rsidP="0007620B">
      <w:r w:rsidRPr="0007620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7A6F47A" w14:textId="77777777" w:rsidR="00FF365E" w:rsidRPr="0007620B" w:rsidRDefault="00FF365E" w:rsidP="0007620B"/>
    <w:p w14:paraId="1AFDC783" w14:textId="77777777" w:rsidR="00FF365E" w:rsidRPr="0007620B" w:rsidRDefault="00A83939" w:rsidP="0007620B">
      <w:pPr>
        <w:spacing w:line="240" w:lineRule="auto"/>
        <w:ind w:left="567" w:right="539"/>
        <w:rPr>
          <w:b/>
          <w:i/>
        </w:rPr>
      </w:pPr>
      <w:r w:rsidRPr="0007620B">
        <w:rPr>
          <w:b/>
          <w:i/>
        </w:rPr>
        <w:t>Constitución Política de los Estados Unidos Mexicanos</w:t>
      </w:r>
    </w:p>
    <w:p w14:paraId="14DBA23E" w14:textId="77777777" w:rsidR="00FF365E" w:rsidRPr="0007620B" w:rsidRDefault="00A83939" w:rsidP="0007620B">
      <w:pPr>
        <w:spacing w:line="240" w:lineRule="auto"/>
        <w:ind w:left="567" w:right="539"/>
        <w:rPr>
          <w:b/>
          <w:i/>
        </w:rPr>
      </w:pPr>
      <w:r w:rsidRPr="0007620B">
        <w:rPr>
          <w:b/>
          <w:i/>
        </w:rPr>
        <w:t>“Artículo 6.</w:t>
      </w:r>
    </w:p>
    <w:p w14:paraId="48EBDA19" w14:textId="77777777" w:rsidR="00FF365E" w:rsidRPr="0007620B" w:rsidRDefault="00A83939" w:rsidP="0007620B">
      <w:pPr>
        <w:spacing w:line="240" w:lineRule="auto"/>
        <w:ind w:left="567" w:right="539"/>
        <w:rPr>
          <w:i/>
        </w:rPr>
      </w:pPr>
      <w:r w:rsidRPr="0007620B">
        <w:rPr>
          <w:i/>
        </w:rPr>
        <w:lastRenderedPageBreak/>
        <w:t>(…)</w:t>
      </w:r>
    </w:p>
    <w:p w14:paraId="1B1AC60E" w14:textId="77777777" w:rsidR="00FF365E" w:rsidRPr="0007620B" w:rsidRDefault="00A83939" w:rsidP="0007620B">
      <w:pPr>
        <w:spacing w:line="240" w:lineRule="auto"/>
        <w:ind w:left="567" w:right="539"/>
        <w:rPr>
          <w:i/>
        </w:rPr>
      </w:pPr>
      <w:r w:rsidRPr="0007620B">
        <w:rPr>
          <w:i/>
        </w:rPr>
        <w:t>Para efectos de lo dispuesto en el presente artículo se observará lo siguiente:</w:t>
      </w:r>
    </w:p>
    <w:p w14:paraId="6D2CB9CF" w14:textId="77777777" w:rsidR="00FF365E" w:rsidRPr="0007620B" w:rsidRDefault="00A83939" w:rsidP="0007620B">
      <w:pPr>
        <w:spacing w:line="240" w:lineRule="auto"/>
        <w:ind w:left="567" w:right="539"/>
        <w:rPr>
          <w:b/>
          <w:i/>
        </w:rPr>
      </w:pPr>
      <w:r w:rsidRPr="0007620B">
        <w:rPr>
          <w:b/>
          <w:i/>
        </w:rPr>
        <w:t>A</w:t>
      </w:r>
      <w:r w:rsidRPr="0007620B">
        <w:rPr>
          <w:i/>
        </w:rPr>
        <w:t xml:space="preserve">. </w:t>
      </w:r>
      <w:r w:rsidRPr="0007620B">
        <w:rPr>
          <w:b/>
          <w:i/>
        </w:rPr>
        <w:t>Para el ejercicio del derecho de acceso a la información</w:t>
      </w:r>
      <w:r w:rsidRPr="0007620B">
        <w:rPr>
          <w:i/>
        </w:rPr>
        <w:t xml:space="preserve">, la Federación y </w:t>
      </w:r>
      <w:r w:rsidRPr="0007620B">
        <w:rPr>
          <w:b/>
          <w:i/>
        </w:rPr>
        <w:t>las entidades federativas, en el ámbito de sus respectivas competencias, se regirán por los siguientes principios y bases:</w:t>
      </w:r>
    </w:p>
    <w:p w14:paraId="67E13947" w14:textId="77777777" w:rsidR="00FF365E" w:rsidRPr="0007620B" w:rsidRDefault="00A83939" w:rsidP="0007620B">
      <w:pPr>
        <w:spacing w:line="240" w:lineRule="auto"/>
        <w:ind w:left="567" w:right="539"/>
        <w:rPr>
          <w:i/>
        </w:rPr>
      </w:pPr>
      <w:r w:rsidRPr="0007620B">
        <w:rPr>
          <w:b/>
          <w:i/>
        </w:rPr>
        <w:t xml:space="preserve">I. </w:t>
      </w:r>
      <w:r w:rsidRPr="0007620B">
        <w:rPr>
          <w:b/>
          <w:i/>
        </w:rPr>
        <w:tab/>
        <w:t>Toda la información en posesión de cualquier</w:t>
      </w:r>
      <w:r w:rsidRPr="0007620B">
        <w:rPr>
          <w:i/>
        </w:rPr>
        <w:t xml:space="preserve"> </w:t>
      </w:r>
      <w:r w:rsidRPr="0007620B">
        <w:rPr>
          <w:b/>
          <w:i/>
        </w:rPr>
        <w:t>autoridad</w:t>
      </w:r>
      <w:r w:rsidRPr="0007620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620B">
        <w:rPr>
          <w:b/>
          <w:i/>
        </w:rPr>
        <w:t>municipal</w:t>
      </w:r>
      <w:r w:rsidRPr="0007620B">
        <w:rPr>
          <w:i/>
        </w:rPr>
        <w:t xml:space="preserve">, </w:t>
      </w:r>
      <w:r w:rsidRPr="0007620B">
        <w:rPr>
          <w:b/>
          <w:i/>
        </w:rPr>
        <w:t>es pública</w:t>
      </w:r>
      <w:r w:rsidRPr="0007620B">
        <w:rPr>
          <w:i/>
        </w:rPr>
        <w:t xml:space="preserve"> y sólo podrá ser reservada temporalmente por razones de interés público y seguridad nacional, en los términos que fijen las leyes. </w:t>
      </w:r>
      <w:r w:rsidRPr="0007620B">
        <w:rPr>
          <w:b/>
          <w:i/>
        </w:rPr>
        <w:t>En la interpretación de este derecho deberá prevalecer el principio de máxima publicidad. Los sujetos obligados deberán documentar todo acto que derive del ejercicio de sus facultades, competencias o funciones</w:t>
      </w:r>
      <w:r w:rsidRPr="0007620B">
        <w:rPr>
          <w:i/>
        </w:rPr>
        <w:t>, la ley determinará los supuestos específicos bajo los cuales procederá la declaración de inexistencia de la información.”</w:t>
      </w:r>
    </w:p>
    <w:p w14:paraId="465F3508" w14:textId="77777777" w:rsidR="00FF365E" w:rsidRPr="0007620B" w:rsidRDefault="00FF365E" w:rsidP="0007620B">
      <w:pPr>
        <w:spacing w:line="240" w:lineRule="auto"/>
        <w:ind w:left="567" w:right="539"/>
        <w:rPr>
          <w:b/>
          <w:i/>
        </w:rPr>
      </w:pPr>
    </w:p>
    <w:p w14:paraId="4D823E62" w14:textId="77777777" w:rsidR="00FF365E" w:rsidRPr="0007620B" w:rsidRDefault="00A83939" w:rsidP="0007620B">
      <w:pPr>
        <w:spacing w:line="240" w:lineRule="auto"/>
        <w:ind w:left="567" w:right="539"/>
        <w:rPr>
          <w:b/>
          <w:i/>
        </w:rPr>
      </w:pPr>
      <w:r w:rsidRPr="0007620B">
        <w:rPr>
          <w:b/>
          <w:i/>
        </w:rPr>
        <w:t>Constitución Política del Estado Libre y Soberano de México</w:t>
      </w:r>
    </w:p>
    <w:p w14:paraId="18A02493" w14:textId="77777777" w:rsidR="00FF365E" w:rsidRPr="0007620B" w:rsidRDefault="00A83939" w:rsidP="0007620B">
      <w:pPr>
        <w:spacing w:line="240" w:lineRule="auto"/>
        <w:ind w:left="567" w:right="539"/>
        <w:rPr>
          <w:i/>
        </w:rPr>
      </w:pPr>
      <w:r w:rsidRPr="0007620B">
        <w:rPr>
          <w:b/>
          <w:i/>
        </w:rPr>
        <w:t>“Artículo 5</w:t>
      </w:r>
      <w:r w:rsidRPr="0007620B">
        <w:rPr>
          <w:i/>
        </w:rPr>
        <w:t xml:space="preserve">.- </w:t>
      </w:r>
    </w:p>
    <w:p w14:paraId="52A7CF40" w14:textId="77777777" w:rsidR="00FF365E" w:rsidRPr="0007620B" w:rsidRDefault="00A83939" w:rsidP="0007620B">
      <w:pPr>
        <w:spacing w:line="240" w:lineRule="auto"/>
        <w:ind w:left="567" w:right="539"/>
        <w:rPr>
          <w:i/>
        </w:rPr>
      </w:pPr>
      <w:r w:rsidRPr="0007620B">
        <w:rPr>
          <w:i/>
        </w:rPr>
        <w:t>(…)</w:t>
      </w:r>
    </w:p>
    <w:p w14:paraId="0AC6BEC4" w14:textId="77777777" w:rsidR="00FF365E" w:rsidRPr="0007620B" w:rsidRDefault="00A83939" w:rsidP="0007620B">
      <w:pPr>
        <w:spacing w:line="240" w:lineRule="auto"/>
        <w:ind w:left="567" w:right="539"/>
        <w:rPr>
          <w:i/>
        </w:rPr>
      </w:pPr>
      <w:r w:rsidRPr="0007620B">
        <w:rPr>
          <w:b/>
          <w:i/>
        </w:rPr>
        <w:t>El derecho a la información será garantizado por el Estado. La ley establecerá las previsiones que permitan asegurar la protección, el respeto y la difusión de este derecho</w:t>
      </w:r>
      <w:r w:rsidRPr="0007620B">
        <w:rPr>
          <w:i/>
        </w:rPr>
        <w:t>.</w:t>
      </w:r>
    </w:p>
    <w:p w14:paraId="059129FE" w14:textId="77777777" w:rsidR="00FF365E" w:rsidRPr="0007620B" w:rsidRDefault="00A83939" w:rsidP="0007620B">
      <w:pPr>
        <w:spacing w:line="240" w:lineRule="auto"/>
        <w:ind w:left="567" w:right="539"/>
        <w:rPr>
          <w:i/>
        </w:rPr>
      </w:pPr>
      <w:r w:rsidRPr="0007620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049F03" w14:textId="77777777" w:rsidR="00FF365E" w:rsidRPr="0007620B" w:rsidRDefault="00A83939" w:rsidP="0007620B">
      <w:pPr>
        <w:spacing w:line="240" w:lineRule="auto"/>
        <w:ind w:left="567" w:right="539"/>
        <w:rPr>
          <w:i/>
        </w:rPr>
      </w:pPr>
      <w:r w:rsidRPr="0007620B">
        <w:rPr>
          <w:b/>
          <w:i/>
        </w:rPr>
        <w:t>Este derecho se regirá por los principios y bases siguientes</w:t>
      </w:r>
      <w:r w:rsidRPr="0007620B">
        <w:rPr>
          <w:i/>
        </w:rPr>
        <w:t>:</w:t>
      </w:r>
    </w:p>
    <w:p w14:paraId="2554F03C" w14:textId="77777777" w:rsidR="00FF365E" w:rsidRPr="0007620B" w:rsidRDefault="00A83939" w:rsidP="0007620B">
      <w:pPr>
        <w:spacing w:line="240" w:lineRule="auto"/>
        <w:ind w:left="567" w:right="539"/>
        <w:rPr>
          <w:i/>
        </w:rPr>
      </w:pPr>
      <w:r w:rsidRPr="0007620B">
        <w:rPr>
          <w:b/>
          <w:i/>
        </w:rPr>
        <w:t>I. Toda la información en posesión de cualquier autoridad, entidad, órgano y organismos de los</w:t>
      </w:r>
      <w:r w:rsidRPr="0007620B">
        <w:rPr>
          <w:i/>
        </w:rPr>
        <w:t xml:space="preserve"> Poderes Ejecutivo, Legislativo y Judicial, órganos autónomos, partidos políticos, fideicomisos y fondos públicos estatales y </w:t>
      </w:r>
      <w:r w:rsidRPr="0007620B">
        <w:rPr>
          <w:b/>
          <w:i/>
        </w:rPr>
        <w:t>municipales</w:t>
      </w:r>
      <w:r w:rsidRPr="0007620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620B">
        <w:rPr>
          <w:b/>
          <w:i/>
        </w:rPr>
        <w:t>es pública</w:t>
      </w:r>
      <w:r w:rsidRPr="0007620B">
        <w:rPr>
          <w:i/>
        </w:rPr>
        <w:t xml:space="preserve"> y sólo podrá ser reservada temporalmente por razones previstas en la Constitución Política de los Estados Unidos Mexicanos de interés público y seguridad, en los términos que fijen las leyes. </w:t>
      </w:r>
      <w:r w:rsidRPr="0007620B">
        <w:rPr>
          <w:b/>
          <w:i/>
        </w:rPr>
        <w:t>En la interpretación de este derecho deberá prevalecer el principio de máxima publicidad</w:t>
      </w:r>
      <w:r w:rsidRPr="0007620B">
        <w:rPr>
          <w:i/>
        </w:rPr>
        <w:t xml:space="preserve">. </w:t>
      </w:r>
      <w:r w:rsidRPr="0007620B">
        <w:rPr>
          <w:b/>
          <w:i/>
        </w:rPr>
        <w:t>Los sujetos obligados deberán documentar todo acto que derive del ejercicio de sus facultades, competencias o funciones</w:t>
      </w:r>
      <w:r w:rsidRPr="0007620B">
        <w:rPr>
          <w:i/>
        </w:rPr>
        <w:t>, la ley determinará los supuestos específicos bajo los cuales procederá la declaración de inexistencia de la información.”</w:t>
      </w:r>
    </w:p>
    <w:p w14:paraId="469105D6" w14:textId="77777777" w:rsidR="00FF365E" w:rsidRPr="0007620B" w:rsidRDefault="00FF365E" w:rsidP="0007620B">
      <w:pPr>
        <w:rPr>
          <w:b/>
          <w:i/>
        </w:rPr>
      </w:pPr>
    </w:p>
    <w:p w14:paraId="4499CCFE" w14:textId="77777777" w:rsidR="00FF365E" w:rsidRPr="0007620B" w:rsidRDefault="00A83939" w:rsidP="0007620B">
      <w:pPr>
        <w:rPr>
          <w:i/>
        </w:rPr>
      </w:pPr>
      <w:r w:rsidRPr="0007620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7620B">
        <w:rPr>
          <w:i/>
        </w:rPr>
        <w:t>por los principios de simplicidad, rapidez, gratuidad del procedimiento, auxilio y orientación a los particulares.</w:t>
      </w:r>
    </w:p>
    <w:p w14:paraId="5B59F57A" w14:textId="77777777" w:rsidR="00FF365E" w:rsidRPr="0007620B" w:rsidRDefault="00FF365E" w:rsidP="0007620B">
      <w:pPr>
        <w:rPr>
          <w:i/>
        </w:rPr>
      </w:pPr>
    </w:p>
    <w:p w14:paraId="252B34EB" w14:textId="77777777" w:rsidR="00FF365E" w:rsidRPr="0007620B" w:rsidRDefault="00A83939" w:rsidP="0007620B">
      <w:pPr>
        <w:rPr>
          <w:i/>
        </w:rPr>
      </w:pPr>
      <w:r w:rsidRPr="0007620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599EEEC" w14:textId="77777777" w:rsidR="00FF365E" w:rsidRPr="0007620B" w:rsidRDefault="00FF365E" w:rsidP="0007620B"/>
    <w:p w14:paraId="7D6F7526" w14:textId="77777777" w:rsidR="00FF365E" w:rsidRPr="0007620B" w:rsidRDefault="00A83939" w:rsidP="0007620B">
      <w:r w:rsidRPr="0007620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7EE3375" w14:textId="77777777" w:rsidR="00FF365E" w:rsidRPr="0007620B" w:rsidRDefault="00FF365E" w:rsidP="0007620B"/>
    <w:p w14:paraId="4838E4B2" w14:textId="77777777" w:rsidR="00FF365E" w:rsidRPr="0007620B" w:rsidRDefault="00A83939" w:rsidP="0007620B">
      <w:r w:rsidRPr="0007620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9AA6EA9" w14:textId="77777777" w:rsidR="00FF365E" w:rsidRPr="0007620B" w:rsidRDefault="00FF365E" w:rsidP="0007620B"/>
    <w:p w14:paraId="2A6415C0" w14:textId="77777777" w:rsidR="00FF365E" w:rsidRPr="0007620B" w:rsidRDefault="00A83939" w:rsidP="0007620B">
      <w:r w:rsidRPr="0007620B">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CA31DBF" w14:textId="77777777" w:rsidR="00FF365E" w:rsidRPr="0007620B" w:rsidRDefault="00FF365E" w:rsidP="0007620B"/>
    <w:p w14:paraId="78B90EA9" w14:textId="77777777" w:rsidR="00FF365E" w:rsidRPr="0007620B" w:rsidRDefault="00A83939" w:rsidP="0007620B">
      <w:pPr>
        <w:pStyle w:val="Ttulo3"/>
      </w:pPr>
      <w:bookmarkStart w:id="28" w:name="_Toc202997013"/>
      <w:r w:rsidRPr="0007620B">
        <w:t>b) Controversia a resolver</w:t>
      </w:r>
      <w:bookmarkEnd w:id="28"/>
    </w:p>
    <w:p w14:paraId="6E746746" w14:textId="77777777" w:rsidR="00FF365E" w:rsidRPr="0007620B" w:rsidRDefault="00A83939" w:rsidP="0007620B">
      <w:r w:rsidRPr="0007620B">
        <w:t xml:space="preserve">Con el objeto de ilustrar la controversia planteada, resulta conveniente precisar que, una vez realizado el estudio de las constancias que integran el expediente en que se actúa, se desprende que </w:t>
      </w:r>
      <w:r w:rsidRPr="0007620B">
        <w:rPr>
          <w:b/>
        </w:rPr>
        <w:t>LA PARTE RECURRENTE</w:t>
      </w:r>
      <w:r w:rsidRPr="0007620B">
        <w:t xml:space="preserve"> solicitó de manera medular lo siguiente: </w:t>
      </w:r>
    </w:p>
    <w:p w14:paraId="25D0E6EE" w14:textId="77777777" w:rsidR="008B148C" w:rsidRPr="0007620B" w:rsidRDefault="008B148C" w:rsidP="0007620B">
      <w:pPr>
        <w:pStyle w:val="Prrafodelista"/>
      </w:pPr>
      <w:bookmarkStart w:id="29" w:name="_Hlk202282998"/>
    </w:p>
    <w:p w14:paraId="03F54738" w14:textId="247C3C4E" w:rsidR="00EC7FC7" w:rsidRPr="0007620B" w:rsidRDefault="00EC7FC7" w:rsidP="0007620B">
      <w:pPr>
        <w:pStyle w:val="Prrafodelista"/>
        <w:numPr>
          <w:ilvl w:val="0"/>
          <w:numId w:val="15"/>
        </w:numPr>
      </w:pPr>
      <w:r w:rsidRPr="0007620B">
        <w:t>Fundamento legal el departamento de desarrollo urbano del municipio de Chimalhuacán tiene autorizado cobrar licencia de construcción y uso de suelo</w:t>
      </w:r>
      <w:r w:rsidR="003A1892" w:rsidRPr="0007620B">
        <w:t>.</w:t>
      </w:r>
      <w:r w:rsidRPr="0007620B">
        <w:t xml:space="preserve"> </w:t>
      </w:r>
    </w:p>
    <w:p w14:paraId="4CC48AD2" w14:textId="3D97F24D" w:rsidR="00EC7FC7" w:rsidRPr="0007620B" w:rsidRDefault="00EC7FC7" w:rsidP="0007620B">
      <w:pPr>
        <w:pStyle w:val="Prrafodelista"/>
        <w:numPr>
          <w:ilvl w:val="0"/>
          <w:numId w:val="15"/>
        </w:numPr>
      </w:pPr>
      <w:r w:rsidRPr="0007620B">
        <w:t>Ante que autoridad puedo denunciar al ARQ. MARCOS LOPEZ CASTAÑEDA director de de</w:t>
      </w:r>
      <w:r w:rsidR="003A1892" w:rsidRPr="0007620B">
        <w:t>sarrollo urbano de Chimalhuacán.</w:t>
      </w:r>
    </w:p>
    <w:p w14:paraId="50D07124" w14:textId="5681B86B" w:rsidR="00EC7FC7" w:rsidRPr="0007620B" w:rsidRDefault="00EC7FC7" w:rsidP="0007620B">
      <w:pPr>
        <w:pStyle w:val="Prrafodelista"/>
        <w:numPr>
          <w:ilvl w:val="0"/>
          <w:numId w:val="15"/>
        </w:numPr>
      </w:pPr>
      <w:r w:rsidRPr="0007620B">
        <w:t xml:space="preserve">Nombramiento y comprobante de estudios del </w:t>
      </w:r>
      <w:r w:rsidR="003A1892" w:rsidRPr="0007620B">
        <w:t>Director de Desarrollo Urbano</w:t>
      </w:r>
      <w:r w:rsidRPr="0007620B">
        <w:t>.</w:t>
      </w:r>
    </w:p>
    <w:p w14:paraId="57BAF83C" w14:textId="305E1A0F" w:rsidR="00EC7FC7" w:rsidRPr="0007620B" w:rsidRDefault="00EC7FC7" w:rsidP="0007620B">
      <w:pPr>
        <w:pStyle w:val="Prrafodelista"/>
        <w:numPr>
          <w:ilvl w:val="0"/>
          <w:numId w:val="15"/>
        </w:numPr>
      </w:pPr>
      <w:r w:rsidRPr="0007620B">
        <w:t>Recibos de nómina correspondientes al mes de diciembre del 2024 al 15 de marzo del 2</w:t>
      </w:r>
      <w:r w:rsidR="003A1892" w:rsidRPr="0007620B">
        <w:t>025, con su respectiva versión pú</w:t>
      </w:r>
      <w:r w:rsidRPr="0007620B">
        <w:t xml:space="preserve">blica </w:t>
      </w:r>
    </w:p>
    <w:p w14:paraId="33CD8C0B" w14:textId="3AD1F0E9" w:rsidR="00EC7FC7" w:rsidRPr="0007620B" w:rsidRDefault="00EC7FC7" w:rsidP="0007620B">
      <w:pPr>
        <w:pStyle w:val="Prrafodelista"/>
        <w:numPr>
          <w:ilvl w:val="0"/>
          <w:numId w:val="15"/>
        </w:numPr>
      </w:pPr>
      <w:r w:rsidRPr="0007620B">
        <w:t>Monto recaudado por licencias de construcción del mes de diciembre del 2024 al 15 de marzo del 2025 y recibos de ingresos que lo avale al igual en su versión pública.</w:t>
      </w:r>
    </w:p>
    <w:p w14:paraId="4D3BDD06" w14:textId="77777777" w:rsidR="00EC7FC7" w:rsidRPr="0007620B" w:rsidRDefault="00EC7FC7" w:rsidP="0007620B">
      <w:pPr>
        <w:pStyle w:val="Prrafodelista"/>
        <w:ind w:left="0"/>
      </w:pPr>
    </w:p>
    <w:p w14:paraId="2CDE1FE8" w14:textId="315D67EB" w:rsidR="00CA4713" w:rsidRPr="0007620B" w:rsidRDefault="00A83939" w:rsidP="0007620B">
      <w:pPr>
        <w:ind w:right="-28"/>
      </w:pPr>
      <w:r w:rsidRPr="0007620B">
        <w:t xml:space="preserve">En respuesta, </w:t>
      </w:r>
      <w:r w:rsidRPr="0007620B">
        <w:rPr>
          <w:b/>
        </w:rPr>
        <w:t>EL SUJETO OBLIGADO</w:t>
      </w:r>
      <w:r w:rsidRPr="0007620B">
        <w:t xml:space="preserve"> l</w:t>
      </w:r>
      <w:r w:rsidR="00CA4713" w:rsidRPr="0007620B">
        <w:t>e proporcionó los archivos electrónicos que se describen:</w:t>
      </w:r>
    </w:p>
    <w:p w14:paraId="607ACD30" w14:textId="77777777" w:rsidR="00CA4713" w:rsidRPr="0007620B" w:rsidRDefault="00CA4713" w:rsidP="0007620B">
      <w:pPr>
        <w:ind w:right="-28"/>
        <w:rPr>
          <w:i/>
        </w:rPr>
      </w:pPr>
    </w:p>
    <w:p w14:paraId="621E9655" w14:textId="77777777" w:rsidR="00CA4713" w:rsidRPr="0007620B" w:rsidRDefault="00CA4713" w:rsidP="0007620B">
      <w:pPr>
        <w:numPr>
          <w:ilvl w:val="0"/>
          <w:numId w:val="16"/>
        </w:numPr>
        <w:ind w:right="-28"/>
        <w:rPr>
          <w:iCs/>
        </w:rPr>
      </w:pPr>
      <w:r w:rsidRPr="0007620B">
        <w:rPr>
          <w:b/>
          <w:bCs/>
          <w:i/>
        </w:rPr>
        <w:lastRenderedPageBreak/>
        <w:t>RECIBOS DE NÓMINA.pdf.</w:t>
      </w:r>
      <w:r w:rsidRPr="0007620B">
        <w:rPr>
          <w:i/>
        </w:rPr>
        <w:t xml:space="preserve">- </w:t>
      </w:r>
      <w:r w:rsidRPr="0007620B">
        <w:rPr>
          <w:iCs/>
        </w:rPr>
        <w:t>Diversos recibos de nómina del C. Adrián Jesús Soto Díaz, correspondientes a la primera y segunda quincena de diciembre de 2024. Del C. Marcos López Castañeda, recibos de nómina de la segunda quincena de enero, primera de febrero, segunda quincena de febrero y primera quincena de marzo de 2025, en versión pública.</w:t>
      </w:r>
    </w:p>
    <w:p w14:paraId="4A7A2A4C" w14:textId="77777777" w:rsidR="00CA4713" w:rsidRPr="0007620B" w:rsidRDefault="00CA4713" w:rsidP="0007620B">
      <w:pPr>
        <w:numPr>
          <w:ilvl w:val="0"/>
          <w:numId w:val="16"/>
        </w:numPr>
        <w:ind w:right="-28"/>
        <w:rPr>
          <w:iCs/>
        </w:rPr>
      </w:pPr>
      <w:r w:rsidRPr="0007620B">
        <w:rPr>
          <w:b/>
          <w:bCs/>
          <w:i/>
        </w:rPr>
        <w:t>SEXTA SESIÓN EXTRAORDINARIA.pdf.</w:t>
      </w:r>
      <w:r w:rsidRPr="0007620B">
        <w:rPr>
          <w:i/>
        </w:rPr>
        <w:t>-</w:t>
      </w:r>
      <w:r w:rsidRPr="0007620B">
        <w:rPr>
          <w:iCs/>
        </w:rPr>
        <w:t>Acta de la Sexta sesión extraordinaria del Comité de Transparencia, a fin de dar respuesta a diversas solicitudes de información, incluida la materia del presente recursos, es decir, la 00062/CHIMALHU/IP/2025.</w:t>
      </w:r>
    </w:p>
    <w:p w14:paraId="4BB58345" w14:textId="77777777" w:rsidR="00CA4713" w:rsidRPr="0007620B" w:rsidRDefault="00CA4713" w:rsidP="0007620B">
      <w:pPr>
        <w:numPr>
          <w:ilvl w:val="0"/>
          <w:numId w:val="16"/>
        </w:numPr>
        <w:ind w:right="-28"/>
        <w:rPr>
          <w:iCs/>
        </w:rPr>
      </w:pPr>
      <w:r w:rsidRPr="0007620B">
        <w:rPr>
          <w:b/>
          <w:bCs/>
          <w:i/>
        </w:rPr>
        <w:t>FUNDAMENTO LEGAL.pdf</w:t>
      </w:r>
      <w:r w:rsidRPr="0007620B">
        <w:rPr>
          <w:i/>
        </w:rPr>
        <w:t xml:space="preserve">.- </w:t>
      </w:r>
      <w:r w:rsidRPr="0007620B">
        <w:rPr>
          <w:iCs/>
        </w:rPr>
        <w:t>Oficio número PM/DDU/00143/2025, de fecha 30 de marzo de 2025, suscrito por el Director de Desarrollo Urbano, en el que le indica el fundamento legal para el cobro de las licencias.</w:t>
      </w:r>
    </w:p>
    <w:p w14:paraId="0D79C9DB" w14:textId="77777777" w:rsidR="00CA4713" w:rsidRPr="0007620B" w:rsidRDefault="00CA4713" w:rsidP="0007620B">
      <w:pPr>
        <w:numPr>
          <w:ilvl w:val="0"/>
          <w:numId w:val="16"/>
        </w:numPr>
        <w:ind w:right="-28"/>
        <w:rPr>
          <w:iCs/>
        </w:rPr>
      </w:pPr>
      <w:r w:rsidRPr="0007620B">
        <w:rPr>
          <w:b/>
          <w:bCs/>
          <w:i/>
        </w:rPr>
        <w:t>RESPUESTA RH SOLICITUD 62.pdf</w:t>
      </w:r>
      <w:r w:rsidRPr="0007620B">
        <w:rPr>
          <w:i/>
        </w:rPr>
        <w:t xml:space="preserve">.- </w:t>
      </w:r>
      <w:r w:rsidRPr="0007620B">
        <w:rPr>
          <w:iCs/>
        </w:rPr>
        <w:t>Oficio número DRH/0247/2025, de fecha 08 de abril de 2025, suscrito por el Titular del Departamento de Recursos Humanos, en el que le indica el que anexa la versión pública del nombramiento, comprobantes de estudio y recibos de nómina, asimismo aclara que del periodo de diciembre de 2024 el Director de Desarrollo Urbano fue el C. Adrián Jesús Soto Díaz, y de enero a marzo de 2025, el C. Marcos López Castañeda.</w:t>
      </w:r>
    </w:p>
    <w:p w14:paraId="14419D98" w14:textId="77777777" w:rsidR="00CA4713" w:rsidRPr="0007620B" w:rsidRDefault="00CA4713" w:rsidP="0007620B">
      <w:pPr>
        <w:numPr>
          <w:ilvl w:val="0"/>
          <w:numId w:val="16"/>
        </w:numPr>
        <w:ind w:right="-28"/>
        <w:rPr>
          <w:iCs/>
        </w:rPr>
      </w:pPr>
      <w:r w:rsidRPr="0007620B">
        <w:rPr>
          <w:b/>
          <w:bCs/>
          <w:i/>
        </w:rPr>
        <w:t>MONTO RECAUDADO.pdf</w:t>
      </w:r>
      <w:r w:rsidRPr="0007620B">
        <w:rPr>
          <w:i/>
        </w:rPr>
        <w:t xml:space="preserve">.- </w:t>
      </w:r>
      <w:r w:rsidRPr="0007620B">
        <w:rPr>
          <w:iCs/>
        </w:rPr>
        <w:t>Oficio número TCH/DI/00324/2025, de fecha 27 de marzo de 2025, suscrito por la Directora de Ingresos, en el que le indica el monto recaudado por las licencias de construcción.</w:t>
      </w:r>
    </w:p>
    <w:p w14:paraId="34478B30" w14:textId="77777777" w:rsidR="00CA4713" w:rsidRPr="0007620B" w:rsidRDefault="00CA4713" w:rsidP="0007620B">
      <w:pPr>
        <w:numPr>
          <w:ilvl w:val="0"/>
          <w:numId w:val="16"/>
        </w:numPr>
        <w:ind w:right="-28"/>
        <w:rPr>
          <w:iCs/>
        </w:rPr>
      </w:pPr>
      <w:r w:rsidRPr="0007620B">
        <w:rPr>
          <w:b/>
          <w:bCs/>
          <w:i/>
        </w:rPr>
        <w:t>NOMBRAMIENTO Y COMPROBANTE DE ESTUDIOS.pdf</w:t>
      </w:r>
      <w:r w:rsidRPr="0007620B">
        <w:rPr>
          <w:i/>
        </w:rPr>
        <w:t xml:space="preserve">.- </w:t>
      </w:r>
    </w:p>
    <w:p w14:paraId="37B38867" w14:textId="77777777" w:rsidR="00CA4713" w:rsidRPr="0007620B" w:rsidRDefault="00CA4713" w:rsidP="0007620B">
      <w:pPr>
        <w:numPr>
          <w:ilvl w:val="0"/>
          <w:numId w:val="17"/>
        </w:numPr>
        <w:ind w:right="-28"/>
        <w:rPr>
          <w:iCs/>
        </w:rPr>
      </w:pPr>
      <w:r w:rsidRPr="0007620B">
        <w:rPr>
          <w:iCs/>
        </w:rPr>
        <w:t>Página 1. Nombramiento del Director General de Desarrollo Urbano a nombre de Adrián Jesús Soto Díaz.</w:t>
      </w:r>
    </w:p>
    <w:p w14:paraId="7D84BAB2" w14:textId="77777777" w:rsidR="00CA4713" w:rsidRPr="0007620B" w:rsidRDefault="00CA4713" w:rsidP="0007620B">
      <w:pPr>
        <w:numPr>
          <w:ilvl w:val="0"/>
          <w:numId w:val="17"/>
        </w:numPr>
        <w:ind w:right="-28"/>
        <w:rPr>
          <w:iCs/>
        </w:rPr>
      </w:pPr>
      <w:r w:rsidRPr="0007620B">
        <w:rPr>
          <w:iCs/>
        </w:rPr>
        <w:t xml:space="preserve">Página 2. Título Profesional a nombre de Adrián Jesús Soto Díaz. </w:t>
      </w:r>
    </w:p>
    <w:p w14:paraId="67FB325A" w14:textId="77777777" w:rsidR="00CA4713" w:rsidRPr="0007620B" w:rsidRDefault="00CA4713" w:rsidP="0007620B">
      <w:pPr>
        <w:numPr>
          <w:ilvl w:val="0"/>
          <w:numId w:val="17"/>
        </w:numPr>
        <w:ind w:right="-28"/>
        <w:rPr>
          <w:iCs/>
        </w:rPr>
      </w:pPr>
      <w:r w:rsidRPr="0007620B">
        <w:rPr>
          <w:iCs/>
        </w:rPr>
        <w:t>Página 3. Nombramiento del Director General de Desarrollo Urbano a nombre de Marcos López Castañeda.</w:t>
      </w:r>
    </w:p>
    <w:p w14:paraId="2AC791EB" w14:textId="77777777" w:rsidR="00CA4713" w:rsidRPr="0007620B" w:rsidRDefault="00CA4713" w:rsidP="0007620B">
      <w:pPr>
        <w:numPr>
          <w:ilvl w:val="0"/>
          <w:numId w:val="17"/>
        </w:numPr>
        <w:ind w:right="-28"/>
        <w:rPr>
          <w:i/>
        </w:rPr>
      </w:pPr>
      <w:r w:rsidRPr="0007620B">
        <w:rPr>
          <w:iCs/>
        </w:rPr>
        <w:t>Página 4. Cédula Profesional a nombre de Marcos López Castañeda.</w:t>
      </w:r>
    </w:p>
    <w:p w14:paraId="5CE62F97" w14:textId="4535BB70" w:rsidR="00FF365E" w:rsidRPr="0007620B" w:rsidRDefault="00FF365E" w:rsidP="0007620B">
      <w:pPr>
        <w:pBdr>
          <w:top w:val="nil"/>
          <w:left w:val="nil"/>
          <w:bottom w:val="nil"/>
          <w:right w:val="nil"/>
          <w:between w:val="nil"/>
        </w:pBdr>
      </w:pPr>
    </w:p>
    <w:bookmarkEnd w:id="29"/>
    <w:p w14:paraId="05BC8FA6" w14:textId="1C5FD2E2" w:rsidR="00FF365E" w:rsidRPr="0007620B" w:rsidRDefault="00A83939" w:rsidP="0007620B">
      <w:pPr>
        <w:rPr>
          <w:bCs/>
        </w:rPr>
      </w:pPr>
      <w:r w:rsidRPr="0007620B">
        <w:t xml:space="preserve">En esta tesitura, una vez conocida la respuesta </w:t>
      </w:r>
      <w:r w:rsidRPr="0007620B">
        <w:rPr>
          <w:b/>
        </w:rPr>
        <w:t>LA PARTE RECURRENTE</w:t>
      </w:r>
      <w:r w:rsidRPr="0007620B">
        <w:t xml:space="preserve">, se inconformó </w:t>
      </w:r>
      <w:r w:rsidR="00C24E75" w:rsidRPr="0007620B">
        <w:t xml:space="preserve">manifestando que </w:t>
      </w:r>
      <w:r w:rsidR="00CA4713" w:rsidRPr="0007620B">
        <w:t xml:space="preserve">no </w:t>
      </w:r>
      <w:r w:rsidR="00C24E75" w:rsidRPr="0007620B">
        <w:t>le</w:t>
      </w:r>
      <w:r w:rsidR="00CA4713" w:rsidRPr="0007620B">
        <w:t xml:space="preserve"> da</w:t>
      </w:r>
      <w:r w:rsidR="00C24E75" w:rsidRPr="0007620B">
        <w:t>ba</w:t>
      </w:r>
      <w:r w:rsidR="00CA4713" w:rsidRPr="0007620B">
        <w:t xml:space="preserve">n completa la información, debido a que no mandaron los recibos de ingresos por cobro de las licencias de construcción, </w:t>
      </w:r>
      <w:r w:rsidR="00C24E75" w:rsidRPr="0007620B">
        <w:t>así como que</w:t>
      </w:r>
      <w:r w:rsidR="00CA4713" w:rsidRPr="0007620B">
        <w:t xml:space="preserve"> en los recibos de </w:t>
      </w:r>
      <w:r w:rsidR="00C24E75" w:rsidRPr="0007620B">
        <w:t>nómina</w:t>
      </w:r>
      <w:r w:rsidR="00CA4713" w:rsidRPr="0007620B">
        <w:t xml:space="preserve"> testaron el sueldo base y las deducciones, </w:t>
      </w:r>
      <w:r w:rsidR="00C24E75" w:rsidRPr="0007620B">
        <w:t xml:space="preserve">y que, en </w:t>
      </w:r>
      <w:r w:rsidR="00CA4713" w:rsidRPr="0007620B">
        <w:t xml:space="preserve">el </w:t>
      </w:r>
      <w:r w:rsidR="00C24E75" w:rsidRPr="0007620B">
        <w:t>título</w:t>
      </w:r>
      <w:r w:rsidR="00CA4713" w:rsidRPr="0007620B">
        <w:t xml:space="preserve"> profesional, </w:t>
      </w:r>
      <w:r w:rsidR="00C24E75" w:rsidRPr="0007620B">
        <w:t>se testó la fotografía.</w:t>
      </w:r>
    </w:p>
    <w:p w14:paraId="2DDF73FA" w14:textId="77777777" w:rsidR="00FF365E" w:rsidRPr="0007620B" w:rsidRDefault="00FF365E" w:rsidP="0007620B"/>
    <w:p w14:paraId="7070F8C9" w14:textId="17FC0CE3" w:rsidR="00FF365E" w:rsidRPr="0007620B" w:rsidRDefault="00A83939" w:rsidP="0007620B">
      <w:r w:rsidRPr="0007620B">
        <w:t xml:space="preserve">Abierta la etapa de instrucción, </w:t>
      </w:r>
      <w:r w:rsidRPr="0007620B">
        <w:rPr>
          <w:b/>
        </w:rPr>
        <w:t>EL SUJETO OBLIGADO</w:t>
      </w:r>
      <w:r w:rsidRPr="0007620B">
        <w:t xml:space="preserve"> </w:t>
      </w:r>
      <w:r w:rsidR="00C24E75" w:rsidRPr="0007620B">
        <w:t xml:space="preserve">no </w:t>
      </w:r>
      <w:r w:rsidRPr="0007620B">
        <w:t>rindió su Informe Justificado</w:t>
      </w:r>
      <w:r w:rsidRPr="0007620B">
        <w:rPr>
          <w:b/>
        </w:rPr>
        <w:t>.</w:t>
      </w:r>
      <w:r w:rsidRPr="0007620B">
        <w:t xml:space="preserve"> </w:t>
      </w:r>
      <w:r w:rsidRPr="0007620B">
        <w:rPr>
          <w:b/>
        </w:rPr>
        <w:t xml:space="preserve">LA PARTE RECURRENTE </w:t>
      </w:r>
      <w:r w:rsidRPr="0007620B">
        <w:t>omitió realizar las manifestaciones que a su derecho conviniera.</w:t>
      </w:r>
    </w:p>
    <w:p w14:paraId="39053559" w14:textId="77777777" w:rsidR="00FF365E" w:rsidRPr="0007620B" w:rsidRDefault="00FF365E" w:rsidP="0007620B"/>
    <w:p w14:paraId="17DC7AC4" w14:textId="3B872EC4" w:rsidR="00FF365E" w:rsidRPr="0007620B" w:rsidRDefault="00A83939" w:rsidP="0007620B">
      <w:pPr>
        <w:tabs>
          <w:tab w:val="left" w:pos="709"/>
        </w:tabs>
      </w:pPr>
      <w:r w:rsidRPr="0007620B">
        <w:t xml:space="preserve">Bajo las premisas anteriores, se concluye que la controversia a dilucidar en el presente medio de impugnación será verificar si la información proporcionada en respuesta por </w:t>
      </w:r>
      <w:r w:rsidRPr="0007620B">
        <w:rPr>
          <w:b/>
        </w:rPr>
        <w:t xml:space="preserve">EL SUJETO OBLIGADO </w:t>
      </w:r>
      <w:r w:rsidRPr="0007620B">
        <w:t xml:space="preserve">es adecuada y suficiente para tener por satisfecho el derecho de acceso a la información pública de </w:t>
      </w:r>
      <w:r w:rsidRPr="0007620B">
        <w:rPr>
          <w:b/>
        </w:rPr>
        <w:t>LA PARTE RECURRENTE</w:t>
      </w:r>
      <w:r w:rsidRPr="0007620B">
        <w:t xml:space="preserve">, o en su caso, ordenar la entrega de la información que corresponda. </w:t>
      </w:r>
    </w:p>
    <w:p w14:paraId="005E661B" w14:textId="77777777" w:rsidR="00FF365E" w:rsidRPr="0007620B" w:rsidRDefault="00FF365E" w:rsidP="0007620B"/>
    <w:p w14:paraId="407FD66D" w14:textId="77777777" w:rsidR="00FF365E" w:rsidRPr="0007620B" w:rsidRDefault="00A83939" w:rsidP="0007620B">
      <w:pPr>
        <w:pStyle w:val="Ttulo3"/>
      </w:pPr>
      <w:bookmarkStart w:id="30" w:name="_Toc202997014"/>
      <w:r w:rsidRPr="0007620B">
        <w:t>c) Estudio de la controversia</w:t>
      </w:r>
      <w:bookmarkEnd w:id="30"/>
    </w:p>
    <w:p w14:paraId="0B5E45B0" w14:textId="77777777" w:rsidR="00F0248E" w:rsidRPr="0007620B" w:rsidRDefault="00F0248E" w:rsidP="0007620B">
      <w:r w:rsidRPr="0007620B">
        <w:t xml:space="preserve">Con el objetivo de ilustrar la controversia planteada, resulta conveniente precisar, que una vez realizado el estudio de las constancias que integran el expediente en el que se actúa, es necesario realizar una tabla que contenga la solicitud de información, la respuesta emitida por </w:t>
      </w:r>
      <w:r w:rsidRPr="0007620B">
        <w:rPr>
          <w:b/>
        </w:rPr>
        <w:t>EL SUJETO OBLIGADO</w:t>
      </w:r>
      <w:r w:rsidRPr="0007620B">
        <w:t xml:space="preserve">, la inconformidad expuesta por </w:t>
      </w:r>
      <w:r w:rsidRPr="0007620B">
        <w:rPr>
          <w:b/>
        </w:rPr>
        <w:t>LA PARTE RECURRENTE</w:t>
      </w:r>
      <w:r w:rsidRPr="0007620B">
        <w:t>, conforme a lo siguiente:</w:t>
      </w: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3763"/>
        <w:gridCol w:w="1559"/>
      </w:tblGrid>
      <w:tr w:rsidR="0007620B" w:rsidRPr="0007620B" w14:paraId="7068347D" w14:textId="1C75632C" w:rsidTr="00B34591">
        <w:trPr>
          <w:trHeight w:val="546"/>
          <w:tblHeader/>
          <w:jc w:val="center"/>
        </w:trPr>
        <w:tc>
          <w:tcPr>
            <w:tcW w:w="3045" w:type="dxa"/>
            <w:shd w:val="clear" w:color="auto" w:fill="D9D9D9"/>
          </w:tcPr>
          <w:p w14:paraId="4C65D008" w14:textId="77777777" w:rsidR="008426B7" w:rsidRPr="0007620B" w:rsidRDefault="008426B7" w:rsidP="0007620B">
            <w:pPr>
              <w:spacing w:before="240" w:line="240" w:lineRule="auto"/>
              <w:ind w:right="-28"/>
              <w:jc w:val="center"/>
              <w:rPr>
                <w:b/>
                <w:sz w:val="20"/>
                <w:szCs w:val="20"/>
              </w:rPr>
            </w:pPr>
            <w:r w:rsidRPr="0007620B">
              <w:rPr>
                <w:b/>
                <w:sz w:val="20"/>
                <w:szCs w:val="20"/>
              </w:rPr>
              <w:t>Solicitud</w:t>
            </w:r>
          </w:p>
        </w:tc>
        <w:tc>
          <w:tcPr>
            <w:tcW w:w="3763" w:type="dxa"/>
            <w:shd w:val="clear" w:color="auto" w:fill="D9D9D9"/>
          </w:tcPr>
          <w:p w14:paraId="78EA92B4" w14:textId="77777777" w:rsidR="008426B7" w:rsidRPr="0007620B" w:rsidRDefault="008426B7" w:rsidP="0007620B">
            <w:pPr>
              <w:spacing w:before="240" w:line="240" w:lineRule="auto"/>
              <w:ind w:right="-28"/>
              <w:jc w:val="center"/>
              <w:rPr>
                <w:b/>
                <w:sz w:val="20"/>
                <w:szCs w:val="20"/>
              </w:rPr>
            </w:pPr>
            <w:r w:rsidRPr="0007620B">
              <w:rPr>
                <w:b/>
                <w:sz w:val="20"/>
                <w:szCs w:val="20"/>
              </w:rPr>
              <w:t>Respuesta</w:t>
            </w:r>
          </w:p>
        </w:tc>
        <w:tc>
          <w:tcPr>
            <w:tcW w:w="1559" w:type="dxa"/>
            <w:shd w:val="clear" w:color="auto" w:fill="D9D9D9"/>
          </w:tcPr>
          <w:p w14:paraId="5A0AEE63" w14:textId="56EBAC46" w:rsidR="008426B7" w:rsidRPr="0007620B" w:rsidRDefault="008426B7" w:rsidP="0007620B">
            <w:pPr>
              <w:spacing w:before="240" w:line="240" w:lineRule="auto"/>
              <w:ind w:right="-28"/>
              <w:jc w:val="center"/>
              <w:rPr>
                <w:b/>
                <w:sz w:val="20"/>
                <w:szCs w:val="20"/>
              </w:rPr>
            </w:pPr>
            <w:r w:rsidRPr="0007620B">
              <w:rPr>
                <w:b/>
                <w:sz w:val="20"/>
                <w:szCs w:val="20"/>
              </w:rPr>
              <w:t>Acto impugnado</w:t>
            </w:r>
          </w:p>
        </w:tc>
      </w:tr>
      <w:tr w:rsidR="0007620B" w:rsidRPr="0007620B" w14:paraId="59E0E660" w14:textId="306FD8EA" w:rsidTr="00B34591">
        <w:trPr>
          <w:trHeight w:val="945"/>
          <w:jc w:val="center"/>
        </w:trPr>
        <w:tc>
          <w:tcPr>
            <w:tcW w:w="3045" w:type="dxa"/>
          </w:tcPr>
          <w:p w14:paraId="3CFC101C" w14:textId="7CEBD3EE" w:rsidR="008426B7" w:rsidRPr="0007620B" w:rsidRDefault="008426B7" w:rsidP="0007620B">
            <w:pPr>
              <w:spacing w:line="0" w:lineRule="atLeast"/>
              <w:rPr>
                <w:sz w:val="20"/>
                <w:szCs w:val="20"/>
              </w:rPr>
            </w:pPr>
            <w:r w:rsidRPr="0007620B">
              <w:t xml:space="preserve">Fundamento legal el departamento de desarrollo urbano del municipio de Chimalhuacán tiene </w:t>
            </w:r>
            <w:r w:rsidRPr="0007620B">
              <w:lastRenderedPageBreak/>
              <w:t>autorizado cobrar licencia de construcción y uso de suelo</w:t>
            </w:r>
          </w:p>
        </w:tc>
        <w:tc>
          <w:tcPr>
            <w:tcW w:w="3763" w:type="dxa"/>
          </w:tcPr>
          <w:p w14:paraId="6111D2F5" w14:textId="77777777" w:rsidR="008426B7" w:rsidRPr="0007620B" w:rsidRDefault="008426B7" w:rsidP="0007620B">
            <w:pPr>
              <w:spacing w:line="240" w:lineRule="auto"/>
              <w:ind w:right="-28"/>
              <w:jc w:val="center"/>
              <w:rPr>
                <w:sz w:val="20"/>
                <w:szCs w:val="20"/>
              </w:rPr>
            </w:pPr>
          </w:p>
          <w:p w14:paraId="2D02C5FC" w14:textId="24A8E9C3" w:rsidR="008426B7" w:rsidRPr="0007620B" w:rsidRDefault="008426B7" w:rsidP="0007620B">
            <w:pPr>
              <w:spacing w:line="240" w:lineRule="auto"/>
              <w:ind w:right="-28"/>
              <w:jc w:val="center"/>
              <w:rPr>
                <w:sz w:val="20"/>
                <w:szCs w:val="20"/>
              </w:rPr>
            </w:pPr>
            <w:r w:rsidRPr="0007620B">
              <w:rPr>
                <w:noProof/>
                <w:sz w:val="20"/>
                <w:szCs w:val="20"/>
              </w:rPr>
              <w:drawing>
                <wp:inline distT="0" distB="0" distL="0" distR="0" wp14:anchorId="7F1CA5D8" wp14:editId="6AEF283C">
                  <wp:extent cx="2137558" cy="539115"/>
                  <wp:effectExtent l="0" t="0" r="0" b="0"/>
                  <wp:docPr id="1575371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71585" name=""/>
                          <pic:cNvPicPr/>
                        </pic:nvPicPr>
                        <pic:blipFill>
                          <a:blip r:embed="rId12"/>
                          <a:stretch>
                            <a:fillRect/>
                          </a:stretch>
                        </pic:blipFill>
                        <pic:spPr>
                          <a:xfrm>
                            <a:off x="0" y="0"/>
                            <a:ext cx="2139313" cy="539558"/>
                          </a:xfrm>
                          <a:prstGeom prst="rect">
                            <a:avLst/>
                          </a:prstGeom>
                        </pic:spPr>
                      </pic:pic>
                    </a:graphicData>
                  </a:graphic>
                </wp:inline>
              </w:drawing>
            </w:r>
          </w:p>
        </w:tc>
        <w:tc>
          <w:tcPr>
            <w:tcW w:w="1559" w:type="dxa"/>
          </w:tcPr>
          <w:p w14:paraId="5E7216C8" w14:textId="3D09160C" w:rsidR="008426B7" w:rsidRPr="0007620B" w:rsidRDefault="00095476" w:rsidP="0007620B">
            <w:pPr>
              <w:spacing w:line="0" w:lineRule="atLeast"/>
              <w:ind w:right="-28"/>
              <w:jc w:val="center"/>
              <w:rPr>
                <w:sz w:val="20"/>
                <w:szCs w:val="20"/>
              </w:rPr>
            </w:pPr>
            <w:r w:rsidRPr="0007620B">
              <w:rPr>
                <w:sz w:val="20"/>
                <w:szCs w:val="20"/>
              </w:rPr>
              <w:t>-</w:t>
            </w:r>
          </w:p>
        </w:tc>
      </w:tr>
      <w:tr w:rsidR="0007620B" w:rsidRPr="0007620B" w14:paraId="593BE932" w14:textId="5AF02C9F" w:rsidTr="00B34591">
        <w:trPr>
          <w:trHeight w:val="945"/>
          <w:jc w:val="center"/>
        </w:trPr>
        <w:tc>
          <w:tcPr>
            <w:tcW w:w="3045" w:type="dxa"/>
          </w:tcPr>
          <w:p w14:paraId="11508B49" w14:textId="0DFB5CD4" w:rsidR="008426B7" w:rsidRPr="0007620B" w:rsidRDefault="008426B7" w:rsidP="0007620B">
            <w:pPr>
              <w:spacing w:line="0" w:lineRule="atLeast"/>
              <w:rPr>
                <w:sz w:val="20"/>
                <w:szCs w:val="20"/>
              </w:rPr>
            </w:pPr>
            <w:r w:rsidRPr="0007620B">
              <w:t xml:space="preserve">Ante que autoridad puedo denunciar al ARQ. MARCOS LOPEZ CASTAÑEDA director de desarrollo urbano de Chimalhuacán ya que su personal tiene la indicación de </w:t>
            </w:r>
            <w:proofErr w:type="spellStart"/>
            <w:r w:rsidRPr="0007620B">
              <w:t>el</w:t>
            </w:r>
            <w:proofErr w:type="spellEnd"/>
            <w:r w:rsidRPr="0007620B">
              <w:t>, como jefe de área hacer el cobro de licencias de construcción</w:t>
            </w:r>
          </w:p>
        </w:tc>
        <w:tc>
          <w:tcPr>
            <w:tcW w:w="3763" w:type="dxa"/>
          </w:tcPr>
          <w:p w14:paraId="59FC1FA0" w14:textId="034A51C5" w:rsidR="008426B7" w:rsidRPr="0007620B" w:rsidRDefault="00095476" w:rsidP="0007620B">
            <w:pPr>
              <w:spacing w:line="240" w:lineRule="auto"/>
              <w:ind w:right="-28"/>
              <w:jc w:val="center"/>
              <w:rPr>
                <w:sz w:val="20"/>
                <w:szCs w:val="20"/>
              </w:rPr>
            </w:pPr>
            <w:r w:rsidRPr="0007620B">
              <w:rPr>
                <w:sz w:val="20"/>
                <w:szCs w:val="20"/>
              </w:rPr>
              <w:t>-</w:t>
            </w:r>
          </w:p>
        </w:tc>
        <w:tc>
          <w:tcPr>
            <w:tcW w:w="1559" w:type="dxa"/>
          </w:tcPr>
          <w:p w14:paraId="385613A1" w14:textId="209FA39A" w:rsidR="008426B7" w:rsidRPr="0007620B" w:rsidRDefault="00095476" w:rsidP="0007620B">
            <w:pPr>
              <w:spacing w:line="0" w:lineRule="atLeast"/>
              <w:ind w:right="-28"/>
              <w:jc w:val="center"/>
              <w:rPr>
                <w:sz w:val="20"/>
                <w:szCs w:val="20"/>
              </w:rPr>
            </w:pPr>
            <w:r w:rsidRPr="0007620B">
              <w:rPr>
                <w:sz w:val="20"/>
                <w:szCs w:val="20"/>
              </w:rPr>
              <w:t>-</w:t>
            </w:r>
          </w:p>
        </w:tc>
      </w:tr>
      <w:tr w:rsidR="0007620B" w:rsidRPr="0007620B" w14:paraId="379F463E" w14:textId="789A17EB" w:rsidTr="00B34591">
        <w:trPr>
          <w:trHeight w:val="945"/>
          <w:jc w:val="center"/>
        </w:trPr>
        <w:tc>
          <w:tcPr>
            <w:tcW w:w="3045" w:type="dxa"/>
          </w:tcPr>
          <w:p w14:paraId="6441BB72" w14:textId="4513CACF" w:rsidR="008426B7" w:rsidRPr="0007620B" w:rsidRDefault="008426B7" w:rsidP="0007620B">
            <w:pPr>
              <w:spacing w:line="0" w:lineRule="atLeast"/>
            </w:pPr>
            <w:r w:rsidRPr="0007620B">
              <w:t>Nombramiento y comprobante de estudios del director de desarrollo urbano</w:t>
            </w:r>
          </w:p>
        </w:tc>
        <w:tc>
          <w:tcPr>
            <w:tcW w:w="3763" w:type="dxa"/>
          </w:tcPr>
          <w:p w14:paraId="1CBAF048" w14:textId="77777777" w:rsidR="008426B7" w:rsidRPr="0007620B" w:rsidRDefault="008426B7" w:rsidP="0007620B">
            <w:pPr>
              <w:spacing w:line="240" w:lineRule="auto"/>
              <w:ind w:right="-28"/>
              <w:jc w:val="center"/>
              <w:rPr>
                <w:sz w:val="20"/>
                <w:szCs w:val="20"/>
              </w:rPr>
            </w:pPr>
          </w:p>
          <w:p w14:paraId="4AA0AE9B" w14:textId="77777777" w:rsidR="008426B7" w:rsidRPr="0007620B" w:rsidRDefault="008426B7" w:rsidP="0007620B">
            <w:pPr>
              <w:numPr>
                <w:ilvl w:val="0"/>
                <w:numId w:val="16"/>
              </w:numPr>
              <w:spacing w:line="240" w:lineRule="auto"/>
              <w:ind w:right="-28"/>
              <w:rPr>
                <w:iCs/>
              </w:rPr>
            </w:pPr>
            <w:r w:rsidRPr="0007620B">
              <w:rPr>
                <w:b/>
                <w:bCs/>
                <w:i/>
              </w:rPr>
              <w:t>NOMBRAMIENTO Y COMPROBANTE DE ESTUDIOS.pdf</w:t>
            </w:r>
            <w:r w:rsidRPr="0007620B">
              <w:rPr>
                <w:i/>
              </w:rPr>
              <w:t xml:space="preserve">.- </w:t>
            </w:r>
          </w:p>
          <w:p w14:paraId="11574FD8" w14:textId="77777777" w:rsidR="008426B7" w:rsidRPr="0007620B" w:rsidRDefault="008426B7" w:rsidP="0007620B">
            <w:pPr>
              <w:numPr>
                <w:ilvl w:val="0"/>
                <w:numId w:val="17"/>
              </w:numPr>
              <w:spacing w:line="240" w:lineRule="auto"/>
              <w:ind w:right="-28"/>
              <w:rPr>
                <w:iCs/>
              </w:rPr>
            </w:pPr>
            <w:r w:rsidRPr="0007620B">
              <w:rPr>
                <w:iCs/>
              </w:rPr>
              <w:t>Página 1. Nombramiento del Director General de Desarrollo Urbano a nombre de Adrián Jesús Soto Díaz.</w:t>
            </w:r>
          </w:p>
          <w:p w14:paraId="5D9EDBA5" w14:textId="77777777" w:rsidR="008426B7" w:rsidRPr="0007620B" w:rsidRDefault="008426B7" w:rsidP="0007620B">
            <w:pPr>
              <w:numPr>
                <w:ilvl w:val="0"/>
                <w:numId w:val="17"/>
              </w:numPr>
              <w:spacing w:line="240" w:lineRule="auto"/>
              <w:ind w:right="-28"/>
              <w:rPr>
                <w:iCs/>
              </w:rPr>
            </w:pPr>
            <w:r w:rsidRPr="0007620B">
              <w:rPr>
                <w:iCs/>
              </w:rPr>
              <w:t xml:space="preserve">Página 2. Título Profesional a nombre de Adrián Jesús Soto Díaz. </w:t>
            </w:r>
          </w:p>
          <w:p w14:paraId="325D4267" w14:textId="77777777" w:rsidR="008426B7" w:rsidRPr="0007620B" w:rsidRDefault="008426B7" w:rsidP="0007620B">
            <w:pPr>
              <w:numPr>
                <w:ilvl w:val="0"/>
                <w:numId w:val="17"/>
              </w:numPr>
              <w:spacing w:line="240" w:lineRule="auto"/>
              <w:ind w:right="-28"/>
              <w:rPr>
                <w:iCs/>
              </w:rPr>
            </w:pPr>
            <w:r w:rsidRPr="0007620B">
              <w:rPr>
                <w:iCs/>
              </w:rPr>
              <w:t>Página 3. Nombramiento del Director General de Desarrollo Urbano a nombre de Marcos López Castañeda.</w:t>
            </w:r>
          </w:p>
          <w:p w14:paraId="3EC92DC1" w14:textId="77777777" w:rsidR="008426B7" w:rsidRPr="0007620B" w:rsidRDefault="008426B7" w:rsidP="0007620B">
            <w:pPr>
              <w:numPr>
                <w:ilvl w:val="0"/>
                <w:numId w:val="17"/>
              </w:numPr>
              <w:spacing w:line="240" w:lineRule="auto"/>
              <w:ind w:right="-28"/>
              <w:rPr>
                <w:i/>
              </w:rPr>
            </w:pPr>
            <w:r w:rsidRPr="0007620B">
              <w:rPr>
                <w:iCs/>
              </w:rPr>
              <w:t>Página 4. Cédula Profesional a nombre de Marcos López Castañeda.</w:t>
            </w:r>
          </w:p>
          <w:p w14:paraId="48C0E2D3" w14:textId="77777777" w:rsidR="008426B7" w:rsidRPr="0007620B" w:rsidRDefault="008426B7" w:rsidP="0007620B">
            <w:pPr>
              <w:spacing w:line="240" w:lineRule="auto"/>
              <w:ind w:right="-28"/>
              <w:jc w:val="center"/>
              <w:rPr>
                <w:sz w:val="20"/>
                <w:szCs w:val="20"/>
              </w:rPr>
            </w:pPr>
          </w:p>
        </w:tc>
        <w:tc>
          <w:tcPr>
            <w:tcW w:w="1559" w:type="dxa"/>
          </w:tcPr>
          <w:p w14:paraId="2ACA8D66" w14:textId="710A8E7C" w:rsidR="008426B7" w:rsidRPr="0007620B" w:rsidRDefault="00095476" w:rsidP="0007620B">
            <w:pPr>
              <w:spacing w:line="0" w:lineRule="atLeast"/>
              <w:ind w:right="-28"/>
              <w:jc w:val="center"/>
              <w:rPr>
                <w:i/>
                <w:sz w:val="20"/>
                <w:szCs w:val="20"/>
              </w:rPr>
            </w:pPr>
            <w:r w:rsidRPr="0007620B">
              <w:rPr>
                <w:i/>
                <w:sz w:val="20"/>
                <w:szCs w:val="20"/>
              </w:rPr>
              <w:t>“…</w:t>
            </w:r>
            <w:r w:rsidR="008426B7" w:rsidRPr="0007620B">
              <w:rPr>
                <w:i/>
                <w:sz w:val="20"/>
                <w:szCs w:val="20"/>
              </w:rPr>
              <w:t xml:space="preserve">el testado de del </w:t>
            </w:r>
            <w:proofErr w:type="spellStart"/>
            <w:r w:rsidR="008426B7" w:rsidRPr="0007620B">
              <w:rPr>
                <w:i/>
                <w:sz w:val="20"/>
                <w:szCs w:val="20"/>
              </w:rPr>
              <w:t>titulo</w:t>
            </w:r>
            <w:proofErr w:type="spellEnd"/>
            <w:r w:rsidR="008426B7" w:rsidRPr="0007620B">
              <w:rPr>
                <w:i/>
                <w:sz w:val="20"/>
                <w:szCs w:val="20"/>
              </w:rPr>
              <w:t xml:space="preserve"> profesional, deberían consultar la guía emitida por el </w:t>
            </w:r>
            <w:proofErr w:type="spellStart"/>
            <w:proofErr w:type="gramStart"/>
            <w:r w:rsidR="008426B7" w:rsidRPr="0007620B">
              <w:rPr>
                <w:i/>
                <w:sz w:val="20"/>
                <w:szCs w:val="20"/>
              </w:rPr>
              <w:t>infoem</w:t>
            </w:r>
            <w:proofErr w:type="spellEnd"/>
            <w:r w:rsidR="008426B7" w:rsidRPr="0007620B">
              <w:rPr>
                <w:i/>
                <w:sz w:val="20"/>
                <w:szCs w:val="20"/>
              </w:rPr>
              <w:t xml:space="preserve"> .</w:t>
            </w:r>
            <w:proofErr w:type="gramEnd"/>
            <w:r w:rsidR="008426B7" w:rsidRPr="0007620B">
              <w:rPr>
                <w:i/>
                <w:sz w:val="20"/>
                <w:szCs w:val="20"/>
              </w:rPr>
              <w:t xml:space="preserve"> </w:t>
            </w:r>
            <w:proofErr w:type="gramStart"/>
            <w:r w:rsidR="008426B7" w:rsidRPr="0007620B">
              <w:rPr>
                <w:i/>
                <w:sz w:val="20"/>
                <w:szCs w:val="20"/>
              </w:rPr>
              <w:t>ya</w:t>
            </w:r>
            <w:proofErr w:type="gramEnd"/>
            <w:r w:rsidR="008426B7" w:rsidRPr="0007620B">
              <w:rPr>
                <w:i/>
                <w:sz w:val="20"/>
                <w:szCs w:val="20"/>
              </w:rPr>
              <w:t xml:space="preserve"> que la fotografía </w:t>
            </w:r>
            <w:proofErr w:type="spellStart"/>
            <w:r w:rsidR="008426B7" w:rsidRPr="0007620B">
              <w:rPr>
                <w:i/>
                <w:sz w:val="20"/>
                <w:szCs w:val="20"/>
              </w:rPr>
              <w:t>tendria</w:t>
            </w:r>
            <w:proofErr w:type="spellEnd"/>
            <w:r w:rsidR="008426B7" w:rsidRPr="0007620B">
              <w:rPr>
                <w:i/>
                <w:sz w:val="20"/>
                <w:szCs w:val="20"/>
              </w:rPr>
              <w:t xml:space="preserve"> que ser visible como servidores públicos</w:t>
            </w:r>
            <w:r w:rsidRPr="0007620B">
              <w:rPr>
                <w:i/>
                <w:sz w:val="20"/>
                <w:szCs w:val="20"/>
              </w:rPr>
              <w:t>….” Sic</w:t>
            </w:r>
          </w:p>
        </w:tc>
      </w:tr>
      <w:tr w:rsidR="0007620B" w:rsidRPr="0007620B" w14:paraId="7A2C2B69" w14:textId="4015AB2B" w:rsidTr="00B34591">
        <w:trPr>
          <w:trHeight w:val="945"/>
          <w:jc w:val="center"/>
        </w:trPr>
        <w:tc>
          <w:tcPr>
            <w:tcW w:w="3045" w:type="dxa"/>
          </w:tcPr>
          <w:p w14:paraId="12F45605" w14:textId="3C68ACA9" w:rsidR="008426B7" w:rsidRPr="0007620B" w:rsidRDefault="008426B7" w:rsidP="0007620B">
            <w:pPr>
              <w:spacing w:line="0" w:lineRule="atLeast"/>
            </w:pPr>
            <w:r w:rsidRPr="0007620B">
              <w:t>Recibos de nómina correspondientes al mes de diciembre del 2024 al 15 de marzo del 2025 con su respectiva versión publica</w:t>
            </w:r>
          </w:p>
        </w:tc>
        <w:tc>
          <w:tcPr>
            <w:tcW w:w="3763" w:type="dxa"/>
          </w:tcPr>
          <w:p w14:paraId="59332DF1" w14:textId="77777777" w:rsidR="008426B7" w:rsidRPr="0007620B" w:rsidRDefault="008426B7" w:rsidP="0007620B">
            <w:pPr>
              <w:spacing w:line="240" w:lineRule="auto"/>
              <w:ind w:right="-28"/>
              <w:jc w:val="center"/>
              <w:rPr>
                <w:sz w:val="20"/>
                <w:szCs w:val="20"/>
              </w:rPr>
            </w:pPr>
          </w:p>
          <w:p w14:paraId="1B766D77" w14:textId="77777777" w:rsidR="008426B7" w:rsidRPr="0007620B" w:rsidRDefault="008426B7" w:rsidP="0007620B">
            <w:pPr>
              <w:numPr>
                <w:ilvl w:val="0"/>
                <w:numId w:val="16"/>
              </w:numPr>
              <w:spacing w:line="240" w:lineRule="auto"/>
              <w:ind w:right="-28"/>
              <w:rPr>
                <w:iCs/>
              </w:rPr>
            </w:pPr>
            <w:r w:rsidRPr="0007620B">
              <w:rPr>
                <w:b/>
                <w:bCs/>
                <w:i/>
              </w:rPr>
              <w:t>RECIBOS DE NÓMINA.pdf.</w:t>
            </w:r>
            <w:r w:rsidRPr="0007620B">
              <w:rPr>
                <w:i/>
              </w:rPr>
              <w:t xml:space="preserve">- </w:t>
            </w:r>
            <w:r w:rsidRPr="0007620B">
              <w:rPr>
                <w:iCs/>
              </w:rPr>
              <w:t xml:space="preserve">Diversos recibos de nómina del C. Adrián Jesús Soto Díaz, correspondientes a la primera y </w:t>
            </w:r>
            <w:r w:rsidRPr="0007620B">
              <w:rPr>
                <w:iCs/>
              </w:rPr>
              <w:lastRenderedPageBreak/>
              <w:t>segunda quincena de diciembre de 2024. Del C. Marcos López Castañeda, recibos de nómina de la segunda quincena de enero, primera de febrero, segunda quincena de febrero y primera quincena de marzo de 2025, en versión pública.</w:t>
            </w:r>
          </w:p>
          <w:p w14:paraId="4294AC0C" w14:textId="77777777" w:rsidR="008426B7" w:rsidRPr="0007620B" w:rsidRDefault="008426B7" w:rsidP="0007620B">
            <w:pPr>
              <w:spacing w:line="240" w:lineRule="auto"/>
              <w:ind w:right="-28"/>
              <w:jc w:val="center"/>
              <w:rPr>
                <w:sz w:val="20"/>
                <w:szCs w:val="20"/>
              </w:rPr>
            </w:pPr>
          </w:p>
        </w:tc>
        <w:tc>
          <w:tcPr>
            <w:tcW w:w="1559" w:type="dxa"/>
          </w:tcPr>
          <w:p w14:paraId="5C9924F8" w14:textId="77BBEB9B" w:rsidR="008426B7" w:rsidRPr="0007620B" w:rsidRDefault="008426B7" w:rsidP="0007620B">
            <w:pPr>
              <w:spacing w:line="0" w:lineRule="atLeast"/>
              <w:ind w:right="-28"/>
              <w:jc w:val="center"/>
              <w:rPr>
                <w:i/>
                <w:sz w:val="20"/>
                <w:szCs w:val="20"/>
              </w:rPr>
            </w:pPr>
            <w:r w:rsidRPr="0007620B">
              <w:rPr>
                <w:i/>
                <w:sz w:val="20"/>
                <w:szCs w:val="20"/>
              </w:rPr>
              <w:lastRenderedPageBreak/>
              <w:t xml:space="preserve">otra en los recibos de </w:t>
            </w:r>
            <w:proofErr w:type="spellStart"/>
            <w:r w:rsidRPr="0007620B">
              <w:rPr>
                <w:i/>
                <w:sz w:val="20"/>
                <w:szCs w:val="20"/>
              </w:rPr>
              <w:t>nomina</w:t>
            </w:r>
            <w:proofErr w:type="spellEnd"/>
            <w:r w:rsidRPr="0007620B">
              <w:rPr>
                <w:i/>
                <w:sz w:val="20"/>
                <w:szCs w:val="20"/>
              </w:rPr>
              <w:t xml:space="preserve"> testaron el sueldo base y las deducciones, </w:t>
            </w:r>
            <w:r w:rsidRPr="0007620B">
              <w:rPr>
                <w:i/>
                <w:sz w:val="20"/>
                <w:szCs w:val="20"/>
              </w:rPr>
              <w:lastRenderedPageBreak/>
              <w:t xml:space="preserve">lo cual es incorrecto ya que como servidores públicos sus ingresos son pagados con dinero </w:t>
            </w:r>
            <w:proofErr w:type="spellStart"/>
            <w:r w:rsidRPr="0007620B">
              <w:rPr>
                <w:i/>
                <w:sz w:val="20"/>
                <w:szCs w:val="20"/>
              </w:rPr>
              <w:t>publico</w:t>
            </w:r>
            <w:proofErr w:type="spellEnd"/>
            <w:r w:rsidRPr="0007620B">
              <w:rPr>
                <w:i/>
                <w:sz w:val="20"/>
                <w:szCs w:val="20"/>
              </w:rPr>
              <w:t xml:space="preserve">, así que no tendría </w:t>
            </w:r>
            <w:proofErr w:type="spellStart"/>
            <w:r w:rsidRPr="0007620B">
              <w:rPr>
                <w:i/>
                <w:sz w:val="20"/>
                <w:szCs w:val="20"/>
              </w:rPr>
              <w:t>por que</w:t>
            </w:r>
            <w:proofErr w:type="spellEnd"/>
            <w:r w:rsidRPr="0007620B">
              <w:rPr>
                <w:i/>
                <w:sz w:val="20"/>
                <w:szCs w:val="20"/>
              </w:rPr>
              <w:t xml:space="preserve"> ser un dato privado al igual que las deducciones,</w:t>
            </w:r>
          </w:p>
        </w:tc>
      </w:tr>
      <w:tr w:rsidR="0007620B" w:rsidRPr="0007620B" w14:paraId="746F74B8" w14:textId="328AEDCB" w:rsidTr="00B34591">
        <w:trPr>
          <w:trHeight w:val="945"/>
          <w:jc w:val="center"/>
        </w:trPr>
        <w:tc>
          <w:tcPr>
            <w:tcW w:w="3045" w:type="dxa"/>
          </w:tcPr>
          <w:p w14:paraId="113C918B" w14:textId="1B913A17" w:rsidR="008426B7" w:rsidRPr="0007620B" w:rsidRDefault="008426B7" w:rsidP="0007620B">
            <w:pPr>
              <w:spacing w:line="0" w:lineRule="atLeast"/>
            </w:pPr>
            <w:r w:rsidRPr="0007620B">
              <w:lastRenderedPageBreak/>
              <w:t>Monto recaudado por licencias de construcción del mes de diciembre del 2024 al 15 de marzo del 2025 y recibos de ingresos que lo avale al igual en su versión publica</w:t>
            </w:r>
          </w:p>
        </w:tc>
        <w:tc>
          <w:tcPr>
            <w:tcW w:w="3763" w:type="dxa"/>
          </w:tcPr>
          <w:p w14:paraId="5DA1BEBD" w14:textId="77777777" w:rsidR="008426B7" w:rsidRPr="0007620B" w:rsidRDefault="008426B7" w:rsidP="0007620B">
            <w:pPr>
              <w:spacing w:line="240" w:lineRule="auto"/>
              <w:ind w:right="-28"/>
              <w:jc w:val="center"/>
              <w:rPr>
                <w:sz w:val="20"/>
                <w:szCs w:val="20"/>
              </w:rPr>
            </w:pPr>
          </w:p>
          <w:p w14:paraId="5BA8356C" w14:textId="10D138AF" w:rsidR="008426B7" w:rsidRPr="0007620B" w:rsidRDefault="008426B7" w:rsidP="0007620B">
            <w:pPr>
              <w:spacing w:line="240" w:lineRule="auto"/>
              <w:ind w:right="-28"/>
              <w:jc w:val="center"/>
              <w:rPr>
                <w:sz w:val="20"/>
                <w:szCs w:val="20"/>
              </w:rPr>
            </w:pPr>
            <w:r w:rsidRPr="0007620B">
              <w:rPr>
                <w:noProof/>
                <w:sz w:val="20"/>
                <w:szCs w:val="20"/>
              </w:rPr>
              <w:drawing>
                <wp:inline distT="0" distB="0" distL="0" distR="0" wp14:anchorId="457840DB" wp14:editId="62F4B3D5">
                  <wp:extent cx="2203450" cy="1235075"/>
                  <wp:effectExtent l="0" t="0" r="6350" b="3175"/>
                  <wp:docPr id="1871613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13454" name=""/>
                          <pic:cNvPicPr/>
                        </pic:nvPicPr>
                        <pic:blipFill>
                          <a:blip r:embed="rId13"/>
                          <a:stretch>
                            <a:fillRect/>
                          </a:stretch>
                        </pic:blipFill>
                        <pic:spPr>
                          <a:xfrm>
                            <a:off x="0" y="0"/>
                            <a:ext cx="2203450" cy="1235075"/>
                          </a:xfrm>
                          <a:prstGeom prst="rect">
                            <a:avLst/>
                          </a:prstGeom>
                        </pic:spPr>
                      </pic:pic>
                    </a:graphicData>
                  </a:graphic>
                </wp:inline>
              </w:drawing>
            </w:r>
          </w:p>
        </w:tc>
        <w:tc>
          <w:tcPr>
            <w:tcW w:w="1559" w:type="dxa"/>
          </w:tcPr>
          <w:p w14:paraId="5F16455A" w14:textId="430799E9" w:rsidR="008426B7" w:rsidRPr="0007620B" w:rsidRDefault="00095476" w:rsidP="0007620B">
            <w:pPr>
              <w:spacing w:line="0" w:lineRule="atLeast"/>
              <w:ind w:right="-28"/>
              <w:jc w:val="center"/>
              <w:rPr>
                <w:i/>
                <w:sz w:val="20"/>
                <w:szCs w:val="20"/>
              </w:rPr>
            </w:pPr>
            <w:r w:rsidRPr="0007620B">
              <w:rPr>
                <w:i/>
                <w:sz w:val="20"/>
                <w:szCs w:val="20"/>
              </w:rPr>
              <w:t>“…</w:t>
            </w:r>
            <w:r w:rsidR="008426B7" w:rsidRPr="0007620B">
              <w:rPr>
                <w:i/>
                <w:sz w:val="20"/>
                <w:szCs w:val="20"/>
              </w:rPr>
              <w:t>no me dan completa la información, debido a que no mandaron los recibos de ingresos por cobro de las licencias de construcción, debido a que según ellos se vulnera la identidad de las personas, siendo que solicite esa información en versión publica , eso quiere decir con el correcto testado para no vulnerar los derechos de nadie.</w:t>
            </w:r>
            <w:r w:rsidRPr="0007620B">
              <w:rPr>
                <w:i/>
                <w:sz w:val="20"/>
                <w:szCs w:val="20"/>
              </w:rPr>
              <w:t>” Sic</w:t>
            </w:r>
          </w:p>
        </w:tc>
      </w:tr>
    </w:tbl>
    <w:p w14:paraId="084AFF30" w14:textId="14938EAC" w:rsidR="000702FB" w:rsidRPr="0007620B" w:rsidRDefault="000702FB" w:rsidP="0007620B">
      <w:pPr>
        <w:spacing w:before="280"/>
        <w:ind w:right="49"/>
      </w:pPr>
      <w:r w:rsidRPr="0007620B">
        <w:lastRenderedPageBreak/>
        <w:t xml:space="preserve">Ahora bien, de la tabla previamente inserta, se advierte que en la interposición del presente recurso </w:t>
      </w:r>
      <w:r w:rsidRPr="0007620B">
        <w:rPr>
          <w:b/>
          <w:bCs/>
        </w:rPr>
        <w:t>LA PARTE RECURRENTE</w:t>
      </w:r>
      <w:r w:rsidRPr="0007620B">
        <w:t xml:space="preserve"> se inconformó </w:t>
      </w:r>
      <w:r w:rsidR="00BF0D2E" w:rsidRPr="0007620B">
        <w:t xml:space="preserve">manifestando que no le dan completa la información, en específico respecto de los recibos de ingresos por cobro de las licencias de construcción, así como por la clasificación de la información respecto del testado del sueldo base y las deducciones en los recibos de nómina, así como el testado de la fotografía en el título profesional. </w:t>
      </w:r>
      <w:r w:rsidRPr="0007620B">
        <w:t xml:space="preserve">Ante tal situación, se advierte que </w:t>
      </w:r>
      <w:r w:rsidRPr="0007620B">
        <w:rPr>
          <w:b/>
          <w:bCs/>
        </w:rPr>
        <w:t>LA PARTE RECURRENTE</w:t>
      </w:r>
      <w:r w:rsidRPr="0007620B">
        <w:t xml:space="preserve"> no se inconformó sobre </w:t>
      </w:r>
      <w:r w:rsidR="00BF0D2E" w:rsidRPr="0007620B">
        <w:t>el fundamento legal, ante que autoridad puede denunciar, nombramiento, y el monto recaudado por las licencias de construcción</w:t>
      </w:r>
      <w:r w:rsidRPr="0007620B">
        <w:t>; por lo cual, se presume que dicha información ha sido consentida por el propio solicitante.</w:t>
      </w:r>
    </w:p>
    <w:p w14:paraId="402C7E9F" w14:textId="77777777" w:rsidR="000702FB" w:rsidRPr="0007620B" w:rsidRDefault="000702FB" w:rsidP="0007620B">
      <w:pPr>
        <w:spacing w:before="280"/>
        <w:ind w:right="49"/>
      </w:pPr>
      <w:r w:rsidRPr="0007620B">
        <w:t>Sirve de sustento, la tesis jurisprudencial número VI.2o. J/21, publicada en el Semanario Judicial de la Federación y su Gaceta bajo el número de registro 204707 que a la letra dice:</w:t>
      </w:r>
    </w:p>
    <w:p w14:paraId="75EF6CAF" w14:textId="77777777" w:rsidR="00112019" w:rsidRPr="0007620B" w:rsidRDefault="00112019" w:rsidP="0007620B">
      <w:pPr>
        <w:pStyle w:val="Puesto"/>
        <w:ind w:firstLine="0"/>
        <w:jc w:val="center"/>
        <w:rPr>
          <w:b/>
          <w:bCs/>
          <w:color w:val="auto"/>
        </w:rPr>
      </w:pPr>
    </w:p>
    <w:p w14:paraId="289DBB29" w14:textId="1605C1FB" w:rsidR="000702FB" w:rsidRPr="0007620B" w:rsidRDefault="000702FB" w:rsidP="0007620B">
      <w:pPr>
        <w:pStyle w:val="Puesto"/>
        <w:ind w:firstLine="0"/>
        <w:jc w:val="center"/>
        <w:rPr>
          <w:b/>
          <w:bCs/>
          <w:color w:val="auto"/>
        </w:rPr>
      </w:pPr>
      <w:r w:rsidRPr="0007620B">
        <w:rPr>
          <w:b/>
          <w:bCs/>
          <w:color w:val="auto"/>
        </w:rPr>
        <w:t>ACTOS CONSENTIDOS TACITAMENTE.</w:t>
      </w:r>
    </w:p>
    <w:p w14:paraId="1F44928C" w14:textId="77777777" w:rsidR="00BF0D2E" w:rsidRPr="0007620B" w:rsidRDefault="00BF0D2E" w:rsidP="0007620B"/>
    <w:p w14:paraId="2453A964" w14:textId="1D97B5BD" w:rsidR="00FF365E" w:rsidRPr="0007620B" w:rsidRDefault="000702FB" w:rsidP="0007620B">
      <w:pPr>
        <w:pStyle w:val="Puesto"/>
        <w:ind w:firstLine="0"/>
        <w:rPr>
          <w:color w:val="auto"/>
        </w:rPr>
      </w:pPr>
      <w:r w:rsidRPr="0007620B">
        <w:rPr>
          <w:color w:val="auto"/>
        </w:rPr>
        <w:t>“Se presumen así, para los efectos del amparo, los actos del orden civil y administrativo, que no hubieren sido reclamados en esa vía dentro de los plazos que la ley señala”.</w:t>
      </w:r>
      <w:r w:rsidR="00BF0D2E" w:rsidRPr="0007620B">
        <w:rPr>
          <w:color w:val="auto"/>
        </w:rPr>
        <w:t xml:space="preserve"> Sic.</w:t>
      </w:r>
    </w:p>
    <w:p w14:paraId="5B69CF8B" w14:textId="77777777" w:rsidR="00BF0D2E" w:rsidRPr="0007620B" w:rsidRDefault="00BF0D2E" w:rsidP="0007620B"/>
    <w:p w14:paraId="7A830604" w14:textId="77777777" w:rsidR="00E25C5C" w:rsidRPr="0007620B" w:rsidRDefault="00E25C5C" w:rsidP="0007620B">
      <w:pPr>
        <w:rPr>
          <w:lang w:val="es-ES_tradnl"/>
        </w:rPr>
      </w:pPr>
      <w:r w:rsidRPr="0007620B">
        <w:rPr>
          <w:lang w:val="es-ES_tradnl"/>
        </w:rPr>
        <w:t>Situación, que se robustece con el Criterio 01/20, emitido por el entonces Instituto Nacional de Transparencia, Acceso a la Información y Protección de Datos Personales, que establece lo siguiente:</w:t>
      </w:r>
    </w:p>
    <w:p w14:paraId="0F8AC1AA" w14:textId="77777777" w:rsidR="00E25C5C" w:rsidRPr="0007620B" w:rsidRDefault="00E25C5C" w:rsidP="0007620B">
      <w:pPr>
        <w:rPr>
          <w:lang w:val="es-ES_tradnl"/>
        </w:rPr>
      </w:pPr>
    </w:p>
    <w:p w14:paraId="5934541F" w14:textId="77777777" w:rsidR="00E25C5C" w:rsidRPr="0007620B" w:rsidRDefault="00E25C5C" w:rsidP="0007620B">
      <w:pPr>
        <w:pStyle w:val="Puesto"/>
        <w:ind w:firstLine="0"/>
        <w:rPr>
          <w:color w:val="auto"/>
        </w:rPr>
      </w:pPr>
      <w:r w:rsidRPr="0007620B">
        <w:rPr>
          <w:b/>
          <w:color w:val="auto"/>
        </w:rPr>
        <w:t xml:space="preserve">“Actos consentidos tácitamente. Improcedencia de su análisis. </w:t>
      </w:r>
      <w:r w:rsidRPr="0007620B">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4E5AAC05" w14:textId="77777777" w:rsidR="00BF0D2E" w:rsidRPr="0007620B" w:rsidRDefault="00BF0D2E" w:rsidP="0007620B"/>
    <w:p w14:paraId="493F8882" w14:textId="77777777" w:rsidR="00E25C5C" w:rsidRPr="0007620B" w:rsidRDefault="00E25C5C" w:rsidP="0007620B">
      <w:pPr>
        <w:spacing w:before="240" w:after="240"/>
        <w:ind w:right="49"/>
        <w:rPr>
          <w:bCs/>
        </w:rPr>
      </w:pPr>
      <w:r w:rsidRPr="0007620B">
        <w:lastRenderedPageBreak/>
        <w:t xml:space="preserve">Conforme a lo establecido y a todo lo antes expuesto, este Órgano Garante realizará el análisis de </w:t>
      </w:r>
      <w:r w:rsidRPr="0007620B">
        <w:rPr>
          <w:bCs/>
        </w:rPr>
        <w:t xml:space="preserve">los requerimientos de información pública que fueron atendidos por </w:t>
      </w:r>
      <w:r w:rsidRPr="0007620B">
        <w:rPr>
          <w:b/>
        </w:rPr>
        <w:t xml:space="preserve">EL SUJETO OBLIGADO </w:t>
      </w:r>
      <w:r w:rsidRPr="0007620B">
        <w:rPr>
          <w:bCs/>
        </w:rPr>
        <w:t xml:space="preserve">no obstante </w:t>
      </w:r>
      <w:r w:rsidRPr="0007620B">
        <w:rPr>
          <w:b/>
        </w:rPr>
        <w:t xml:space="preserve">LA PARTE RECURRENTE </w:t>
      </w:r>
      <w:r w:rsidRPr="0007620B">
        <w:rPr>
          <w:bCs/>
        </w:rPr>
        <w:t>realizó manifestaciones de informidad al respecto, esto es por lo que corresponde a:</w:t>
      </w:r>
    </w:p>
    <w:p w14:paraId="6CD328F7" w14:textId="0A2D9005" w:rsidR="00E25C5C" w:rsidRPr="0007620B" w:rsidRDefault="00E25C5C" w:rsidP="0007620B">
      <w:pPr>
        <w:pStyle w:val="Prrafodelista"/>
        <w:numPr>
          <w:ilvl w:val="0"/>
          <w:numId w:val="15"/>
        </w:numPr>
      </w:pPr>
      <w:r w:rsidRPr="0007620B">
        <w:t>Comprobante de estudios del director de desarrollo urbano.</w:t>
      </w:r>
    </w:p>
    <w:p w14:paraId="7BD77441" w14:textId="4BC6841D" w:rsidR="00E25C5C" w:rsidRPr="0007620B" w:rsidRDefault="00E25C5C" w:rsidP="0007620B">
      <w:pPr>
        <w:pStyle w:val="Prrafodelista"/>
        <w:numPr>
          <w:ilvl w:val="0"/>
          <w:numId w:val="15"/>
        </w:numPr>
      </w:pPr>
      <w:r w:rsidRPr="0007620B">
        <w:t>Recibos de nómina correspondientes al mes de diciembre del 2024 al 15 de marzo del 2025.</w:t>
      </w:r>
    </w:p>
    <w:p w14:paraId="1393CA71" w14:textId="5BD81377" w:rsidR="00E25C5C" w:rsidRPr="0007620B" w:rsidRDefault="00E25C5C" w:rsidP="0007620B">
      <w:pPr>
        <w:pStyle w:val="Prrafodelista"/>
        <w:numPr>
          <w:ilvl w:val="0"/>
          <w:numId w:val="15"/>
        </w:numPr>
      </w:pPr>
      <w:r w:rsidRPr="0007620B">
        <w:t>Recibos de ingresos de las licencias de construcción del mes de diciembre del 2024 al 15 de marzo del 2025.</w:t>
      </w:r>
    </w:p>
    <w:p w14:paraId="52084BC8" w14:textId="77777777" w:rsidR="00E25C5C" w:rsidRPr="0007620B" w:rsidRDefault="00E25C5C" w:rsidP="0007620B">
      <w:pPr>
        <w:pStyle w:val="Prrafodelista"/>
        <w:ind w:left="0"/>
      </w:pPr>
    </w:p>
    <w:p w14:paraId="51600AF2" w14:textId="6AB7B31F" w:rsidR="00E25C5C" w:rsidRPr="0007620B" w:rsidRDefault="00E25C5C" w:rsidP="0007620B">
      <w:pPr>
        <w:pStyle w:val="Prrafodelista"/>
        <w:ind w:left="0"/>
      </w:pPr>
      <w:r w:rsidRPr="0007620B">
        <w:t xml:space="preserve">Para ello, </w:t>
      </w:r>
      <w:r w:rsidR="00443622" w:rsidRPr="0007620B">
        <w:t xml:space="preserve">es de recapitular que por cuanto hace al primer requerimiento en estudio respecto del comprobante de estudios, </w:t>
      </w:r>
      <w:r w:rsidR="00443622" w:rsidRPr="0007620B">
        <w:rPr>
          <w:b/>
          <w:bCs/>
        </w:rPr>
        <w:t xml:space="preserve">EL SUJETO OBLIGADO </w:t>
      </w:r>
      <w:r w:rsidR="00443622" w:rsidRPr="0007620B">
        <w:t xml:space="preserve">a fin de atender el derecho de acceso a la información pública del particular, le remitió en el archivo denominado </w:t>
      </w:r>
      <w:r w:rsidR="00443622" w:rsidRPr="0007620B">
        <w:rPr>
          <w:b/>
          <w:bCs/>
          <w:i/>
          <w:iCs/>
        </w:rPr>
        <w:t xml:space="preserve">NOMBRAMIENTO Y COMPROBANTE DE ESTUDIOS.pdf </w:t>
      </w:r>
      <w:r w:rsidR="00443622" w:rsidRPr="0007620B">
        <w:t>el cual en la página 2, se advierte el Título profesional a nombre del C. Adrián Jesús Soto Díaz, en el cual testó la fotografía, tal y como se ilustra enseguida:</w:t>
      </w:r>
    </w:p>
    <w:p w14:paraId="0789AA39" w14:textId="68D39D45" w:rsidR="00443622" w:rsidRPr="0007620B" w:rsidRDefault="00443622" w:rsidP="0007620B">
      <w:pPr>
        <w:pStyle w:val="Prrafodelista"/>
        <w:ind w:left="0"/>
      </w:pPr>
      <w:r w:rsidRPr="0007620B">
        <w:rPr>
          <w:noProof/>
        </w:rPr>
        <mc:AlternateContent>
          <mc:Choice Requires="wps">
            <w:drawing>
              <wp:anchor distT="0" distB="0" distL="114300" distR="114300" simplePos="0" relativeHeight="251659264" behindDoc="0" locked="0" layoutInCell="1" allowOverlap="1" wp14:anchorId="19454034" wp14:editId="3BB9DC82">
                <wp:simplePos x="0" y="0"/>
                <wp:positionH relativeFrom="column">
                  <wp:posOffset>-249481</wp:posOffset>
                </wp:positionH>
                <wp:positionV relativeFrom="paragraph">
                  <wp:posOffset>808015</wp:posOffset>
                </wp:positionV>
                <wp:extent cx="659218" cy="439376"/>
                <wp:effectExtent l="57150" t="38100" r="64770" b="94615"/>
                <wp:wrapNone/>
                <wp:docPr id="1550075960" name="Conector recto de flecha 1"/>
                <wp:cNvGraphicFramePr/>
                <a:graphic xmlns:a="http://schemas.openxmlformats.org/drawingml/2006/main">
                  <a:graphicData uri="http://schemas.microsoft.com/office/word/2010/wordprocessingShape">
                    <wps:wsp>
                      <wps:cNvCnPr/>
                      <wps:spPr>
                        <a:xfrm flipV="1">
                          <a:off x="0" y="0"/>
                          <a:ext cx="659218" cy="439376"/>
                        </a:xfrm>
                        <a:prstGeom prst="straightConnector1">
                          <a:avLst/>
                        </a:prstGeom>
                        <a:ln w="38100">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709C4B2A" id="_x0000_t32" coordsize="21600,21600" o:spt="32" o:oned="t" path="m,l21600,21600e" filled="f">
                <v:path arrowok="t" fillok="f" o:connecttype="none"/>
                <o:lock v:ext="edit" shapetype="t"/>
              </v:shapetype>
              <v:shape id="Conector recto de flecha 1" o:spid="_x0000_s1026" type="#_x0000_t32" style="position:absolute;margin-left:-19.65pt;margin-top:63.6pt;width:51.9pt;height:34.6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" strokecolor="#e00" strokeweight="3pt">
                <v:stroke endarrow="block"/>
                <v:shadow on="t" color="black" opacity="24903f" origin=",.5" offset="0,.55556mm"/>
              </v:shape>
            </w:pict>
          </mc:Fallback>
        </mc:AlternateContent>
      </w:r>
      <w:r w:rsidRPr="0007620B">
        <w:rPr>
          <w:noProof/>
        </w:rPr>
        <w:drawing>
          <wp:inline distT="0" distB="0" distL="0" distR="0" wp14:anchorId="1D57C795" wp14:editId="0FDEED20">
            <wp:extent cx="5738934" cy="1456660"/>
            <wp:effectExtent l="0" t="0" r="0" b="0"/>
            <wp:docPr id="929717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17882" name=""/>
                    <pic:cNvPicPr/>
                  </pic:nvPicPr>
                  <pic:blipFill>
                    <a:blip r:embed="rId14"/>
                    <a:stretch>
                      <a:fillRect/>
                    </a:stretch>
                  </pic:blipFill>
                  <pic:spPr>
                    <a:xfrm>
                      <a:off x="0" y="0"/>
                      <a:ext cx="5762784" cy="1462714"/>
                    </a:xfrm>
                    <a:prstGeom prst="rect">
                      <a:avLst/>
                    </a:prstGeom>
                  </pic:spPr>
                </pic:pic>
              </a:graphicData>
            </a:graphic>
          </wp:inline>
        </w:drawing>
      </w:r>
    </w:p>
    <w:p w14:paraId="38141F38" w14:textId="77777777" w:rsidR="00E12F60" w:rsidRPr="0007620B" w:rsidRDefault="00E12F60" w:rsidP="0007620B">
      <w:pPr>
        <w:spacing w:line="276" w:lineRule="auto"/>
        <w:ind w:left="709" w:right="900"/>
        <w:rPr>
          <w:i/>
        </w:rPr>
      </w:pPr>
    </w:p>
    <w:p w14:paraId="76FE76EA" w14:textId="454F1C21" w:rsidR="00E12F60" w:rsidRPr="0007620B" w:rsidRDefault="00E12F60" w:rsidP="0007620B">
      <w:pPr>
        <w:pBdr>
          <w:top w:val="nil"/>
          <w:left w:val="nil"/>
          <w:bottom w:val="nil"/>
          <w:right w:val="nil"/>
          <w:between w:val="nil"/>
        </w:pBdr>
        <w:ind w:right="-234"/>
        <w:rPr>
          <w:rFonts w:eastAsia="Calibri"/>
          <w:lang w:eastAsia="en-US"/>
        </w:rPr>
      </w:pPr>
      <w:r w:rsidRPr="0007620B">
        <w:t>P</w:t>
      </w:r>
      <w:r w:rsidRPr="0007620B">
        <w:rPr>
          <w:rFonts w:eastAsia="Calibri"/>
          <w:lang w:eastAsia="en-US"/>
        </w:rPr>
        <w:t xml:space="preserve">or lo que hace a las </w:t>
      </w:r>
      <w:r w:rsidRPr="0007620B">
        <w:rPr>
          <w:rFonts w:eastAsia="Calibri"/>
          <w:b/>
          <w:bCs/>
          <w:lang w:eastAsia="en-US"/>
        </w:rPr>
        <w:t>fotografías</w:t>
      </w:r>
      <w:r w:rsidRPr="0007620B">
        <w:rPr>
          <w:rFonts w:eastAsia="Calibri"/>
          <w:lang w:eastAsia="en-U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w:t>
      </w:r>
      <w:r w:rsidRPr="0007620B">
        <w:rPr>
          <w:rFonts w:eastAsia="Calibri"/>
          <w:lang w:eastAsia="en-US"/>
        </w:rPr>
        <w:lastRenderedPageBreak/>
        <w:t xml:space="preserve">la imagen así captada puede ser reproducida, publicada y divulgada por diversos medios, desde volantes impresos de la forma más rudimentaria, hasta filmaciones y fotografías transmitidas por televisión cine, video, correo electrónico o Internet. </w:t>
      </w:r>
    </w:p>
    <w:p w14:paraId="1B24EB77" w14:textId="77777777" w:rsidR="00E12F60" w:rsidRPr="0007620B" w:rsidRDefault="00E12F60" w:rsidP="0007620B">
      <w:pPr>
        <w:spacing w:before="240" w:after="240"/>
        <w:contextualSpacing/>
        <w:rPr>
          <w:rFonts w:eastAsia="Calibri"/>
          <w:lang w:eastAsia="en-US"/>
        </w:rPr>
      </w:pPr>
    </w:p>
    <w:p w14:paraId="726A02D4" w14:textId="77777777" w:rsidR="00E12F60" w:rsidRPr="0007620B" w:rsidRDefault="00E12F60" w:rsidP="0007620B">
      <w:pPr>
        <w:pBdr>
          <w:top w:val="nil"/>
          <w:left w:val="nil"/>
          <w:bottom w:val="nil"/>
          <w:right w:val="nil"/>
          <w:between w:val="nil"/>
        </w:pBdr>
        <w:ind w:right="-234"/>
        <w:rPr>
          <w:rFonts w:eastAsia="Calibri"/>
          <w:lang w:eastAsia="en-US"/>
        </w:rPr>
      </w:pPr>
      <w:r w:rsidRPr="0007620B">
        <w:rPr>
          <w:rFonts w:eastAsia="Calibri"/>
          <w:lang w:eastAsia="en-US"/>
        </w:rPr>
        <w:t>Así, se considera que dichos datos constituyen la reproducción fiel de las características físicas de una persona en un momento determinado, por lo que representan un instrumento de identificación, proyección exterior y factor imprescindible para su propio reconocimiento como sujeto individual. En el presente caso, acreditaría e identificaría a una persona como servidor público, razón por la cual es posible advertir que existe cierto interés público, cuando la fotografía obra en documentos de servidores públicos vinculados con el cumplimiento de disposiciones legales.</w:t>
      </w:r>
    </w:p>
    <w:p w14:paraId="67FB6D9C" w14:textId="77777777" w:rsidR="00E12F60" w:rsidRPr="0007620B" w:rsidRDefault="00E12F60" w:rsidP="0007620B">
      <w:pPr>
        <w:spacing w:before="240" w:after="240"/>
        <w:contextualSpacing/>
        <w:rPr>
          <w:rFonts w:eastAsia="Calibri"/>
          <w:lang w:eastAsia="en-US"/>
        </w:rPr>
      </w:pPr>
    </w:p>
    <w:p w14:paraId="4C886670" w14:textId="77777777" w:rsidR="00E12F60" w:rsidRPr="0007620B" w:rsidRDefault="00E12F60" w:rsidP="0007620B">
      <w:pPr>
        <w:tabs>
          <w:tab w:val="left" w:pos="4962"/>
        </w:tabs>
        <w:rPr>
          <w:rFonts w:eastAsia="Calibri" w:cs="Tahoma"/>
          <w:bCs/>
          <w:lang w:val="es-ES"/>
        </w:rPr>
      </w:pPr>
      <w:r w:rsidRPr="0007620B">
        <w:rPr>
          <w:rFonts w:eastAsia="Calibri" w:cs="Tahoma"/>
          <w:bCs/>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F5C9389" w14:textId="77777777" w:rsidR="00E12F60" w:rsidRPr="0007620B" w:rsidRDefault="00E12F60" w:rsidP="0007620B">
      <w:pPr>
        <w:spacing w:before="240" w:after="240"/>
        <w:contextualSpacing/>
        <w:rPr>
          <w:rFonts w:eastAsia="Calibri"/>
          <w:lang w:val="es-ES" w:eastAsia="en-US"/>
        </w:rPr>
      </w:pPr>
    </w:p>
    <w:p w14:paraId="4D94D80B" w14:textId="77777777" w:rsidR="00E12F60" w:rsidRPr="0007620B" w:rsidRDefault="00E12F60" w:rsidP="0007620B">
      <w:pPr>
        <w:pBdr>
          <w:top w:val="nil"/>
          <w:left w:val="nil"/>
          <w:bottom w:val="nil"/>
          <w:right w:val="nil"/>
          <w:between w:val="nil"/>
        </w:pBdr>
        <w:ind w:right="-234"/>
        <w:rPr>
          <w:rFonts w:eastAsia="Calibri"/>
          <w:lang w:eastAsia="en-US"/>
        </w:rPr>
      </w:pPr>
      <w:r w:rsidRPr="0007620B">
        <w:rPr>
          <w:rFonts w:eastAsia="Calibri"/>
          <w:lang w:eastAsia="en-US"/>
        </w:rPr>
        <w:t xml:space="preserve">En este sentido, resultan aplicables por analogía, los Criterios de interpretación con clave de control SO/015/2017 y SO/001/2013 emitidos por el Instituto Nacional de Transparencia y Acceso a la Información Pública y Protección de Datos Personales, INAI, en los cuales se esgrimen argumentos, que, si bien no se refieren de manera específica a fotografías de servidores públicos, </w:t>
      </w:r>
      <w:r w:rsidRPr="0007620B">
        <w:rPr>
          <w:rFonts w:eastAsia="Calibri"/>
          <w:lang w:eastAsia="en-US"/>
        </w:rPr>
        <w:lastRenderedPageBreak/>
        <w:t xml:space="preserve">sí establecen un criterio para que este dato personal pueda ser considerado como público, cuando se pretende acreditar que una persona es servidor público. </w:t>
      </w:r>
    </w:p>
    <w:p w14:paraId="6230FFC7" w14:textId="77777777" w:rsidR="00E12F60" w:rsidRPr="0007620B" w:rsidRDefault="00E12F60" w:rsidP="0007620B">
      <w:pPr>
        <w:tabs>
          <w:tab w:val="left" w:pos="3969"/>
        </w:tabs>
        <w:spacing w:before="240" w:after="240"/>
        <w:contextualSpacing/>
        <w:rPr>
          <w:rFonts w:eastAsia="Calibri"/>
          <w:lang w:eastAsia="en-US"/>
        </w:rPr>
      </w:pPr>
    </w:p>
    <w:p w14:paraId="0CD150B5" w14:textId="77777777" w:rsidR="00E12F60" w:rsidRPr="0007620B" w:rsidRDefault="00E12F60" w:rsidP="0007620B">
      <w:pPr>
        <w:pBdr>
          <w:top w:val="nil"/>
          <w:left w:val="nil"/>
          <w:bottom w:val="nil"/>
          <w:right w:val="nil"/>
          <w:between w:val="nil"/>
        </w:pBdr>
        <w:ind w:right="-234"/>
        <w:rPr>
          <w:rFonts w:eastAsia="Calibri"/>
          <w:lang w:eastAsia="en-US"/>
        </w:rPr>
      </w:pPr>
      <w:r w:rsidRPr="0007620B">
        <w:rPr>
          <w:rFonts w:eastAsia="Calibri"/>
          <w:lang w:eastAsia="en-US"/>
        </w:rPr>
        <w:t xml:space="preserve">Lo anterior es así, pues debe tenerse presente que el actuar de los servidores públicos incide de manera específica en los derechos de los particulares, toda vez que el acto de un servidor público en ejercicio de sus funciones, de manera directa genera derechos y obligaciones al considerarse un acto administrativo o acto de autoridad, siendo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 un interés público. </w:t>
      </w:r>
    </w:p>
    <w:p w14:paraId="5511FA4E" w14:textId="77777777" w:rsidR="00E12F60" w:rsidRPr="0007620B" w:rsidRDefault="00E12F60" w:rsidP="0007620B">
      <w:pPr>
        <w:tabs>
          <w:tab w:val="left" w:pos="3969"/>
        </w:tabs>
        <w:spacing w:before="240" w:after="240"/>
        <w:contextualSpacing/>
        <w:rPr>
          <w:rFonts w:eastAsia="Calibri"/>
          <w:lang w:eastAsia="en-US"/>
        </w:rPr>
      </w:pPr>
    </w:p>
    <w:p w14:paraId="2DBC7846" w14:textId="77777777" w:rsidR="00E12F60" w:rsidRPr="0007620B" w:rsidRDefault="00E12F60" w:rsidP="0007620B">
      <w:pPr>
        <w:pBdr>
          <w:top w:val="nil"/>
          <w:left w:val="nil"/>
          <w:bottom w:val="nil"/>
          <w:right w:val="nil"/>
          <w:between w:val="nil"/>
        </w:pBdr>
        <w:ind w:right="-234"/>
        <w:rPr>
          <w:rFonts w:eastAsia="Calibri"/>
          <w:lang w:eastAsia="en-US"/>
        </w:rPr>
      </w:pPr>
      <w:r w:rsidRPr="0007620B">
        <w:rPr>
          <w:rFonts w:eastAsia="Calibri"/>
          <w:lang w:eastAsia="en-US"/>
        </w:rPr>
        <w:t xml:space="preserve">En razón de lo anterior, cuando las fotografías de los servidores públicos que obran en documentos que acreditan un grado de estudios,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 </w:t>
      </w:r>
    </w:p>
    <w:p w14:paraId="325EEB86" w14:textId="77777777" w:rsidR="00E12F60" w:rsidRPr="0007620B" w:rsidRDefault="00E12F60" w:rsidP="0007620B">
      <w:pPr>
        <w:spacing w:before="240" w:after="240"/>
        <w:contextualSpacing/>
        <w:rPr>
          <w:rFonts w:eastAsia="Calibri"/>
          <w:lang w:eastAsia="en-US"/>
        </w:rPr>
      </w:pPr>
    </w:p>
    <w:p w14:paraId="7E7E4233" w14:textId="77777777" w:rsidR="00E12F60" w:rsidRPr="0007620B" w:rsidRDefault="00E12F60" w:rsidP="0007620B">
      <w:pPr>
        <w:pBdr>
          <w:top w:val="nil"/>
          <w:left w:val="nil"/>
          <w:bottom w:val="nil"/>
          <w:right w:val="nil"/>
          <w:between w:val="nil"/>
        </w:pBdr>
        <w:ind w:right="-234"/>
        <w:rPr>
          <w:rFonts w:eastAsia="Calibri"/>
          <w:lang w:eastAsia="en-US"/>
        </w:rPr>
      </w:pPr>
      <w:r w:rsidRPr="0007620B">
        <w:rPr>
          <w:rFonts w:eastAsia="Calibri"/>
          <w:lang w:eastAsia="en-US"/>
        </w:rPr>
        <w:t xml:space="preserve">Conforme a lo anterior, resulta necesario señalar que el Pleno de este Instituto emitió el Criterio de interpretación 03/19 cuyo rubro dispone lo siguiente: </w:t>
      </w:r>
      <w:r w:rsidRPr="0007620B">
        <w:rPr>
          <w:rFonts w:eastAsia="Calibri"/>
          <w:b/>
          <w:bCs/>
          <w:lang w:eastAsia="en-US"/>
        </w:rPr>
        <w:t>“Servidores públicos con categoría de mando medio y superior. La fotografía de aquellos es de carácter público”</w:t>
      </w:r>
      <w:r w:rsidRPr="0007620B">
        <w:rPr>
          <w:rFonts w:eastAsia="Calibri"/>
          <w:lang w:eastAsia="en-US"/>
        </w:rPr>
        <w:t xml:space="preserve">; no obstante, dicho criterio fue interrumpido en términos del artículo 9, fracción XXVII del Reglamento Interior del Instituto de Transparencia, Acceso a la Información Pública y Protección de Datos Personales del Estado de México y Municipios, por lo tanto, las fotografías de servidores públicos, sin importar el nivel o rango guardan la naturaleza de públicas (con excepción del personal </w:t>
      </w:r>
      <w:r w:rsidRPr="0007620B">
        <w:rPr>
          <w:rFonts w:eastAsia="Calibri"/>
          <w:lang w:eastAsia="en-US"/>
        </w:rPr>
        <w:lastRenderedPageBreak/>
        <w:t>operativo en materia de seguridad) y no procede su clasificación, en términos del artículo 143, fracción I, de la Ley de Transparencia y Acceso a la Información Pública del Estado de México y Municipios, toda vez que se relaciona con la imagen de una persona que ejerce actos de autoridad.</w:t>
      </w:r>
    </w:p>
    <w:p w14:paraId="1BF1E145" w14:textId="77777777" w:rsidR="00E25C5C" w:rsidRPr="0007620B" w:rsidRDefault="00E25C5C" w:rsidP="0007620B">
      <w:pPr>
        <w:rPr>
          <w:rFonts w:eastAsia="Calibri"/>
          <w:lang w:eastAsia="en-US"/>
        </w:rPr>
      </w:pPr>
    </w:p>
    <w:p w14:paraId="0BD13FED" w14:textId="3BD4011B" w:rsidR="002F74DC" w:rsidRPr="0007620B" w:rsidRDefault="00351093" w:rsidP="0007620B">
      <w:pPr>
        <w:rPr>
          <w:rFonts w:eastAsia="Calibri"/>
          <w:lang w:eastAsia="en-US"/>
        </w:rPr>
      </w:pPr>
      <w:r w:rsidRPr="0007620B">
        <w:rPr>
          <w:rFonts w:eastAsia="Calibri"/>
          <w:lang w:eastAsia="en-US"/>
        </w:rPr>
        <w:t xml:space="preserve">Luego entonces, como se apuntó en las líneas que preceden en este caso, no resulta procedente la clasificación de la fotografía contenida </w:t>
      </w:r>
      <w:r w:rsidR="00402CA5" w:rsidRPr="0007620B">
        <w:rPr>
          <w:rFonts w:eastAsia="Calibri"/>
          <w:lang w:eastAsia="en-US"/>
        </w:rPr>
        <w:t xml:space="preserve">en documentos que acreditan un grado de estudios, en este caso, en el título profesional; </w:t>
      </w:r>
      <w:r w:rsidR="002F74DC" w:rsidRPr="0007620B">
        <w:rPr>
          <w:rFonts w:eastAsia="Calibri"/>
          <w:lang w:eastAsia="en-US"/>
        </w:rPr>
        <w:t>por ende, resulta factible ordenar la entrega del documento en cuestión, en una correcta versión pública, en la que se deje visible el dato correspondiente a la fotografía.</w:t>
      </w:r>
    </w:p>
    <w:p w14:paraId="451EDE1D" w14:textId="77777777" w:rsidR="002F74DC" w:rsidRPr="0007620B" w:rsidRDefault="002F74DC" w:rsidP="0007620B">
      <w:pPr>
        <w:rPr>
          <w:rFonts w:eastAsia="Calibri"/>
          <w:lang w:eastAsia="en-US"/>
        </w:rPr>
      </w:pPr>
    </w:p>
    <w:p w14:paraId="694FCC4E" w14:textId="2971B270" w:rsidR="008426B7" w:rsidRPr="0007620B" w:rsidRDefault="002F74DC" w:rsidP="0007620B">
      <w:pPr>
        <w:rPr>
          <w:rFonts w:eastAsia="Calibri"/>
          <w:lang w:eastAsia="en-US"/>
        </w:rPr>
      </w:pPr>
      <w:r w:rsidRPr="0007620B">
        <w:rPr>
          <w:rFonts w:eastAsia="Calibri"/>
          <w:lang w:eastAsia="en-US"/>
        </w:rPr>
        <w:t xml:space="preserve">Ahora bien, por lo que corresponde a los recibos de nómina, es de puntualizar que </w:t>
      </w:r>
      <w:r w:rsidRPr="0007620B">
        <w:rPr>
          <w:rFonts w:eastAsia="Calibri"/>
          <w:b/>
          <w:bCs/>
          <w:lang w:eastAsia="en-US"/>
        </w:rPr>
        <w:t xml:space="preserve">LA PARTE RECURRENTE </w:t>
      </w:r>
      <w:r w:rsidRPr="0007620B">
        <w:rPr>
          <w:rFonts w:eastAsia="Calibri"/>
          <w:lang w:eastAsia="en-US"/>
        </w:rPr>
        <w:t>solicitó los recibos de nómina</w:t>
      </w:r>
      <w:r w:rsidR="008426B7" w:rsidRPr="0007620B">
        <w:rPr>
          <w:rFonts w:eastAsia="Calibri"/>
          <w:lang w:eastAsia="en-US"/>
        </w:rPr>
        <w:t xml:space="preserve">, </w:t>
      </w:r>
      <w:r w:rsidR="008426B7" w:rsidRPr="0007620B">
        <w:t>correspondientes al mes de diciembre del 2024 al 15 de marzo del 2025 en versión pública</w:t>
      </w:r>
      <w:r w:rsidR="008426B7" w:rsidRPr="0007620B">
        <w:rPr>
          <w:rFonts w:eastAsia="Calibri"/>
          <w:lang w:eastAsia="en-US"/>
        </w:rPr>
        <w:t>.</w:t>
      </w:r>
    </w:p>
    <w:p w14:paraId="68EFEDA6" w14:textId="77777777" w:rsidR="008426B7" w:rsidRPr="0007620B" w:rsidRDefault="008426B7" w:rsidP="0007620B">
      <w:pPr>
        <w:rPr>
          <w:rFonts w:eastAsia="Calibri"/>
          <w:lang w:eastAsia="en-US"/>
        </w:rPr>
      </w:pPr>
    </w:p>
    <w:p w14:paraId="2AC70AEB" w14:textId="2A2C73E3" w:rsidR="0039295C" w:rsidRPr="0007620B" w:rsidRDefault="008426B7" w:rsidP="0007620B">
      <w:pPr>
        <w:ind w:right="-28"/>
      </w:pPr>
      <w:r w:rsidRPr="0007620B">
        <w:rPr>
          <w:rFonts w:eastAsia="Calibri"/>
          <w:lang w:eastAsia="en-US"/>
        </w:rPr>
        <w:t xml:space="preserve">Para ello, </w:t>
      </w:r>
      <w:r w:rsidRPr="0007620B">
        <w:rPr>
          <w:rFonts w:eastAsia="Calibri"/>
          <w:b/>
          <w:bCs/>
          <w:lang w:eastAsia="en-US"/>
        </w:rPr>
        <w:t xml:space="preserve">EL SUJETO OBLIGADO </w:t>
      </w:r>
      <w:r w:rsidRPr="0007620B">
        <w:rPr>
          <w:rFonts w:eastAsia="Calibri"/>
          <w:lang w:eastAsia="en-US"/>
        </w:rPr>
        <w:t>le remitió d</w:t>
      </w:r>
      <w:r w:rsidRPr="0007620B">
        <w:rPr>
          <w:iCs/>
        </w:rPr>
        <w:t xml:space="preserve">iversos recibos de nómina del C. Adrián Jesús Soto Díaz, correspondientes a la primera y segunda quincena de diciembre de 2024. </w:t>
      </w:r>
      <w:proofErr w:type="gramStart"/>
      <w:r w:rsidRPr="0007620B">
        <w:rPr>
          <w:iCs/>
        </w:rPr>
        <w:t>del</w:t>
      </w:r>
      <w:proofErr w:type="gramEnd"/>
      <w:r w:rsidRPr="0007620B">
        <w:rPr>
          <w:iCs/>
        </w:rPr>
        <w:t xml:space="preserve"> C. Marcos López Castañeda, recibos de nómina de la segunda quincena de enero, primera </w:t>
      </w:r>
      <w:r w:rsidR="001A2B4E" w:rsidRPr="0007620B">
        <w:rPr>
          <w:iCs/>
        </w:rPr>
        <w:t>y</w:t>
      </w:r>
      <w:r w:rsidRPr="0007620B">
        <w:rPr>
          <w:iCs/>
        </w:rPr>
        <w:t xml:space="preserve"> segunda quincena de </w:t>
      </w:r>
      <w:r w:rsidR="001A2B4E" w:rsidRPr="0007620B">
        <w:rPr>
          <w:iCs/>
        </w:rPr>
        <w:t>febrero, así como</w:t>
      </w:r>
      <w:r w:rsidRPr="0007620B">
        <w:rPr>
          <w:iCs/>
        </w:rPr>
        <w:t xml:space="preserve"> primera quincena de marzo de 2025, en versión pública</w:t>
      </w:r>
      <w:r w:rsidR="0039295C" w:rsidRPr="0007620B">
        <w:rPr>
          <w:iCs/>
        </w:rPr>
        <w:t>, d</w:t>
      </w:r>
      <w:r w:rsidR="0039295C" w:rsidRPr="0007620B">
        <w:t xml:space="preserve">e cuya revisión se logra vislumbrar que clasificó los datos siguientes: </w:t>
      </w:r>
    </w:p>
    <w:p w14:paraId="2A8A7BDB" w14:textId="77777777" w:rsidR="0039295C" w:rsidRPr="0007620B" w:rsidRDefault="0039295C" w:rsidP="0007620B">
      <w:pPr>
        <w:ind w:right="-28"/>
        <w:rPr>
          <w:iCs/>
        </w:rPr>
      </w:pPr>
    </w:p>
    <w:p w14:paraId="35A28368" w14:textId="77777777" w:rsidR="0039295C" w:rsidRPr="0007620B" w:rsidRDefault="0039295C" w:rsidP="0007620B">
      <w:pPr>
        <w:numPr>
          <w:ilvl w:val="0"/>
          <w:numId w:val="20"/>
        </w:numPr>
      </w:pPr>
      <w:r w:rsidRPr="0007620B">
        <w:t>Clave Única de Registro de Población (CURP);</w:t>
      </w:r>
    </w:p>
    <w:p w14:paraId="369804D3" w14:textId="77777777" w:rsidR="0039295C" w:rsidRPr="0007620B" w:rsidRDefault="0039295C" w:rsidP="0007620B">
      <w:pPr>
        <w:numPr>
          <w:ilvl w:val="0"/>
          <w:numId w:val="20"/>
        </w:numPr>
      </w:pPr>
      <w:r w:rsidRPr="0007620B">
        <w:t>Registro Federal de Contribuyentes del servidor público (RFC);</w:t>
      </w:r>
    </w:p>
    <w:p w14:paraId="00FDD68B" w14:textId="521CD1DF" w:rsidR="0039295C" w:rsidRPr="0007620B" w:rsidRDefault="0039295C" w:rsidP="0007620B">
      <w:pPr>
        <w:numPr>
          <w:ilvl w:val="0"/>
          <w:numId w:val="20"/>
        </w:numPr>
      </w:pPr>
      <w:r w:rsidRPr="0007620B">
        <w:t xml:space="preserve">Clave </w:t>
      </w:r>
      <w:proofErr w:type="spellStart"/>
      <w:r w:rsidRPr="0007620B">
        <w:t>Issemym</w:t>
      </w:r>
      <w:proofErr w:type="spellEnd"/>
    </w:p>
    <w:p w14:paraId="0A0F26B2" w14:textId="4F8B41CE" w:rsidR="0039295C" w:rsidRPr="0007620B" w:rsidRDefault="0039295C" w:rsidP="0007620B">
      <w:pPr>
        <w:numPr>
          <w:ilvl w:val="0"/>
          <w:numId w:val="20"/>
        </w:numPr>
      </w:pPr>
      <w:r w:rsidRPr="0007620B">
        <w:t>Código</w:t>
      </w:r>
    </w:p>
    <w:p w14:paraId="25367933" w14:textId="31008ECA" w:rsidR="0039295C" w:rsidRPr="0007620B" w:rsidRDefault="0039295C" w:rsidP="0007620B">
      <w:pPr>
        <w:numPr>
          <w:ilvl w:val="0"/>
          <w:numId w:val="20"/>
        </w:numPr>
      </w:pPr>
      <w:r w:rsidRPr="0007620B">
        <w:t>Número de empleado</w:t>
      </w:r>
    </w:p>
    <w:p w14:paraId="0A681B5E" w14:textId="77777777" w:rsidR="0039295C" w:rsidRPr="0007620B" w:rsidRDefault="0039295C" w:rsidP="0007620B">
      <w:pPr>
        <w:numPr>
          <w:ilvl w:val="0"/>
          <w:numId w:val="20"/>
        </w:numPr>
      </w:pPr>
      <w:r w:rsidRPr="0007620B">
        <w:lastRenderedPageBreak/>
        <w:t>Salario Base</w:t>
      </w:r>
    </w:p>
    <w:p w14:paraId="251C3557" w14:textId="6B64DC9F" w:rsidR="0039295C" w:rsidRPr="0007620B" w:rsidRDefault="0039295C" w:rsidP="0007620B">
      <w:pPr>
        <w:numPr>
          <w:ilvl w:val="0"/>
          <w:numId w:val="20"/>
        </w:numPr>
      </w:pPr>
      <w:r w:rsidRPr="0007620B">
        <w:t xml:space="preserve">Fecha y Hora de Emisión </w:t>
      </w:r>
    </w:p>
    <w:p w14:paraId="46370FD7" w14:textId="1770B28E" w:rsidR="0039295C" w:rsidRPr="0007620B" w:rsidRDefault="0039295C" w:rsidP="0007620B">
      <w:pPr>
        <w:numPr>
          <w:ilvl w:val="0"/>
          <w:numId w:val="20"/>
        </w:numPr>
      </w:pPr>
      <w:r w:rsidRPr="0007620B">
        <w:t>Deducciones.</w:t>
      </w:r>
    </w:p>
    <w:p w14:paraId="6C219660" w14:textId="7179F044" w:rsidR="0039295C" w:rsidRPr="0007620B" w:rsidRDefault="0039295C" w:rsidP="0007620B">
      <w:pPr>
        <w:numPr>
          <w:ilvl w:val="0"/>
          <w:numId w:val="20"/>
        </w:numPr>
      </w:pPr>
      <w:r w:rsidRPr="0007620B">
        <w:t>Cuenta</w:t>
      </w:r>
    </w:p>
    <w:p w14:paraId="0F81BA72" w14:textId="19799252" w:rsidR="0039295C" w:rsidRPr="0007620B" w:rsidRDefault="0039295C" w:rsidP="0007620B">
      <w:pPr>
        <w:numPr>
          <w:ilvl w:val="0"/>
          <w:numId w:val="20"/>
        </w:numPr>
      </w:pPr>
      <w:r w:rsidRPr="0007620B">
        <w:t>Banco</w:t>
      </w:r>
    </w:p>
    <w:p w14:paraId="5907A116" w14:textId="4D5C14DB" w:rsidR="0039295C" w:rsidRPr="0007620B" w:rsidRDefault="0039295C" w:rsidP="0007620B">
      <w:pPr>
        <w:numPr>
          <w:ilvl w:val="0"/>
          <w:numId w:val="20"/>
        </w:numPr>
      </w:pPr>
      <w:r w:rsidRPr="0007620B">
        <w:t>Régimen Fiscal</w:t>
      </w:r>
    </w:p>
    <w:p w14:paraId="445203D1" w14:textId="3EBA04EE" w:rsidR="0039295C" w:rsidRPr="0007620B" w:rsidRDefault="0039295C" w:rsidP="0007620B">
      <w:pPr>
        <w:numPr>
          <w:ilvl w:val="0"/>
          <w:numId w:val="20"/>
        </w:numPr>
      </w:pPr>
      <w:r w:rsidRPr="0007620B">
        <w:t xml:space="preserve">Folio </w:t>
      </w:r>
      <w:r w:rsidR="00714FD5" w:rsidRPr="0007620B">
        <w:t>F</w:t>
      </w:r>
      <w:r w:rsidRPr="0007620B">
        <w:t>iscal</w:t>
      </w:r>
    </w:p>
    <w:p w14:paraId="7D894947" w14:textId="77777777" w:rsidR="00B4121F" w:rsidRPr="0007620B" w:rsidRDefault="00B4121F" w:rsidP="0007620B"/>
    <w:p w14:paraId="3CF28553" w14:textId="77777777" w:rsidR="00714FD5" w:rsidRPr="0007620B" w:rsidRDefault="00714FD5" w:rsidP="0007620B">
      <w:r w:rsidRPr="0007620B">
        <w:t xml:space="preserve">Bajo ese contexto,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3EF1A0C3" w14:textId="77777777" w:rsidR="00714FD5" w:rsidRPr="0007620B" w:rsidRDefault="00714FD5" w:rsidP="0007620B">
      <w:pPr>
        <w:ind w:right="-28"/>
      </w:pPr>
    </w:p>
    <w:p w14:paraId="56B129FC" w14:textId="4FFBC4DA" w:rsidR="00714FD5" w:rsidRPr="0007620B" w:rsidRDefault="00714FD5" w:rsidP="0007620B">
      <w:r w:rsidRPr="0007620B">
        <w:t xml:space="preserve">Acorde con lo anterior, la entonces Ley General de Transparencia y Acceso a la Información Pública, vigente a la fecha de la presentación de la solicitud,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w:t>
      </w:r>
      <w:r w:rsidRPr="0007620B">
        <w:lastRenderedPageBreak/>
        <w:t>a la intimidad de la vida privada y la imagen de las personas, será protegida a través de un marco jurídico rígido, de tratamiento y manejo de datos personales.</w:t>
      </w:r>
    </w:p>
    <w:p w14:paraId="65A49DE2" w14:textId="77777777" w:rsidR="00714FD5" w:rsidRPr="0007620B" w:rsidRDefault="00714FD5" w:rsidP="0007620B"/>
    <w:p w14:paraId="7749D22C" w14:textId="77777777" w:rsidR="00714FD5" w:rsidRPr="0007620B" w:rsidRDefault="00714FD5" w:rsidP="0007620B">
      <w:r w:rsidRPr="0007620B">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610D17A" w14:textId="77777777" w:rsidR="00714FD5" w:rsidRPr="0007620B" w:rsidRDefault="00714FD5" w:rsidP="0007620B"/>
    <w:p w14:paraId="2E4119F3" w14:textId="77777777" w:rsidR="00714FD5" w:rsidRPr="0007620B" w:rsidRDefault="00714FD5" w:rsidP="0007620B">
      <w:r w:rsidRPr="0007620B">
        <w:t>En concordancia con lo previo, el artículo 143, fracción I, de la Ley previamente citada, establece que la información privada y los datos personales, concernientes a una persona física o jurídica colectiva identificada o identificable son confidenciales.</w:t>
      </w:r>
    </w:p>
    <w:p w14:paraId="128D56F2" w14:textId="77777777" w:rsidR="00714FD5" w:rsidRPr="0007620B" w:rsidRDefault="00714FD5" w:rsidP="0007620B"/>
    <w:p w14:paraId="534D4952" w14:textId="77777777" w:rsidR="00714FD5" w:rsidRPr="0007620B" w:rsidRDefault="00714FD5" w:rsidP="0007620B">
      <w:r w:rsidRPr="0007620B">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702AC99" w14:textId="77777777" w:rsidR="00714FD5" w:rsidRPr="0007620B" w:rsidRDefault="00714FD5" w:rsidP="0007620B"/>
    <w:p w14:paraId="1CA4534F" w14:textId="77777777" w:rsidR="00714FD5" w:rsidRPr="0007620B" w:rsidRDefault="00714FD5" w:rsidP="0007620B">
      <w:r w:rsidRPr="0007620B">
        <w:t>En términos de lo expuesto, la documentación y aquellos datos que se consideren confidenciales, serán una limitante del derecho de acceso a la información, siempre y cuando:</w:t>
      </w:r>
    </w:p>
    <w:p w14:paraId="671CBC7D" w14:textId="77777777" w:rsidR="00714FD5" w:rsidRPr="0007620B" w:rsidRDefault="00714FD5" w:rsidP="0007620B"/>
    <w:p w14:paraId="5477E97E" w14:textId="77777777" w:rsidR="00714FD5" w:rsidRPr="0007620B" w:rsidRDefault="00714FD5" w:rsidP="0007620B">
      <w:pPr>
        <w:numPr>
          <w:ilvl w:val="0"/>
          <w:numId w:val="21"/>
        </w:numPr>
      </w:pPr>
      <w:r w:rsidRPr="0007620B">
        <w:t xml:space="preserve">Se trate de datos personales o información privada; esto es, información concerniente a una persona física o jurídico colectiva y que esta sea identificada o identificable. </w:t>
      </w:r>
    </w:p>
    <w:p w14:paraId="174557B3" w14:textId="77777777" w:rsidR="00714FD5" w:rsidRPr="0007620B" w:rsidRDefault="00714FD5" w:rsidP="0007620B">
      <w:pPr>
        <w:numPr>
          <w:ilvl w:val="0"/>
          <w:numId w:val="21"/>
        </w:numPr>
      </w:pPr>
      <w:r w:rsidRPr="0007620B">
        <w:lastRenderedPageBreak/>
        <w:t xml:space="preserve">Para la difusión de los datos, se requiera el consentimiento del titular. </w:t>
      </w:r>
    </w:p>
    <w:p w14:paraId="5A422818" w14:textId="77777777" w:rsidR="00714FD5" w:rsidRPr="0007620B" w:rsidRDefault="00714FD5" w:rsidP="0007620B"/>
    <w:p w14:paraId="37091828" w14:textId="77777777" w:rsidR="00714FD5" w:rsidRPr="0007620B" w:rsidRDefault="00714FD5" w:rsidP="0007620B">
      <w:r w:rsidRPr="0007620B">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9C62DAC" w14:textId="77777777" w:rsidR="00DE059E" w:rsidRPr="0007620B" w:rsidRDefault="00DE059E" w:rsidP="0007620B"/>
    <w:p w14:paraId="22AEACC4" w14:textId="77777777" w:rsidR="00714FD5" w:rsidRPr="0007620B" w:rsidRDefault="00714FD5" w:rsidP="0007620B">
      <w:pPr>
        <w:numPr>
          <w:ilvl w:val="0"/>
          <w:numId w:val="19"/>
        </w:numPr>
        <w:rPr>
          <w:b/>
        </w:rPr>
      </w:pPr>
      <w:r w:rsidRPr="0007620B">
        <w:rPr>
          <w:b/>
        </w:rPr>
        <w:t>Clave Única de Registro de Población (CURP)</w:t>
      </w:r>
    </w:p>
    <w:p w14:paraId="22269281" w14:textId="77777777" w:rsidR="00714FD5" w:rsidRPr="0007620B" w:rsidRDefault="00714FD5" w:rsidP="0007620B">
      <w:r w:rsidRPr="0007620B">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CF144A" w14:textId="77777777" w:rsidR="00714FD5" w:rsidRPr="0007620B" w:rsidRDefault="00714FD5" w:rsidP="0007620B"/>
    <w:p w14:paraId="6F4A21EA" w14:textId="77777777" w:rsidR="00714FD5" w:rsidRPr="0007620B" w:rsidRDefault="00714FD5" w:rsidP="0007620B">
      <w:r w:rsidRPr="0007620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A03EF58" w14:textId="77777777" w:rsidR="00714FD5" w:rsidRPr="0007620B" w:rsidRDefault="00714FD5" w:rsidP="0007620B"/>
    <w:p w14:paraId="5401B4A5" w14:textId="77777777" w:rsidR="00714FD5" w:rsidRPr="0007620B" w:rsidRDefault="00714FD5" w:rsidP="0007620B">
      <w:r w:rsidRPr="0007620B">
        <w:t xml:space="preserve">En ese orden de ideas, la Secretaría de Gobernación en las direcciones </w:t>
      </w:r>
      <w:hyperlink r:id="rId15">
        <w:r w:rsidRPr="0007620B">
          <w:rPr>
            <w:u w:val="single"/>
          </w:rPr>
          <w:t>https://consultas.curp.gob.mx/CurpSP/html/informacionecurpPS.html</w:t>
        </w:r>
      </w:hyperlink>
      <w:r w:rsidRPr="0007620B">
        <w:t xml:space="preserve"> y </w:t>
      </w:r>
      <w:hyperlink r:id="rId16">
        <w:r w:rsidRPr="0007620B">
          <w:rPr>
            <w:u w:val="single"/>
          </w:rPr>
          <w:t>https://www.gob.mx/segob/renapo/acciones-y-programas/clave-unica-de-registro-de-poblacion-curp-142226</w:t>
        </w:r>
      </w:hyperlink>
      <w:r w:rsidRPr="0007620B">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7620B">
        <w:rPr>
          <w:b/>
        </w:rPr>
        <w:t>se generan a partir de los datos contenidos en el documento probatorio de la identidad</w:t>
      </w:r>
      <w:r w:rsidRPr="0007620B">
        <w:t xml:space="preserve"> </w:t>
      </w:r>
      <w:r w:rsidRPr="0007620B">
        <w:rPr>
          <w:b/>
        </w:rPr>
        <w:t xml:space="preserve">del interesado </w:t>
      </w:r>
      <w:r w:rsidRPr="0007620B">
        <w:t>(acta de nacimiento, carta de naturalización o documento migratorio) de la siguiente forma:</w:t>
      </w:r>
    </w:p>
    <w:p w14:paraId="607C0830" w14:textId="77777777" w:rsidR="00714FD5" w:rsidRPr="0007620B" w:rsidRDefault="00714FD5" w:rsidP="0007620B"/>
    <w:p w14:paraId="11530902" w14:textId="77777777" w:rsidR="00714FD5" w:rsidRPr="0007620B" w:rsidRDefault="00714FD5" w:rsidP="0007620B">
      <w:pPr>
        <w:numPr>
          <w:ilvl w:val="0"/>
          <w:numId w:val="22"/>
        </w:numPr>
      </w:pPr>
      <w:r w:rsidRPr="0007620B">
        <w:t>El primero y segundo apellidos, así como al nombre de pila;</w:t>
      </w:r>
    </w:p>
    <w:p w14:paraId="398D56F6" w14:textId="77777777" w:rsidR="00714FD5" w:rsidRPr="0007620B" w:rsidRDefault="00714FD5" w:rsidP="0007620B">
      <w:pPr>
        <w:numPr>
          <w:ilvl w:val="0"/>
          <w:numId w:val="22"/>
        </w:numPr>
      </w:pPr>
      <w:r w:rsidRPr="0007620B">
        <w:t>La fecha de nacimiento;</w:t>
      </w:r>
    </w:p>
    <w:p w14:paraId="7E4DEEE9" w14:textId="77777777" w:rsidR="00714FD5" w:rsidRPr="0007620B" w:rsidRDefault="00714FD5" w:rsidP="0007620B">
      <w:pPr>
        <w:numPr>
          <w:ilvl w:val="0"/>
          <w:numId w:val="22"/>
        </w:numPr>
      </w:pPr>
      <w:r w:rsidRPr="0007620B">
        <w:t>El sexo, y</w:t>
      </w:r>
    </w:p>
    <w:p w14:paraId="0ED34ECB" w14:textId="77777777" w:rsidR="00714FD5" w:rsidRPr="0007620B" w:rsidRDefault="00714FD5" w:rsidP="0007620B">
      <w:pPr>
        <w:numPr>
          <w:ilvl w:val="0"/>
          <w:numId w:val="22"/>
        </w:numPr>
      </w:pPr>
      <w:r w:rsidRPr="0007620B">
        <w:t>La entidad federativa de nacimiento.</w:t>
      </w:r>
    </w:p>
    <w:p w14:paraId="5B8275D2" w14:textId="77777777" w:rsidR="00714FD5" w:rsidRPr="0007620B" w:rsidRDefault="00714FD5" w:rsidP="0007620B"/>
    <w:p w14:paraId="36EEDC58" w14:textId="77777777" w:rsidR="00714FD5" w:rsidRPr="0007620B" w:rsidRDefault="00714FD5" w:rsidP="0007620B">
      <w:r w:rsidRPr="0007620B">
        <w:t>Los dos últimos elementos de la Clave Única de Registro de Población evitan la duplicidad de la Clave y garantizan su correcta integración.</w:t>
      </w:r>
    </w:p>
    <w:p w14:paraId="0487FAC2" w14:textId="77777777" w:rsidR="00714FD5" w:rsidRPr="0007620B" w:rsidRDefault="00714FD5" w:rsidP="0007620B"/>
    <w:p w14:paraId="6FAB8F55" w14:textId="77777777" w:rsidR="00714FD5" w:rsidRPr="0007620B" w:rsidRDefault="00714FD5" w:rsidP="0007620B">
      <w:r w:rsidRPr="0007620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3A6AC30" w14:textId="77777777" w:rsidR="00714FD5" w:rsidRPr="0007620B" w:rsidRDefault="00714FD5" w:rsidP="0007620B"/>
    <w:p w14:paraId="4C286E1A" w14:textId="77777777" w:rsidR="00714FD5" w:rsidRPr="0007620B" w:rsidRDefault="00714FD5" w:rsidP="0007620B">
      <w:r w:rsidRPr="0007620B">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4614ABEB" w14:textId="77777777" w:rsidR="00714FD5" w:rsidRPr="0007620B" w:rsidRDefault="00714FD5" w:rsidP="0007620B">
      <w:pPr>
        <w:ind w:left="567" w:right="567"/>
        <w:rPr>
          <w:sz w:val="20"/>
        </w:rPr>
      </w:pPr>
    </w:p>
    <w:p w14:paraId="2214335C" w14:textId="77777777" w:rsidR="00714FD5" w:rsidRPr="0007620B" w:rsidRDefault="00714FD5" w:rsidP="0007620B">
      <w:pPr>
        <w:pStyle w:val="Puesto"/>
        <w:ind w:firstLine="0"/>
        <w:rPr>
          <w:color w:val="auto"/>
        </w:rPr>
      </w:pPr>
      <w:r w:rsidRPr="0007620B">
        <w:rPr>
          <w:b/>
          <w:color w:val="auto"/>
        </w:rPr>
        <w:t xml:space="preserve">“Clave Única de Registro de Población (CURP). </w:t>
      </w:r>
      <w:r w:rsidRPr="0007620B">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C0313DB" w14:textId="77777777" w:rsidR="00714FD5" w:rsidRPr="0007620B" w:rsidRDefault="00714FD5" w:rsidP="0007620B"/>
    <w:p w14:paraId="1D1DA4AF" w14:textId="77777777" w:rsidR="00714FD5" w:rsidRPr="0007620B" w:rsidRDefault="00714FD5" w:rsidP="0007620B">
      <w:pPr>
        <w:rPr>
          <w:b/>
        </w:rPr>
      </w:pPr>
      <w:r w:rsidRPr="0007620B">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15438540" w14:textId="77777777" w:rsidR="00714FD5" w:rsidRPr="0007620B" w:rsidRDefault="00714FD5" w:rsidP="0007620B">
      <w:pPr>
        <w:tabs>
          <w:tab w:val="center" w:pos="4522"/>
        </w:tabs>
      </w:pPr>
    </w:p>
    <w:p w14:paraId="5A5B9A27" w14:textId="77777777" w:rsidR="00714FD5" w:rsidRPr="0007620B" w:rsidRDefault="00714FD5" w:rsidP="0007620B">
      <w:pPr>
        <w:numPr>
          <w:ilvl w:val="0"/>
          <w:numId w:val="19"/>
        </w:numPr>
        <w:rPr>
          <w:b/>
        </w:rPr>
      </w:pPr>
      <w:r w:rsidRPr="0007620B">
        <w:rPr>
          <w:b/>
        </w:rPr>
        <w:t>Registro Federal de Contribuyentes (RFC)</w:t>
      </w:r>
    </w:p>
    <w:p w14:paraId="0735A2F6" w14:textId="77777777" w:rsidR="00714FD5" w:rsidRPr="0007620B" w:rsidRDefault="00714FD5" w:rsidP="0007620B">
      <w:r w:rsidRPr="0007620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FB97436" w14:textId="77777777" w:rsidR="00714FD5" w:rsidRPr="0007620B" w:rsidRDefault="00714FD5" w:rsidP="0007620B"/>
    <w:p w14:paraId="78AC01F9" w14:textId="77777777" w:rsidR="00714FD5" w:rsidRPr="0007620B" w:rsidRDefault="00714FD5" w:rsidP="0007620B">
      <w:r w:rsidRPr="0007620B">
        <w:t xml:space="preserve">De acuerdo a lo establecido en el artículo en comento, esta clave se compone de trece caracteres alfanuméricos, con datos obtenidos de los apellidos, nombre(s), fecha de nacimiento del titular, más una </w:t>
      </w:r>
      <w:proofErr w:type="spellStart"/>
      <w:r w:rsidRPr="0007620B">
        <w:t>homoclave</w:t>
      </w:r>
      <w:proofErr w:type="spellEnd"/>
      <w:r w:rsidRPr="0007620B">
        <w:t xml:space="preserve"> que establece el sistema automático del Servicio de Administración Tributaria.</w:t>
      </w:r>
    </w:p>
    <w:p w14:paraId="79D49CCC" w14:textId="77777777" w:rsidR="00714FD5" w:rsidRPr="0007620B" w:rsidRDefault="00714FD5" w:rsidP="0007620B"/>
    <w:p w14:paraId="6C903B50" w14:textId="77777777" w:rsidR="00714FD5" w:rsidRPr="0007620B" w:rsidRDefault="00714FD5" w:rsidP="0007620B">
      <w:r w:rsidRPr="0007620B">
        <w:t xml:space="preserve">Ahora bien, la clave del Registro Federal de Contribuyentes, es el medio de control que tiene la Secretaría de Hacienda y Crédito Público, a través del Servicio de Administración </w:t>
      </w:r>
      <w:r w:rsidRPr="0007620B">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44059FB" w14:textId="77777777" w:rsidR="00714FD5" w:rsidRPr="0007620B" w:rsidRDefault="00714FD5" w:rsidP="0007620B"/>
    <w:p w14:paraId="63C8DE01" w14:textId="77777777" w:rsidR="00714FD5" w:rsidRPr="0007620B" w:rsidRDefault="00714FD5" w:rsidP="0007620B">
      <w:r w:rsidRPr="0007620B">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BF9B4E4" w14:textId="77777777" w:rsidR="00714FD5" w:rsidRPr="0007620B" w:rsidRDefault="00714FD5" w:rsidP="0007620B"/>
    <w:p w14:paraId="259D5137" w14:textId="77777777" w:rsidR="00714FD5" w:rsidRPr="0007620B" w:rsidRDefault="00714FD5" w:rsidP="0007620B">
      <w:r w:rsidRPr="0007620B">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1F418246" w14:textId="77777777" w:rsidR="00714FD5" w:rsidRPr="0007620B" w:rsidRDefault="00714FD5" w:rsidP="0007620B"/>
    <w:p w14:paraId="2F2F825C" w14:textId="77777777" w:rsidR="00714FD5" w:rsidRPr="0007620B" w:rsidRDefault="00714FD5" w:rsidP="0007620B">
      <w:pPr>
        <w:pStyle w:val="Puesto"/>
        <w:ind w:firstLine="0"/>
        <w:rPr>
          <w:color w:val="auto"/>
        </w:rPr>
      </w:pPr>
      <w:r w:rsidRPr="0007620B">
        <w:rPr>
          <w:b/>
          <w:color w:val="auto"/>
        </w:rPr>
        <w:t>“Registro Federal de Contribuyentes (RFC) de personas físicas.</w:t>
      </w:r>
      <w:r w:rsidRPr="0007620B">
        <w:rPr>
          <w:color w:val="auto"/>
        </w:rPr>
        <w:t xml:space="preserve"> El RFC es una clave de carácter fiscal, única e irrepetible, que permite identificar al titular, su edad y fecha de nacimiento, por lo que es un dato personal de carácter confidencial.”</w:t>
      </w:r>
    </w:p>
    <w:p w14:paraId="4CA8CF79" w14:textId="77777777" w:rsidR="00714FD5" w:rsidRPr="0007620B" w:rsidRDefault="00714FD5" w:rsidP="0007620B"/>
    <w:p w14:paraId="032C3CD0" w14:textId="77777777" w:rsidR="00714FD5" w:rsidRPr="0007620B" w:rsidRDefault="00714FD5" w:rsidP="0007620B">
      <w:r w:rsidRPr="0007620B">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5325A199" w14:textId="77777777" w:rsidR="00714FD5" w:rsidRPr="0007620B" w:rsidRDefault="00714FD5" w:rsidP="0007620B">
      <w:pPr>
        <w:tabs>
          <w:tab w:val="center" w:pos="4522"/>
        </w:tabs>
      </w:pPr>
    </w:p>
    <w:p w14:paraId="65B5409A" w14:textId="77777777" w:rsidR="00714FD5" w:rsidRPr="0007620B" w:rsidRDefault="00714FD5" w:rsidP="0007620B">
      <w:pPr>
        <w:numPr>
          <w:ilvl w:val="0"/>
          <w:numId w:val="19"/>
        </w:numPr>
        <w:rPr>
          <w:b/>
        </w:rPr>
      </w:pPr>
      <w:r w:rsidRPr="0007620B">
        <w:rPr>
          <w:b/>
        </w:rPr>
        <w:t xml:space="preserve">Número de seguridad social </w:t>
      </w:r>
    </w:p>
    <w:p w14:paraId="757C3280" w14:textId="77777777" w:rsidR="00714FD5" w:rsidRPr="0007620B" w:rsidRDefault="00714FD5" w:rsidP="0007620B">
      <w:r w:rsidRPr="0007620B">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8AA618B" w14:textId="77777777" w:rsidR="00714FD5" w:rsidRPr="0007620B" w:rsidRDefault="00714FD5" w:rsidP="0007620B"/>
    <w:p w14:paraId="7B6CF3E0" w14:textId="77777777" w:rsidR="00714FD5" w:rsidRPr="0007620B" w:rsidRDefault="00714FD5" w:rsidP="0007620B">
      <w:r w:rsidRPr="0007620B">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DD4C52C" w14:textId="77777777" w:rsidR="00714FD5" w:rsidRPr="0007620B" w:rsidRDefault="00714FD5" w:rsidP="0007620B"/>
    <w:p w14:paraId="069CF8F0" w14:textId="77777777" w:rsidR="00714FD5" w:rsidRPr="0007620B" w:rsidRDefault="00714FD5" w:rsidP="0007620B">
      <w:r w:rsidRPr="0007620B">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F06BB65" w14:textId="77777777" w:rsidR="00714FD5" w:rsidRPr="0007620B" w:rsidRDefault="00714FD5" w:rsidP="0007620B"/>
    <w:p w14:paraId="504FF1F9" w14:textId="77777777" w:rsidR="00714FD5" w:rsidRPr="0007620B" w:rsidRDefault="00714FD5" w:rsidP="0007620B">
      <w:r w:rsidRPr="0007620B">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w:t>
      </w:r>
      <w:r w:rsidRPr="0007620B">
        <w:lastRenderedPageBreak/>
        <w:t xml:space="preserve">por tal motivo, es un dato personal confidencial, que actualiza el supuesto de confidencialidad, establecido en el artículo 143, fracción I, de la Ley de Transparencia y Acceso a la Información Pública del Estado de México y Municipios. </w:t>
      </w:r>
    </w:p>
    <w:p w14:paraId="24D42322" w14:textId="77777777" w:rsidR="00DE059E" w:rsidRPr="0007620B" w:rsidRDefault="00DE059E" w:rsidP="0007620B"/>
    <w:p w14:paraId="795492A2" w14:textId="77777777" w:rsidR="00DE059E" w:rsidRPr="0007620B" w:rsidRDefault="00DE059E" w:rsidP="0007620B">
      <w:pPr>
        <w:numPr>
          <w:ilvl w:val="0"/>
          <w:numId w:val="19"/>
        </w:numPr>
        <w:rPr>
          <w:b/>
        </w:rPr>
      </w:pPr>
      <w:r w:rsidRPr="0007620B">
        <w:rPr>
          <w:b/>
        </w:rPr>
        <w:t>Número de trabajador</w:t>
      </w:r>
    </w:p>
    <w:p w14:paraId="3C8A5566" w14:textId="77777777" w:rsidR="00DE059E" w:rsidRPr="0007620B" w:rsidRDefault="00DE059E" w:rsidP="0007620B">
      <w:pPr>
        <w:spacing w:before="240" w:after="240"/>
      </w:pPr>
      <w:r w:rsidRPr="0007620B">
        <w:t xml:space="preserve">Con relación al </w:t>
      </w:r>
      <w:r w:rsidRPr="0007620B">
        <w:rPr>
          <w:b/>
        </w:rPr>
        <w:t>número de empleado</w:t>
      </w:r>
      <w:r w:rsidRPr="0007620B">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7620B">
        <w:rPr>
          <w:vertAlign w:val="superscript"/>
        </w:rPr>
        <w:footnoteReference w:id="3"/>
      </w:r>
      <w:r w:rsidRPr="0007620B">
        <w:t>.</w:t>
      </w:r>
    </w:p>
    <w:p w14:paraId="21FB1055" w14:textId="77777777" w:rsidR="00DE059E" w:rsidRPr="0007620B" w:rsidRDefault="00DE059E" w:rsidP="0007620B">
      <w:pPr>
        <w:spacing w:before="240" w:after="240"/>
      </w:pPr>
      <w:r w:rsidRPr="0007620B">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37AE6465" w14:textId="77777777" w:rsidR="00DE059E" w:rsidRPr="0007620B" w:rsidRDefault="00DE059E" w:rsidP="0007620B">
      <w:pPr>
        <w:pStyle w:val="Puesto"/>
        <w:ind w:firstLine="0"/>
        <w:rPr>
          <w:color w:val="auto"/>
        </w:rPr>
      </w:pPr>
      <w:r w:rsidRPr="0007620B">
        <w:rPr>
          <w:b/>
          <w:color w:val="auto"/>
        </w:rPr>
        <w:t xml:space="preserve">“Número de empleado. </w:t>
      </w:r>
      <w:r w:rsidRPr="0007620B">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84E5687" w14:textId="77777777" w:rsidR="00DE059E" w:rsidRPr="0007620B" w:rsidRDefault="00DE059E" w:rsidP="0007620B">
      <w:pPr>
        <w:spacing w:before="240" w:after="240"/>
      </w:pPr>
      <w:r w:rsidRPr="0007620B">
        <w:t xml:space="preserve">En atención al criterio de interpretación, se advierten dos supuestos para catalogar la información concerniente al número de empleado o equivalente, el primero es considerar la </w:t>
      </w:r>
      <w:r w:rsidRPr="0007620B">
        <w:lastRenderedPageBreak/>
        <w:t xml:space="preserve">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07620B">
        <w:rPr>
          <w:b/>
          <w:bCs/>
        </w:rPr>
        <w:t>EL SUJETO OBLIGADO</w:t>
      </w:r>
      <w:r w:rsidRPr="0007620B">
        <w:t xml:space="preserve"> clasificó dicho dato, pero en la especie no se cuenta con la certeza de los elementos que integran dicho número de empleado; toda vez que no se motivó en el acuerdo de clasificación remitido, por ende </w:t>
      </w:r>
      <w:r w:rsidRPr="0007620B">
        <w:rPr>
          <w:b/>
          <w:bCs/>
        </w:rPr>
        <w:t xml:space="preserve">EL SUJETO OBLIGADO </w:t>
      </w:r>
      <w:r w:rsidRPr="0007620B">
        <w:t>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3977540" w14:textId="77777777" w:rsidR="00714FD5" w:rsidRPr="0007620B" w:rsidRDefault="00714FD5" w:rsidP="0007620B">
      <w:pPr>
        <w:numPr>
          <w:ilvl w:val="0"/>
          <w:numId w:val="19"/>
        </w:numPr>
        <w:rPr>
          <w:b/>
        </w:rPr>
      </w:pPr>
      <w:r w:rsidRPr="0007620B">
        <w:rPr>
          <w:b/>
        </w:rPr>
        <w:t xml:space="preserve">Percepciones </w:t>
      </w:r>
    </w:p>
    <w:p w14:paraId="747A06B1" w14:textId="77777777" w:rsidR="00714FD5" w:rsidRPr="0007620B" w:rsidRDefault="00714FD5" w:rsidP="0007620B">
      <w:pPr>
        <w:tabs>
          <w:tab w:val="left" w:pos="3962"/>
        </w:tabs>
      </w:pPr>
    </w:p>
    <w:p w14:paraId="085FAA77" w14:textId="66901E7A" w:rsidR="00714FD5" w:rsidRPr="0007620B" w:rsidRDefault="00DE059E" w:rsidP="0007620B">
      <w:r w:rsidRPr="0007620B">
        <w:t>E</w:t>
      </w:r>
      <w:r w:rsidR="00714FD5" w:rsidRPr="0007620B">
        <w:t>s de señalar que todo lo atinente a las percepciones que reciben los servidores públicos por el desempeño de su cargo, es información de interés general y de naturaleza pública,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91B5BF0" w14:textId="77777777" w:rsidR="00714FD5" w:rsidRPr="0007620B" w:rsidRDefault="00714FD5" w:rsidP="0007620B">
      <w:pPr>
        <w:rPr>
          <w:sz w:val="24"/>
          <w:szCs w:val="24"/>
        </w:rPr>
      </w:pPr>
    </w:p>
    <w:p w14:paraId="09A2F5AF" w14:textId="77777777" w:rsidR="00714FD5" w:rsidRPr="0007620B" w:rsidRDefault="00714FD5" w:rsidP="0007620B">
      <w:pPr>
        <w:pStyle w:val="Puesto"/>
        <w:ind w:firstLine="0"/>
        <w:rPr>
          <w:b/>
          <w:color w:val="auto"/>
        </w:rPr>
      </w:pPr>
      <w:r w:rsidRPr="0007620B">
        <w:rPr>
          <w:color w:val="auto"/>
        </w:rPr>
        <w:t>“</w:t>
      </w:r>
      <w:r w:rsidRPr="0007620B">
        <w:rPr>
          <w:b/>
          <w:color w:val="auto"/>
        </w:rPr>
        <w:t>Artículo 7. El Estado de México garantizará el efectivo acceso de toda persona a la información en posesión de cualquier entidad</w:t>
      </w:r>
      <w:r w:rsidRPr="0007620B">
        <w:rPr>
          <w:color w:val="auto"/>
        </w:rPr>
        <w:t xml:space="preserve">, autoridad, órgano y organismo de los poderes Ejecutivo, Legislativo y Judicial, órganos autónomos, partidos políticos, fideicomisos y fondos públicos, así como de cualquier persona física, jurídico colectiva o sindicato que </w:t>
      </w:r>
      <w:r w:rsidRPr="0007620B">
        <w:rPr>
          <w:b/>
          <w:color w:val="auto"/>
        </w:rPr>
        <w:t>reciba y ejerza recursos públicos</w:t>
      </w:r>
      <w:r w:rsidRPr="0007620B">
        <w:rPr>
          <w:color w:val="auto"/>
        </w:rPr>
        <w:t xml:space="preserve"> o realice actos de autoridad </w:t>
      </w:r>
      <w:r w:rsidRPr="0007620B">
        <w:rPr>
          <w:b/>
          <w:color w:val="auto"/>
        </w:rPr>
        <w:t>en el ámbito de competencia del Estado de México y sus municipios.</w:t>
      </w:r>
    </w:p>
    <w:p w14:paraId="4BB7F8D7" w14:textId="77777777" w:rsidR="00714FD5" w:rsidRPr="0007620B" w:rsidRDefault="00714FD5" w:rsidP="0007620B">
      <w:pPr>
        <w:spacing w:line="276" w:lineRule="auto"/>
        <w:ind w:left="851" w:right="851"/>
        <w:rPr>
          <w:i/>
        </w:rPr>
      </w:pPr>
    </w:p>
    <w:p w14:paraId="6BD227C5" w14:textId="77777777" w:rsidR="00714FD5" w:rsidRPr="0007620B" w:rsidRDefault="00714FD5" w:rsidP="0007620B">
      <w:pPr>
        <w:pStyle w:val="Puesto"/>
        <w:ind w:firstLine="0"/>
        <w:rPr>
          <w:color w:val="auto"/>
        </w:rPr>
      </w:pPr>
      <w:r w:rsidRPr="0007620B">
        <w:rPr>
          <w:color w:val="auto"/>
        </w:rPr>
        <w:t>Artículo 23. Son sujetos obligados a transparentar y permitir el acceso a su información y proteger los datos personales que obren en su poder:</w:t>
      </w:r>
    </w:p>
    <w:p w14:paraId="784C9E55" w14:textId="77777777" w:rsidR="00714FD5" w:rsidRPr="0007620B" w:rsidRDefault="00714FD5" w:rsidP="0007620B">
      <w:pPr>
        <w:pStyle w:val="Puesto"/>
        <w:ind w:firstLine="0"/>
        <w:rPr>
          <w:color w:val="auto"/>
        </w:rPr>
      </w:pPr>
      <w:r w:rsidRPr="0007620B">
        <w:rPr>
          <w:color w:val="auto"/>
        </w:rPr>
        <w:t>I. El Poder Ejecutivo del Estado de México, las dependencias, organismos auxiliares, órganos,</w:t>
      </w:r>
    </w:p>
    <w:p w14:paraId="2E632721" w14:textId="77777777" w:rsidR="00714FD5" w:rsidRPr="0007620B" w:rsidRDefault="00714FD5" w:rsidP="0007620B">
      <w:pPr>
        <w:pStyle w:val="Puesto"/>
        <w:ind w:firstLine="0"/>
        <w:rPr>
          <w:color w:val="auto"/>
        </w:rPr>
      </w:pPr>
      <w:proofErr w:type="gramStart"/>
      <w:r w:rsidRPr="0007620B">
        <w:rPr>
          <w:color w:val="auto"/>
        </w:rPr>
        <w:t>entidades</w:t>
      </w:r>
      <w:proofErr w:type="gramEnd"/>
      <w:r w:rsidRPr="0007620B">
        <w:rPr>
          <w:color w:val="auto"/>
        </w:rPr>
        <w:t>, fideicomisos y fondos públicos, así como la Fiscalía General de Justicia del Estado de</w:t>
      </w:r>
    </w:p>
    <w:p w14:paraId="2CE0E765" w14:textId="77777777" w:rsidR="00714FD5" w:rsidRPr="0007620B" w:rsidRDefault="00714FD5" w:rsidP="0007620B">
      <w:pPr>
        <w:pStyle w:val="Puesto"/>
        <w:ind w:firstLine="0"/>
        <w:rPr>
          <w:color w:val="auto"/>
        </w:rPr>
      </w:pPr>
      <w:r w:rsidRPr="0007620B">
        <w:rPr>
          <w:color w:val="auto"/>
        </w:rPr>
        <w:t>México; (…)</w:t>
      </w:r>
    </w:p>
    <w:p w14:paraId="4B19CF54" w14:textId="77777777" w:rsidR="00714FD5" w:rsidRPr="0007620B" w:rsidRDefault="00714FD5" w:rsidP="0007620B">
      <w:pPr>
        <w:pStyle w:val="Puesto"/>
        <w:ind w:firstLine="0"/>
        <w:rPr>
          <w:b/>
          <w:color w:val="auto"/>
          <w:u w:val="single"/>
        </w:rPr>
      </w:pPr>
      <w:r w:rsidRPr="0007620B">
        <w:rPr>
          <w:b/>
          <w:color w:val="auto"/>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33A7DA" w14:textId="77777777" w:rsidR="00714FD5" w:rsidRPr="0007620B" w:rsidRDefault="00714FD5" w:rsidP="0007620B">
      <w:pPr>
        <w:pStyle w:val="Puesto"/>
        <w:ind w:firstLine="0"/>
        <w:rPr>
          <w:b/>
          <w:color w:val="auto"/>
        </w:rPr>
      </w:pPr>
      <w:r w:rsidRPr="0007620B">
        <w:rPr>
          <w:color w:val="auto"/>
        </w:rPr>
        <w:t>Los servidores públicos deberán transparentar sus acciones así como garantizar y respetar el derecho de acceso a la información pública.”</w:t>
      </w:r>
      <w:r w:rsidRPr="0007620B">
        <w:rPr>
          <w:b/>
          <w:color w:val="auto"/>
        </w:rPr>
        <w:t xml:space="preserve"> [Sic]</w:t>
      </w:r>
    </w:p>
    <w:p w14:paraId="30BB23F9" w14:textId="77777777" w:rsidR="00714FD5" w:rsidRPr="0007620B" w:rsidRDefault="00714FD5" w:rsidP="0007620B">
      <w:pPr>
        <w:spacing w:after="160"/>
      </w:pPr>
    </w:p>
    <w:p w14:paraId="165FCFC4" w14:textId="77777777" w:rsidR="00714FD5" w:rsidRPr="0007620B" w:rsidRDefault="00714FD5" w:rsidP="0007620B">
      <w:r w:rsidRPr="0007620B">
        <w:t xml:space="preserve">Sirve de sustento por analogía, para justificar la publicidad sobre los datos relativos a los montos por concepto de pago de las remuneraciones, los criterios </w:t>
      </w:r>
      <w:r w:rsidRPr="0007620B">
        <w:rPr>
          <w:b/>
        </w:rPr>
        <w:t>01/2003</w:t>
      </w:r>
      <w:r w:rsidRPr="0007620B">
        <w:t xml:space="preserve"> y </w:t>
      </w:r>
      <w:r w:rsidRPr="0007620B">
        <w:rPr>
          <w:b/>
        </w:rPr>
        <w:t>02/2003</w:t>
      </w:r>
      <w:r w:rsidRPr="0007620B">
        <w:t xml:space="preserve"> emitidos por el Comité de Acceso a la Información Pública y Protección de Datos Personales de la Suprema Corte de Justicia de la Nación que a continuación se citan: </w:t>
      </w:r>
    </w:p>
    <w:p w14:paraId="74B2508A" w14:textId="77777777" w:rsidR="00714FD5" w:rsidRPr="0007620B" w:rsidRDefault="00714FD5" w:rsidP="0007620B">
      <w:pPr>
        <w:rPr>
          <w:sz w:val="24"/>
          <w:szCs w:val="24"/>
        </w:rPr>
      </w:pPr>
    </w:p>
    <w:p w14:paraId="77C8C321" w14:textId="77777777" w:rsidR="00714FD5" w:rsidRPr="0007620B" w:rsidRDefault="00714FD5" w:rsidP="0007620B">
      <w:pPr>
        <w:pStyle w:val="Puesto"/>
        <w:ind w:firstLine="0"/>
        <w:rPr>
          <w:b/>
          <w:color w:val="auto"/>
        </w:rPr>
      </w:pPr>
      <w:r w:rsidRPr="0007620B">
        <w:rPr>
          <w:color w:val="auto"/>
        </w:rPr>
        <w:t>“</w:t>
      </w:r>
      <w:r w:rsidRPr="0007620B">
        <w:rPr>
          <w:b/>
          <w:color w:val="auto"/>
        </w:rPr>
        <w:t>Criterio 01/2003.</w:t>
      </w:r>
    </w:p>
    <w:p w14:paraId="6BF2B2B6" w14:textId="77777777" w:rsidR="00714FD5" w:rsidRPr="0007620B" w:rsidRDefault="00714FD5" w:rsidP="0007620B">
      <w:pPr>
        <w:pStyle w:val="Puesto"/>
        <w:ind w:firstLine="0"/>
        <w:rPr>
          <w:b/>
          <w:color w:val="auto"/>
        </w:rPr>
      </w:pPr>
      <w:r w:rsidRPr="0007620B">
        <w:rPr>
          <w:b/>
          <w:color w:val="auto"/>
        </w:rPr>
        <w:t xml:space="preserve">INGRESOS DE LOS SERVIDORES PÚBLICOS. CONSTITUYEN INFORMACIÓN PÚBLICA AÚN Y CUANDO SU DIFUSIÓN PUEDE AFECTAR LA VIDA O LA SEGURIDAD DE AQUELLOS. </w:t>
      </w:r>
    </w:p>
    <w:p w14:paraId="58BED558" w14:textId="77777777" w:rsidR="00714FD5" w:rsidRPr="0007620B" w:rsidRDefault="00714FD5" w:rsidP="0007620B">
      <w:pPr>
        <w:pStyle w:val="Puesto"/>
        <w:ind w:firstLine="0"/>
        <w:rPr>
          <w:b/>
          <w:color w:val="auto"/>
        </w:rPr>
      </w:pPr>
      <w:r w:rsidRPr="0007620B">
        <w:rPr>
          <w:color w:val="auto"/>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7620B">
        <w:rPr>
          <w:b/>
          <w:color w:val="auto"/>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w:t>
      </w:r>
      <w:r w:rsidRPr="0007620B">
        <w:rPr>
          <w:b/>
          <w:color w:val="auto"/>
        </w:rPr>
        <w:lastRenderedPageBreak/>
        <w:t>información pública, en tanto que se trata de erogaciones que realiza un órgano del Estado en base con los recursos que encuentran su origen en mayor medida en las contribuciones aportados por los gobernados…”</w:t>
      </w:r>
    </w:p>
    <w:p w14:paraId="2C0B7A18" w14:textId="77777777" w:rsidR="00714FD5" w:rsidRPr="0007620B" w:rsidRDefault="00714FD5" w:rsidP="0007620B">
      <w:pPr>
        <w:pStyle w:val="Puesto"/>
        <w:ind w:firstLine="0"/>
        <w:rPr>
          <w:color w:val="auto"/>
        </w:rPr>
      </w:pPr>
    </w:p>
    <w:p w14:paraId="4F57BE7D" w14:textId="77777777" w:rsidR="00714FD5" w:rsidRPr="0007620B" w:rsidRDefault="00714FD5" w:rsidP="0007620B">
      <w:pPr>
        <w:pStyle w:val="Puesto"/>
        <w:ind w:firstLine="0"/>
        <w:rPr>
          <w:b/>
          <w:color w:val="auto"/>
        </w:rPr>
      </w:pPr>
      <w:r w:rsidRPr="0007620B">
        <w:rPr>
          <w:color w:val="auto"/>
        </w:rPr>
        <w:t>“</w:t>
      </w:r>
      <w:r w:rsidRPr="0007620B">
        <w:rPr>
          <w:b/>
          <w:color w:val="auto"/>
        </w:rPr>
        <w:t>Criterio 02/2003.</w:t>
      </w:r>
    </w:p>
    <w:p w14:paraId="74339E18" w14:textId="77777777" w:rsidR="00714FD5" w:rsidRPr="0007620B" w:rsidRDefault="00714FD5" w:rsidP="0007620B">
      <w:pPr>
        <w:pStyle w:val="Puesto"/>
        <w:ind w:firstLine="0"/>
        <w:rPr>
          <w:b/>
          <w:color w:val="auto"/>
        </w:rPr>
      </w:pPr>
      <w:r w:rsidRPr="0007620B">
        <w:rPr>
          <w:b/>
          <w:color w:val="auto"/>
        </w:rPr>
        <w:t xml:space="preserve">INGRESOS DE LOS SERVIDORES PÚBLICOS, SON INFORMACIÓN PÚBLICA AÚN Y CUANDO CONSTITUYEN DATOS PERSONALES QUE SE REFIEREN AL PATRIMONIO DE AQUÉLLOS. </w:t>
      </w:r>
    </w:p>
    <w:p w14:paraId="7B44F301" w14:textId="77777777" w:rsidR="00714FD5" w:rsidRPr="0007620B" w:rsidRDefault="00714FD5" w:rsidP="0007620B">
      <w:pPr>
        <w:pStyle w:val="Puesto"/>
        <w:ind w:firstLine="0"/>
        <w:rPr>
          <w:color w:val="auto"/>
        </w:rPr>
      </w:pPr>
      <w:r w:rsidRPr="0007620B">
        <w:rPr>
          <w:color w:val="auto"/>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7620B">
        <w:rPr>
          <w:b/>
          <w:color w:val="auto"/>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7620B">
        <w:rPr>
          <w:b/>
          <w:color w:val="auto"/>
        </w:rPr>
        <w:t xml:space="preserve"> el sistema de compensación…</w:t>
      </w:r>
      <w:r w:rsidRPr="0007620B">
        <w:rPr>
          <w:color w:val="auto"/>
        </w:rPr>
        <w:t>” [Sic]</w:t>
      </w:r>
    </w:p>
    <w:p w14:paraId="1F2B69F9" w14:textId="77777777" w:rsidR="00714FD5" w:rsidRPr="0007620B" w:rsidRDefault="00714FD5" w:rsidP="0007620B">
      <w:pPr>
        <w:spacing w:line="276" w:lineRule="auto"/>
        <w:ind w:left="851" w:right="851"/>
        <w:rPr>
          <w:b/>
          <w:i/>
        </w:rPr>
      </w:pPr>
    </w:p>
    <w:p w14:paraId="5F8D2BA1" w14:textId="2C6EE90B" w:rsidR="00714FD5" w:rsidRPr="0007620B" w:rsidRDefault="00714FD5" w:rsidP="0007620B">
      <w:r w:rsidRPr="0007620B">
        <w:t xml:space="preserve">Ahora bien, el artículo 70 de la </w:t>
      </w:r>
      <w:r w:rsidR="00DE059E" w:rsidRPr="0007620B">
        <w:t xml:space="preserve">entonces </w:t>
      </w:r>
      <w:r w:rsidRPr="0007620B">
        <w:t xml:space="preserve">Ley General de Transparencia y Acceso a la Información Pública dispone lo siguiente: </w:t>
      </w:r>
    </w:p>
    <w:p w14:paraId="45CFA5D7" w14:textId="77777777" w:rsidR="00714FD5" w:rsidRPr="0007620B" w:rsidRDefault="00714FD5" w:rsidP="0007620B">
      <w:pPr>
        <w:rPr>
          <w:sz w:val="24"/>
          <w:szCs w:val="24"/>
        </w:rPr>
      </w:pPr>
    </w:p>
    <w:p w14:paraId="4A1A0797" w14:textId="77777777" w:rsidR="00714FD5" w:rsidRPr="0007620B" w:rsidRDefault="00714FD5" w:rsidP="0007620B">
      <w:pPr>
        <w:pStyle w:val="Puesto"/>
        <w:ind w:firstLine="0"/>
        <w:rPr>
          <w:color w:val="auto"/>
        </w:rPr>
      </w:pPr>
      <w:r w:rsidRPr="0007620B">
        <w:rPr>
          <w:b/>
          <w:color w:val="auto"/>
        </w:rPr>
        <w:t>Artículo 70.</w:t>
      </w:r>
      <w:r w:rsidRPr="0007620B">
        <w:rPr>
          <w:color w:val="auto"/>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63A20791" w14:textId="77777777" w:rsidR="00714FD5" w:rsidRPr="0007620B" w:rsidRDefault="00714FD5" w:rsidP="0007620B">
      <w:pPr>
        <w:pStyle w:val="Puesto"/>
        <w:rPr>
          <w:color w:val="auto"/>
        </w:rPr>
      </w:pPr>
      <w:r w:rsidRPr="0007620B">
        <w:rPr>
          <w:color w:val="auto"/>
        </w:rPr>
        <w:t xml:space="preserve">… </w:t>
      </w:r>
    </w:p>
    <w:p w14:paraId="5A092C1A" w14:textId="77777777" w:rsidR="00714FD5" w:rsidRPr="0007620B" w:rsidRDefault="00714FD5" w:rsidP="0007620B">
      <w:pPr>
        <w:pStyle w:val="Puesto"/>
        <w:ind w:firstLine="0"/>
        <w:rPr>
          <w:color w:val="auto"/>
        </w:rPr>
      </w:pPr>
      <w:r w:rsidRPr="0007620B">
        <w:rPr>
          <w:b/>
          <w:color w:val="auto"/>
        </w:rPr>
        <w:t>VIII.</w:t>
      </w:r>
      <w:r w:rsidRPr="0007620B">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2CEDC6E6" w14:textId="77777777" w:rsidR="00714FD5" w:rsidRPr="0007620B" w:rsidRDefault="00714FD5" w:rsidP="0007620B">
      <w:pPr>
        <w:rPr>
          <w:sz w:val="24"/>
          <w:szCs w:val="24"/>
        </w:rPr>
      </w:pPr>
    </w:p>
    <w:p w14:paraId="38F43D26" w14:textId="77777777" w:rsidR="00714FD5" w:rsidRPr="0007620B" w:rsidRDefault="00714FD5" w:rsidP="0007620B">
      <w:pPr>
        <w:ind w:right="49"/>
      </w:pPr>
      <w:r w:rsidRPr="0007620B">
        <w:t xml:space="preserve">Robustece lo anterior, el artículo 92, fracción VIII de la Ley de Transparencia y Acceso a la Información Pública del Estado de México y Municipios, señala: </w:t>
      </w:r>
    </w:p>
    <w:p w14:paraId="0CDA9B3F" w14:textId="77777777" w:rsidR="00714FD5" w:rsidRPr="0007620B" w:rsidRDefault="00714FD5" w:rsidP="0007620B">
      <w:pPr>
        <w:ind w:right="49"/>
        <w:rPr>
          <w:sz w:val="24"/>
          <w:szCs w:val="24"/>
        </w:rPr>
      </w:pPr>
    </w:p>
    <w:p w14:paraId="39827B75" w14:textId="77777777" w:rsidR="00714FD5" w:rsidRPr="0007620B" w:rsidRDefault="00714FD5" w:rsidP="0007620B">
      <w:pPr>
        <w:pStyle w:val="Puesto"/>
        <w:ind w:firstLine="0"/>
        <w:rPr>
          <w:color w:val="auto"/>
        </w:rPr>
      </w:pPr>
      <w:r w:rsidRPr="0007620B">
        <w:rPr>
          <w:color w:val="auto"/>
        </w:rPr>
        <w:t>“</w:t>
      </w:r>
      <w:r w:rsidRPr="0007620B">
        <w:rPr>
          <w:b/>
          <w:color w:val="auto"/>
        </w:rPr>
        <w:t>Artículo 92.</w:t>
      </w:r>
      <w:r w:rsidRPr="0007620B">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DC6FA7D" w14:textId="77777777" w:rsidR="00714FD5" w:rsidRPr="0007620B" w:rsidRDefault="00714FD5" w:rsidP="0007620B">
      <w:pPr>
        <w:pStyle w:val="Puesto"/>
        <w:ind w:firstLine="0"/>
        <w:rPr>
          <w:color w:val="auto"/>
        </w:rPr>
      </w:pPr>
      <w:r w:rsidRPr="0007620B">
        <w:rPr>
          <w:color w:val="auto"/>
        </w:rPr>
        <w:t>(…)</w:t>
      </w:r>
    </w:p>
    <w:p w14:paraId="35847616" w14:textId="77777777" w:rsidR="00714FD5" w:rsidRPr="0007620B" w:rsidRDefault="00714FD5" w:rsidP="0007620B">
      <w:pPr>
        <w:pStyle w:val="Puesto"/>
        <w:ind w:firstLine="0"/>
        <w:rPr>
          <w:color w:val="auto"/>
        </w:rPr>
      </w:pPr>
      <w:r w:rsidRPr="0007620B">
        <w:rPr>
          <w:b/>
          <w:color w:val="auto"/>
        </w:rPr>
        <w:t>VIII.</w:t>
      </w:r>
      <w:r w:rsidRPr="0007620B">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5B2FA51" w14:textId="77777777" w:rsidR="00714FD5" w:rsidRPr="0007620B" w:rsidRDefault="00714FD5" w:rsidP="0007620B">
      <w:pPr>
        <w:tabs>
          <w:tab w:val="left" w:pos="4962"/>
        </w:tabs>
      </w:pPr>
    </w:p>
    <w:p w14:paraId="2E39C47A" w14:textId="2C9B794A" w:rsidR="00714FD5" w:rsidRPr="0007620B" w:rsidRDefault="00714FD5" w:rsidP="0007620B">
      <w:r w:rsidRPr="0007620B">
        <w:t xml:space="preserve">Por tal circunstancia y toda vez, que las percepciones de los servidores públicos, son de carácter obligatorio y ayuda a rendir cuentas, de que </w:t>
      </w:r>
      <w:r w:rsidRPr="0007620B">
        <w:rPr>
          <w:b/>
        </w:rPr>
        <w:t>EL SUJETO OBLIGADO</w:t>
      </w:r>
      <w:r w:rsidRPr="0007620B">
        <w:t xml:space="preserve"> cumple con sus funciones de patrón, es que se considera que son de naturaleza pública y, por lo tanto, no procede la clasificación</w:t>
      </w:r>
      <w:r w:rsidR="00DE059E" w:rsidRPr="0007620B">
        <w:t xml:space="preserve"> del concepto de percepciones así como el dato relativo al sueldo base</w:t>
      </w:r>
      <w:r w:rsidRPr="0007620B">
        <w:t>, en términos del artículo 143, fracción I, de la Ley de Transparencia y Acceso a la Información Pública del Estado de México y Municipios.</w:t>
      </w:r>
    </w:p>
    <w:p w14:paraId="793347FF" w14:textId="77777777" w:rsidR="00714FD5" w:rsidRPr="0007620B" w:rsidRDefault="00714FD5" w:rsidP="0007620B">
      <w:pPr>
        <w:tabs>
          <w:tab w:val="left" w:pos="3962"/>
        </w:tabs>
      </w:pPr>
    </w:p>
    <w:p w14:paraId="3F5DED02" w14:textId="77777777" w:rsidR="00714FD5" w:rsidRPr="0007620B" w:rsidRDefault="00714FD5" w:rsidP="0007620B">
      <w:pPr>
        <w:numPr>
          <w:ilvl w:val="0"/>
          <w:numId w:val="19"/>
        </w:numPr>
        <w:rPr>
          <w:b/>
        </w:rPr>
      </w:pPr>
      <w:r w:rsidRPr="0007620B">
        <w:rPr>
          <w:b/>
        </w:rPr>
        <w:t>Deducciones</w:t>
      </w:r>
    </w:p>
    <w:p w14:paraId="115A4ACF" w14:textId="77777777" w:rsidR="00714FD5" w:rsidRPr="0007620B" w:rsidRDefault="00714FD5" w:rsidP="0007620B">
      <w:pPr>
        <w:spacing w:before="240" w:after="240"/>
      </w:pPr>
      <w:r w:rsidRPr="0007620B">
        <w:t xml:space="preserve">Sobre las </w:t>
      </w:r>
      <w:r w:rsidRPr="0007620B">
        <w:rPr>
          <w:b/>
          <w:i/>
        </w:rPr>
        <w:t>deducciones por Ley</w:t>
      </w:r>
      <w:r w:rsidRPr="0007620B">
        <w:t>, para entender los límites y alcances de esta restricción, es oportuno recurrir al artículo 84 de la Ley del Trabajo de los Servidores Públicos del Estado y Municipios:</w:t>
      </w:r>
    </w:p>
    <w:p w14:paraId="4FF49BF3" w14:textId="77777777" w:rsidR="00714FD5" w:rsidRPr="0007620B" w:rsidRDefault="00714FD5" w:rsidP="0007620B">
      <w:pPr>
        <w:pStyle w:val="Puesto"/>
        <w:ind w:firstLine="0"/>
        <w:rPr>
          <w:b/>
          <w:color w:val="auto"/>
        </w:rPr>
      </w:pPr>
      <w:bookmarkStart w:id="31" w:name="_heading=h.i9mk3ga8ug63" w:colFirst="0" w:colLast="0"/>
      <w:bookmarkEnd w:id="31"/>
      <w:r w:rsidRPr="0007620B">
        <w:rPr>
          <w:b/>
          <w:color w:val="auto"/>
        </w:rPr>
        <w:t xml:space="preserve">“ARTÍCULO 84. </w:t>
      </w:r>
      <w:r w:rsidRPr="0007620B">
        <w:rPr>
          <w:color w:val="auto"/>
        </w:rPr>
        <w:t>Sólo podrán hacerse retenciones, descuentos o deducciones al sueldo de los servidores públicos por concepto de:</w:t>
      </w:r>
    </w:p>
    <w:p w14:paraId="760F8E51" w14:textId="77777777" w:rsidR="00714FD5" w:rsidRPr="0007620B" w:rsidRDefault="00714FD5" w:rsidP="0007620B">
      <w:pPr>
        <w:pStyle w:val="Puesto"/>
        <w:ind w:firstLine="0"/>
        <w:rPr>
          <w:color w:val="auto"/>
        </w:rPr>
      </w:pPr>
      <w:r w:rsidRPr="0007620B">
        <w:rPr>
          <w:b/>
          <w:color w:val="auto"/>
        </w:rPr>
        <w:t>I.</w:t>
      </w:r>
      <w:r w:rsidRPr="0007620B">
        <w:rPr>
          <w:color w:val="auto"/>
        </w:rPr>
        <w:t xml:space="preserve"> Gravámenes fiscales relacionados con el sueldo;</w:t>
      </w:r>
    </w:p>
    <w:p w14:paraId="4DD3BFD9" w14:textId="77777777" w:rsidR="00714FD5" w:rsidRPr="0007620B" w:rsidRDefault="00714FD5" w:rsidP="0007620B">
      <w:pPr>
        <w:pStyle w:val="Puesto"/>
        <w:ind w:firstLine="0"/>
        <w:rPr>
          <w:color w:val="auto"/>
        </w:rPr>
      </w:pPr>
      <w:r w:rsidRPr="0007620B">
        <w:rPr>
          <w:b/>
          <w:color w:val="auto"/>
        </w:rPr>
        <w:t>II.</w:t>
      </w:r>
      <w:r w:rsidRPr="0007620B">
        <w:rPr>
          <w:color w:val="auto"/>
        </w:rPr>
        <w:t xml:space="preserve"> Deudas contraídas con las instituciones públicas o dependencias por concepto de anticipos de sueldo, pagos hechos con exceso, errores o pérdidas debidamente comprobados;</w:t>
      </w:r>
    </w:p>
    <w:p w14:paraId="4F73BC93" w14:textId="77777777" w:rsidR="00714FD5" w:rsidRPr="0007620B" w:rsidRDefault="00714FD5" w:rsidP="0007620B">
      <w:pPr>
        <w:pStyle w:val="Puesto"/>
        <w:ind w:firstLine="0"/>
        <w:rPr>
          <w:color w:val="auto"/>
        </w:rPr>
      </w:pPr>
      <w:r w:rsidRPr="0007620B">
        <w:rPr>
          <w:b/>
          <w:color w:val="auto"/>
        </w:rPr>
        <w:t>III.</w:t>
      </w:r>
      <w:r w:rsidRPr="0007620B">
        <w:rPr>
          <w:color w:val="auto"/>
        </w:rPr>
        <w:t xml:space="preserve"> </w:t>
      </w:r>
      <w:r w:rsidRPr="0007620B">
        <w:rPr>
          <w:b/>
          <w:color w:val="auto"/>
        </w:rPr>
        <w:t>Cuotas sindicales</w:t>
      </w:r>
      <w:r w:rsidRPr="0007620B">
        <w:rPr>
          <w:color w:val="auto"/>
        </w:rPr>
        <w:t>;</w:t>
      </w:r>
    </w:p>
    <w:p w14:paraId="26163DF4" w14:textId="77777777" w:rsidR="00714FD5" w:rsidRPr="0007620B" w:rsidRDefault="00714FD5" w:rsidP="0007620B">
      <w:pPr>
        <w:pStyle w:val="Puesto"/>
        <w:ind w:firstLine="0"/>
        <w:rPr>
          <w:color w:val="auto"/>
        </w:rPr>
      </w:pPr>
      <w:r w:rsidRPr="0007620B">
        <w:rPr>
          <w:b/>
          <w:color w:val="auto"/>
        </w:rPr>
        <w:lastRenderedPageBreak/>
        <w:t>IV.</w:t>
      </w:r>
      <w:r w:rsidRPr="0007620B">
        <w:rPr>
          <w:color w:val="auto"/>
        </w:rPr>
        <w:t xml:space="preserve"> Cuotas de aportación a fondos para la constitución de cooperativas y de cajas de ahorro, siempre que el servidor público hubiese manifestado previamente, de manera expresa, su conformidad;</w:t>
      </w:r>
    </w:p>
    <w:p w14:paraId="3E53785B" w14:textId="77777777" w:rsidR="00714FD5" w:rsidRPr="0007620B" w:rsidRDefault="00714FD5" w:rsidP="0007620B">
      <w:pPr>
        <w:pStyle w:val="Puesto"/>
        <w:ind w:firstLine="0"/>
        <w:rPr>
          <w:color w:val="auto"/>
        </w:rPr>
      </w:pPr>
      <w:r w:rsidRPr="0007620B">
        <w:rPr>
          <w:b/>
          <w:color w:val="auto"/>
        </w:rPr>
        <w:t>V.</w:t>
      </w:r>
      <w:r w:rsidRPr="0007620B">
        <w:rPr>
          <w:color w:val="auto"/>
        </w:rPr>
        <w:t xml:space="preserve"> Descuentos ordenados por el Instituto de Seguridad Social del Estado de México y Municipios, con motivo de cuotas y obligaciones contraídas con éste por los servidores públicos;</w:t>
      </w:r>
    </w:p>
    <w:p w14:paraId="233D162C" w14:textId="77777777" w:rsidR="00714FD5" w:rsidRPr="0007620B" w:rsidRDefault="00714FD5" w:rsidP="0007620B">
      <w:pPr>
        <w:pStyle w:val="Puesto"/>
        <w:ind w:firstLine="0"/>
        <w:rPr>
          <w:color w:val="auto"/>
        </w:rPr>
      </w:pPr>
      <w:r w:rsidRPr="0007620B">
        <w:rPr>
          <w:b/>
          <w:color w:val="auto"/>
        </w:rPr>
        <w:t>VI.</w:t>
      </w:r>
      <w:r w:rsidRPr="0007620B">
        <w:rPr>
          <w:color w:val="auto"/>
        </w:rPr>
        <w:t xml:space="preserve"> Obligaciones a cargo del servidor público con las que haya consentido, derivadas de la adquisición o del uso de habitaciones consideradas como de interés social;</w:t>
      </w:r>
    </w:p>
    <w:p w14:paraId="79886B06" w14:textId="77777777" w:rsidR="00714FD5" w:rsidRPr="0007620B" w:rsidRDefault="00714FD5" w:rsidP="0007620B">
      <w:pPr>
        <w:pStyle w:val="Puesto"/>
        <w:ind w:firstLine="0"/>
        <w:rPr>
          <w:color w:val="auto"/>
        </w:rPr>
      </w:pPr>
      <w:r w:rsidRPr="0007620B">
        <w:rPr>
          <w:b/>
          <w:color w:val="auto"/>
        </w:rPr>
        <w:t>VII.</w:t>
      </w:r>
      <w:r w:rsidRPr="0007620B">
        <w:rPr>
          <w:color w:val="auto"/>
        </w:rPr>
        <w:t xml:space="preserve"> Faltas de puntualidad o de asistencia injustificadas;</w:t>
      </w:r>
    </w:p>
    <w:p w14:paraId="017ECB9B" w14:textId="77777777" w:rsidR="00714FD5" w:rsidRPr="0007620B" w:rsidRDefault="00714FD5" w:rsidP="0007620B">
      <w:pPr>
        <w:pStyle w:val="Puesto"/>
        <w:ind w:firstLine="0"/>
        <w:rPr>
          <w:color w:val="auto"/>
        </w:rPr>
      </w:pPr>
      <w:r w:rsidRPr="0007620B">
        <w:rPr>
          <w:b/>
          <w:color w:val="auto"/>
        </w:rPr>
        <w:t>VIII. Pensiones alimenticias ordenadas por la autoridad judicial;</w:t>
      </w:r>
      <w:r w:rsidRPr="0007620B">
        <w:rPr>
          <w:color w:val="auto"/>
        </w:rPr>
        <w:t xml:space="preserve"> o</w:t>
      </w:r>
    </w:p>
    <w:p w14:paraId="7855A7B0" w14:textId="77777777" w:rsidR="00714FD5" w:rsidRPr="0007620B" w:rsidRDefault="00714FD5" w:rsidP="0007620B">
      <w:pPr>
        <w:pStyle w:val="Puesto"/>
        <w:ind w:firstLine="0"/>
        <w:rPr>
          <w:b/>
          <w:color w:val="auto"/>
        </w:rPr>
      </w:pPr>
      <w:r w:rsidRPr="0007620B">
        <w:rPr>
          <w:b/>
          <w:color w:val="auto"/>
        </w:rPr>
        <w:t>IX. Cualquier otro convenido con instituciones de servicios y aceptado por el servidor público.</w:t>
      </w:r>
    </w:p>
    <w:p w14:paraId="090EF57E" w14:textId="77777777" w:rsidR="00714FD5" w:rsidRPr="0007620B" w:rsidRDefault="00714FD5" w:rsidP="0007620B">
      <w:pPr>
        <w:pStyle w:val="Puesto"/>
        <w:ind w:firstLine="0"/>
        <w:rPr>
          <w:color w:val="auto"/>
        </w:rPr>
      </w:pPr>
      <w:r w:rsidRPr="0007620B">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DEC86AB" w14:textId="77777777" w:rsidR="00714FD5" w:rsidRPr="0007620B" w:rsidRDefault="00714FD5" w:rsidP="0007620B"/>
    <w:p w14:paraId="15F701D3" w14:textId="77777777" w:rsidR="00714FD5" w:rsidRPr="0007620B" w:rsidRDefault="00714FD5" w:rsidP="0007620B">
      <w:r w:rsidRPr="0007620B">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400DBBDE" w14:textId="77777777" w:rsidR="00714FD5" w:rsidRPr="0007620B" w:rsidRDefault="00714FD5" w:rsidP="0007620B"/>
    <w:p w14:paraId="69ED00AC" w14:textId="77777777" w:rsidR="00714FD5" w:rsidRPr="0007620B" w:rsidRDefault="00714FD5" w:rsidP="0007620B">
      <w:r w:rsidRPr="0007620B">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443FBC32" w14:textId="77777777" w:rsidR="00714FD5" w:rsidRPr="0007620B" w:rsidRDefault="00714FD5" w:rsidP="0007620B"/>
    <w:p w14:paraId="5C23B1B7" w14:textId="77777777" w:rsidR="00714FD5" w:rsidRPr="0007620B" w:rsidRDefault="00714FD5" w:rsidP="0007620B">
      <w:r w:rsidRPr="0007620B">
        <w:t xml:space="preserve">Por tal circunstancia y toda vez, que las deducciones por Ley, son de carácter obligatorio y ayuda a rendir cuentas, de que </w:t>
      </w:r>
      <w:r w:rsidRPr="0007620B">
        <w:rPr>
          <w:b/>
        </w:rPr>
        <w:t>EL SUJETO OBLIGADO</w:t>
      </w:r>
      <w:r w:rsidRPr="0007620B">
        <w:t xml:space="preserve"> cumple con sus funciones de patrón, al retener determinado monto del sueldo de los servidores públicos, es que se considera que </w:t>
      </w:r>
      <w:r w:rsidRPr="0007620B">
        <w:lastRenderedPageBreak/>
        <w:t>son de naturaleza pública y, por lo tanto, no procede la clasificación, en términos del artículo 143, fracción I, de la Ley de Transparencia y Acceso a la Información Pública del Estado de México y Municipios.</w:t>
      </w:r>
    </w:p>
    <w:p w14:paraId="6065945E" w14:textId="77777777" w:rsidR="00714FD5" w:rsidRPr="0007620B" w:rsidRDefault="00714FD5" w:rsidP="0007620B"/>
    <w:p w14:paraId="33F9C0A7" w14:textId="77777777" w:rsidR="00714FD5" w:rsidRPr="0007620B" w:rsidRDefault="00714FD5" w:rsidP="0007620B">
      <w:pPr>
        <w:pBdr>
          <w:top w:val="nil"/>
          <w:left w:val="nil"/>
          <w:bottom w:val="nil"/>
          <w:right w:val="nil"/>
          <w:between w:val="nil"/>
        </w:pBdr>
      </w:pPr>
      <w:r w:rsidRPr="0007620B">
        <w:t>Tal es el caso del</w:t>
      </w:r>
      <w:r w:rsidRPr="0007620B">
        <w:rPr>
          <w:b/>
        </w:rPr>
        <w:t xml:space="preserve"> Sistema De Capitalización Individual (SCI), </w:t>
      </w:r>
      <w:r w:rsidRPr="0007620B">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0F608CBB" w14:textId="77777777" w:rsidR="00714FD5" w:rsidRPr="0007620B" w:rsidRDefault="00714FD5" w:rsidP="0007620B">
      <w:pPr>
        <w:pBdr>
          <w:top w:val="nil"/>
          <w:left w:val="nil"/>
          <w:bottom w:val="nil"/>
          <w:right w:val="nil"/>
          <w:between w:val="nil"/>
        </w:pBdr>
      </w:pPr>
    </w:p>
    <w:p w14:paraId="06038F0B" w14:textId="77777777" w:rsidR="00714FD5" w:rsidRPr="0007620B" w:rsidRDefault="00714FD5" w:rsidP="0007620B">
      <w:pPr>
        <w:pStyle w:val="Puesto"/>
        <w:ind w:firstLine="0"/>
        <w:rPr>
          <w:color w:val="auto"/>
        </w:rPr>
      </w:pPr>
      <w:r w:rsidRPr="0007620B">
        <w:rPr>
          <w:color w:val="auto"/>
        </w:rPr>
        <w:t>“</w:t>
      </w:r>
      <w:r w:rsidRPr="0007620B">
        <w:rPr>
          <w:b/>
          <w:bCs/>
          <w:color w:val="auto"/>
        </w:rPr>
        <w:t xml:space="preserve">ARTICULO 84.- </w:t>
      </w:r>
      <w:r w:rsidRPr="0007620B">
        <w:rPr>
          <w:color w:val="auto"/>
        </w:rPr>
        <w:t>Las pensiones que otorga esta ley, se basan en un régimen mixto, siendo una parte de beneficios definidos denominado sistema solidario de reparto y otra de contribuciones definidas denominado sistema de capitalización individual.</w:t>
      </w:r>
    </w:p>
    <w:p w14:paraId="519359CF" w14:textId="77777777" w:rsidR="00714FD5" w:rsidRPr="0007620B" w:rsidRDefault="00714FD5" w:rsidP="0007620B">
      <w:pPr>
        <w:spacing w:line="276" w:lineRule="auto"/>
        <w:ind w:left="567" w:right="900"/>
        <w:rPr>
          <w:i/>
        </w:rPr>
      </w:pPr>
    </w:p>
    <w:p w14:paraId="1CE9389D" w14:textId="77777777" w:rsidR="00714FD5" w:rsidRPr="0007620B" w:rsidRDefault="00714FD5" w:rsidP="0007620B">
      <w:pPr>
        <w:pStyle w:val="Puesto"/>
        <w:ind w:firstLine="0"/>
        <w:rPr>
          <w:color w:val="auto"/>
        </w:rPr>
      </w:pPr>
      <w:r w:rsidRPr="0007620B">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6D4DAA87" w14:textId="77777777" w:rsidR="00B34591" w:rsidRPr="0007620B" w:rsidRDefault="00B34591" w:rsidP="0007620B"/>
    <w:p w14:paraId="3A2D8D6B" w14:textId="77777777" w:rsidR="00714FD5" w:rsidRPr="0007620B" w:rsidRDefault="00714FD5" w:rsidP="0007620B">
      <w:pPr>
        <w:pStyle w:val="Puesto"/>
        <w:ind w:firstLine="0"/>
        <w:rPr>
          <w:color w:val="auto"/>
        </w:rPr>
      </w:pPr>
      <w:r w:rsidRPr="0007620B">
        <w:rPr>
          <w:color w:val="auto"/>
        </w:rPr>
        <w:t xml:space="preserve"> </w:t>
      </w:r>
      <w:r w:rsidRPr="0007620B">
        <w:rPr>
          <w:b/>
          <w:color w:val="auto"/>
        </w:rPr>
        <w:t>ARTICULO 115.-</w:t>
      </w:r>
      <w:r w:rsidRPr="0007620B">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0097060F" w14:textId="77777777" w:rsidR="00714FD5" w:rsidRPr="0007620B" w:rsidRDefault="00714FD5" w:rsidP="0007620B"/>
    <w:p w14:paraId="3CD02C2A" w14:textId="77777777" w:rsidR="00714FD5" w:rsidRPr="0007620B" w:rsidRDefault="00714FD5" w:rsidP="0007620B">
      <w:r w:rsidRPr="0007620B">
        <w:t>En esta misma disposición normativa, en los artículos 5 fracciones II, VII y VIII; 32, 34 y 35, dispone lo siguiente:</w:t>
      </w:r>
    </w:p>
    <w:p w14:paraId="193B2260" w14:textId="77777777" w:rsidR="00714FD5" w:rsidRPr="0007620B" w:rsidRDefault="00714FD5" w:rsidP="0007620B"/>
    <w:p w14:paraId="0CA27706" w14:textId="77777777" w:rsidR="00714FD5" w:rsidRPr="0007620B" w:rsidRDefault="00714FD5" w:rsidP="0007620B">
      <w:pPr>
        <w:pStyle w:val="Puesto"/>
        <w:ind w:firstLine="0"/>
        <w:rPr>
          <w:color w:val="auto"/>
        </w:rPr>
      </w:pPr>
      <w:r w:rsidRPr="0007620B">
        <w:rPr>
          <w:color w:val="auto"/>
        </w:rPr>
        <w:t>“</w:t>
      </w:r>
      <w:r w:rsidRPr="0007620B">
        <w:rPr>
          <w:b/>
          <w:color w:val="auto"/>
        </w:rPr>
        <w:t>ARTÍCULO 5</w:t>
      </w:r>
      <w:r w:rsidRPr="0007620B">
        <w:rPr>
          <w:color w:val="auto"/>
        </w:rPr>
        <w:t>.- Para los efectos de esta ley se entiende por:</w:t>
      </w:r>
    </w:p>
    <w:p w14:paraId="4FBCD2DB" w14:textId="77777777" w:rsidR="00714FD5" w:rsidRPr="0007620B" w:rsidRDefault="00714FD5" w:rsidP="0007620B">
      <w:pPr>
        <w:pStyle w:val="Puesto"/>
        <w:ind w:firstLine="0"/>
        <w:rPr>
          <w:color w:val="auto"/>
        </w:rPr>
      </w:pPr>
      <w:r w:rsidRPr="0007620B">
        <w:rPr>
          <w:color w:val="auto"/>
        </w:rPr>
        <w:t>…</w:t>
      </w:r>
    </w:p>
    <w:p w14:paraId="19F205CF" w14:textId="77777777" w:rsidR="00714FD5" w:rsidRPr="0007620B" w:rsidRDefault="00714FD5" w:rsidP="0007620B">
      <w:pPr>
        <w:pStyle w:val="Puesto"/>
        <w:ind w:firstLine="0"/>
        <w:rPr>
          <w:color w:val="auto"/>
        </w:rPr>
      </w:pPr>
      <w:r w:rsidRPr="0007620B">
        <w:rPr>
          <w:color w:val="auto"/>
        </w:rPr>
        <w:t>II. Institución pública, a los poderes públicos del estado, los ayuntamientos de los municipios y los tribunales administrativos, así como los organismos auxiliares y fideicomisos públicos de carácter estatal y municipal;</w:t>
      </w:r>
    </w:p>
    <w:p w14:paraId="74D59F67" w14:textId="77777777" w:rsidR="00714FD5" w:rsidRPr="0007620B" w:rsidRDefault="00714FD5" w:rsidP="0007620B">
      <w:pPr>
        <w:pStyle w:val="Puesto"/>
        <w:ind w:firstLine="0"/>
        <w:rPr>
          <w:color w:val="auto"/>
        </w:rPr>
      </w:pPr>
      <w:r w:rsidRPr="0007620B">
        <w:rPr>
          <w:color w:val="auto"/>
        </w:rPr>
        <w:lastRenderedPageBreak/>
        <w:t>…</w:t>
      </w:r>
    </w:p>
    <w:p w14:paraId="42511E04" w14:textId="77777777" w:rsidR="00714FD5" w:rsidRPr="0007620B" w:rsidRDefault="00714FD5" w:rsidP="0007620B">
      <w:pPr>
        <w:pStyle w:val="Puesto"/>
        <w:ind w:firstLine="0"/>
        <w:rPr>
          <w:color w:val="auto"/>
        </w:rPr>
      </w:pPr>
      <w:r w:rsidRPr="0007620B">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3CF95300" w14:textId="77777777" w:rsidR="00714FD5" w:rsidRPr="0007620B" w:rsidRDefault="00714FD5" w:rsidP="0007620B">
      <w:pPr>
        <w:pStyle w:val="Puesto"/>
        <w:ind w:firstLine="0"/>
        <w:rPr>
          <w:b/>
          <w:color w:val="auto"/>
        </w:rPr>
      </w:pPr>
      <w:r w:rsidRPr="0007620B">
        <w:rPr>
          <w:color w:val="auto"/>
        </w:rPr>
        <w:t xml:space="preserve">VIII. </w:t>
      </w:r>
      <w:r w:rsidRPr="0007620B">
        <w:rPr>
          <w:b/>
          <w:color w:val="auto"/>
        </w:rPr>
        <w:t>Aportación, al monto que le corresponde cubrir a las instituciones públicas como porcentaje del sueldo sujeto a cotización de cada servidor público;</w:t>
      </w:r>
    </w:p>
    <w:p w14:paraId="43F1EEC8" w14:textId="77777777" w:rsidR="00714FD5" w:rsidRPr="0007620B" w:rsidRDefault="00714FD5" w:rsidP="0007620B">
      <w:pPr>
        <w:pStyle w:val="Puesto"/>
        <w:ind w:firstLine="0"/>
        <w:rPr>
          <w:color w:val="auto"/>
        </w:rPr>
      </w:pPr>
      <w:r w:rsidRPr="0007620B">
        <w:rPr>
          <w:color w:val="auto"/>
        </w:rPr>
        <w:t>…</w:t>
      </w:r>
    </w:p>
    <w:p w14:paraId="336248F2" w14:textId="77777777" w:rsidR="00714FD5" w:rsidRPr="0007620B" w:rsidRDefault="00714FD5" w:rsidP="0007620B">
      <w:pPr>
        <w:pStyle w:val="Puesto"/>
        <w:ind w:firstLine="0"/>
        <w:rPr>
          <w:color w:val="auto"/>
        </w:rPr>
      </w:pPr>
    </w:p>
    <w:p w14:paraId="5C954108" w14:textId="77777777" w:rsidR="00714FD5" w:rsidRPr="0007620B" w:rsidRDefault="00714FD5" w:rsidP="0007620B">
      <w:pPr>
        <w:pStyle w:val="Puesto"/>
        <w:ind w:firstLine="0"/>
        <w:rPr>
          <w:b/>
          <w:color w:val="auto"/>
        </w:rPr>
      </w:pPr>
      <w:r w:rsidRPr="0007620B">
        <w:rPr>
          <w:b/>
          <w:color w:val="auto"/>
        </w:rPr>
        <w:t>Artículo 32.-</w:t>
      </w:r>
      <w:r w:rsidRPr="0007620B">
        <w:rPr>
          <w:color w:val="auto"/>
        </w:rPr>
        <w:t xml:space="preserve"> </w:t>
      </w:r>
      <w:r w:rsidRPr="0007620B">
        <w:rPr>
          <w:b/>
          <w:color w:val="auto"/>
        </w:rPr>
        <w:t xml:space="preserve">Las cuotas obligatorias que deberán cubrir los servidores públicos al Instituto, serán las siguientes: </w:t>
      </w:r>
    </w:p>
    <w:p w14:paraId="64ECB6EE" w14:textId="77777777" w:rsidR="00714FD5" w:rsidRPr="0007620B" w:rsidRDefault="00714FD5" w:rsidP="0007620B">
      <w:pPr>
        <w:pStyle w:val="Puesto"/>
        <w:ind w:firstLine="0"/>
        <w:rPr>
          <w:color w:val="auto"/>
        </w:rPr>
      </w:pPr>
      <w:r w:rsidRPr="0007620B">
        <w:rPr>
          <w:color w:val="auto"/>
        </w:rPr>
        <w:t xml:space="preserve">I. El 4.625% del sueldo sujeto a cotización, para cubrir las prestaciones de servicios de salud; </w:t>
      </w:r>
    </w:p>
    <w:p w14:paraId="6832BF4C" w14:textId="77777777" w:rsidR="00714FD5" w:rsidRPr="0007620B" w:rsidRDefault="00714FD5" w:rsidP="0007620B">
      <w:pPr>
        <w:pStyle w:val="Puesto"/>
        <w:ind w:firstLine="0"/>
        <w:rPr>
          <w:color w:val="auto"/>
        </w:rPr>
      </w:pPr>
      <w:r w:rsidRPr="0007620B">
        <w:rPr>
          <w:color w:val="auto"/>
        </w:rPr>
        <w:t xml:space="preserve">II. El 7.50% del sueldo sujeto a cotización, para cubrir el financiamiento de pensiones, de la siguiente manera: </w:t>
      </w:r>
    </w:p>
    <w:p w14:paraId="7DE1A398" w14:textId="77777777" w:rsidR="00714FD5" w:rsidRPr="0007620B" w:rsidRDefault="00714FD5" w:rsidP="0007620B">
      <w:pPr>
        <w:pStyle w:val="Puesto"/>
        <w:ind w:firstLine="0"/>
        <w:rPr>
          <w:color w:val="auto"/>
        </w:rPr>
      </w:pPr>
      <w:r w:rsidRPr="0007620B">
        <w:rPr>
          <w:color w:val="auto"/>
        </w:rPr>
        <w:t xml:space="preserve">a. 6.10% para el fondo del sistema solidario de reparto. </w:t>
      </w:r>
    </w:p>
    <w:p w14:paraId="544DE804" w14:textId="77777777" w:rsidR="00714FD5" w:rsidRPr="0007620B" w:rsidRDefault="00714FD5" w:rsidP="0007620B">
      <w:pPr>
        <w:pStyle w:val="Puesto"/>
        <w:ind w:firstLine="0"/>
        <w:rPr>
          <w:b/>
          <w:color w:val="auto"/>
          <w:u w:val="single"/>
        </w:rPr>
      </w:pPr>
      <w:r w:rsidRPr="0007620B">
        <w:rPr>
          <w:b/>
          <w:color w:val="auto"/>
          <w:u w:val="single"/>
        </w:rPr>
        <w:t xml:space="preserve">b. 1.40% para el sistema de capitalización individual. </w:t>
      </w:r>
    </w:p>
    <w:p w14:paraId="4BCACD93" w14:textId="77777777" w:rsidR="00714FD5" w:rsidRPr="0007620B" w:rsidRDefault="00714FD5" w:rsidP="0007620B">
      <w:pPr>
        <w:pStyle w:val="Puesto"/>
        <w:ind w:firstLine="0"/>
        <w:rPr>
          <w:color w:val="auto"/>
        </w:rPr>
      </w:pPr>
      <w:r w:rsidRPr="0007620B">
        <w:rPr>
          <w:color w:val="auto"/>
        </w:rPr>
        <w:t>III. Las que determine anualmente el Consejo Directivo para otras prestaciones, señaladas en el Título IV.</w:t>
      </w:r>
    </w:p>
    <w:p w14:paraId="3E3D5E5D" w14:textId="77777777" w:rsidR="00714FD5" w:rsidRPr="0007620B" w:rsidRDefault="00714FD5" w:rsidP="0007620B">
      <w:pPr>
        <w:pStyle w:val="Puesto"/>
        <w:ind w:firstLine="0"/>
        <w:rPr>
          <w:color w:val="auto"/>
        </w:rPr>
      </w:pPr>
      <w:r w:rsidRPr="0007620B">
        <w:rPr>
          <w:color w:val="auto"/>
        </w:rPr>
        <w:t>…</w:t>
      </w:r>
    </w:p>
    <w:p w14:paraId="5359E715" w14:textId="77777777" w:rsidR="00714FD5" w:rsidRPr="0007620B" w:rsidRDefault="00714FD5" w:rsidP="0007620B">
      <w:pPr>
        <w:pStyle w:val="Puesto"/>
        <w:ind w:firstLine="0"/>
        <w:rPr>
          <w:color w:val="auto"/>
        </w:rPr>
      </w:pPr>
    </w:p>
    <w:p w14:paraId="3B02ED8A" w14:textId="77777777" w:rsidR="00714FD5" w:rsidRPr="0007620B" w:rsidRDefault="00714FD5" w:rsidP="0007620B">
      <w:pPr>
        <w:pStyle w:val="Puesto"/>
        <w:ind w:firstLine="0"/>
        <w:rPr>
          <w:color w:val="auto"/>
        </w:rPr>
      </w:pPr>
      <w:r w:rsidRPr="0007620B">
        <w:rPr>
          <w:b/>
          <w:color w:val="auto"/>
        </w:rPr>
        <w:t>Artículo 34.-</w:t>
      </w:r>
      <w:r w:rsidRPr="0007620B">
        <w:rPr>
          <w:color w:val="auto"/>
        </w:rPr>
        <w:t xml:space="preserve"> </w:t>
      </w:r>
      <w:r w:rsidRPr="0007620B">
        <w:rPr>
          <w:b/>
          <w:color w:val="auto"/>
        </w:rPr>
        <w:t>Las aportaciones que deberán cubrir obligatoriamente las instituciones públicas serán las siguientes</w:t>
      </w:r>
      <w:r w:rsidRPr="0007620B">
        <w:rPr>
          <w:color w:val="auto"/>
        </w:rPr>
        <w:t xml:space="preserve">: </w:t>
      </w:r>
    </w:p>
    <w:p w14:paraId="7A5FA9F6" w14:textId="77777777" w:rsidR="00714FD5" w:rsidRPr="0007620B" w:rsidRDefault="00714FD5" w:rsidP="0007620B">
      <w:pPr>
        <w:pStyle w:val="Puesto"/>
        <w:ind w:firstLine="0"/>
        <w:rPr>
          <w:color w:val="auto"/>
        </w:rPr>
      </w:pPr>
      <w:r w:rsidRPr="0007620B">
        <w:rPr>
          <w:color w:val="auto"/>
        </w:rPr>
        <w:t xml:space="preserve">I. El 10% del sueldo sujeto a cotización, para cubrir las prestaciones de servicios de salud; </w:t>
      </w:r>
    </w:p>
    <w:p w14:paraId="4308329C" w14:textId="77777777" w:rsidR="00714FD5" w:rsidRPr="0007620B" w:rsidRDefault="00714FD5" w:rsidP="0007620B">
      <w:pPr>
        <w:pStyle w:val="Puesto"/>
        <w:ind w:firstLine="0"/>
        <w:rPr>
          <w:color w:val="auto"/>
        </w:rPr>
      </w:pPr>
      <w:r w:rsidRPr="0007620B">
        <w:rPr>
          <w:color w:val="auto"/>
        </w:rPr>
        <w:t xml:space="preserve">II. El 9.27% del sueldo sujeto a cotización, para cubrir el financiamiento de pensiones, de la siguiente manera: </w:t>
      </w:r>
    </w:p>
    <w:p w14:paraId="2C8A6869" w14:textId="77777777" w:rsidR="00714FD5" w:rsidRPr="0007620B" w:rsidRDefault="00714FD5" w:rsidP="0007620B">
      <w:pPr>
        <w:pStyle w:val="Puesto"/>
        <w:ind w:firstLine="0"/>
        <w:rPr>
          <w:color w:val="auto"/>
        </w:rPr>
      </w:pPr>
      <w:r w:rsidRPr="0007620B">
        <w:rPr>
          <w:color w:val="auto"/>
        </w:rPr>
        <w:t xml:space="preserve">a. 7.42% para el fondo del sistema solidario de reparto. </w:t>
      </w:r>
    </w:p>
    <w:p w14:paraId="54D44089" w14:textId="77777777" w:rsidR="00714FD5" w:rsidRPr="0007620B" w:rsidRDefault="00714FD5" w:rsidP="0007620B">
      <w:pPr>
        <w:pStyle w:val="Puesto"/>
        <w:ind w:firstLine="0"/>
        <w:rPr>
          <w:b/>
          <w:color w:val="auto"/>
          <w:u w:val="single"/>
        </w:rPr>
      </w:pPr>
      <w:r w:rsidRPr="0007620B">
        <w:rPr>
          <w:color w:val="auto"/>
          <w:u w:val="single"/>
        </w:rPr>
        <w:t xml:space="preserve">b. </w:t>
      </w:r>
      <w:r w:rsidRPr="0007620B">
        <w:rPr>
          <w:b/>
          <w:color w:val="auto"/>
          <w:u w:val="single"/>
        </w:rPr>
        <w:t xml:space="preserve">1.85% para el sistema de capitalización individual. </w:t>
      </w:r>
    </w:p>
    <w:p w14:paraId="6DBCB10B" w14:textId="77777777" w:rsidR="00714FD5" w:rsidRPr="0007620B" w:rsidRDefault="00714FD5" w:rsidP="0007620B">
      <w:pPr>
        <w:pStyle w:val="Puesto"/>
        <w:ind w:firstLine="0"/>
        <w:rPr>
          <w:color w:val="auto"/>
        </w:rPr>
      </w:pPr>
      <w:r w:rsidRPr="0007620B">
        <w:rPr>
          <w:color w:val="auto"/>
        </w:rPr>
        <w:t xml:space="preserve">III. Las que determine anualmente el Consejo Directivo para otras prestaciones, señaladas en el Título IV; </w:t>
      </w:r>
    </w:p>
    <w:p w14:paraId="7AE0D4B3" w14:textId="77777777" w:rsidR="00714FD5" w:rsidRPr="0007620B" w:rsidRDefault="00714FD5" w:rsidP="0007620B">
      <w:pPr>
        <w:pStyle w:val="Puesto"/>
        <w:ind w:firstLine="0"/>
        <w:rPr>
          <w:color w:val="auto"/>
        </w:rPr>
      </w:pPr>
      <w:r w:rsidRPr="0007620B">
        <w:rPr>
          <w:color w:val="auto"/>
        </w:rPr>
        <w:t xml:space="preserve">IV. El 0.875% para gastos de administración; </w:t>
      </w:r>
    </w:p>
    <w:p w14:paraId="1E4CD1D6" w14:textId="77777777" w:rsidR="00714FD5" w:rsidRPr="0007620B" w:rsidRDefault="00714FD5" w:rsidP="0007620B">
      <w:pPr>
        <w:pStyle w:val="Puesto"/>
        <w:ind w:firstLine="0"/>
        <w:rPr>
          <w:color w:val="auto"/>
        </w:rPr>
      </w:pPr>
      <w:r w:rsidRPr="0007620B">
        <w:rPr>
          <w:color w:val="auto"/>
        </w:rPr>
        <w:t>V. Las que se generen a cargo de las Instituciones públicas por concepto de riesgos de trabajo.</w:t>
      </w:r>
    </w:p>
    <w:p w14:paraId="041ACD7F" w14:textId="77777777" w:rsidR="00714FD5" w:rsidRPr="0007620B" w:rsidRDefault="00714FD5" w:rsidP="0007620B"/>
    <w:p w14:paraId="134A30F2" w14:textId="77777777" w:rsidR="00714FD5" w:rsidRPr="0007620B" w:rsidRDefault="00714FD5" w:rsidP="0007620B">
      <w:r w:rsidRPr="0007620B">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w:t>
      </w:r>
      <w:r w:rsidRPr="0007620B">
        <w:lastRenderedPageBreak/>
        <w:t>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2044630C" w14:textId="77777777" w:rsidR="00714FD5" w:rsidRPr="0007620B" w:rsidRDefault="00714FD5" w:rsidP="0007620B"/>
    <w:p w14:paraId="7A98807F" w14:textId="77777777" w:rsidR="00714FD5" w:rsidRPr="0007620B" w:rsidRDefault="00714FD5" w:rsidP="0007620B">
      <w:pPr>
        <w:pBdr>
          <w:top w:val="nil"/>
          <w:left w:val="nil"/>
          <w:bottom w:val="nil"/>
          <w:right w:val="nil"/>
          <w:between w:val="nil"/>
        </w:pBdr>
        <w:rPr>
          <w:u w:val="single"/>
        </w:rPr>
      </w:pPr>
      <w:r w:rsidRPr="0007620B">
        <w:t xml:space="preserve">Es necesario precisar que existen deducciones que se generan con motivo de una decisión libre y voluntaria de los servidores públicos, como son: </w:t>
      </w:r>
      <w:r w:rsidRPr="0007620B">
        <w:rPr>
          <w:u w:val="single"/>
        </w:rPr>
        <w:t>créditos personales,</w:t>
      </w:r>
      <w:r w:rsidRPr="0007620B">
        <w:t xml:space="preserve"> </w:t>
      </w:r>
      <w:r w:rsidRPr="0007620B">
        <w:rPr>
          <w:u w:val="single"/>
        </w:rPr>
        <w:t xml:space="preserve">cuotas sindicales y fondo de resistencia del Sindicato Único de Trabajadores de los Poderes, Municipios e Institución Descentralizadas del Estado de México, seguro de vida, accidentes y enfermedades. </w:t>
      </w:r>
      <w:r w:rsidRPr="0007620B">
        <w:t xml:space="preserve">Asimismo, hay otras que se generan con motivo de una sentencia judicial, como es la pensión alimenticia que periódicamente se retira de la cuenta de un empleado, a efecto de que sea entregado a un tercero.  </w:t>
      </w:r>
    </w:p>
    <w:p w14:paraId="478690BB" w14:textId="77777777" w:rsidR="00714FD5" w:rsidRPr="0007620B" w:rsidRDefault="00714FD5" w:rsidP="0007620B">
      <w:pPr>
        <w:pBdr>
          <w:top w:val="nil"/>
          <w:left w:val="nil"/>
          <w:bottom w:val="nil"/>
          <w:right w:val="nil"/>
          <w:between w:val="nil"/>
        </w:pBdr>
        <w:ind w:left="720"/>
      </w:pPr>
    </w:p>
    <w:p w14:paraId="106B34DF" w14:textId="77777777" w:rsidR="00714FD5" w:rsidRPr="0007620B" w:rsidRDefault="00714FD5" w:rsidP="0007620B">
      <w:pPr>
        <w:pBdr>
          <w:top w:val="nil"/>
          <w:left w:val="nil"/>
          <w:bottom w:val="nil"/>
          <w:right w:val="nil"/>
          <w:between w:val="nil"/>
        </w:pBdr>
      </w:pPr>
      <w:r w:rsidRPr="0007620B">
        <w:t xml:space="preserve">En consecuencia, este tipo de deducciones son fruto de decisiones que impactan en el patrimonio de un servidor público con la finalidad de obtener un beneficio conforme a la decisión de un trabajador, </w:t>
      </w:r>
      <w:r w:rsidRPr="0007620B">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07620B">
        <w:t xml:space="preserve"> Así, dichas deducciones reflejan el destino que un servidor público da a su patrimonio, lo que se aleja de la transparencia y rendición de cuentas, por tanto, se deben de clasificar como confidenciales.</w:t>
      </w:r>
    </w:p>
    <w:p w14:paraId="7BD807CE" w14:textId="77777777" w:rsidR="00714FD5" w:rsidRPr="0007620B" w:rsidRDefault="00714FD5" w:rsidP="0007620B">
      <w:pPr>
        <w:pBdr>
          <w:top w:val="nil"/>
          <w:left w:val="nil"/>
          <w:bottom w:val="nil"/>
          <w:right w:val="nil"/>
          <w:between w:val="nil"/>
        </w:pBdr>
      </w:pPr>
    </w:p>
    <w:p w14:paraId="29B05DE7" w14:textId="77777777" w:rsidR="00714FD5" w:rsidRPr="0007620B" w:rsidRDefault="00714FD5" w:rsidP="0007620B">
      <w:pPr>
        <w:pBdr>
          <w:top w:val="nil"/>
          <w:left w:val="nil"/>
          <w:bottom w:val="nil"/>
          <w:right w:val="nil"/>
          <w:between w:val="nil"/>
        </w:pBdr>
      </w:pPr>
      <w:r w:rsidRPr="0007620B">
        <w:t>Por lo tanto, en los recibos de nómina que se analizan, se desconocen los conceptos que amparan las cantidades referidas, puesto que se testó dicha información, como se ilustra a manera de ejemplo:</w:t>
      </w:r>
    </w:p>
    <w:p w14:paraId="6E0F2854" w14:textId="488EB7A7" w:rsidR="00714FD5" w:rsidRPr="0007620B" w:rsidRDefault="00DE059E" w:rsidP="0007620B">
      <w:pPr>
        <w:pBdr>
          <w:top w:val="nil"/>
          <w:left w:val="nil"/>
          <w:bottom w:val="nil"/>
          <w:right w:val="nil"/>
          <w:between w:val="nil"/>
        </w:pBdr>
        <w:jc w:val="center"/>
      </w:pPr>
      <w:r w:rsidRPr="0007620B">
        <w:rPr>
          <w:noProof/>
        </w:rPr>
        <w:lastRenderedPageBreak/>
        <w:drawing>
          <wp:inline distT="0" distB="0" distL="0" distR="0" wp14:anchorId="26286566" wp14:editId="1A471829">
            <wp:extent cx="5695950" cy="3098041"/>
            <wp:effectExtent l="0" t="0" r="0" b="7620"/>
            <wp:docPr id="1733120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20751" name=""/>
                    <pic:cNvPicPr/>
                  </pic:nvPicPr>
                  <pic:blipFill>
                    <a:blip r:embed="rId17"/>
                    <a:stretch>
                      <a:fillRect/>
                    </a:stretch>
                  </pic:blipFill>
                  <pic:spPr>
                    <a:xfrm>
                      <a:off x="0" y="0"/>
                      <a:ext cx="5701617" cy="3101124"/>
                    </a:xfrm>
                    <a:prstGeom prst="rect">
                      <a:avLst/>
                    </a:prstGeom>
                  </pic:spPr>
                </pic:pic>
              </a:graphicData>
            </a:graphic>
          </wp:inline>
        </w:drawing>
      </w:r>
    </w:p>
    <w:p w14:paraId="0CC524D6" w14:textId="77777777" w:rsidR="00B410F5" w:rsidRPr="0007620B" w:rsidRDefault="00B410F5" w:rsidP="0007620B"/>
    <w:p w14:paraId="568B0E4F" w14:textId="36820464" w:rsidR="00714FD5" w:rsidRPr="0007620B" w:rsidRDefault="00714FD5" w:rsidP="0007620B">
      <w:r w:rsidRPr="0007620B">
        <w:t xml:space="preserve">Por tal circunstancia, en el presente caso, no es posible determinar con precisión la procedencia del estado de los conceptos de deducciones, puesto que </w:t>
      </w:r>
      <w:r w:rsidRPr="0007620B">
        <w:rPr>
          <w:b/>
          <w:bCs/>
        </w:rPr>
        <w:t xml:space="preserve">EL SUJETO OBLIGADO </w:t>
      </w:r>
      <w:r w:rsidRPr="0007620B">
        <w:t>testó todo el rubro</w:t>
      </w:r>
      <w:r w:rsidR="00DE059E" w:rsidRPr="0007620B">
        <w:t xml:space="preserve">. Por </w:t>
      </w:r>
      <w:r w:rsidR="00B410F5" w:rsidRPr="0007620B">
        <w:t>consiguiente,</w:t>
      </w:r>
      <w:r w:rsidR="00DE059E" w:rsidRPr="0007620B">
        <w:t xml:space="preserve"> corresponderá al </w:t>
      </w:r>
      <w:r w:rsidR="00DE059E" w:rsidRPr="0007620B">
        <w:rPr>
          <w:b/>
          <w:bCs/>
        </w:rPr>
        <w:t xml:space="preserve">SUJETO OBLIGADO </w:t>
      </w:r>
      <w:r w:rsidR="00DE059E" w:rsidRPr="0007620B">
        <w:t>el análisis de la información previamente clasificada, a efecto de proteger únicamente aquella que sea de carácter personal y publicitar las deducciones de Ley</w:t>
      </w:r>
      <w:r w:rsidR="00E12D4E" w:rsidRPr="0007620B">
        <w:t>, conforme a lo referido con antelación.</w:t>
      </w:r>
    </w:p>
    <w:p w14:paraId="2FB0C6D7" w14:textId="77777777" w:rsidR="00714FD5" w:rsidRPr="0007620B" w:rsidRDefault="00714FD5" w:rsidP="0007620B">
      <w:pPr>
        <w:pBdr>
          <w:top w:val="nil"/>
          <w:left w:val="nil"/>
          <w:bottom w:val="nil"/>
          <w:right w:val="nil"/>
          <w:between w:val="nil"/>
        </w:pBdr>
      </w:pPr>
    </w:p>
    <w:p w14:paraId="2BC8ED4A" w14:textId="77777777" w:rsidR="00714FD5" w:rsidRPr="0007620B" w:rsidRDefault="00714FD5" w:rsidP="0007620B">
      <w:pPr>
        <w:numPr>
          <w:ilvl w:val="0"/>
          <w:numId w:val="19"/>
        </w:numPr>
        <w:pBdr>
          <w:top w:val="nil"/>
          <w:left w:val="nil"/>
          <w:bottom w:val="nil"/>
          <w:right w:val="nil"/>
          <w:between w:val="nil"/>
        </w:pBdr>
      </w:pPr>
      <w:r w:rsidRPr="0007620B">
        <w:t xml:space="preserve"> </w:t>
      </w:r>
      <w:r w:rsidRPr="0007620B">
        <w:rPr>
          <w:b/>
          <w:i/>
        </w:rPr>
        <w:t xml:space="preserve">Código </w:t>
      </w:r>
      <w:proofErr w:type="spellStart"/>
      <w:r w:rsidRPr="0007620B">
        <w:rPr>
          <w:b/>
          <w:i/>
        </w:rPr>
        <w:t>Qr</w:t>
      </w:r>
      <w:proofErr w:type="spellEnd"/>
    </w:p>
    <w:p w14:paraId="5643F8C9" w14:textId="77777777" w:rsidR="00714FD5" w:rsidRPr="0007620B" w:rsidRDefault="00714FD5" w:rsidP="0007620B">
      <w:pPr>
        <w:pStyle w:val="Prrafodelista"/>
        <w:ind w:left="0"/>
        <w:rPr>
          <w:rFonts w:cs="Tahoma"/>
          <w:bCs/>
        </w:rPr>
      </w:pPr>
      <w:r w:rsidRPr="0007620B">
        <w:rPr>
          <w:rFonts w:cs="Tahoma"/>
          <w:bCs/>
        </w:rPr>
        <w:t xml:space="preserve">Los comprobantes fiscales digitales por Internet, deben de incluir un código bidimensional conforme al formato </w:t>
      </w:r>
      <w:r w:rsidRPr="0007620B">
        <w:rPr>
          <w:rFonts w:cs="Tahoma"/>
          <w:bCs/>
          <w:i/>
        </w:rPr>
        <w:t xml:space="preserve">QR </w:t>
      </w:r>
      <w:proofErr w:type="spellStart"/>
      <w:r w:rsidRPr="0007620B">
        <w:rPr>
          <w:rFonts w:cs="Tahoma"/>
          <w:bCs/>
          <w:i/>
        </w:rPr>
        <w:t>Code</w:t>
      </w:r>
      <w:proofErr w:type="spellEnd"/>
      <w:r w:rsidRPr="0007620B">
        <w:rPr>
          <w:rFonts w:cs="Tahoma"/>
          <w:bCs/>
          <w:i/>
        </w:rPr>
        <w:t xml:space="preserve"> (Quick Response </w:t>
      </w:r>
      <w:proofErr w:type="spellStart"/>
      <w:r w:rsidRPr="0007620B">
        <w:rPr>
          <w:rFonts w:cs="Tahoma"/>
          <w:bCs/>
          <w:i/>
        </w:rPr>
        <w:t>Code</w:t>
      </w:r>
      <w:proofErr w:type="spellEnd"/>
      <w:r w:rsidRPr="0007620B">
        <w:rPr>
          <w:rFonts w:cs="Tahoma"/>
          <w:bCs/>
          <w:i/>
        </w:rPr>
        <w:t>)</w:t>
      </w:r>
      <w:r w:rsidRPr="0007620B">
        <w:rPr>
          <w:rFonts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8" w:history="1">
        <w:r w:rsidRPr="0007620B">
          <w:rPr>
            <w:rStyle w:val="Hipervnculo"/>
            <w:rFonts w:cs="Tahoma"/>
            <w:bCs/>
            <w:color w:val="auto"/>
          </w:rPr>
          <w:t>http://dof.gob.mx/nota_detalle.php?codigo=5492254&amp;fecha=28/07/2017</w:t>
        </w:r>
      </w:hyperlink>
      <w:r w:rsidRPr="0007620B">
        <w:rPr>
          <w:rFonts w:cs="Tahoma"/>
          <w:bCs/>
        </w:rPr>
        <w:t xml:space="preserve">. Incluso con la captura de dicho código, a través de la aplicación móvil del Servicio de Administración </w:t>
      </w:r>
      <w:r w:rsidRPr="0007620B">
        <w:rPr>
          <w:rFonts w:cs="Tahoma"/>
          <w:bCs/>
        </w:rPr>
        <w:lastRenderedPageBreak/>
        <w:t>Tributaria, permite el acceso al Registro Federal de Contribuyentes, como del Sujeto Obligado, como de los servidores públicos.</w:t>
      </w:r>
    </w:p>
    <w:p w14:paraId="08AC2D1C" w14:textId="77777777" w:rsidR="00714FD5" w:rsidRPr="0007620B" w:rsidRDefault="00714FD5" w:rsidP="0007620B">
      <w:pPr>
        <w:pStyle w:val="Prrafodelista"/>
        <w:ind w:left="0"/>
        <w:rPr>
          <w:rFonts w:cs="Tahoma"/>
          <w:bCs/>
        </w:rPr>
      </w:pPr>
    </w:p>
    <w:p w14:paraId="504B48D6" w14:textId="77777777" w:rsidR="00714FD5" w:rsidRPr="0007620B" w:rsidRDefault="00714FD5" w:rsidP="0007620B">
      <w:pPr>
        <w:pStyle w:val="Prrafodelista"/>
        <w:ind w:left="0"/>
        <w:rPr>
          <w:rFonts w:cs="Tahoma"/>
          <w:bCs/>
        </w:rPr>
      </w:pPr>
      <w:r w:rsidRPr="0007620B">
        <w:rPr>
          <w:rFonts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73362663" w14:textId="77777777" w:rsidR="00714FD5" w:rsidRPr="0007620B" w:rsidRDefault="00714FD5" w:rsidP="0007620B">
      <w:pPr>
        <w:pStyle w:val="Prrafodelista"/>
        <w:ind w:left="0"/>
        <w:rPr>
          <w:rFonts w:cs="Tahoma"/>
          <w:bCs/>
        </w:rPr>
      </w:pPr>
    </w:p>
    <w:p w14:paraId="7F6B8C56" w14:textId="77777777" w:rsidR="00714FD5" w:rsidRPr="0007620B" w:rsidRDefault="00714FD5" w:rsidP="0007620B">
      <w:pPr>
        <w:numPr>
          <w:ilvl w:val="0"/>
          <w:numId w:val="19"/>
        </w:numPr>
        <w:rPr>
          <w:b/>
          <w:i/>
        </w:rPr>
      </w:pPr>
      <w:bookmarkStart w:id="32" w:name="_Toc86917948"/>
      <w:r w:rsidRPr="0007620B">
        <w:rPr>
          <w:b/>
          <w:i/>
        </w:rPr>
        <w:t xml:space="preserve">Sellos digitales del emisor y del Servicio de Administración Tributaria y cadena original del complemento de certificación digital del órgano previamente señalado; así como folio fiscal. </w:t>
      </w:r>
      <w:bookmarkEnd w:id="32"/>
    </w:p>
    <w:p w14:paraId="5BF3C07E" w14:textId="77777777" w:rsidR="00714FD5" w:rsidRPr="0007620B" w:rsidRDefault="00714FD5" w:rsidP="0007620B">
      <w:pPr>
        <w:pStyle w:val="Prrafodelista"/>
        <w:ind w:left="0"/>
        <w:rPr>
          <w:rFonts w:cs="Tahoma"/>
          <w:b/>
          <w:bCs/>
        </w:rPr>
      </w:pPr>
    </w:p>
    <w:p w14:paraId="312C885A" w14:textId="77777777" w:rsidR="00714FD5" w:rsidRPr="0007620B" w:rsidRDefault="00714FD5" w:rsidP="0007620B">
      <w:pPr>
        <w:pStyle w:val="Prrafodelista"/>
        <w:ind w:left="0"/>
        <w:rPr>
          <w:rFonts w:cs="Tahoma"/>
          <w:bCs/>
        </w:rPr>
      </w:pPr>
      <w:r w:rsidRPr="0007620B">
        <w:rPr>
          <w:rFonts w:cs="Tahoma"/>
          <w:b/>
          <w:bCs/>
        </w:rPr>
        <w:t>Cuando, de la secuencia de números y letras, no se advierta un Registro Federal de Contribuyentes o una Clave Única de Registro de Población, que pueda hacer identificable al titular del dato personal, no puede tenerse como dato personal</w:t>
      </w:r>
      <w:r w:rsidRPr="0007620B">
        <w:rPr>
          <w:rFonts w:cs="Tahoma"/>
          <w:bCs/>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477B1B9" w14:textId="77777777" w:rsidR="00714FD5" w:rsidRPr="0007620B" w:rsidRDefault="00714FD5" w:rsidP="0007620B">
      <w:pPr>
        <w:pStyle w:val="Prrafodelista"/>
        <w:ind w:left="0"/>
        <w:rPr>
          <w:rFonts w:cs="Tahoma"/>
          <w:bCs/>
        </w:rPr>
      </w:pPr>
    </w:p>
    <w:p w14:paraId="4EE9D58E" w14:textId="77777777" w:rsidR="00714FD5" w:rsidRPr="0007620B" w:rsidRDefault="00714FD5" w:rsidP="0007620B">
      <w:pPr>
        <w:pStyle w:val="Prrafodelista"/>
        <w:ind w:left="0"/>
        <w:rPr>
          <w:rFonts w:cs="Tahoma"/>
          <w:bCs/>
        </w:rPr>
      </w:pPr>
      <w:r w:rsidRPr="0007620B">
        <w:rPr>
          <w:rFonts w:cs="Tahoma"/>
        </w:rPr>
        <w:t>Las cadenas originales y sellos que se agregan a las facturas</w:t>
      </w:r>
      <w:r w:rsidRPr="0007620B">
        <w:rPr>
          <w:rFonts w:cs="Tahoma"/>
          <w:b/>
          <w:bCs/>
        </w:rPr>
        <w:t>,</w:t>
      </w:r>
      <w:r w:rsidRPr="0007620B">
        <w:rPr>
          <w:rFonts w:cs="Tahoma"/>
          <w:bCs/>
        </w:rPr>
        <w:t xml:space="preserve"> tienen una secuencia de generación, determinados con base en el ANEXO 20 de la Segunda Resolución de </w:t>
      </w:r>
      <w:r w:rsidRPr="0007620B">
        <w:rPr>
          <w:rFonts w:cs="Tahoma"/>
          <w:bCs/>
        </w:rPr>
        <w:lastRenderedPageBreak/>
        <w:t>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BB29022" w14:textId="77777777" w:rsidR="00714FD5" w:rsidRPr="0007620B" w:rsidRDefault="00714FD5" w:rsidP="0007620B">
      <w:pPr>
        <w:pStyle w:val="Puesto"/>
        <w:ind w:firstLine="0"/>
        <w:rPr>
          <w:color w:val="auto"/>
          <w:lang w:eastAsia="en-US"/>
        </w:rPr>
      </w:pPr>
      <w:r w:rsidRPr="0007620B">
        <w:rPr>
          <w:color w:val="auto"/>
          <w:lang w:eastAsia="en-US"/>
        </w:rPr>
        <w:t>“Elementos utilizados en la generación de Sellos Digitales:</w:t>
      </w:r>
    </w:p>
    <w:p w14:paraId="0C50699B" w14:textId="77777777" w:rsidR="00714FD5" w:rsidRPr="0007620B" w:rsidRDefault="00714FD5" w:rsidP="0007620B">
      <w:pPr>
        <w:pStyle w:val="Puesto"/>
        <w:ind w:firstLine="0"/>
        <w:rPr>
          <w:color w:val="auto"/>
          <w:lang w:eastAsia="en-US"/>
        </w:rPr>
      </w:pPr>
      <w:r w:rsidRPr="0007620B">
        <w:rPr>
          <w:color w:val="auto"/>
          <w:lang w:eastAsia="en-US"/>
        </w:rPr>
        <w:t>•</w:t>
      </w:r>
      <w:r w:rsidRPr="0007620B">
        <w:rPr>
          <w:color w:val="auto"/>
          <w:lang w:eastAsia="en-US"/>
        </w:rPr>
        <w:tab/>
        <w:t>Cadena Original, el elemento a sellar, en este caso de un comprobante fiscal digital a través de Internet.</w:t>
      </w:r>
    </w:p>
    <w:p w14:paraId="03F01F87" w14:textId="77777777" w:rsidR="00714FD5" w:rsidRPr="0007620B" w:rsidRDefault="00714FD5" w:rsidP="0007620B">
      <w:pPr>
        <w:pStyle w:val="Puesto"/>
        <w:ind w:firstLine="0"/>
        <w:rPr>
          <w:color w:val="auto"/>
          <w:lang w:eastAsia="en-US"/>
        </w:rPr>
      </w:pPr>
      <w:r w:rsidRPr="0007620B">
        <w:rPr>
          <w:color w:val="auto"/>
          <w:lang w:eastAsia="en-US"/>
        </w:rPr>
        <w:t>•</w:t>
      </w:r>
      <w:r w:rsidRPr="0007620B">
        <w:rPr>
          <w:color w:val="auto"/>
          <w:lang w:eastAsia="en-US"/>
        </w:rPr>
        <w:tab/>
        <w:t>Certificado de Sello Digital y su correspondiente clave privada.</w:t>
      </w:r>
    </w:p>
    <w:p w14:paraId="2DF624B5" w14:textId="77777777" w:rsidR="00714FD5" w:rsidRPr="0007620B" w:rsidRDefault="00714FD5" w:rsidP="0007620B">
      <w:pPr>
        <w:pStyle w:val="Puesto"/>
        <w:ind w:firstLine="0"/>
        <w:rPr>
          <w:color w:val="auto"/>
          <w:lang w:eastAsia="en-US"/>
        </w:rPr>
      </w:pPr>
      <w:r w:rsidRPr="0007620B">
        <w:rPr>
          <w:color w:val="auto"/>
          <w:lang w:eastAsia="en-US"/>
        </w:rPr>
        <w:t>•</w:t>
      </w:r>
      <w:r w:rsidRPr="0007620B">
        <w:rPr>
          <w:color w:val="auto"/>
          <w:lang w:eastAsia="en-US"/>
        </w:rPr>
        <w:tab/>
        <w:t>Algoritmos de criptografía de clave pública para firma electrónica avanzada.</w:t>
      </w:r>
    </w:p>
    <w:p w14:paraId="56EB031A" w14:textId="77777777" w:rsidR="00714FD5" w:rsidRPr="0007620B" w:rsidRDefault="00714FD5" w:rsidP="0007620B">
      <w:pPr>
        <w:pStyle w:val="Puesto"/>
        <w:ind w:firstLine="0"/>
        <w:rPr>
          <w:color w:val="auto"/>
          <w:lang w:eastAsia="en-US"/>
        </w:rPr>
      </w:pPr>
      <w:r w:rsidRPr="0007620B">
        <w:rPr>
          <w:color w:val="auto"/>
          <w:lang w:eastAsia="en-US"/>
        </w:rPr>
        <w:t>•</w:t>
      </w:r>
      <w:r w:rsidRPr="0007620B">
        <w:rPr>
          <w:color w:val="auto"/>
          <w:lang w:eastAsia="en-US"/>
        </w:rPr>
        <w:tab/>
        <w:t>Especificaciones de conversión de la firma electrónica avanzada a Base 64.</w:t>
      </w:r>
    </w:p>
    <w:p w14:paraId="10E2E400" w14:textId="77777777" w:rsidR="00714FD5" w:rsidRPr="0007620B" w:rsidRDefault="00714FD5" w:rsidP="0007620B">
      <w:pPr>
        <w:pStyle w:val="Puesto"/>
        <w:ind w:firstLine="0"/>
        <w:rPr>
          <w:color w:val="auto"/>
          <w:lang w:eastAsia="en-US"/>
        </w:rPr>
      </w:pPr>
      <w:r w:rsidRPr="0007620B">
        <w:rPr>
          <w:color w:val="auto"/>
          <w:lang w:eastAsia="en-US"/>
        </w:rPr>
        <w:t>Para la generación de sellos digitales se utiliza criptografía de clave pública aplicada a una cadena original.</w:t>
      </w:r>
    </w:p>
    <w:p w14:paraId="6B518886" w14:textId="77777777" w:rsidR="00714FD5" w:rsidRPr="0007620B" w:rsidRDefault="00714FD5" w:rsidP="0007620B">
      <w:pPr>
        <w:pStyle w:val="Puesto"/>
        <w:ind w:firstLine="0"/>
        <w:rPr>
          <w:color w:val="auto"/>
          <w:lang w:eastAsia="en-US"/>
        </w:rPr>
      </w:pPr>
    </w:p>
    <w:p w14:paraId="31EF632F" w14:textId="77777777" w:rsidR="00714FD5" w:rsidRPr="0007620B" w:rsidRDefault="00714FD5" w:rsidP="0007620B">
      <w:pPr>
        <w:pStyle w:val="Puesto"/>
        <w:ind w:firstLine="0"/>
        <w:rPr>
          <w:color w:val="auto"/>
          <w:lang w:eastAsia="en-US"/>
        </w:rPr>
      </w:pPr>
      <w:r w:rsidRPr="0007620B">
        <w:rPr>
          <w:color w:val="auto"/>
          <w:lang w:eastAsia="en-US"/>
        </w:rPr>
        <w:t>Criptografía de la Clave Pública</w:t>
      </w:r>
    </w:p>
    <w:p w14:paraId="47BCC822" w14:textId="77777777" w:rsidR="00714FD5" w:rsidRPr="0007620B" w:rsidRDefault="00714FD5" w:rsidP="0007620B">
      <w:pPr>
        <w:pStyle w:val="Puesto"/>
        <w:ind w:firstLine="0"/>
        <w:rPr>
          <w:color w:val="auto"/>
          <w:lang w:eastAsia="en-US"/>
        </w:rPr>
      </w:pPr>
      <w:r w:rsidRPr="0007620B">
        <w:rPr>
          <w:color w:val="auto"/>
          <w:lang w:eastAsia="en-US"/>
        </w:rPr>
        <w:t xml:space="preserve">La criptografía de Clave Pública se basa en la generación de una pareja de números muy grandes relacionados íntimamente entre sí, de tal manera que una operación de </w:t>
      </w:r>
      <w:proofErr w:type="spellStart"/>
      <w:r w:rsidRPr="0007620B">
        <w:rPr>
          <w:color w:val="auto"/>
          <w:lang w:eastAsia="en-US"/>
        </w:rPr>
        <w:t>encripción</w:t>
      </w:r>
      <w:proofErr w:type="spellEnd"/>
      <w:r w:rsidRPr="0007620B">
        <w:rPr>
          <w:color w:val="auto"/>
          <w:lang w:eastAsia="en-US"/>
        </w:rPr>
        <w:t xml:space="preserve"> sobre un mensaje tomando como clave de </w:t>
      </w:r>
      <w:proofErr w:type="spellStart"/>
      <w:r w:rsidRPr="0007620B">
        <w:rPr>
          <w:color w:val="auto"/>
          <w:lang w:eastAsia="en-US"/>
        </w:rPr>
        <w:t>encripción</w:t>
      </w:r>
      <w:proofErr w:type="spellEnd"/>
      <w:r w:rsidRPr="0007620B">
        <w:rPr>
          <w:color w:val="auto"/>
          <w:lang w:eastAsia="en-US"/>
        </w:rPr>
        <w:t xml:space="preserve"> a uno de los dos números, produce un mensaje alterado en su significado que solo puede ser devuelto a su estado original mediante la operación de </w:t>
      </w:r>
      <w:proofErr w:type="spellStart"/>
      <w:r w:rsidRPr="0007620B">
        <w:rPr>
          <w:color w:val="auto"/>
          <w:lang w:eastAsia="en-US"/>
        </w:rPr>
        <w:t>desencripción</w:t>
      </w:r>
      <w:proofErr w:type="spellEnd"/>
      <w:r w:rsidRPr="0007620B">
        <w:rPr>
          <w:color w:val="auto"/>
          <w:lang w:eastAsia="en-US"/>
        </w:rPr>
        <w:t xml:space="preserve"> correspondiente tomando como clave de </w:t>
      </w:r>
      <w:proofErr w:type="spellStart"/>
      <w:r w:rsidRPr="0007620B">
        <w:rPr>
          <w:color w:val="auto"/>
          <w:lang w:eastAsia="en-US"/>
        </w:rPr>
        <w:t>desencripción</w:t>
      </w:r>
      <w:proofErr w:type="spellEnd"/>
      <w:r w:rsidRPr="0007620B">
        <w:rPr>
          <w:color w:val="auto"/>
          <w:lang w:eastAsia="en-US"/>
        </w:rPr>
        <w:t xml:space="preserve"> al otro número de la pareja.”</w:t>
      </w:r>
    </w:p>
    <w:p w14:paraId="305693D3" w14:textId="77777777" w:rsidR="00714FD5" w:rsidRPr="0007620B" w:rsidRDefault="00714FD5" w:rsidP="0007620B">
      <w:pPr>
        <w:rPr>
          <w:rFonts w:cs="Tahoma"/>
          <w:bCs/>
        </w:rPr>
      </w:pPr>
      <w:r w:rsidRPr="0007620B">
        <w:rPr>
          <w:rFonts w:cs="Tahoma"/>
          <w:bCs/>
        </w:rPr>
        <w:t> </w:t>
      </w:r>
    </w:p>
    <w:p w14:paraId="0471C678" w14:textId="77777777" w:rsidR="00714FD5" w:rsidRPr="0007620B" w:rsidRDefault="00714FD5" w:rsidP="0007620B">
      <w:pPr>
        <w:pStyle w:val="Prrafodelista"/>
        <w:ind w:left="0"/>
        <w:rPr>
          <w:rFonts w:cs="Tahoma"/>
          <w:bCs/>
        </w:rPr>
      </w:pPr>
      <w:r w:rsidRPr="0007620B">
        <w:rPr>
          <w:rFonts w:cs="Tahoma"/>
          <w:bC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BD7A1A5" w14:textId="77777777" w:rsidR="00714FD5" w:rsidRPr="0007620B" w:rsidRDefault="00714FD5" w:rsidP="0007620B">
      <w:pPr>
        <w:pStyle w:val="Prrafodelista"/>
        <w:ind w:left="0"/>
        <w:rPr>
          <w:rFonts w:cs="Tahoma"/>
          <w:bCs/>
        </w:rPr>
      </w:pPr>
      <w:r w:rsidRPr="0007620B">
        <w:rPr>
          <w:rFonts w:cs="Tahoma"/>
          <w:bCs/>
        </w:rPr>
        <w:t xml:space="preserve">Por otra parte, por lo que hace </w:t>
      </w:r>
      <w:r w:rsidRPr="0007620B">
        <w:rPr>
          <w:rFonts w:cs="Tahoma"/>
          <w:b/>
          <w:bCs/>
          <w:u w:val="single"/>
        </w:rPr>
        <w:t>Folio Fiscal</w:t>
      </w:r>
      <w:r w:rsidRPr="0007620B">
        <w:rPr>
          <w:rFonts w:cs="Tahoma"/>
          <w:bCs/>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w:t>
      </w:r>
      <w:r w:rsidRPr="0007620B">
        <w:rPr>
          <w:rFonts w:cs="Tahoma"/>
          <w:bCs/>
        </w:rPr>
        <w:lastRenderedPageBreak/>
        <w:t>comprobante fiscal. Es un número consecutivo contenido en los comprobantes fiscales digitales, compuesto por 5 grupos de números y letras separados por guiones, tal como se muestra a continuación:</w:t>
      </w:r>
    </w:p>
    <w:p w14:paraId="3A60E553" w14:textId="77777777" w:rsidR="00714FD5" w:rsidRPr="0007620B" w:rsidRDefault="00714FD5" w:rsidP="0007620B">
      <w:pPr>
        <w:rPr>
          <w:rFonts w:cs="Tahoma"/>
          <w:bCs/>
        </w:rPr>
      </w:pPr>
      <w:r w:rsidRPr="0007620B">
        <w:rPr>
          <w:rFonts w:cs="Tahoma"/>
          <w:bCs/>
        </w:rPr>
        <w:t> </w:t>
      </w:r>
    </w:p>
    <w:p w14:paraId="324A6557" w14:textId="77777777" w:rsidR="00714FD5" w:rsidRPr="0007620B" w:rsidRDefault="00714FD5" w:rsidP="0007620B">
      <w:pPr>
        <w:jc w:val="center"/>
        <w:rPr>
          <w:rFonts w:cs="Tahoma"/>
          <w:bCs/>
        </w:rPr>
      </w:pPr>
      <w:r w:rsidRPr="0007620B">
        <w:rPr>
          <w:rFonts w:cs="Tahoma"/>
          <w:bCs/>
          <w:noProof/>
        </w:rPr>
        <w:drawing>
          <wp:inline distT="0" distB="0" distL="0" distR="0" wp14:anchorId="0B8B4A62" wp14:editId="79B15A21">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9">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6B1E7951" w14:textId="77777777" w:rsidR="00714FD5" w:rsidRPr="0007620B" w:rsidRDefault="00714FD5" w:rsidP="0007620B">
      <w:pPr>
        <w:jc w:val="center"/>
        <w:rPr>
          <w:rFonts w:cs="Tahoma"/>
          <w:bCs/>
        </w:rPr>
      </w:pPr>
    </w:p>
    <w:p w14:paraId="0B2119E8" w14:textId="77777777" w:rsidR="00714FD5" w:rsidRPr="0007620B" w:rsidRDefault="00714FD5" w:rsidP="0007620B">
      <w:pPr>
        <w:pStyle w:val="Prrafodelista"/>
        <w:ind w:left="0"/>
        <w:rPr>
          <w:rFonts w:cs="Tahoma"/>
          <w:bCs/>
        </w:rPr>
      </w:pPr>
      <w:r w:rsidRPr="0007620B">
        <w:rPr>
          <w:rFonts w:cs="Tahoma"/>
          <w:bC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0FEB87F7" w14:textId="77777777" w:rsidR="00714FD5" w:rsidRPr="0007620B" w:rsidRDefault="00714FD5" w:rsidP="0007620B">
      <w:pPr>
        <w:pBdr>
          <w:top w:val="nil"/>
          <w:left w:val="nil"/>
          <w:bottom w:val="nil"/>
          <w:right w:val="nil"/>
          <w:between w:val="nil"/>
        </w:pBdr>
      </w:pPr>
    </w:p>
    <w:p w14:paraId="59CBC86D" w14:textId="77777777" w:rsidR="00714FD5" w:rsidRPr="0007620B" w:rsidRDefault="00714FD5" w:rsidP="0007620B">
      <w:pPr>
        <w:pBdr>
          <w:top w:val="nil"/>
          <w:left w:val="nil"/>
          <w:bottom w:val="nil"/>
          <w:right w:val="nil"/>
          <w:between w:val="nil"/>
        </w:pBdr>
      </w:pPr>
      <w:r w:rsidRPr="0007620B">
        <w:t>Por otro lado, debe traerse a colación lo dispuesto en el artículo 168 de la Ley de Transparencia y Acceso a la Información Pública del Estado de México y Municipios, que precisa que</w:t>
      </w:r>
      <w:r w:rsidRPr="0007620B">
        <w:rPr>
          <w:rFonts w:ascii="Arial" w:eastAsia="Arial" w:hAnsi="Arial" w:cs="Arial"/>
          <w:sz w:val="24"/>
          <w:szCs w:val="24"/>
        </w:rPr>
        <w:t xml:space="preserve"> </w:t>
      </w:r>
      <w:r w:rsidRPr="0007620B">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9D4D230" w14:textId="77777777" w:rsidR="00714FD5" w:rsidRPr="0007620B" w:rsidRDefault="00714FD5" w:rsidP="0007620B">
      <w:pPr>
        <w:tabs>
          <w:tab w:val="left" w:pos="3962"/>
        </w:tabs>
      </w:pPr>
    </w:p>
    <w:p w14:paraId="74907E69" w14:textId="77777777" w:rsidR="00714FD5" w:rsidRPr="0007620B" w:rsidRDefault="00714FD5" w:rsidP="0007620B">
      <w:pPr>
        <w:numPr>
          <w:ilvl w:val="0"/>
          <w:numId w:val="23"/>
        </w:numPr>
        <w:tabs>
          <w:tab w:val="left" w:pos="3962"/>
        </w:tabs>
      </w:pPr>
      <w:r w:rsidRPr="0007620B">
        <w:t>Confirmar la clasificación;</w:t>
      </w:r>
    </w:p>
    <w:p w14:paraId="664E6F77" w14:textId="77777777" w:rsidR="00714FD5" w:rsidRPr="0007620B" w:rsidRDefault="00714FD5" w:rsidP="0007620B">
      <w:pPr>
        <w:numPr>
          <w:ilvl w:val="0"/>
          <w:numId w:val="23"/>
        </w:numPr>
        <w:tabs>
          <w:tab w:val="left" w:pos="3962"/>
        </w:tabs>
      </w:pPr>
      <w:r w:rsidRPr="0007620B">
        <w:t>Modificar la clasificación y, otorgar total o parcialmente el acceso a la información, o</w:t>
      </w:r>
    </w:p>
    <w:p w14:paraId="6A1702AB" w14:textId="77777777" w:rsidR="00714FD5" w:rsidRPr="0007620B" w:rsidRDefault="00714FD5" w:rsidP="0007620B">
      <w:pPr>
        <w:numPr>
          <w:ilvl w:val="0"/>
          <w:numId w:val="23"/>
        </w:numPr>
        <w:tabs>
          <w:tab w:val="left" w:pos="3962"/>
        </w:tabs>
      </w:pPr>
      <w:r w:rsidRPr="0007620B">
        <w:t>Revocar la clasificación y conceder el acceso a la información.</w:t>
      </w:r>
    </w:p>
    <w:p w14:paraId="0FCE3D2E" w14:textId="77777777" w:rsidR="00714FD5" w:rsidRPr="0007620B" w:rsidRDefault="00714FD5" w:rsidP="0007620B">
      <w:pPr>
        <w:tabs>
          <w:tab w:val="left" w:pos="3962"/>
        </w:tabs>
      </w:pPr>
    </w:p>
    <w:p w14:paraId="760DC621" w14:textId="77777777" w:rsidR="00714FD5" w:rsidRPr="0007620B" w:rsidRDefault="00714FD5" w:rsidP="0007620B">
      <w:r w:rsidRPr="0007620B">
        <w:lastRenderedPageBreak/>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p>
    <w:p w14:paraId="0976D794" w14:textId="77777777" w:rsidR="00714FD5" w:rsidRPr="0007620B" w:rsidRDefault="00714FD5" w:rsidP="0007620B"/>
    <w:p w14:paraId="7CEC6CA1" w14:textId="77777777" w:rsidR="00E12D4E" w:rsidRPr="0007620B" w:rsidRDefault="00714FD5" w:rsidP="0007620B">
      <w:pPr>
        <w:tabs>
          <w:tab w:val="left" w:pos="5550"/>
        </w:tabs>
        <w:ind w:right="-28"/>
      </w:pPr>
      <w:r w:rsidRPr="0007620B">
        <w:t xml:space="preserve">Sobre dicha situación, </w:t>
      </w:r>
      <w:r w:rsidRPr="0007620B">
        <w:rPr>
          <w:b/>
        </w:rPr>
        <w:t>EL SUJETO OBLIGADO</w:t>
      </w:r>
      <w:r w:rsidRPr="0007620B">
        <w:t xml:space="preserve">, en respuesta proporcionó el Acta de la </w:t>
      </w:r>
      <w:r w:rsidR="00E12D4E" w:rsidRPr="0007620B">
        <w:rPr>
          <w:iCs/>
        </w:rPr>
        <w:t>Sexta sesión extraordinaria</w:t>
      </w:r>
      <w:r w:rsidRPr="0007620B">
        <w:t xml:space="preserve"> del Comité de Transparencia, relativo a la aprobación, modificación o revocación de la propuesta de versión pública de los recibos de nómina materia del recurso en estudio, de cuya revisión, se logra vislumbrar que se clasifican los datos </w:t>
      </w:r>
      <w:r w:rsidR="00E12D4E" w:rsidRPr="0007620B">
        <w:t>siguientes:</w:t>
      </w:r>
    </w:p>
    <w:p w14:paraId="2C73AA12" w14:textId="77777777" w:rsidR="00E12D4E" w:rsidRPr="0007620B" w:rsidRDefault="00E12D4E" w:rsidP="0007620B">
      <w:pPr>
        <w:tabs>
          <w:tab w:val="left" w:pos="5550"/>
        </w:tabs>
        <w:ind w:right="-28"/>
      </w:pPr>
    </w:p>
    <w:p w14:paraId="5E6EA155" w14:textId="55FC9FF5" w:rsidR="00E12D4E" w:rsidRPr="0007620B" w:rsidRDefault="00E12D4E" w:rsidP="0007620B">
      <w:pPr>
        <w:tabs>
          <w:tab w:val="left" w:pos="5550"/>
        </w:tabs>
        <w:ind w:right="-28"/>
      </w:pPr>
      <w:r w:rsidRPr="0007620B">
        <w:rPr>
          <w:noProof/>
        </w:rPr>
        <w:drawing>
          <wp:inline distT="0" distB="0" distL="0" distR="0" wp14:anchorId="5791697F" wp14:editId="008911C5">
            <wp:extent cx="2381582" cy="1952898"/>
            <wp:effectExtent l="0" t="0" r="0" b="9525"/>
            <wp:docPr id="3310133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13352" name=""/>
                    <pic:cNvPicPr/>
                  </pic:nvPicPr>
                  <pic:blipFill>
                    <a:blip r:embed="rId20"/>
                    <a:stretch>
                      <a:fillRect/>
                    </a:stretch>
                  </pic:blipFill>
                  <pic:spPr>
                    <a:xfrm>
                      <a:off x="0" y="0"/>
                      <a:ext cx="2381582" cy="1952898"/>
                    </a:xfrm>
                    <a:prstGeom prst="rect">
                      <a:avLst/>
                    </a:prstGeom>
                  </pic:spPr>
                </pic:pic>
              </a:graphicData>
            </a:graphic>
          </wp:inline>
        </w:drawing>
      </w:r>
    </w:p>
    <w:p w14:paraId="3414A19D" w14:textId="77777777" w:rsidR="00E12D4E" w:rsidRPr="0007620B" w:rsidRDefault="00E12D4E" w:rsidP="0007620B">
      <w:pPr>
        <w:tabs>
          <w:tab w:val="left" w:pos="5550"/>
        </w:tabs>
        <w:ind w:right="-28"/>
      </w:pPr>
    </w:p>
    <w:p w14:paraId="2F38F859" w14:textId="044E0C3A" w:rsidR="00714FD5" w:rsidRPr="0007620B" w:rsidRDefault="00E12D4E" w:rsidP="0007620B">
      <w:pPr>
        <w:tabs>
          <w:tab w:val="left" w:pos="5550"/>
        </w:tabs>
        <w:ind w:right="-28"/>
      </w:pPr>
      <w:r w:rsidRPr="0007620B">
        <w:t>S</w:t>
      </w:r>
      <w:r w:rsidR="00714FD5" w:rsidRPr="0007620B">
        <w:t>in embargo del análisis realizado a los recibos de nómina, el testado en los recibos de nómina no es coincidente con los datos que se testaron en los dicho</w:t>
      </w:r>
      <w:r w:rsidR="00505139" w:rsidRPr="0007620B">
        <w:t>s</w:t>
      </w:r>
      <w:r w:rsidR="00714FD5" w:rsidRPr="0007620B">
        <w:t xml:space="preserve"> recibos de nómina</w:t>
      </w:r>
      <w:r w:rsidRPr="0007620B">
        <w:t>, esto es, en los recibos de nómina adicional a los datos personales referidos se testaron:</w:t>
      </w:r>
    </w:p>
    <w:p w14:paraId="2524F895" w14:textId="77777777" w:rsidR="00E12D4E" w:rsidRPr="0007620B" w:rsidRDefault="00E12D4E" w:rsidP="0007620B">
      <w:pPr>
        <w:tabs>
          <w:tab w:val="left" w:pos="5550"/>
        </w:tabs>
        <w:ind w:right="-28"/>
      </w:pPr>
    </w:p>
    <w:p w14:paraId="5AA5C121" w14:textId="77777777" w:rsidR="00E12D4E" w:rsidRPr="0007620B" w:rsidRDefault="00E12D4E" w:rsidP="0007620B">
      <w:pPr>
        <w:numPr>
          <w:ilvl w:val="0"/>
          <w:numId w:val="20"/>
        </w:numPr>
      </w:pPr>
      <w:r w:rsidRPr="0007620B">
        <w:t>Cuenta</w:t>
      </w:r>
    </w:p>
    <w:p w14:paraId="23EEE741" w14:textId="77777777" w:rsidR="00E12D4E" w:rsidRPr="0007620B" w:rsidRDefault="00E12D4E" w:rsidP="0007620B">
      <w:pPr>
        <w:numPr>
          <w:ilvl w:val="0"/>
          <w:numId w:val="20"/>
        </w:numPr>
      </w:pPr>
      <w:r w:rsidRPr="0007620B">
        <w:t>Banco</w:t>
      </w:r>
    </w:p>
    <w:p w14:paraId="1F2A8168" w14:textId="77777777" w:rsidR="00E12D4E" w:rsidRPr="0007620B" w:rsidRDefault="00E12D4E" w:rsidP="0007620B">
      <w:pPr>
        <w:numPr>
          <w:ilvl w:val="0"/>
          <w:numId w:val="20"/>
        </w:numPr>
      </w:pPr>
      <w:r w:rsidRPr="0007620B">
        <w:t>Régimen Fiscal</w:t>
      </w:r>
    </w:p>
    <w:p w14:paraId="3CB32FA0" w14:textId="77777777" w:rsidR="00E12D4E" w:rsidRPr="0007620B" w:rsidRDefault="00E12D4E" w:rsidP="0007620B">
      <w:pPr>
        <w:numPr>
          <w:ilvl w:val="0"/>
          <w:numId w:val="20"/>
        </w:numPr>
      </w:pPr>
      <w:r w:rsidRPr="0007620B">
        <w:t>Folio Fiscal</w:t>
      </w:r>
    </w:p>
    <w:p w14:paraId="379C2EEC" w14:textId="77777777" w:rsidR="00714FD5" w:rsidRPr="0007620B" w:rsidRDefault="00714FD5" w:rsidP="0007620B">
      <w:pPr>
        <w:tabs>
          <w:tab w:val="left" w:pos="5550"/>
        </w:tabs>
        <w:ind w:right="-28"/>
      </w:pPr>
    </w:p>
    <w:p w14:paraId="7DC0DD3C" w14:textId="74881FF4" w:rsidR="00714FD5" w:rsidRPr="0007620B" w:rsidRDefault="00714FD5" w:rsidP="0007620B">
      <w:pPr>
        <w:pStyle w:val="Prrafodelista"/>
        <w:ind w:left="0"/>
        <w:rPr>
          <w:rFonts w:cs="Arial"/>
        </w:rPr>
      </w:pPr>
      <w:r w:rsidRPr="0007620B">
        <w:rPr>
          <w:rFonts w:cs="Arial"/>
        </w:rPr>
        <w:lastRenderedPageBreak/>
        <w:t xml:space="preserve">Teniendo así que, del análisis realizado a los recibos de nómina, se logra apreciar que </w:t>
      </w:r>
      <w:r w:rsidRPr="0007620B">
        <w:rPr>
          <w:rFonts w:cs="Arial"/>
          <w:b/>
        </w:rPr>
        <w:t>la versión pública que remitió EL SUJETO OBLIGADO resulta excesiva</w:t>
      </w:r>
      <w:r w:rsidRPr="0007620B">
        <w:rPr>
          <w:rFonts w:cs="Arial"/>
        </w:rPr>
        <w:t xml:space="preserve">, pues se pretende clasificar información que es de carácter pública, tal como el </w:t>
      </w:r>
      <w:r w:rsidRPr="0007620B">
        <w:rPr>
          <w:rFonts w:cs="Arial"/>
          <w:u w:val="single"/>
        </w:rPr>
        <w:t xml:space="preserve">folio fiscal, así como deducciones </w:t>
      </w:r>
      <w:r w:rsidR="00E12D4E" w:rsidRPr="0007620B">
        <w:rPr>
          <w:rFonts w:cs="Arial"/>
          <w:u w:val="single"/>
        </w:rPr>
        <w:t xml:space="preserve">de Ley, como puede ser el </w:t>
      </w:r>
      <w:r w:rsidRPr="0007620B">
        <w:rPr>
          <w:rFonts w:cs="Arial"/>
          <w:u w:val="single"/>
        </w:rPr>
        <w:t xml:space="preserve">ISR, </w:t>
      </w:r>
      <w:r w:rsidR="00E12D4E" w:rsidRPr="0007620B">
        <w:rPr>
          <w:rFonts w:cs="Arial"/>
          <w:u w:val="single"/>
        </w:rPr>
        <w:t>el monto del sueldo base.</w:t>
      </w:r>
    </w:p>
    <w:p w14:paraId="6AF44E44" w14:textId="77777777" w:rsidR="00714FD5" w:rsidRPr="0007620B" w:rsidRDefault="00714FD5" w:rsidP="0007620B"/>
    <w:p w14:paraId="396B7021" w14:textId="77777777" w:rsidR="00714FD5" w:rsidRPr="0007620B" w:rsidRDefault="00714FD5" w:rsidP="0007620B">
      <w:r w:rsidRPr="0007620B">
        <w:t>Expuesto lo anterior, debe señalarse que en el caso en particular no se tiene por colmado los requerimientos en análisis, es decir, respecto de los recibos de nómina; por lo tanto, resulta dable ordenar su entrega en correcta versión pública.</w:t>
      </w:r>
    </w:p>
    <w:p w14:paraId="04E719EF" w14:textId="77777777" w:rsidR="00B4121F" w:rsidRPr="0007620B" w:rsidRDefault="00B4121F" w:rsidP="0007620B">
      <w:pPr>
        <w:ind w:right="-28"/>
        <w:rPr>
          <w:iCs/>
        </w:rPr>
      </w:pPr>
    </w:p>
    <w:p w14:paraId="3EDC7176" w14:textId="78F66F8E" w:rsidR="00A822A3" w:rsidRPr="0007620B" w:rsidRDefault="00FC2F29" w:rsidP="0007620B">
      <w:pPr>
        <w:ind w:right="-28"/>
        <w:rPr>
          <w:iCs/>
        </w:rPr>
      </w:pPr>
      <w:r w:rsidRPr="0007620B">
        <w:rPr>
          <w:iCs/>
        </w:rPr>
        <w:t>Finalmente, por lo que corresponde a los recibos de los ingresos</w:t>
      </w:r>
      <w:r w:rsidR="00AE66FA" w:rsidRPr="0007620B">
        <w:rPr>
          <w:iCs/>
        </w:rPr>
        <w:t xml:space="preserve"> recaudados por las licencias de construcción</w:t>
      </w:r>
      <w:r w:rsidRPr="0007620B">
        <w:rPr>
          <w:iCs/>
        </w:rPr>
        <w:t xml:space="preserve">, se tiene que </w:t>
      </w:r>
      <w:r w:rsidRPr="0007620B">
        <w:rPr>
          <w:b/>
          <w:bCs/>
          <w:iCs/>
        </w:rPr>
        <w:t xml:space="preserve">EL SUJETO OBLIGADO </w:t>
      </w:r>
      <w:r w:rsidRPr="0007620B">
        <w:rPr>
          <w:iCs/>
        </w:rPr>
        <w:t xml:space="preserve">manifestó que no </w:t>
      </w:r>
      <w:r w:rsidR="00AE66FA" w:rsidRPr="0007620B">
        <w:rPr>
          <w:iCs/>
        </w:rPr>
        <w:t>los puede enviar, en virtud de que estarían violando los datos de confidencialidad y privacidad de los contribuyentes.</w:t>
      </w:r>
    </w:p>
    <w:p w14:paraId="441271BD" w14:textId="77777777" w:rsidR="00AE66FA" w:rsidRPr="0007620B" w:rsidRDefault="00AE66FA" w:rsidP="0007620B">
      <w:pPr>
        <w:ind w:right="-28"/>
        <w:rPr>
          <w:iCs/>
        </w:rPr>
      </w:pPr>
    </w:p>
    <w:p w14:paraId="73F21BC4" w14:textId="1DF477AD" w:rsidR="00AE66FA" w:rsidRPr="0007620B" w:rsidRDefault="00DD2CD8" w:rsidP="0007620B">
      <w:pPr>
        <w:ind w:right="-28"/>
        <w:rPr>
          <w:iCs/>
        </w:rPr>
      </w:pPr>
      <w:r w:rsidRPr="0007620B">
        <w:rPr>
          <w:iCs/>
        </w:rPr>
        <w:t>En ese tenor, se tiene que, a la información peticionada, le fue puesta una medida de restricción para su acceso.</w:t>
      </w:r>
    </w:p>
    <w:p w14:paraId="5CCCD1D6" w14:textId="77777777" w:rsidR="00987CD8" w:rsidRPr="0007620B" w:rsidRDefault="00987CD8" w:rsidP="0007620B">
      <w:pPr>
        <w:ind w:right="-28"/>
        <w:rPr>
          <w:iCs/>
        </w:rPr>
      </w:pPr>
    </w:p>
    <w:p w14:paraId="7BC3D65E" w14:textId="77777777" w:rsidR="00C466E2" w:rsidRPr="0007620B" w:rsidRDefault="00C466E2" w:rsidP="0007620B">
      <w:pPr>
        <w:ind w:right="51"/>
      </w:pPr>
      <w:r w:rsidRPr="0007620B">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303C644" w14:textId="77777777" w:rsidR="00C466E2" w:rsidRPr="0007620B" w:rsidRDefault="00C466E2" w:rsidP="0007620B">
      <w:pPr>
        <w:pBdr>
          <w:top w:val="nil"/>
          <w:left w:val="nil"/>
          <w:bottom w:val="nil"/>
          <w:right w:val="nil"/>
          <w:between w:val="nil"/>
        </w:pBdr>
        <w:ind w:left="864" w:right="864"/>
        <w:rPr>
          <w:i/>
        </w:rPr>
      </w:pPr>
    </w:p>
    <w:p w14:paraId="62D9EAC1" w14:textId="77777777" w:rsidR="00C466E2" w:rsidRPr="0007620B" w:rsidRDefault="00C466E2" w:rsidP="0007620B">
      <w:pPr>
        <w:pStyle w:val="Puesto"/>
        <w:ind w:firstLine="0"/>
        <w:rPr>
          <w:color w:val="auto"/>
        </w:rPr>
      </w:pPr>
      <w:r w:rsidRPr="0007620B">
        <w:rPr>
          <w:b/>
          <w:color w:val="auto"/>
        </w:rPr>
        <w:t xml:space="preserve">Artículo 91. </w:t>
      </w:r>
      <w:r w:rsidRPr="0007620B">
        <w:rPr>
          <w:color w:val="auto"/>
        </w:rPr>
        <w:t>El acceso a la información pública será restringido excepcionalmente, cuando ésta sea clasificada como reservada o confidencial.</w:t>
      </w:r>
    </w:p>
    <w:p w14:paraId="5D0FD5F6" w14:textId="77777777" w:rsidR="00C466E2" w:rsidRPr="0007620B" w:rsidRDefault="00C466E2" w:rsidP="0007620B">
      <w:pPr>
        <w:pBdr>
          <w:top w:val="nil"/>
          <w:left w:val="nil"/>
          <w:bottom w:val="nil"/>
          <w:right w:val="nil"/>
          <w:between w:val="nil"/>
        </w:pBdr>
        <w:ind w:left="864" w:right="864"/>
        <w:rPr>
          <w:i/>
        </w:rPr>
      </w:pPr>
    </w:p>
    <w:p w14:paraId="43903521" w14:textId="77777777" w:rsidR="00C466E2" w:rsidRPr="0007620B" w:rsidRDefault="00C466E2" w:rsidP="0007620B">
      <w:r w:rsidRPr="0007620B">
        <w:lastRenderedPageBreak/>
        <w:t xml:space="preserve">Entendiéndose como información reservada aquella que se clasifica de manera temporal cuya divulgación pueda causar algún daño; y como </w:t>
      </w:r>
      <w:r w:rsidRPr="0007620B">
        <w:rPr>
          <w:b/>
        </w:rPr>
        <w:t xml:space="preserve">información confidencial, </w:t>
      </w:r>
      <w:r w:rsidRPr="0007620B">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0E530902" w14:textId="77777777" w:rsidR="00C466E2" w:rsidRPr="0007620B" w:rsidRDefault="00C466E2" w:rsidP="0007620B"/>
    <w:p w14:paraId="228D5949" w14:textId="77777777" w:rsidR="00C466E2" w:rsidRPr="0007620B" w:rsidRDefault="00C466E2" w:rsidP="0007620B">
      <w:r w:rsidRPr="0007620B">
        <w:t xml:space="preserve">De manera que, la Ley de Transparencia y Acceso a la Información Pública del Estado de México y Municipios, en su artículo 143 prevé los siguientes supuestos para clasificar la información como </w:t>
      </w:r>
      <w:r w:rsidRPr="0007620B">
        <w:rPr>
          <w:b/>
          <w:u w:val="single"/>
        </w:rPr>
        <w:t>confidencial</w:t>
      </w:r>
      <w:r w:rsidRPr="0007620B">
        <w:t>:</w:t>
      </w:r>
    </w:p>
    <w:p w14:paraId="23A70AE8" w14:textId="77777777" w:rsidR="00C466E2" w:rsidRPr="0007620B" w:rsidRDefault="00C466E2" w:rsidP="0007620B">
      <w:pPr>
        <w:pBdr>
          <w:top w:val="nil"/>
          <w:left w:val="nil"/>
          <w:bottom w:val="nil"/>
          <w:right w:val="nil"/>
          <w:between w:val="nil"/>
        </w:pBdr>
        <w:ind w:left="864" w:right="864"/>
        <w:rPr>
          <w:i/>
        </w:rPr>
      </w:pPr>
    </w:p>
    <w:p w14:paraId="5A5A2166" w14:textId="77777777" w:rsidR="00C466E2" w:rsidRPr="0007620B" w:rsidRDefault="00C466E2" w:rsidP="0007620B">
      <w:pPr>
        <w:pStyle w:val="Puesto"/>
        <w:ind w:firstLine="0"/>
        <w:rPr>
          <w:color w:val="auto"/>
        </w:rPr>
      </w:pPr>
      <w:r w:rsidRPr="0007620B">
        <w:rPr>
          <w:b/>
          <w:color w:val="auto"/>
        </w:rPr>
        <w:t xml:space="preserve">Artículo 143. </w:t>
      </w:r>
      <w:r w:rsidRPr="0007620B">
        <w:rPr>
          <w:color w:val="auto"/>
        </w:rPr>
        <w:t>Para los efectos de esta Ley se considera información confidencial, la clasificada como tal, de manera permanente, por su naturaleza, cuando:</w:t>
      </w:r>
    </w:p>
    <w:p w14:paraId="4EC02BF5" w14:textId="77777777" w:rsidR="00C466E2" w:rsidRPr="0007620B" w:rsidRDefault="00C466E2" w:rsidP="0007620B">
      <w:pPr>
        <w:pStyle w:val="Puesto"/>
        <w:ind w:firstLine="0"/>
        <w:rPr>
          <w:color w:val="auto"/>
        </w:rPr>
      </w:pPr>
      <w:r w:rsidRPr="0007620B">
        <w:rPr>
          <w:b/>
          <w:color w:val="auto"/>
        </w:rPr>
        <w:t xml:space="preserve">I. </w:t>
      </w:r>
      <w:r w:rsidRPr="0007620B">
        <w:rPr>
          <w:color w:val="auto"/>
        </w:rPr>
        <w:t xml:space="preserve">Se refiera a la información privada y los datos personales concernientes a una persona física o </w:t>
      </w:r>
      <w:proofErr w:type="gramStart"/>
      <w:r w:rsidRPr="0007620B">
        <w:rPr>
          <w:color w:val="auto"/>
        </w:rPr>
        <w:t>jurídico</w:t>
      </w:r>
      <w:proofErr w:type="gramEnd"/>
      <w:r w:rsidRPr="0007620B">
        <w:rPr>
          <w:color w:val="auto"/>
        </w:rPr>
        <w:t xml:space="preserve"> colectiva identificada o identificable;</w:t>
      </w:r>
    </w:p>
    <w:p w14:paraId="3D63310B" w14:textId="77777777" w:rsidR="00C466E2" w:rsidRPr="0007620B" w:rsidRDefault="00C466E2" w:rsidP="0007620B">
      <w:pPr>
        <w:pStyle w:val="Puesto"/>
        <w:ind w:firstLine="0"/>
        <w:rPr>
          <w:color w:val="auto"/>
        </w:rPr>
      </w:pPr>
      <w:r w:rsidRPr="0007620B">
        <w:rPr>
          <w:b/>
          <w:color w:val="auto"/>
        </w:rPr>
        <w:t xml:space="preserve">II. </w:t>
      </w:r>
      <w:r w:rsidRPr="0007620B">
        <w:rPr>
          <w:color w:val="auto"/>
        </w:rPr>
        <w:t>Los secretos bancario, fiduciario, industrial, comercial, fiscal, bursátil y postal, cuya titularidad corresponda a particulares, sujetos de derecho internacional o a sujetos obligados cuando no involucren el ejercicio de recursos públicos; y</w:t>
      </w:r>
    </w:p>
    <w:p w14:paraId="215D4113" w14:textId="77777777" w:rsidR="00C466E2" w:rsidRPr="0007620B" w:rsidRDefault="00C466E2" w:rsidP="0007620B">
      <w:pPr>
        <w:pStyle w:val="Puesto"/>
        <w:ind w:firstLine="0"/>
        <w:rPr>
          <w:color w:val="auto"/>
        </w:rPr>
      </w:pPr>
      <w:r w:rsidRPr="0007620B">
        <w:rPr>
          <w:b/>
          <w:color w:val="auto"/>
        </w:rPr>
        <w:t xml:space="preserve">III. </w:t>
      </w:r>
      <w:r w:rsidRPr="0007620B">
        <w:rPr>
          <w:color w:val="auto"/>
        </w:rPr>
        <w:t>La que presenten los particulares a los sujetos obligados, de conformidad con lo dispuesto por las leyes o los tratados internacionales.</w:t>
      </w:r>
    </w:p>
    <w:p w14:paraId="119633B9" w14:textId="77777777" w:rsidR="00C466E2" w:rsidRPr="0007620B" w:rsidRDefault="00C466E2" w:rsidP="0007620B">
      <w:pPr>
        <w:pStyle w:val="Puesto"/>
        <w:ind w:firstLine="0"/>
        <w:rPr>
          <w:color w:val="auto"/>
        </w:rPr>
      </w:pPr>
      <w:r w:rsidRPr="0007620B">
        <w:rPr>
          <w:color w:val="auto"/>
        </w:rPr>
        <w:t>La información confidencial no estará sujeta a temporalidad alguna y sólo podrán tener acceso a ella los titulares de la misma, sus representantes y los servidores públicos facultados para ello.</w:t>
      </w:r>
    </w:p>
    <w:p w14:paraId="4A4AEE10" w14:textId="77777777" w:rsidR="00C466E2" w:rsidRPr="0007620B" w:rsidRDefault="00C466E2" w:rsidP="0007620B">
      <w:pPr>
        <w:pStyle w:val="Puesto"/>
        <w:ind w:firstLine="0"/>
        <w:rPr>
          <w:color w:val="auto"/>
        </w:rPr>
      </w:pPr>
      <w:r w:rsidRPr="0007620B">
        <w:rPr>
          <w:color w:val="auto"/>
        </w:rPr>
        <w:t>No se considerará confidencial la información que se encuentre en los registros públicos o en fuentes de acceso público, ni tampoco la que sea considerada por la presente ley como información pública.</w:t>
      </w:r>
    </w:p>
    <w:p w14:paraId="379BBBF2" w14:textId="77777777" w:rsidR="00C466E2" w:rsidRPr="0007620B" w:rsidRDefault="00C466E2" w:rsidP="0007620B">
      <w:pPr>
        <w:pBdr>
          <w:top w:val="nil"/>
          <w:left w:val="nil"/>
          <w:bottom w:val="nil"/>
          <w:right w:val="nil"/>
          <w:between w:val="nil"/>
        </w:pBdr>
        <w:ind w:left="864" w:right="864"/>
        <w:rPr>
          <w:i/>
        </w:rPr>
      </w:pPr>
    </w:p>
    <w:p w14:paraId="6C860E79" w14:textId="77777777" w:rsidR="00C466E2" w:rsidRPr="0007620B" w:rsidRDefault="00C466E2" w:rsidP="0007620B">
      <w:r w:rsidRPr="0007620B">
        <w:t xml:space="preserve">Así como, que es información </w:t>
      </w:r>
      <w:r w:rsidRPr="0007620B">
        <w:rPr>
          <w:b/>
          <w:u w:val="single"/>
        </w:rPr>
        <w:t>reservada</w:t>
      </w:r>
      <w:r w:rsidRPr="0007620B">
        <w:t>, conforme a lo dispuesto en el numeral 140 de la mencionada Ley, aquella que esté por ejemplo en los supuestos siguientes:</w:t>
      </w:r>
    </w:p>
    <w:p w14:paraId="6DE636CF" w14:textId="77777777" w:rsidR="00C466E2" w:rsidRPr="0007620B" w:rsidRDefault="00C466E2" w:rsidP="0007620B"/>
    <w:p w14:paraId="33D190F8" w14:textId="77777777" w:rsidR="00C466E2" w:rsidRPr="0007620B" w:rsidRDefault="00C466E2" w:rsidP="0007620B">
      <w:pPr>
        <w:spacing w:line="240" w:lineRule="auto"/>
        <w:ind w:left="567" w:right="822"/>
        <w:rPr>
          <w:i/>
        </w:rPr>
      </w:pPr>
      <w:r w:rsidRPr="0007620B">
        <w:rPr>
          <w:i/>
        </w:rPr>
        <w:lastRenderedPageBreak/>
        <w:t xml:space="preserve">I. Comprometa la seguridad pública y cuente con un propósito genuino y un efecto demostrable; </w:t>
      </w:r>
    </w:p>
    <w:p w14:paraId="09B357FC" w14:textId="77777777" w:rsidR="00C466E2" w:rsidRPr="0007620B" w:rsidRDefault="00C466E2" w:rsidP="0007620B">
      <w:pPr>
        <w:spacing w:line="240" w:lineRule="auto"/>
        <w:ind w:left="567" w:right="822"/>
        <w:rPr>
          <w:i/>
        </w:rPr>
      </w:pPr>
      <w:r w:rsidRPr="0007620B">
        <w:rPr>
          <w:i/>
        </w:rPr>
        <w:t xml:space="preserve">II. Pueda menoscabar la conducción de las negociaciones y relaciones internacionales; </w:t>
      </w:r>
    </w:p>
    <w:p w14:paraId="40430283" w14:textId="77777777" w:rsidR="00C466E2" w:rsidRPr="0007620B" w:rsidRDefault="00C466E2" w:rsidP="0007620B">
      <w:pPr>
        <w:spacing w:line="240" w:lineRule="auto"/>
        <w:ind w:left="567" w:right="822"/>
        <w:rPr>
          <w:i/>
        </w:rPr>
      </w:pPr>
      <w:r w:rsidRPr="0007620B">
        <w:rPr>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5C43C9F" w14:textId="77777777" w:rsidR="00C466E2" w:rsidRPr="0007620B" w:rsidRDefault="00C466E2" w:rsidP="0007620B">
      <w:pPr>
        <w:spacing w:line="240" w:lineRule="auto"/>
        <w:ind w:left="567" w:right="822"/>
        <w:rPr>
          <w:i/>
        </w:rPr>
      </w:pPr>
      <w:r w:rsidRPr="0007620B">
        <w:rPr>
          <w:i/>
        </w:rPr>
        <w:t>IV. Ponga en riesgo la vida, la seguridad o la salud de una persona física;</w:t>
      </w:r>
    </w:p>
    <w:p w14:paraId="34568238" w14:textId="77777777" w:rsidR="00C466E2" w:rsidRPr="0007620B" w:rsidRDefault="00C466E2" w:rsidP="0007620B"/>
    <w:p w14:paraId="75CE6BBE" w14:textId="77777777" w:rsidR="00C466E2" w:rsidRPr="0007620B" w:rsidRDefault="00C466E2" w:rsidP="0007620B">
      <w:r w:rsidRPr="0007620B">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084A38" w14:textId="77777777" w:rsidR="00C466E2" w:rsidRPr="0007620B" w:rsidRDefault="00C466E2" w:rsidP="0007620B">
      <w:pPr>
        <w:tabs>
          <w:tab w:val="left" w:pos="851"/>
        </w:tabs>
      </w:pPr>
    </w:p>
    <w:p w14:paraId="5813F2ED" w14:textId="77777777" w:rsidR="00C466E2" w:rsidRPr="0007620B" w:rsidRDefault="00C466E2" w:rsidP="0007620B">
      <w:pPr>
        <w:numPr>
          <w:ilvl w:val="0"/>
          <w:numId w:val="24"/>
        </w:numPr>
        <w:pBdr>
          <w:top w:val="nil"/>
          <w:left w:val="nil"/>
          <w:bottom w:val="nil"/>
          <w:right w:val="nil"/>
          <w:between w:val="nil"/>
        </w:pBdr>
        <w:tabs>
          <w:tab w:val="left" w:pos="851"/>
        </w:tabs>
      </w:pPr>
      <w:r w:rsidRPr="0007620B">
        <w:t>Se reciba una solicitud de acceso a la información;</w:t>
      </w:r>
    </w:p>
    <w:p w14:paraId="105B4ADD" w14:textId="77777777" w:rsidR="00C466E2" w:rsidRPr="0007620B" w:rsidRDefault="00C466E2" w:rsidP="0007620B">
      <w:pPr>
        <w:numPr>
          <w:ilvl w:val="0"/>
          <w:numId w:val="24"/>
        </w:numPr>
        <w:pBdr>
          <w:top w:val="nil"/>
          <w:left w:val="nil"/>
          <w:bottom w:val="nil"/>
          <w:right w:val="nil"/>
          <w:between w:val="nil"/>
        </w:pBdr>
        <w:tabs>
          <w:tab w:val="left" w:pos="851"/>
        </w:tabs>
      </w:pPr>
      <w:r w:rsidRPr="0007620B">
        <w:t>Se determine mediante resolución de autoridad competente; y/o</w:t>
      </w:r>
    </w:p>
    <w:p w14:paraId="1953AED1" w14:textId="77777777" w:rsidR="00C466E2" w:rsidRPr="0007620B" w:rsidRDefault="00C466E2" w:rsidP="0007620B">
      <w:pPr>
        <w:numPr>
          <w:ilvl w:val="0"/>
          <w:numId w:val="24"/>
        </w:numPr>
        <w:pBdr>
          <w:top w:val="nil"/>
          <w:left w:val="nil"/>
          <w:bottom w:val="nil"/>
          <w:right w:val="nil"/>
          <w:between w:val="nil"/>
        </w:pBdr>
        <w:tabs>
          <w:tab w:val="left" w:pos="851"/>
        </w:tabs>
      </w:pPr>
      <w:r w:rsidRPr="0007620B">
        <w:t>Se generen versiones públicas para dar cumplimiento a las obligaciones de transparencia previstas en la Ley.</w:t>
      </w:r>
    </w:p>
    <w:p w14:paraId="3A665A0C" w14:textId="77777777" w:rsidR="00C466E2" w:rsidRPr="0007620B" w:rsidRDefault="00C466E2" w:rsidP="0007620B">
      <w:pPr>
        <w:tabs>
          <w:tab w:val="left" w:pos="851"/>
        </w:tabs>
        <w:ind w:left="567"/>
      </w:pPr>
    </w:p>
    <w:p w14:paraId="03995B33" w14:textId="77777777" w:rsidR="00C466E2" w:rsidRPr="0007620B" w:rsidRDefault="00C466E2" w:rsidP="0007620B">
      <w:pPr>
        <w:ind w:right="51"/>
      </w:pPr>
      <w:r w:rsidRPr="0007620B">
        <w:t xml:space="preserve">En ese sentido, es de precisar que la clasificación de la información no se da por el simple mandato de la ley, sino que es necesario que </w:t>
      </w:r>
      <w:r w:rsidRPr="0007620B">
        <w:rPr>
          <w:b/>
        </w:rPr>
        <w:t>EL SUJETO OBLIGADO,</w:t>
      </w:r>
      <w:r w:rsidRPr="0007620B">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7620B">
        <w:rPr>
          <w:b/>
        </w:rPr>
        <w:t>Sujeto Obligado</w:t>
      </w:r>
      <w:r w:rsidRPr="0007620B">
        <w:t xml:space="preserve">,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w:t>
      </w:r>
      <w:r w:rsidRPr="0007620B">
        <w:lastRenderedPageBreak/>
        <w:t>fracciones II y VIII de la Ley de Transparencia y Acceso a la Información Pública del Estado de México y Municipios.</w:t>
      </w:r>
    </w:p>
    <w:p w14:paraId="2D4C6907" w14:textId="77777777" w:rsidR="00C466E2" w:rsidRPr="0007620B" w:rsidRDefault="00C466E2" w:rsidP="0007620B">
      <w:pPr>
        <w:pBdr>
          <w:top w:val="nil"/>
          <w:left w:val="nil"/>
          <w:bottom w:val="nil"/>
          <w:right w:val="nil"/>
          <w:between w:val="nil"/>
        </w:pBdr>
        <w:ind w:left="864" w:right="864"/>
        <w:rPr>
          <w:i/>
        </w:rPr>
      </w:pPr>
    </w:p>
    <w:p w14:paraId="6765FF8B" w14:textId="77777777" w:rsidR="00C466E2" w:rsidRPr="0007620B" w:rsidRDefault="00C466E2" w:rsidP="0007620B">
      <w:pPr>
        <w:pStyle w:val="Puesto"/>
        <w:ind w:firstLine="0"/>
        <w:rPr>
          <w:color w:val="auto"/>
        </w:rPr>
      </w:pPr>
      <w:r w:rsidRPr="0007620B">
        <w:rPr>
          <w:b/>
          <w:color w:val="auto"/>
        </w:rPr>
        <w:t>Artículo 59</w:t>
      </w:r>
      <w:r w:rsidRPr="0007620B">
        <w:rPr>
          <w:color w:val="auto"/>
        </w:rPr>
        <w:t>. Los servidores públicos habilitados tendrán las funciones siguientes:</w:t>
      </w:r>
    </w:p>
    <w:p w14:paraId="4F0954B5" w14:textId="77777777" w:rsidR="00C466E2" w:rsidRPr="0007620B" w:rsidRDefault="00C466E2" w:rsidP="0007620B">
      <w:pPr>
        <w:pStyle w:val="Puesto"/>
        <w:ind w:firstLine="0"/>
        <w:rPr>
          <w:color w:val="auto"/>
        </w:rPr>
      </w:pPr>
      <w:r w:rsidRPr="0007620B">
        <w:rPr>
          <w:color w:val="auto"/>
        </w:rPr>
        <w:t>(…)</w:t>
      </w:r>
    </w:p>
    <w:p w14:paraId="34037C18" w14:textId="77777777" w:rsidR="00C466E2" w:rsidRPr="0007620B" w:rsidRDefault="00C466E2" w:rsidP="0007620B">
      <w:pPr>
        <w:pStyle w:val="Puesto"/>
        <w:ind w:firstLine="0"/>
        <w:rPr>
          <w:color w:val="auto"/>
        </w:rPr>
      </w:pPr>
      <w:r w:rsidRPr="0007620B">
        <w:rPr>
          <w:color w:val="auto"/>
        </w:rPr>
        <w:t>V. Integrar y presentar al responsable de la Unidad de Transparencia la propuesta de clasificación de información, la cual tendrá los fundamentos y argumentos en que se basa dicha propuesta;</w:t>
      </w:r>
    </w:p>
    <w:p w14:paraId="04BC847B" w14:textId="77777777" w:rsidR="00C466E2" w:rsidRPr="0007620B" w:rsidRDefault="00C466E2" w:rsidP="0007620B">
      <w:pPr>
        <w:pStyle w:val="Puesto"/>
        <w:ind w:firstLine="0"/>
        <w:rPr>
          <w:color w:val="auto"/>
        </w:rPr>
      </w:pPr>
      <w:r w:rsidRPr="0007620B">
        <w:rPr>
          <w:color w:val="auto"/>
        </w:rPr>
        <w:t>(…)</w:t>
      </w:r>
    </w:p>
    <w:p w14:paraId="4F331B67" w14:textId="77777777" w:rsidR="00C466E2" w:rsidRPr="0007620B" w:rsidRDefault="00C466E2" w:rsidP="0007620B">
      <w:pPr>
        <w:pStyle w:val="Puesto"/>
        <w:ind w:firstLine="0"/>
        <w:rPr>
          <w:color w:val="auto"/>
          <w:vertAlign w:val="superscript"/>
        </w:rPr>
      </w:pPr>
    </w:p>
    <w:p w14:paraId="76AF2B83" w14:textId="77777777" w:rsidR="00C466E2" w:rsidRPr="0007620B" w:rsidRDefault="00C466E2" w:rsidP="0007620B">
      <w:pPr>
        <w:pStyle w:val="Puesto"/>
        <w:ind w:firstLine="0"/>
        <w:rPr>
          <w:color w:val="auto"/>
        </w:rPr>
      </w:pPr>
      <w:r w:rsidRPr="0007620B">
        <w:rPr>
          <w:b/>
          <w:color w:val="auto"/>
        </w:rPr>
        <w:t>Artículo 53.</w:t>
      </w:r>
      <w:r w:rsidRPr="0007620B">
        <w:rPr>
          <w:color w:val="auto"/>
        </w:rPr>
        <w:t xml:space="preserve"> Las Unidades de Transparencia tendrán las siguientes funciones:</w:t>
      </w:r>
    </w:p>
    <w:p w14:paraId="39252C6A" w14:textId="77777777" w:rsidR="00C466E2" w:rsidRPr="0007620B" w:rsidRDefault="00C466E2" w:rsidP="0007620B">
      <w:pPr>
        <w:pStyle w:val="Puesto"/>
        <w:ind w:firstLine="0"/>
        <w:rPr>
          <w:color w:val="auto"/>
        </w:rPr>
      </w:pPr>
      <w:r w:rsidRPr="0007620B">
        <w:rPr>
          <w:color w:val="auto"/>
        </w:rPr>
        <w:t>(…)</w:t>
      </w:r>
    </w:p>
    <w:p w14:paraId="6225A0AB" w14:textId="77777777" w:rsidR="00C466E2" w:rsidRPr="0007620B" w:rsidRDefault="00C466E2" w:rsidP="0007620B">
      <w:pPr>
        <w:pStyle w:val="Puesto"/>
        <w:ind w:firstLine="0"/>
        <w:rPr>
          <w:color w:val="auto"/>
        </w:rPr>
      </w:pPr>
      <w:r w:rsidRPr="0007620B">
        <w:rPr>
          <w:color w:val="auto"/>
        </w:rPr>
        <w:t>X. Presentar ante el Comité, el proyecto de clasificación de información;</w:t>
      </w:r>
    </w:p>
    <w:p w14:paraId="5891A8DF" w14:textId="77777777" w:rsidR="00C466E2" w:rsidRPr="0007620B" w:rsidRDefault="00C466E2" w:rsidP="0007620B">
      <w:pPr>
        <w:pStyle w:val="Puesto"/>
        <w:ind w:firstLine="0"/>
        <w:rPr>
          <w:color w:val="auto"/>
        </w:rPr>
      </w:pPr>
      <w:r w:rsidRPr="0007620B">
        <w:rPr>
          <w:color w:val="auto"/>
        </w:rPr>
        <w:t xml:space="preserve">(…) </w:t>
      </w:r>
    </w:p>
    <w:p w14:paraId="67084A4D" w14:textId="77777777" w:rsidR="00C466E2" w:rsidRPr="0007620B" w:rsidRDefault="00C466E2" w:rsidP="0007620B">
      <w:pPr>
        <w:pStyle w:val="Puesto"/>
        <w:ind w:firstLine="0"/>
        <w:rPr>
          <w:color w:val="auto"/>
          <w:vertAlign w:val="superscript"/>
        </w:rPr>
      </w:pPr>
    </w:p>
    <w:p w14:paraId="44175D44" w14:textId="77777777" w:rsidR="00C466E2" w:rsidRPr="0007620B" w:rsidRDefault="00C466E2" w:rsidP="0007620B">
      <w:pPr>
        <w:pStyle w:val="Puesto"/>
        <w:ind w:firstLine="0"/>
        <w:rPr>
          <w:color w:val="auto"/>
        </w:rPr>
      </w:pPr>
      <w:r w:rsidRPr="0007620B">
        <w:rPr>
          <w:b/>
          <w:color w:val="auto"/>
        </w:rPr>
        <w:t>Artículo 49.</w:t>
      </w:r>
      <w:r w:rsidRPr="0007620B">
        <w:rPr>
          <w:color w:val="auto"/>
        </w:rPr>
        <w:t xml:space="preserve"> Los Comités de Transparencia tendrán las siguientes atribuciones:</w:t>
      </w:r>
    </w:p>
    <w:p w14:paraId="4F61C5C1" w14:textId="77777777" w:rsidR="00C466E2" w:rsidRPr="0007620B" w:rsidRDefault="00C466E2" w:rsidP="0007620B">
      <w:pPr>
        <w:pStyle w:val="Puesto"/>
        <w:ind w:firstLine="0"/>
        <w:rPr>
          <w:color w:val="auto"/>
        </w:rPr>
      </w:pPr>
      <w:r w:rsidRPr="0007620B">
        <w:rPr>
          <w:color w:val="auto"/>
        </w:rPr>
        <w:t>(…)</w:t>
      </w:r>
    </w:p>
    <w:p w14:paraId="74EC64F6" w14:textId="77777777" w:rsidR="00C466E2" w:rsidRPr="0007620B" w:rsidRDefault="00C466E2" w:rsidP="0007620B">
      <w:pPr>
        <w:pStyle w:val="Puesto"/>
        <w:ind w:firstLine="0"/>
        <w:rPr>
          <w:color w:val="auto"/>
        </w:rPr>
      </w:pPr>
      <w:r w:rsidRPr="0007620B">
        <w:rPr>
          <w:color w:val="auto"/>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BEA2821" w14:textId="77777777" w:rsidR="00C466E2" w:rsidRPr="0007620B" w:rsidRDefault="00C466E2" w:rsidP="0007620B">
      <w:pPr>
        <w:pStyle w:val="Puesto"/>
        <w:ind w:firstLine="0"/>
        <w:rPr>
          <w:color w:val="auto"/>
        </w:rPr>
      </w:pPr>
      <w:r w:rsidRPr="0007620B">
        <w:rPr>
          <w:color w:val="auto"/>
        </w:rPr>
        <w:t>(…)</w:t>
      </w:r>
    </w:p>
    <w:p w14:paraId="51125015" w14:textId="77777777" w:rsidR="00C466E2" w:rsidRPr="0007620B" w:rsidRDefault="00C466E2" w:rsidP="0007620B">
      <w:pPr>
        <w:pStyle w:val="Puesto"/>
        <w:ind w:firstLine="0"/>
        <w:rPr>
          <w:color w:val="auto"/>
        </w:rPr>
      </w:pPr>
      <w:r w:rsidRPr="0007620B">
        <w:rPr>
          <w:color w:val="auto"/>
        </w:rPr>
        <w:t>VIII. Aprobar, modificar o revocar la clasificación de la información;</w:t>
      </w:r>
    </w:p>
    <w:p w14:paraId="46970427" w14:textId="77777777" w:rsidR="00C466E2" w:rsidRPr="0007620B" w:rsidRDefault="00C466E2" w:rsidP="0007620B">
      <w:pPr>
        <w:pStyle w:val="Puesto"/>
        <w:ind w:firstLine="0"/>
        <w:rPr>
          <w:color w:val="auto"/>
        </w:rPr>
      </w:pPr>
      <w:r w:rsidRPr="0007620B">
        <w:rPr>
          <w:color w:val="auto"/>
        </w:rPr>
        <w:t>(…)</w:t>
      </w:r>
    </w:p>
    <w:p w14:paraId="2A8733CC" w14:textId="77777777" w:rsidR="00C466E2" w:rsidRPr="0007620B" w:rsidRDefault="00C466E2" w:rsidP="0007620B">
      <w:pPr>
        <w:pBdr>
          <w:top w:val="nil"/>
          <w:left w:val="nil"/>
          <w:bottom w:val="nil"/>
          <w:right w:val="nil"/>
          <w:between w:val="nil"/>
        </w:pBdr>
        <w:ind w:left="864" w:right="864"/>
        <w:rPr>
          <w:i/>
        </w:rPr>
      </w:pPr>
    </w:p>
    <w:p w14:paraId="1FDAD49B" w14:textId="77777777" w:rsidR="00C466E2" w:rsidRPr="0007620B" w:rsidRDefault="00C466E2" w:rsidP="0007620B">
      <w:r w:rsidRPr="0007620B">
        <w:t xml:space="preserve">Bajo tales consideraciones, se indica que, si el </w:t>
      </w:r>
      <w:r w:rsidRPr="0007620B">
        <w:rPr>
          <w:b/>
        </w:rPr>
        <w:t>SUJETO OBLIGADO</w:t>
      </w:r>
      <w:r w:rsidRPr="0007620B">
        <w:t xml:space="preserve"> advierte que la información solicitada contiene datos personales que sean susceptibles de ser clasificados como confidenciales,</w:t>
      </w:r>
      <w:r w:rsidRPr="0007620B">
        <w:rPr>
          <w:b/>
        </w:rPr>
        <w:t xml:space="preserve"> </w:t>
      </w:r>
      <w:r w:rsidRPr="0007620B">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291AFA54" w14:textId="77777777" w:rsidR="00C466E2" w:rsidRPr="0007620B" w:rsidRDefault="00C466E2" w:rsidP="0007620B"/>
    <w:p w14:paraId="0B022EF4" w14:textId="77777777" w:rsidR="00C466E2" w:rsidRPr="0007620B" w:rsidRDefault="00C466E2" w:rsidP="0007620B">
      <w:pPr>
        <w:ind w:right="51"/>
      </w:pPr>
      <w:r w:rsidRPr="0007620B">
        <w:lastRenderedPageBreak/>
        <w:t xml:space="preserve">Asimismo, no obsta mencionar que el Acuerdo del Comité de Transparencia mediante el cual se clasifique la información como reservada o </w:t>
      </w:r>
      <w:r w:rsidRPr="0007620B">
        <w:rPr>
          <w:b/>
        </w:rPr>
        <w:t>confidencial,</w:t>
      </w:r>
      <w:r w:rsidRPr="0007620B">
        <w:t xml:space="preserve"> de manera total o </w:t>
      </w:r>
      <w:r w:rsidRPr="0007620B">
        <w:rPr>
          <w:b/>
        </w:rPr>
        <w:t xml:space="preserve">parcial </w:t>
      </w:r>
      <w:r w:rsidRPr="0007620B">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07620B">
        <w:rPr>
          <w:b/>
          <w:u w:val="single"/>
        </w:rPr>
        <w:t>de igual forma en dicho acuerdo se deben exponer de manera clara los fundamentos y razones que llevaron a la autoridad a clasificar la información de acuerdo con lo establecido en el artículo 149 de la Ley de la materia,</w:t>
      </w:r>
      <w:r w:rsidRPr="0007620B">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DCFF039" w14:textId="77777777" w:rsidR="00C466E2" w:rsidRPr="0007620B" w:rsidRDefault="00C466E2" w:rsidP="0007620B">
      <w:pPr>
        <w:pBdr>
          <w:top w:val="nil"/>
          <w:left w:val="nil"/>
          <w:bottom w:val="nil"/>
          <w:right w:val="nil"/>
          <w:between w:val="nil"/>
        </w:pBdr>
        <w:ind w:right="-150"/>
      </w:pPr>
    </w:p>
    <w:p w14:paraId="5D3FB3A4" w14:textId="77777777" w:rsidR="00C466E2" w:rsidRPr="0007620B" w:rsidRDefault="00C466E2" w:rsidP="0007620B">
      <w:pPr>
        <w:pBdr>
          <w:top w:val="nil"/>
          <w:left w:val="nil"/>
          <w:bottom w:val="nil"/>
          <w:right w:val="nil"/>
          <w:between w:val="nil"/>
        </w:pBdr>
        <w:ind w:right="-150"/>
      </w:pPr>
      <w:r w:rsidRPr="0007620B">
        <w:t>No obstante, si bien por el tipo información requerida, el documento donde pueda constar la misma, por su naturaleza puede contener datos susceptibles de protegerse, también lo es que procede su entrega mediante una clasificación parcial de la información contenida en el documento a entregar.</w:t>
      </w:r>
    </w:p>
    <w:p w14:paraId="2B53512F" w14:textId="77777777" w:rsidR="00987CD8" w:rsidRPr="0007620B" w:rsidRDefault="00987CD8" w:rsidP="0007620B">
      <w:pPr>
        <w:ind w:right="-28"/>
        <w:rPr>
          <w:iCs/>
        </w:rPr>
      </w:pPr>
    </w:p>
    <w:p w14:paraId="4C0F1528" w14:textId="0329EAC1" w:rsidR="00C466E2" w:rsidRPr="0007620B" w:rsidRDefault="00C466E2" w:rsidP="0007620B">
      <w:pPr>
        <w:ind w:right="-28"/>
        <w:rPr>
          <w:iCs/>
        </w:rPr>
      </w:pPr>
      <w:r w:rsidRPr="0007620B">
        <w:rPr>
          <w:iCs/>
        </w:rPr>
        <w:t>Acto jurídico que en el presente asunto, de una revisión de las constancias que integran el expediente electrónico formado con motivo del recurso de revisión en análisis no se observa que se haya remitido el acuerdo en el que se sustente la restricción del acceso a la información peticionada, relacionada con los recibos de los ingresos por concepto de recaudación de las licencias de construcción.</w:t>
      </w:r>
    </w:p>
    <w:p w14:paraId="427F7CFC" w14:textId="77777777" w:rsidR="008D3350" w:rsidRPr="0007620B" w:rsidRDefault="008D3350" w:rsidP="0007620B">
      <w:pPr>
        <w:ind w:right="-28"/>
        <w:rPr>
          <w:iCs/>
        </w:rPr>
      </w:pPr>
    </w:p>
    <w:p w14:paraId="55774EE8" w14:textId="69F0D8B6" w:rsidR="008D3350" w:rsidRPr="0007620B" w:rsidRDefault="008D3350" w:rsidP="0007620B">
      <w:pPr>
        <w:ind w:right="-28"/>
        <w:rPr>
          <w:iCs/>
        </w:rPr>
      </w:pPr>
      <w:r w:rsidRPr="0007620B">
        <w:t xml:space="preserve">Por lo que, la clasificación que pretendió realizar el </w:t>
      </w:r>
      <w:r w:rsidRPr="0007620B">
        <w:rPr>
          <w:b/>
        </w:rPr>
        <w:t xml:space="preserve">SUJETO OBLIGADO </w:t>
      </w:r>
      <w:r w:rsidRPr="0007620B">
        <w:t>de la información careció de la debida fundamentación y motivación correspondiente.</w:t>
      </w:r>
    </w:p>
    <w:p w14:paraId="523B4AD7" w14:textId="241B72C7" w:rsidR="00DD2CD8" w:rsidRPr="0007620B" w:rsidRDefault="00C466E2" w:rsidP="0007620B">
      <w:pPr>
        <w:ind w:right="-28"/>
        <w:rPr>
          <w:iCs/>
        </w:rPr>
      </w:pPr>
      <w:r w:rsidRPr="0007620B">
        <w:rPr>
          <w:iCs/>
        </w:rPr>
        <w:t xml:space="preserve"> </w:t>
      </w:r>
    </w:p>
    <w:p w14:paraId="45963395" w14:textId="1F4A431E" w:rsidR="00987CD8" w:rsidRPr="0007620B" w:rsidRDefault="00987CD8" w:rsidP="0007620B">
      <w:r w:rsidRPr="0007620B">
        <w:lastRenderedPageBreak/>
        <w:t xml:space="preserve">Por </w:t>
      </w:r>
      <w:r w:rsidR="00C466E2" w:rsidRPr="0007620B">
        <w:t xml:space="preserve">lo tanto, </w:t>
      </w:r>
      <w:r w:rsidRPr="0007620B">
        <w:t xml:space="preserve">en el asunto que nos ocupa, no resulta factible dar por atendido el derecho de acceso a la información del particular solicitante, por consiguiente se estima pertinente ordenar la entrega de la información requerida, en atención a que </w:t>
      </w:r>
      <w:r w:rsidRPr="0007620B">
        <w:rPr>
          <w:b/>
        </w:rPr>
        <w:t xml:space="preserve">EL SUJETO OBLIGADO </w:t>
      </w:r>
      <w:r w:rsidRPr="0007620B">
        <w:t xml:space="preserve">asumió contar con la misma, además de que genera, posee y administra la información requerida, actualizando el supuesto previsto en el artículo 12 de la legislación aplicable en la materia. </w:t>
      </w:r>
    </w:p>
    <w:p w14:paraId="2E45B75E" w14:textId="77777777" w:rsidR="00987CD8" w:rsidRPr="0007620B" w:rsidRDefault="00987CD8" w:rsidP="0007620B"/>
    <w:p w14:paraId="43985BA1" w14:textId="77777777" w:rsidR="00987CD8" w:rsidRPr="0007620B" w:rsidRDefault="00987CD8" w:rsidP="0007620B">
      <w:pPr>
        <w:pStyle w:val="Puesto"/>
        <w:ind w:firstLine="0"/>
        <w:rPr>
          <w:color w:val="auto"/>
        </w:rPr>
      </w:pPr>
      <w:r w:rsidRPr="0007620B">
        <w:rPr>
          <w:color w:val="auto"/>
        </w:rPr>
        <w:t>“</w:t>
      </w:r>
      <w:r w:rsidRPr="0007620B">
        <w:rPr>
          <w:b/>
          <w:color w:val="auto"/>
        </w:rPr>
        <w:t>Artículo 12. Quienes generen, recopilen, administren, manejen, procesen, archiven o conserven información pública serán responsables de la misma</w:t>
      </w:r>
      <w:r w:rsidRPr="0007620B">
        <w:rPr>
          <w:color w:val="auto"/>
        </w:rPr>
        <w:t xml:space="preserve"> en los términos de las disposiciones jurídicas aplicables. </w:t>
      </w:r>
    </w:p>
    <w:p w14:paraId="46FFF818" w14:textId="77777777" w:rsidR="00987CD8" w:rsidRPr="0007620B" w:rsidRDefault="00987CD8" w:rsidP="0007620B"/>
    <w:p w14:paraId="64DD8AEE" w14:textId="77777777" w:rsidR="00987CD8" w:rsidRPr="0007620B" w:rsidRDefault="00987CD8" w:rsidP="0007620B">
      <w:pPr>
        <w:pStyle w:val="Puesto"/>
        <w:ind w:firstLine="0"/>
        <w:rPr>
          <w:color w:val="auto"/>
        </w:rPr>
      </w:pPr>
      <w:r w:rsidRPr="0007620B">
        <w:rPr>
          <w:b/>
          <w:color w:val="auto"/>
        </w:rPr>
        <w:t>Los sujetos obligados sólo proporcionarán la información pública que se les requiera y que obre en sus archivos y en el estado en que ésta se encuentre.</w:t>
      </w:r>
      <w:r w:rsidRPr="0007620B">
        <w:rPr>
          <w:color w:val="auto"/>
        </w:rPr>
        <w:t xml:space="preserve"> La obligación de proporcionar información no comprende el procesamiento de la misma, ni el presentarla conforme al interés del solicitante; no estarán obligados a generarla, resumirla, efectuar cálculos o practicar investigaciones.”</w:t>
      </w:r>
    </w:p>
    <w:p w14:paraId="2227C0FA" w14:textId="77777777" w:rsidR="00987CD8" w:rsidRPr="0007620B" w:rsidRDefault="00987CD8" w:rsidP="0007620B"/>
    <w:p w14:paraId="6F401EDD" w14:textId="77777777" w:rsidR="00987CD8" w:rsidRPr="0007620B" w:rsidRDefault="00987CD8" w:rsidP="0007620B">
      <w:r w:rsidRPr="0007620B">
        <w:t>Correlacionado con lo expuesto en las líneas anteriores, en lo que compete a nuestra materia, el permitir el acceso a los ingresos de los Sujetos Obligados, es una obligación común de transparencia, lo anterior de conformidad con la fracción XLVII del artículo 92 de  la Ley  de Transparencia y Acceso a la Información  Pública del Estado de México y Municipios, que se transcribe a continuación:</w:t>
      </w:r>
    </w:p>
    <w:p w14:paraId="09ECE938" w14:textId="77777777" w:rsidR="00987CD8" w:rsidRPr="0007620B" w:rsidRDefault="00987CD8" w:rsidP="0007620B"/>
    <w:p w14:paraId="60BBB03B" w14:textId="77777777" w:rsidR="00987CD8" w:rsidRPr="0007620B" w:rsidRDefault="00987CD8" w:rsidP="0007620B">
      <w:pPr>
        <w:pStyle w:val="Puesto"/>
        <w:ind w:firstLine="0"/>
        <w:rPr>
          <w:color w:val="auto"/>
        </w:rPr>
      </w:pPr>
      <w:r w:rsidRPr="0007620B">
        <w:rPr>
          <w:color w:val="auto"/>
        </w:rPr>
        <w:t>“</w:t>
      </w:r>
      <w:r w:rsidRPr="0007620B">
        <w:rPr>
          <w:b/>
          <w:color w:val="auto"/>
        </w:rPr>
        <w:t>Artículo 92.</w:t>
      </w:r>
      <w:r w:rsidRPr="0007620B">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64ABB1" w14:textId="77777777" w:rsidR="00987CD8" w:rsidRPr="0007620B" w:rsidRDefault="00987CD8" w:rsidP="0007620B">
      <w:pPr>
        <w:pStyle w:val="Puesto"/>
        <w:ind w:firstLine="0"/>
        <w:rPr>
          <w:color w:val="auto"/>
        </w:rPr>
      </w:pPr>
      <w:r w:rsidRPr="0007620B">
        <w:rPr>
          <w:color w:val="auto"/>
        </w:rPr>
        <w:t>(…)</w:t>
      </w:r>
    </w:p>
    <w:p w14:paraId="001B5A21" w14:textId="77777777" w:rsidR="00987CD8" w:rsidRPr="0007620B" w:rsidRDefault="00987CD8" w:rsidP="0007620B">
      <w:pPr>
        <w:pStyle w:val="Puesto"/>
        <w:ind w:firstLine="0"/>
        <w:rPr>
          <w:color w:val="auto"/>
        </w:rPr>
      </w:pPr>
      <w:r w:rsidRPr="0007620B">
        <w:rPr>
          <w:color w:val="auto"/>
        </w:rPr>
        <w:lastRenderedPageBreak/>
        <w:t>XLVII</w:t>
      </w:r>
      <w:r w:rsidRPr="0007620B">
        <w:rPr>
          <w:b/>
          <w:bCs/>
          <w:color w:val="auto"/>
        </w:rPr>
        <w:t>. Los ingresos recibidos por cualquier concepto</w:t>
      </w:r>
      <w:r w:rsidRPr="0007620B">
        <w:rPr>
          <w:color w:val="auto"/>
        </w:rPr>
        <w:t xml:space="preserve"> señalando el nombre de los responsables de recibirlos, administrarlos y ejercerlos, indicando el destino de cada uno de ellos; </w:t>
      </w:r>
    </w:p>
    <w:p w14:paraId="345D59A3" w14:textId="77777777" w:rsidR="00987CD8" w:rsidRPr="0007620B" w:rsidRDefault="00987CD8" w:rsidP="0007620B">
      <w:pPr>
        <w:pStyle w:val="Puesto"/>
        <w:ind w:firstLine="0"/>
        <w:rPr>
          <w:color w:val="auto"/>
        </w:rPr>
      </w:pPr>
      <w:r w:rsidRPr="0007620B">
        <w:rPr>
          <w:color w:val="auto"/>
        </w:rPr>
        <w:t>(…)”</w:t>
      </w:r>
    </w:p>
    <w:p w14:paraId="6C15F0A0" w14:textId="77777777" w:rsidR="00987CD8" w:rsidRPr="0007620B" w:rsidRDefault="00987CD8" w:rsidP="0007620B"/>
    <w:p w14:paraId="6FCCDEFB" w14:textId="77777777" w:rsidR="00C466E2" w:rsidRPr="0007620B" w:rsidRDefault="00987CD8" w:rsidP="0007620B">
      <w:pPr>
        <w:ind w:right="-28"/>
        <w:rPr>
          <w:iCs/>
        </w:rPr>
      </w:pPr>
      <w:r w:rsidRPr="0007620B">
        <w:t xml:space="preserve">En tal virtud, toda vez que </w:t>
      </w:r>
      <w:r w:rsidRPr="0007620B">
        <w:rPr>
          <w:b/>
        </w:rPr>
        <w:t xml:space="preserve">EL SUJETO OBLIGADO </w:t>
      </w:r>
      <w:r w:rsidRPr="0007620B">
        <w:t xml:space="preserve">asumió la existencia de la información materia de la presente solicitud, este Organismo Garante estima procedente ordenar, se haga entrega de ser procedente en versión pública el soporte documental en donde conste la información requerida, esto es, </w:t>
      </w:r>
      <w:r w:rsidR="00C466E2" w:rsidRPr="0007620B">
        <w:rPr>
          <w:iCs/>
        </w:rPr>
        <w:t>los recibos de los ingresos por concepto de recaudación de las licencias de construcción.</w:t>
      </w:r>
    </w:p>
    <w:p w14:paraId="6A22FB9A" w14:textId="21933740" w:rsidR="00987CD8" w:rsidRPr="0007620B" w:rsidRDefault="00987CD8" w:rsidP="0007620B"/>
    <w:p w14:paraId="44427DBA" w14:textId="77777777" w:rsidR="008D3350" w:rsidRPr="0007620B" w:rsidRDefault="008D3350" w:rsidP="0007620B">
      <w:pPr>
        <w:pStyle w:val="Ttulo3"/>
      </w:pPr>
      <w:bookmarkStart w:id="33" w:name="_Toc201223105"/>
      <w:bookmarkStart w:id="34" w:name="_Toc202997015"/>
      <w:r w:rsidRPr="0007620B">
        <w:t>d) Versión pública.</w:t>
      </w:r>
      <w:bookmarkEnd w:id="33"/>
      <w:bookmarkEnd w:id="34"/>
    </w:p>
    <w:p w14:paraId="45DE1812" w14:textId="77777777" w:rsidR="008D3350" w:rsidRPr="0007620B" w:rsidRDefault="008D3350" w:rsidP="0007620B">
      <w:pPr>
        <w:spacing w:after="240"/>
      </w:pPr>
      <w:r w:rsidRPr="0007620B">
        <w:t xml:space="preserve">Para el caso de que el o los documentos de los cuales se ordena su entrega contengan datos personales susceptibles de ser testados, deberán ser entregados en </w:t>
      </w:r>
      <w:r w:rsidRPr="0007620B">
        <w:rPr>
          <w:b/>
        </w:rPr>
        <w:t>versión pública</w:t>
      </w:r>
      <w:r w:rsidRPr="0007620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4E39A9" w14:textId="77777777" w:rsidR="008D3350" w:rsidRPr="0007620B" w:rsidRDefault="008D3350" w:rsidP="0007620B">
      <w:pPr>
        <w:spacing w:after="240"/>
      </w:pPr>
      <w:r w:rsidRPr="0007620B">
        <w:t>A este respecto, los artículos 3, fracciones IX, XX, XXI y XLV; 51 y 52 de la Ley de Transparencia y Acceso a la Información Pública del Estado de México y Municipios establecen:</w:t>
      </w:r>
    </w:p>
    <w:p w14:paraId="78070167" w14:textId="77777777" w:rsidR="008D3350" w:rsidRPr="0007620B" w:rsidRDefault="008D3350" w:rsidP="0007620B">
      <w:pPr>
        <w:pStyle w:val="Puesto"/>
        <w:tabs>
          <w:tab w:val="left" w:pos="8222"/>
        </w:tabs>
        <w:ind w:right="822" w:firstLine="0"/>
        <w:rPr>
          <w:color w:val="auto"/>
        </w:rPr>
      </w:pPr>
      <w:r w:rsidRPr="0007620B">
        <w:rPr>
          <w:b/>
          <w:color w:val="auto"/>
        </w:rPr>
        <w:t xml:space="preserve">“Artículo 3. </w:t>
      </w:r>
      <w:r w:rsidRPr="0007620B">
        <w:rPr>
          <w:color w:val="auto"/>
        </w:rPr>
        <w:t xml:space="preserve">Para los efectos de la presente Ley se entenderá por: </w:t>
      </w:r>
    </w:p>
    <w:p w14:paraId="3FCDB3BF" w14:textId="77777777" w:rsidR="008D3350" w:rsidRPr="0007620B" w:rsidRDefault="008D3350" w:rsidP="0007620B">
      <w:pPr>
        <w:pStyle w:val="Puesto"/>
        <w:tabs>
          <w:tab w:val="left" w:pos="8222"/>
        </w:tabs>
        <w:ind w:right="822" w:firstLine="0"/>
        <w:rPr>
          <w:color w:val="auto"/>
        </w:rPr>
      </w:pPr>
      <w:r w:rsidRPr="0007620B">
        <w:rPr>
          <w:b/>
          <w:color w:val="auto"/>
        </w:rPr>
        <w:lastRenderedPageBreak/>
        <w:t>IX.</w:t>
      </w:r>
      <w:r w:rsidRPr="0007620B">
        <w:rPr>
          <w:color w:val="auto"/>
        </w:rPr>
        <w:t xml:space="preserve"> </w:t>
      </w:r>
      <w:r w:rsidRPr="0007620B">
        <w:rPr>
          <w:b/>
          <w:color w:val="auto"/>
        </w:rPr>
        <w:t xml:space="preserve">Datos personales: </w:t>
      </w:r>
      <w:r w:rsidRPr="0007620B">
        <w:rPr>
          <w:color w:val="auto"/>
        </w:rPr>
        <w:t xml:space="preserve">La información concerniente a una persona, identificada o identificable según lo dispuesto por la Ley de Protección de Datos Personales del Estado de México; </w:t>
      </w:r>
    </w:p>
    <w:p w14:paraId="51756C72" w14:textId="77777777" w:rsidR="008D3350" w:rsidRPr="0007620B" w:rsidRDefault="008D3350" w:rsidP="0007620B">
      <w:pPr>
        <w:tabs>
          <w:tab w:val="left" w:pos="8222"/>
        </w:tabs>
        <w:spacing w:line="240" w:lineRule="auto"/>
        <w:ind w:left="567" w:right="822"/>
      </w:pPr>
    </w:p>
    <w:p w14:paraId="20CE24E3" w14:textId="77777777" w:rsidR="008D3350" w:rsidRPr="0007620B" w:rsidRDefault="008D3350" w:rsidP="0007620B">
      <w:pPr>
        <w:pStyle w:val="Puesto"/>
        <w:tabs>
          <w:tab w:val="left" w:pos="8222"/>
        </w:tabs>
        <w:ind w:right="822" w:firstLine="0"/>
        <w:rPr>
          <w:color w:val="auto"/>
        </w:rPr>
      </w:pPr>
      <w:r w:rsidRPr="0007620B">
        <w:rPr>
          <w:b/>
          <w:color w:val="auto"/>
        </w:rPr>
        <w:t>XX.</w:t>
      </w:r>
      <w:r w:rsidRPr="0007620B">
        <w:rPr>
          <w:color w:val="auto"/>
        </w:rPr>
        <w:t xml:space="preserve"> </w:t>
      </w:r>
      <w:r w:rsidRPr="0007620B">
        <w:rPr>
          <w:b/>
          <w:color w:val="auto"/>
        </w:rPr>
        <w:t>Información clasificada:</w:t>
      </w:r>
      <w:r w:rsidRPr="0007620B">
        <w:rPr>
          <w:color w:val="auto"/>
        </w:rPr>
        <w:t xml:space="preserve"> Aquella considerada por la presente Ley como reservada o confidencial; </w:t>
      </w:r>
    </w:p>
    <w:p w14:paraId="1F69D948" w14:textId="77777777" w:rsidR="008D3350" w:rsidRPr="0007620B" w:rsidRDefault="008D3350" w:rsidP="0007620B">
      <w:pPr>
        <w:pStyle w:val="Puesto"/>
        <w:tabs>
          <w:tab w:val="left" w:pos="8222"/>
        </w:tabs>
        <w:ind w:right="822" w:firstLine="0"/>
        <w:rPr>
          <w:color w:val="auto"/>
        </w:rPr>
      </w:pPr>
      <w:r w:rsidRPr="0007620B">
        <w:rPr>
          <w:b/>
          <w:color w:val="auto"/>
        </w:rPr>
        <w:t>XXI.</w:t>
      </w:r>
      <w:r w:rsidRPr="0007620B">
        <w:rPr>
          <w:color w:val="auto"/>
        </w:rPr>
        <w:t xml:space="preserve"> </w:t>
      </w:r>
      <w:r w:rsidRPr="0007620B">
        <w:rPr>
          <w:b/>
          <w:color w:val="auto"/>
        </w:rPr>
        <w:t>Información confidencial</w:t>
      </w:r>
      <w:r w:rsidRPr="0007620B">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AC15734" w14:textId="77777777" w:rsidR="008D3350" w:rsidRPr="0007620B" w:rsidRDefault="008D3350" w:rsidP="0007620B">
      <w:pPr>
        <w:pStyle w:val="Puesto"/>
        <w:tabs>
          <w:tab w:val="left" w:pos="8222"/>
        </w:tabs>
        <w:ind w:right="822" w:firstLine="0"/>
        <w:rPr>
          <w:color w:val="auto"/>
        </w:rPr>
      </w:pPr>
      <w:r w:rsidRPr="0007620B">
        <w:rPr>
          <w:b/>
          <w:color w:val="auto"/>
        </w:rPr>
        <w:t>XLV. Versión pública:</w:t>
      </w:r>
      <w:r w:rsidRPr="0007620B">
        <w:rPr>
          <w:color w:val="auto"/>
        </w:rPr>
        <w:t xml:space="preserve"> Documento en el que se elimine, suprime o borra la información clasificada como reservada o confidencial para permitir su acceso. </w:t>
      </w:r>
    </w:p>
    <w:p w14:paraId="263B3AA3" w14:textId="77777777" w:rsidR="008D3350" w:rsidRPr="0007620B" w:rsidRDefault="008D3350" w:rsidP="0007620B">
      <w:pPr>
        <w:pStyle w:val="Puesto"/>
        <w:tabs>
          <w:tab w:val="left" w:pos="8222"/>
        </w:tabs>
        <w:ind w:right="822" w:firstLine="0"/>
        <w:rPr>
          <w:color w:val="auto"/>
        </w:rPr>
      </w:pPr>
      <w:r w:rsidRPr="0007620B">
        <w:rPr>
          <w:b/>
          <w:color w:val="auto"/>
        </w:rPr>
        <w:t>Artículo 51.</w:t>
      </w:r>
      <w:r w:rsidRPr="0007620B">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620B">
        <w:rPr>
          <w:b/>
          <w:color w:val="auto"/>
        </w:rPr>
        <w:t xml:space="preserve">y tendrá la responsabilidad de verificar en cada caso que la misma no sea confidencial o reservada. </w:t>
      </w:r>
      <w:r w:rsidRPr="0007620B">
        <w:rPr>
          <w:color w:val="auto"/>
        </w:rPr>
        <w:t>Dicha Unidad contará con las facultades internas necesarias para gestionar la atención a las solicitudes de información en los términos de la Ley General y la presente Ley.</w:t>
      </w:r>
    </w:p>
    <w:p w14:paraId="49454366" w14:textId="77777777" w:rsidR="008D3350" w:rsidRPr="0007620B" w:rsidRDefault="008D3350" w:rsidP="0007620B">
      <w:pPr>
        <w:tabs>
          <w:tab w:val="left" w:pos="8222"/>
        </w:tabs>
        <w:spacing w:line="240" w:lineRule="auto"/>
        <w:ind w:left="567" w:right="822"/>
      </w:pPr>
    </w:p>
    <w:p w14:paraId="01378523" w14:textId="77777777" w:rsidR="008D3350" w:rsidRPr="0007620B" w:rsidRDefault="008D3350" w:rsidP="0007620B">
      <w:pPr>
        <w:pStyle w:val="Puesto"/>
        <w:tabs>
          <w:tab w:val="left" w:pos="8222"/>
        </w:tabs>
        <w:ind w:right="822" w:firstLine="0"/>
        <w:rPr>
          <w:i w:val="0"/>
          <w:color w:val="auto"/>
        </w:rPr>
      </w:pPr>
      <w:r w:rsidRPr="0007620B">
        <w:rPr>
          <w:b/>
          <w:color w:val="auto"/>
        </w:rPr>
        <w:t>Artículo 52.</w:t>
      </w:r>
      <w:r w:rsidRPr="0007620B">
        <w:rPr>
          <w:color w:val="auto"/>
        </w:rPr>
        <w:t xml:space="preserve"> Las solicitudes de acceso a la información y las respuestas que se les dé, incluyendo, en su caso, </w:t>
      </w:r>
      <w:r w:rsidRPr="0007620B">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07620B">
        <w:rPr>
          <w:color w:val="auto"/>
        </w:rPr>
        <w:t xml:space="preserve">, siempre y cuando la resolución de referencia se someta a un proceso de disociación, es decir, no haga identificable al titular de tales datos personales.” </w:t>
      </w:r>
      <w:r w:rsidRPr="0007620B">
        <w:rPr>
          <w:i w:val="0"/>
          <w:color w:val="auto"/>
        </w:rPr>
        <w:t>(Énfasis añadido)</w:t>
      </w:r>
    </w:p>
    <w:p w14:paraId="49FB4477" w14:textId="77777777" w:rsidR="008D3350" w:rsidRPr="0007620B" w:rsidRDefault="008D3350" w:rsidP="0007620B"/>
    <w:p w14:paraId="477E5E46" w14:textId="77777777" w:rsidR="008D3350" w:rsidRPr="0007620B" w:rsidRDefault="008D3350" w:rsidP="0007620B">
      <w:r w:rsidRPr="0007620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5F38EF3" w14:textId="77777777" w:rsidR="008D3350" w:rsidRPr="0007620B" w:rsidRDefault="008D3350" w:rsidP="0007620B"/>
    <w:p w14:paraId="7BBFF337" w14:textId="77777777" w:rsidR="008D3350" w:rsidRPr="0007620B" w:rsidRDefault="008D3350" w:rsidP="0007620B">
      <w:pPr>
        <w:pStyle w:val="Puesto"/>
        <w:ind w:right="822" w:firstLine="0"/>
        <w:rPr>
          <w:color w:val="auto"/>
        </w:rPr>
      </w:pPr>
      <w:r w:rsidRPr="0007620B">
        <w:rPr>
          <w:b/>
          <w:color w:val="auto"/>
        </w:rPr>
        <w:t>“Artículo 22.</w:t>
      </w:r>
      <w:r w:rsidRPr="0007620B">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DE27740" w14:textId="77777777" w:rsidR="008D3350" w:rsidRPr="0007620B" w:rsidRDefault="008D3350" w:rsidP="0007620B">
      <w:pPr>
        <w:spacing w:line="240" w:lineRule="auto"/>
        <w:ind w:left="567" w:right="822"/>
      </w:pPr>
    </w:p>
    <w:p w14:paraId="440585E0" w14:textId="77777777" w:rsidR="008D3350" w:rsidRPr="0007620B" w:rsidRDefault="008D3350" w:rsidP="0007620B">
      <w:pPr>
        <w:pStyle w:val="Puesto"/>
        <w:ind w:right="822" w:firstLine="0"/>
        <w:rPr>
          <w:color w:val="auto"/>
        </w:rPr>
      </w:pPr>
      <w:r w:rsidRPr="0007620B">
        <w:rPr>
          <w:b/>
          <w:color w:val="auto"/>
        </w:rPr>
        <w:t>Artículo 38.</w:t>
      </w:r>
      <w:r w:rsidRPr="0007620B">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7620B">
        <w:rPr>
          <w:b/>
          <w:color w:val="auto"/>
        </w:rPr>
        <w:t>”</w:t>
      </w:r>
      <w:r w:rsidRPr="0007620B">
        <w:rPr>
          <w:color w:val="auto"/>
        </w:rPr>
        <w:t xml:space="preserve"> </w:t>
      </w:r>
    </w:p>
    <w:p w14:paraId="22EDC1FC" w14:textId="77777777" w:rsidR="008D3350" w:rsidRPr="0007620B" w:rsidRDefault="008D3350" w:rsidP="0007620B"/>
    <w:p w14:paraId="1637B1B2" w14:textId="77777777" w:rsidR="008D3350" w:rsidRPr="0007620B" w:rsidRDefault="008D3350" w:rsidP="0007620B">
      <w:r w:rsidRPr="0007620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1A8C8A3" w14:textId="77777777" w:rsidR="008D3350" w:rsidRPr="0007620B" w:rsidRDefault="008D3350" w:rsidP="0007620B"/>
    <w:p w14:paraId="73260049" w14:textId="77777777" w:rsidR="008D3350" w:rsidRPr="0007620B" w:rsidRDefault="008D3350" w:rsidP="0007620B">
      <w:r w:rsidRPr="0007620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7620B">
        <w:rPr>
          <w:b/>
        </w:rPr>
        <w:t>EL SUJETO OBLIGADO,</w:t>
      </w:r>
      <w:r w:rsidRPr="0007620B">
        <w:t xml:space="preserve"> por lo que, todo dato personal susceptible de clasificación debe ser protegido.</w:t>
      </w:r>
    </w:p>
    <w:p w14:paraId="13E5E017" w14:textId="77777777" w:rsidR="008D3350" w:rsidRPr="0007620B" w:rsidRDefault="008D3350" w:rsidP="0007620B"/>
    <w:p w14:paraId="74D297A9" w14:textId="77777777" w:rsidR="008D3350" w:rsidRPr="0007620B" w:rsidRDefault="008D3350" w:rsidP="0007620B">
      <w:r w:rsidRPr="0007620B">
        <w:t xml:space="preserve">La finalidad de la versión pública es salvaguardar la vida, integridad, seguridad, patrimonio y privacidad de las personas; de tal manera que, todo aquello que no tenga por objeto proteger </w:t>
      </w:r>
      <w:r w:rsidRPr="0007620B">
        <w:lastRenderedPageBreak/>
        <w:t>lo anterior, es susceptible de ser entregado. En otras palabras, la protección de datos personales es una derivación del derecho a la intimidad.</w:t>
      </w:r>
    </w:p>
    <w:p w14:paraId="4E112F45" w14:textId="77777777" w:rsidR="008D3350" w:rsidRPr="0007620B" w:rsidRDefault="008D3350" w:rsidP="0007620B"/>
    <w:p w14:paraId="044F5418" w14:textId="77777777" w:rsidR="008D3350" w:rsidRPr="0007620B" w:rsidRDefault="008D3350" w:rsidP="0007620B">
      <w:pPr>
        <w:spacing w:after="240"/>
      </w:pPr>
      <w:r w:rsidRPr="0007620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59D104" w14:textId="77777777" w:rsidR="008D3350" w:rsidRPr="0007620B" w:rsidRDefault="008D3350" w:rsidP="0007620B">
      <w:pPr>
        <w:spacing w:line="240" w:lineRule="auto"/>
        <w:ind w:left="851" w:right="822"/>
        <w:jc w:val="center"/>
        <w:rPr>
          <w:b/>
          <w:i/>
        </w:rPr>
      </w:pPr>
      <w:r w:rsidRPr="0007620B">
        <w:rPr>
          <w:b/>
          <w:i/>
        </w:rPr>
        <w:t>Ley de Transparencia y Acceso a la Información Pública del Estado de México y Municipios</w:t>
      </w:r>
    </w:p>
    <w:p w14:paraId="7AB47E69" w14:textId="77777777" w:rsidR="008D3350" w:rsidRPr="0007620B" w:rsidRDefault="008D3350" w:rsidP="0007620B">
      <w:pPr>
        <w:spacing w:line="240" w:lineRule="auto"/>
        <w:ind w:left="851" w:right="822"/>
      </w:pPr>
    </w:p>
    <w:p w14:paraId="79627B00" w14:textId="77777777" w:rsidR="008D3350" w:rsidRPr="0007620B" w:rsidRDefault="008D3350" w:rsidP="0007620B">
      <w:pPr>
        <w:pStyle w:val="Puesto"/>
        <w:ind w:right="822" w:firstLine="0"/>
        <w:rPr>
          <w:color w:val="auto"/>
        </w:rPr>
      </w:pPr>
      <w:r w:rsidRPr="0007620B">
        <w:rPr>
          <w:b/>
          <w:color w:val="auto"/>
        </w:rPr>
        <w:t xml:space="preserve">“Artículo 49. </w:t>
      </w:r>
      <w:r w:rsidRPr="0007620B">
        <w:rPr>
          <w:color w:val="auto"/>
        </w:rPr>
        <w:t>Los Comités de Transparencia tendrán las siguientes atribuciones:</w:t>
      </w:r>
    </w:p>
    <w:p w14:paraId="5215AEC1" w14:textId="77777777" w:rsidR="008D3350" w:rsidRPr="0007620B" w:rsidRDefault="008D3350" w:rsidP="0007620B">
      <w:pPr>
        <w:pStyle w:val="Puesto"/>
        <w:ind w:right="822" w:firstLine="0"/>
        <w:rPr>
          <w:color w:val="auto"/>
        </w:rPr>
      </w:pPr>
      <w:r w:rsidRPr="0007620B">
        <w:rPr>
          <w:b/>
          <w:color w:val="auto"/>
        </w:rPr>
        <w:t>VIII.</w:t>
      </w:r>
      <w:r w:rsidRPr="0007620B">
        <w:rPr>
          <w:color w:val="auto"/>
        </w:rPr>
        <w:t xml:space="preserve"> Aprobar, modificar o revocar la clasificación de la información;</w:t>
      </w:r>
    </w:p>
    <w:p w14:paraId="24DDF06A" w14:textId="77777777" w:rsidR="008D3350" w:rsidRPr="0007620B" w:rsidRDefault="008D3350" w:rsidP="0007620B">
      <w:pPr>
        <w:spacing w:line="240" w:lineRule="auto"/>
        <w:ind w:left="567" w:right="822"/>
      </w:pPr>
    </w:p>
    <w:p w14:paraId="715CE53A" w14:textId="77777777" w:rsidR="008D3350" w:rsidRPr="0007620B" w:rsidRDefault="008D3350" w:rsidP="0007620B">
      <w:pPr>
        <w:pStyle w:val="Puesto"/>
        <w:ind w:right="822" w:firstLine="0"/>
        <w:rPr>
          <w:color w:val="auto"/>
        </w:rPr>
      </w:pPr>
      <w:r w:rsidRPr="0007620B">
        <w:rPr>
          <w:b/>
          <w:color w:val="auto"/>
        </w:rPr>
        <w:t>Artículo 132.</w:t>
      </w:r>
      <w:r w:rsidRPr="0007620B">
        <w:rPr>
          <w:color w:val="auto"/>
        </w:rPr>
        <w:t xml:space="preserve"> La clasificación de la información se llevará a cabo en el momento en que:</w:t>
      </w:r>
    </w:p>
    <w:p w14:paraId="13D2D04B" w14:textId="77777777" w:rsidR="008D3350" w:rsidRPr="0007620B" w:rsidRDefault="008D3350" w:rsidP="0007620B">
      <w:pPr>
        <w:pStyle w:val="Puesto"/>
        <w:ind w:right="822" w:firstLine="0"/>
        <w:rPr>
          <w:color w:val="auto"/>
        </w:rPr>
      </w:pPr>
      <w:r w:rsidRPr="0007620B">
        <w:rPr>
          <w:b/>
          <w:color w:val="auto"/>
        </w:rPr>
        <w:t>I.</w:t>
      </w:r>
      <w:r w:rsidRPr="0007620B">
        <w:rPr>
          <w:color w:val="auto"/>
        </w:rPr>
        <w:t xml:space="preserve"> Se reciba una solicitud de acceso a la información;</w:t>
      </w:r>
    </w:p>
    <w:p w14:paraId="198D8838" w14:textId="77777777" w:rsidR="008D3350" w:rsidRPr="0007620B" w:rsidRDefault="008D3350" w:rsidP="0007620B">
      <w:pPr>
        <w:pStyle w:val="Puesto"/>
        <w:ind w:right="822" w:firstLine="0"/>
        <w:rPr>
          <w:color w:val="auto"/>
        </w:rPr>
      </w:pPr>
      <w:r w:rsidRPr="0007620B">
        <w:rPr>
          <w:b/>
          <w:color w:val="auto"/>
        </w:rPr>
        <w:t>II.</w:t>
      </w:r>
      <w:r w:rsidRPr="0007620B">
        <w:rPr>
          <w:color w:val="auto"/>
        </w:rPr>
        <w:t xml:space="preserve"> Se determine mediante resolución de autoridad competente; o</w:t>
      </w:r>
    </w:p>
    <w:p w14:paraId="65AF7DF2" w14:textId="77777777" w:rsidR="008D3350" w:rsidRPr="0007620B" w:rsidRDefault="008D3350" w:rsidP="0007620B">
      <w:pPr>
        <w:pStyle w:val="Puesto"/>
        <w:ind w:right="822" w:firstLine="0"/>
        <w:rPr>
          <w:b/>
          <w:color w:val="auto"/>
        </w:rPr>
      </w:pPr>
      <w:r w:rsidRPr="0007620B">
        <w:rPr>
          <w:b/>
          <w:color w:val="auto"/>
        </w:rPr>
        <w:t>III.</w:t>
      </w:r>
      <w:r w:rsidRPr="0007620B">
        <w:rPr>
          <w:color w:val="auto"/>
        </w:rPr>
        <w:t xml:space="preserve"> Se generen versiones públicas para dar cumplimiento a las obligaciones de transparencia previstas en esta Ley.</w:t>
      </w:r>
      <w:r w:rsidRPr="0007620B">
        <w:rPr>
          <w:b/>
          <w:color w:val="auto"/>
        </w:rPr>
        <w:t>”</w:t>
      </w:r>
    </w:p>
    <w:p w14:paraId="187F9032" w14:textId="77777777" w:rsidR="008D3350" w:rsidRPr="0007620B" w:rsidRDefault="008D3350" w:rsidP="0007620B">
      <w:pPr>
        <w:spacing w:line="240" w:lineRule="auto"/>
        <w:ind w:left="567" w:right="822"/>
      </w:pPr>
    </w:p>
    <w:p w14:paraId="70CB9B7D" w14:textId="77777777" w:rsidR="008D3350" w:rsidRPr="0007620B" w:rsidRDefault="008D3350" w:rsidP="0007620B">
      <w:pPr>
        <w:pStyle w:val="Puesto"/>
        <w:ind w:right="822" w:firstLine="0"/>
        <w:rPr>
          <w:color w:val="auto"/>
        </w:rPr>
      </w:pPr>
      <w:r w:rsidRPr="0007620B">
        <w:rPr>
          <w:b/>
          <w:color w:val="auto"/>
        </w:rPr>
        <w:t>“Segundo. -</w:t>
      </w:r>
      <w:r w:rsidRPr="0007620B">
        <w:rPr>
          <w:color w:val="auto"/>
        </w:rPr>
        <w:t xml:space="preserve"> Para efectos de los presentes Lineamientos Generales, se entenderá por:</w:t>
      </w:r>
    </w:p>
    <w:p w14:paraId="4E18F5A2" w14:textId="77777777" w:rsidR="008D3350" w:rsidRPr="0007620B" w:rsidRDefault="008D3350" w:rsidP="0007620B">
      <w:pPr>
        <w:pStyle w:val="Puesto"/>
        <w:ind w:right="822" w:firstLine="0"/>
        <w:rPr>
          <w:color w:val="auto"/>
        </w:rPr>
      </w:pPr>
      <w:r w:rsidRPr="0007620B">
        <w:rPr>
          <w:b/>
          <w:color w:val="auto"/>
        </w:rPr>
        <w:t>XVIII.</w:t>
      </w:r>
      <w:r w:rsidRPr="0007620B">
        <w:rPr>
          <w:color w:val="auto"/>
        </w:rPr>
        <w:t xml:space="preserve">  </w:t>
      </w:r>
      <w:r w:rsidRPr="0007620B">
        <w:rPr>
          <w:b/>
          <w:color w:val="auto"/>
        </w:rPr>
        <w:t>Versión pública:</w:t>
      </w:r>
      <w:r w:rsidRPr="0007620B">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941EFF" w14:textId="77777777" w:rsidR="008D3350" w:rsidRPr="0007620B" w:rsidRDefault="008D3350" w:rsidP="0007620B">
      <w:pPr>
        <w:pStyle w:val="Puesto"/>
        <w:ind w:right="822" w:firstLine="0"/>
        <w:rPr>
          <w:b/>
          <w:color w:val="auto"/>
        </w:rPr>
      </w:pPr>
      <w:r w:rsidRPr="0007620B">
        <w:rPr>
          <w:b/>
          <w:color w:val="auto"/>
        </w:rPr>
        <w:t>Lineamientos Generales en materia de Clasificación y Desclasificación de la Información</w:t>
      </w:r>
    </w:p>
    <w:p w14:paraId="0375D9A2" w14:textId="77777777" w:rsidR="008D3350" w:rsidRPr="0007620B" w:rsidRDefault="008D3350" w:rsidP="0007620B">
      <w:pPr>
        <w:pStyle w:val="Puesto"/>
        <w:ind w:right="822" w:firstLine="0"/>
        <w:rPr>
          <w:color w:val="auto"/>
        </w:rPr>
      </w:pPr>
    </w:p>
    <w:p w14:paraId="5B2AC9C8" w14:textId="77777777" w:rsidR="008D3350" w:rsidRPr="0007620B" w:rsidRDefault="008D3350" w:rsidP="0007620B">
      <w:pPr>
        <w:pStyle w:val="Puesto"/>
        <w:ind w:right="822" w:firstLine="0"/>
        <w:rPr>
          <w:color w:val="auto"/>
        </w:rPr>
      </w:pPr>
      <w:r w:rsidRPr="0007620B">
        <w:rPr>
          <w:b/>
          <w:color w:val="auto"/>
        </w:rPr>
        <w:lastRenderedPageBreak/>
        <w:t>Cuarto.</w:t>
      </w:r>
      <w:r w:rsidRPr="0007620B">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8BE4C3" w14:textId="77777777" w:rsidR="008D3350" w:rsidRPr="0007620B" w:rsidRDefault="008D3350" w:rsidP="0007620B">
      <w:pPr>
        <w:spacing w:line="240" w:lineRule="auto"/>
        <w:ind w:left="567"/>
      </w:pPr>
    </w:p>
    <w:p w14:paraId="78D3BDEA" w14:textId="77777777" w:rsidR="008D3350" w:rsidRPr="0007620B" w:rsidRDefault="008D3350" w:rsidP="0007620B">
      <w:pPr>
        <w:pStyle w:val="Puesto"/>
        <w:ind w:right="822" w:firstLine="0"/>
        <w:rPr>
          <w:color w:val="auto"/>
        </w:rPr>
      </w:pPr>
      <w:r w:rsidRPr="0007620B">
        <w:rPr>
          <w:color w:val="auto"/>
        </w:rPr>
        <w:t>Los sujetos obligados deberán aplicar, de manera estricta, las excepciones al derecho de acceso a la información y sólo podrán invocarlas cuando acrediten su procedencia.</w:t>
      </w:r>
    </w:p>
    <w:p w14:paraId="6E29B93C" w14:textId="77777777" w:rsidR="008D3350" w:rsidRPr="0007620B" w:rsidRDefault="008D3350" w:rsidP="0007620B">
      <w:pPr>
        <w:spacing w:line="240" w:lineRule="auto"/>
        <w:ind w:left="567" w:right="822"/>
      </w:pPr>
    </w:p>
    <w:p w14:paraId="51B41D1F" w14:textId="77777777" w:rsidR="008D3350" w:rsidRPr="0007620B" w:rsidRDefault="008D3350" w:rsidP="0007620B">
      <w:pPr>
        <w:pStyle w:val="Puesto"/>
        <w:ind w:right="822" w:firstLine="0"/>
        <w:rPr>
          <w:color w:val="auto"/>
        </w:rPr>
      </w:pPr>
      <w:r w:rsidRPr="0007620B">
        <w:rPr>
          <w:b/>
          <w:color w:val="auto"/>
        </w:rPr>
        <w:t>Quinto.</w:t>
      </w:r>
      <w:r w:rsidRPr="0007620B">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CDFE84" w14:textId="77777777" w:rsidR="008D3350" w:rsidRPr="0007620B" w:rsidRDefault="008D3350" w:rsidP="0007620B">
      <w:pPr>
        <w:spacing w:line="240" w:lineRule="auto"/>
        <w:ind w:left="567" w:right="822"/>
      </w:pPr>
    </w:p>
    <w:p w14:paraId="4AA9AFAC" w14:textId="77777777" w:rsidR="008D3350" w:rsidRPr="0007620B" w:rsidRDefault="008D3350" w:rsidP="0007620B">
      <w:pPr>
        <w:pStyle w:val="Puesto"/>
        <w:ind w:right="822" w:firstLine="0"/>
        <w:rPr>
          <w:color w:val="auto"/>
        </w:rPr>
      </w:pPr>
      <w:r w:rsidRPr="0007620B">
        <w:rPr>
          <w:b/>
          <w:color w:val="auto"/>
        </w:rPr>
        <w:t>Sexto.</w:t>
      </w:r>
      <w:r w:rsidRPr="0007620B">
        <w:rPr>
          <w:color w:val="auto"/>
        </w:rPr>
        <w:t xml:space="preserve"> Se deroga.</w:t>
      </w:r>
    </w:p>
    <w:p w14:paraId="6AC52948" w14:textId="77777777" w:rsidR="008D3350" w:rsidRPr="0007620B" w:rsidRDefault="008D3350" w:rsidP="0007620B">
      <w:pPr>
        <w:spacing w:line="240" w:lineRule="auto"/>
        <w:ind w:left="567" w:right="822"/>
      </w:pPr>
    </w:p>
    <w:p w14:paraId="28CD9A28" w14:textId="77777777" w:rsidR="008D3350" w:rsidRPr="0007620B" w:rsidRDefault="008D3350" w:rsidP="0007620B">
      <w:pPr>
        <w:pStyle w:val="Puesto"/>
        <w:ind w:right="822" w:firstLine="0"/>
        <w:rPr>
          <w:color w:val="auto"/>
        </w:rPr>
      </w:pPr>
      <w:r w:rsidRPr="0007620B">
        <w:rPr>
          <w:b/>
          <w:color w:val="auto"/>
        </w:rPr>
        <w:t>Séptimo.</w:t>
      </w:r>
      <w:r w:rsidRPr="0007620B">
        <w:rPr>
          <w:color w:val="auto"/>
        </w:rPr>
        <w:t xml:space="preserve"> La clasificación de la información se llevará a cabo en el momento en que:</w:t>
      </w:r>
    </w:p>
    <w:p w14:paraId="729FB2B1" w14:textId="77777777" w:rsidR="008D3350" w:rsidRPr="0007620B" w:rsidRDefault="008D3350" w:rsidP="0007620B">
      <w:pPr>
        <w:pStyle w:val="Puesto"/>
        <w:ind w:right="822" w:firstLine="0"/>
        <w:rPr>
          <w:color w:val="auto"/>
        </w:rPr>
      </w:pPr>
      <w:r w:rsidRPr="0007620B">
        <w:rPr>
          <w:b/>
          <w:color w:val="auto"/>
        </w:rPr>
        <w:t>I.</w:t>
      </w:r>
      <w:r w:rsidRPr="0007620B">
        <w:rPr>
          <w:color w:val="auto"/>
        </w:rPr>
        <w:t xml:space="preserve">        Se reciba una solicitud de acceso a la información;</w:t>
      </w:r>
    </w:p>
    <w:p w14:paraId="7397190C" w14:textId="77777777" w:rsidR="008D3350" w:rsidRPr="0007620B" w:rsidRDefault="008D3350" w:rsidP="0007620B">
      <w:pPr>
        <w:pStyle w:val="Puesto"/>
        <w:ind w:right="822" w:firstLine="0"/>
        <w:rPr>
          <w:color w:val="auto"/>
        </w:rPr>
      </w:pPr>
      <w:r w:rsidRPr="0007620B">
        <w:rPr>
          <w:b/>
          <w:color w:val="auto"/>
        </w:rPr>
        <w:t>II.</w:t>
      </w:r>
      <w:r w:rsidRPr="0007620B">
        <w:rPr>
          <w:color w:val="auto"/>
        </w:rPr>
        <w:t xml:space="preserve">       Se determine mediante resolución del Comité de Transparencia, el órgano garante competente, o en cumplimiento a una sentencia del Poder Judicial; o</w:t>
      </w:r>
    </w:p>
    <w:p w14:paraId="06A8DF2B" w14:textId="77777777" w:rsidR="008D3350" w:rsidRPr="0007620B" w:rsidRDefault="008D3350" w:rsidP="0007620B">
      <w:pPr>
        <w:pStyle w:val="Puesto"/>
        <w:ind w:right="822" w:firstLine="0"/>
        <w:rPr>
          <w:color w:val="auto"/>
        </w:rPr>
      </w:pPr>
      <w:r w:rsidRPr="0007620B">
        <w:rPr>
          <w:b/>
          <w:color w:val="auto"/>
        </w:rPr>
        <w:t>III.</w:t>
      </w:r>
      <w:r w:rsidRPr="0007620B">
        <w:rPr>
          <w:color w:val="auto"/>
        </w:rPr>
        <w:t xml:space="preserve">      Se generen versiones públicas para dar cumplimiento a las obligaciones de transparencia previstas en la Ley General, la Ley Federal y las correspondientes de las entidades federativas.</w:t>
      </w:r>
    </w:p>
    <w:p w14:paraId="17862733" w14:textId="77777777" w:rsidR="008D3350" w:rsidRPr="0007620B" w:rsidRDefault="008D3350" w:rsidP="0007620B">
      <w:pPr>
        <w:pStyle w:val="Puesto"/>
        <w:ind w:right="822" w:firstLine="0"/>
        <w:rPr>
          <w:color w:val="auto"/>
        </w:rPr>
      </w:pPr>
      <w:r w:rsidRPr="0007620B">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09A9A4F" w14:textId="77777777" w:rsidR="008D3350" w:rsidRPr="0007620B" w:rsidRDefault="008D3350" w:rsidP="0007620B">
      <w:pPr>
        <w:spacing w:line="240" w:lineRule="auto"/>
        <w:ind w:left="567" w:right="822"/>
      </w:pPr>
    </w:p>
    <w:p w14:paraId="161E86D1" w14:textId="77777777" w:rsidR="008D3350" w:rsidRPr="0007620B" w:rsidRDefault="008D3350" w:rsidP="0007620B">
      <w:pPr>
        <w:pStyle w:val="Puesto"/>
        <w:ind w:right="822" w:firstLine="0"/>
        <w:rPr>
          <w:color w:val="auto"/>
        </w:rPr>
      </w:pPr>
      <w:r w:rsidRPr="0007620B">
        <w:rPr>
          <w:b/>
          <w:color w:val="auto"/>
        </w:rPr>
        <w:t>Octavo.</w:t>
      </w:r>
      <w:r w:rsidRPr="0007620B">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26C9A8" w14:textId="77777777" w:rsidR="008D3350" w:rsidRPr="0007620B" w:rsidRDefault="008D3350" w:rsidP="0007620B">
      <w:pPr>
        <w:pStyle w:val="Puesto"/>
        <w:ind w:right="822" w:firstLine="0"/>
        <w:rPr>
          <w:color w:val="auto"/>
        </w:rPr>
      </w:pPr>
      <w:r w:rsidRPr="0007620B">
        <w:rPr>
          <w:color w:val="auto"/>
        </w:rPr>
        <w:t>Para motivar la clasificación se deberán señalar las razones o circunstancias especiales que lo llevaron a concluir que el caso particular se ajusta al supuesto previsto por la norma legal invocada como fundamento.</w:t>
      </w:r>
    </w:p>
    <w:p w14:paraId="671301AE" w14:textId="77777777" w:rsidR="008D3350" w:rsidRPr="0007620B" w:rsidRDefault="008D3350" w:rsidP="0007620B">
      <w:pPr>
        <w:spacing w:line="240" w:lineRule="auto"/>
        <w:ind w:left="567"/>
      </w:pPr>
    </w:p>
    <w:p w14:paraId="5F344D45" w14:textId="77777777" w:rsidR="008D3350" w:rsidRPr="0007620B" w:rsidRDefault="008D3350" w:rsidP="0007620B">
      <w:pPr>
        <w:pStyle w:val="Puesto"/>
        <w:ind w:right="822" w:firstLine="0"/>
        <w:rPr>
          <w:color w:val="auto"/>
        </w:rPr>
      </w:pPr>
      <w:r w:rsidRPr="0007620B">
        <w:rPr>
          <w:color w:val="auto"/>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48540D5" w14:textId="77777777" w:rsidR="008D3350" w:rsidRPr="0007620B" w:rsidRDefault="008D3350" w:rsidP="0007620B">
      <w:pPr>
        <w:ind w:left="567"/>
      </w:pPr>
    </w:p>
    <w:p w14:paraId="37151361" w14:textId="77777777" w:rsidR="008D3350" w:rsidRPr="0007620B" w:rsidRDefault="008D3350" w:rsidP="0007620B">
      <w:pPr>
        <w:pStyle w:val="Puesto"/>
        <w:ind w:right="822" w:firstLine="0"/>
        <w:rPr>
          <w:color w:val="auto"/>
        </w:rPr>
      </w:pPr>
      <w:r w:rsidRPr="0007620B">
        <w:rPr>
          <w:b/>
          <w:color w:val="auto"/>
        </w:rPr>
        <w:t>Noveno.</w:t>
      </w:r>
      <w:r w:rsidRPr="0007620B">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954E93" w14:textId="77777777" w:rsidR="008D3350" w:rsidRPr="0007620B" w:rsidRDefault="008D3350" w:rsidP="0007620B">
      <w:pPr>
        <w:spacing w:line="240" w:lineRule="auto"/>
        <w:ind w:left="567"/>
      </w:pPr>
    </w:p>
    <w:p w14:paraId="00F42B2F" w14:textId="77777777" w:rsidR="008D3350" w:rsidRPr="0007620B" w:rsidRDefault="008D3350" w:rsidP="0007620B">
      <w:pPr>
        <w:pStyle w:val="Puesto"/>
        <w:ind w:right="822" w:firstLine="0"/>
        <w:rPr>
          <w:color w:val="auto"/>
        </w:rPr>
      </w:pPr>
      <w:r w:rsidRPr="0007620B">
        <w:rPr>
          <w:b/>
          <w:color w:val="auto"/>
        </w:rPr>
        <w:t>Décimo.</w:t>
      </w:r>
      <w:r w:rsidRPr="0007620B">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294C05" w14:textId="77777777" w:rsidR="008D3350" w:rsidRPr="0007620B" w:rsidRDefault="008D3350" w:rsidP="0007620B">
      <w:pPr>
        <w:pStyle w:val="Puesto"/>
        <w:ind w:right="822" w:firstLine="0"/>
        <w:rPr>
          <w:color w:val="auto"/>
        </w:rPr>
      </w:pPr>
      <w:r w:rsidRPr="0007620B">
        <w:rPr>
          <w:color w:val="auto"/>
        </w:rPr>
        <w:t>En ausencia de los titulares de las áreas, la información será clasificada o desclasificada por la persona que lo supla, en términos de la normativa que rija la actuación del sujeto obligado.</w:t>
      </w:r>
    </w:p>
    <w:p w14:paraId="75561A28" w14:textId="77777777" w:rsidR="008D3350" w:rsidRPr="0007620B" w:rsidRDefault="008D3350" w:rsidP="0007620B">
      <w:pPr>
        <w:spacing w:line="240" w:lineRule="auto"/>
        <w:ind w:left="567"/>
      </w:pPr>
    </w:p>
    <w:p w14:paraId="03365AAC" w14:textId="77777777" w:rsidR="008D3350" w:rsidRPr="0007620B" w:rsidRDefault="008D3350" w:rsidP="0007620B">
      <w:pPr>
        <w:pStyle w:val="Puesto"/>
        <w:ind w:right="822" w:firstLine="0"/>
        <w:rPr>
          <w:b/>
          <w:color w:val="auto"/>
        </w:rPr>
      </w:pPr>
      <w:r w:rsidRPr="0007620B">
        <w:rPr>
          <w:b/>
          <w:color w:val="auto"/>
        </w:rPr>
        <w:t>Décimo primero.</w:t>
      </w:r>
      <w:r w:rsidRPr="0007620B">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620B">
        <w:rPr>
          <w:b/>
          <w:color w:val="auto"/>
        </w:rPr>
        <w:t>”</w:t>
      </w:r>
    </w:p>
    <w:p w14:paraId="299164CA" w14:textId="77777777" w:rsidR="008D3350" w:rsidRPr="0007620B" w:rsidRDefault="008D3350" w:rsidP="0007620B"/>
    <w:p w14:paraId="2A6B3FF1" w14:textId="77777777" w:rsidR="008D3350" w:rsidRPr="0007620B" w:rsidRDefault="008D3350" w:rsidP="0007620B">
      <w:r w:rsidRPr="0007620B">
        <w:t xml:space="preserve">Consecuentemente, se destaca que la versión pública que elabore </w:t>
      </w:r>
      <w:r w:rsidRPr="0007620B">
        <w:rPr>
          <w:b/>
        </w:rPr>
        <w:t>EL SUJETO OBLIGADO</w:t>
      </w:r>
      <w:r w:rsidRPr="0007620B">
        <w:t xml:space="preserve"> debe cumplir con las formalidades exigidas en la Ley, por lo que para tal efecto emitirá el </w:t>
      </w:r>
      <w:r w:rsidRPr="0007620B">
        <w:rPr>
          <w:b/>
        </w:rPr>
        <w:t>Acuerdo del Comité de Transparencia</w:t>
      </w:r>
      <w:r w:rsidRPr="0007620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07620B">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7555BF9" w14:textId="77777777" w:rsidR="00712B87" w:rsidRPr="0007620B" w:rsidRDefault="00712B87" w:rsidP="0007620B"/>
    <w:p w14:paraId="27CAA0F9" w14:textId="77777777" w:rsidR="00712B87" w:rsidRPr="0007620B" w:rsidRDefault="00712B87" w:rsidP="0007620B">
      <w:r w:rsidRPr="0007620B">
        <w:t>Es importante señalar que, para el caso en concreto, se deben tomar en consideración adicional  a lo anterior, los siguientes criterios respecto a la información que debe ser, o no, clasificada como confidencial:</w:t>
      </w:r>
    </w:p>
    <w:p w14:paraId="5EB9A366" w14:textId="77777777" w:rsidR="00712B87" w:rsidRPr="0007620B" w:rsidRDefault="00712B87" w:rsidP="0007620B"/>
    <w:p w14:paraId="616762B7" w14:textId="77777777" w:rsidR="00712B87" w:rsidRPr="0007620B" w:rsidRDefault="00712B87" w:rsidP="0007620B">
      <w:pPr>
        <w:numPr>
          <w:ilvl w:val="0"/>
          <w:numId w:val="25"/>
        </w:numPr>
        <w:rPr>
          <w:b/>
          <w:iCs/>
          <w:lang w:val="es-ES"/>
        </w:rPr>
      </w:pPr>
      <w:r w:rsidRPr="0007620B">
        <w:rPr>
          <w:b/>
          <w:iCs/>
          <w:lang w:val="es-ES"/>
        </w:rPr>
        <w:t>Nombre de persona física.</w:t>
      </w:r>
    </w:p>
    <w:p w14:paraId="5642F11A" w14:textId="77777777" w:rsidR="00712B87" w:rsidRPr="0007620B" w:rsidRDefault="00712B87" w:rsidP="0007620B">
      <w:pPr>
        <w:rPr>
          <w:b/>
          <w:iCs/>
          <w:lang w:val="es-ES"/>
        </w:rPr>
      </w:pPr>
    </w:p>
    <w:p w14:paraId="6317DA9F" w14:textId="77777777" w:rsidR="00712B87" w:rsidRPr="0007620B" w:rsidRDefault="00712B87" w:rsidP="0007620B">
      <w:pPr>
        <w:rPr>
          <w:b/>
          <w:bCs/>
          <w:lang w:val="es-ES_tradnl"/>
        </w:rPr>
      </w:pPr>
      <w:r w:rsidRPr="0007620B">
        <w:t xml:space="preserve">Al respecto, </w:t>
      </w:r>
      <w:r w:rsidRPr="0007620B">
        <w:rPr>
          <w:bCs/>
          <w:lang w:val="es-ES"/>
        </w:rPr>
        <w:t xml:space="preserve">se considera que el nombre se integra </w:t>
      </w:r>
      <w:r w:rsidRPr="0007620B">
        <w:rPr>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7620B">
        <w:rPr>
          <w:bCs/>
          <w:i/>
          <w:lang w:val="es-ES_tradnl"/>
        </w:rPr>
        <w:t>per se</w:t>
      </w:r>
      <w:r w:rsidRPr="0007620B">
        <w:rPr>
          <w:bCs/>
          <w:lang w:val="es-ES_tradnl"/>
        </w:rPr>
        <w:t xml:space="preserve"> es un elemento que hace a una persona física identificada o identificable, por lo que, </w:t>
      </w:r>
      <w:r w:rsidRPr="0007620B">
        <w:rPr>
          <w:b/>
          <w:bCs/>
          <w:lang w:val="es-ES_tradnl"/>
        </w:rPr>
        <w:t>se considera un dato personal.</w:t>
      </w:r>
    </w:p>
    <w:p w14:paraId="252AE24D" w14:textId="77777777" w:rsidR="00712B87" w:rsidRPr="0007620B" w:rsidRDefault="00712B87" w:rsidP="0007620B"/>
    <w:p w14:paraId="793863F5" w14:textId="77777777" w:rsidR="00712B87" w:rsidRPr="0007620B" w:rsidRDefault="00712B87" w:rsidP="0007620B">
      <w:pPr>
        <w:rPr>
          <w:bCs/>
          <w:lang w:val="es-ES_tradnl"/>
        </w:rPr>
      </w:pPr>
      <w:r w:rsidRPr="0007620B">
        <w:rPr>
          <w:bCs/>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035FB2DB" w14:textId="77777777" w:rsidR="00712B87" w:rsidRPr="0007620B" w:rsidRDefault="00712B87" w:rsidP="0007620B">
      <w:pPr>
        <w:rPr>
          <w:bCs/>
          <w:lang w:val="es-ES_tradnl"/>
        </w:rPr>
      </w:pPr>
    </w:p>
    <w:p w14:paraId="095D30FC" w14:textId="77777777" w:rsidR="00712B87" w:rsidRPr="0007620B" w:rsidRDefault="00712B87" w:rsidP="0007620B">
      <w:pPr>
        <w:pStyle w:val="Puesto"/>
        <w:ind w:firstLine="0"/>
        <w:rPr>
          <w:color w:val="auto"/>
          <w:lang w:val="es-ES"/>
        </w:rPr>
      </w:pPr>
      <w:r w:rsidRPr="0007620B">
        <w:rPr>
          <w:color w:val="auto"/>
          <w:lang w:val="es-ES"/>
        </w:rPr>
        <w:t>“</w:t>
      </w:r>
      <w:r w:rsidRPr="0007620B">
        <w:rPr>
          <w:b/>
          <w:bCs/>
          <w:color w:val="auto"/>
          <w:lang w:val="es-ES"/>
        </w:rPr>
        <w:t>Nombre del titular de una licencia que no involucre el aprovechamiento de bienes, servicios y/o recursos públicos, constituye un dato personal susceptible de clasificar como confidencial.</w:t>
      </w:r>
      <w:r w:rsidRPr="0007620B">
        <w:rPr>
          <w:color w:val="auto"/>
          <w:lang w:val="es-ES"/>
        </w:rPr>
        <w:t xml:space="preserve"> El artículo 1, párrafo segundo de la Constitución Política de los Estados Unidos Mexicanos determina que las normas relativas a los derechos </w:t>
      </w:r>
      <w:r w:rsidRPr="0007620B">
        <w:rPr>
          <w:color w:val="auto"/>
          <w:lang w:val="es-ES"/>
        </w:rPr>
        <w:lastRenderedPageBreak/>
        <w:t>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72CFA94" w14:textId="77777777" w:rsidR="00712B87" w:rsidRPr="0007620B" w:rsidRDefault="00712B87" w:rsidP="0007620B">
      <w:pPr>
        <w:rPr>
          <w:bCs/>
          <w:lang w:val="es-ES"/>
        </w:rPr>
      </w:pPr>
    </w:p>
    <w:p w14:paraId="1CDDF971" w14:textId="483879A9" w:rsidR="00806250" w:rsidRPr="0007620B" w:rsidRDefault="00712B87" w:rsidP="0007620B">
      <w:pPr>
        <w:rPr>
          <w:b/>
          <w:u w:val="single"/>
        </w:rPr>
      </w:pPr>
      <w:r w:rsidRPr="0007620B">
        <w:rPr>
          <w:bCs/>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r w:rsidR="00FF588A" w:rsidRPr="0007620B">
        <w:rPr>
          <w:bCs/>
          <w:lang w:val="es-ES"/>
        </w:rPr>
        <w:t xml:space="preserve">, además de que en el presente caso, </w:t>
      </w:r>
      <w:r w:rsidR="00806250" w:rsidRPr="0007620B">
        <w:t xml:space="preserve">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 por tal </w:t>
      </w:r>
      <w:r w:rsidR="00806250" w:rsidRPr="0007620B">
        <w:lastRenderedPageBreak/>
        <w:t xml:space="preserve">motivo, </w:t>
      </w:r>
      <w:r w:rsidR="00806250" w:rsidRPr="0007620B">
        <w:rPr>
          <w:b/>
          <w:u w:val="single"/>
        </w:rPr>
        <w:t xml:space="preserve">es un dato personal confidencial, que actualiza el supuesto de confidencialidad, establecido en el artículo 143, fracción I, de la Ley de Transparencia y Acceso a la Información Pública del Estado de México y Municipios. </w:t>
      </w:r>
    </w:p>
    <w:p w14:paraId="07C48CE7" w14:textId="77777777" w:rsidR="00712B87" w:rsidRPr="0007620B" w:rsidRDefault="00712B87" w:rsidP="0007620B"/>
    <w:p w14:paraId="29BE3057" w14:textId="77777777" w:rsidR="00712B87" w:rsidRPr="0007620B" w:rsidRDefault="00712B87" w:rsidP="0007620B">
      <w:r w:rsidRPr="0007620B">
        <w:t>En cuanto, a las</w:t>
      </w:r>
      <w:r w:rsidRPr="0007620B">
        <w:rPr>
          <w:b/>
        </w:rPr>
        <w:t xml:space="preserve"> claves catastrales</w:t>
      </w:r>
      <w:r w:rsidRPr="0007620B">
        <w:t xml:space="preserve">, es información confidencial; en razón de que la clave catastral remite a información que contiene datos personales, por lo que no puede otorgarse a terceros, dada la confidencialidad que distingue a sus elementos. En ese sentido, sobre la clave catastral debe decirse que artículo 179, fracción I del </w:t>
      </w:r>
      <w:r w:rsidRPr="0007620B">
        <w:rPr>
          <w:i/>
        </w:rPr>
        <w:t>Código Financiero del Estado de México y Municipios,</w:t>
      </w:r>
      <w:r w:rsidRPr="0007620B">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C6EA04F" w14:textId="77777777" w:rsidR="00B10A48" w:rsidRPr="0007620B" w:rsidRDefault="00B10A48" w:rsidP="0007620B"/>
    <w:p w14:paraId="00513EB2" w14:textId="62118C5F" w:rsidR="00712B87" w:rsidRPr="0007620B" w:rsidRDefault="00712B87" w:rsidP="0007620B">
      <w:r w:rsidRPr="0007620B">
        <w:t xml:space="preserve">Conforme a lo descrito, se advierte que el dato en </w:t>
      </w:r>
      <w:r w:rsidR="00B10A48" w:rsidRPr="0007620B">
        <w:t>comento</w:t>
      </w:r>
      <w:r w:rsidRPr="0007620B">
        <w:t xml:space="preserve"> hace referencia a un predio determinado.</w:t>
      </w:r>
    </w:p>
    <w:p w14:paraId="61E51207" w14:textId="77777777" w:rsidR="00B10A48" w:rsidRPr="0007620B" w:rsidRDefault="00B10A48" w:rsidP="0007620B"/>
    <w:p w14:paraId="47DED1E9" w14:textId="77777777" w:rsidR="00712B87" w:rsidRPr="0007620B" w:rsidRDefault="00712B87" w:rsidP="0007620B">
      <w:r w:rsidRPr="0007620B">
        <w:t>El “Diccionario de Datos catastrales Escala 1:1000” del Instituto Nacional de Estadística y Geografía (INEGI), contempla en su Glosario la definición de la Clave Catastral, la cual, apunta lo siguiente:</w:t>
      </w:r>
    </w:p>
    <w:p w14:paraId="6C9BA14B" w14:textId="77777777" w:rsidR="00B10A48" w:rsidRPr="0007620B" w:rsidRDefault="00B10A48" w:rsidP="0007620B"/>
    <w:p w14:paraId="4A27A7AB" w14:textId="77777777" w:rsidR="00712B87" w:rsidRPr="0007620B" w:rsidRDefault="00712B87" w:rsidP="0007620B">
      <w:pPr>
        <w:pStyle w:val="Puesto"/>
        <w:ind w:firstLine="0"/>
        <w:rPr>
          <w:color w:val="auto"/>
        </w:rPr>
      </w:pPr>
      <w:r w:rsidRPr="0007620B">
        <w:rPr>
          <w:color w:val="auto"/>
        </w:rPr>
        <w:t>“</w:t>
      </w:r>
      <w:r w:rsidRPr="0007620B">
        <w:rPr>
          <w:b/>
          <w:color w:val="auto"/>
        </w:rPr>
        <w:t>Clave Catastral</w:t>
      </w:r>
      <w:r w:rsidRPr="0007620B">
        <w:rPr>
          <w:color w:val="auto"/>
        </w:rPr>
        <w:t>: El código que identifica al predio de forma única para su localización geográfica, mismo que es asignado a cada uno de ellos en el momento de su inscripción en el padrón catastral por las Unidades del Estado con atribuciones catastrales.”</w:t>
      </w:r>
    </w:p>
    <w:p w14:paraId="520F38BD" w14:textId="77777777" w:rsidR="00B10A48" w:rsidRPr="0007620B" w:rsidRDefault="00B10A48" w:rsidP="0007620B">
      <w:pPr>
        <w:rPr>
          <w:i/>
        </w:rPr>
      </w:pPr>
    </w:p>
    <w:p w14:paraId="34B3ED0E" w14:textId="77777777" w:rsidR="00806250" w:rsidRPr="0007620B" w:rsidRDefault="00712B87" w:rsidP="0007620B">
      <w:pPr>
        <w:rPr>
          <w:b/>
          <w:u w:val="single"/>
        </w:rPr>
      </w:pPr>
      <w:r w:rsidRPr="0007620B">
        <w:t xml:space="preserve">De los conceptos antepuestos, se advierte que la Clave Catastral es una serie de elementos que hacen identificable un inmueble para su localización geográfica y posterior inscripción al </w:t>
      </w:r>
      <w:r w:rsidRPr="0007620B">
        <w:lastRenderedPageBreak/>
        <w:t>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r w:rsidR="00806250" w:rsidRPr="0007620B">
        <w:t xml:space="preserve">, por tal motivo, </w:t>
      </w:r>
      <w:r w:rsidR="00806250" w:rsidRPr="0007620B">
        <w:rPr>
          <w:b/>
          <w:u w:val="single"/>
        </w:rPr>
        <w:t xml:space="preserve">es un dato personal confidencial, que actualiza el supuesto de confidencialidad, establecido en el artículo 143, fracción I, de la Ley de Transparencia y Acceso a la Información Pública del Estado de México y Municipios. </w:t>
      </w:r>
    </w:p>
    <w:p w14:paraId="0B37EE06" w14:textId="77777777" w:rsidR="00B10A48" w:rsidRPr="0007620B" w:rsidRDefault="00B10A48" w:rsidP="0007620B"/>
    <w:p w14:paraId="38963134" w14:textId="77777777" w:rsidR="00FF365E" w:rsidRPr="0007620B" w:rsidRDefault="00A83939" w:rsidP="0007620B">
      <w:pPr>
        <w:pStyle w:val="Ttulo3"/>
        <w:spacing w:line="360" w:lineRule="auto"/>
        <w:ind w:right="-312"/>
      </w:pPr>
      <w:bookmarkStart w:id="35" w:name="_Toc202997016"/>
      <w:r w:rsidRPr="0007620B">
        <w:t>e) Conclusión</w:t>
      </w:r>
      <w:bookmarkEnd w:id="35"/>
    </w:p>
    <w:p w14:paraId="74EA637E" w14:textId="4662AE41" w:rsidR="00FF365E" w:rsidRPr="0007620B" w:rsidRDefault="00A83939" w:rsidP="0007620B">
      <w:pPr>
        <w:widowControl w:val="0"/>
        <w:tabs>
          <w:tab w:val="left" w:pos="1701"/>
          <w:tab w:val="left" w:pos="1843"/>
        </w:tabs>
        <w:spacing w:after="240"/>
      </w:pPr>
      <w:r w:rsidRPr="0007620B">
        <w:t xml:space="preserve">En razón de lo anteriormente expuesto, este Instituto estima que las razones o motivos de inconformidad hechos valer por </w:t>
      </w:r>
      <w:r w:rsidRPr="0007620B">
        <w:rPr>
          <w:b/>
        </w:rPr>
        <w:t>LA PARTE RECURRENTE</w:t>
      </w:r>
      <w:r w:rsidRPr="0007620B">
        <w:t xml:space="preserve"> devienen </w:t>
      </w:r>
      <w:r w:rsidRPr="0007620B">
        <w:rPr>
          <w:b/>
        </w:rPr>
        <w:t>fundadas</w:t>
      </w:r>
      <w:r w:rsidRPr="0007620B">
        <w:t xml:space="preserve"> y suficientes para </w:t>
      </w:r>
      <w:r w:rsidR="005B3076" w:rsidRPr="0007620B">
        <w:rPr>
          <w:b/>
        </w:rPr>
        <w:t>MODIFI</w:t>
      </w:r>
      <w:r w:rsidRPr="0007620B">
        <w:rPr>
          <w:b/>
        </w:rPr>
        <w:t>CAR</w:t>
      </w:r>
      <w:r w:rsidRPr="0007620B">
        <w:t xml:space="preserve"> la respuesta del </w:t>
      </w:r>
      <w:r w:rsidRPr="0007620B">
        <w:rPr>
          <w:b/>
        </w:rPr>
        <w:t>SUJETO OBLIGADO</w:t>
      </w:r>
      <w:r w:rsidRPr="0007620B">
        <w:t xml:space="preserve"> y ordenarle haga entrega de la información materia de la solicitud.</w:t>
      </w:r>
    </w:p>
    <w:p w14:paraId="6C82F183" w14:textId="77777777" w:rsidR="008A6999" w:rsidRPr="0007620B" w:rsidRDefault="008A6999" w:rsidP="0007620B">
      <w:pPr>
        <w:spacing w:after="240"/>
        <w:ind w:right="-93"/>
      </w:pPr>
      <w:bookmarkStart w:id="36" w:name="_heading=h.mqnvgwcxoib9" w:colFirst="0" w:colLast="0"/>
      <w:bookmarkEnd w:id="36"/>
      <w:r w:rsidRPr="0007620B">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8FD8D42" w14:textId="77777777" w:rsidR="00FF365E" w:rsidRPr="0007620B" w:rsidRDefault="00A83939" w:rsidP="0007620B">
      <w:pPr>
        <w:pStyle w:val="Ttulo1"/>
      </w:pPr>
      <w:bookmarkStart w:id="37" w:name="_Toc202997017"/>
      <w:r w:rsidRPr="0007620B">
        <w:t>RESUELVE</w:t>
      </w:r>
      <w:bookmarkEnd w:id="37"/>
    </w:p>
    <w:p w14:paraId="5220EAE7" w14:textId="77777777" w:rsidR="00FF365E" w:rsidRPr="0007620B" w:rsidRDefault="00FF365E" w:rsidP="0007620B">
      <w:pPr>
        <w:ind w:right="113"/>
        <w:rPr>
          <w:b/>
        </w:rPr>
      </w:pPr>
    </w:p>
    <w:p w14:paraId="53E07629" w14:textId="7DCDF8CF" w:rsidR="00FF365E" w:rsidRPr="0007620B" w:rsidRDefault="00A83939" w:rsidP="0007620B">
      <w:pPr>
        <w:widowControl w:val="0"/>
      </w:pPr>
      <w:r w:rsidRPr="0007620B">
        <w:rPr>
          <w:b/>
        </w:rPr>
        <w:t>PRIMERO.</w:t>
      </w:r>
      <w:r w:rsidRPr="0007620B">
        <w:t xml:space="preserve"> Se</w:t>
      </w:r>
      <w:r w:rsidRPr="0007620B">
        <w:rPr>
          <w:b/>
        </w:rPr>
        <w:t xml:space="preserve"> </w:t>
      </w:r>
      <w:r w:rsidR="005B3076" w:rsidRPr="0007620B">
        <w:rPr>
          <w:b/>
        </w:rPr>
        <w:t>MODIFICA</w:t>
      </w:r>
      <w:r w:rsidRPr="0007620B">
        <w:t xml:space="preserve"> la respuesta entregada por el </w:t>
      </w:r>
      <w:r w:rsidRPr="0007620B">
        <w:rPr>
          <w:b/>
        </w:rPr>
        <w:t>SUJETO OBLIGADO</w:t>
      </w:r>
      <w:r w:rsidRPr="0007620B">
        <w:t xml:space="preserve"> en la solicitud de información </w:t>
      </w:r>
      <w:r w:rsidR="00323569" w:rsidRPr="0007620B">
        <w:rPr>
          <w:b/>
        </w:rPr>
        <w:t>00062/CHIMALHU/IP/2025</w:t>
      </w:r>
      <w:r w:rsidRPr="0007620B">
        <w:t xml:space="preserve">, por resultar </w:t>
      </w:r>
      <w:r w:rsidRPr="0007620B">
        <w:rPr>
          <w:b/>
        </w:rPr>
        <w:t>FUNDADAS</w:t>
      </w:r>
      <w:r w:rsidRPr="0007620B">
        <w:t xml:space="preserve"> las razones o motivos de inconformidad hechos valer por </w:t>
      </w:r>
      <w:r w:rsidRPr="0007620B">
        <w:rPr>
          <w:b/>
        </w:rPr>
        <w:t>LA PARTE RECURRENTE</w:t>
      </w:r>
      <w:r w:rsidRPr="0007620B">
        <w:t xml:space="preserve"> en el Recurso de Revisión </w:t>
      </w:r>
      <w:r w:rsidR="00323569" w:rsidRPr="0007620B">
        <w:rPr>
          <w:b/>
        </w:rPr>
        <w:t>04417/INFOEM/IP/RR/2025</w:t>
      </w:r>
      <w:r w:rsidRPr="0007620B">
        <w:t>,</w:t>
      </w:r>
      <w:r w:rsidRPr="0007620B">
        <w:rPr>
          <w:b/>
        </w:rPr>
        <w:t xml:space="preserve"> </w:t>
      </w:r>
      <w:r w:rsidRPr="0007620B">
        <w:t xml:space="preserve">en términos del considerando </w:t>
      </w:r>
      <w:r w:rsidRPr="0007620B">
        <w:rPr>
          <w:b/>
        </w:rPr>
        <w:t>SEGUNDO</w:t>
      </w:r>
      <w:r w:rsidRPr="0007620B">
        <w:t xml:space="preserve"> de la presente Resolución.</w:t>
      </w:r>
    </w:p>
    <w:p w14:paraId="5F828571" w14:textId="0FA2F6E1" w:rsidR="00FF365E" w:rsidRPr="0007620B" w:rsidRDefault="00A83939" w:rsidP="0007620B">
      <w:pPr>
        <w:ind w:right="-93"/>
        <w:rPr>
          <w:i/>
        </w:rPr>
      </w:pPr>
      <w:r w:rsidRPr="0007620B">
        <w:rPr>
          <w:b/>
        </w:rPr>
        <w:lastRenderedPageBreak/>
        <w:t>SEGUNDO.</w:t>
      </w:r>
      <w:r w:rsidRPr="0007620B">
        <w:t xml:space="preserve"> Se </w:t>
      </w:r>
      <w:r w:rsidRPr="0007620B">
        <w:rPr>
          <w:b/>
        </w:rPr>
        <w:t xml:space="preserve">ORDENA </w:t>
      </w:r>
      <w:r w:rsidRPr="0007620B">
        <w:t xml:space="preserve">al </w:t>
      </w:r>
      <w:r w:rsidRPr="0007620B">
        <w:rPr>
          <w:b/>
        </w:rPr>
        <w:t>SUJETO OBLIGADO</w:t>
      </w:r>
      <w:r w:rsidRPr="0007620B">
        <w:t xml:space="preserve">, a efecto de que, entregue, de ser procedente en </w:t>
      </w:r>
      <w:r w:rsidRPr="0007620B">
        <w:rPr>
          <w:b/>
        </w:rPr>
        <w:t>versión pública</w:t>
      </w:r>
      <w:r w:rsidRPr="0007620B">
        <w:t xml:space="preserve">, a través del </w:t>
      </w:r>
      <w:r w:rsidRPr="0007620B">
        <w:rPr>
          <w:b/>
        </w:rPr>
        <w:t>SAIMEX</w:t>
      </w:r>
      <w:r w:rsidRPr="0007620B">
        <w:t>, lo siguiente:</w:t>
      </w:r>
      <w:r w:rsidRPr="0007620B">
        <w:rPr>
          <w:i/>
        </w:rPr>
        <w:t xml:space="preserve"> </w:t>
      </w:r>
    </w:p>
    <w:p w14:paraId="2D4622A8" w14:textId="77777777" w:rsidR="00FF365E" w:rsidRPr="0007620B" w:rsidRDefault="00FF365E" w:rsidP="0007620B">
      <w:pPr>
        <w:ind w:right="-93"/>
        <w:rPr>
          <w:i/>
        </w:rPr>
      </w:pPr>
    </w:p>
    <w:p w14:paraId="78E49243" w14:textId="57F9C3A9" w:rsidR="00461F21" w:rsidRPr="0007620B" w:rsidRDefault="00461F21" w:rsidP="0007620B">
      <w:pPr>
        <w:pStyle w:val="Puesto"/>
        <w:numPr>
          <w:ilvl w:val="0"/>
          <w:numId w:val="5"/>
        </w:numPr>
        <w:spacing w:line="360" w:lineRule="auto"/>
        <w:rPr>
          <w:color w:val="auto"/>
        </w:rPr>
      </w:pPr>
      <w:r w:rsidRPr="0007620B">
        <w:rPr>
          <w:color w:val="auto"/>
        </w:rPr>
        <w:t xml:space="preserve">Los recibos de nómina y el título profesional entregados en respuesta, en una </w:t>
      </w:r>
      <w:r w:rsidRPr="0007620B">
        <w:rPr>
          <w:b/>
          <w:bCs/>
          <w:color w:val="auto"/>
        </w:rPr>
        <w:t>correcta versión pública.</w:t>
      </w:r>
    </w:p>
    <w:p w14:paraId="0ADA4256" w14:textId="2ED6B895" w:rsidR="00461F21" w:rsidRPr="0007620B" w:rsidRDefault="006804E1" w:rsidP="0007620B">
      <w:pPr>
        <w:pStyle w:val="Puesto"/>
        <w:numPr>
          <w:ilvl w:val="0"/>
          <w:numId w:val="5"/>
        </w:numPr>
        <w:spacing w:line="360" w:lineRule="auto"/>
        <w:rPr>
          <w:color w:val="auto"/>
        </w:rPr>
      </w:pPr>
      <w:r w:rsidRPr="0007620B">
        <w:rPr>
          <w:color w:val="auto"/>
        </w:rPr>
        <w:t>Los recibos de los ingresos por concepto de recaudación de las licencias de construcción</w:t>
      </w:r>
      <w:r w:rsidR="001655E6" w:rsidRPr="0007620B">
        <w:rPr>
          <w:color w:val="auto"/>
        </w:rPr>
        <w:t>, del 01 de diciembre del 2024 al 15 de marzo del 2025</w:t>
      </w:r>
      <w:r w:rsidRPr="0007620B">
        <w:rPr>
          <w:color w:val="auto"/>
        </w:rPr>
        <w:t>.</w:t>
      </w:r>
    </w:p>
    <w:p w14:paraId="44944713" w14:textId="77777777" w:rsidR="001655E6" w:rsidRPr="0007620B" w:rsidRDefault="001655E6" w:rsidP="0007620B"/>
    <w:p w14:paraId="773D41FC" w14:textId="7E740943" w:rsidR="00FF365E" w:rsidRPr="0007620B" w:rsidRDefault="00A83939" w:rsidP="0007620B">
      <w:r w:rsidRPr="0007620B">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4195FDB" w14:textId="77777777" w:rsidR="00FF365E" w:rsidRPr="0007620B" w:rsidRDefault="00FF365E" w:rsidP="0007620B">
      <w:bookmarkStart w:id="38" w:name="_heading=h.qffin7z8zpqs" w:colFirst="0" w:colLast="0"/>
      <w:bookmarkEnd w:id="38"/>
    </w:p>
    <w:p w14:paraId="5C7EF90C" w14:textId="77777777" w:rsidR="00FF365E" w:rsidRPr="0007620B" w:rsidRDefault="00A83939" w:rsidP="0007620B">
      <w:r w:rsidRPr="0007620B">
        <w:rPr>
          <w:b/>
        </w:rPr>
        <w:t>TERCERO.</w:t>
      </w:r>
      <w:r w:rsidRPr="0007620B">
        <w:t xml:space="preserve"> </w:t>
      </w:r>
      <w:r w:rsidRPr="0007620B">
        <w:rPr>
          <w:b/>
        </w:rPr>
        <w:t xml:space="preserve">Notifíquese </w:t>
      </w:r>
      <w:r w:rsidRPr="0007620B">
        <w:t>vía Sistema de Acceso a la Información Mexiquense (</w:t>
      </w:r>
      <w:r w:rsidRPr="0007620B">
        <w:rPr>
          <w:b/>
        </w:rPr>
        <w:t>SAIMEX</w:t>
      </w:r>
      <w:r w:rsidRPr="0007620B">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w:t>
      </w:r>
      <w:bookmarkStart w:id="39" w:name="_GoBack"/>
      <w:bookmarkEnd w:id="39"/>
      <w:r w:rsidRPr="0007620B">
        <w:t>II; 214, 215 y 216 de la Ley de Transparencia y Acceso a la Información Pública del Estado de México y Municipios.</w:t>
      </w:r>
    </w:p>
    <w:p w14:paraId="0E252CCF" w14:textId="77777777" w:rsidR="00FF365E" w:rsidRPr="0007620B" w:rsidRDefault="00FF365E" w:rsidP="0007620B"/>
    <w:p w14:paraId="4334C6CF" w14:textId="77777777" w:rsidR="00FF365E" w:rsidRPr="0007620B" w:rsidRDefault="00A83939" w:rsidP="0007620B">
      <w:r w:rsidRPr="0007620B">
        <w:rPr>
          <w:b/>
        </w:rPr>
        <w:t>CUARTO.</w:t>
      </w:r>
      <w:r w:rsidRPr="0007620B">
        <w:t xml:space="preserve"> Notifíquese a </w:t>
      </w:r>
      <w:r w:rsidRPr="0007620B">
        <w:rPr>
          <w:b/>
        </w:rPr>
        <w:t>LA PARTE RECURRENTE</w:t>
      </w:r>
      <w:r w:rsidRPr="0007620B">
        <w:t xml:space="preserve"> la presente resolución vía Sistema de Acceso a la Información Mexiquense (</w:t>
      </w:r>
      <w:r w:rsidRPr="0007620B">
        <w:rPr>
          <w:b/>
        </w:rPr>
        <w:t>SAIMEX</w:t>
      </w:r>
      <w:r w:rsidRPr="0007620B">
        <w:t>).</w:t>
      </w:r>
    </w:p>
    <w:p w14:paraId="703D3B3E" w14:textId="77777777" w:rsidR="00FF365E" w:rsidRPr="0007620B" w:rsidRDefault="00A83939" w:rsidP="0007620B">
      <w:r w:rsidRPr="0007620B">
        <w:rPr>
          <w:b/>
        </w:rPr>
        <w:lastRenderedPageBreak/>
        <w:t>QUINTO</w:t>
      </w:r>
      <w:r w:rsidRPr="0007620B">
        <w:t xml:space="preserve">. Hágase del conocimiento a </w:t>
      </w:r>
      <w:r w:rsidRPr="0007620B">
        <w:rPr>
          <w:b/>
        </w:rPr>
        <w:t>LA PARTE RECURRENTE</w:t>
      </w:r>
      <w:r w:rsidRPr="0007620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816BC0C" w14:textId="77777777" w:rsidR="00FF365E" w:rsidRPr="0007620B" w:rsidRDefault="00FF365E" w:rsidP="0007620B"/>
    <w:p w14:paraId="1B390263" w14:textId="77777777" w:rsidR="00FF365E" w:rsidRPr="0007620B" w:rsidRDefault="00A83939" w:rsidP="0007620B">
      <w:r w:rsidRPr="0007620B">
        <w:rPr>
          <w:b/>
        </w:rPr>
        <w:t>SEXTO.</w:t>
      </w:r>
      <w:r w:rsidRPr="0007620B">
        <w:t xml:space="preserve"> De conformidad con el artículo 198 de la Ley de Transparencia y Acceso a la Información Pública del Estado de México y Municipios, el </w:t>
      </w:r>
      <w:r w:rsidRPr="0007620B">
        <w:rPr>
          <w:b/>
        </w:rPr>
        <w:t>SUJETO OBLIGADO</w:t>
      </w:r>
      <w:r w:rsidRPr="0007620B">
        <w:t xml:space="preserve"> podrá solicitar una ampliación de plazo de manera fundada y motivada, para el cumplimiento de la presente resolución.</w:t>
      </w:r>
    </w:p>
    <w:p w14:paraId="751D4456" w14:textId="77777777" w:rsidR="00FF365E" w:rsidRPr="0007620B" w:rsidRDefault="00FF365E" w:rsidP="0007620B"/>
    <w:p w14:paraId="7ED3962B" w14:textId="4A158617" w:rsidR="00FF365E" w:rsidRPr="0007620B" w:rsidRDefault="0007620B" w:rsidP="0007620B">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w:t>
      </w:r>
      <w:r w:rsidR="00B97F77">
        <w:t xml:space="preserve"> EMITIENDO VOTO PARTICULAR</w:t>
      </w:r>
      <w:r>
        <w:t>, EN LA VIGÉSIMA QUINTA SESIÓN ORDINARIA, CELEBRADA EL NUEVE DE JULIO DE DOS MIL VEINTICINCO, ANTE EL SECRETARIO TÉCNICO DEL PLENO, ALEXIS TAPIA RAMÍREZ.</w:t>
      </w:r>
    </w:p>
    <w:p w14:paraId="1634E470" w14:textId="77777777" w:rsidR="00FF365E" w:rsidRPr="0007620B" w:rsidRDefault="00A83939" w:rsidP="0007620B">
      <w:pPr>
        <w:ind w:right="-93"/>
      </w:pPr>
      <w:r w:rsidRPr="0007620B">
        <w:t>SCMM/AGZ/DEMF/PAG</w:t>
      </w:r>
    </w:p>
    <w:p w14:paraId="062C570F" w14:textId="77777777" w:rsidR="00FF365E" w:rsidRPr="0007620B" w:rsidRDefault="00FF365E" w:rsidP="0007620B">
      <w:pPr>
        <w:ind w:right="-93"/>
      </w:pPr>
    </w:p>
    <w:p w14:paraId="6E14A107" w14:textId="77777777" w:rsidR="00FF365E" w:rsidRPr="0007620B" w:rsidRDefault="00FF365E" w:rsidP="0007620B">
      <w:pPr>
        <w:ind w:right="-93"/>
      </w:pPr>
    </w:p>
    <w:p w14:paraId="28728DCB" w14:textId="77777777" w:rsidR="00FF365E" w:rsidRPr="0007620B" w:rsidRDefault="00FF365E" w:rsidP="0007620B">
      <w:pPr>
        <w:ind w:right="-93"/>
      </w:pPr>
    </w:p>
    <w:p w14:paraId="4DB66F26" w14:textId="77777777" w:rsidR="00FF365E" w:rsidRPr="0007620B" w:rsidRDefault="00FF365E" w:rsidP="0007620B">
      <w:pPr>
        <w:ind w:right="-93"/>
      </w:pPr>
    </w:p>
    <w:p w14:paraId="6AD2ECCE" w14:textId="77777777" w:rsidR="00FF365E" w:rsidRPr="0007620B" w:rsidRDefault="00FF365E" w:rsidP="0007620B">
      <w:pPr>
        <w:ind w:right="-93"/>
      </w:pPr>
    </w:p>
    <w:p w14:paraId="38D3792C" w14:textId="77777777" w:rsidR="00FF365E" w:rsidRPr="0007620B" w:rsidRDefault="00FF365E" w:rsidP="0007620B">
      <w:pPr>
        <w:ind w:right="-93"/>
      </w:pPr>
    </w:p>
    <w:p w14:paraId="23DC5AD6" w14:textId="77777777" w:rsidR="00FF365E" w:rsidRPr="0007620B" w:rsidRDefault="00FF365E" w:rsidP="0007620B">
      <w:pPr>
        <w:ind w:right="-93"/>
      </w:pPr>
    </w:p>
    <w:p w14:paraId="57959304" w14:textId="77777777" w:rsidR="00FF365E" w:rsidRPr="0007620B" w:rsidRDefault="00FF365E" w:rsidP="0007620B">
      <w:pPr>
        <w:ind w:right="-93"/>
      </w:pPr>
    </w:p>
    <w:p w14:paraId="2035E10A" w14:textId="77777777" w:rsidR="00FF365E" w:rsidRPr="0007620B" w:rsidRDefault="00FF365E" w:rsidP="0007620B">
      <w:pPr>
        <w:tabs>
          <w:tab w:val="center" w:pos="4568"/>
        </w:tabs>
        <w:ind w:right="-93"/>
      </w:pPr>
    </w:p>
    <w:p w14:paraId="4E06F547" w14:textId="77777777" w:rsidR="00FF365E" w:rsidRPr="0007620B" w:rsidRDefault="00FF365E" w:rsidP="0007620B">
      <w:pPr>
        <w:tabs>
          <w:tab w:val="center" w:pos="4568"/>
        </w:tabs>
        <w:ind w:right="-93"/>
      </w:pPr>
    </w:p>
    <w:p w14:paraId="7BFC8AEB" w14:textId="77777777" w:rsidR="00FF365E" w:rsidRPr="0007620B" w:rsidRDefault="00FF365E" w:rsidP="0007620B">
      <w:pPr>
        <w:tabs>
          <w:tab w:val="center" w:pos="4568"/>
        </w:tabs>
        <w:ind w:right="-93"/>
      </w:pPr>
    </w:p>
    <w:p w14:paraId="226A4951" w14:textId="77777777" w:rsidR="00FF365E" w:rsidRPr="0007620B" w:rsidRDefault="00FF365E" w:rsidP="0007620B">
      <w:pPr>
        <w:tabs>
          <w:tab w:val="center" w:pos="4568"/>
        </w:tabs>
        <w:ind w:right="-93"/>
      </w:pPr>
    </w:p>
    <w:p w14:paraId="628B6A49" w14:textId="77777777" w:rsidR="00FF365E" w:rsidRPr="0007620B" w:rsidRDefault="00FF365E" w:rsidP="0007620B">
      <w:pPr>
        <w:tabs>
          <w:tab w:val="center" w:pos="4568"/>
        </w:tabs>
        <w:ind w:right="-93"/>
      </w:pPr>
    </w:p>
    <w:p w14:paraId="197965C3" w14:textId="77777777" w:rsidR="00FF365E" w:rsidRPr="0007620B" w:rsidRDefault="00FF365E" w:rsidP="0007620B">
      <w:pPr>
        <w:tabs>
          <w:tab w:val="center" w:pos="4568"/>
        </w:tabs>
        <w:ind w:right="-93"/>
      </w:pPr>
    </w:p>
    <w:p w14:paraId="6141AB40" w14:textId="77777777" w:rsidR="00FF365E" w:rsidRPr="0007620B" w:rsidRDefault="00FF365E" w:rsidP="0007620B">
      <w:pPr>
        <w:tabs>
          <w:tab w:val="center" w:pos="4568"/>
        </w:tabs>
        <w:ind w:right="-93"/>
      </w:pPr>
    </w:p>
    <w:p w14:paraId="2F53A60B" w14:textId="77777777" w:rsidR="00FF365E" w:rsidRPr="0007620B" w:rsidRDefault="00FF365E" w:rsidP="0007620B">
      <w:pPr>
        <w:tabs>
          <w:tab w:val="center" w:pos="4568"/>
        </w:tabs>
        <w:ind w:right="-93"/>
      </w:pPr>
    </w:p>
    <w:p w14:paraId="3715CE23" w14:textId="77777777" w:rsidR="00FF365E" w:rsidRPr="0007620B" w:rsidRDefault="00FF365E" w:rsidP="0007620B">
      <w:pPr>
        <w:tabs>
          <w:tab w:val="center" w:pos="4568"/>
        </w:tabs>
        <w:ind w:right="-93"/>
      </w:pPr>
    </w:p>
    <w:p w14:paraId="5A91DBE5" w14:textId="77777777" w:rsidR="00FF365E" w:rsidRPr="0007620B" w:rsidRDefault="00FF365E" w:rsidP="0007620B">
      <w:pPr>
        <w:tabs>
          <w:tab w:val="center" w:pos="4568"/>
        </w:tabs>
        <w:ind w:right="-93"/>
      </w:pPr>
    </w:p>
    <w:p w14:paraId="28ADCF76" w14:textId="77777777" w:rsidR="00FF365E" w:rsidRPr="0007620B" w:rsidRDefault="00FF365E" w:rsidP="0007620B">
      <w:pPr>
        <w:tabs>
          <w:tab w:val="center" w:pos="4568"/>
        </w:tabs>
        <w:ind w:right="-93"/>
      </w:pPr>
    </w:p>
    <w:p w14:paraId="2EFCB198" w14:textId="77777777" w:rsidR="00FF365E" w:rsidRPr="0007620B" w:rsidRDefault="00FF365E" w:rsidP="0007620B">
      <w:pPr>
        <w:tabs>
          <w:tab w:val="center" w:pos="4568"/>
        </w:tabs>
        <w:ind w:right="-93"/>
      </w:pPr>
    </w:p>
    <w:p w14:paraId="2F35D1E3" w14:textId="77777777" w:rsidR="00FF365E" w:rsidRPr="0007620B" w:rsidRDefault="00FF365E" w:rsidP="0007620B">
      <w:pPr>
        <w:tabs>
          <w:tab w:val="center" w:pos="4568"/>
        </w:tabs>
        <w:ind w:right="-93"/>
      </w:pPr>
    </w:p>
    <w:p w14:paraId="3EC1B7BF" w14:textId="77777777" w:rsidR="00FF365E" w:rsidRPr="0007620B" w:rsidRDefault="00FF365E" w:rsidP="0007620B"/>
    <w:sectPr w:rsidR="00FF365E" w:rsidRPr="0007620B">
      <w:footerReference w:type="default" r:id="rId2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42C06" w14:textId="77777777" w:rsidR="007B0EE0" w:rsidRDefault="007B0EE0">
      <w:pPr>
        <w:spacing w:line="240" w:lineRule="auto"/>
      </w:pPr>
      <w:r>
        <w:separator/>
      </w:r>
    </w:p>
  </w:endnote>
  <w:endnote w:type="continuationSeparator" w:id="0">
    <w:p w14:paraId="4996125E" w14:textId="77777777" w:rsidR="007B0EE0" w:rsidRDefault="007B0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97802" w14:textId="77777777" w:rsidR="003A1892" w:rsidRDefault="003A1892">
    <w:pPr>
      <w:tabs>
        <w:tab w:val="center" w:pos="4550"/>
        <w:tab w:val="left" w:pos="5818"/>
      </w:tabs>
      <w:ind w:right="260"/>
      <w:jc w:val="right"/>
      <w:rPr>
        <w:color w:val="071320"/>
        <w:sz w:val="24"/>
        <w:szCs w:val="24"/>
      </w:rPr>
    </w:pPr>
  </w:p>
  <w:p w14:paraId="1CCD8F4A" w14:textId="77777777" w:rsidR="003A1892" w:rsidRDefault="003A189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B8AA" w14:textId="170914EB" w:rsidR="003A1892" w:rsidRDefault="003A189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C2044">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C2044">
      <w:rPr>
        <w:noProof/>
        <w:color w:val="0A1D30"/>
        <w:sz w:val="24"/>
        <w:szCs w:val="24"/>
      </w:rPr>
      <w:t>63</w:t>
    </w:r>
    <w:r>
      <w:rPr>
        <w:color w:val="0A1D30"/>
        <w:sz w:val="24"/>
        <w:szCs w:val="24"/>
      </w:rPr>
      <w:fldChar w:fldCharType="end"/>
    </w:r>
  </w:p>
  <w:p w14:paraId="307538A3" w14:textId="77777777" w:rsidR="003A1892" w:rsidRDefault="003A189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2E15C" w14:textId="77777777" w:rsidR="007B0EE0" w:rsidRDefault="007B0EE0">
      <w:pPr>
        <w:spacing w:line="240" w:lineRule="auto"/>
      </w:pPr>
      <w:r>
        <w:separator/>
      </w:r>
    </w:p>
  </w:footnote>
  <w:footnote w:type="continuationSeparator" w:id="0">
    <w:p w14:paraId="531D6D45" w14:textId="77777777" w:rsidR="007B0EE0" w:rsidRDefault="007B0EE0">
      <w:pPr>
        <w:spacing w:line="240" w:lineRule="auto"/>
      </w:pPr>
      <w:r>
        <w:continuationSeparator/>
      </w:r>
    </w:p>
  </w:footnote>
  <w:footnote w:id="1">
    <w:p w14:paraId="08F9844B" w14:textId="63789565" w:rsidR="003A1892" w:rsidRDefault="003A1892" w:rsidP="00F34A4B">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i/>
          <w:color w:val="000000"/>
          <w:sz w:val="18"/>
          <w:szCs w:val="18"/>
        </w:rPr>
        <w:t>Si bien, se registró el doce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4E373026" w14:textId="77777777" w:rsidR="003A1892" w:rsidRDefault="003A1892" w:rsidP="005B3076">
      <w:pPr>
        <w:pBdr>
          <w:top w:val="nil"/>
          <w:left w:val="nil"/>
          <w:bottom w:val="nil"/>
          <w:right w:val="nil"/>
          <w:between w:val="nil"/>
        </w:pBdr>
        <w:spacing w:line="240" w:lineRule="auto"/>
        <w:rPr>
          <w:color w:val="000000"/>
          <w:sz w:val="20"/>
          <w:szCs w:val="20"/>
        </w:rPr>
      </w:pPr>
      <w:r>
        <w:rPr>
          <w:rStyle w:val="Refdenotaalpie"/>
        </w:rPr>
        <w:footnoteRef/>
      </w:r>
      <w:r>
        <w:t xml:space="preserve"> </w:t>
      </w:r>
      <w:r>
        <w:rPr>
          <w:i/>
          <w:color w:val="000000"/>
          <w:sz w:val="18"/>
          <w:szCs w:val="18"/>
        </w:rPr>
        <w:t>Si bien, se registró el doce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39B3BAC8" w14:textId="363F11D3" w:rsidR="003A1892" w:rsidRDefault="003A1892">
      <w:pPr>
        <w:pStyle w:val="Textonotapie"/>
      </w:pPr>
    </w:p>
  </w:footnote>
  <w:footnote w:id="3">
    <w:p w14:paraId="305A38BC" w14:textId="77777777" w:rsidR="003A1892" w:rsidRDefault="003A1892" w:rsidP="00DE059E">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BAD06" w14:textId="77777777" w:rsidR="003A1892" w:rsidRDefault="003A1892">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A1892" w14:paraId="12A2836C" w14:textId="77777777">
      <w:trPr>
        <w:trHeight w:val="144"/>
        <w:jc w:val="right"/>
      </w:trPr>
      <w:tc>
        <w:tcPr>
          <w:tcW w:w="2727" w:type="dxa"/>
        </w:tcPr>
        <w:p w14:paraId="5A698DA1" w14:textId="77777777" w:rsidR="003A1892" w:rsidRDefault="003A1892">
          <w:pPr>
            <w:tabs>
              <w:tab w:val="right" w:pos="8838"/>
            </w:tabs>
            <w:ind w:left="-74" w:right="-105"/>
            <w:rPr>
              <w:b/>
            </w:rPr>
          </w:pPr>
          <w:r>
            <w:rPr>
              <w:b/>
            </w:rPr>
            <w:t>Recurso de Revisión:</w:t>
          </w:r>
        </w:p>
      </w:tc>
      <w:tc>
        <w:tcPr>
          <w:tcW w:w="3402" w:type="dxa"/>
        </w:tcPr>
        <w:p w14:paraId="1E6B3A26" w14:textId="5C8AF7F5" w:rsidR="003A1892" w:rsidRDefault="003A1892">
          <w:pPr>
            <w:tabs>
              <w:tab w:val="right" w:pos="8838"/>
            </w:tabs>
            <w:ind w:left="-74" w:right="-105"/>
          </w:pPr>
          <w:r w:rsidRPr="00323569">
            <w:t>04417/INFOEM/IP/RR/2025</w:t>
          </w:r>
        </w:p>
      </w:tc>
    </w:tr>
    <w:tr w:rsidR="003A1892" w14:paraId="672C90ED" w14:textId="77777777">
      <w:trPr>
        <w:trHeight w:val="283"/>
        <w:jc w:val="right"/>
      </w:trPr>
      <w:tc>
        <w:tcPr>
          <w:tcW w:w="2727" w:type="dxa"/>
        </w:tcPr>
        <w:p w14:paraId="7F9881E0" w14:textId="77777777" w:rsidR="003A1892" w:rsidRDefault="003A1892">
          <w:pPr>
            <w:tabs>
              <w:tab w:val="right" w:pos="8838"/>
            </w:tabs>
            <w:ind w:left="-74" w:right="-105"/>
            <w:rPr>
              <w:b/>
            </w:rPr>
          </w:pPr>
          <w:r>
            <w:rPr>
              <w:b/>
            </w:rPr>
            <w:t>Sujeto Obligado:</w:t>
          </w:r>
        </w:p>
      </w:tc>
      <w:tc>
        <w:tcPr>
          <w:tcW w:w="3402" w:type="dxa"/>
        </w:tcPr>
        <w:p w14:paraId="18BB5EB2" w14:textId="27767AEE" w:rsidR="003A1892" w:rsidRDefault="003A1892">
          <w:pPr>
            <w:tabs>
              <w:tab w:val="left" w:pos="2834"/>
              <w:tab w:val="right" w:pos="8838"/>
            </w:tabs>
            <w:ind w:left="-108" w:right="-105"/>
          </w:pPr>
          <w:r w:rsidRPr="0096071E">
            <w:t>Ayuntamiento de Chimalhuacán</w:t>
          </w:r>
        </w:p>
      </w:tc>
    </w:tr>
    <w:tr w:rsidR="003A1892" w14:paraId="3D711781" w14:textId="77777777">
      <w:trPr>
        <w:trHeight w:val="283"/>
        <w:jc w:val="right"/>
      </w:trPr>
      <w:tc>
        <w:tcPr>
          <w:tcW w:w="2727" w:type="dxa"/>
        </w:tcPr>
        <w:p w14:paraId="33C0D221" w14:textId="77777777" w:rsidR="003A1892" w:rsidRDefault="003A1892">
          <w:pPr>
            <w:tabs>
              <w:tab w:val="right" w:pos="8838"/>
            </w:tabs>
            <w:ind w:left="-74" w:right="-105"/>
            <w:rPr>
              <w:b/>
            </w:rPr>
          </w:pPr>
          <w:r>
            <w:rPr>
              <w:b/>
            </w:rPr>
            <w:t>Comisionada Ponente:</w:t>
          </w:r>
        </w:p>
      </w:tc>
      <w:tc>
        <w:tcPr>
          <w:tcW w:w="3402" w:type="dxa"/>
        </w:tcPr>
        <w:p w14:paraId="074A0366" w14:textId="77777777" w:rsidR="003A1892" w:rsidRDefault="003A1892">
          <w:pPr>
            <w:tabs>
              <w:tab w:val="right" w:pos="8838"/>
            </w:tabs>
            <w:ind w:left="-108" w:right="-105"/>
          </w:pPr>
          <w:r>
            <w:t>Sharon Cristina Morales Martínez</w:t>
          </w:r>
        </w:p>
      </w:tc>
    </w:tr>
  </w:tbl>
  <w:p w14:paraId="369F733A" w14:textId="77777777" w:rsidR="003A1892" w:rsidRDefault="003A189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8020DF" wp14:editId="6D79D7D0">
          <wp:simplePos x="0" y="0"/>
          <wp:positionH relativeFrom="margin">
            <wp:posOffset>-995042</wp:posOffset>
          </wp:positionH>
          <wp:positionV relativeFrom="margin">
            <wp:posOffset>-1782443</wp:posOffset>
          </wp:positionV>
          <wp:extent cx="8426450" cy="109728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038B7" w14:textId="77777777" w:rsidR="003A1892" w:rsidRDefault="003A1892">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3A1892" w14:paraId="48F3C512" w14:textId="77777777">
      <w:trPr>
        <w:trHeight w:val="1435"/>
      </w:trPr>
      <w:tc>
        <w:tcPr>
          <w:tcW w:w="283" w:type="dxa"/>
          <w:shd w:val="clear" w:color="auto" w:fill="auto"/>
        </w:tcPr>
        <w:p w14:paraId="5F7C8C7C" w14:textId="77777777" w:rsidR="003A1892" w:rsidRDefault="003A1892">
          <w:pPr>
            <w:tabs>
              <w:tab w:val="right" w:pos="4273"/>
            </w:tabs>
            <w:rPr>
              <w:rFonts w:ascii="Garamond" w:eastAsia="Garamond" w:hAnsi="Garamond" w:cs="Garamond"/>
            </w:rPr>
          </w:pPr>
        </w:p>
      </w:tc>
      <w:tc>
        <w:tcPr>
          <w:tcW w:w="6378" w:type="dxa"/>
          <w:shd w:val="clear" w:color="auto" w:fill="auto"/>
        </w:tcPr>
        <w:p w14:paraId="4826603E" w14:textId="77777777" w:rsidR="003A1892" w:rsidRDefault="003A1892">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A1892" w14:paraId="66A8A230" w14:textId="77777777">
            <w:trPr>
              <w:trHeight w:val="144"/>
            </w:trPr>
            <w:tc>
              <w:tcPr>
                <w:tcW w:w="2581" w:type="dxa"/>
              </w:tcPr>
              <w:p w14:paraId="0346F348" w14:textId="77777777" w:rsidR="003A1892" w:rsidRDefault="003A1892">
                <w:pPr>
                  <w:tabs>
                    <w:tab w:val="right" w:pos="8838"/>
                  </w:tabs>
                  <w:ind w:left="-74" w:right="-108"/>
                  <w:rPr>
                    <w:b/>
                  </w:rPr>
                </w:pPr>
                <w:bookmarkStart w:id="0" w:name="_heading=h.d9zvx1ipjpdw" w:colFirst="0" w:colLast="0"/>
                <w:bookmarkEnd w:id="0"/>
                <w:r>
                  <w:rPr>
                    <w:b/>
                  </w:rPr>
                  <w:t>Recurso de Revisión:</w:t>
                </w:r>
              </w:p>
            </w:tc>
            <w:tc>
              <w:tcPr>
                <w:tcW w:w="3548" w:type="dxa"/>
              </w:tcPr>
              <w:p w14:paraId="53EFD2F1" w14:textId="6274621C" w:rsidR="003A1892" w:rsidRDefault="003A1892">
                <w:pPr>
                  <w:tabs>
                    <w:tab w:val="left" w:pos="3122"/>
                    <w:tab w:val="right" w:pos="8838"/>
                  </w:tabs>
                  <w:ind w:left="-105" w:right="-108"/>
                </w:pPr>
                <w:r w:rsidRPr="00323569">
                  <w:t>04417/INFOEM/IP/RR/2025</w:t>
                </w:r>
              </w:p>
            </w:tc>
            <w:tc>
              <w:tcPr>
                <w:tcW w:w="3402" w:type="dxa"/>
              </w:tcPr>
              <w:p w14:paraId="327C53D3" w14:textId="77777777" w:rsidR="003A1892" w:rsidRDefault="003A1892">
                <w:pPr>
                  <w:tabs>
                    <w:tab w:val="right" w:pos="8838"/>
                  </w:tabs>
                  <w:ind w:left="-74" w:right="-108"/>
                </w:pPr>
              </w:p>
            </w:tc>
          </w:tr>
          <w:tr w:rsidR="003A1892" w14:paraId="358B5FB8" w14:textId="77777777">
            <w:trPr>
              <w:trHeight w:val="144"/>
            </w:trPr>
            <w:tc>
              <w:tcPr>
                <w:tcW w:w="2581" w:type="dxa"/>
              </w:tcPr>
              <w:p w14:paraId="6E62F1C9" w14:textId="77777777" w:rsidR="003A1892" w:rsidRDefault="003A1892">
                <w:pPr>
                  <w:tabs>
                    <w:tab w:val="right" w:pos="8838"/>
                  </w:tabs>
                  <w:ind w:left="-74" w:right="-108"/>
                  <w:rPr>
                    <w:b/>
                  </w:rPr>
                </w:pPr>
                <w:bookmarkStart w:id="1" w:name="_heading=h.c9y95bv301qu" w:colFirst="0" w:colLast="0"/>
                <w:bookmarkEnd w:id="1"/>
                <w:r>
                  <w:rPr>
                    <w:b/>
                  </w:rPr>
                  <w:t>Recurrente:</w:t>
                </w:r>
              </w:p>
            </w:tc>
            <w:tc>
              <w:tcPr>
                <w:tcW w:w="3548" w:type="dxa"/>
              </w:tcPr>
              <w:p w14:paraId="64E2B0DE" w14:textId="020F04E6" w:rsidR="003A1892" w:rsidRDefault="009C2044">
                <w:pPr>
                  <w:tabs>
                    <w:tab w:val="left" w:pos="3122"/>
                    <w:tab w:val="right" w:pos="8838"/>
                  </w:tabs>
                  <w:ind w:left="-105" w:right="-108"/>
                </w:pPr>
                <w:r>
                  <w:t>XXXX</w:t>
                </w:r>
              </w:p>
            </w:tc>
            <w:tc>
              <w:tcPr>
                <w:tcW w:w="3402" w:type="dxa"/>
              </w:tcPr>
              <w:p w14:paraId="67A8106F" w14:textId="77777777" w:rsidR="003A1892" w:rsidRDefault="003A1892">
                <w:pPr>
                  <w:tabs>
                    <w:tab w:val="left" w:pos="3122"/>
                    <w:tab w:val="right" w:pos="8838"/>
                  </w:tabs>
                  <w:ind w:left="-105" w:right="-108"/>
                </w:pPr>
              </w:p>
            </w:tc>
          </w:tr>
          <w:tr w:rsidR="003A1892" w14:paraId="2EEDF64C" w14:textId="77777777">
            <w:trPr>
              <w:trHeight w:val="283"/>
            </w:trPr>
            <w:tc>
              <w:tcPr>
                <w:tcW w:w="2581" w:type="dxa"/>
              </w:tcPr>
              <w:p w14:paraId="3EE3F72D" w14:textId="77777777" w:rsidR="003A1892" w:rsidRDefault="003A1892">
                <w:pPr>
                  <w:tabs>
                    <w:tab w:val="right" w:pos="8838"/>
                  </w:tabs>
                  <w:ind w:left="-74" w:right="-108"/>
                  <w:rPr>
                    <w:b/>
                  </w:rPr>
                </w:pPr>
                <w:r>
                  <w:rPr>
                    <w:b/>
                  </w:rPr>
                  <w:t>Sujeto Obligado:</w:t>
                </w:r>
              </w:p>
            </w:tc>
            <w:tc>
              <w:tcPr>
                <w:tcW w:w="3548" w:type="dxa"/>
              </w:tcPr>
              <w:p w14:paraId="4A8E5150" w14:textId="6EC74F2A" w:rsidR="003A1892" w:rsidRDefault="003A1892">
                <w:pPr>
                  <w:tabs>
                    <w:tab w:val="left" w:pos="2834"/>
                    <w:tab w:val="right" w:pos="8838"/>
                  </w:tabs>
                  <w:ind w:left="-108" w:right="-108"/>
                </w:pPr>
                <w:r w:rsidRPr="0096071E">
                  <w:t>Ayuntamiento de Chimalhuacán</w:t>
                </w:r>
              </w:p>
            </w:tc>
            <w:tc>
              <w:tcPr>
                <w:tcW w:w="3402" w:type="dxa"/>
              </w:tcPr>
              <w:p w14:paraId="50D24D57" w14:textId="77777777" w:rsidR="003A1892" w:rsidRDefault="003A1892">
                <w:pPr>
                  <w:tabs>
                    <w:tab w:val="left" w:pos="2834"/>
                    <w:tab w:val="right" w:pos="8838"/>
                  </w:tabs>
                  <w:ind w:left="-108" w:right="-108"/>
                </w:pPr>
              </w:p>
            </w:tc>
          </w:tr>
          <w:tr w:rsidR="003A1892" w14:paraId="0A3F23D1" w14:textId="77777777">
            <w:trPr>
              <w:trHeight w:val="283"/>
            </w:trPr>
            <w:tc>
              <w:tcPr>
                <w:tcW w:w="2581" w:type="dxa"/>
              </w:tcPr>
              <w:p w14:paraId="7A0E8677" w14:textId="77777777" w:rsidR="003A1892" w:rsidRDefault="003A1892">
                <w:pPr>
                  <w:tabs>
                    <w:tab w:val="right" w:pos="8838"/>
                  </w:tabs>
                  <w:ind w:left="-74" w:right="-108"/>
                  <w:rPr>
                    <w:b/>
                  </w:rPr>
                </w:pPr>
                <w:r>
                  <w:rPr>
                    <w:b/>
                  </w:rPr>
                  <w:t>Comisionada Ponente:</w:t>
                </w:r>
              </w:p>
            </w:tc>
            <w:tc>
              <w:tcPr>
                <w:tcW w:w="3548" w:type="dxa"/>
              </w:tcPr>
              <w:p w14:paraId="1A4980AA" w14:textId="77777777" w:rsidR="003A1892" w:rsidRDefault="003A1892">
                <w:pPr>
                  <w:tabs>
                    <w:tab w:val="right" w:pos="8838"/>
                  </w:tabs>
                  <w:ind w:left="-108" w:right="-108"/>
                </w:pPr>
                <w:r>
                  <w:t>Sharon Cristina Morales Martínez</w:t>
                </w:r>
              </w:p>
            </w:tc>
            <w:tc>
              <w:tcPr>
                <w:tcW w:w="3402" w:type="dxa"/>
              </w:tcPr>
              <w:p w14:paraId="10D9AFEF" w14:textId="77777777" w:rsidR="003A1892" w:rsidRDefault="003A1892">
                <w:pPr>
                  <w:tabs>
                    <w:tab w:val="right" w:pos="8838"/>
                  </w:tabs>
                  <w:ind w:left="-108" w:right="-108"/>
                </w:pPr>
              </w:p>
            </w:tc>
          </w:tr>
        </w:tbl>
        <w:p w14:paraId="334DC10C" w14:textId="77777777" w:rsidR="003A1892" w:rsidRDefault="003A1892">
          <w:pPr>
            <w:tabs>
              <w:tab w:val="right" w:pos="8838"/>
            </w:tabs>
            <w:ind w:left="-28"/>
            <w:rPr>
              <w:rFonts w:ascii="Arial" w:eastAsia="Arial" w:hAnsi="Arial" w:cs="Arial"/>
              <w:b/>
            </w:rPr>
          </w:pPr>
        </w:p>
      </w:tc>
    </w:tr>
  </w:tbl>
  <w:p w14:paraId="4ADC29F7" w14:textId="77777777" w:rsidR="003A1892" w:rsidRDefault="007B0EE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592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AB7"/>
    <w:multiLevelType w:val="multilevel"/>
    <w:tmpl w:val="7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AF6746"/>
    <w:multiLevelType w:val="hybridMultilevel"/>
    <w:tmpl w:val="ABC2AB7E"/>
    <w:lvl w:ilvl="0" w:tplc="E81E5DC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16CF4"/>
    <w:multiLevelType w:val="multilevel"/>
    <w:tmpl w:val="246CA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A22F31"/>
    <w:multiLevelType w:val="multilevel"/>
    <w:tmpl w:val="507A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8C7129"/>
    <w:multiLevelType w:val="multilevel"/>
    <w:tmpl w:val="0F9ACF2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FFB05AF"/>
    <w:multiLevelType w:val="hybridMultilevel"/>
    <w:tmpl w:val="0A7EF5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24BC043B"/>
    <w:multiLevelType w:val="hybridMultilevel"/>
    <w:tmpl w:val="D41E41EC"/>
    <w:lvl w:ilvl="0" w:tplc="E81E5DC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E81715"/>
    <w:multiLevelType w:val="hybridMultilevel"/>
    <w:tmpl w:val="2D44F9D4"/>
    <w:lvl w:ilvl="0" w:tplc="EEF6095E">
      <w:start w:val="4"/>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55E2DF2"/>
    <w:multiLevelType w:val="multilevel"/>
    <w:tmpl w:val="990624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F24A4A"/>
    <w:multiLevelType w:val="multilevel"/>
    <w:tmpl w:val="63D6A5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8F4704"/>
    <w:multiLevelType w:val="multilevel"/>
    <w:tmpl w:val="696A986A"/>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A24C88"/>
    <w:multiLevelType w:val="multilevel"/>
    <w:tmpl w:val="75862F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9B73C3"/>
    <w:multiLevelType w:val="multilevel"/>
    <w:tmpl w:val="B16E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F16D3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4137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554837"/>
    <w:multiLevelType w:val="hybridMultilevel"/>
    <w:tmpl w:val="6ABC2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0943F7"/>
    <w:multiLevelType w:val="multilevel"/>
    <w:tmpl w:val="35823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F13CA6"/>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D154D4"/>
    <w:multiLevelType w:val="hybridMultilevel"/>
    <w:tmpl w:val="FE767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4C305A"/>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BA0592"/>
    <w:multiLevelType w:val="hybridMultilevel"/>
    <w:tmpl w:val="D6DC4F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5FF1273"/>
    <w:multiLevelType w:val="multilevel"/>
    <w:tmpl w:val="15EA1B9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FA616B"/>
    <w:multiLevelType w:val="multilevel"/>
    <w:tmpl w:val="150CE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4"/>
  </w:num>
  <w:num w:numId="5">
    <w:abstractNumId w:val="6"/>
  </w:num>
  <w:num w:numId="6">
    <w:abstractNumId w:val="14"/>
  </w:num>
  <w:num w:numId="7">
    <w:abstractNumId w:val="20"/>
  </w:num>
  <w:num w:numId="8">
    <w:abstractNumId w:val="16"/>
  </w:num>
  <w:num w:numId="9">
    <w:abstractNumId w:val="23"/>
  </w:num>
  <w:num w:numId="10">
    <w:abstractNumId w:val="15"/>
  </w:num>
  <w:num w:numId="11">
    <w:abstractNumId w:val="21"/>
  </w:num>
  <w:num w:numId="12">
    <w:abstractNumId w:val="12"/>
  </w:num>
  <w:num w:numId="13">
    <w:abstractNumId w:val="19"/>
  </w:num>
  <w:num w:numId="14">
    <w:abstractNumId w:val="17"/>
  </w:num>
  <w:num w:numId="15">
    <w:abstractNumId w:val="7"/>
  </w:num>
  <w:num w:numId="16">
    <w:abstractNumId w:val="22"/>
  </w:num>
  <w:num w:numId="17">
    <w:abstractNumId w:val="1"/>
  </w:num>
  <w:num w:numId="18">
    <w:abstractNumId w:val="8"/>
  </w:num>
  <w:num w:numId="19">
    <w:abstractNumId w:val="10"/>
  </w:num>
  <w:num w:numId="20">
    <w:abstractNumId w:val="11"/>
  </w:num>
  <w:num w:numId="21">
    <w:abstractNumId w:val="9"/>
  </w:num>
  <w:num w:numId="22">
    <w:abstractNumId w:val="24"/>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E"/>
    <w:rsid w:val="00004893"/>
    <w:rsid w:val="000162A1"/>
    <w:rsid w:val="00016C16"/>
    <w:rsid w:val="000173E6"/>
    <w:rsid w:val="000669BC"/>
    <w:rsid w:val="000702FB"/>
    <w:rsid w:val="0007620B"/>
    <w:rsid w:val="00095476"/>
    <w:rsid w:val="000A6E45"/>
    <w:rsid w:val="000B6615"/>
    <w:rsid w:val="000C0767"/>
    <w:rsid w:val="000C7E3C"/>
    <w:rsid w:val="000D4780"/>
    <w:rsid w:val="000D5B39"/>
    <w:rsid w:val="00112019"/>
    <w:rsid w:val="001336E5"/>
    <w:rsid w:val="001655E6"/>
    <w:rsid w:val="00192DDF"/>
    <w:rsid w:val="001A236F"/>
    <w:rsid w:val="001A2B4E"/>
    <w:rsid w:val="001C3175"/>
    <w:rsid w:val="001D7801"/>
    <w:rsid w:val="001E35DB"/>
    <w:rsid w:val="001F6BA9"/>
    <w:rsid w:val="001F75C1"/>
    <w:rsid w:val="0020685D"/>
    <w:rsid w:val="002170E8"/>
    <w:rsid w:val="00231FCA"/>
    <w:rsid w:val="0024296E"/>
    <w:rsid w:val="002650CC"/>
    <w:rsid w:val="0027460F"/>
    <w:rsid w:val="002D3204"/>
    <w:rsid w:val="002F74DC"/>
    <w:rsid w:val="003109F4"/>
    <w:rsid w:val="00323569"/>
    <w:rsid w:val="00351093"/>
    <w:rsid w:val="003862D3"/>
    <w:rsid w:val="0039295C"/>
    <w:rsid w:val="0039675F"/>
    <w:rsid w:val="003A1892"/>
    <w:rsid w:val="003D6B31"/>
    <w:rsid w:val="003F2485"/>
    <w:rsid w:val="003F416F"/>
    <w:rsid w:val="00402CA5"/>
    <w:rsid w:val="00403040"/>
    <w:rsid w:val="00415082"/>
    <w:rsid w:val="00443622"/>
    <w:rsid w:val="00461F21"/>
    <w:rsid w:val="00490D36"/>
    <w:rsid w:val="00496FDC"/>
    <w:rsid w:val="004A0455"/>
    <w:rsid w:val="004D0F1C"/>
    <w:rsid w:val="004D22D1"/>
    <w:rsid w:val="00505139"/>
    <w:rsid w:val="00530289"/>
    <w:rsid w:val="00542F63"/>
    <w:rsid w:val="00592243"/>
    <w:rsid w:val="005B3076"/>
    <w:rsid w:val="005D03D2"/>
    <w:rsid w:val="005E23E2"/>
    <w:rsid w:val="005F2BC4"/>
    <w:rsid w:val="006061B8"/>
    <w:rsid w:val="00614E0D"/>
    <w:rsid w:val="00633495"/>
    <w:rsid w:val="00635777"/>
    <w:rsid w:val="00640021"/>
    <w:rsid w:val="0065000B"/>
    <w:rsid w:val="006537F1"/>
    <w:rsid w:val="0066417D"/>
    <w:rsid w:val="006664A7"/>
    <w:rsid w:val="006668BF"/>
    <w:rsid w:val="006804E1"/>
    <w:rsid w:val="00696662"/>
    <w:rsid w:val="006A6A3C"/>
    <w:rsid w:val="006C6DBF"/>
    <w:rsid w:val="006D3338"/>
    <w:rsid w:val="0071166F"/>
    <w:rsid w:val="00712B87"/>
    <w:rsid w:val="00714FD5"/>
    <w:rsid w:val="007165C6"/>
    <w:rsid w:val="00761FBC"/>
    <w:rsid w:val="00765665"/>
    <w:rsid w:val="007A6066"/>
    <w:rsid w:val="007A7D01"/>
    <w:rsid w:val="007B0EE0"/>
    <w:rsid w:val="007F18E0"/>
    <w:rsid w:val="007F2ECD"/>
    <w:rsid w:val="00806250"/>
    <w:rsid w:val="008148FD"/>
    <w:rsid w:val="008426B7"/>
    <w:rsid w:val="00860205"/>
    <w:rsid w:val="008A6999"/>
    <w:rsid w:val="008B148C"/>
    <w:rsid w:val="008D3350"/>
    <w:rsid w:val="008F67B1"/>
    <w:rsid w:val="00905787"/>
    <w:rsid w:val="00937D5F"/>
    <w:rsid w:val="00946B4E"/>
    <w:rsid w:val="00951477"/>
    <w:rsid w:val="0096071E"/>
    <w:rsid w:val="00987CD8"/>
    <w:rsid w:val="009A6ECD"/>
    <w:rsid w:val="009C2044"/>
    <w:rsid w:val="009F62CD"/>
    <w:rsid w:val="00A0394C"/>
    <w:rsid w:val="00A13460"/>
    <w:rsid w:val="00A3082B"/>
    <w:rsid w:val="00A7311E"/>
    <w:rsid w:val="00A822A3"/>
    <w:rsid w:val="00A83939"/>
    <w:rsid w:val="00A91FE4"/>
    <w:rsid w:val="00AA7682"/>
    <w:rsid w:val="00AE66FA"/>
    <w:rsid w:val="00AF630F"/>
    <w:rsid w:val="00B10A48"/>
    <w:rsid w:val="00B13576"/>
    <w:rsid w:val="00B34591"/>
    <w:rsid w:val="00B410F5"/>
    <w:rsid w:val="00B4121F"/>
    <w:rsid w:val="00B97F77"/>
    <w:rsid w:val="00BE4ADE"/>
    <w:rsid w:val="00BF0D2E"/>
    <w:rsid w:val="00BF6186"/>
    <w:rsid w:val="00C24E75"/>
    <w:rsid w:val="00C466E2"/>
    <w:rsid w:val="00C77871"/>
    <w:rsid w:val="00C82D92"/>
    <w:rsid w:val="00CA4713"/>
    <w:rsid w:val="00CC14F9"/>
    <w:rsid w:val="00CE79D2"/>
    <w:rsid w:val="00D14DEE"/>
    <w:rsid w:val="00D74E84"/>
    <w:rsid w:val="00D82E47"/>
    <w:rsid w:val="00DB0313"/>
    <w:rsid w:val="00DB5689"/>
    <w:rsid w:val="00DC0F04"/>
    <w:rsid w:val="00DD2CD8"/>
    <w:rsid w:val="00DE059E"/>
    <w:rsid w:val="00E12D4E"/>
    <w:rsid w:val="00E12F60"/>
    <w:rsid w:val="00E25C5C"/>
    <w:rsid w:val="00E605E0"/>
    <w:rsid w:val="00E77046"/>
    <w:rsid w:val="00E86113"/>
    <w:rsid w:val="00EC3F01"/>
    <w:rsid w:val="00EC4284"/>
    <w:rsid w:val="00EC7FC7"/>
    <w:rsid w:val="00ED3900"/>
    <w:rsid w:val="00EE6F7D"/>
    <w:rsid w:val="00F0248E"/>
    <w:rsid w:val="00F03788"/>
    <w:rsid w:val="00F03868"/>
    <w:rsid w:val="00F04803"/>
    <w:rsid w:val="00F34A4B"/>
    <w:rsid w:val="00F71836"/>
    <w:rsid w:val="00FB56B0"/>
    <w:rsid w:val="00FC26D7"/>
    <w:rsid w:val="00FC2F29"/>
    <w:rsid w:val="00FD3AFB"/>
    <w:rsid w:val="00FD66DA"/>
    <w:rsid w:val="00FE023F"/>
    <w:rsid w:val="00FF365E"/>
    <w:rsid w:val="00FF5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1F36DD"/>
  <w15:docId w15:val="{17711231-07C2-4B69-A621-E77A82E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0A6E45"/>
    <w:rPr>
      <w:color w:val="605E5C"/>
      <w:shd w:val="clear" w:color="auto" w:fill="E1DFDD"/>
    </w:rPr>
  </w:style>
  <w:style w:type="character" w:customStyle="1" w:styleId="Mencinsinresolver3">
    <w:name w:val="Mención sin resolver3"/>
    <w:basedOn w:val="Fuentedeprrafopredeter"/>
    <w:uiPriority w:val="99"/>
    <w:semiHidden/>
    <w:unhideWhenUsed/>
    <w:rsid w:val="0096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5623">
      <w:bodyDiv w:val="1"/>
      <w:marLeft w:val="0"/>
      <w:marRight w:val="0"/>
      <w:marTop w:val="0"/>
      <w:marBottom w:val="0"/>
      <w:divBdr>
        <w:top w:val="none" w:sz="0" w:space="0" w:color="auto"/>
        <w:left w:val="none" w:sz="0" w:space="0" w:color="auto"/>
        <w:bottom w:val="none" w:sz="0" w:space="0" w:color="auto"/>
        <w:right w:val="none" w:sz="0" w:space="0" w:color="auto"/>
      </w:divBdr>
    </w:div>
    <w:div w:id="307593127">
      <w:bodyDiv w:val="1"/>
      <w:marLeft w:val="0"/>
      <w:marRight w:val="0"/>
      <w:marTop w:val="0"/>
      <w:marBottom w:val="0"/>
      <w:divBdr>
        <w:top w:val="none" w:sz="0" w:space="0" w:color="auto"/>
        <w:left w:val="none" w:sz="0" w:space="0" w:color="auto"/>
        <w:bottom w:val="none" w:sz="0" w:space="0" w:color="auto"/>
        <w:right w:val="none" w:sz="0" w:space="0" w:color="auto"/>
      </w:divBdr>
    </w:div>
    <w:div w:id="539051560">
      <w:bodyDiv w:val="1"/>
      <w:marLeft w:val="0"/>
      <w:marRight w:val="0"/>
      <w:marTop w:val="0"/>
      <w:marBottom w:val="0"/>
      <w:divBdr>
        <w:top w:val="none" w:sz="0" w:space="0" w:color="auto"/>
        <w:left w:val="none" w:sz="0" w:space="0" w:color="auto"/>
        <w:bottom w:val="none" w:sz="0" w:space="0" w:color="auto"/>
        <w:right w:val="none" w:sz="0" w:space="0" w:color="auto"/>
      </w:divBdr>
    </w:div>
    <w:div w:id="704214334">
      <w:bodyDiv w:val="1"/>
      <w:marLeft w:val="0"/>
      <w:marRight w:val="0"/>
      <w:marTop w:val="0"/>
      <w:marBottom w:val="0"/>
      <w:divBdr>
        <w:top w:val="none" w:sz="0" w:space="0" w:color="auto"/>
        <w:left w:val="none" w:sz="0" w:space="0" w:color="auto"/>
        <w:bottom w:val="none" w:sz="0" w:space="0" w:color="auto"/>
        <w:right w:val="none" w:sz="0" w:space="0" w:color="auto"/>
      </w:divBdr>
    </w:div>
    <w:div w:id="1042246801">
      <w:bodyDiv w:val="1"/>
      <w:marLeft w:val="0"/>
      <w:marRight w:val="0"/>
      <w:marTop w:val="0"/>
      <w:marBottom w:val="0"/>
      <w:divBdr>
        <w:top w:val="none" w:sz="0" w:space="0" w:color="auto"/>
        <w:left w:val="none" w:sz="0" w:space="0" w:color="auto"/>
        <w:bottom w:val="none" w:sz="0" w:space="0" w:color="auto"/>
        <w:right w:val="none" w:sz="0" w:space="0" w:color="auto"/>
      </w:divBdr>
      <w:divsChild>
        <w:div w:id="1274823546">
          <w:marLeft w:val="0"/>
          <w:marRight w:val="0"/>
          <w:marTop w:val="0"/>
          <w:marBottom w:val="0"/>
          <w:divBdr>
            <w:top w:val="none" w:sz="0" w:space="0" w:color="auto"/>
            <w:left w:val="none" w:sz="0" w:space="0" w:color="auto"/>
            <w:bottom w:val="none" w:sz="0" w:space="0" w:color="auto"/>
            <w:right w:val="none" w:sz="0" w:space="0" w:color="auto"/>
          </w:divBdr>
        </w:div>
      </w:divsChild>
    </w:div>
    <w:div w:id="1049958020">
      <w:bodyDiv w:val="1"/>
      <w:marLeft w:val="0"/>
      <w:marRight w:val="0"/>
      <w:marTop w:val="0"/>
      <w:marBottom w:val="0"/>
      <w:divBdr>
        <w:top w:val="none" w:sz="0" w:space="0" w:color="auto"/>
        <w:left w:val="none" w:sz="0" w:space="0" w:color="auto"/>
        <w:bottom w:val="none" w:sz="0" w:space="0" w:color="auto"/>
        <w:right w:val="none" w:sz="0" w:space="0" w:color="auto"/>
      </w:divBdr>
    </w:div>
    <w:div w:id="1115292244">
      <w:bodyDiv w:val="1"/>
      <w:marLeft w:val="0"/>
      <w:marRight w:val="0"/>
      <w:marTop w:val="0"/>
      <w:marBottom w:val="0"/>
      <w:divBdr>
        <w:top w:val="none" w:sz="0" w:space="0" w:color="auto"/>
        <w:left w:val="none" w:sz="0" w:space="0" w:color="auto"/>
        <w:bottom w:val="none" w:sz="0" w:space="0" w:color="auto"/>
        <w:right w:val="none" w:sz="0" w:space="0" w:color="auto"/>
      </w:divBdr>
    </w:div>
    <w:div w:id="1194031638">
      <w:bodyDiv w:val="1"/>
      <w:marLeft w:val="0"/>
      <w:marRight w:val="0"/>
      <w:marTop w:val="0"/>
      <w:marBottom w:val="0"/>
      <w:divBdr>
        <w:top w:val="none" w:sz="0" w:space="0" w:color="auto"/>
        <w:left w:val="none" w:sz="0" w:space="0" w:color="auto"/>
        <w:bottom w:val="none" w:sz="0" w:space="0" w:color="auto"/>
        <w:right w:val="none" w:sz="0" w:space="0" w:color="auto"/>
      </w:divBdr>
    </w:div>
    <w:div w:id="1217274371">
      <w:bodyDiv w:val="1"/>
      <w:marLeft w:val="0"/>
      <w:marRight w:val="0"/>
      <w:marTop w:val="0"/>
      <w:marBottom w:val="0"/>
      <w:divBdr>
        <w:top w:val="none" w:sz="0" w:space="0" w:color="auto"/>
        <w:left w:val="none" w:sz="0" w:space="0" w:color="auto"/>
        <w:bottom w:val="none" w:sz="0" w:space="0" w:color="auto"/>
        <w:right w:val="none" w:sz="0" w:space="0" w:color="auto"/>
      </w:divBdr>
      <w:divsChild>
        <w:div w:id="1843739706">
          <w:marLeft w:val="0"/>
          <w:marRight w:val="0"/>
          <w:marTop w:val="0"/>
          <w:marBottom w:val="0"/>
          <w:divBdr>
            <w:top w:val="none" w:sz="0" w:space="0" w:color="auto"/>
            <w:left w:val="none" w:sz="0" w:space="0" w:color="auto"/>
            <w:bottom w:val="none" w:sz="0" w:space="0" w:color="auto"/>
            <w:right w:val="none" w:sz="0" w:space="0" w:color="auto"/>
          </w:divBdr>
        </w:div>
      </w:divsChild>
    </w:div>
    <w:div w:id="1630238484">
      <w:bodyDiv w:val="1"/>
      <w:marLeft w:val="0"/>
      <w:marRight w:val="0"/>
      <w:marTop w:val="0"/>
      <w:marBottom w:val="0"/>
      <w:divBdr>
        <w:top w:val="none" w:sz="0" w:space="0" w:color="auto"/>
        <w:left w:val="none" w:sz="0" w:space="0" w:color="auto"/>
        <w:bottom w:val="none" w:sz="0" w:space="0" w:color="auto"/>
        <w:right w:val="none" w:sz="0" w:space="0" w:color="auto"/>
      </w:divBdr>
    </w:div>
    <w:div w:id="1678847402">
      <w:bodyDiv w:val="1"/>
      <w:marLeft w:val="0"/>
      <w:marRight w:val="0"/>
      <w:marTop w:val="0"/>
      <w:marBottom w:val="0"/>
      <w:divBdr>
        <w:top w:val="none" w:sz="0" w:space="0" w:color="auto"/>
        <w:left w:val="none" w:sz="0" w:space="0" w:color="auto"/>
        <w:bottom w:val="none" w:sz="0" w:space="0" w:color="auto"/>
        <w:right w:val="none" w:sz="0" w:space="0" w:color="auto"/>
      </w:divBdr>
    </w:div>
    <w:div w:id="196693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dof.gob.mx/nota_detalle.php?codigo=5492254&amp;fecha=28/07/2017"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onsultas.curp.gob.mx/CurpSP/html/informacionecurpPS.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M4EuousQmmsnM/avTUFh282cw==">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436346-9759-42D4-B134-6AA6C073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16943</Words>
  <Characters>93191</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6</cp:revision>
  <dcterms:created xsi:type="dcterms:W3CDTF">2025-07-03T18:58:00Z</dcterms:created>
  <dcterms:modified xsi:type="dcterms:W3CDTF">2025-08-19T17:05:00Z</dcterms:modified>
</cp:coreProperties>
</file>