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04A" w:rsidRPr="00F74C21" w:rsidRDefault="00B16AED">
      <w:pPr>
        <w:spacing w:line="360" w:lineRule="auto"/>
        <w:jc w:val="both"/>
        <w:rPr>
          <w:rFonts w:ascii="Palatino Linotype" w:eastAsia="Palatino Linotype" w:hAnsi="Palatino Linotype" w:cs="Palatino Linotype"/>
          <w:sz w:val="22"/>
          <w:szCs w:val="22"/>
        </w:rPr>
      </w:pPr>
      <w:bookmarkStart w:id="0" w:name="_GoBack"/>
      <w:bookmarkEnd w:id="0"/>
      <w:r w:rsidRPr="00F74C2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quince de octubre de dos mil veinticinco. </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Visto</w:t>
      </w:r>
      <w:r w:rsidRPr="00F74C21">
        <w:rPr>
          <w:rFonts w:ascii="Palatino Linotype" w:eastAsia="Palatino Linotype" w:hAnsi="Palatino Linotype" w:cs="Palatino Linotype"/>
          <w:sz w:val="22"/>
          <w:szCs w:val="22"/>
        </w:rPr>
        <w:t xml:space="preserve"> el expediente relativo al recurso de revisión </w:t>
      </w:r>
      <w:r w:rsidRPr="00F74C21">
        <w:rPr>
          <w:rFonts w:ascii="Palatino Linotype" w:eastAsia="Palatino Linotype" w:hAnsi="Palatino Linotype" w:cs="Palatino Linotype"/>
          <w:b/>
          <w:sz w:val="22"/>
          <w:szCs w:val="22"/>
        </w:rPr>
        <w:t>06839/INFOEM/IP/RR/2025</w:t>
      </w:r>
      <w:r w:rsidRPr="00F74C21">
        <w:rPr>
          <w:rFonts w:ascii="Palatino Linotype" w:eastAsia="Palatino Linotype" w:hAnsi="Palatino Linotype" w:cs="Palatino Linotype"/>
          <w:sz w:val="22"/>
          <w:szCs w:val="22"/>
        </w:rPr>
        <w:t xml:space="preserve">, interpuesto por </w:t>
      </w:r>
      <w:r w:rsidRPr="00F74C21">
        <w:rPr>
          <w:rFonts w:ascii="Palatino Linotype" w:eastAsia="Palatino Linotype" w:hAnsi="Palatino Linotype" w:cs="Palatino Linotype"/>
          <w:b/>
          <w:sz w:val="22"/>
          <w:szCs w:val="22"/>
        </w:rPr>
        <w:t xml:space="preserve">un particular que no proporcionó nombre o seudónimo para ser identificado, </w:t>
      </w:r>
      <w:r w:rsidRPr="00F74C21">
        <w:rPr>
          <w:rFonts w:ascii="Palatino Linotype" w:eastAsia="Palatino Linotype" w:hAnsi="Palatino Linotype" w:cs="Palatino Linotype"/>
          <w:sz w:val="22"/>
          <w:szCs w:val="22"/>
        </w:rPr>
        <w:t>en lo sucesivo se le denominará la parte</w:t>
      </w:r>
      <w:r w:rsidRPr="00F74C21">
        <w:rPr>
          <w:rFonts w:ascii="Palatino Linotype" w:eastAsia="Palatino Linotype" w:hAnsi="Palatino Linotype" w:cs="Palatino Linotype"/>
          <w:b/>
          <w:sz w:val="22"/>
          <w:szCs w:val="22"/>
        </w:rPr>
        <w:t xml:space="preserve"> Recurrente</w:t>
      </w:r>
      <w:r w:rsidRPr="00F74C21">
        <w:rPr>
          <w:rFonts w:ascii="Palatino Linotype" w:eastAsia="Palatino Linotype" w:hAnsi="Palatino Linotype" w:cs="Palatino Linotype"/>
          <w:sz w:val="22"/>
          <w:szCs w:val="22"/>
        </w:rPr>
        <w:t>, en contra de la respuesta a su solicitud de información con número de folio</w:t>
      </w:r>
      <w:r w:rsidRPr="00F74C21">
        <w:rPr>
          <w:rFonts w:ascii="Palatino Linotype" w:eastAsia="Palatino Linotype" w:hAnsi="Palatino Linotype" w:cs="Palatino Linotype"/>
          <w:b/>
          <w:sz w:val="22"/>
          <w:szCs w:val="22"/>
        </w:rPr>
        <w:t xml:space="preserve"> 00351/ZINACANT/IP/2025</w:t>
      </w:r>
      <w:r w:rsidRPr="00F74C21">
        <w:rPr>
          <w:rFonts w:ascii="Palatino Linotype" w:eastAsia="Palatino Linotype" w:hAnsi="Palatino Linotype" w:cs="Palatino Linotype"/>
          <w:sz w:val="22"/>
          <w:szCs w:val="22"/>
        </w:rPr>
        <w:t xml:space="preserve">, por parte del </w:t>
      </w:r>
      <w:r w:rsidRPr="00F74C21">
        <w:rPr>
          <w:rFonts w:ascii="Palatino Linotype" w:eastAsia="Palatino Linotype" w:hAnsi="Palatino Linotype" w:cs="Palatino Linotype"/>
          <w:b/>
          <w:sz w:val="22"/>
          <w:szCs w:val="22"/>
        </w:rPr>
        <w:t xml:space="preserve">Ayuntamiento de Zinacantepec </w:t>
      </w:r>
      <w:r w:rsidRPr="00F74C21">
        <w:rPr>
          <w:rFonts w:ascii="Palatino Linotype" w:eastAsia="Palatino Linotype" w:hAnsi="Palatino Linotype" w:cs="Palatino Linotype"/>
          <w:sz w:val="22"/>
          <w:szCs w:val="22"/>
        </w:rPr>
        <w:t xml:space="preserve">en lo sucesivo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w:t>
      </w:r>
      <w:r w:rsidRPr="00F74C21">
        <w:rPr>
          <w:rFonts w:ascii="Palatino Linotype" w:eastAsia="Palatino Linotype" w:hAnsi="Palatino Linotype" w:cs="Palatino Linotype"/>
          <w:b/>
          <w:sz w:val="22"/>
          <w:szCs w:val="22"/>
        </w:rPr>
        <w:t xml:space="preserve"> </w:t>
      </w:r>
      <w:r w:rsidRPr="00F74C21">
        <w:rPr>
          <w:rFonts w:ascii="Palatino Linotype" w:eastAsia="Palatino Linotype" w:hAnsi="Palatino Linotype" w:cs="Palatino Linotype"/>
          <w:sz w:val="22"/>
          <w:szCs w:val="22"/>
        </w:rPr>
        <w:t>se procede a dictar la presente resolución, con base en los siguientes:</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A N T E C E D E N T E S:</w:t>
      </w:r>
    </w:p>
    <w:p w:rsidR="000E204A" w:rsidRPr="00F74C21" w:rsidRDefault="00B16AED">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 xml:space="preserve">Solicitud de acceso a la información. </w:t>
      </w:r>
      <w:r w:rsidRPr="00F74C21">
        <w:rPr>
          <w:rFonts w:ascii="Palatino Linotype" w:eastAsia="Palatino Linotype" w:hAnsi="Palatino Linotype" w:cs="Palatino Linotype"/>
          <w:sz w:val="22"/>
          <w:szCs w:val="22"/>
        </w:rPr>
        <w:t xml:space="preserve">El </w:t>
      </w:r>
      <w:r w:rsidRPr="00F74C21">
        <w:rPr>
          <w:rFonts w:ascii="Palatino Linotype" w:eastAsia="Palatino Linotype" w:hAnsi="Palatino Linotype" w:cs="Palatino Linotype"/>
          <w:b/>
          <w:sz w:val="22"/>
          <w:szCs w:val="22"/>
        </w:rPr>
        <w:t>seis de mayo del dos mil veinticinco,</w:t>
      </w:r>
      <w:r w:rsidRPr="00F74C21">
        <w:rPr>
          <w:rFonts w:ascii="Palatino Linotype" w:eastAsia="Palatino Linotype" w:hAnsi="Palatino Linotype" w:cs="Palatino Linotype"/>
          <w:sz w:val="22"/>
          <w:szCs w:val="22"/>
        </w:rPr>
        <w:t xml:space="preserve"> la parte </w:t>
      </w:r>
      <w:r w:rsidRPr="00F74C21">
        <w:rPr>
          <w:rFonts w:ascii="Palatino Linotype" w:eastAsia="Palatino Linotype" w:hAnsi="Palatino Linotype" w:cs="Palatino Linotype"/>
          <w:b/>
          <w:sz w:val="22"/>
          <w:szCs w:val="22"/>
        </w:rPr>
        <w:t xml:space="preserve">Recurrente </w:t>
      </w:r>
      <w:r w:rsidRPr="00F74C21">
        <w:rPr>
          <w:rFonts w:ascii="Palatino Linotype" w:eastAsia="Palatino Linotype" w:hAnsi="Palatino Linotype" w:cs="Palatino Linotype"/>
          <w:sz w:val="22"/>
          <w:szCs w:val="22"/>
        </w:rPr>
        <w:t xml:space="preserve">presentó su solicitud de acceso a la información ante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a través del Sistema de Acceso a la Información Mexiquense, en lo subsecuente el </w:t>
      </w:r>
      <w:r w:rsidRPr="00F74C21">
        <w:rPr>
          <w:rFonts w:ascii="Palatino Linotype" w:eastAsia="Palatino Linotype" w:hAnsi="Palatino Linotype" w:cs="Palatino Linotype"/>
          <w:b/>
          <w:sz w:val="22"/>
          <w:szCs w:val="22"/>
        </w:rPr>
        <w:t>SAIMEX,</w:t>
      </w:r>
      <w:r w:rsidRPr="00F74C21">
        <w:rPr>
          <w:rFonts w:ascii="Palatino Linotype" w:eastAsia="Palatino Linotype" w:hAnsi="Palatino Linotype" w:cs="Palatino Linotype"/>
          <w:sz w:val="22"/>
          <w:szCs w:val="22"/>
        </w:rPr>
        <w:t xml:space="preserve"> mediante la cual requirió lo siguiente:</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“Entregar el dictamen técnico que justifique cada partida presupuestal con subejercicio mayor al 15% entre 2021 y 2023, indicando si fue por planeación deficiente, falta de ejecución, bloqueo político o estrategia de reasignación.”</w:t>
      </w:r>
    </w:p>
    <w:p w:rsidR="000E204A" w:rsidRPr="00F74C21" w:rsidRDefault="000E204A">
      <w:pPr>
        <w:spacing w:line="360" w:lineRule="auto"/>
        <w:ind w:left="709" w:right="900"/>
        <w:jc w:val="both"/>
        <w:rPr>
          <w:rFonts w:ascii="Palatino Linotype" w:eastAsia="Palatino Linotype" w:hAnsi="Palatino Linotype" w:cs="Palatino Linotype"/>
          <w:b/>
          <w:i/>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Modalidad elegida para la entrega de la información: </w:t>
      </w:r>
      <w:r w:rsidRPr="00F74C21">
        <w:rPr>
          <w:rFonts w:ascii="Palatino Linotype" w:eastAsia="Palatino Linotype" w:hAnsi="Palatino Linotype" w:cs="Palatino Linotype"/>
          <w:sz w:val="22"/>
          <w:szCs w:val="22"/>
        </w:rPr>
        <w:t xml:space="preserve">a través del Sistema de Acceso a la Información Mexiquense. </w:t>
      </w:r>
    </w:p>
    <w:p w:rsidR="000E204A" w:rsidRPr="00F74C21" w:rsidRDefault="000E20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E204A" w:rsidRPr="00F74C21" w:rsidRDefault="00B16AE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Respuesta. </w:t>
      </w:r>
      <w:r w:rsidRPr="00F74C21">
        <w:rPr>
          <w:rFonts w:ascii="Palatino Linotype" w:eastAsia="Palatino Linotype" w:hAnsi="Palatino Linotype" w:cs="Palatino Linotype"/>
          <w:sz w:val="22"/>
          <w:szCs w:val="22"/>
        </w:rPr>
        <w:t xml:space="preserve">Con fecha </w:t>
      </w:r>
      <w:r w:rsidRPr="00F74C21">
        <w:rPr>
          <w:rFonts w:ascii="Palatino Linotype" w:eastAsia="Palatino Linotype" w:hAnsi="Palatino Linotype" w:cs="Palatino Linotype"/>
          <w:b/>
          <w:sz w:val="22"/>
          <w:szCs w:val="22"/>
        </w:rPr>
        <w:t>veintisiete de mayo de dos mil veinticinco</w:t>
      </w:r>
      <w:r w:rsidRPr="00F74C21">
        <w:rPr>
          <w:rFonts w:ascii="Palatino Linotype" w:eastAsia="Palatino Linotype" w:hAnsi="Palatino Linotype" w:cs="Palatino Linotype"/>
          <w:sz w:val="22"/>
          <w:szCs w:val="22"/>
        </w:rPr>
        <w:t xml:space="preserv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rsidR="000E204A" w:rsidRPr="00F74C21" w:rsidRDefault="000E204A">
      <w:pPr>
        <w:tabs>
          <w:tab w:val="left" w:pos="7371"/>
        </w:tabs>
        <w:spacing w:line="276" w:lineRule="auto"/>
        <w:ind w:left="851" w:right="616"/>
        <w:jc w:val="both"/>
        <w:rPr>
          <w:rFonts w:ascii="Palatino Linotype" w:eastAsia="Palatino Linotype" w:hAnsi="Palatino Linotype" w:cs="Palatino Linotype"/>
          <w:i/>
          <w:sz w:val="22"/>
          <w:szCs w:val="22"/>
        </w:rPr>
      </w:pPr>
      <w:bookmarkStart w:id="1" w:name="_heading=h.3znysh7" w:colFirst="0" w:colLast="0"/>
      <w:bookmarkEnd w:id="1"/>
    </w:p>
    <w:p w:rsidR="000E204A" w:rsidRPr="00F74C21" w:rsidRDefault="00B16AED">
      <w:pPr>
        <w:tabs>
          <w:tab w:val="left" w:pos="737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E204A" w:rsidRPr="00F74C21" w:rsidRDefault="00B16AED">
      <w:pPr>
        <w:tabs>
          <w:tab w:val="left" w:pos="737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0E204A" w:rsidRPr="00F74C21" w:rsidRDefault="00B16AED">
      <w:pPr>
        <w:tabs>
          <w:tab w:val="left" w:pos="737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ATENTAMENTE</w:t>
      </w:r>
    </w:p>
    <w:p w:rsidR="000E204A" w:rsidRPr="00F74C21" w:rsidRDefault="00B16AED">
      <w:pPr>
        <w:tabs>
          <w:tab w:val="left" w:pos="737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BRENDA SELENE HERNANDEZ LOPEZ” (Sic)</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bookmarkStart w:id="2" w:name="_heading=h.u6jyc2jkw88d" w:colFirst="0" w:colLast="0"/>
      <w:bookmarkEnd w:id="2"/>
      <w:r w:rsidRPr="00F74C21">
        <w:rPr>
          <w:rFonts w:ascii="Palatino Linotype" w:eastAsia="Palatino Linotype" w:hAnsi="Palatino Linotype" w:cs="Palatino Linotype"/>
          <w:sz w:val="22"/>
          <w:szCs w:val="22"/>
        </w:rPr>
        <w:t xml:space="preserve">Del mismo modo,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adjuntó a su respuesta los archivos electrónicos denominados </w:t>
      </w: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respuesta de la solicitud de información No. 00351-2025.pdf, Oficio 0695 Solicitud 0351.pdf, RESPUESTA SOLICITUD 351.pdf y RESPUESTA SOLICITUD 351.pdf</w:t>
      </w: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sz w:val="22"/>
          <w:szCs w:val="22"/>
        </w:rPr>
        <w:t xml:space="preserve">, los cuales contienen lo siguiente: </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numPr>
          <w:ilvl w:val="0"/>
          <w:numId w:val="6"/>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Oficio número ZIN/UIPPE/134/2025 de fecha doce de mayo de dos mil veinticinco, signado por la Titular de la Unidad de Información, Planeación, Programación y Evaluación informó que de acuerdo con sus </w:t>
      </w:r>
      <w:r w:rsidRPr="00F74C21">
        <w:rPr>
          <w:rFonts w:ascii="Palatino Linotype" w:eastAsia="Palatino Linotype" w:hAnsi="Palatino Linotype" w:cs="Palatino Linotype"/>
          <w:sz w:val="22"/>
          <w:szCs w:val="22"/>
        </w:rPr>
        <w:lastRenderedPageBreak/>
        <w:t xml:space="preserve">funciones no realiza </w:t>
      </w:r>
      <w:r w:rsidRPr="00F74C21">
        <w:rPr>
          <w:rFonts w:ascii="Palatino Linotype" w:eastAsia="Palatino Linotype" w:hAnsi="Palatino Linotype" w:cs="Palatino Linotype"/>
          <w:i/>
          <w:sz w:val="22"/>
          <w:szCs w:val="22"/>
        </w:rPr>
        <w:t>“dictámenes técnicos de las partidas presupuestales con subejercicios</w:t>
      </w:r>
      <w:r w:rsidRPr="00F74C21">
        <w:rPr>
          <w:rFonts w:ascii="Palatino Linotype" w:eastAsia="Palatino Linotype" w:hAnsi="Palatino Linotype" w:cs="Palatino Linotype"/>
          <w:sz w:val="22"/>
          <w:szCs w:val="22"/>
        </w:rPr>
        <w:t xml:space="preserve">”, sin embargo, hace entrega de los siguientes formatos de forma digital para los años 2021 al 2023, con la que cuenta esta unidad. </w:t>
      </w:r>
    </w:p>
    <w:p w:rsidR="000E204A" w:rsidRPr="00F74C21" w:rsidRDefault="00B16AED">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PbRM01a Programa Anual Dimensión Administrativa del Gasto.</w:t>
      </w:r>
    </w:p>
    <w:p w:rsidR="000E204A" w:rsidRPr="00F74C21" w:rsidRDefault="00B16AED">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PbRM01b Programa Anual Descripción del Programa presupuestario.</w:t>
      </w:r>
    </w:p>
    <w:p w:rsidR="000E204A" w:rsidRPr="00F74C21" w:rsidRDefault="00B16AED">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PbRM01c Programa Anual de Metas de actividad por Proyecto.</w:t>
      </w:r>
    </w:p>
    <w:p w:rsidR="000E204A" w:rsidRPr="00F74C21" w:rsidRDefault="00B16AED">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PbRM01d Ficha Técnica de diseño de Indicadores estratégicos o de Gestión.</w:t>
      </w:r>
    </w:p>
    <w:p w:rsidR="000E204A" w:rsidRPr="00F74C21" w:rsidRDefault="00B16AED">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PbRM01e Matriz de Indicadores para Resultados por Programa Dependencia General.</w:t>
      </w:r>
    </w:p>
    <w:p w:rsidR="000E204A" w:rsidRPr="00F74C21" w:rsidRDefault="00B16AED">
      <w:pPr>
        <w:numPr>
          <w:ilvl w:val="0"/>
          <w:numId w:val="4"/>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PbRM02a Calendarización de Metas de actividad por Proyecto.</w:t>
      </w:r>
    </w:p>
    <w:p w:rsidR="000E204A" w:rsidRPr="00F74C21" w:rsidRDefault="00B16AED">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Adjuntando al oficio los formatos PbRM referidos, consistentes en 2099 fojas. </w:t>
      </w:r>
    </w:p>
    <w:p w:rsidR="000E204A" w:rsidRPr="00F74C21" w:rsidRDefault="000E204A">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p>
    <w:p w:rsidR="000E204A" w:rsidRPr="00F74C21" w:rsidRDefault="00B16AED">
      <w:pPr>
        <w:numPr>
          <w:ilvl w:val="0"/>
          <w:numId w:val="6"/>
        </w:num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sz w:val="22"/>
          <w:szCs w:val="22"/>
        </w:rPr>
        <w:t xml:space="preserve">Oficio número ZIN/TM/0695/2025 de fecha diecinueve de mayo de dos mil veinticinco, signado por el Tesorero Municipal de Zinacantepec, en el que informó que después de una búsqueda razonable y exhaustiva dentro de sus archivos, no se encontró documental que refiera el dictamen técnico que justifique cada partida presupuestal, lo que deja claro la no generación o administración de algún soporte documental por no existir y por lo tanto no hay documental por entregar, esto con fundamento con lo señalado en los articulo 12, 24 último párrafo y 59 fracciones I, II y III de la Ley de Transparencia y Acceso a la información Pública del Estado de México. </w:t>
      </w:r>
    </w:p>
    <w:p w:rsidR="000E204A" w:rsidRPr="00F74C21" w:rsidRDefault="000E204A">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p>
    <w:p w:rsidR="000E204A" w:rsidRPr="00F74C21" w:rsidRDefault="00B16AED">
      <w:pPr>
        <w:numPr>
          <w:ilvl w:val="0"/>
          <w:numId w:val="6"/>
        </w:num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sz w:val="22"/>
          <w:szCs w:val="22"/>
        </w:rPr>
        <w:t>Oficio de fecha veintiséis de mayo de dos mil veinticinco, suscrito por la Titular de la Unidad de Transparencia en el que informó la entrega de la respuesta proporcionada por el área competente. (oficio duplicado)</w:t>
      </w:r>
    </w:p>
    <w:p w:rsidR="000E204A" w:rsidRPr="00F74C21" w:rsidRDefault="000E204A">
      <w:p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p>
    <w:p w:rsidR="000E204A" w:rsidRPr="00F74C21" w:rsidRDefault="00B16AED">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Interposición del recurso de revisión. </w:t>
      </w:r>
      <w:r w:rsidRPr="00F74C21">
        <w:rPr>
          <w:rFonts w:ascii="Palatino Linotype" w:eastAsia="Palatino Linotype" w:hAnsi="Palatino Linotype" w:cs="Palatino Linotype"/>
          <w:sz w:val="22"/>
          <w:szCs w:val="22"/>
        </w:rPr>
        <w:t xml:space="preserve">Inconforme con la respuesta del </w:t>
      </w:r>
      <w:r w:rsidRPr="00F74C21">
        <w:rPr>
          <w:rFonts w:ascii="Palatino Linotype" w:eastAsia="Palatino Linotype" w:hAnsi="Palatino Linotype" w:cs="Palatino Linotype"/>
          <w:b/>
          <w:sz w:val="22"/>
          <w:szCs w:val="22"/>
        </w:rPr>
        <w:t xml:space="preserve">Sujeto Obligado, </w:t>
      </w:r>
      <w:r w:rsidRPr="00F74C21">
        <w:rPr>
          <w:rFonts w:ascii="Palatino Linotype" w:eastAsia="Palatino Linotype" w:hAnsi="Palatino Linotype" w:cs="Palatino Linotype"/>
          <w:sz w:val="22"/>
          <w:szCs w:val="22"/>
        </w:rPr>
        <w:t>la parte</w:t>
      </w:r>
      <w:r w:rsidRPr="00F74C21">
        <w:rPr>
          <w:rFonts w:ascii="Palatino Linotype" w:eastAsia="Palatino Linotype" w:hAnsi="Palatino Linotype" w:cs="Palatino Linotype"/>
          <w:b/>
          <w:sz w:val="22"/>
          <w:szCs w:val="22"/>
        </w:rPr>
        <w:t xml:space="preserve"> Recurrente</w:t>
      </w:r>
      <w:r w:rsidRPr="00F74C21">
        <w:rPr>
          <w:rFonts w:ascii="Palatino Linotype" w:eastAsia="Palatino Linotype" w:hAnsi="Palatino Linotype" w:cs="Palatino Linotype"/>
          <w:sz w:val="22"/>
          <w:szCs w:val="22"/>
        </w:rPr>
        <w:t xml:space="preserve"> interpuso recurso de revisión a través del SAIMEX en fecha </w:t>
      </w:r>
      <w:r w:rsidRPr="00F74C21">
        <w:rPr>
          <w:rFonts w:ascii="Palatino Linotype" w:eastAsia="Palatino Linotype" w:hAnsi="Palatino Linotype" w:cs="Palatino Linotype"/>
          <w:b/>
          <w:sz w:val="22"/>
          <w:szCs w:val="22"/>
        </w:rPr>
        <w:t>once de junio de dos mil veinticinco</w:t>
      </w:r>
      <w:r w:rsidRPr="00F74C21">
        <w:rPr>
          <w:rFonts w:ascii="Palatino Linotype" w:eastAsia="Palatino Linotype" w:hAnsi="Palatino Linotype" w:cs="Palatino Linotype"/>
          <w:sz w:val="22"/>
          <w:szCs w:val="22"/>
        </w:rPr>
        <w:t>, a través del cual expresó lo siguiente:</w:t>
      </w:r>
    </w:p>
    <w:p w:rsidR="000E204A" w:rsidRPr="00F74C21" w:rsidRDefault="000E204A">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ind w:left="851" w:right="616"/>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 xml:space="preserve">Acto impugnado. </w:t>
      </w:r>
    </w:p>
    <w:p w:rsidR="000E204A" w:rsidRPr="00F74C21" w:rsidRDefault="00B16AED">
      <w:pPr>
        <w:spacing w:line="360"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“NO ENTREGA INFORMACION” </w:t>
      </w:r>
    </w:p>
    <w:p w:rsidR="000E204A" w:rsidRPr="00F74C21" w:rsidRDefault="000E204A">
      <w:pPr>
        <w:spacing w:line="276" w:lineRule="auto"/>
        <w:ind w:left="851" w:right="616"/>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 xml:space="preserve">Motivos de inconformidad. </w:t>
      </w:r>
    </w:p>
    <w:p w:rsidR="000E204A" w:rsidRPr="00F74C21" w:rsidRDefault="00B16AED">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F74C21">
        <w:rPr>
          <w:rFonts w:ascii="Palatino Linotype" w:eastAsia="Palatino Linotype" w:hAnsi="Palatino Linotype" w:cs="Palatino Linotype"/>
          <w:sz w:val="22"/>
          <w:szCs w:val="22"/>
        </w:rPr>
        <w:t>“</w:t>
      </w:r>
      <w:r w:rsidRPr="00F74C21">
        <w:rPr>
          <w:rFonts w:ascii="Palatino Linotype" w:eastAsia="Palatino Linotype" w:hAnsi="Palatino Linotype" w:cs="Palatino Linotype"/>
          <w:i/>
          <w:sz w:val="22"/>
          <w:szCs w:val="22"/>
        </w:rPr>
        <w:t>NO ENTREGA INFORMACION”</w:t>
      </w:r>
    </w:p>
    <w:p w:rsidR="000E204A" w:rsidRPr="00F74C21" w:rsidRDefault="000E204A">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rsidR="000E204A" w:rsidRPr="00F74C21" w:rsidRDefault="00B16AE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Turno. </w:t>
      </w:r>
      <w:r w:rsidRPr="00F74C2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F74C21">
        <w:rPr>
          <w:rFonts w:ascii="Palatino Linotype" w:eastAsia="Palatino Linotype" w:hAnsi="Palatino Linotype" w:cs="Palatino Linotype"/>
          <w:b/>
          <w:sz w:val="22"/>
          <w:szCs w:val="22"/>
        </w:rPr>
        <w:t>06839/INFOEM/IP/RR/2025</w:t>
      </w:r>
      <w:r w:rsidRPr="00F74C2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F74C21">
        <w:rPr>
          <w:rFonts w:ascii="Palatino Linotype" w:eastAsia="Palatino Linotype" w:hAnsi="Palatino Linotype" w:cs="Palatino Linotype"/>
          <w:b/>
          <w:sz w:val="22"/>
          <w:szCs w:val="22"/>
        </w:rPr>
        <w:t>Guadalupe Ramírez Peña</w:t>
      </w:r>
      <w:r w:rsidRPr="00F74C21">
        <w:rPr>
          <w:rFonts w:ascii="Palatino Linotype" w:eastAsia="Palatino Linotype" w:hAnsi="Palatino Linotype" w:cs="Palatino Linotype"/>
          <w:sz w:val="22"/>
          <w:szCs w:val="22"/>
        </w:rPr>
        <w:t>, para su análisis, estudio, elaboración del proyecto y presentación ante el Pleno de este Instituto.</w:t>
      </w:r>
    </w:p>
    <w:p w:rsidR="000E204A" w:rsidRPr="00F74C21" w:rsidRDefault="000E204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0E204A" w:rsidRPr="00F74C21" w:rsidRDefault="00B16AE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3" w:name="_heading=h.gjdgxs" w:colFirst="0" w:colLast="0"/>
      <w:bookmarkEnd w:id="3"/>
      <w:r w:rsidRPr="00F74C21">
        <w:rPr>
          <w:rFonts w:ascii="Palatino Linotype" w:eastAsia="Palatino Linotype" w:hAnsi="Palatino Linotype" w:cs="Palatino Linotype"/>
          <w:b/>
          <w:sz w:val="22"/>
          <w:szCs w:val="22"/>
        </w:rPr>
        <w:t xml:space="preserve">Admisión del recurso de revisión: </w:t>
      </w:r>
      <w:r w:rsidRPr="00F74C21">
        <w:rPr>
          <w:rFonts w:ascii="Palatino Linotype" w:eastAsia="Palatino Linotype" w:hAnsi="Palatino Linotype" w:cs="Palatino Linotype"/>
          <w:sz w:val="22"/>
          <w:szCs w:val="22"/>
        </w:rPr>
        <w:t xml:space="preserve">En fecha </w:t>
      </w:r>
      <w:r w:rsidRPr="00F74C21">
        <w:rPr>
          <w:rFonts w:ascii="Palatino Linotype" w:eastAsia="Palatino Linotype" w:hAnsi="Palatino Linotype" w:cs="Palatino Linotype"/>
          <w:b/>
          <w:sz w:val="22"/>
          <w:szCs w:val="22"/>
        </w:rPr>
        <w:t>dieciséis de junio de dos mil veinticinco</w:t>
      </w:r>
      <w:r w:rsidRPr="00F74C21">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presentara su informe justificado.</w:t>
      </w:r>
    </w:p>
    <w:p w:rsidR="000E204A" w:rsidRPr="00F74C21" w:rsidRDefault="000E204A">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0E204A" w:rsidRPr="00F74C21" w:rsidRDefault="00B16AED">
      <w:pPr>
        <w:numPr>
          <w:ilvl w:val="0"/>
          <w:numId w:val="1"/>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Manifestaciones</w:t>
      </w:r>
      <w:r w:rsidRPr="00F74C21">
        <w:rPr>
          <w:rFonts w:ascii="Palatino Linotype" w:eastAsia="Palatino Linotype" w:hAnsi="Palatino Linotype" w:cs="Palatino Linotype"/>
          <w:sz w:val="22"/>
          <w:szCs w:val="22"/>
        </w:rPr>
        <w:t>: De las constancias que obran en el expediente electrónico del SAIMEX se desprende que el Sujeto Obligado no rindió su informe justificado, del mismo modo la parte Recurrente omitió realizar manifestaciones, como se observa a continuación</w:t>
      </w:r>
    </w:p>
    <w:p w:rsidR="000E204A" w:rsidRPr="00F74C21" w:rsidRDefault="00B16AE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37AF74DA" wp14:editId="6122A9A2">
            <wp:extent cx="5612130" cy="1242060"/>
            <wp:effectExtent l="0" t="0" r="0" b="0"/>
            <wp:docPr id="2086326279" name="image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Tabla&#10;&#10;El contenido generado por IA puede ser incorrecto."/>
                    <pic:cNvPicPr preferRelativeResize="0"/>
                  </pic:nvPicPr>
                  <pic:blipFill>
                    <a:blip r:embed="rId9"/>
                    <a:srcRect/>
                    <a:stretch>
                      <a:fillRect/>
                    </a:stretch>
                  </pic:blipFill>
                  <pic:spPr>
                    <a:xfrm>
                      <a:off x="0" y="0"/>
                      <a:ext cx="5612130" cy="1242060"/>
                    </a:xfrm>
                    <a:prstGeom prst="rect">
                      <a:avLst/>
                    </a:prstGeom>
                    <a:ln/>
                  </pic:spPr>
                </pic:pic>
              </a:graphicData>
            </a:graphic>
          </wp:inline>
        </w:drawing>
      </w:r>
    </w:p>
    <w:p w:rsidR="000E204A" w:rsidRPr="00F74C21" w:rsidRDefault="000E204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0E204A" w:rsidRPr="00F74C21" w:rsidRDefault="00B16AED">
      <w:pPr>
        <w:widowControl w:val="0"/>
        <w:numPr>
          <w:ilvl w:val="0"/>
          <w:numId w:val="9"/>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Ampliación de plazo: </w:t>
      </w:r>
      <w:r w:rsidRPr="00F74C21">
        <w:rPr>
          <w:rFonts w:ascii="Palatino Linotype" w:eastAsia="Palatino Linotype" w:hAnsi="Palatino Linotype" w:cs="Palatino Linotype"/>
          <w:sz w:val="22"/>
          <w:szCs w:val="22"/>
        </w:rPr>
        <w:t>El</w:t>
      </w:r>
      <w:r w:rsidRPr="00F74C21">
        <w:rPr>
          <w:rFonts w:ascii="Palatino Linotype" w:eastAsia="Palatino Linotype" w:hAnsi="Palatino Linotype" w:cs="Palatino Linotype"/>
          <w:b/>
          <w:sz w:val="22"/>
          <w:szCs w:val="22"/>
        </w:rPr>
        <w:t xml:space="preserve"> treinta de septiembre de dos mil veinticinco, </w:t>
      </w:r>
      <w:r w:rsidRPr="00F74C21">
        <w:rPr>
          <w:rFonts w:ascii="Palatino Linotype" w:eastAsia="Palatino Linotype" w:hAnsi="Palatino Linotype" w:cs="Palatino Linotype"/>
          <w:sz w:val="22"/>
          <w:szCs w:val="22"/>
        </w:rPr>
        <w:t>con fundamento en el artículo 181, párrafo tercero de la Ley de Transparencia y Acceso a la Información Pública del Estado de México y Municipios, se acordó la ampliación del plazo para su resolución.</w:t>
      </w:r>
    </w:p>
    <w:p w:rsidR="000E204A" w:rsidRPr="00F74C21" w:rsidRDefault="000E204A">
      <w:pPr>
        <w:widowControl w:val="0"/>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 </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 </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tabs>
          <w:tab w:val="left" w:pos="709"/>
        </w:tabs>
        <w:spacing w:line="360" w:lineRule="auto"/>
        <w:ind w:left="567" w:right="56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a)    Complejidad del asunto:</w:t>
      </w:r>
      <w:r w:rsidRPr="00F74C2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rsidR="000E204A" w:rsidRPr="00F74C21" w:rsidRDefault="00B16AED">
      <w:pPr>
        <w:tabs>
          <w:tab w:val="left" w:pos="709"/>
        </w:tabs>
        <w:spacing w:line="360" w:lineRule="auto"/>
        <w:ind w:left="567" w:right="56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b)   Actividad Procesal del interesado</w:t>
      </w:r>
      <w:r w:rsidRPr="00F74C21">
        <w:rPr>
          <w:rFonts w:ascii="Palatino Linotype" w:eastAsia="Palatino Linotype" w:hAnsi="Palatino Linotype" w:cs="Palatino Linotype"/>
          <w:sz w:val="22"/>
          <w:szCs w:val="22"/>
        </w:rPr>
        <w:t>: Acciones u omisiones del interesado.</w:t>
      </w:r>
    </w:p>
    <w:p w:rsidR="000E204A" w:rsidRPr="00F74C21" w:rsidRDefault="00B16AED">
      <w:pPr>
        <w:tabs>
          <w:tab w:val="left" w:pos="851"/>
        </w:tabs>
        <w:spacing w:line="360" w:lineRule="auto"/>
        <w:ind w:left="567" w:right="56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c)  Conducta de la Autoridad:</w:t>
      </w:r>
      <w:r w:rsidRPr="00F74C2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0E204A" w:rsidRPr="00F74C21" w:rsidRDefault="00B16AED">
      <w:pPr>
        <w:tabs>
          <w:tab w:val="left" w:pos="851"/>
        </w:tabs>
        <w:spacing w:line="360" w:lineRule="auto"/>
        <w:ind w:left="567" w:right="56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d) La afectación generada en la situación jurídica de la persona involucrada en el proceso:</w:t>
      </w:r>
      <w:r w:rsidRPr="00F74C21">
        <w:rPr>
          <w:rFonts w:ascii="Palatino Linotype" w:eastAsia="Palatino Linotype" w:hAnsi="Palatino Linotype" w:cs="Palatino Linotype"/>
          <w:sz w:val="22"/>
          <w:szCs w:val="22"/>
        </w:rPr>
        <w:t xml:space="preserve"> Violación a sus derechos humanos.</w:t>
      </w:r>
    </w:p>
    <w:p w:rsidR="000E204A" w:rsidRPr="00F74C21" w:rsidRDefault="000E204A">
      <w:pPr>
        <w:tabs>
          <w:tab w:val="left" w:pos="851"/>
        </w:tabs>
        <w:spacing w:line="360" w:lineRule="auto"/>
        <w:ind w:left="567" w:right="560"/>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 </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F74C21">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F74C21">
        <w:rPr>
          <w:rFonts w:ascii="Palatino Linotype" w:eastAsia="Palatino Linotype" w:hAnsi="Palatino Linotype" w:cs="Palatino Linotype"/>
          <w:sz w:val="22"/>
          <w:szCs w:val="22"/>
        </w:rPr>
        <w:t>, visible en la Gaceta del Seminario Judicial de la Federación con el registro digital 205635.</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 </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 </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“PLAZO RAZONABLE PARA RESOLVER. DIMENSIÓN Y EFECTOS DE ESTE CONCEPTO CUANDO SE ADUCE EXCESIVA CARGA DE TRABAJO.”</w:t>
      </w:r>
      <w:r w:rsidRPr="00F74C21">
        <w:rPr>
          <w:rFonts w:ascii="Palatino Linotype" w:eastAsia="Palatino Linotype" w:hAnsi="Palatino Linotype" w:cs="Palatino Linotype"/>
          <w:i/>
          <w:sz w:val="22"/>
          <w:szCs w:val="22"/>
        </w:rPr>
        <w:t xml:space="preserve"> consultable en el Seminario Judicial de la Federación y su gaceta, con el registro digital 2002351.</w:t>
      </w:r>
    </w:p>
    <w:p w:rsidR="000E204A" w:rsidRPr="00F74C21" w:rsidRDefault="000E204A">
      <w:pPr>
        <w:spacing w:line="276" w:lineRule="auto"/>
        <w:ind w:left="851" w:right="616"/>
        <w:jc w:val="both"/>
        <w:rPr>
          <w:rFonts w:ascii="Palatino Linotype" w:eastAsia="Palatino Linotype" w:hAnsi="Palatino Linotype" w:cs="Palatino Linotype"/>
          <w:i/>
          <w:sz w:val="22"/>
          <w:szCs w:val="22"/>
        </w:rPr>
      </w:pPr>
    </w:p>
    <w:p w:rsidR="000E204A" w:rsidRPr="00F74C21" w:rsidRDefault="00B16AED">
      <w:pP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F74C21">
        <w:rPr>
          <w:rFonts w:ascii="Palatino Linotype" w:eastAsia="Palatino Linotype" w:hAnsi="Palatino Linotype" w:cs="Palatino Linotype"/>
          <w:i/>
          <w:sz w:val="22"/>
          <w:szCs w:val="22"/>
        </w:rPr>
        <w:t xml:space="preserve"> visible en el Seminario Judicial de la Federación y su gaceta, con el registro digital 2002350</w:t>
      </w:r>
      <w:r w:rsidRPr="00F74C21">
        <w:rPr>
          <w:rFonts w:ascii="Palatino Linotype" w:eastAsia="Palatino Linotype" w:hAnsi="Palatino Linotype" w:cs="Palatino Linotype"/>
          <w:sz w:val="22"/>
          <w:szCs w:val="22"/>
        </w:rPr>
        <w:t>.</w:t>
      </w:r>
    </w:p>
    <w:p w:rsidR="000E204A" w:rsidRPr="00F74C21" w:rsidRDefault="000E204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rsidR="000E204A" w:rsidRPr="00F74C21" w:rsidRDefault="000E204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0E204A" w:rsidRPr="00F74C21" w:rsidRDefault="00B16AED">
      <w:pPr>
        <w:numPr>
          <w:ilvl w:val="0"/>
          <w:numId w:val="10"/>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Cierre de instrucción. </w:t>
      </w:r>
      <w:r w:rsidRPr="00F74C21">
        <w:rPr>
          <w:rFonts w:ascii="Palatino Linotype" w:eastAsia="Palatino Linotype" w:hAnsi="Palatino Linotype" w:cs="Palatino Linotype"/>
          <w:sz w:val="22"/>
          <w:szCs w:val="22"/>
        </w:rPr>
        <w:t xml:space="preserve">El </w:t>
      </w:r>
      <w:r w:rsidRPr="00F74C21">
        <w:rPr>
          <w:rFonts w:ascii="Palatino Linotype" w:eastAsia="Palatino Linotype" w:hAnsi="Palatino Linotype" w:cs="Palatino Linotype"/>
          <w:b/>
          <w:sz w:val="22"/>
          <w:szCs w:val="22"/>
        </w:rPr>
        <w:t>treinta de septiembre de dos mil veinticinco</w:t>
      </w:r>
      <w:r w:rsidRPr="00F74C2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0E204A" w:rsidRPr="00F74C21" w:rsidRDefault="000E204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0E204A" w:rsidRPr="00F74C21" w:rsidRDefault="00B16AED">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4" w:name="_heading=h.30j0zll" w:colFirst="0" w:colLast="0"/>
      <w:bookmarkEnd w:id="4"/>
      <w:r w:rsidRPr="00F74C21">
        <w:rPr>
          <w:rFonts w:ascii="Palatino Linotype" w:eastAsia="Palatino Linotype" w:hAnsi="Palatino Linotype" w:cs="Palatino Linotype"/>
          <w:b/>
          <w:sz w:val="22"/>
          <w:szCs w:val="22"/>
        </w:rPr>
        <w:t>C O N S I D E R A N D O:</w:t>
      </w:r>
    </w:p>
    <w:p w:rsidR="000E204A" w:rsidRPr="00F74C21" w:rsidRDefault="000E204A">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Primero. Competencia. </w:t>
      </w:r>
      <w:r w:rsidRPr="00F74C21">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E204A" w:rsidRPr="00F74C21" w:rsidRDefault="000E204A">
      <w:pPr>
        <w:spacing w:line="360" w:lineRule="auto"/>
        <w:jc w:val="both"/>
        <w:rPr>
          <w:rFonts w:ascii="Palatino Linotype" w:eastAsia="Palatino Linotype" w:hAnsi="Palatino Linotype" w:cs="Palatino Linotype"/>
          <w:b/>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Segundo. Oportunidad y Procedibilidad del Recurso de Revisión</w:t>
      </w:r>
      <w:r w:rsidRPr="00F74C21">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proporcionó su respuesta a la solicitud de información el </w:t>
      </w:r>
      <w:r w:rsidRPr="00F74C21">
        <w:rPr>
          <w:rFonts w:ascii="Palatino Linotype" w:eastAsia="Palatino Linotype" w:hAnsi="Palatino Linotype" w:cs="Palatino Linotype"/>
          <w:b/>
          <w:sz w:val="22"/>
          <w:szCs w:val="22"/>
        </w:rPr>
        <w:t>veintisiete de mayo de dos mil veinticinco</w:t>
      </w:r>
      <w:r w:rsidRPr="00F74C21">
        <w:rPr>
          <w:rFonts w:ascii="Palatino Linotype" w:eastAsia="Palatino Linotype" w:hAnsi="Palatino Linotype" w:cs="Palatino Linotype"/>
          <w:sz w:val="22"/>
          <w:szCs w:val="22"/>
        </w:rPr>
        <w:t xml:space="preserve">, y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presentó su recurso de revisión el </w:t>
      </w:r>
      <w:r w:rsidRPr="00F74C21">
        <w:rPr>
          <w:rFonts w:ascii="Palatino Linotype" w:eastAsia="Palatino Linotype" w:hAnsi="Palatino Linotype" w:cs="Palatino Linotype"/>
          <w:b/>
          <w:sz w:val="22"/>
          <w:szCs w:val="22"/>
        </w:rPr>
        <w:t>once de junio de dos mil veinticinco</w:t>
      </w:r>
      <w:r w:rsidRPr="00F74C21">
        <w:rPr>
          <w:rFonts w:ascii="Palatino Linotype" w:eastAsia="Palatino Linotype" w:hAnsi="Palatino Linotype" w:cs="Palatino Linotype"/>
          <w:sz w:val="22"/>
          <w:szCs w:val="22"/>
        </w:rPr>
        <w:t>;</w:t>
      </w:r>
      <w:r w:rsidRPr="00F74C21">
        <w:rPr>
          <w:rFonts w:ascii="Palatino Linotype" w:eastAsia="Palatino Linotype" w:hAnsi="Palatino Linotype" w:cs="Palatino Linotype"/>
          <w:b/>
          <w:sz w:val="22"/>
          <w:szCs w:val="22"/>
        </w:rPr>
        <w:t xml:space="preserve"> </w:t>
      </w:r>
      <w:r w:rsidRPr="00F74C21">
        <w:rPr>
          <w:rFonts w:ascii="Palatino Linotype" w:eastAsia="Palatino Linotype" w:hAnsi="Palatino Linotype" w:cs="Palatino Linotype"/>
          <w:sz w:val="22"/>
          <w:szCs w:val="22"/>
        </w:rPr>
        <w:t xml:space="preserve">esto es el décimo primer día hábil en que tuvo conocimiento de la respuesta. </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Asimismo, por cuanto hace a la procedibilidad del recurso de revisión, es de suma importancia señalar que la parte</w:t>
      </w:r>
      <w:r w:rsidRPr="00F74C21">
        <w:rPr>
          <w:rFonts w:ascii="Palatino Linotype" w:eastAsia="Palatino Linotype" w:hAnsi="Palatino Linotype" w:cs="Palatino Linotype"/>
          <w:b/>
          <w:sz w:val="22"/>
          <w:szCs w:val="22"/>
        </w:rPr>
        <w:t xml:space="preserve"> Recurrente</w:t>
      </w:r>
      <w:r w:rsidRPr="00F74C21">
        <w:rPr>
          <w:rFonts w:ascii="Palatino Linotype" w:eastAsia="Palatino Linotype" w:hAnsi="Palatino Linotype" w:cs="Palatino Linotype"/>
          <w:sz w:val="22"/>
          <w:szCs w:val="22"/>
        </w:rPr>
        <w:t>,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"Las </w:t>
      </w:r>
      <w:r w:rsidRPr="00F74C21">
        <w:rPr>
          <w:rFonts w:ascii="Palatino Linotype" w:eastAsia="Palatino Linotype" w:hAnsi="Palatino Linotype" w:cs="Palatino Linotype"/>
          <w:b/>
          <w:i/>
          <w:sz w:val="22"/>
          <w:szCs w:val="22"/>
        </w:rPr>
        <w:t>solicitudes anónimas</w:t>
      </w:r>
      <w:r w:rsidRPr="00F74C21">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rsidR="000E204A" w:rsidRPr="00F74C21" w:rsidRDefault="000E204A">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rsidR="000E204A" w:rsidRPr="00F74C21" w:rsidRDefault="000E204A">
      <w:pPr>
        <w:spacing w:line="276" w:lineRule="auto"/>
        <w:ind w:left="851" w:right="616"/>
        <w:jc w:val="both"/>
        <w:rPr>
          <w:rFonts w:ascii="Palatino Linotype" w:eastAsia="Palatino Linotype" w:hAnsi="Palatino Linotype" w:cs="Palatino Linotype"/>
          <w:i/>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 xml:space="preserve">Artículo 179. </w:t>
      </w:r>
      <w:r w:rsidRPr="00F74C2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 La negativa a la información solicitada;</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 </w:t>
      </w:r>
    </w:p>
    <w:p w:rsidR="000E204A" w:rsidRPr="00F74C21" w:rsidRDefault="000E204A">
      <w:pPr>
        <w:spacing w:line="360" w:lineRule="auto"/>
        <w:ind w:left="567" w:right="616"/>
        <w:jc w:val="both"/>
        <w:rPr>
          <w:rFonts w:ascii="Palatino Linotype" w:eastAsia="Palatino Linotype" w:hAnsi="Palatino Linotype" w:cs="Palatino Linotype"/>
          <w:i/>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Tercero. Materia de Revisión</w:t>
      </w:r>
      <w:r w:rsidRPr="00F74C21">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Cuarto. Estudio de fondo del asunto. </w:t>
      </w:r>
      <w:r w:rsidRPr="00F74C21">
        <w:rPr>
          <w:rFonts w:ascii="Palatino Linotype" w:eastAsia="Palatino Linotype" w:hAnsi="Palatino Linotype" w:cs="Palatino Linotype"/>
          <w:sz w:val="22"/>
          <w:szCs w:val="22"/>
        </w:rPr>
        <w:t xml:space="preserve">Es conveniente analizar si la respuesta e informe justificado rendido por el </w:t>
      </w:r>
      <w:r w:rsidRPr="00F74C21">
        <w:rPr>
          <w:rFonts w:ascii="Palatino Linotype" w:eastAsia="Palatino Linotype" w:hAnsi="Palatino Linotype" w:cs="Palatino Linotype"/>
          <w:b/>
          <w:sz w:val="22"/>
          <w:szCs w:val="22"/>
        </w:rPr>
        <w:t xml:space="preserve">Sujeto Obligado </w:t>
      </w:r>
      <w:r w:rsidRPr="00F74C21">
        <w:rPr>
          <w:rFonts w:ascii="Palatino Linotype" w:eastAsia="Palatino Linotype" w:hAnsi="Palatino Linotype" w:cs="Palatino Linotype"/>
          <w:sz w:val="22"/>
          <w:szCs w:val="22"/>
        </w:rPr>
        <w:t>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tabs>
          <w:tab w:val="left" w:pos="85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Artículo 4</w:t>
      </w:r>
      <w:r w:rsidRPr="00F74C2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E204A" w:rsidRPr="00F74C21" w:rsidRDefault="00B16AED">
      <w:pPr>
        <w:tabs>
          <w:tab w:val="left" w:pos="85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74C2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E204A" w:rsidRPr="00F74C21" w:rsidRDefault="00B16AED">
      <w:pPr>
        <w:tabs>
          <w:tab w:val="left" w:pos="85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74C21">
        <w:rPr>
          <w:rFonts w:ascii="Palatino Linotype" w:eastAsia="Palatino Linotype" w:hAnsi="Palatino Linotype" w:cs="Palatino Linotype"/>
          <w:i/>
          <w:sz w:val="22"/>
          <w:szCs w:val="22"/>
        </w:rPr>
        <w:t>.”(Sic)</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E204A" w:rsidRPr="00F74C21" w:rsidRDefault="000E204A">
      <w:pPr>
        <w:spacing w:line="276" w:lineRule="auto"/>
        <w:ind w:left="567" w:right="616"/>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Artículo 12.-</w:t>
      </w:r>
      <w:r w:rsidRPr="00F74C2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0E204A" w:rsidRPr="00F74C21" w:rsidRDefault="000E204A">
      <w:pPr>
        <w:spacing w:line="276" w:lineRule="auto"/>
        <w:ind w:left="851" w:right="616"/>
        <w:jc w:val="both"/>
        <w:rPr>
          <w:rFonts w:ascii="Palatino Linotype" w:eastAsia="Palatino Linotype" w:hAnsi="Palatino Linotype" w:cs="Palatino Linotype"/>
          <w:i/>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74C21">
        <w:rPr>
          <w:rFonts w:ascii="Palatino Linotype" w:eastAsia="Palatino Linotype" w:hAnsi="Palatino Linotype" w:cs="Palatino Linotype"/>
          <w:i/>
          <w:sz w:val="22"/>
          <w:szCs w:val="22"/>
        </w:rPr>
        <w:t xml:space="preserve">. </w:t>
      </w:r>
      <w:r w:rsidRPr="00F74C2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F74C21">
        <w:rPr>
          <w:rFonts w:ascii="Palatino Linotype" w:eastAsia="Palatino Linotype" w:hAnsi="Palatino Linotype" w:cs="Palatino Linotype"/>
          <w:i/>
          <w:sz w:val="22"/>
          <w:szCs w:val="22"/>
        </w:rPr>
        <w:t xml:space="preserve">.” </w:t>
      </w:r>
    </w:p>
    <w:p w:rsidR="000E204A" w:rsidRPr="00F74C21" w:rsidRDefault="000E204A">
      <w:pPr>
        <w:spacing w:line="360" w:lineRule="auto"/>
        <w:ind w:right="-93"/>
        <w:jc w:val="both"/>
        <w:rPr>
          <w:rFonts w:ascii="Palatino Linotype" w:eastAsia="Palatino Linotype" w:hAnsi="Palatino Linotype" w:cs="Palatino Linotype"/>
          <w:sz w:val="22"/>
          <w:szCs w:val="22"/>
        </w:rPr>
      </w:pPr>
    </w:p>
    <w:p w:rsidR="000E204A" w:rsidRPr="00F74C21" w:rsidRDefault="00B16AED">
      <w:pPr>
        <w:spacing w:line="360" w:lineRule="auto"/>
        <w:ind w:right="-93"/>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E204A" w:rsidRPr="00F74C21" w:rsidRDefault="000E204A">
      <w:pPr>
        <w:spacing w:line="360" w:lineRule="auto"/>
        <w:ind w:right="-93"/>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F74C21">
        <w:rPr>
          <w:rFonts w:ascii="Palatino Linotype" w:eastAsia="Palatino Linotype" w:hAnsi="Palatino Linotype" w:cs="Palatino Linotype"/>
          <w:b/>
          <w:sz w:val="22"/>
          <w:szCs w:val="22"/>
        </w:rPr>
        <w:t xml:space="preserve"> </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No existe obligación de elaborar documentos ad hoc para atender las solicitudes de acceso a la información.</w:t>
      </w:r>
      <w:r w:rsidRPr="00F74C2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E204A" w:rsidRPr="00F74C21" w:rsidRDefault="000E204A">
      <w:pPr>
        <w:spacing w:line="276" w:lineRule="auto"/>
        <w:ind w:left="567" w:right="616"/>
        <w:jc w:val="both"/>
        <w:rPr>
          <w:rFonts w:ascii="Palatino Linotype" w:eastAsia="Palatino Linotype" w:hAnsi="Palatino Linotype" w:cs="Palatino Linotype"/>
          <w:i/>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 xml:space="preserve">Artículo 3. </w:t>
      </w:r>
      <w:r w:rsidRPr="00F74C21">
        <w:rPr>
          <w:rFonts w:ascii="Palatino Linotype" w:eastAsia="Palatino Linotype" w:hAnsi="Palatino Linotype" w:cs="Palatino Linotype"/>
          <w:i/>
          <w:sz w:val="22"/>
          <w:szCs w:val="22"/>
        </w:rPr>
        <w:t>Para los efectos de la presente Ley se entenderá por:</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XI. Documento:</w:t>
      </w:r>
      <w:r w:rsidRPr="00F74C21">
        <w:rPr>
          <w:rFonts w:ascii="Palatino Linotype" w:eastAsia="Palatino Linotype" w:hAnsi="Palatino Linotype" w:cs="Palatino Linotype"/>
          <w:i/>
          <w:sz w:val="22"/>
          <w:szCs w:val="22"/>
        </w:rPr>
        <w:t xml:space="preserve"> Los expedientes, reportes, estudios, actas</w:t>
      </w:r>
      <w:r w:rsidRPr="00F74C21">
        <w:rPr>
          <w:rFonts w:ascii="Palatino Linotype" w:eastAsia="Palatino Linotype" w:hAnsi="Palatino Linotype" w:cs="Palatino Linotype"/>
          <w:b/>
          <w:i/>
          <w:sz w:val="22"/>
          <w:szCs w:val="22"/>
        </w:rPr>
        <w:t>,</w:t>
      </w:r>
      <w:r w:rsidRPr="00F74C2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E204A" w:rsidRPr="00F74C21" w:rsidRDefault="000E204A">
      <w:pPr>
        <w:spacing w:line="360" w:lineRule="auto"/>
        <w:ind w:left="851" w:right="899"/>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E204A" w:rsidRPr="00F74C21" w:rsidRDefault="000E204A">
      <w:pPr>
        <w:spacing w:line="360" w:lineRule="auto"/>
        <w:ind w:left="851" w:right="899"/>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b/>
          <w:i/>
          <w:sz w:val="22"/>
          <w:szCs w:val="22"/>
        </w:rPr>
      </w:pPr>
      <w:r w:rsidRPr="00F74C21">
        <w:rPr>
          <w:rFonts w:ascii="Palatino Linotype" w:eastAsia="Palatino Linotype" w:hAnsi="Palatino Linotype" w:cs="Palatino Linotype"/>
          <w:b/>
          <w:sz w:val="22"/>
          <w:szCs w:val="22"/>
        </w:rPr>
        <w:t>“</w:t>
      </w:r>
      <w:r w:rsidRPr="00F74C2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F74C2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0E204A" w:rsidRPr="00F74C21" w:rsidRDefault="00B16AED">
      <w:pPr>
        <w:spacing w:line="276" w:lineRule="auto"/>
        <w:ind w:left="851" w:right="616"/>
        <w:jc w:val="both"/>
        <w:rPr>
          <w:rFonts w:ascii="Palatino Linotype" w:eastAsia="Palatino Linotype" w:hAnsi="Palatino Linotype" w:cs="Palatino Linotype"/>
          <w:b/>
          <w:i/>
          <w:sz w:val="22"/>
          <w:szCs w:val="22"/>
        </w:rPr>
      </w:pPr>
      <w:r w:rsidRPr="00F74C2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0E204A" w:rsidRPr="00F74C21" w:rsidRDefault="00B16AED">
      <w:pPr>
        <w:spacing w:line="276" w:lineRule="auto"/>
        <w:ind w:left="851" w:right="616"/>
        <w:jc w:val="both"/>
        <w:rPr>
          <w:rFonts w:ascii="Palatino Linotype" w:eastAsia="Palatino Linotype" w:hAnsi="Palatino Linotype" w:cs="Palatino Linotype"/>
          <w:b/>
          <w:i/>
          <w:sz w:val="22"/>
          <w:szCs w:val="22"/>
        </w:rPr>
      </w:pPr>
      <w:r w:rsidRPr="00F74C2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E204A" w:rsidRPr="00F74C21" w:rsidRDefault="00B16AED">
      <w:pPr>
        <w:spacing w:line="360" w:lineRule="auto"/>
        <w:ind w:right="51"/>
        <w:jc w:val="both"/>
        <w:rPr>
          <w:rFonts w:ascii="Palatino Linotype" w:eastAsia="Palatino Linotype" w:hAnsi="Palatino Linotype" w:cs="Palatino Linotype"/>
          <w:sz w:val="22"/>
          <w:szCs w:val="22"/>
        </w:rPr>
      </w:pPr>
      <w:bookmarkStart w:id="5" w:name="_heading=h.eucswkg4ewx" w:colFirst="0" w:colLast="0"/>
      <w:bookmarkEnd w:id="5"/>
      <w:r w:rsidRPr="00F74C21">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requirió al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del dos mil veintiuno al dos mil veintitrés, la siguiente información: </w:t>
      </w:r>
    </w:p>
    <w:p w:rsidR="000E204A" w:rsidRPr="00F74C21" w:rsidRDefault="000E204A">
      <w:pPr>
        <w:spacing w:line="360" w:lineRule="auto"/>
        <w:ind w:right="51"/>
        <w:jc w:val="both"/>
        <w:rPr>
          <w:rFonts w:ascii="Palatino Linotype" w:eastAsia="Palatino Linotype" w:hAnsi="Palatino Linotype" w:cs="Palatino Linotype"/>
          <w:sz w:val="22"/>
          <w:szCs w:val="22"/>
        </w:rPr>
      </w:pPr>
    </w:p>
    <w:p w:rsidR="000E204A" w:rsidRPr="00F74C21" w:rsidRDefault="00B16AED">
      <w:pPr>
        <w:numPr>
          <w:ilvl w:val="0"/>
          <w:numId w:val="5"/>
        </w:numPr>
        <w:pBdr>
          <w:top w:val="nil"/>
          <w:left w:val="nil"/>
          <w:bottom w:val="nil"/>
          <w:right w:val="nil"/>
          <w:between w:val="nil"/>
        </w:pBdr>
        <w:spacing w:line="360" w:lineRule="auto"/>
        <w:ind w:right="616"/>
        <w:jc w:val="both"/>
        <w:rPr>
          <w:rFonts w:ascii="Palatino Linotype" w:eastAsia="Palatino Linotype" w:hAnsi="Palatino Linotype" w:cs="Palatino Linotype"/>
          <w:b/>
          <w:sz w:val="22"/>
          <w:szCs w:val="22"/>
        </w:rPr>
      </w:pPr>
      <w:bookmarkStart w:id="6" w:name="_heading=h.zjmucu7puwl" w:colFirst="0" w:colLast="0"/>
      <w:bookmarkEnd w:id="6"/>
      <w:r w:rsidRPr="00F74C21">
        <w:rPr>
          <w:rFonts w:ascii="Palatino Linotype" w:eastAsia="Palatino Linotype" w:hAnsi="Palatino Linotype" w:cs="Palatino Linotype"/>
          <w:b/>
          <w:sz w:val="22"/>
          <w:szCs w:val="22"/>
        </w:rPr>
        <w:t>Dictamen técnico que justifique cada partida presupuestal con subejercicio mayor al 15%, indicando si fue por planeación deficiente, falta de ejecución, bloqueo político o estrategia de reasignación.</w:t>
      </w:r>
    </w:p>
    <w:p w:rsidR="000E204A" w:rsidRPr="00F74C21" w:rsidRDefault="000E204A">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En tal sentido, el </w:t>
      </w:r>
      <w:r w:rsidRPr="00F74C21">
        <w:rPr>
          <w:rFonts w:ascii="Palatino Linotype" w:eastAsia="Palatino Linotype" w:hAnsi="Palatino Linotype" w:cs="Palatino Linotype"/>
          <w:b/>
          <w:sz w:val="22"/>
          <w:szCs w:val="22"/>
        </w:rPr>
        <w:t xml:space="preserve">Sujeto Obligado </w:t>
      </w:r>
      <w:r w:rsidRPr="00F74C21">
        <w:rPr>
          <w:rFonts w:ascii="Palatino Linotype" w:eastAsia="Palatino Linotype" w:hAnsi="Palatino Linotype" w:cs="Palatino Linotype"/>
          <w:sz w:val="22"/>
          <w:szCs w:val="22"/>
        </w:rPr>
        <w:t xml:space="preserve">a través de la Titular de la Unidad de Información, Planeación, Programación y Evaluación informó que de acuerdo con sus funciones no realiza </w:t>
      </w:r>
      <w:r w:rsidRPr="00F74C21">
        <w:rPr>
          <w:rFonts w:ascii="Palatino Linotype" w:eastAsia="Palatino Linotype" w:hAnsi="Palatino Linotype" w:cs="Palatino Linotype"/>
          <w:i/>
          <w:sz w:val="22"/>
          <w:szCs w:val="22"/>
        </w:rPr>
        <w:t>“dictámenes técnicos de las partidas presupuestales con subejercicios</w:t>
      </w:r>
      <w:r w:rsidRPr="00F74C21">
        <w:rPr>
          <w:rFonts w:ascii="Palatino Linotype" w:eastAsia="Palatino Linotype" w:hAnsi="Palatino Linotype" w:cs="Palatino Linotype"/>
          <w:sz w:val="22"/>
          <w:szCs w:val="22"/>
        </w:rPr>
        <w:t xml:space="preserve">”, sin embargo, hace entrega de los siguientes formatos para los años 2021 al 2023: </w:t>
      </w:r>
    </w:p>
    <w:p w:rsidR="000E204A" w:rsidRPr="00F74C21" w:rsidRDefault="000E204A">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spacing w:line="360" w:lineRule="auto"/>
        <w:ind w:right="34"/>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09D28EE9" wp14:editId="6DC13910">
            <wp:extent cx="4599195" cy="959596"/>
            <wp:effectExtent l="0" t="0" r="0" b="0"/>
            <wp:docPr id="2086326281" name="image19.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9.png" descr="Texto&#10;&#10;El contenido generado por IA puede ser incorrecto."/>
                    <pic:cNvPicPr preferRelativeResize="0"/>
                  </pic:nvPicPr>
                  <pic:blipFill>
                    <a:blip r:embed="rId10"/>
                    <a:srcRect/>
                    <a:stretch>
                      <a:fillRect/>
                    </a:stretch>
                  </pic:blipFill>
                  <pic:spPr>
                    <a:xfrm>
                      <a:off x="0" y="0"/>
                      <a:ext cx="4599195" cy="959596"/>
                    </a:xfrm>
                    <a:prstGeom prst="rect">
                      <a:avLst/>
                    </a:prstGeom>
                    <a:ln/>
                  </pic:spPr>
                </pic:pic>
              </a:graphicData>
            </a:graphic>
          </wp:inline>
        </w:drawing>
      </w:r>
    </w:p>
    <w:p w:rsidR="000E204A" w:rsidRPr="00F74C21" w:rsidRDefault="000E204A">
      <w:pPr>
        <w:pBdr>
          <w:top w:val="nil"/>
          <w:left w:val="nil"/>
          <w:bottom w:val="nil"/>
          <w:right w:val="nil"/>
          <w:between w:val="nil"/>
        </w:pBdr>
        <w:spacing w:line="360" w:lineRule="auto"/>
        <w:ind w:right="34"/>
        <w:jc w:val="center"/>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Por lo que respecta a la Tesorería Municipal informó que después de una búsqueda razonable y exhaustiva dentro de sus archivos, no se encontró documental que refiera el dictamen técnico que justifique cada partida presupuestal, dejando claro que no genera o administra algún soporte documental por no existir y por lo tanto no hay documental por entregar. </w:t>
      </w:r>
    </w:p>
    <w:p w:rsidR="000E204A" w:rsidRPr="00F74C21" w:rsidRDefault="000E204A">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Conocida la respuesta por el particular y al no estar conforme con los términos de la misma, presentó el recurso de revisión que nos ocupa, mediante el cual se inconformó medularmente por la negativa a la información.</w:t>
      </w:r>
    </w:p>
    <w:p w:rsidR="000E204A" w:rsidRPr="00F74C21" w:rsidRDefault="000E204A">
      <w:pPr>
        <w:spacing w:line="360" w:lineRule="auto"/>
        <w:ind w:right="49"/>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Es así como, el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no realizó manifestaciones, alegatos o pruebas que a su derecho convinieran y por su parte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tampoco rindió su informe justificado.</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Derivado de esto, es de señalar que la controversia a dirimir en el presente asunto, se encuentra centrada en la negativa a la información declarada por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respecto al requerimiento de información realizado por la persona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en ese sentido, a efecto de garantizar el efectivo ejercicio del derecho de acceso a la información pública que asiste al particular, resulta conveniente entrar al estudio de las siguientes consideraciones de hecho y derecho: </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Primeramente conviene señalar que, de la lectura a la solicitud de información se aprecia que el particular requiere dictámenes técnicos que justifiquen las partidas presupuestales con subejercicio mayor al 15%, sin embargo, no se aprecia que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deba realizar dichos documentos en el ejercicio de sus funciones, atribuciones y competencias; no obstante, no debe pasar desapercibido que los artículos 13 y 181 penúltimo párrafo de la Ley de Transparencia y Acceso a la Información Pública del Estado de México y Municipios permite suplir la deficiencia a favor del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en el sentido de identificar el documento | emitidos por el entonces el Instituto Nacional de Transparencia, Acceso a la Información y Protección de Datos Personales, mismo que menciona lo siguiente:  </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Cuando en una solicitud de información no se identifique un documento en específico, si ésta tiene una expresión documental, el sujeto obligado deberá entregar al particular el documento en específico.</w:t>
      </w:r>
      <w:r w:rsidRPr="00F74C21">
        <w:rPr>
          <w:rFonts w:ascii="Palatino Linotype" w:eastAsia="Palatino Linotype" w:hAnsi="Palatino Linotype" w:cs="Palatino Linotype"/>
          <w:i/>
          <w:sz w:val="22"/>
          <w:szCs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w:t>
      </w:r>
      <w:r w:rsidRPr="00F74C21">
        <w:rPr>
          <w:rFonts w:ascii="Palatino Linotype" w:eastAsia="Palatino Linotype" w:hAnsi="Palatino Linotype" w:cs="Palatino Linotype"/>
          <w:b/>
          <w:i/>
          <w:sz w:val="22"/>
          <w:szCs w:val="22"/>
        </w:rPr>
        <w:t>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F74C21">
        <w:rPr>
          <w:rFonts w:ascii="Palatino Linotype" w:eastAsia="Palatino Linotype" w:hAnsi="Palatino Linotype" w:cs="Palatino Linotype"/>
          <w:i/>
          <w:sz w:val="22"/>
          <w:szCs w:val="22"/>
        </w:rPr>
        <w:t xml:space="preserve">. Es decir, si la respuesta a la solicitud obra en algún documento en poder de la autoridad, pero el particular no hace referencia específica a tal documento, se deberá hacer entrega del mismo al solicitante.” </w:t>
      </w:r>
    </w:p>
    <w:p w:rsidR="000E204A" w:rsidRPr="00F74C21" w:rsidRDefault="000E204A">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p>
    <w:p w:rsidR="000E204A" w:rsidRPr="00F74C21" w:rsidRDefault="00B16AE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Expresión documental. Cuando los particulares presenten solicitudes de acceso a la información sin identificar de forma precisa la documentación que pudiera contener la información de su interés</w:t>
      </w:r>
      <w:r w:rsidRPr="00F74C21">
        <w:rPr>
          <w:rFonts w:ascii="Palatino Linotype" w:eastAsia="Palatino Linotype" w:hAnsi="Palatino Linotype" w:cs="Palatino Linotype"/>
          <w:i/>
          <w:sz w:val="22"/>
          <w:szCs w:val="22"/>
        </w:rPr>
        <w:t xml:space="preserve">, o bien, la solicitud constituya una consulta, pero la respuesta pudiera obrar en algún documento en poder de los sujetos obligados, </w:t>
      </w:r>
      <w:r w:rsidRPr="00F74C21">
        <w:rPr>
          <w:rFonts w:ascii="Palatino Linotype" w:eastAsia="Palatino Linotype" w:hAnsi="Palatino Linotype" w:cs="Palatino Linotype"/>
          <w:b/>
          <w:i/>
          <w:sz w:val="22"/>
          <w:szCs w:val="22"/>
        </w:rPr>
        <w:t>éstos deben dar a dichas solicitudes una interpretación que les otorgue una expresión documental</w:t>
      </w:r>
      <w:r w:rsidRPr="00F74C21">
        <w:rPr>
          <w:rFonts w:ascii="Palatino Linotype" w:eastAsia="Palatino Linotype" w:hAnsi="Palatino Linotype" w:cs="Palatino Linotype"/>
          <w:i/>
          <w:sz w:val="22"/>
          <w:szCs w:val="22"/>
        </w:rPr>
        <w:t>.</w:t>
      </w:r>
    </w:p>
    <w:p w:rsidR="000E204A" w:rsidRPr="00F74C21" w:rsidRDefault="00B16AE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(Énfasis añadido</w:t>
      </w:r>
      <w:r w:rsidRPr="00F74C21">
        <w:rPr>
          <w:rFonts w:ascii="Palatino Linotype" w:eastAsia="Palatino Linotype" w:hAnsi="Palatino Linotype" w:cs="Palatino Linotype"/>
          <w:sz w:val="22"/>
          <w:szCs w:val="22"/>
        </w:rPr>
        <w:t>)</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Es por lo anterior que los Sujetos Obligados en la atención a las solicitudes, deben verificar si entre sus funciones, atribuciones y competencias generan documentos donde consta la información requerida por los particulares, cuando estos últimos no especifiquen un documento al que deseen tener acceso.</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Para ello, conviene recordar que en respuesta la Unidad de Información, Planeación, Programación y Evaluación informó que de acuerdo con sus funciones no realiza </w:t>
      </w:r>
      <w:r w:rsidRPr="00F74C21">
        <w:rPr>
          <w:rFonts w:ascii="Palatino Linotype" w:eastAsia="Palatino Linotype" w:hAnsi="Palatino Linotype" w:cs="Palatino Linotype"/>
          <w:i/>
          <w:sz w:val="22"/>
          <w:szCs w:val="22"/>
        </w:rPr>
        <w:t>“dictámenes técnicos de las partidas presupuestales con subejercicios”</w:t>
      </w:r>
      <w:r w:rsidRPr="00F74C21">
        <w:rPr>
          <w:rFonts w:ascii="Palatino Linotype" w:eastAsia="Palatino Linotype" w:hAnsi="Palatino Linotype" w:cs="Palatino Linotype"/>
          <w:sz w:val="22"/>
          <w:szCs w:val="22"/>
        </w:rPr>
        <w:t xml:space="preserve">, sin embargo, hace entrega de los formatos que integran el Programa Operativo Anual para los años 2021, 2022 y 2023, mismos que permiten la evaluación programática y presupuestal del ejercicio del gasto, en términos de resultados cualitativos, como cuantitativos. </w:t>
      </w:r>
    </w:p>
    <w:p w:rsidR="000E204A" w:rsidRPr="00F74C21" w:rsidRDefault="000E204A">
      <w:pPr>
        <w:rPr>
          <w:rFonts w:ascii="Palatino Linotype" w:eastAsia="Palatino Linotype" w:hAnsi="Palatino Linotype" w:cs="Palatino Linotype"/>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Además, resulta necesario precisar que conforme al Manual para la Planeación, Programación y Presupuesto de Egresos Municipal para el Ejercicio Fiscal dos mil veintidós, el Programa Operativo Anual, también llamado “POA”, se conforma de diversos formatos, a saber, los siguientes:</w:t>
      </w:r>
    </w:p>
    <w:p w:rsidR="000E204A" w:rsidRPr="00F74C21" w:rsidRDefault="000E204A">
      <w:pPr>
        <w:rPr>
          <w:rFonts w:ascii="Palatino Linotype" w:eastAsia="Palatino Linotype" w:hAnsi="Palatino Linotype" w:cs="Palatino Linotype"/>
          <w:sz w:val="22"/>
          <w:szCs w:val="22"/>
        </w:rPr>
      </w:pPr>
    </w:p>
    <w:p w:rsidR="000E204A" w:rsidRPr="00F74C21" w:rsidRDefault="00B16AED">
      <w:pPr>
        <w:numPr>
          <w:ilvl w:val="0"/>
          <w:numId w:val="3"/>
        </w:num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PbRM-01a Dimensión Administrativa del Gasto:</w:t>
      </w:r>
      <w:r w:rsidRPr="00F74C21">
        <w:rPr>
          <w:rFonts w:ascii="Palatino Linotype" w:eastAsia="Palatino Linotype" w:hAnsi="Palatino Linotype" w:cs="Palatino Linotype"/>
          <w:sz w:val="22"/>
          <w:szCs w:val="22"/>
        </w:rPr>
        <w:t xml:space="preserve"> Que tiene como propósito identificar la corresponsabilidad de dependencias generales y auxiliares en la ejecución de proyectos por programa, dimensiona el gasto por proyecto y programa.</w:t>
      </w:r>
    </w:p>
    <w:p w:rsidR="000E204A" w:rsidRPr="00F74C21" w:rsidRDefault="000E204A">
      <w:pPr>
        <w:rPr>
          <w:rFonts w:ascii="Palatino Linotype" w:eastAsia="Palatino Linotype" w:hAnsi="Palatino Linotype" w:cs="Palatino Linotype"/>
          <w:b/>
          <w:sz w:val="22"/>
          <w:szCs w:val="22"/>
        </w:rPr>
      </w:pPr>
    </w:p>
    <w:p w:rsidR="000E204A" w:rsidRPr="00F74C21" w:rsidRDefault="00B16AED">
      <w:pPr>
        <w:numPr>
          <w:ilvl w:val="0"/>
          <w:numId w:val="3"/>
        </w:num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PbRM-01b Descripción del Programa presupuestario:</w:t>
      </w:r>
      <w:r w:rsidRPr="00F74C21">
        <w:rPr>
          <w:rFonts w:ascii="Palatino Linotype" w:eastAsia="Palatino Linotype" w:hAnsi="Palatino Linotype" w:cs="Palatino Linotype"/>
          <w:sz w:val="22"/>
          <w:szCs w:val="22"/>
        </w:rPr>
        <w:t xml:space="preserve"> Que identifica el entorno general para eficientar la ejecución del programa que corresponda, los objetivos a lograr y las estrategias, lo cual permitirá contar con elementos para establecer las acciones con las será posible redefinir, adecuar o mantener las acciones municipales identificadas en los programas a ejecutar.</w:t>
      </w:r>
    </w:p>
    <w:p w:rsidR="000E204A" w:rsidRPr="00F74C21" w:rsidRDefault="000E204A">
      <w:pPr>
        <w:rPr>
          <w:rFonts w:ascii="Palatino Linotype" w:eastAsia="Palatino Linotype" w:hAnsi="Palatino Linotype" w:cs="Palatino Linotype"/>
          <w:sz w:val="22"/>
          <w:szCs w:val="22"/>
        </w:rPr>
      </w:pPr>
    </w:p>
    <w:p w:rsidR="000E204A" w:rsidRPr="00F74C21" w:rsidRDefault="00B16AED">
      <w:pPr>
        <w:numPr>
          <w:ilvl w:val="0"/>
          <w:numId w:val="3"/>
        </w:num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PbRM-01c Metas de actividad por Proyecto: </w:t>
      </w:r>
      <w:r w:rsidRPr="00F74C21">
        <w:rPr>
          <w:rFonts w:ascii="Palatino Linotype" w:eastAsia="Palatino Linotype" w:hAnsi="Palatino Linotype" w:cs="Palatino Linotype"/>
          <w:sz w:val="22"/>
          <w:szCs w:val="22"/>
        </w:rPr>
        <w:t>Que define y establece las acciones sustantivas que se pretenden realizar durante el ejercicio presupuestal, por proyecto, ligadas a las estrategias del programa.</w:t>
      </w:r>
    </w:p>
    <w:p w:rsidR="000E204A" w:rsidRPr="00F74C21" w:rsidRDefault="000E204A">
      <w:pPr>
        <w:rPr>
          <w:rFonts w:ascii="Palatino Linotype" w:eastAsia="Palatino Linotype" w:hAnsi="Palatino Linotype" w:cs="Palatino Linotype"/>
          <w:sz w:val="22"/>
          <w:szCs w:val="22"/>
        </w:rPr>
      </w:pPr>
    </w:p>
    <w:p w:rsidR="000E204A" w:rsidRPr="00F74C21" w:rsidRDefault="00B16AED">
      <w:pPr>
        <w:numPr>
          <w:ilvl w:val="0"/>
          <w:numId w:val="3"/>
        </w:num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PbRM-01d Ficha de Técnica de Diseño de Indicadores Estratégicos o de Gestión:</w:t>
      </w:r>
      <w:r w:rsidRPr="00F74C21">
        <w:rPr>
          <w:rFonts w:ascii="Palatino Linotype" w:eastAsia="Palatino Linotype" w:hAnsi="Palatino Linotype" w:cs="Palatino Linotype"/>
          <w:sz w:val="22"/>
          <w:szCs w:val="22"/>
        </w:rPr>
        <w:t xml:space="preserve"> Que apoya en el diseño de indicadores estratégicos y de gestión incluidos en la Matriz de Indicadores para Resultados tipo y aquellos desarrollados particularmente por el Municipio de que se trate, que midan los objetos de los Programas presupuestarios incluidos en el Programa Anual y su contribución al del Plan de Desarrollo Municipal vigente.</w:t>
      </w:r>
    </w:p>
    <w:p w:rsidR="000E204A" w:rsidRPr="00F74C21" w:rsidRDefault="000E204A">
      <w:pPr>
        <w:rPr>
          <w:rFonts w:ascii="Palatino Linotype" w:eastAsia="Palatino Linotype" w:hAnsi="Palatino Linotype" w:cs="Palatino Linotype"/>
          <w:sz w:val="22"/>
          <w:szCs w:val="22"/>
        </w:rPr>
      </w:pPr>
    </w:p>
    <w:p w:rsidR="000E204A" w:rsidRPr="00F74C21" w:rsidRDefault="00B16AED">
      <w:pPr>
        <w:numPr>
          <w:ilvl w:val="0"/>
          <w:numId w:val="3"/>
        </w:numPr>
        <w:spacing w:line="360" w:lineRule="auto"/>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 xml:space="preserve">PbRM-01e Matriz de Indicadores para Resultados por Programa Presupuestario y Dependencia General: </w:t>
      </w:r>
      <w:r w:rsidRPr="00F74C21">
        <w:rPr>
          <w:rFonts w:ascii="Palatino Linotype" w:eastAsia="Palatino Linotype" w:hAnsi="Palatino Linotype" w:cs="Palatino Linotype"/>
          <w:sz w:val="22"/>
          <w:szCs w:val="22"/>
        </w:rPr>
        <w:t>Que facilita el proceso de evaluación de los resultados o impactos de los objetivos pro Programa presupuestario, de forma resumida, sencilla y armónica, así como, de incorporar indicadores que miden los objetivos y resultados esperados.</w:t>
      </w:r>
    </w:p>
    <w:p w:rsidR="000E204A" w:rsidRPr="00F74C21" w:rsidRDefault="000E204A">
      <w:pPr>
        <w:rPr>
          <w:rFonts w:ascii="Palatino Linotype" w:eastAsia="Palatino Linotype" w:hAnsi="Palatino Linotype" w:cs="Palatino Linotype"/>
          <w:b/>
          <w:sz w:val="22"/>
          <w:szCs w:val="22"/>
        </w:rPr>
      </w:pPr>
    </w:p>
    <w:p w:rsidR="000E204A" w:rsidRPr="00F74C21" w:rsidRDefault="00B16AED">
      <w:pPr>
        <w:numPr>
          <w:ilvl w:val="0"/>
          <w:numId w:val="3"/>
        </w:numPr>
        <w:spacing w:line="360" w:lineRule="auto"/>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PbRM-02a Calendarización de Metas de actividad por Proyecto: Que calendariza las metas de las acciones por trimestre para medir el grado de cumplimiento en cada período de tiempo, con el propósito de dar seguimiento a lo programado y tomar en su caso las medidas correctivas para evitar desviación</w:t>
      </w:r>
      <w:r w:rsidRPr="00F74C21">
        <w:rPr>
          <w:rFonts w:ascii="Palatino Linotype" w:eastAsia="Palatino Linotype" w:hAnsi="Palatino Linotype" w:cs="Palatino Linotype"/>
          <w:sz w:val="22"/>
          <w:szCs w:val="22"/>
        </w:rPr>
        <w:t>.</w:t>
      </w:r>
    </w:p>
    <w:p w:rsidR="000E204A" w:rsidRPr="00F74C21" w:rsidRDefault="000E204A">
      <w:pPr>
        <w:rPr>
          <w:rFonts w:ascii="Palatino Linotype" w:eastAsia="Palatino Linotype" w:hAnsi="Palatino Linotype" w:cs="Palatino Linotype"/>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Conforme a lo anterior, se advierte que el Programa Operativo Anual, es aquel documento en donde se plasman los objetivos, estrategias, metas, indicadores y proyectos que se buscan cumplir en un ejercicio fiscal determinado y que va acorde al Plan de Desarrollo Municipal, principalmente, además que es un componente esencial del Presupuesto de Egresos de los Municipios, pues sus formatos son utilizados para realizar y elaborar este.</w:t>
      </w:r>
    </w:p>
    <w:p w:rsidR="000E204A" w:rsidRPr="00F74C21" w:rsidRDefault="000E204A">
      <w:pPr>
        <w:spacing w:line="360" w:lineRule="auto"/>
        <w:ind w:right="51"/>
        <w:jc w:val="both"/>
        <w:rPr>
          <w:rFonts w:ascii="Palatino Linotype" w:eastAsia="Palatino Linotype" w:hAnsi="Palatino Linotype" w:cs="Palatino Linotype"/>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Establecido lo anterior, de la información entregada por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en respuesta se advierte que entre los formatos remitidos se advierte el PbRM 01c “Metas de actividad por Proyecto” y PbRM-02a “</w:t>
      </w:r>
      <w:r w:rsidRPr="00F74C21">
        <w:rPr>
          <w:rFonts w:ascii="Palatino Linotype" w:eastAsia="Palatino Linotype" w:hAnsi="Palatino Linotype" w:cs="Palatino Linotype"/>
          <w:i/>
          <w:sz w:val="22"/>
          <w:szCs w:val="22"/>
        </w:rPr>
        <w:t>Calendarización de Metas de actividad por Proyecto”</w:t>
      </w:r>
      <w:r w:rsidRPr="00F74C21">
        <w:rPr>
          <w:rFonts w:ascii="Palatino Linotype" w:eastAsia="Palatino Linotype" w:hAnsi="Palatino Linotype" w:cs="Palatino Linotype"/>
          <w:sz w:val="22"/>
          <w:szCs w:val="22"/>
        </w:rPr>
        <w:t xml:space="preserve"> de los años 2021, 2022 2023, respectivamente, de los que se advierten las acciones sustantivas que se pretenden realizar durante el ejercicio presupuestal, por proyecto, ligadas a las estrategias del programa, tal y como se muestra a continuación: </w:t>
      </w:r>
    </w:p>
    <w:p w:rsidR="000E204A" w:rsidRPr="00F74C21" w:rsidRDefault="00B16AED">
      <w:pPr>
        <w:spacing w:line="360" w:lineRule="auto"/>
        <w:ind w:right="51"/>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28B71266" wp14:editId="1249A900">
            <wp:extent cx="4467225" cy="2682963"/>
            <wp:effectExtent l="0" t="0" r="0" b="0"/>
            <wp:docPr id="20863262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467225" cy="2682963"/>
                    </a:xfrm>
                    <a:prstGeom prst="rect">
                      <a:avLst/>
                    </a:prstGeom>
                    <a:ln/>
                  </pic:spPr>
                </pic:pic>
              </a:graphicData>
            </a:graphic>
          </wp:inline>
        </w:drawing>
      </w:r>
    </w:p>
    <w:p w:rsidR="000E204A" w:rsidRPr="00F74C21" w:rsidRDefault="00B16AED">
      <w:pPr>
        <w:spacing w:line="360" w:lineRule="auto"/>
        <w:jc w:val="center"/>
        <w:rPr>
          <w:rFonts w:ascii="Palatino Linotype" w:eastAsia="Palatino Linotype" w:hAnsi="Palatino Linotype" w:cs="Palatino Linotype"/>
          <w:b/>
          <w:sz w:val="22"/>
          <w:szCs w:val="22"/>
        </w:rPr>
      </w:pPr>
      <w:r w:rsidRPr="00F74C21">
        <w:rPr>
          <w:rFonts w:ascii="Palatino Linotype" w:eastAsia="Palatino Linotype" w:hAnsi="Palatino Linotype" w:cs="Palatino Linotype"/>
          <w:noProof/>
          <w:sz w:val="22"/>
          <w:szCs w:val="22"/>
          <w:lang w:val="es-MX"/>
        </w:rPr>
        <w:drawing>
          <wp:inline distT="0" distB="0" distL="0" distR="0" wp14:anchorId="2EE52597" wp14:editId="27DFDB5D">
            <wp:extent cx="4544754" cy="2425616"/>
            <wp:effectExtent l="0" t="0" r="0" b="0"/>
            <wp:docPr id="20863262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4544754" cy="2425616"/>
                    </a:xfrm>
                    <a:prstGeom prst="rect">
                      <a:avLst/>
                    </a:prstGeom>
                    <a:ln/>
                  </pic:spPr>
                </pic:pic>
              </a:graphicData>
            </a:graphic>
          </wp:inline>
        </w:drawing>
      </w:r>
    </w:p>
    <w:p w:rsidR="000E204A" w:rsidRPr="00F74C21" w:rsidRDefault="000E204A">
      <w:pPr>
        <w:spacing w:line="360" w:lineRule="auto"/>
        <w:jc w:val="center"/>
        <w:rPr>
          <w:rFonts w:ascii="Palatino Linotype" w:eastAsia="Palatino Linotype" w:hAnsi="Palatino Linotype" w:cs="Palatino Linotype"/>
          <w:b/>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Sin embargo, este Organismo Garante considera importante señalar que el artículo 8, fracción XI de la Ley de Fiscalización Superior del Estado de México, establece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Artículo 8.</w:t>
      </w:r>
      <w:r w:rsidRPr="00F74C21">
        <w:rPr>
          <w:rFonts w:ascii="Palatino Linotype" w:eastAsia="Palatino Linotype" w:hAnsi="Palatino Linotype" w:cs="Palatino Linotype"/>
          <w:i/>
          <w:sz w:val="22"/>
          <w:szCs w:val="22"/>
        </w:rPr>
        <w:t xml:space="preserve"> El Órgano Superior tendrá las siguientes atribuciones:</w:t>
      </w:r>
    </w:p>
    <w:p w:rsidR="000E204A" w:rsidRPr="00F74C21" w:rsidRDefault="00B16AE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p>
    <w:p w:rsidR="000E204A" w:rsidRPr="00F74C21" w:rsidRDefault="00B16AE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XI</w:t>
      </w:r>
      <w:r w:rsidRPr="00F74C21">
        <w:rPr>
          <w:rFonts w:ascii="Palatino Linotype" w:eastAsia="Palatino Linotype" w:hAnsi="Palatino Linotype" w:cs="Palatino Linotype"/>
          <w:b/>
          <w:i/>
          <w:sz w:val="22"/>
          <w:szCs w:val="22"/>
        </w:rPr>
        <w:t>. Establecer los lineamientos</w:t>
      </w:r>
      <w:r w:rsidRPr="00F74C21">
        <w:rPr>
          <w:rFonts w:ascii="Palatino Linotype" w:eastAsia="Palatino Linotype" w:hAnsi="Palatino Linotype" w:cs="Palatino Linotype"/>
          <w:i/>
          <w:sz w:val="22"/>
          <w:szCs w:val="22"/>
        </w:rPr>
        <w:t xml:space="preserve">, criterios, procedimientos, métodos y sistemas </w:t>
      </w:r>
      <w:r w:rsidRPr="00F74C21">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F74C21">
        <w:rPr>
          <w:rFonts w:ascii="Palatino Linotype" w:eastAsia="Palatino Linotype" w:hAnsi="Palatino Linotype" w:cs="Palatino Linotype"/>
          <w:i/>
          <w:sz w:val="22"/>
          <w:szCs w:val="22"/>
        </w:rPr>
        <w:t>…” (Sic</w:t>
      </w:r>
      <w:r w:rsidRPr="00F74C21">
        <w:rPr>
          <w:rFonts w:ascii="Palatino Linotype" w:eastAsia="Palatino Linotype" w:hAnsi="Palatino Linotype" w:cs="Palatino Linotype"/>
          <w:sz w:val="22"/>
          <w:szCs w:val="22"/>
        </w:rPr>
        <w:t>)</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Lineamientos de los que se advierte que de la información contenida en el Módulo 1, se encuentra la relacionada con los Dictámenes de Estados Financieros, el cual refiere lo siguiente:</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51EF3987" wp14:editId="617ED977">
            <wp:extent cx="4682945" cy="3660105"/>
            <wp:effectExtent l="0" t="0" r="0" b="0"/>
            <wp:docPr id="2086326282" name="image18.png" descr="Imagen que contiene 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8.png" descr="Imagen que contiene Tabla&#10;&#10;El contenido generado por IA puede ser incorrecto."/>
                    <pic:cNvPicPr preferRelativeResize="0"/>
                  </pic:nvPicPr>
                  <pic:blipFill>
                    <a:blip r:embed="rId13"/>
                    <a:srcRect t="6234"/>
                    <a:stretch>
                      <a:fillRect/>
                    </a:stretch>
                  </pic:blipFill>
                  <pic:spPr>
                    <a:xfrm>
                      <a:off x="0" y="0"/>
                      <a:ext cx="4682945" cy="3660105"/>
                    </a:xfrm>
                    <a:prstGeom prst="rect">
                      <a:avLst/>
                    </a:prstGeom>
                    <a:ln/>
                  </pic:spPr>
                </pic:pic>
              </a:graphicData>
            </a:graphic>
          </wp:inline>
        </w:drawing>
      </w:r>
      <w:r w:rsidRPr="00F74C21">
        <w:rPr>
          <w:noProof/>
          <w:lang w:val="es-MX"/>
        </w:rPr>
        <mc:AlternateContent>
          <mc:Choice Requires="wps">
            <w:drawing>
              <wp:anchor distT="0" distB="0" distL="114300" distR="114300" simplePos="0" relativeHeight="251658240" behindDoc="0" locked="0" layoutInCell="1" hidden="0" allowOverlap="1" wp14:anchorId="5A6999DF" wp14:editId="2040F294">
                <wp:simplePos x="0" y="0"/>
                <wp:positionH relativeFrom="column">
                  <wp:posOffset>1134157</wp:posOffset>
                </wp:positionH>
                <wp:positionV relativeFrom="paragraph">
                  <wp:posOffset>3301723</wp:posOffset>
                </wp:positionV>
                <wp:extent cx="3995396" cy="290064"/>
                <wp:effectExtent l="0" t="0" r="0" b="0"/>
                <wp:wrapNone/>
                <wp:docPr id="2086326277" name="2086326277 Rectángulo"/>
                <wp:cNvGraphicFramePr/>
                <a:graphic xmlns:a="http://schemas.openxmlformats.org/drawingml/2006/main">
                  <a:graphicData uri="http://schemas.microsoft.com/office/word/2010/wordprocessingShape">
                    <wps:wsp>
                      <wps:cNvSpPr/>
                      <wps:spPr>
                        <a:xfrm>
                          <a:off x="3376877" y="3663543"/>
                          <a:ext cx="3938246" cy="232914"/>
                        </a:xfrm>
                        <a:prstGeom prst="rect">
                          <a:avLst/>
                        </a:prstGeom>
                        <a:noFill/>
                        <a:ln w="28575" cap="flat" cmpd="sng">
                          <a:solidFill>
                            <a:srgbClr val="FF0000"/>
                          </a:solidFill>
                          <a:prstDash val="solid"/>
                          <a:miter lim="800000"/>
                          <a:headEnd type="none" w="sm" len="sm"/>
                          <a:tailEnd type="none" w="sm" len="sm"/>
                        </a:ln>
                      </wps:spPr>
                      <wps:txbx>
                        <w:txbxContent>
                          <w:p w:rsidR="000E204A" w:rsidRDefault="000E204A">
                            <w:pPr>
                              <w:textDirection w:val="btLr"/>
                            </w:pPr>
                          </w:p>
                        </w:txbxContent>
                      </wps:txbx>
                      <wps:bodyPr spcFirstLastPara="1" wrap="square" lIns="91425" tIns="91425" rIns="91425" bIns="91425" anchor="ctr" anchorCtr="0">
                        <a:noAutofit/>
                      </wps:bodyPr>
                    </wps:wsp>
                  </a:graphicData>
                </a:graphic>
              </wp:anchor>
            </w:drawing>
          </mc:Choice>
          <mc:Fallback>
            <w:pict>
              <v:rect w14:anchorId="5A6999DF" id="2086326277 Rectángulo" o:spid="_x0000_s1026" style="position:absolute;left:0;text-align:left;margin-left:89.3pt;margin-top:260pt;width:314.6pt;height:22.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" filled="f" strokecolor="red" strokeweight="2.25pt">
                <v:stroke startarrowwidth="narrow" startarrowlength="short" endarrowwidth="narrow" endarrowlength="short"/>
                <v:textbox inset="2.53958mm,2.53958mm,2.53958mm,2.53958mm">
                  <w:txbxContent>
                    <w:p w:rsidR="000E204A" w:rsidRDefault="000E204A">
                      <w:pPr>
                        <w:textDirection w:val="btLr"/>
                      </w:pPr>
                    </w:p>
                  </w:txbxContent>
                </v:textbox>
              </v:rect>
            </w:pict>
          </mc:Fallback>
        </mc:AlternateContent>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76A6E730" wp14:editId="7C000AF4">
            <wp:extent cx="4865782" cy="3690794"/>
            <wp:effectExtent l="0" t="0" r="0" b="0"/>
            <wp:docPr id="2086326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865782" cy="3690794"/>
                    </a:xfrm>
                    <a:prstGeom prst="rect">
                      <a:avLst/>
                    </a:prstGeom>
                    <a:ln/>
                  </pic:spPr>
                </pic:pic>
              </a:graphicData>
            </a:graphic>
          </wp:inline>
        </w:drawing>
      </w:r>
    </w:p>
    <w:p w:rsidR="000E204A" w:rsidRPr="00F74C21" w:rsidRDefault="000E204A">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28B12FD9" wp14:editId="30855F64">
            <wp:extent cx="5042932" cy="1676520"/>
            <wp:effectExtent l="0" t="0" r="0" b="0"/>
            <wp:docPr id="2086326284" name="image6.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 Correo electrónico&#10;&#10;El contenido generado por IA puede ser incorrecto."/>
                    <pic:cNvPicPr preferRelativeResize="0"/>
                  </pic:nvPicPr>
                  <pic:blipFill>
                    <a:blip r:embed="rId15"/>
                    <a:srcRect/>
                    <a:stretch>
                      <a:fillRect/>
                    </a:stretch>
                  </pic:blipFill>
                  <pic:spPr>
                    <a:xfrm>
                      <a:off x="0" y="0"/>
                      <a:ext cx="5042932" cy="1676520"/>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07A944B7" wp14:editId="03BDDB9A">
            <wp:extent cx="5612130" cy="5166995"/>
            <wp:effectExtent l="0" t="0" r="0" b="0"/>
            <wp:docPr id="2086326287" name="image8.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8.png" descr="Texto, Carta&#10;&#10;El contenido generado por IA puede ser incorrecto."/>
                    <pic:cNvPicPr preferRelativeResize="0"/>
                  </pic:nvPicPr>
                  <pic:blipFill>
                    <a:blip r:embed="rId16"/>
                    <a:srcRect/>
                    <a:stretch>
                      <a:fillRect/>
                    </a:stretch>
                  </pic:blipFill>
                  <pic:spPr>
                    <a:xfrm>
                      <a:off x="0" y="0"/>
                      <a:ext cx="5612130" cy="5166995"/>
                    </a:xfrm>
                    <a:prstGeom prst="rect">
                      <a:avLst/>
                    </a:prstGeom>
                    <a:ln/>
                  </pic:spPr>
                </pic:pic>
              </a:graphicData>
            </a:graphic>
          </wp:inline>
        </w:drawing>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259E627D" wp14:editId="48350A16">
            <wp:extent cx="4328954" cy="1493436"/>
            <wp:effectExtent l="0" t="0" r="0" b="0"/>
            <wp:docPr id="2086326286"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Texto&#10;&#10;El contenido generado por IA puede ser incorrecto."/>
                    <pic:cNvPicPr preferRelativeResize="0"/>
                  </pic:nvPicPr>
                  <pic:blipFill>
                    <a:blip r:embed="rId17"/>
                    <a:srcRect/>
                    <a:stretch>
                      <a:fillRect/>
                    </a:stretch>
                  </pic:blipFill>
                  <pic:spPr>
                    <a:xfrm>
                      <a:off x="0" y="0"/>
                      <a:ext cx="4328954" cy="1493436"/>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35D0BC12" wp14:editId="23CBBC5B">
            <wp:extent cx="4851761" cy="6574769"/>
            <wp:effectExtent l="0" t="0" r="0" b="0"/>
            <wp:docPr id="2086326291" name="image20.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0.png" descr="Texto&#10;&#10;El contenido generado por IA puede ser incorrecto."/>
                    <pic:cNvPicPr preferRelativeResize="0"/>
                  </pic:nvPicPr>
                  <pic:blipFill>
                    <a:blip r:embed="rId18"/>
                    <a:srcRect/>
                    <a:stretch>
                      <a:fillRect/>
                    </a:stretch>
                  </pic:blipFill>
                  <pic:spPr>
                    <a:xfrm>
                      <a:off x="0" y="0"/>
                      <a:ext cx="4851761" cy="6574769"/>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5A05C347" wp14:editId="2A215AED">
            <wp:extent cx="4900730" cy="6916199"/>
            <wp:effectExtent l="0" t="0" r="0" b="0"/>
            <wp:docPr id="2086326289" name="image7.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exto, Carta&#10;&#10;El contenido generado por IA puede ser incorrecto."/>
                    <pic:cNvPicPr preferRelativeResize="0"/>
                  </pic:nvPicPr>
                  <pic:blipFill>
                    <a:blip r:embed="rId19"/>
                    <a:srcRect/>
                    <a:stretch>
                      <a:fillRect/>
                    </a:stretch>
                  </pic:blipFill>
                  <pic:spPr>
                    <a:xfrm>
                      <a:off x="0" y="0"/>
                      <a:ext cx="4900730" cy="6916199"/>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5CAA11A9" wp14:editId="037458E4">
            <wp:extent cx="4841415" cy="6080527"/>
            <wp:effectExtent l="0" t="0" r="0" b="0"/>
            <wp:docPr id="2086326290" name="image11.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1.png" descr="Texto, Carta&#10;&#10;El contenido generado por IA puede ser incorrecto."/>
                    <pic:cNvPicPr preferRelativeResize="0"/>
                  </pic:nvPicPr>
                  <pic:blipFill>
                    <a:blip r:embed="rId20"/>
                    <a:srcRect/>
                    <a:stretch>
                      <a:fillRect/>
                    </a:stretch>
                  </pic:blipFill>
                  <pic:spPr>
                    <a:xfrm>
                      <a:off x="0" y="0"/>
                      <a:ext cx="4841415" cy="6080527"/>
                    </a:xfrm>
                    <a:prstGeom prst="rect">
                      <a:avLst/>
                    </a:prstGeom>
                    <a:ln/>
                  </pic:spPr>
                </pic:pic>
              </a:graphicData>
            </a:graphic>
          </wp:inline>
        </w:drawing>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2182C3CC" wp14:editId="309E3FF4">
            <wp:extent cx="5329357" cy="5462621"/>
            <wp:effectExtent l="0" t="0" r="0" b="0"/>
            <wp:docPr id="2086326292" name="image13.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3.png" descr="Tabla&#10;&#10;El contenido generado por IA puede ser incorrecto."/>
                    <pic:cNvPicPr preferRelativeResize="0"/>
                  </pic:nvPicPr>
                  <pic:blipFill>
                    <a:blip r:embed="rId21"/>
                    <a:srcRect/>
                    <a:stretch>
                      <a:fillRect/>
                    </a:stretch>
                  </pic:blipFill>
                  <pic:spPr>
                    <a:xfrm>
                      <a:off x="0" y="0"/>
                      <a:ext cx="5329357" cy="5462621"/>
                    </a:xfrm>
                    <a:prstGeom prst="rect">
                      <a:avLst/>
                    </a:prstGeom>
                    <a:ln/>
                  </pic:spPr>
                </pic:pic>
              </a:graphicData>
            </a:graphic>
          </wp:inline>
        </w:drawing>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De lo anterior, se puede observar que el objetivo del Dictamen es examinar la información financiera y presupuestal que emite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con la finalidad de obtener seguridad razonable sobre si los estados financieros presupuestales, están libres de representación errónea de importancia relativa, verificar que la presentación de la información financiera y presupuestal cumple con la normatividad contable y presupuestal; así como, detectar deficiencias, incumplimientos, desviaciones u omisiones de los aspectos normativos de relevancia y proponer al Municipio, recomendaciones para que la entidad las atienda y emplee los recursos con eficacia, eficiencia y honradez. </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Entre sus apartados e integración, el dictamen cuenta con un formato 2 denominado </w:t>
      </w:r>
      <w:r w:rsidRPr="00F74C21">
        <w:rPr>
          <w:rFonts w:ascii="Palatino Linotype" w:eastAsia="Palatino Linotype" w:hAnsi="Palatino Linotype" w:cs="Palatino Linotype"/>
          <w:i/>
          <w:sz w:val="22"/>
          <w:szCs w:val="22"/>
        </w:rPr>
        <w:t>Modelo de Minuta para la revisión del programa de trabajo a practicar</w:t>
      </w:r>
      <w:r w:rsidRPr="00F74C21">
        <w:rPr>
          <w:rFonts w:ascii="Palatino Linotype" w:eastAsia="Palatino Linotype" w:hAnsi="Palatino Linotype" w:cs="Palatino Linotype"/>
          <w:sz w:val="22"/>
          <w:szCs w:val="22"/>
        </w:rPr>
        <w:t xml:space="preserve"> que incluye lugar y fecha y cargo y nombre de los participantes, los cuales son el Presidente Municipal, Tesorero, Titular del Órgano Interno de Control, Jefe de Departamento de Contabilidad y encargados de auditoría, además de que, al ser un documento que integra el módulo 1, es información que debe ser generada, administrada y poseída por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destacando que dichos documentos son proporcionados de manera anual. </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Por otra parte, dentro de las obligaciones fiscales de los Sujetos Obligados se cuenta con la obligación de generar el Dictamen de Reconducción y Actualización Programática-Presupuestal para Resultados, tal y como se muestra a continuación: </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42083B1F" wp14:editId="50D0F90A">
            <wp:extent cx="5612130" cy="2433955"/>
            <wp:effectExtent l="0" t="0" r="0" b="0"/>
            <wp:docPr id="20863262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612130" cy="2433955"/>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7BEEDA3B" wp14:editId="15371554">
            <wp:extent cx="5853160" cy="5376532"/>
            <wp:effectExtent l="0" t="0" r="0" b="0"/>
            <wp:docPr id="2086326294" name="image15.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5.png" descr="Tabla&#10;&#10;El contenido generado por IA puede ser incorrecto."/>
                    <pic:cNvPicPr preferRelativeResize="0"/>
                  </pic:nvPicPr>
                  <pic:blipFill>
                    <a:blip r:embed="rId23"/>
                    <a:srcRect/>
                    <a:stretch>
                      <a:fillRect/>
                    </a:stretch>
                  </pic:blipFill>
                  <pic:spPr>
                    <a:xfrm>
                      <a:off x="0" y="0"/>
                      <a:ext cx="5853160" cy="5376532"/>
                    </a:xfrm>
                    <a:prstGeom prst="rect">
                      <a:avLst/>
                    </a:prstGeom>
                    <a:ln/>
                  </pic:spPr>
                </pic:pic>
              </a:graphicData>
            </a:graphic>
          </wp:inline>
        </w:drawing>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Dicho dictamen se realizará únicamente cuando el ente fiscalizable realice modificaciones al Egreso o Metas y deberá contener los siguientes elementos:</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7D39EFC9" wp14:editId="32B0DBAB">
            <wp:extent cx="4995518" cy="353270"/>
            <wp:effectExtent l="0" t="0" r="0" b="0"/>
            <wp:docPr id="20863262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995518" cy="353270"/>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45E80D4E" wp14:editId="72534F89">
            <wp:extent cx="4937241" cy="3539571"/>
            <wp:effectExtent l="0" t="0" r="0" b="0"/>
            <wp:docPr id="2086326296" name="image12.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2.png" descr="Texto, Carta&#10;&#10;El contenido generado por IA puede ser incorrecto."/>
                    <pic:cNvPicPr preferRelativeResize="0"/>
                  </pic:nvPicPr>
                  <pic:blipFill>
                    <a:blip r:embed="rId25"/>
                    <a:srcRect/>
                    <a:stretch>
                      <a:fillRect/>
                    </a:stretch>
                  </pic:blipFill>
                  <pic:spPr>
                    <a:xfrm>
                      <a:off x="0" y="0"/>
                      <a:ext cx="4937241" cy="3539571"/>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011F31AF" wp14:editId="24C1C43E">
            <wp:extent cx="4919305" cy="2799763"/>
            <wp:effectExtent l="0" t="0" r="0" b="0"/>
            <wp:docPr id="2086326297" name="image3.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Texto, Carta&#10;&#10;El contenido generado por IA puede ser incorrecto."/>
                    <pic:cNvPicPr preferRelativeResize="0"/>
                  </pic:nvPicPr>
                  <pic:blipFill>
                    <a:blip r:embed="rId26"/>
                    <a:srcRect/>
                    <a:stretch>
                      <a:fillRect/>
                    </a:stretch>
                  </pic:blipFill>
                  <pic:spPr>
                    <a:xfrm>
                      <a:off x="0" y="0"/>
                      <a:ext cx="4919305" cy="2799763"/>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389244CF" wp14:editId="5E6686B6">
            <wp:extent cx="4191253" cy="4325460"/>
            <wp:effectExtent l="0" t="0" r="0" b="0"/>
            <wp:docPr id="2086326298" name="image10.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0.png" descr="Texto, Carta&#10;&#10;El contenido generado por IA puede ser incorrecto."/>
                    <pic:cNvPicPr preferRelativeResize="0"/>
                  </pic:nvPicPr>
                  <pic:blipFill>
                    <a:blip r:embed="rId27"/>
                    <a:srcRect/>
                    <a:stretch>
                      <a:fillRect/>
                    </a:stretch>
                  </pic:blipFill>
                  <pic:spPr>
                    <a:xfrm>
                      <a:off x="0" y="0"/>
                      <a:ext cx="4191253" cy="4325460"/>
                    </a:xfrm>
                    <a:prstGeom prst="rect">
                      <a:avLst/>
                    </a:prstGeom>
                    <a:ln/>
                  </pic:spPr>
                </pic:pic>
              </a:graphicData>
            </a:graphic>
          </wp:inline>
        </w:drawing>
      </w:r>
    </w:p>
    <w:p w:rsidR="000E204A" w:rsidRPr="00F74C21" w:rsidRDefault="00B16AED">
      <w:pPr>
        <w:pBdr>
          <w:top w:val="nil"/>
          <w:left w:val="nil"/>
          <w:bottom w:val="nil"/>
          <w:right w:val="nil"/>
          <w:between w:val="nil"/>
        </w:pBdr>
        <w:tabs>
          <w:tab w:val="left" w:pos="709"/>
        </w:tabs>
        <w:spacing w:line="360" w:lineRule="auto"/>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noProof/>
          <w:sz w:val="22"/>
          <w:szCs w:val="22"/>
          <w:lang w:val="es-MX"/>
        </w:rPr>
        <w:drawing>
          <wp:inline distT="0" distB="0" distL="0" distR="0" wp14:anchorId="1E4ADD9E" wp14:editId="3924C6A6">
            <wp:extent cx="4322591" cy="501319"/>
            <wp:effectExtent l="0" t="0" r="0" b="0"/>
            <wp:docPr id="20863262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4322591" cy="501319"/>
                    </a:xfrm>
                    <a:prstGeom prst="rect">
                      <a:avLst/>
                    </a:prstGeom>
                    <a:ln/>
                  </pic:spPr>
                </pic:pic>
              </a:graphicData>
            </a:graphic>
          </wp:inline>
        </w:drawing>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De lo anterior, se aprecia que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debe elaborar dichos dictámenes en aquellos trimestres que existan reconducciones o actualizaciones al presupuesto o metas, en los que se debe justificar el movimiento, que puede ser de la cancelación o reducción de metas de actividad y presupuesto, De la reasignación de recursos y metas de actividad al nuevo proyecto o al que se va a incrementar; o bien, la identificación del origen de los recursos para la reasignación o asignación a un nuevo proyecto, señalando la procedencia de los recursos que se asignarán al proyecto que se considera incrementar o crear. </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sz w:val="22"/>
          <w:szCs w:val="22"/>
        </w:rPr>
        <w:t xml:space="preserve">De este modo, este Organismo Garante advierte que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cuenta con las competencias, facultades y atribuciones para conocer, administrar y generar información relacionada con los dictámenes solicitados por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adicionales a los remitidos en respuesta, mismos que de manera enunciativa más no limitativa obran en los Dictámenes de Estados Financieros y Dictámenes de Reconducción y Actualización Programática – Presupuestal de los ejercicios fiscales dos mil veintiuno y dos mil veintitrés; sin embargo, este Instituto no tiene certeza de que el Ayuntamiento de Zinacantepec llevará a cabo reconducciones por subejercicio mayor al 15% del presupuesto inicial como lo solicitó la parte </w:t>
      </w:r>
      <w:r w:rsidRPr="00F74C21">
        <w:rPr>
          <w:rFonts w:ascii="Palatino Linotype" w:eastAsia="Palatino Linotype" w:hAnsi="Palatino Linotype" w:cs="Palatino Linotype"/>
          <w:b/>
          <w:sz w:val="22"/>
          <w:szCs w:val="22"/>
        </w:rPr>
        <w:t xml:space="preserve">Recurrente. </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Siendo conveniente puntualizar que el subejercicio se presenta cuando una entidad gubernamental no gasta la totalidad de los recursos que tenía presupuestados para un periodo fiscal, lo que resulta en una diferencia entre lo programado y lo efectivamente ejercido</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Ahora bien, en el caso que nos ocupa, derivado de las constancias que obran en el expediente en el que se actúa se advierte que la Unidad de Transparencia, en observancia de lo previsto en los artículos 53, fracciones II y IV</w:t>
      </w:r>
      <w:r w:rsidRPr="00F74C21">
        <w:rPr>
          <w:rFonts w:ascii="Palatino Linotype" w:eastAsia="Palatino Linotype" w:hAnsi="Palatino Linotype" w:cs="Palatino Linotype"/>
          <w:sz w:val="22"/>
          <w:szCs w:val="22"/>
          <w:vertAlign w:val="superscript"/>
        </w:rPr>
        <w:t xml:space="preserve"> </w:t>
      </w:r>
      <w:r w:rsidRPr="00F74C21">
        <w:rPr>
          <w:rFonts w:ascii="Palatino Linotype" w:eastAsia="Palatino Linotype" w:hAnsi="Palatino Linotype" w:cs="Palatino Linotype"/>
          <w:sz w:val="22"/>
          <w:szCs w:val="22"/>
          <w:vertAlign w:val="superscript"/>
        </w:rPr>
        <w:footnoteReference w:id="1"/>
      </w:r>
      <w:r w:rsidRPr="00F74C21">
        <w:rPr>
          <w:rFonts w:ascii="Palatino Linotype" w:eastAsia="Palatino Linotype" w:hAnsi="Palatino Linotype" w:cs="Palatino Linotype"/>
          <w:sz w:val="22"/>
          <w:szCs w:val="22"/>
        </w:rPr>
        <w:t xml:space="preserve"> y 162</w:t>
      </w:r>
      <w:r w:rsidRPr="00F74C21">
        <w:rPr>
          <w:rFonts w:ascii="Palatino Linotype" w:eastAsia="Palatino Linotype" w:hAnsi="Palatino Linotype" w:cs="Palatino Linotype"/>
          <w:sz w:val="22"/>
          <w:szCs w:val="22"/>
          <w:vertAlign w:val="superscript"/>
        </w:rPr>
        <w:footnoteReference w:id="2"/>
      </w:r>
      <w:r w:rsidRPr="00F74C21">
        <w:rPr>
          <w:rFonts w:ascii="Palatino Linotype" w:eastAsia="Palatino Linotype" w:hAnsi="Palatino Linotype" w:cs="Palatino Linotype"/>
          <w:sz w:val="22"/>
          <w:szCs w:val="22"/>
        </w:rPr>
        <w:t xml:space="preserve"> de la Ley de Transparencia y Acceso a la Información Pública del Estado de México y Municipios, turnó la solicitud de información a las áreas que, de acuerdo con sus facultades, competencias y funciones, cuentan con la información materia de la solicitud, esto es la Unidad de Información, Planeación, Programación y Evaluación informando que de acuerdo con sus funciones no realiza </w:t>
      </w:r>
      <w:r w:rsidRPr="00F74C21">
        <w:rPr>
          <w:rFonts w:ascii="Palatino Linotype" w:eastAsia="Palatino Linotype" w:hAnsi="Palatino Linotype" w:cs="Palatino Linotype"/>
          <w:i/>
          <w:sz w:val="22"/>
          <w:szCs w:val="22"/>
        </w:rPr>
        <w:t>“dictámenes técnicos de las partidas presupuestales con subejercicios”,</w:t>
      </w:r>
      <w:r w:rsidRPr="00F74C21">
        <w:rPr>
          <w:rFonts w:ascii="Palatino Linotype" w:eastAsia="Palatino Linotype" w:hAnsi="Palatino Linotype" w:cs="Palatino Linotype"/>
          <w:sz w:val="22"/>
          <w:szCs w:val="22"/>
        </w:rPr>
        <w:t xml:space="preserve"> por lo que, hace entrega de los PbRM01a, b, c, d, e y 02a para los años 2021 al 2023; mientras que la Tesorería Municipal informó que después de realizar una búsqueda razonable y exhaustiva dentro de sus archivos, no se encontró documental que refiera el dictamen técnico que justifique cada partida presupuestal; no obstante, a pesar de que en el caso se pronunciaron los servidores públicos competentes, se considera que no se realizó una correcta búsqueda de la información, puesto que como se advierte del estudio, existen documentos que pueden dar cuenta de lo solicitado, como son de manera enunciativa más no limitativa los Dictámenes de Estados Financieros y Dictámenes de Reconducción y Actualización Programática – Presupuestal. </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Lo anterior ocasiona que en el caso no se cumpliera con el principio de búsqueda exhaustiva de la información requerida, cuyo alcance se encuentra establecido en el Criterio Reiterado 02/19 emitido por el Pleno de este Organismo Garante, a saber:</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F74C21">
        <w:rPr>
          <w:rFonts w:ascii="Palatino Linotype" w:eastAsia="Palatino Linotype" w:hAnsi="Palatino Linotype" w:cs="Palatino Linotype"/>
          <w:i/>
          <w:sz w:val="22"/>
          <w:szCs w:val="22"/>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En tal sentido, resulta aplicable el Criterio 02/17 emitido por el Peno del Instituto Nacional de Transparencia y Acceso a la Información y Protección de Datos Personales, de título y texto siguientes:</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 xml:space="preserve">“Congruencia y exhaustividad. Sus alcances para garantizar el derecho de acceso a la información. </w:t>
      </w:r>
      <w:r w:rsidRPr="00F74C21">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74C21">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F74C21">
        <w:rPr>
          <w:rFonts w:ascii="Palatino Linotype" w:eastAsia="Palatino Linotype" w:hAnsi="Palatino Linotype" w:cs="Palatino Linotype"/>
          <w:i/>
          <w:sz w:val="22"/>
          <w:szCs w:val="22"/>
        </w:rPr>
        <w:t xml:space="preserve">; mientras que </w:t>
      </w:r>
      <w:r w:rsidRPr="00F74C21">
        <w:rPr>
          <w:rFonts w:ascii="Palatino Linotype" w:eastAsia="Palatino Linotype" w:hAnsi="Palatino Linotype" w:cs="Palatino Linotype"/>
          <w:b/>
          <w:i/>
          <w:sz w:val="22"/>
          <w:szCs w:val="22"/>
        </w:rPr>
        <w:t>la exhaustividad significa que dicha respuesta se refiera expresamente a cada uno de los puntos solicitados</w:t>
      </w:r>
      <w:r w:rsidRPr="00F74C21">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De ahí que, la respuesta proporcionada al requerimiento en análisis no cumple con los principios de búsqueda exhaustiva, congruencia y exhaustividad; por lo que, este Instituto estima que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no colmó el derecho de acceso a la información de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toda vez que, como ya fue referido anteriormente, cuenta con la obligación de generar Dictámenes de estados financieros; sin embargo, no se realizó la correcta búsqueda de la información dentro de sus archivos, por tanto, los motivos de inconformidad planteados por el particular devienen fundados; resultando procedente ordenar la entrega, de ser procedente en versión pública, de los Dictámenes de Estados Financieros y Dictámenes de Reconducción y Actualización Programática – Presupuestal mayores al 15% del presupuesto inicial, de los ejercicios fiscales dos mil veintiuno y dos mil veintitrés. </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sz w:val="22"/>
          <w:szCs w:val="22"/>
        </w:rPr>
        <w:t xml:space="preserve">Ahora bien como ya fue referido en párrafos que anteceden, este Organismo Garante no tiene certeza de que el Ayuntamiento de Zinacantepec llevará a cabo  reconducciones por subejercicio mayor al 15% como lo solicitó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por lo que para el caso de que la información ordenada no obre en los archivos del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por no haberse generado, bastará con que así se haga del conocimiento de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en términos del artículo 19, párrafo segundo de la Ley de Transparencia y Acceso a la Información Pública del Estado de México y Municipios.</w:t>
      </w:r>
    </w:p>
    <w:p w:rsidR="000E204A" w:rsidRPr="00F74C21" w:rsidRDefault="000E204A">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Quinto. Versión Pública. </w:t>
      </w:r>
      <w:r w:rsidRPr="00F74C21">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sin menoscabar el derecho a la protección de los datos personales de terceros.</w:t>
      </w:r>
    </w:p>
    <w:p w:rsidR="000E204A" w:rsidRPr="00F74C21" w:rsidRDefault="000E204A">
      <w:pPr>
        <w:spacing w:line="360" w:lineRule="auto"/>
        <w:ind w:right="51"/>
        <w:jc w:val="both"/>
        <w:rPr>
          <w:rFonts w:ascii="Palatino Linotype" w:eastAsia="Palatino Linotype" w:hAnsi="Palatino Linotype" w:cs="Palatino Linotype"/>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rsidR="000E204A" w:rsidRPr="00F74C21" w:rsidRDefault="000E204A">
      <w:pPr>
        <w:spacing w:line="276" w:lineRule="auto"/>
        <w:ind w:right="51"/>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b/>
          <w:i/>
          <w:sz w:val="22"/>
          <w:szCs w:val="22"/>
        </w:rPr>
      </w:pPr>
      <w:r w:rsidRPr="00F74C21">
        <w:rPr>
          <w:rFonts w:ascii="Palatino Linotype" w:eastAsia="Palatino Linotype" w:hAnsi="Palatino Linotype" w:cs="Palatino Linotype"/>
          <w:b/>
          <w:i/>
          <w:sz w:val="22"/>
          <w:szCs w:val="22"/>
        </w:rPr>
        <w:t>“Artículo 3. Para los efectos de la presente Ley se entenderá por:</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IX. Datos personales:</w:t>
      </w:r>
      <w:r w:rsidRPr="00F74C21">
        <w:rPr>
          <w:rFonts w:ascii="Palatino Linotype" w:eastAsia="Palatino Linotype" w:hAnsi="Palatino Linotype" w:cs="Palatino Linotype"/>
          <w:i/>
          <w:sz w:val="22"/>
          <w:szCs w:val="22"/>
        </w:rPr>
        <w:t xml:space="preserve"> </w:t>
      </w:r>
      <w:r w:rsidRPr="00F74C21">
        <w:rPr>
          <w:rFonts w:ascii="Palatino Linotype" w:eastAsia="Palatino Linotype" w:hAnsi="Palatino Linotype" w:cs="Palatino Linotype"/>
          <w:b/>
          <w:i/>
          <w:sz w:val="22"/>
          <w:szCs w:val="22"/>
        </w:rPr>
        <w:t>La información concerniente a una persona, identificada o identificable</w:t>
      </w:r>
      <w:r w:rsidRPr="00F74C21">
        <w:rPr>
          <w:rFonts w:ascii="Palatino Linotype" w:eastAsia="Palatino Linotype" w:hAnsi="Palatino Linotype" w:cs="Palatino Linotype"/>
          <w:i/>
          <w:sz w:val="22"/>
          <w:szCs w:val="22"/>
        </w:rPr>
        <w:t xml:space="preserve"> según lo dispuesto por la Ley de Protección de Datos Personales del Estado de México;</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XX. Información clasificada:</w:t>
      </w:r>
      <w:r w:rsidRPr="00F74C21">
        <w:rPr>
          <w:rFonts w:ascii="Palatino Linotype" w:eastAsia="Palatino Linotype" w:hAnsi="Palatino Linotype" w:cs="Palatino Linotype"/>
          <w:i/>
          <w:sz w:val="22"/>
          <w:szCs w:val="22"/>
        </w:rPr>
        <w:t xml:space="preserve"> Aquella considerada por la presente Ley como reservada o confidencial;</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XXXII. Protección de Datos Personales:</w:t>
      </w:r>
      <w:r w:rsidRPr="00F74C21">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XLV. Versión pública</w:t>
      </w:r>
      <w:r w:rsidRPr="00F74C2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0E204A" w:rsidRPr="00F74C21" w:rsidRDefault="000E204A">
      <w:pPr>
        <w:spacing w:line="276" w:lineRule="auto"/>
        <w:ind w:left="851" w:right="616"/>
        <w:jc w:val="both"/>
        <w:rPr>
          <w:rFonts w:ascii="Palatino Linotype" w:eastAsia="Palatino Linotype" w:hAnsi="Palatino Linotype" w:cs="Palatino Linotype"/>
          <w:i/>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“Artículo 6.</w:t>
      </w:r>
      <w:r w:rsidRPr="00F74C21">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E204A" w:rsidRPr="00F74C21" w:rsidRDefault="00B16AED">
      <w:pPr>
        <w:spacing w:line="276" w:lineRule="auto"/>
        <w:ind w:left="851" w:right="616"/>
        <w:jc w:val="both"/>
        <w:rPr>
          <w:rFonts w:ascii="Palatino Linotype" w:eastAsia="Palatino Linotype" w:hAnsi="Palatino Linotype" w:cs="Palatino Linotype"/>
          <w:b/>
          <w:i/>
          <w:sz w:val="22"/>
          <w:szCs w:val="22"/>
        </w:rPr>
      </w:pPr>
      <w:r w:rsidRPr="00F74C21">
        <w:rPr>
          <w:rFonts w:ascii="Palatino Linotype" w:eastAsia="Palatino Linotype" w:hAnsi="Palatino Linotype" w:cs="Palatino Linotype"/>
          <w:b/>
          <w:i/>
          <w:sz w:val="22"/>
          <w:szCs w:val="22"/>
        </w:rPr>
        <w:t>“Artículo 137.</w:t>
      </w:r>
      <w:r w:rsidRPr="00F74C21">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“Artículo 143</w:t>
      </w:r>
      <w:r w:rsidRPr="00F74C2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I.</w:t>
      </w:r>
      <w:r w:rsidRPr="00F74C21">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rsidR="000E204A" w:rsidRPr="00F74C21" w:rsidRDefault="000E204A">
      <w:pPr>
        <w:ind w:left="993" w:right="1041"/>
        <w:jc w:val="both"/>
        <w:rPr>
          <w:rFonts w:ascii="Palatino Linotype" w:eastAsia="Palatino Linotype" w:hAnsi="Palatino Linotype" w:cs="Palatino Linotype"/>
          <w:i/>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E204A" w:rsidRPr="00F74C21" w:rsidRDefault="000E204A">
      <w:pPr>
        <w:spacing w:line="360" w:lineRule="auto"/>
        <w:ind w:right="51"/>
        <w:jc w:val="both"/>
        <w:rPr>
          <w:rFonts w:ascii="Palatino Linotype" w:eastAsia="Palatino Linotype" w:hAnsi="Palatino Linotype" w:cs="Palatino Linotype"/>
          <w:sz w:val="22"/>
          <w:szCs w:val="22"/>
        </w:rPr>
      </w:pPr>
    </w:p>
    <w:p w:rsidR="000E204A" w:rsidRPr="00F74C21" w:rsidRDefault="00B16AED">
      <w:pPr>
        <w:spacing w:line="360" w:lineRule="auto"/>
        <w:ind w:right="50"/>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E204A" w:rsidRPr="00F74C21" w:rsidRDefault="000E204A">
      <w:pPr>
        <w:spacing w:line="360" w:lineRule="auto"/>
        <w:ind w:right="50"/>
        <w:jc w:val="both"/>
        <w:rPr>
          <w:rFonts w:ascii="Palatino Linotype" w:eastAsia="Palatino Linotype" w:hAnsi="Palatino Linotype" w:cs="Palatino Linotype"/>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rsidR="000E204A" w:rsidRPr="00F74C21" w:rsidRDefault="000E204A">
      <w:pPr>
        <w:spacing w:line="360" w:lineRule="auto"/>
        <w:ind w:right="51"/>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“Artículo 49.</w:t>
      </w:r>
      <w:r w:rsidRPr="00F74C21">
        <w:rPr>
          <w:rFonts w:ascii="Palatino Linotype" w:eastAsia="Palatino Linotype" w:hAnsi="Palatino Linotype" w:cs="Palatino Linotype"/>
          <w:i/>
          <w:sz w:val="22"/>
          <w:szCs w:val="22"/>
        </w:rPr>
        <w:t xml:space="preserve"> </w:t>
      </w:r>
      <w:r w:rsidRPr="00F74C21">
        <w:rPr>
          <w:rFonts w:ascii="Palatino Linotype" w:eastAsia="Palatino Linotype" w:hAnsi="Palatino Linotype" w:cs="Palatino Linotype"/>
          <w:b/>
          <w:i/>
          <w:sz w:val="22"/>
          <w:szCs w:val="22"/>
        </w:rPr>
        <w:t>Los Comités de Transparencia</w:t>
      </w:r>
      <w:r w:rsidRPr="00F74C21">
        <w:rPr>
          <w:rFonts w:ascii="Palatino Linotype" w:eastAsia="Palatino Linotype" w:hAnsi="Palatino Linotype" w:cs="Palatino Linotype"/>
          <w:i/>
          <w:sz w:val="22"/>
          <w:szCs w:val="22"/>
        </w:rPr>
        <w:t xml:space="preserve"> tendrán las siguientes atribuciones:</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VIII. Aprobar, modificar o revocar la clasificación de la información</w:t>
      </w:r>
      <w:r w:rsidRPr="00F74C21">
        <w:rPr>
          <w:rFonts w:ascii="Palatino Linotype" w:eastAsia="Palatino Linotype" w:hAnsi="Palatino Linotype" w:cs="Palatino Linotype"/>
          <w:i/>
          <w:sz w:val="22"/>
          <w:szCs w:val="22"/>
        </w:rPr>
        <w:t>…”</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Artículo 53.</w:t>
      </w:r>
      <w:r w:rsidRPr="00F74C21">
        <w:rPr>
          <w:rFonts w:ascii="Palatino Linotype" w:eastAsia="Palatino Linotype" w:hAnsi="Palatino Linotype" w:cs="Palatino Linotype"/>
          <w:i/>
          <w:sz w:val="22"/>
          <w:szCs w:val="22"/>
        </w:rPr>
        <w:t xml:space="preserve"> Las </w:t>
      </w:r>
      <w:r w:rsidRPr="00F74C21">
        <w:rPr>
          <w:rFonts w:ascii="Palatino Linotype" w:eastAsia="Palatino Linotype" w:hAnsi="Palatino Linotype" w:cs="Palatino Linotype"/>
          <w:b/>
          <w:i/>
          <w:sz w:val="22"/>
          <w:szCs w:val="22"/>
        </w:rPr>
        <w:t>Unidades de Transparencia</w:t>
      </w:r>
      <w:r w:rsidRPr="00F74C21">
        <w:rPr>
          <w:rFonts w:ascii="Palatino Linotype" w:eastAsia="Palatino Linotype" w:hAnsi="Palatino Linotype" w:cs="Palatino Linotype"/>
          <w:i/>
          <w:sz w:val="22"/>
          <w:szCs w:val="22"/>
        </w:rPr>
        <w:t xml:space="preserve"> tendrán las siguientes </w:t>
      </w:r>
      <w:r w:rsidRPr="00F74C21">
        <w:rPr>
          <w:rFonts w:ascii="Palatino Linotype" w:eastAsia="Palatino Linotype" w:hAnsi="Palatino Linotype" w:cs="Palatino Linotype"/>
          <w:b/>
          <w:i/>
          <w:sz w:val="22"/>
          <w:szCs w:val="22"/>
        </w:rPr>
        <w:t>funciones</w:t>
      </w:r>
      <w:r w:rsidRPr="00F74C21">
        <w:rPr>
          <w:rFonts w:ascii="Palatino Linotype" w:eastAsia="Palatino Linotype" w:hAnsi="Palatino Linotype" w:cs="Palatino Linotype"/>
          <w:i/>
          <w:sz w:val="22"/>
          <w:szCs w:val="22"/>
        </w:rPr>
        <w:t>:</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X. Presentar ante el Comité, el proyecto de clasificación de información</w:t>
      </w:r>
      <w:r w:rsidRPr="00F74C21">
        <w:rPr>
          <w:rFonts w:ascii="Palatino Linotype" w:eastAsia="Palatino Linotype" w:hAnsi="Palatino Linotype" w:cs="Palatino Linotype"/>
          <w:i/>
          <w:sz w:val="22"/>
          <w:szCs w:val="22"/>
        </w:rPr>
        <w:t xml:space="preserve">…” </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“Artículo 59.</w:t>
      </w:r>
      <w:r w:rsidRPr="00F74C21">
        <w:rPr>
          <w:rFonts w:ascii="Palatino Linotype" w:eastAsia="Palatino Linotype" w:hAnsi="Palatino Linotype" w:cs="Palatino Linotype"/>
          <w:i/>
          <w:sz w:val="22"/>
          <w:szCs w:val="22"/>
        </w:rPr>
        <w:t xml:space="preserve"> Los </w:t>
      </w:r>
      <w:r w:rsidRPr="00F74C21">
        <w:rPr>
          <w:rFonts w:ascii="Palatino Linotype" w:eastAsia="Palatino Linotype" w:hAnsi="Palatino Linotype" w:cs="Palatino Linotype"/>
          <w:b/>
          <w:i/>
          <w:sz w:val="22"/>
          <w:szCs w:val="22"/>
        </w:rPr>
        <w:t>servidores públicos habilitados</w:t>
      </w:r>
      <w:r w:rsidRPr="00F74C21">
        <w:rPr>
          <w:rFonts w:ascii="Palatino Linotype" w:eastAsia="Palatino Linotype" w:hAnsi="Palatino Linotype" w:cs="Palatino Linotype"/>
          <w:i/>
          <w:sz w:val="22"/>
          <w:szCs w:val="22"/>
        </w:rPr>
        <w:t xml:space="preserve"> tendrán las </w:t>
      </w:r>
      <w:r w:rsidRPr="00F74C21">
        <w:rPr>
          <w:rFonts w:ascii="Palatino Linotype" w:eastAsia="Palatino Linotype" w:hAnsi="Palatino Linotype" w:cs="Palatino Linotype"/>
          <w:b/>
          <w:i/>
          <w:sz w:val="22"/>
          <w:szCs w:val="22"/>
        </w:rPr>
        <w:t>funciones</w:t>
      </w:r>
      <w:r w:rsidRPr="00F74C21">
        <w:rPr>
          <w:rFonts w:ascii="Palatino Linotype" w:eastAsia="Palatino Linotype" w:hAnsi="Palatino Linotype" w:cs="Palatino Linotype"/>
          <w:i/>
          <w:sz w:val="22"/>
          <w:szCs w:val="22"/>
        </w:rPr>
        <w:t xml:space="preserve"> siguientes:</w:t>
      </w: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74C21">
        <w:rPr>
          <w:rFonts w:ascii="Palatino Linotype" w:eastAsia="Palatino Linotype" w:hAnsi="Palatino Linotype" w:cs="Palatino Linotype"/>
          <w:i/>
          <w:sz w:val="22"/>
          <w:szCs w:val="22"/>
        </w:rPr>
        <w:t xml:space="preserve">, la cual tendrá los fundamentos y argumentos en que se basa dicha propuesta…” </w:t>
      </w:r>
    </w:p>
    <w:p w:rsidR="000E204A" w:rsidRPr="00F74C21" w:rsidRDefault="000E204A">
      <w:pPr>
        <w:spacing w:line="276" w:lineRule="auto"/>
        <w:ind w:left="992" w:right="1043"/>
        <w:jc w:val="both"/>
        <w:rPr>
          <w:rFonts w:ascii="Palatino Linotype" w:eastAsia="Palatino Linotype" w:hAnsi="Palatino Linotype" w:cs="Palatino Linotype"/>
          <w:i/>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Artículo 149.</w:t>
      </w:r>
      <w:r w:rsidRPr="00F74C21">
        <w:rPr>
          <w:rFonts w:ascii="Palatino Linotype" w:eastAsia="Palatino Linotype" w:hAnsi="Palatino Linotype" w:cs="Palatino Linotype"/>
          <w:i/>
          <w:sz w:val="22"/>
          <w:szCs w:val="22"/>
        </w:rPr>
        <w:t xml:space="preserve"> El </w:t>
      </w:r>
      <w:r w:rsidRPr="00F74C21">
        <w:rPr>
          <w:rFonts w:ascii="Palatino Linotype" w:eastAsia="Palatino Linotype" w:hAnsi="Palatino Linotype" w:cs="Palatino Linotype"/>
          <w:b/>
          <w:i/>
          <w:sz w:val="22"/>
          <w:szCs w:val="22"/>
        </w:rPr>
        <w:t>acuerdo que clasifique la información como confidencial</w:t>
      </w:r>
      <w:r w:rsidRPr="00F74C2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rsidR="000E204A" w:rsidRPr="00F74C21" w:rsidRDefault="000E204A">
      <w:pPr>
        <w:spacing w:line="360" w:lineRule="auto"/>
        <w:ind w:right="51"/>
        <w:jc w:val="both"/>
        <w:rPr>
          <w:rFonts w:ascii="Palatino Linotype" w:eastAsia="Palatino Linotype" w:hAnsi="Palatino Linotype" w:cs="Palatino Linotype"/>
          <w:sz w:val="22"/>
          <w:szCs w:val="22"/>
        </w:rPr>
      </w:pPr>
    </w:p>
    <w:p w:rsidR="000E204A" w:rsidRPr="00F74C21" w:rsidRDefault="00B16AED">
      <w:pPr>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Es decir, el</w:t>
      </w:r>
      <w:r w:rsidRPr="00F74C21">
        <w:rPr>
          <w:rFonts w:ascii="Palatino Linotype" w:eastAsia="Palatino Linotype" w:hAnsi="Palatino Linotype" w:cs="Palatino Linotype"/>
          <w:b/>
          <w:sz w:val="22"/>
          <w:szCs w:val="22"/>
        </w:rPr>
        <w:t xml:space="preserve"> Sujeto Obligado</w:t>
      </w:r>
      <w:r w:rsidRPr="00F74C2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E204A" w:rsidRPr="00F74C21" w:rsidRDefault="000E204A">
      <w:pPr>
        <w:spacing w:line="360" w:lineRule="auto"/>
        <w:ind w:right="51"/>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Al respecto, se destaca que la versión pública que elabore el</w:t>
      </w:r>
      <w:r w:rsidRPr="00F74C21">
        <w:rPr>
          <w:rFonts w:ascii="Palatino Linotype" w:eastAsia="Palatino Linotype" w:hAnsi="Palatino Linotype" w:cs="Palatino Linotype"/>
          <w:b/>
          <w:sz w:val="22"/>
          <w:szCs w:val="22"/>
        </w:rPr>
        <w:t xml:space="preserve"> Sujeto Obligado</w:t>
      </w:r>
      <w:r w:rsidRPr="00F74C21">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74C21">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F74C21">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E204A" w:rsidRPr="00F74C21" w:rsidRDefault="000E204A">
      <w:pPr>
        <w:ind w:left="709" w:right="709"/>
        <w:jc w:val="both"/>
        <w:rPr>
          <w:rFonts w:ascii="Palatino Linotype" w:eastAsia="Palatino Linotype" w:hAnsi="Palatino Linotype" w:cs="Palatino Linotype"/>
          <w:b/>
          <w:i/>
          <w:sz w:val="22"/>
          <w:szCs w:val="22"/>
        </w:rPr>
      </w:pP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w:t>
      </w:r>
      <w:r w:rsidRPr="00F74C21">
        <w:rPr>
          <w:rFonts w:ascii="Palatino Linotype" w:eastAsia="Palatino Linotype" w:hAnsi="Palatino Linotype" w:cs="Palatino Linotype"/>
          <w:b/>
          <w:i/>
          <w:sz w:val="22"/>
          <w:szCs w:val="22"/>
        </w:rPr>
        <w:t>Segundo.-</w:t>
      </w:r>
      <w:r w:rsidRPr="00F74C21">
        <w:rPr>
          <w:rFonts w:ascii="Palatino Linotype" w:eastAsia="Palatino Linotype" w:hAnsi="Palatino Linotype" w:cs="Palatino Linotype"/>
          <w:i/>
          <w:sz w:val="22"/>
          <w:szCs w:val="22"/>
        </w:rPr>
        <w:t xml:space="preserve"> Para efectos de los presentes Lineamientos Generales, se entenderá por:</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XVIII.</w:t>
      </w:r>
      <w:r w:rsidRPr="00F74C21">
        <w:rPr>
          <w:rFonts w:ascii="Palatino Linotype" w:eastAsia="Palatino Linotype" w:hAnsi="Palatino Linotype" w:cs="Palatino Linotype"/>
          <w:i/>
          <w:sz w:val="22"/>
          <w:szCs w:val="22"/>
        </w:rPr>
        <w:t xml:space="preserve"> </w:t>
      </w:r>
      <w:r w:rsidRPr="00F74C21">
        <w:rPr>
          <w:rFonts w:ascii="Palatino Linotype" w:eastAsia="Palatino Linotype" w:hAnsi="Palatino Linotype" w:cs="Palatino Linotype"/>
          <w:b/>
          <w:i/>
          <w:sz w:val="22"/>
          <w:szCs w:val="22"/>
        </w:rPr>
        <w:t>Versión pública:</w:t>
      </w:r>
      <w:r w:rsidRPr="00F74C21">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74C21">
        <w:rPr>
          <w:rFonts w:ascii="Palatino Linotype" w:eastAsia="Palatino Linotype" w:hAnsi="Palatino Linotype" w:cs="Palatino Linotype"/>
          <w:b/>
          <w:i/>
          <w:sz w:val="22"/>
          <w:szCs w:val="22"/>
          <w:u w:val="single"/>
        </w:rPr>
        <w:t>fundando y motivando la</w:t>
      </w:r>
      <w:r w:rsidRPr="00F74C21">
        <w:rPr>
          <w:rFonts w:ascii="Palatino Linotype" w:eastAsia="Palatino Linotype" w:hAnsi="Palatino Linotype" w:cs="Palatino Linotype"/>
          <w:i/>
          <w:sz w:val="22"/>
          <w:szCs w:val="22"/>
        </w:rPr>
        <w:t xml:space="preserve"> reserva o </w:t>
      </w:r>
      <w:r w:rsidRPr="00F74C21">
        <w:rPr>
          <w:rFonts w:ascii="Palatino Linotype" w:eastAsia="Palatino Linotype" w:hAnsi="Palatino Linotype" w:cs="Palatino Linotype"/>
          <w:b/>
          <w:i/>
          <w:sz w:val="22"/>
          <w:szCs w:val="22"/>
          <w:u w:val="single"/>
        </w:rPr>
        <w:t>confidencialidad</w:t>
      </w:r>
      <w:r w:rsidRPr="00F74C21">
        <w:rPr>
          <w:rFonts w:ascii="Palatino Linotype" w:eastAsia="Palatino Linotype" w:hAnsi="Palatino Linotype" w:cs="Palatino Linotype"/>
          <w:i/>
          <w:sz w:val="22"/>
          <w:szCs w:val="22"/>
        </w:rPr>
        <w:t>, a través de la resolución que para tal efecto emita el Comité de Transparencia.</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Cuarto.</w:t>
      </w:r>
      <w:r w:rsidRPr="00F74C21">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Quinto.</w:t>
      </w:r>
      <w:r w:rsidRPr="00F74C21">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Séptimo.</w:t>
      </w:r>
      <w:r w:rsidRPr="00F74C21">
        <w:rPr>
          <w:rFonts w:ascii="Palatino Linotype" w:eastAsia="Palatino Linotype" w:hAnsi="Palatino Linotype" w:cs="Palatino Linotype"/>
          <w:i/>
          <w:sz w:val="22"/>
          <w:szCs w:val="22"/>
        </w:rPr>
        <w:t xml:space="preserve"> La clasificación de la información se llevará a cabo en el momento en que:</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I.</w:t>
      </w:r>
      <w:r w:rsidRPr="00F74C21">
        <w:rPr>
          <w:rFonts w:ascii="Palatino Linotype" w:eastAsia="Palatino Linotype" w:hAnsi="Palatino Linotype" w:cs="Palatino Linotype"/>
          <w:i/>
          <w:sz w:val="22"/>
          <w:szCs w:val="22"/>
        </w:rPr>
        <w:t xml:space="preserve"> Se reciba una solicitud de acceso a la información;</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II.</w:t>
      </w:r>
      <w:r w:rsidRPr="00F74C21">
        <w:rPr>
          <w:rFonts w:ascii="Palatino Linotype" w:eastAsia="Palatino Linotype" w:hAnsi="Palatino Linotype" w:cs="Palatino Linotype"/>
          <w:i/>
          <w:sz w:val="22"/>
          <w:szCs w:val="22"/>
        </w:rPr>
        <w:t xml:space="preserve"> Se  determine mediante resolución del Comité de Transparencia, el órgano garante </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competente, o en cumplimiento a una sentencia del Poder Judicial; o</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III.</w:t>
      </w:r>
      <w:r w:rsidRPr="00F74C21">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Octavo.</w:t>
      </w:r>
      <w:r w:rsidRPr="00F74C21">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Noveno.</w:t>
      </w:r>
      <w:r w:rsidRPr="00F74C21">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Décimo.</w:t>
      </w:r>
      <w:r w:rsidRPr="00F74C21">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Décimo primero.</w:t>
      </w:r>
      <w:r w:rsidRPr="00F74C21">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E204A" w:rsidRPr="00F74C21" w:rsidRDefault="000E204A">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w:t>
      </w:r>
    </w:p>
    <w:p w:rsidR="000E204A" w:rsidRPr="00F74C21" w:rsidRDefault="00B16AED">
      <w:pPr>
        <w:pBdr>
          <w:top w:val="nil"/>
          <w:left w:val="nil"/>
          <w:bottom w:val="nil"/>
          <w:right w:val="nil"/>
          <w:between w:val="nil"/>
        </w:pBdr>
        <w:spacing w:line="276" w:lineRule="auto"/>
        <w:ind w:left="851" w:right="616"/>
        <w:jc w:val="center"/>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CAPÍTULO VIII</w:t>
      </w:r>
    </w:p>
    <w:p w:rsidR="000E204A" w:rsidRPr="00F74C21" w:rsidRDefault="00B16AED">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F74C21">
        <w:rPr>
          <w:rFonts w:ascii="Palatino Linotype" w:eastAsia="Palatino Linotype" w:hAnsi="Palatino Linotype" w:cs="Palatino Linotype"/>
          <w:b/>
          <w:i/>
          <w:sz w:val="22"/>
          <w:szCs w:val="22"/>
        </w:rPr>
        <w:t>DE LOS ELEMENTOS PARA LA CLASIFICACIÓN</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Quincuagésimo</w:t>
      </w:r>
      <w:r w:rsidRPr="00F74C21">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Quincuagésimo primero</w:t>
      </w:r>
      <w:r w:rsidRPr="00F74C21">
        <w:rPr>
          <w:rFonts w:ascii="Palatino Linotype" w:eastAsia="Palatino Linotype" w:hAnsi="Palatino Linotype" w:cs="Palatino Linotype"/>
          <w:i/>
          <w:sz w:val="22"/>
          <w:szCs w:val="22"/>
        </w:rPr>
        <w:t>. Toda acta del Comité de Transparencia deberá contener:</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I. El número de sesión y fecha; </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II. El nombre del área que solicitó la clasificación de información;</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III. La fundamentación legal y motivación correspondiente;</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IV. La resolución o resoluciones aprobadas; y</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V. La rúbrica o firma digital de cada integrante del Comité de Transparencia. </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 Los motivos y razonamientos que sustenten la confirmación o modificación de la prueba de daño;</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II. Descripción de las partes o secciones reservadas, en caso de clasificación parcial;</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III. El periodo por el que mantendrá su clasificación y fecha de expiración; y</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IV. El nombre del titular y área encargada de realizar la versión pública del documento, en su caso.</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b/>
          <w:i/>
          <w:sz w:val="22"/>
          <w:szCs w:val="22"/>
        </w:rPr>
        <w:t>Quincuagésimo segundo</w:t>
      </w:r>
      <w:r w:rsidRPr="00F74C21">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III. Señalar las personas o instancias autorizadas a acceder a la información clasificada.</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i/>
          <w:sz w:val="22"/>
          <w:szCs w:val="22"/>
        </w:rPr>
        <w:t>…</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E204A" w:rsidRPr="00F74C21" w:rsidRDefault="00B16AED">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rsidR="000E204A" w:rsidRPr="00F74C21" w:rsidRDefault="000E204A">
      <w:pPr>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hd w:val="clear" w:color="auto" w:fill="FFFFFF"/>
        <w:spacing w:line="360" w:lineRule="auto"/>
        <w:ind w:right="51"/>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de la Ley de Transparencia y Acceso a la Información Pública del Estado de México y Municipios, este Pleno:</w:t>
      </w:r>
    </w:p>
    <w:p w:rsidR="000E204A" w:rsidRPr="00F74C21" w:rsidRDefault="00B16AED">
      <w:pPr>
        <w:numPr>
          <w:ilvl w:val="0"/>
          <w:numId w:val="8"/>
        </w:numPr>
        <w:pBdr>
          <w:top w:val="nil"/>
          <w:left w:val="nil"/>
          <w:bottom w:val="nil"/>
          <w:right w:val="nil"/>
          <w:between w:val="nil"/>
        </w:pBdr>
        <w:spacing w:line="360" w:lineRule="auto"/>
        <w:ind w:left="284" w:hanging="141"/>
        <w:jc w:val="center"/>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R E S U E L V E:</w:t>
      </w:r>
    </w:p>
    <w:p w:rsidR="000E204A" w:rsidRPr="00F74C21" w:rsidRDefault="00B16AED">
      <w:pPr>
        <w:spacing w:line="360" w:lineRule="auto"/>
        <w:jc w:val="both"/>
        <w:rPr>
          <w:rFonts w:ascii="Palatino Linotype" w:eastAsia="Palatino Linotype" w:hAnsi="Palatino Linotype" w:cs="Palatino Linotype"/>
          <w:b/>
          <w:sz w:val="22"/>
          <w:szCs w:val="22"/>
        </w:rPr>
      </w:pPr>
      <w:r w:rsidRPr="00F74C21">
        <w:rPr>
          <w:rFonts w:ascii="Palatino Linotype" w:eastAsia="Palatino Linotype" w:hAnsi="Palatino Linotype" w:cs="Palatino Linotype"/>
          <w:b/>
          <w:sz w:val="22"/>
          <w:szCs w:val="22"/>
        </w:rPr>
        <w:t xml:space="preserve">Primero. </w:t>
      </w:r>
      <w:r w:rsidRPr="00F74C21">
        <w:rPr>
          <w:rFonts w:ascii="Palatino Linotype" w:eastAsia="Palatino Linotype" w:hAnsi="Palatino Linotype" w:cs="Palatino Linotype"/>
          <w:sz w:val="22"/>
          <w:szCs w:val="22"/>
        </w:rPr>
        <w:t xml:space="preserve">Resultan </w:t>
      </w:r>
      <w:r w:rsidRPr="00F74C21">
        <w:rPr>
          <w:rFonts w:ascii="Palatino Linotype" w:eastAsia="Palatino Linotype" w:hAnsi="Palatino Linotype" w:cs="Palatino Linotype"/>
          <w:b/>
          <w:sz w:val="22"/>
          <w:szCs w:val="22"/>
        </w:rPr>
        <w:t>fundadas</w:t>
      </w:r>
      <w:r w:rsidRPr="00F74C21">
        <w:rPr>
          <w:rFonts w:ascii="Palatino Linotype" w:eastAsia="Palatino Linotype" w:hAnsi="Palatino Linotype" w:cs="Palatino Linotype"/>
          <w:sz w:val="22"/>
          <w:szCs w:val="22"/>
        </w:rPr>
        <w:t xml:space="preserve"> las razones o motivos de inconformidad hechos valer por la parte</w:t>
      </w:r>
      <w:r w:rsidRPr="00F74C21">
        <w:rPr>
          <w:rFonts w:ascii="Palatino Linotype" w:eastAsia="Palatino Linotype" w:hAnsi="Palatino Linotype" w:cs="Palatino Linotype"/>
          <w:b/>
          <w:sz w:val="22"/>
          <w:szCs w:val="22"/>
        </w:rPr>
        <w:t xml:space="preserve"> Recurrente</w:t>
      </w:r>
      <w:r w:rsidRPr="00F74C21">
        <w:rPr>
          <w:rFonts w:ascii="Palatino Linotype" w:eastAsia="Palatino Linotype" w:hAnsi="Palatino Linotype" w:cs="Palatino Linotype"/>
          <w:sz w:val="22"/>
          <w:szCs w:val="22"/>
        </w:rPr>
        <w:t xml:space="preserve"> en el recurso de revisión </w:t>
      </w:r>
      <w:r w:rsidRPr="00F74C21">
        <w:rPr>
          <w:rFonts w:ascii="Palatino Linotype" w:eastAsia="Palatino Linotype" w:hAnsi="Palatino Linotype" w:cs="Palatino Linotype"/>
          <w:b/>
          <w:sz w:val="22"/>
          <w:szCs w:val="22"/>
        </w:rPr>
        <w:t>06839/INFOEM/IP/RR/2025</w:t>
      </w:r>
      <w:r w:rsidRPr="00F74C21">
        <w:rPr>
          <w:rFonts w:ascii="Palatino Linotype" w:eastAsia="Palatino Linotype" w:hAnsi="Palatino Linotype" w:cs="Palatino Linotype"/>
          <w:sz w:val="22"/>
          <w:szCs w:val="22"/>
        </w:rPr>
        <w:t xml:space="preserve">; por lo que, en términos del </w:t>
      </w:r>
      <w:r w:rsidRPr="00F74C21">
        <w:rPr>
          <w:rFonts w:ascii="Palatino Linotype" w:eastAsia="Palatino Linotype" w:hAnsi="Palatino Linotype" w:cs="Palatino Linotype"/>
          <w:b/>
          <w:sz w:val="22"/>
          <w:szCs w:val="22"/>
        </w:rPr>
        <w:t>Considerando</w:t>
      </w:r>
      <w:r w:rsidRPr="00F74C21">
        <w:rPr>
          <w:rFonts w:ascii="Palatino Linotype" w:eastAsia="Palatino Linotype" w:hAnsi="Palatino Linotype" w:cs="Palatino Linotype"/>
          <w:sz w:val="22"/>
          <w:szCs w:val="22"/>
        </w:rPr>
        <w:t xml:space="preserve"> </w:t>
      </w:r>
      <w:r w:rsidRPr="00F74C21">
        <w:rPr>
          <w:rFonts w:ascii="Palatino Linotype" w:eastAsia="Palatino Linotype" w:hAnsi="Palatino Linotype" w:cs="Palatino Linotype"/>
          <w:b/>
          <w:sz w:val="22"/>
          <w:szCs w:val="22"/>
        </w:rPr>
        <w:t xml:space="preserve">Cuarto </w:t>
      </w:r>
      <w:r w:rsidRPr="00F74C21">
        <w:rPr>
          <w:rFonts w:ascii="Palatino Linotype" w:eastAsia="Palatino Linotype" w:hAnsi="Palatino Linotype" w:cs="Palatino Linotype"/>
          <w:sz w:val="22"/>
          <w:szCs w:val="22"/>
        </w:rPr>
        <w:t xml:space="preserve">de esta resolución, se </w:t>
      </w:r>
      <w:r w:rsidRPr="00F74C21">
        <w:rPr>
          <w:rFonts w:ascii="Palatino Linotype" w:eastAsia="Palatino Linotype" w:hAnsi="Palatino Linotype" w:cs="Palatino Linotype"/>
          <w:b/>
          <w:sz w:val="22"/>
          <w:szCs w:val="22"/>
        </w:rPr>
        <w:t xml:space="preserve">Modifica </w:t>
      </w:r>
      <w:r w:rsidRPr="00F74C21">
        <w:rPr>
          <w:rFonts w:ascii="Palatino Linotype" w:eastAsia="Palatino Linotype" w:hAnsi="Palatino Linotype" w:cs="Palatino Linotype"/>
          <w:sz w:val="22"/>
          <w:szCs w:val="22"/>
        </w:rPr>
        <w:t xml:space="preserve">la respuesta emitida por el </w:t>
      </w:r>
      <w:r w:rsidRPr="00F74C21">
        <w:rPr>
          <w:rFonts w:ascii="Palatino Linotype" w:eastAsia="Palatino Linotype" w:hAnsi="Palatino Linotype" w:cs="Palatino Linotype"/>
          <w:b/>
          <w:sz w:val="22"/>
          <w:szCs w:val="22"/>
        </w:rPr>
        <w:t>Sujeto Obligado.</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ind w:right="49"/>
        <w:jc w:val="both"/>
        <w:rPr>
          <w:rFonts w:ascii="Palatino Linotype" w:eastAsia="Palatino Linotype" w:hAnsi="Palatino Linotype" w:cs="Palatino Linotype"/>
          <w:sz w:val="22"/>
          <w:szCs w:val="22"/>
        </w:rPr>
      </w:pPr>
      <w:bookmarkStart w:id="7" w:name="_heading=h.1fob9te" w:colFirst="0" w:colLast="0"/>
      <w:bookmarkEnd w:id="7"/>
      <w:r w:rsidRPr="00F74C21">
        <w:rPr>
          <w:rFonts w:ascii="Palatino Linotype" w:eastAsia="Palatino Linotype" w:hAnsi="Palatino Linotype" w:cs="Palatino Linotype"/>
          <w:b/>
          <w:sz w:val="22"/>
          <w:szCs w:val="22"/>
        </w:rPr>
        <w:t xml:space="preserve">Segundo. </w:t>
      </w:r>
      <w:r w:rsidRPr="00F74C21">
        <w:rPr>
          <w:rFonts w:ascii="Palatino Linotype" w:eastAsia="Palatino Linotype" w:hAnsi="Palatino Linotype" w:cs="Palatino Linotype"/>
          <w:sz w:val="22"/>
          <w:szCs w:val="22"/>
        </w:rPr>
        <w:t xml:space="preserve">Se </w:t>
      </w:r>
      <w:r w:rsidRPr="00F74C21">
        <w:rPr>
          <w:rFonts w:ascii="Palatino Linotype" w:eastAsia="Palatino Linotype" w:hAnsi="Palatino Linotype" w:cs="Palatino Linotype"/>
          <w:b/>
          <w:sz w:val="22"/>
          <w:szCs w:val="22"/>
        </w:rPr>
        <w:t xml:space="preserve">ordena </w:t>
      </w:r>
      <w:r w:rsidRPr="00F74C21">
        <w:rPr>
          <w:rFonts w:ascii="Palatino Linotype" w:eastAsia="Palatino Linotype" w:hAnsi="Palatino Linotype" w:cs="Palatino Linotype"/>
          <w:sz w:val="22"/>
          <w:szCs w:val="22"/>
        </w:rPr>
        <w:t xml:space="preserve">al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xml:space="preserve"> entregue, a</w:t>
      </w:r>
      <w:r w:rsidRPr="00F74C21">
        <w:rPr>
          <w:rFonts w:ascii="Palatino Linotype" w:eastAsia="Palatino Linotype" w:hAnsi="Palatino Linotype" w:cs="Palatino Linotype"/>
          <w:b/>
          <w:sz w:val="22"/>
          <w:szCs w:val="22"/>
        </w:rPr>
        <w:t xml:space="preserve"> </w:t>
      </w:r>
      <w:r w:rsidRPr="00F74C21">
        <w:rPr>
          <w:rFonts w:ascii="Palatino Linotype" w:eastAsia="Palatino Linotype" w:hAnsi="Palatino Linotype" w:cs="Palatino Linotype"/>
          <w:sz w:val="22"/>
          <w:szCs w:val="22"/>
        </w:rPr>
        <w:t xml:space="preserve">la parte </w:t>
      </w:r>
      <w:r w:rsidRPr="00F74C21">
        <w:rPr>
          <w:rFonts w:ascii="Palatino Linotype" w:eastAsia="Palatino Linotype" w:hAnsi="Palatino Linotype" w:cs="Palatino Linotype"/>
          <w:b/>
          <w:sz w:val="22"/>
          <w:szCs w:val="22"/>
        </w:rPr>
        <w:t>Recurrente</w:t>
      </w:r>
      <w:r w:rsidRPr="00F74C21">
        <w:rPr>
          <w:rFonts w:ascii="Palatino Linotype" w:eastAsia="Palatino Linotype" w:hAnsi="Palatino Linotype" w:cs="Palatino Linotype"/>
          <w:sz w:val="22"/>
          <w:szCs w:val="22"/>
        </w:rPr>
        <w:t xml:space="preserve">, </w:t>
      </w:r>
      <w:r w:rsidRPr="00F74C21">
        <w:rPr>
          <w:rFonts w:ascii="Palatino Linotype" w:eastAsia="Palatino Linotype" w:hAnsi="Palatino Linotype" w:cs="Palatino Linotype"/>
          <w:b/>
          <w:sz w:val="22"/>
          <w:szCs w:val="22"/>
        </w:rPr>
        <w:t xml:space="preserve">vía SAIMEX, </w:t>
      </w:r>
      <w:r w:rsidRPr="00F74C21">
        <w:rPr>
          <w:rFonts w:ascii="Palatino Linotype" w:eastAsia="Palatino Linotype" w:hAnsi="Palatino Linotype" w:cs="Palatino Linotype"/>
          <w:sz w:val="22"/>
          <w:szCs w:val="22"/>
        </w:rPr>
        <w:t>en términos de</w:t>
      </w:r>
      <w:r w:rsidRPr="00F74C21">
        <w:rPr>
          <w:rFonts w:ascii="Palatino Linotype" w:eastAsia="Palatino Linotype" w:hAnsi="Palatino Linotype" w:cs="Palatino Linotype"/>
          <w:b/>
          <w:sz w:val="22"/>
          <w:szCs w:val="22"/>
        </w:rPr>
        <w:t>l Considerando</w:t>
      </w:r>
      <w:r w:rsidRPr="00F74C21">
        <w:rPr>
          <w:rFonts w:ascii="Palatino Linotype" w:eastAsia="Palatino Linotype" w:hAnsi="Palatino Linotype" w:cs="Palatino Linotype"/>
          <w:sz w:val="22"/>
          <w:szCs w:val="22"/>
        </w:rPr>
        <w:t xml:space="preserve"> </w:t>
      </w:r>
      <w:r w:rsidRPr="00F74C21">
        <w:rPr>
          <w:rFonts w:ascii="Palatino Linotype" w:eastAsia="Palatino Linotype" w:hAnsi="Palatino Linotype" w:cs="Palatino Linotype"/>
          <w:b/>
          <w:sz w:val="22"/>
          <w:szCs w:val="22"/>
        </w:rPr>
        <w:t>Cuarto y Quinto</w:t>
      </w:r>
      <w:r w:rsidRPr="00F74C21">
        <w:rPr>
          <w:rFonts w:ascii="Palatino Linotype" w:eastAsia="Palatino Linotype" w:hAnsi="Palatino Linotype" w:cs="Palatino Linotype"/>
          <w:sz w:val="22"/>
          <w:szCs w:val="22"/>
        </w:rPr>
        <w:t>, previa búsqueda exhaustiva y razonable, de ser procedente en versión pública, de lo siguiente:</w:t>
      </w:r>
    </w:p>
    <w:p w:rsidR="000E204A" w:rsidRPr="00F74C21" w:rsidRDefault="000E204A">
      <w:pPr>
        <w:spacing w:line="360" w:lineRule="auto"/>
        <w:ind w:right="49"/>
        <w:jc w:val="both"/>
        <w:rPr>
          <w:rFonts w:ascii="Palatino Linotype" w:eastAsia="Palatino Linotype" w:hAnsi="Palatino Linotype" w:cs="Palatino Linotype"/>
          <w:i/>
          <w:sz w:val="22"/>
          <w:szCs w:val="22"/>
        </w:rPr>
      </w:pPr>
    </w:p>
    <w:p w:rsidR="000E204A" w:rsidRPr="00F74C21" w:rsidRDefault="00B16AED">
      <w:pPr>
        <w:numPr>
          <w:ilvl w:val="0"/>
          <w:numId w:val="7"/>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bookmarkStart w:id="8" w:name="_heading=h.lp9xh3dw0ygd" w:colFirst="0" w:colLast="0"/>
      <w:bookmarkEnd w:id="8"/>
      <w:r w:rsidRPr="00F74C21">
        <w:rPr>
          <w:rFonts w:ascii="Palatino Linotype" w:eastAsia="Palatino Linotype" w:hAnsi="Palatino Linotype" w:cs="Palatino Linotype"/>
          <w:sz w:val="22"/>
          <w:szCs w:val="22"/>
        </w:rPr>
        <w:t>Dictámenes de Estados Financieros y Dictámenes de Reconducción y Actualización Programática – Presupuestal  por subejercicio mayor al 15%, de los ejercicios fiscales dos mil veintiuno y dos mil veintitrés.</w:t>
      </w:r>
    </w:p>
    <w:p w:rsidR="000E204A" w:rsidRPr="00F74C21" w:rsidRDefault="000E204A">
      <w:pPr>
        <w:pBdr>
          <w:top w:val="nil"/>
          <w:left w:val="nil"/>
          <w:bottom w:val="nil"/>
          <w:right w:val="nil"/>
          <w:between w:val="nil"/>
        </w:pBdr>
        <w:tabs>
          <w:tab w:val="left" w:pos="851"/>
        </w:tabs>
        <w:ind w:left="851" w:right="616"/>
        <w:jc w:val="both"/>
        <w:rPr>
          <w:rFonts w:ascii="Palatino Linotype" w:eastAsia="Palatino Linotype" w:hAnsi="Palatino Linotype" w:cs="Palatino Linotype"/>
          <w:i/>
          <w:sz w:val="22"/>
          <w:szCs w:val="22"/>
        </w:rPr>
      </w:pPr>
    </w:p>
    <w:p w:rsidR="000E204A" w:rsidRPr="00F74C21" w:rsidRDefault="00B16AED">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F74C21">
        <w:rPr>
          <w:rFonts w:ascii="Palatino Linotype" w:eastAsia="Palatino Linotype" w:hAnsi="Palatino Linotype" w:cs="Palatino Linotype"/>
          <w:b/>
          <w:i/>
          <w:sz w:val="22"/>
          <w:szCs w:val="22"/>
        </w:rPr>
        <w:t>Recurrente</w:t>
      </w:r>
      <w:r w:rsidRPr="00F74C21">
        <w:rPr>
          <w:rFonts w:ascii="Palatino Linotype" w:eastAsia="Palatino Linotype" w:hAnsi="Palatino Linotype" w:cs="Palatino Linotype"/>
          <w:i/>
          <w:sz w:val="22"/>
          <w:szCs w:val="22"/>
        </w:rPr>
        <w:t>.</w:t>
      </w:r>
    </w:p>
    <w:p w:rsidR="000E204A" w:rsidRPr="00F74C21" w:rsidRDefault="000E204A">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p>
    <w:p w:rsidR="000E204A" w:rsidRPr="00F74C21" w:rsidRDefault="00B16AED">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sidRPr="00F74C21">
        <w:rPr>
          <w:rFonts w:ascii="Palatino Linotype" w:eastAsia="Palatino Linotype" w:hAnsi="Palatino Linotype" w:cs="Palatino Linotype"/>
          <w:i/>
          <w:sz w:val="22"/>
          <w:szCs w:val="22"/>
        </w:rPr>
        <w:t>En el supuesto que la información ordenada no obre en los archivos del Sujeto Obligado por no haberse generado</w:t>
      </w:r>
      <w:r w:rsidRPr="00F74C21">
        <w:t xml:space="preserve"> </w:t>
      </w:r>
      <w:r w:rsidRPr="00F74C21">
        <w:rPr>
          <w:rFonts w:ascii="Palatino Linotype" w:eastAsia="Palatino Linotype" w:hAnsi="Palatino Linotype" w:cs="Palatino Linotype"/>
          <w:i/>
          <w:sz w:val="22"/>
          <w:szCs w:val="22"/>
        </w:rPr>
        <w:t xml:space="preserve">reconducciones por subejercicio mayores al 15% del presupuesto, bastará con que así se haga del conocimiento de la parte </w:t>
      </w:r>
      <w:r w:rsidRPr="00F74C21">
        <w:rPr>
          <w:rFonts w:ascii="Palatino Linotype" w:eastAsia="Palatino Linotype" w:hAnsi="Palatino Linotype" w:cs="Palatino Linotype"/>
          <w:b/>
          <w:i/>
          <w:sz w:val="22"/>
          <w:szCs w:val="22"/>
        </w:rPr>
        <w:t>Recurrente</w:t>
      </w:r>
      <w:r w:rsidRPr="00F74C21">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rsidR="000E204A" w:rsidRPr="00F74C21" w:rsidRDefault="000E204A">
      <w:pPr>
        <w:pBdr>
          <w:top w:val="nil"/>
          <w:left w:val="nil"/>
          <w:bottom w:val="nil"/>
          <w:right w:val="nil"/>
          <w:between w:val="nil"/>
        </w:pBdr>
        <w:tabs>
          <w:tab w:val="left" w:pos="851"/>
        </w:tabs>
        <w:ind w:left="851" w:right="616"/>
        <w:jc w:val="both"/>
        <w:rPr>
          <w:rFonts w:ascii="Palatino Linotype" w:eastAsia="Palatino Linotype" w:hAnsi="Palatino Linotype" w:cs="Palatino Linotype"/>
          <w:i/>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Tercero. Notifíquese </w:t>
      </w:r>
      <w:r w:rsidRPr="00F74C21">
        <w:rPr>
          <w:rFonts w:ascii="Palatino Linotype" w:eastAsia="Palatino Linotype" w:hAnsi="Palatino Linotype" w:cs="Palatino Linotype"/>
          <w:sz w:val="22"/>
          <w:szCs w:val="22"/>
        </w:rPr>
        <w:t>vía</w:t>
      </w:r>
      <w:r w:rsidRPr="00F74C21">
        <w:rPr>
          <w:rFonts w:ascii="Palatino Linotype" w:eastAsia="Palatino Linotype" w:hAnsi="Palatino Linotype" w:cs="Palatino Linotype"/>
          <w:b/>
          <w:sz w:val="22"/>
          <w:szCs w:val="22"/>
        </w:rPr>
        <w:t xml:space="preserve"> SAIMEX, </w:t>
      </w:r>
      <w:r w:rsidRPr="00F74C2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Cuarto. </w:t>
      </w:r>
      <w:r w:rsidRPr="00F74C21">
        <w:rPr>
          <w:rFonts w:ascii="Palatino Linotype" w:eastAsia="Palatino Linotype" w:hAnsi="Palatino Linotype" w:cs="Palatino Linotype"/>
          <w:sz w:val="22"/>
          <w:szCs w:val="22"/>
        </w:rPr>
        <w:t xml:space="preserve">Notifíquese vía </w:t>
      </w:r>
      <w:r w:rsidRPr="00F74C21">
        <w:rPr>
          <w:rFonts w:ascii="Palatino Linotype" w:eastAsia="Palatino Linotype" w:hAnsi="Palatino Linotype" w:cs="Palatino Linotype"/>
          <w:b/>
          <w:sz w:val="22"/>
          <w:szCs w:val="22"/>
        </w:rPr>
        <w:t>SAIMEX</w:t>
      </w:r>
      <w:r w:rsidRPr="00F74C21">
        <w:rPr>
          <w:rFonts w:ascii="Palatino Linotype" w:eastAsia="Palatino Linotype" w:hAnsi="Palatino Linotype" w:cs="Palatino Linotype"/>
          <w:sz w:val="22"/>
          <w:szCs w:val="22"/>
        </w:rPr>
        <w:t xml:space="preserve">, al Titular de la Unidad de Transparencia del </w:t>
      </w:r>
      <w:r w:rsidRPr="00F74C21">
        <w:rPr>
          <w:rFonts w:ascii="Palatino Linotype" w:eastAsia="Palatino Linotype" w:hAnsi="Palatino Linotype" w:cs="Palatino Linotype"/>
          <w:b/>
          <w:sz w:val="22"/>
          <w:szCs w:val="22"/>
        </w:rPr>
        <w:t>Sujeto Obligado</w:t>
      </w:r>
      <w:r w:rsidRPr="00F74C21">
        <w:rPr>
          <w:rFonts w:ascii="Palatino Linotype" w:eastAsia="Palatino Linotype" w:hAnsi="Palatino Linotype" w:cs="Palatino Linotype"/>
          <w:sz w:val="22"/>
          <w:szCs w:val="22"/>
        </w:rPr>
        <w:t>,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E204A" w:rsidRPr="00F74C21" w:rsidRDefault="000E204A">
      <w:pPr>
        <w:spacing w:line="360" w:lineRule="auto"/>
        <w:jc w:val="both"/>
        <w:rPr>
          <w:rFonts w:ascii="Palatino Linotype" w:eastAsia="Palatino Linotype" w:hAnsi="Palatino Linotype" w:cs="Palatino Linotype"/>
          <w:sz w:val="22"/>
          <w:szCs w:val="22"/>
        </w:rPr>
      </w:pPr>
    </w:p>
    <w:p w:rsidR="000E204A" w:rsidRPr="00F74C21" w:rsidRDefault="00B16A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b/>
          <w:sz w:val="22"/>
          <w:szCs w:val="22"/>
        </w:rPr>
        <w:t xml:space="preserve">Quinto. Notifíquese, </w:t>
      </w:r>
      <w:r w:rsidRPr="00F74C21">
        <w:rPr>
          <w:rFonts w:ascii="Palatino Linotype" w:eastAsia="Palatino Linotype" w:hAnsi="Palatino Linotype" w:cs="Palatino Linotype"/>
          <w:sz w:val="22"/>
          <w:szCs w:val="22"/>
        </w:rPr>
        <w:t xml:space="preserve">vía </w:t>
      </w:r>
      <w:r w:rsidRPr="00F74C21">
        <w:rPr>
          <w:rFonts w:ascii="Palatino Linotype" w:eastAsia="Palatino Linotype" w:hAnsi="Palatino Linotype" w:cs="Palatino Linotype"/>
          <w:b/>
          <w:sz w:val="22"/>
          <w:szCs w:val="22"/>
        </w:rPr>
        <w:t>SAIMEX</w:t>
      </w:r>
      <w:r w:rsidRPr="00F74C21">
        <w:rPr>
          <w:rFonts w:ascii="Palatino Linotype" w:eastAsia="Palatino Linotype" w:hAnsi="Palatino Linotype" w:cs="Palatino Linotype"/>
          <w:sz w:val="22"/>
          <w:szCs w:val="22"/>
        </w:rPr>
        <w:t>, a la parte</w:t>
      </w:r>
      <w:r w:rsidRPr="00F74C21">
        <w:rPr>
          <w:rFonts w:ascii="Palatino Linotype" w:eastAsia="Palatino Linotype" w:hAnsi="Palatino Linotype" w:cs="Palatino Linotype"/>
          <w:b/>
          <w:sz w:val="22"/>
          <w:szCs w:val="22"/>
        </w:rPr>
        <w:t xml:space="preserve"> Recurrente</w:t>
      </w:r>
      <w:r w:rsidRPr="00F74C2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E204A" w:rsidRPr="00F74C21" w:rsidRDefault="000E204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E204A" w:rsidRDefault="00B16AED">
      <w:pPr>
        <w:spacing w:line="360" w:lineRule="auto"/>
        <w:jc w:val="both"/>
        <w:rPr>
          <w:rFonts w:ascii="Palatino Linotype" w:eastAsia="Palatino Linotype" w:hAnsi="Palatino Linotype" w:cs="Palatino Linotype"/>
          <w:sz w:val="22"/>
          <w:szCs w:val="22"/>
        </w:rPr>
      </w:pPr>
      <w:r w:rsidRPr="00F74C2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r>
        <w:rPr>
          <w:rFonts w:ascii="Palatino Linotype" w:eastAsia="Palatino Linotype" w:hAnsi="Palatino Linotype" w:cs="Palatino Linotype"/>
          <w:sz w:val="22"/>
          <w:szCs w:val="22"/>
        </w:rPr>
        <w:t xml:space="preserve"> </w:t>
      </w:r>
    </w:p>
    <w:p w:rsidR="000E204A" w:rsidRDefault="00B16AED">
      <w:pPr>
        <w:spacing w:line="360" w:lineRule="auto"/>
        <w:jc w:val="both"/>
        <w:rPr>
          <w:rFonts w:ascii="Palatino Linotype" w:eastAsia="Palatino Linotype" w:hAnsi="Palatino Linotype" w:cs="Palatino Linotype"/>
          <w:sz w:val="22"/>
          <w:szCs w:val="22"/>
        </w:rPr>
        <w:sectPr w:rsidR="000E204A">
          <w:headerReference w:type="default" r:id="rId29"/>
          <w:footerReference w:type="default" r:id="rId30"/>
          <w:headerReference w:type="first" r:id="rId31"/>
          <w:footerReference w:type="first" r:id="rId32"/>
          <w:pgSz w:w="12240" w:h="15840"/>
          <w:pgMar w:top="2041" w:right="1701" w:bottom="1701" w:left="1701" w:header="709" w:footer="709" w:gutter="0"/>
          <w:pgNumType w:start="1"/>
          <w:cols w:space="720"/>
          <w:titlePg/>
        </w:sectPr>
      </w:pPr>
      <w:r>
        <w:rPr>
          <w:rFonts w:ascii="Palatino Linotype" w:eastAsia="Palatino Linotype" w:hAnsi="Palatino Linotype" w:cs="Palatino Linotype"/>
          <w:sz w:val="22"/>
          <w:szCs w:val="22"/>
        </w:rPr>
        <w:t xml:space="preserve">                              </w:t>
      </w:r>
    </w:p>
    <w:p w:rsidR="000E204A" w:rsidRDefault="000E204A">
      <w:pPr>
        <w:spacing w:line="360" w:lineRule="auto"/>
        <w:jc w:val="both"/>
        <w:rPr>
          <w:rFonts w:ascii="Palatino Linotype" w:eastAsia="Palatino Linotype" w:hAnsi="Palatino Linotype" w:cs="Palatino Linotype"/>
          <w:sz w:val="22"/>
          <w:szCs w:val="22"/>
        </w:rPr>
      </w:pPr>
    </w:p>
    <w:sectPr w:rsidR="000E204A">
      <w:headerReference w:type="first" r:id="rId3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38F" w:rsidRDefault="003F038F">
      <w:r>
        <w:separator/>
      </w:r>
    </w:p>
  </w:endnote>
  <w:endnote w:type="continuationSeparator" w:id="0">
    <w:p w:rsidR="003F038F" w:rsidRDefault="003F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04A" w:rsidRDefault="00B16AE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5478A">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5478A">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rsidR="000E204A" w:rsidRDefault="000E204A">
    <w:pPr>
      <w:pBdr>
        <w:top w:val="nil"/>
        <w:left w:val="nil"/>
        <w:bottom w:val="nil"/>
        <w:right w:val="nil"/>
        <w:between w:val="nil"/>
      </w:pBdr>
      <w:tabs>
        <w:tab w:val="center" w:pos="4252"/>
        <w:tab w:val="right" w:pos="8504"/>
      </w:tabs>
      <w:rPr>
        <w:color w:val="000000"/>
      </w:rPr>
    </w:pPr>
  </w:p>
  <w:p w:rsidR="000E204A" w:rsidRDefault="000E204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04A" w:rsidRDefault="00B16AE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5478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5478A">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rsidR="000E204A" w:rsidRDefault="000E204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38F" w:rsidRDefault="003F038F">
      <w:r>
        <w:separator/>
      </w:r>
    </w:p>
  </w:footnote>
  <w:footnote w:type="continuationSeparator" w:id="0">
    <w:p w:rsidR="003F038F" w:rsidRDefault="003F038F">
      <w:r>
        <w:continuationSeparator/>
      </w:r>
    </w:p>
  </w:footnote>
  <w:footnote w:id="1">
    <w:p w:rsidR="000E204A" w:rsidRDefault="00B16AE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b/>
          <w:color w:val="000000"/>
          <w:sz w:val="16"/>
          <w:szCs w:val="16"/>
        </w:rPr>
        <w:t xml:space="preserve"> Artículo 53</w:t>
      </w:r>
      <w:r>
        <w:rPr>
          <w:rFonts w:ascii="Palatino Linotype" w:eastAsia="Palatino Linotype" w:hAnsi="Palatino Linotype" w:cs="Palatino Linotype"/>
          <w:color w:val="000000"/>
          <w:sz w:val="16"/>
          <w:szCs w:val="16"/>
        </w:rPr>
        <w:t>. Las Unidades de Transparencia tendrán las siguientes funciones:</w:t>
      </w:r>
    </w:p>
    <w:p w:rsidR="000E204A" w:rsidRDefault="00B16AE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Recibir, tramitar y dar respuesta a las solicitudes de acceso a la información;</w:t>
      </w:r>
    </w:p>
    <w:p w:rsidR="000E204A" w:rsidRDefault="00B16AE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IV. Realizar, con efectividad, los trámites internos necesarios para la atención de las solicitudes de acceso a la información;</w:t>
      </w:r>
    </w:p>
  </w:footnote>
  <w:footnote w:id="2">
    <w:p w:rsidR="000E204A" w:rsidRDefault="00B16AE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162.</w:t>
      </w:r>
      <w:r>
        <w:rPr>
          <w:rFonts w:ascii="Palatino Linotype" w:eastAsia="Palatino Linotype" w:hAnsi="Palatino Linotype" w:cs="Palatino Linotype"/>
          <w:color w:val="000000"/>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04A" w:rsidRDefault="00B16AED">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simplePos x="0" y="0"/>
          <wp:positionH relativeFrom="column">
            <wp:posOffset>-638172</wp:posOffset>
          </wp:positionH>
          <wp:positionV relativeFrom="paragraph">
            <wp:posOffset>-450211</wp:posOffset>
          </wp:positionV>
          <wp:extent cx="7809876" cy="10165823"/>
          <wp:effectExtent l="0" t="0" r="0" b="0"/>
          <wp:wrapNone/>
          <wp:docPr id="2086326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528" w:type="dxa"/>
      <w:tblInd w:w="3261" w:type="dxa"/>
      <w:tblLayout w:type="fixed"/>
      <w:tblLook w:val="0400" w:firstRow="0" w:lastRow="0" w:firstColumn="0" w:lastColumn="0" w:noHBand="0" w:noVBand="1"/>
    </w:tblPr>
    <w:tblGrid>
      <w:gridCol w:w="2551"/>
      <w:gridCol w:w="2977"/>
    </w:tblGrid>
    <w:tr w:rsidR="000E204A">
      <w:tc>
        <w:tcPr>
          <w:tcW w:w="2551" w:type="dxa"/>
          <w:vAlign w:val="center"/>
        </w:tcPr>
        <w:p w:rsidR="000E204A" w:rsidRDefault="00B16A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0E204A" w:rsidRDefault="00B16A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06839/INFOEM/IP/RR/2025</w:t>
          </w:r>
        </w:p>
      </w:tc>
    </w:tr>
    <w:tr w:rsidR="000E204A">
      <w:trPr>
        <w:trHeight w:val="228"/>
      </w:trPr>
      <w:tc>
        <w:tcPr>
          <w:tcW w:w="2551" w:type="dxa"/>
          <w:vAlign w:val="center"/>
        </w:tcPr>
        <w:p w:rsidR="000E204A" w:rsidRDefault="00B16A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0E204A" w:rsidRDefault="00B16A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0E204A">
      <w:tc>
        <w:tcPr>
          <w:tcW w:w="2551" w:type="dxa"/>
          <w:vAlign w:val="center"/>
        </w:tcPr>
        <w:p w:rsidR="000E204A" w:rsidRDefault="00B16A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0E204A" w:rsidRDefault="00B16AE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E204A" w:rsidRDefault="00B16AE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04A" w:rsidRDefault="00B16AE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simplePos x="0" y="0"/>
          <wp:positionH relativeFrom="column">
            <wp:posOffset>-798189</wp:posOffset>
          </wp:positionH>
          <wp:positionV relativeFrom="paragraph">
            <wp:posOffset>-399410</wp:posOffset>
          </wp:positionV>
          <wp:extent cx="7809876" cy="10165823"/>
          <wp:effectExtent l="0" t="0" r="0" b="0"/>
          <wp:wrapNone/>
          <wp:docPr id="20863262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70" w:type="dxa"/>
      <w:tblInd w:w="3119" w:type="dxa"/>
      <w:tblLayout w:type="fixed"/>
      <w:tblLook w:val="0400" w:firstRow="0" w:lastRow="0" w:firstColumn="0" w:lastColumn="0" w:noHBand="0" w:noVBand="1"/>
    </w:tblPr>
    <w:tblGrid>
      <w:gridCol w:w="2551"/>
      <w:gridCol w:w="3119"/>
    </w:tblGrid>
    <w:tr w:rsidR="000E204A">
      <w:tc>
        <w:tcPr>
          <w:tcW w:w="2551" w:type="dxa"/>
          <w:vAlign w:val="center"/>
        </w:tcPr>
        <w:p w:rsidR="000E204A" w:rsidRDefault="00B16A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0E204A" w:rsidRDefault="00B16AE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06839/INFOEM/IP/RR/2025</w:t>
          </w:r>
        </w:p>
      </w:tc>
    </w:tr>
    <w:tr w:rsidR="000E204A">
      <w:tc>
        <w:tcPr>
          <w:tcW w:w="2551" w:type="dxa"/>
          <w:vAlign w:val="center"/>
        </w:tcPr>
        <w:p w:rsidR="000E204A" w:rsidRDefault="00B16AE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0E204A" w:rsidRDefault="000E204A">
          <w:pPr>
            <w:ind w:right="-533"/>
            <w:jc w:val="both"/>
            <w:rPr>
              <w:rFonts w:ascii="Palatino Linotype" w:eastAsia="Palatino Linotype" w:hAnsi="Palatino Linotype" w:cs="Palatino Linotype"/>
              <w:b/>
              <w:sz w:val="22"/>
              <w:szCs w:val="22"/>
            </w:rPr>
          </w:pPr>
        </w:p>
      </w:tc>
    </w:tr>
    <w:tr w:rsidR="000E204A">
      <w:trPr>
        <w:trHeight w:val="228"/>
      </w:trPr>
      <w:tc>
        <w:tcPr>
          <w:tcW w:w="2551" w:type="dxa"/>
          <w:vAlign w:val="center"/>
        </w:tcPr>
        <w:p w:rsidR="000E204A" w:rsidRDefault="00B16A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0E204A" w:rsidRDefault="00B16AED">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0E204A">
      <w:tc>
        <w:tcPr>
          <w:tcW w:w="2551" w:type="dxa"/>
          <w:vAlign w:val="center"/>
        </w:tcPr>
        <w:p w:rsidR="000E204A" w:rsidRDefault="00B16A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0E204A" w:rsidRDefault="00B16AE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E204A" w:rsidRDefault="000E204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04A" w:rsidRDefault="000E204A">
    <w:pPr>
      <w:pBdr>
        <w:top w:val="nil"/>
        <w:left w:val="nil"/>
        <w:bottom w:val="nil"/>
        <w:right w:val="nil"/>
        <w:between w:val="nil"/>
      </w:pBdr>
      <w:tabs>
        <w:tab w:val="center" w:pos="4252"/>
        <w:tab w:val="right" w:pos="8504"/>
      </w:tabs>
      <w:jc w:val="both"/>
      <w:rPr>
        <w:rFonts w:ascii="Calibri" w:eastAsia="Calibri" w:hAnsi="Calibri" w:cs="Calibri"/>
        <w:color w:val="000000"/>
      </w:rPr>
    </w:pPr>
  </w:p>
  <w:p w:rsidR="000E204A" w:rsidRDefault="000E204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A441C"/>
    <w:multiLevelType w:val="multilevel"/>
    <w:tmpl w:val="31D294F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A2A1E"/>
    <w:multiLevelType w:val="multilevel"/>
    <w:tmpl w:val="FE7C7C0C"/>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460C7B"/>
    <w:multiLevelType w:val="multilevel"/>
    <w:tmpl w:val="E7EE5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A50A70"/>
    <w:multiLevelType w:val="multilevel"/>
    <w:tmpl w:val="46A0C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3E4DE6"/>
    <w:multiLevelType w:val="multilevel"/>
    <w:tmpl w:val="480A133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4E1302D3"/>
    <w:multiLevelType w:val="multilevel"/>
    <w:tmpl w:val="1A5CB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AF410B"/>
    <w:multiLevelType w:val="multilevel"/>
    <w:tmpl w:val="FBDA89F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5EA63FEC"/>
    <w:multiLevelType w:val="multilevel"/>
    <w:tmpl w:val="0112492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C554F6"/>
    <w:multiLevelType w:val="multilevel"/>
    <w:tmpl w:val="4768F3B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78B80F45"/>
    <w:multiLevelType w:val="multilevel"/>
    <w:tmpl w:val="E99CC6B8"/>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6"/>
  </w:num>
  <w:num w:numId="3">
    <w:abstractNumId w:val="3"/>
  </w:num>
  <w:num w:numId="4">
    <w:abstractNumId w:val="4"/>
  </w:num>
  <w:num w:numId="5">
    <w:abstractNumId w:val="2"/>
  </w:num>
  <w:num w:numId="6">
    <w:abstractNumId w:val="5"/>
  </w:num>
  <w:num w:numId="7">
    <w:abstractNumId w:val="8"/>
  </w:num>
  <w:num w:numId="8">
    <w:abstractNumId w:val="9"/>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4A"/>
    <w:rsid w:val="000E204A"/>
    <w:rsid w:val="0025478A"/>
    <w:rsid w:val="003F038F"/>
    <w:rsid w:val="00594AF2"/>
    <w:rsid w:val="00B16AED"/>
    <w:rsid w:val="00F74C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C84D5-D7AC-418E-BE7F-8974B3E6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customStyle="1" w:styleId="Tabladelista1clara-nfasis11">
    <w:name w:val="Tabla de lista 1 clara - Énfasis 1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8">
    <w:name w:val="18"/>
    <w:basedOn w:val="TableNormal10"/>
    <w:tblPr>
      <w:tblStyleRowBandSize w:val="1"/>
      <w:tblStyleColBandSize w:val="1"/>
      <w:tblCellMar>
        <w:left w:w="108" w:type="dxa"/>
        <w:right w:w="108" w:type="dxa"/>
      </w:tblCellMar>
    </w:tblPr>
  </w:style>
  <w:style w:type="table" w:customStyle="1" w:styleId="17">
    <w:name w:val="17"/>
    <w:basedOn w:val="TableNormal10"/>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0"/>
    <w:tblPr>
      <w:tblStyleRowBandSize w:val="1"/>
      <w:tblStyleColBandSize w:val="1"/>
      <w:tblCellMar>
        <w:left w:w="108" w:type="dxa"/>
        <w:right w:w="108" w:type="dxa"/>
      </w:tblCellMar>
    </w:tblPr>
  </w:style>
  <w:style w:type="table" w:customStyle="1" w:styleId="14">
    <w:name w:val="14"/>
    <w:basedOn w:val="TableNormal10"/>
    <w:tblPr>
      <w:tblStyleRowBandSize w:val="1"/>
      <w:tblStyleColBandSize w:val="1"/>
      <w:tblCellMar>
        <w:left w:w="108" w:type="dxa"/>
        <w:right w:w="108" w:type="dxa"/>
      </w:tblCellMar>
    </w:tblPr>
  </w:style>
  <w:style w:type="table" w:customStyle="1" w:styleId="13">
    <w:name w:val="13"/>
    <w:basedOn w:val="TableNormal10"/>
    <w:tblPr>
      <w:tblStyleRowBandSize w:val="1"/>
      <w:tblStyleColBandSize w:val="1"/>
      <w:tblCellMar>
        <w:left w:w="108" w:type="dxa"/>
        <w:right w:w="108" w:type="dxa"/>
      </w:tblCellMar>
    </w:tblPr>
  </w:style>
  <w:style w:type="table" w:customStyle="1" w:styleId="12">
    <w:name w:val="12"/>
    <w:basedOn w:val="TableNormal10"/>
    <w:tblPr>
      <w:tblStyleRowBandSize w:val="1"/>
      <w:tblStyleColBandSize w:val="1"/>
      <w:tblCellMar>
        <w:left w:w="108" w:type="dxa"/>
        <w:right w:w="108" w:type="dxa"/>
      </w:tblCellMar>
    </w:tblPr>
  </w:style>
  <w:style w:type="table" w:customStyle="1" w:styleId="11">
    <w:name w:val="11"/>
    <w:basedOn w:val="TableNormal10"/>
    <w:tblPr>
      <w:tblStyleRowBandSize w:val="1"/>
      <w:tblStyleColBandSize w:val="1"/>
      <w:tblCellMar>
        <w:left w:w="108" w:type="dxa"/>
        <w:right w:w="108" w:type="dxa"/>
      </w:tblCellMar>
    </w:tblPr>
  </w:style>
  <w:style w:type="table" w:customStyle="1" w:styleId="10">
    <w:name w:val="10"/>
    <w:basedOn w:val="TableNormal10"/>
    <w:tblPr>
      <w:tblStyleRowBandSize w:val="1"/>
      <w:tblStyleColBandSize w:val="1"/>
      <w:tblCellMar>
        <w:left w:w="108" w:type="dxa"/>
        <w:right w:w="108" w:type="dxa"/>
      </w:tblCellMar>
    </w:tblPr>
  </w:style>
  <w:style w:type="table" w:customStyle="1" w:styleId="9">
    <w:name w:val="9"/>
    <w:basedOn w:val="TableNormal10"/>
    <w:tblPr>
      <w:tblStyleRowBandSize w:val="1"/>
      <w:tblStyleColBandSize w:val="1"/>
      <w:tblCellMar>
        <w:left w:w="108" w:type="dxa"/>
        <w:right w:w="108"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20"/>
    <w:tblPr>
      <w:tblStyleRowBandSize w:val="1"/>
      <w:tblStyleColBandSize w:val="1"/>
      <w:tblCellMar>
        <w:left w:w="115" w:type="dxa"/>
        <w:right w:w="115" w:type="dxa"/>
      </w:tblCellMar>
    </w:tblPr>
  </w:style>
  <w:style w:type="table" w:customStyle="1" w:styleId="3">
    <w:name w:val="3"/>
    <w:basedOn w:val="TableNormal20"/>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ind w:left="720" w:hanging="360"/>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Tablaconcuadrcula3">
    <w:name w:val="Tabla con cuadrícula3"/>
    <w:basedOn w:val="Tablanormal"/>
    <w:next w:val="Tablaconcuadrcula"/>
    <w:uiPriority w:val="59"/>
    <w:rsid w:val="002679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5bzEVoFnrJLkBgTZQ3HeMYuMg==">CgMxLjAyCWguM3pueXNoNzIOaC51Nmp5YzJqa3c4OGQyCGguZ2pkZ3hzMgloLjMwajB6bGwyDWguZXVjc3drZzRld3gyDWguemptdWN1N3B1d2wyCWguMWZvYjl0ZTIOaC5scDl4aDNkdzB5Z2Q4AHIhMVM5bGp2bGphR2tZa2U5T2FIMnZYRTk4dVJWamRJWVk4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E6F012-46B3-4F6A-AF10-09B16914D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10174</Words>
  <Characters>55960</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2025-10-17T00:40:00Z</cp:lastPrinted>
  <dcterms:created xsi:type="dcterms:W3CDTF">2025-11-14T16:13:00Z</dcterms:created>
  <dcterms:modified xsi:type="dcterms:W3CDTF">2025-11-14T16:13:00Z</dcterms:modified>
</cp:coreProperties>
</file>