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dieciséis de julio de dos mil veinticinco.</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04079/INFOEM/IP/RR/2025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01587/TOLUCA/IP/2025</w:t>
      </w:r>
      <w:r w:rsidDel="00000000" w:rsidR="00000000" w:rsidRPr="00000000">
        <w:rPr>
          <w:rFonts w:ascii="Palatino Linotype" w:cs="Palatino Linotype" w:eastAsia="Palatino Linotype" w:hAnsi="Palatino Linotype"/>
          <w:rtl w:val="0"/>
        </w:rPr>
        <w:t xml:space="preserve"> proporcionada por parte del Ayuntamiento de Toluca,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r w:rsidDel="00000000" w:rsidR="00000000" w:rsidRPr="00000000">
        <w:rPr>
          <w:rtl w:val="0"/>
        </w:rPr>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catorce de marzo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Rule="auto"/>
        <w:ind w:left="567" w:right="49" w:firstLine="0"/>
        <w:jc w:val="both"/>
        <w:rPr>
          <w:rFonts w:ascii="Palatino Linotype" w:cs="Palatino Linotype" w:eastAsia="Palatino Linotype" w:hAnsi="Palatino Linotype"/>
          <w:b w:val="1"/>
          <w:i w:val="1"/>
          <w:u w:val="single"/>
        </w:rPr>
      </w:pPr>
      <w:bookmarkStart w:colFirst="0" w:colLast="0" w:name="_heading=h.c0s0vz9t54ib" w:id="0"/>
      <w:bookmarkEnd w:id="0"/>
      <w:r w:rsidDel="00000000" w:rsidR="00000000" w:rsidRPr="00000000">
        <w:rPr>
          <w:rFonts w:ascii="Palatino Linotype" w:cs="Palatino Linotype" w:eastAsia="Palatino Linotype" w:hAnsi="Palatino Linotype"/>
          <w:i w:val="1"/>
          <w:rtl w:val="0"/>
        </w:rPr>
        <w:t xml:space="preserve">“version publica de la bandeja de entrada y salida del correo electronico toluca@itaipem.org.mx respecto del 2025”. </w:t>
      </w:r>
      <w:r w:rsidDel="00000000" w:rsidR="00000000" w:rsidRPr="00000000">
        <w:rPr>
          <w:rtl w:val="0"/>
        </w:rPr>
      </w:r>
    </w:p>
    <w:p w:rsidR="00000000" w:rsidDel="00000000" w:rsidP="00000000" w:rsidRDefault="00000000" w:rsidRPr="00000000" w14:paraId="0000000A">
      <w:pPr>
        <w:spacing w:after="0" w:line="36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abril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respuesta a la solicitud de información, al tenor de lo siguiente: </w:t>
      </w:r>
    </w:p>
    <w:p w:rsidR="00000000" w:rsidDel="00000000" w:rsidP="00000000" w:rsidRDefault="00000000" w:rsidRPr="00000000" w14:paraId="0000000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atención a la solicitud con folio 01587/TOLUCA/IP/2025, me permito adjuntar al presente la respuesta correspondiente. Sin más por el momento, reciba un saludo..</w:t>
      </w:r>
    </w:p>
    <w:p w:rsidR="00000000" w:rsidDel="00000000" w:rsidP="00000000" w:rsidRDefault="00000000" w:rsidRPr="00000000" w14:paraId="0000001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los documentos que se describen a continuación: </w:t>
      </w:r>
    </w:p>
    <w:p w:rsidR="00000000" w:rsidDel="00000000" w:rsidP="00000000" w:rsidRDefault="00000000" w:rsidRPr="00000000" w14:paraId="0000001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siete de abril de dos mil veinticinco, signado por el Titular de la Unidad de Transparencia, mediante el cual informa que se anexa la información correspondiente. </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Captura de pantalla respecto de la bandeja de entrada y bandeja de salida.</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w:t>
      </w:r>
      <w:r w:rsidDel="00000000" w:rsidR="00000000" w:rsidRPr="00000000">
        <w:rPr>
          <w:rFonts w:ascii="Palatino Linotype" w:cs="Palatino Linotype" w:eastAsia="Palatino Linotype" w:hAnsi="Palatino Linotype"/>
          <w:rtl w:val="0"/>
        </w:rPr>
        <w:t xml:space="preserve"> La parte Solicitante,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abril de dos mil veinticinco</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851"/>
        </w:tabs>
        <w:spacing w:after="0" w:line="360" w:lineRule="auto"/>
        <w:ind w:left="567"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i w:val="1"/>
          <w:rtl w:val="0"/>
        </w:rPr>
        <w:t xml:space="preserve">“La unida de transparencia no entrega la información como se solicita”.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851"/>
        </w:tabs>
        <w:spacing w:after="0" w:line="36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“no entrega la información como se solicita y los anexo solo dan una imagenes que no se ve nada y no es lo que se pide se solicita la expresión documental”. (sic)</w:t>
      </w:r>
    </w:p>
    <w:p w:rsidR="00000000" w:rsidDel="00000000" w:rsidP="00000000" w:rsidRDefault="00000000" w:rsidRPr="00000000" w14:paraId="0000001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04079/INFOEM/IP/RR/2025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diez de abril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Informe Justificado.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 veintiocho de abril de dos mil veinticinco</w:t>
      </w:r>
      <w:r w:rsidDel="00000000" w:rsidR="00000000" w:rsidRPr="00000000">
        <w:rPr>
          <w:rFonts w:ascii="Palatino Linotype" w:cs="Palatino Linotype" w:eastAsia="Palatino Linotype" w:hAnsi="Palatino Linotype"/>
          <w:rtl w:val="0"/>
        </w:rPr>
        <w:t xml:space="preserve">, el Sujeto Obligado rindió su informe justificado, a través de lo siguiente: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veintiocho de abril de dos mil veinticinco, signado por el Titular de la Unidad de Transparencia, mediante el cual ratificó su respuesta inicial.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Documento que se hizo del conocimiento del Particular en fecha </w:t>
      </w:r>
      <w:r w:rsidDel="00000000" w:rsidR="00000000" w:rsidRPr="00000000">
        <w:rPr>
          <w:rFonts w:ascii="Palatino Linotype" w:cs="Palatino Linotype" w:eastAsia="Palatino Linotype" w:hAnsi="Palatino Linotype"/>
          <w:b w:val="1"/>
          <w:rtl w:val="0"/>
        </w:rPr>
        <w:t xml:space="preserve">nueve de julio de dos mil veinticinco.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no realizó manifestaciones. </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nueve de julio de dos mil veinticinco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B">
      <w:pPr>
        <w:spacing w:after="0" w:line="360" w:lineRule="auto"/>
        <w:ind w:left="36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    Complejidad del asunto: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b)   Actividad Procesal del interesado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Acciones u omisiones del interesado.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  Conducta de la Autoridad: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Las Acciones u omisiones realizadas en el procedimiento. Así como si la autoridad actuó con la debida diligencia.</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Violación a sus derechos humanos.</w:t>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B">
      <w:pPr>
        <w:spacing w:after="0" w:line="360" w:lineRule="auto"/>
        <w:ind w:left="36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spacing w:after="0" w:line="360" w:lineRule="auto"/>
        <w:ind w:left="360"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F">
      <w:pPr>
        <w:spacing w:after="0" w:line="360" w:lineRule="auto"/>
        <w:ind w:left="360"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quince de julio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bookmarkStart w:colFirst="0" w:colLast="0" w:name="_heading=h.3znysh7" w:id="1"/>
      <w:bookmarkEnd w:id="1"/>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respuesta en fecha </w:t>
      </w:r>
      <w:r w:rsidDel="00000000" w:rsidR="00000000" w:rsidRPr="00000000">
        <w:rPr>
          <w:rFonts w:ascii="Palatino Linotype" w:cs="Palatino Linotype" w:eastAsia="Palatino Linotype" w:hAnsi="Palatino Linotype"/>
          <w:b w:val="1"/>
          <w:rtl w:val="0"/>
        </w:rPr>
        <w:t xml:space="preserve">siete de abril de dos mil veinticinco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w:t>
      </w:r>
      <w:r w:rsidDel="00000000" w:rsidR="00000000" w:rsidRPr="00000000">
        <w:rPr>
          <w:rFonts w:ascii="Palatino Linotype" w:cs="Palatino Linotype" w:eastAsia="Palatino Linotype" w:hAnsi="Palatino Linotype"/>
          <w:b w:val="1"/>
          <w:rtl w:val="0"/>
        </w:rPr>
        <w:t xml:space="preserve">siete de abril de dos mil veinticinco</w:t>
      </w:r>
      <w:r w:rsidDel="00000000" w:rsidR="00000000" w:rsidRPr="00000000">
        <w:rPr>
          <w:rFonts w:ascii="Palatino Linotype" w:cs="Palatino Linotype" w:eastAsia="Palatino Linotype" w:hAnsi="Palatino Linotype"/>
          <w:rtl w:val="0"/>
        </w:rPr>
        <w:t xml:space="preserve">, esto es al décimo tercer día en que se tuvo conocimiento de la respuesta. </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un nombre o seudónimo </w:t>
      </w:r>
      <w:r w:rsidDel="00000000" w:rsidR="00000000" w:rsidRPr="00000000">
        <w:rPr>
          <w:rFonts w:ascii="Palatino Linotype" w:cs="Palatino Linotype" w:eastAsia="Palatino Linotype" w:hAnsi="Palatino Linotype"/>
          <w:rtl w:val="0"/>
        </w:rPr>
        <w:t xml:space="preserve">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 con nombre incompleto o seudónimo 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el recurrente en sus motivos de inconformidad, de acuerdo con el artículo 179, fracción VI del ordenamiento legal citado, que a la letra dice: </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276"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76"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76"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 entrega de información que no corresponda con lo solicitado;</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76"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Este Organismo Garante procede del análisis de los agravios hechos valer por el Recurrente, a fin de determinar si se violenta en perjuicio de este, el derecho de acceso a la información previsto en la Constitución Política de los Estados Unidos Mexicanos y en la Constitución Política del Estado Libre y Soberano de México.</w:t>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principio,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tabs>
          <w:tab w:val="left" w:leader="none" w:pos="8505"/>
          <w:tab w:val="left" w:leader="none" w:pos="8647"/>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0">
      <w:pPr>
        <w:tabs>
          <w:tab w:val="left" w:leader="none" w:pos="8505"/>
          <w:tab w:val="left" w:leader="none" w:pos="8647"/>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1">
      <w:pPr>
        <w:tabs>
          <w:tab w:val="left" w:leader="none" w:pos="8505"/>
          <w:tab w:val="left" w:leader="none" w:pos="8647"/>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24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6">
      <w:pPr>
        <w:spacing w:after="0" w:line="24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6C">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3">
      <w:pPr>
        <w:spacing w:after="0" w:line="360" w:lineRule="auto"/>
        <w:ind w:left="851"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4">
      <w:pPr>
        <w:spacing w:after="0" w:line="24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75">
      <w:pPr>
        <w:spacing w:after="0" w:line="24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6">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7">
      <w:pPr>
        <w:spacing w:after="0" w:line="36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B">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C">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D">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E">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procede al análisis de los agravios hechos valer por la parte Recurrente que actualizan la causal de procedencia prevista en la fracción VI del artículo 179 de la Ley de Transparencia y Acceso a la Información del Estado de México y Municipios, relativa a la entrega de información que no corresponda con lo solicitado.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tiene que la pretensión de la ahora Recurrente es obtener la siguiente información.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Versión pública de la bandeja de entrada y salida del correo electrónico </w:t>
      </w:r>
      <w:hyperlink r:id="rId7">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toluca@itaipem.org.mx</w:t>
        </w:r>
      </w:hyperlink>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respecto del dos mil veinticinco. </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Titular de la Unidad de Transparencia remitió capturas de pantalla respecto de la bandeja de entrada y bandeja de salida de enero a abril de dos mil veinticinco. </w:t>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arguyendo que no se le había entregado la información como se solicitó y, únicamente se le había proporcionado imágenes y, no así la expresión documental.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mediante informe justificado el Sujeto Obligado ratificó su respuesta inicial y, la parte Recurrente fue omisa en rendir manifestaciones.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procede al análisis del agravio hecho valer por la parte Recurrente, relativo a la entrega de información incompleta, para ello, resulta dable contextualizar la información solicitada, al tenor de lo siguiente: </w:t>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es importante citar que los artículos 12, 41, 42, 43, 44 y 45 de la Ley General de Archivos establecen: </w:t>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Los sujetos obligados deberán mantener los documentos contenidos en </w:t>
      </w:r>
      <w:r w:rsidDel="00000000" w:rsidR="00000000" w:rsidRPr="00000000">
        <w:rPr>
          <w:rFonts w:ascii="Palatino Linotype" w:cs="Palatino Linotype" w:eastAsia="Palatino Linotype" w:hAnsi="Palatino Linotype"/>
          <w:b w:val="1"/>
          <w:i w:val="1"/>
          <w:rtl w:val="0"/>
        </w:rPr>
        <w:t xml:space="preserve">sus archivos en el orden original en que fueron producidos</w:t>
      </w:r>
      <w:r w:rsidDel="00000000" w:rsidR="00000000" w:rsidRPr="00000000">
        <w:rPr>
          <w:rFonts w:ascii="Palatino Linotype" w:cs="Palatino Linotype" w:eastAsia="Palatino Linotype" w:hAnsi="Palatino Linotype"/>
          <w:i w:val="1"/>
          <w:rtl w:val="0"/>
        </w:rPr>
        <w:t xml:space="preserve">, conforme a los procesos de gestión documental que incluyen la producción, organización, acceso, consulta, valoración documental, disposición documental y conservación, en los términos que establezcan el Consejo Nacional y las disposiciones jurídicas aplicables.</w:t>
      </w:r>
    </w:p>
    <w:p w:rsidR="00000000" w:rsidDel="00000000" w:rsidP="00000000" w:rsidRDefault="00000000" w:rsidRPr="00000000" w14:paraId="00000091">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2">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41.</w:t>
      </w:r>
      <w:r w:rsidDel="00000000" w:rsidR="00000000" w:rsidRPr="00000000">
        <w:rPr>
          <w:rFonts w:ascii="Palatino Linotype" w:cs="Palatino Linotype" w:eastAsia="Palatino Linotype" w:hAnsi="Palatino Linotype"/>
          <w:i w:val="1"/>
          <w:rtl w:val="0"/>
        </w:rPr>
        <w:t xml:space="preserve"> Además de los procesos de gestión previstos en el artículo 12 de esta Ley, se deberá contemplar para la gestión documental electrónica la incorporación, asignación de acceso, seguridad, almacenamiento, uso y trazabilidad.</w:t>
      </w:r>
    </w:p>
    <w:p w:rsidR="00000000" w:rsidDel="00000000" w:rsidP="00000000" w:rsidRDefault="00000000" w:rsidRPr="00000000" w14:paraId="00000093">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42</w:t>
      </w:r>
      <w:r w:rsidDel="00000000" w:rsidR="00000000" w:rsidRPr="00000000">
        <w:rPr>
          <w:rFonts w:ascii="Palatino Linotype" w:cs="Palatino Linotype" w:eastAsia="Palatino Linotype" w:hAnsi="Palatino Linotype"/>
          <w:i w:val="1"/>
          <w:rtl w:val="0"/>
        </w:rPr>
        <w:t xml:space="preserve">. Los sujetos obligados establecerán en su programa anual los procedimientos </w:t>
      </w:r>
      <w:r w:rsidDel="00000000" w:rsidR="00000000" w:rsidRPr="00000000">
        <w:rPr>
          <w:rFonts w:ascii="Palatino Linotype" w:cs="Palatino Linotype" w:eastAsia="Palatino Linotype" w:hAnsi="Palatino Linotype"/>
          <w:b w:val="1"/>
          <w:i w:val="1"/>
          <w:rtl w:val="0"/>
        </w:rPr>
        <w:t xml:space="preserve">para la generación, administración, uso, control y migración de formatos electrónicos</w:t>
      </w:r>
      <w:r w:rsidDel="00000000" w:rsidR="00000000" w:rsidRPr="00000000">
        <w:rPr>
          <w:rFonts w:ascii="Palatino Linotype" w:cs="Palatino Linotype" w:eastAsia="Palatino Linotype" w:hAnsi="Palatino Linotype"/>
          <w:i w:val="1"/>
          <w:rtl w:val="0"/>
        </w:rPr>
        <w:t xml:space="preserve">, así como </w:t>
      </w:r>
      <w:r w:rsidDel="00000000" w:rsidR="00000000" w:rsidRPr="00000000">
        <w:rPr>
          <w:rFonts w:ascii="Palatino Linotype" w:cs="Palatino Linotype" w:eastAsia="Palatino Linotype" w:hAnsi="Palatino Linotype"/>
          <w:b w:val="1"/>
          <w:i w:val="1"/>
          <w:rtl w:val="0"/>
        </w:rPr>
        <w:t xml:space="preserve">planes de preservación y conservación de largo plazo que contemplen la migración</w:t>
      </w:r>
      <w:r w:rsidDel="00000000" w:rsidR="00000000" w:rsidRPr="00000000">
        <w:rPr>
          <w:rFonts w:ascii="Palatino Linotype" w:cs="Palatino Linotype" w:eastAsia="Palatino Linotype" w:hAnsi="Palatino Linotype"/>
          <w:i w:val="1"/>
          <w:rtl w:val="0"/>
        </w:rPr>
        <w:t xml:space="preserve">, la emulación o cualquier otro método de preservación y conservación de los documentos de archivo electrónicos, apoyándose en las disposiciones emanadas del Consejo Nacional.</w:t>
      </w:r>
    </w:p>
    <w:p w:rsidR="00000000" w:rsidDel="00000000" w:rsidP="00000000" w:rsidRDefault="00000000" w:rsidRPr="00000000" w14:paraId="00000094">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5">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43.</w:t>
      </w:r>
      <w:r w:rsidDel="00000000" w:rsidR="00000000" w:rsidRPr="00000000">
        <w:rPr>
          <w:rFonts w:ascii="Palatino Linotype" w:cs="Palatino Linotype" w:eastAsia="Palatino Linotype" w:hAnsi="Palatino Linotype"/>
          <w:i w:val="1"/>
          <w:rtl w:val="0"/>
        </w:rPr>
        <w:t xml:space="preserve"> Los sujetos obligados establecerán en el programa anual la </w:t>
      </w:r>
      <w:r w:rsidDel="00000000" w:rsidR="00000000" w:rsidRPr="00000000">
        <w:rPr>
          <w:rFonts w:ascii="Palatino Linotype" w:cs="Palatino Linotype" w:eastAsia="Palatino Linotype" w:hAnsi="Palatino Linotype"/>
          <w:b w:val="1"/>
          <w:i w:val="1"/>
          <w:rtl w:val="0"/>
        </w:rPr>
        <w:t xml:space="preserve">estrategia de preservación a largo plazo de los documentos de archivo electrónico</w:t>
      </w:r>
      <w:r w:rsidDel="00000000" w:rsidR="00000000" w:rsidRPr="00000000">
        <w:rPr>
          <w:rFonts w:ascii="Palatino Linotype" w:cs="Palatino Linotype" w:eastAsia="Palatino Linotype" w:hAnsi="Palatino Linotype"/>
          <w:i w:val="1"/>
          <w:rtl w:val="0"/>
        </w:rPr>
        <w:t xml:space="preserve"> y las acciones que garanticen los procesos de gestión documental electrónica.</w:t>
      </w:r>
    </w:p>
    <w:p w:rsidR="00000000" w:rsidDel="00000000" w:rsidP="00000000" w:rsidRDefault="00000000" w:rsidRPr="00000000" w14:paraId="00000096">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7">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documentos de archivo electrónicos que pertenezcan a series documentales con valor histórico se deberán conservar en sus formatos originales</w:t>
      </w:r>
      <w:r w:rsidDel="00000000" w:rsidR="00000000" w:rsidRPr="00000000">
        <w:rPr>
          <w:rFonts w:ascii="Palatino Linotype" w:cs="Palatino Linotype" w:eastAsia="Palatino Linotype" w:hAnsi="Palatino Linotype"/>
          <w:i w:val="1"/>
          <w:rtl w:val="0"/>
        </w:rPr>
        <w:t xml:space="preserve">, así como una copia de su representación gráfica o visual, además de todos los metadatos descriptivos.</w:t>
      </w:r>
    </w:p>
    <w:p w:rsidR="00000000" w:rsidDel="00000000" w:rsidP="00000000" w:rsidRDefault="00000000" w:rsidRPr="00000000" w14:paraId="00000098">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9">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44.</w:t>
      </w:r>
      <w:r w:rsidDel="00000000" w:rsidR="00000000" w:rsidRPr="00000000">
        <w:rPr>
          <w:rFonts w:ascii="Palatino Linotype" w:cs="Palatino Linotype" w:eastAsia="Palatino Linotype" w:hAnsi="Palatino Linotype"/>
          <w:i w:val="1"/>
          <w:rtl w:val="0"/>
        </w:rPr>
        <w:t xml:space="preserve"> Los sujetos obligados adoptarán las </w:t>
      </w:r>
      <w:r w:rsidDel="00000000" w:rsidR="00000000" w:rsidRPr="00000000">
        <w:rPr>
          <w:rFonts w:ascii="Palatino Linotype" w:cs="Palatino Linotype" w:eastAsia="Palatino Linotype" w:hAnsi="Palatino Linotype"/>
          <w:b w:val="1"/>
          <w:i w:val="1"/>
          <w:rtl w:val="0"/>
        </w:rPr>
        <w:t xml:space="preserve">medidas de organización, técnicas y tecnológicas para garantizar la recuperación y preservación de los documentos</w:t>
      </w:r>
      <w:r w:rsidDel="00000000" w:rsidR="00000000" w:rsidRPr="00000000">
        <w:rPr>
          <w:rFonts w:ascii="Palatino Linotype" w:cs="Palatino Linotype" w:eastAsia="Palatino Linotype" w:hAnsi="Palatino Linotype"/>
          <w:i w:val="1"/>
          <w:rtl w:val="0"/>
        </w:rPr>
        <w:t xml:space="preserve"> de archivo electrónicos producidos y recibidos que se encuentren en un sistema automatizado para la gestión documental y </w:t>
      </w:r>
      <w:r w:rsidDel="00000000" w:rsidR="00000000" w:rsidRPr="00000000">
        <w:rPr>
          <w:rFonts w:ascii="Palatino Linotype" w:cs="Palatino Linotype" w:eastAsia="Palatino Linotype" w:hAnsi="Palatino Linotype"/>
          <w:b w:val="1"/>
          <w:i w:val="1"/>
          <w:rtl w:val="0"/>
        </w:rPr>
        <w:t xml:space="preserve">administración de</w:t>
      </w:r>
      <w:r w:rsidDel="00000000" w:rsidR="00000000" w:rsidRPr="00000000">
        <w:rPr>
          <w:rFonts w:ascii="Palatino Linotype" w:cs="Palatino Linotype" w:eastAsia="Palatino Linotype" w:hAnsi="Palatino Linotype"/>
          <w:i w:val="1"/>
          <w:rtl w:val="0"/>
        </w:rPr>
        <w:t xml:space="preserve"> archivos, bases de datos y </w:t>
      </w:r>
      <w:r w:rsidDel="00000000" w:rsidR="00000000" w:rsidRPr="00000000">
        <w:rPr>
          <w:rFonts w:ascii="Palatino Linotype" w:cs="Palatino Linotype" w:eastAsia="Palatino Linotype" w:hAnsi="Palatino Linotype"/>
          <w:b w:val="1"/>
          <w:i w:val="1"/>
          <w:u w:val="single"/>
          <w:rtl w:val="0"/>
        </w:rPr>
        <w:t xml:space="preserve">correos electrónicos</w:t>
      </w:r>
      <w:r w:rsidDel="00000000" w:rsidR="00000000" w:rsidRPr="00000000">
        <w:rPr>
          <w:rFonts w:ascii="Palatino Linotype" w:cs="Palatino Linotype" w:eastAsia="Palatino Linotype" w:hAnsi="Palatino Linotype"/>
          <w:i w:val="1"/>
          <w:rtl w:val="0"/>
        </w:rPr>
        <w:t xml:space="preserve"> a lo largo de su ciclo vital.</w:t>
      </w:r>
    </w:p>
    <w:p w:rsidR="00000000" w:rsidDel="00000000" w:rsidP="00000000" w:rsidRDefault="00000000" w:rsidRPr="00000000" w14:paraId="0000009A">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B">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45</w:t>
      </w:r>
      <w:r w:rsidDel="00000000" w:rsidR="00000000" w:rsidRPr="00000000">
        <w:rPr>
          <w:rFonts w:ascii="Palatino Linotype" w:cs="Palatino Linotype" w:eastAsia="Palatino Linotype" w:hAnsi="Palatino Linotype"/>
          <w:i w:val="1"/>
          <w:rtl w:val="0"/>
        </w:rPr>
        <w:t xml:space="preserve">.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 Las herramientas informáticas de gestión y control para la organización y conservación de documentos de archivo electrónicos que los sujetos obligados desarrollen o adquieran, deberán cumplir los lineamientos que para el efecto se emitan.”</w:t>
      </w:r>
    </w:p>
    <w:p w:rsidR="00000000" w:rsidDel="00000000" w:rsidP="00000000" w:rsidRDefault="00000000" w:rsidRPr="00000000" w14:paraId="0000009C">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9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el numeral Quincuagésimo sexto de los Lineamientos para la Organización y Conservación de los Archivos emitidos por el Consejo Nacional del Sistema Nacional de Transparencia, Acceso a la Información Pública y Protección de Datos Personales, que es del texto literal siguiente: </w:t>
      </w:r>
    </w:p>
    <w:p w:rsidR="00000000" w:rsidDel="00000000" w:rsidP="00000000" w:rsidRDefault="00000000" w:rsidRPr="00000000" w14:paraId="0000009F">
      <w:pPr>
        <w:shd w:fill="ffffff" w:val="clear"/>
        <w:spacing w:after="0" w:line="276" w:lineRule="auto"/>
        <w:ind w:left="851"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A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sexto.</w:t>
      </w:r>
      <w:r w:rsidDel="00000000" w:rsidR="00000000" w:rsidRPr="00000000">
        <w:rPr>
          <w:rFonts w:ascii="Palatino Linotype" w:cs="Palatino Linotype" w:eastAsia="Palatino Linotype" w:hAnsi="Palatino Linotype"/>
          <w:i w:val="1"/>
          <w:rtl w:val="0"/>
        </w:rPr>
        <w:t xml:space="preserve"> 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w:t>
      </w:r>
    </w:p>
    <w:p w:rsidR="00000000" w:rsidDel="00000000" w:rsidP="00000000" w:rsidRDefault="00000000" w:rsidRPr="00000000" w14:paraId="000000A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Cuadragésimo séptimo</w:t>
      </w:r>
      <w:r w:rsidDel="00000000" w:rsidR="00000000" w:rsidRPr="00000000">
        <w:rPr>
          <w:rFonts w:ascii="Palatino Linotype" w:cs="Palatino Linotype" w:eastAsia="Palatino Linotype" w:hAnsi="Palatino Linotype"/>
          <w:i w:val="1"/>
          <w:rtl w:val="0"/>
        </w:rPr>
        <w:t xml:space="preserve">. Para la gestión de las cuentas de correo electrónico institucional se podrán utilizar plantillas que contengan por lo menos la siguiente información:</w:t>
      </w:r>
    </w:p>
    <w:p w:rsidR="00000000" w:rsidDel="00000000" w:rsidP="00000000" w:rsidRDefault="00000000" w:rsidRPr="00000000" w14:paraId="000000A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Nombre y cargo del emisor;</w:t>
      </w:r>
    </w:p>
    <w:p w:rsidR="00000000" w:rsidDel="00000000" w:rsidP="00000000" w:rsidRDefault="00000000" w:rsidRPr="00000000" w14:paraId="000000A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Nombre y cargo del receptor, y</w:t>
      </w:r>
    </w:p>
    <w:p w:rsidR="00000000" w:rsidDel="00000000" w:rsidP="00000000" w:rsidRDefault="00000000" w:rsidRPr="00000000" w14:paraId="000000A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Aviso: "La información de este correo, así como la contenida en los documentos que se adjuntan, puede ser objeto de solicitudes de acceso a la información"</w:t>
      </w:r>
    </w:p>
    <w:p w:rsidR="00000000" w:rsidDel="00000000" w:rsidP="00000000" w:rsidRDefault="00000000" w:rsidRPr="00000000" w14:paraId="000000A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Precepto normativo que establece, que los correos electrónicos que deriven del ejercicio de las facultades, competencias o funciones de los Sujetos Obligados deben organizarse y conservarse de acuerdo con las series documentales establecidas en el cuadro general de clasificación archivística, y a los plazos de conservación señalados en el catálogo de disposición documental, toda vez, que los documentos adjuntó pueden ser objeto de solicitudes de acceso a la información.</w:t>
      </w:r>
    </w:p>
    <w:p w:rsidR="00000000" w:rsidDel="00000000" w:rsidP="00000000" w:rsidRDefault="00000000" w:rsidRPr="00000000" w14:paraId="000000A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bien, en lo que respecta a los agravios hechos valer en el medio de impugnación, relacionados con la entrega de la información no corresponde con lo solicitado, ya que no se proporcionó la expresión documental, es menester referir que, del análisis realizado a la solicitud de información se advierte que la parte Solicitante puntualmente requirió la </w:t>
      </w:r>
      <w:r w:rsidDel="00000000" w:rsidR="00000000" w:rsidRPr="00000000">
        <w:rPr>
          <w:rFonts w:ascii="Palatino Linotype" w:cs="Palatino Linotype" w:eastAsia="Palatino Linotype" w:hAnsi="Palatino Linotype"/>
          <w:b w:val="1"/>
          <w:rtl w:val="0"/>
        </w:rPr>
        <w:t xml:space="preserve">bandeja de entrada y salida.</w:t>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A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entiende como </w:t>
      </w:r>
      <w:r w:rsidDel="00000000" w:rsidR="00000000" w:rsidRPr="00000000">
        <w:rPr>
          <w:rFonts w:ascii="Palatino Linotype" w:cs="Palatino Linotype" w:eastAsia="Palatino Linotype" w:hAnsi="Palatino Linotype"/>
          <w:b w:val="1"/>
          <w:rtl w:val="0"/>
        </w:rPr>
        <w:t xml:space="preserve">bandeja de entrada y salida </w:t>
      </w:r>
      <w:r w:rsidDel="00000000" w:rsidR="00000000" w:rsidRPr="00000000">
        <w:rPr>
          <w:rFonts w:ascii="Palatino Linotype" w:cs="Palatino Linotype" w:eastAsia="Palatino Linotype" w:hAnsi="Palatino Linotype"/>
          <w:rtl w:val="0"/>
        </w:rPr>
        <w:t xml:space="preserve">a las </w:t>
      </w:r>
      <w:r w:rsidDel="00000000" w:rsidR="00000000" w:rsidRPr="00000000">
        <w:rPr>
          <w:rFonts w:ascii="Palatino Linotype" w:cs="Palatino Linotype" w:eastAsia="Palatino Linotype" w:hAnsi="Palatino Linotype"/>
          <w:b w:val="1"/>
          <w:u w:val="single"/>
          <w:rtl w:val="0"/>
        </w:rPr>
        <w:t xml:space="preserve">carpetas</w:t>
      </w:r>
      <w:r w:rsidDel="00000000" w:rsidR="00000000" w:rsidRPr="00000000">
        <w:rPr>
          <w:rFonts w:ascii="Palatino Linotype" w:cs="Palatino Linotype" w:eastAsia="Palatino Linotype" w:hAnsi="Palatino Linotype"/>
          <w:rtl w:val="0"/>
        </w:rPr>
        <w:t xml:space="preserve"> donde se muestran los correos electrónicos que se han recibido y enviado, es así que, de las capturas de pantalla enviadas por el Sujeto Obligado, se observa la información requerida de la temporalidad solicitada; enero, febrero, marzo y abril de dos mil veinticinco:</w:t>
      </w:r>
    </w:p>
    <w:p w:rsidR="00000000" w:rsidDel="00000000" w:rsidP="00000000" w:rsidRDefault="00000000" w:rsidRPr="00000000" w14:paraId="000000A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969975" cy="3926312"/>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69975" cy="3926312"/>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917905" cy="3569003"/>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17905" cy="3569003"/>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lo anterior, se concluye que, la información proporcionada por el Ayuntamiento de Toluca da cuenta de lo solicitado por la parte Recurrente, es por lo que, el requerimiento se tiene por </w:t>
      </w:r>
      <w:r w:rsidDel="00000000" w:rsidR="00000000" w:rsidRPr="00000000">
        <w:rPr>
          <w:rFonts w:ascii="Palatino Linotype" w:cs="Palatino Linotype" w:eastAsia="Palatino Linotype" w:hAnsi="Palatino Linotype"/>
          <w:b w:val="1"/>
          <w:rtl w:val="0"/>
        </w:rPr>
        <w:t xml:space="preserve">colmado. </w:t>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de conformidad con el artículo 12 de la Ley de Transparencia y Acceso a la Información Pública del Estado de México y Municipios, los sujetos obligados sólo deberán proporcionar la información que obre en sus archivos, en el estado en que esta se encuentre, asimismo, se precisa que conforme a lo establecido en el Criterio orientador 31/10 emitido por el entonces Instituto Nacional de Transparencia, Acceso a la Información Pública y Protección de Datos Personales INAI (anteriormente IFAI) que se procede a citar a continuación:</w:t>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tabs>
          <w:tab w:val="left" w:leader="none" w:pos="8222"/>
        </w:tabs>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este Organismo Garante carece de facultades para dudar de la veracidad de la información que el Sujeto Obligado puso a disposición de la parte Recurrente</w:t>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infundadas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04079/INFOEM/IP/RR/2025</w:t>
      </w:r>
      <w:r w:rsidDel="00000000" w:rsidR="00000000" w:rsidRPr="00000000">
        <w:rPr>
          <w:rFonts w:ascii="Palatino Linotype" w:cs="Palatino Linotype" w:eastAsia="Palatino Linotype" w:hAnsi="Palatino Linotype"/>
          <w:rtl w:val="0"/>
        </w:rPr>
        <w:t xml:space="preserve">; por ello, y con fundamento en la fracción 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01587/TOLUCA/IP/2025.</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BC">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0B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INFUNDADOS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04079/INFOEM/IP/RR/2025 </w:t>
      </w:r>
      <w:r w:rsidDel="00000000" w:rsidR="00000000" w:rsidRPr="00000000">
        <w:rPr>
          <w:rFonts w:ascii="Palatino Linotype" w:cs="Palatino Linotype" w:eastAsia="Palatino Linotype" w:hAnsi="Palatino Linotype"/>
          <w:rtl w:val="0"/>
        </w:rPr>
        <w:t xml:space="preserve">por lo que, en términos del</w:t>
      </w:r>
      <w:r w:rsidDel="00000000" w:rsidR="00000000" w:rsidRPr="00000000">
        <w:rPr>
          <w:rFonts w:ascii="Palatino Linotype" w:cs="Palatino Linotype" w:eastAsia="Palatino Linotype" w:hAnsi="Palatino Linotype"/>
          <w:b w:val="1"/>
          <w:rtl w:val="0"/>
        </w:rPr>
        <w:t xml:space="preserve"> Considerando 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CONFIRMA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vía Sistema de Acceso a la Información Mexiquense (SAIMEX)</w:t>
      </w:r>
      <w:r w:rsidDel="00000000" w:rsidR="00000000" w:rsidRPr="00000000">
        <w:rPr>
          <w:rFonts w:ascii="Palatino Linotype" w:cs="Palatino Linotype" w:eastAsia="Palatino Linotype" w:hAnsi="Palatino Linotype"/>
          <w:rtl w:val="0"/>
        </w:rPr>
        <w:t xml:space="preserve">, al Titular de la Unidad de Transparencia del Sujeto Obligado, para su conocimiento.</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vía Sistema de Acceso a la Información Mexiquense (SAIMEX) </w:t>
      </w:r>
      <w:r w:rsidDel="00000000" w:rsidR="00000000" w:rsidRPr="00000000">
        <w:rPr>
          <w:rFonts w:ascii="Palatino Linotype" w:cs="Palatino Linotype" w:eastAsia="Palatino Linotype" w:hAnsi="Palatino Linotype"/>
          <w:rtl w:val="0"/>
        </w:rPr>
        <w:t xml:space="preserve">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C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DE JULIO DE DOS MIL VEINTICINCO, ANTE EL SECRETARIO TÉCNICO DEL PLENO ALEXIS TAPIA RAMÍREZ.</w:t>
      </w:r>
    </w:p>
    <w:p w:rsidR="00000000" w:rsidDel="00000000" w:rsidP="00000000" w:rsidRDefault="00000000" w:rsidRPr="00000000" w14:paraId="000000C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-746123</wp:posOffset>
          </wp:positionH>
          <wp:positionV relativeFrom="paragraph">
            <wp:posOffset>-448306</wp:posOffset>
          </wp:positionV>
          <wp:extent cx="7809876" cy="10165823"/>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04079/INFOEM/IP/RR/2025</w:t>
          </w:r>
        </w:p>
      </w:tc>
    </w:tr>
    <w:tr>
      <w:trPr>
        <w:cantSplit w:val="0"/>
        <w:trHeight w:val="228" w:hRule="atLeast"/>
        <w:tblHeader w:val="0"/>
      </w:trPr>
      <w:tc>
        <w:tcP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-713103</wp:posOffset>
          </wp:positionH>
          <wp:positionV relativeFrom="paragraph">
            <wp:posOffset>-364488</wp:posOffset>
          </wp:positionV>
          <wp:extent cx="7809876" cy="10165823"/>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04079/INFOEM/IP/RR/2025</w:t>
          </w:r>
        </w:p>
      </w:tc>
    </w:tr>
    <w:tr>
      <w:trPr>
        <w:cantSplit w:val="0"/>
        <w:tblHeader w:val="0"/>
      </w:trPr>
      <w:tc>
        <w:tcP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8"/>
      <w:numFmt w:val="bullet"/>
      <w:lvlText w:val="-"/>
      <w:lvlJc w:val="left"/>
      <w:pPr>
        <w:ind w:left="1080" w:hanging="360"/>
      </w:pPr>
      <w:rPr>
        <w:rFonts w:ascii="Palatino Linotype" w:cs="Palatino Linotype" w:eastAsia="Palatino Linotype" w:hAnsi="Palatino Linotype"/>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9F3FE6"/>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D31E5F"/>
    <w:rPr>
      <w:b w:val="1"/>
      <w:bCs w:val="1"/>
    </w:rPr>
  </w:style>
  <w:style w:type="character" w:styleId="uv3um" w:customStyle="1">
    <w:name w:val="uv3um"/>
    <w:basedOn w:val="Fuentedeprrafopredeter"/>
    <w:rsid w:val="00D31E5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toluca@itaipem.org.mx"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y4z4vShg0KYoNxwUhz1oM1ZjEg==">CgMxLjAyDmguYzBzMHZ6OXQ1NGliMgloLjN6bnlzaDc4AHIhMURnZDJCM1VtSkhteHJLRkFaSkkyRzB5X3haTG00THU0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2025-08-07T20:27:00Z</dcterms:created>
  <dc:creator>Cuenta Microsoft</dc:creator>
</cp:coreProperties>
</file>