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D47D" w14:textId="77777777" w:rsidR="00D866BB" w:rsidRDefault="00D866BB">
      <w:pPr>
        <w:widowControl w:val="0"/>
        <w:pBdr>
          <w:top w:val="nil"/>
          <w:left w:val="nil"/>
          <w:bottom w:val="nil"/>
          <w:right w:val="nil"/>
          <w:between w:val="nil"/>
        </w:pBdr>
        <w:spacing w:line="276" w:lineRule="auto"/>
      </w:pPr>
    </w:p>
    <w:p w14:paraId="6A939E74"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14:paraId="3C32C4F9" w14:textId="77777777" w:rsidR="00D866BB" w:rsidRDefault="00D866BB">
      <w:pPr>
        <w:spacing w:line="360" w:lineRule="auto"/>
        <w:jc w:val="center"/>
        <w:rPr>
          <w:rFonts w:ascii="Palatino Linotype" w:eastAsia="Palatino Linotype" w:hAnsi="Palatino Linotype" w:cs="Palatino Linotype"/>
          <w:color w:val="0D0D0D"/>
          <w:sz w:val="22"/>
          <w:szCs w:val="22"/>
        </w:rPr>
      </w:pPr>
    </w:p>
    <w:p w14:paraId="02BB4F77"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sidRPr="00E46743">
        <w:rPr>
          <w:rFonts w:ascii="Palatino Linotype" w:eastAsia="Palatino Linotype" w:hAnsi="Palatino Linotype" w:cs="Palatino Linotype"/>
          <w:b/>
          <w:color w:val="0D0D0D"/>
          <w:sz w:val="22"/>
          <w:szCs w:val="22"/>
        </w:rPr>
        <w:t>07586/INFOEM/IP/RR/2024</w:t>
      </w:r>
      <w:r>
        <w:rPr>
          <w:rFonts w:ascii="Palatino Linotype" w:eastAsia="Palatino Linotype" w:hAnsi="Palatino Linotype" w:cs="Palatino Linotype"/>
          <w:color w:val="0D0D0D"/>
          <w:sz w:val="22"/>
          <w:szCs w:val="22"/>
        </w:rPr>
        <w:t xml:space="preserve">, interpuesto por el Recurrente o Particular, en contra de la respuesta del Sujeto Obligado, </w:t>
      </w:r>
      <w:r w:rsidRPr="00E46743">
        <w:rPr>
          <w:rFonts w:ascii="Palatino Linotype" w:eastAsia="Palatino Linotype" w:hAnsi="Palatino Linotype" w:cs="Palatino Linotype"/>
          <w:b/>
          <w:color w:val="0D0D0D"/>
          <w:sz w:val="22"/>
          <w:szCs w:val="22"/>
        </w:rPr>
        <w:t>Secretaría de Finanzas</w:t>
      </w:r>
      <w:r>
        <w:rPr>
          <w:rFonts w:ascii="Palatino Linotype" w:eastAsia="Palatino Linotype" w:hAnsi="Palatino Linotype" w:cs="Palatino Linotype"/>
          <w:color w:val="0D0D0D"/>
          <w:sz w:val="22"/>
          <w:szCs w:val="22"/>
        </w:rPr>
        <w:t>, a la solicitud de acceso a la información pública 00890/SF/IP/2024, se emite la presente Resolución, con base en los Antecedentes y Considerandos que a continuación se exponen:</w:t>
      </w:r>
    </w:p>
    <w:p w14:paraId="66E434E3" w14:textId="77777777" w:rsidR="00D866BB" w:rsidRDefault="00D866BB">
      <w:pPr>
        <w:spacing w:line="360" w:lineRule="auto"/>
        <w:rPr>
          <w:rFonts w:ascii="Palatino Linotype" w:eastAsia="Palatino Linotype" w:hAnsi="Palatino Linotype" w:cs="Palatino Linotype"/>
          <w:color w:val="0D0D0D"/>
          <w:sz w:val="22"/>
          <w:szCs w:val="22"/>
        </w:rPr>
      </w:pPr>
    </w:p>
    <w:p w14:paraId="5BCDCC32" w14:textId="77777777" w:rsidR="00D866BB" w:rsidRDefault="00C57634">
      <w:pPr>
        <w:tabs>
          <w:tab w:val="center" w:pos="4522"/>
          <w:tab w:val="left" w:pos="7245"/>
        </w:tabs>
        <w:spacing w:line="360" w:lineRule="auto"/>
        <w:jc w:val="center"/>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ANTECEDENTES</w:t>
      </w:r>
    </w:p>
    <w:p w14:paraId="011F81F2" w14:textId="77777777" w:rsidR="00D866BB" w:rsidRDefault="00D866B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D0D0D"/>
          <w:sz w:val="22"/>
          <w:szCs w:val="22"/>
        </w:rPr>
      </w:pPr>
    </w:p>
    <w:p w14:paraId="30C8C3FB" w14:textId="77777777" w:rsidR="00D866BB" w:rsidRDefault="00E24E3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I. Presentación </w:t>
      </w:r>
      <w:r w:rsidR="00C57634">
        <w:rPr>
          <w:rFonts w:ascii="Palatino Linotype" w:eastAsia="Palatino Linotype" w:hAnsi="Palatino Linotype" w:cs="Palatino Linotype"/>
          <w:b/>
          <w:color w:val="0D0D0D"/>
          <w:sz w:val="22"/>
          <w:szCs w:val="22"/>
        </w:rPr>
        <w:t>de la solicitud de información</w:t>
      </w:r>
    </w:p>
    <w:p w14:paraId="21134E53" w14:textId="77777777" w:rsidR="00D866BB" w:rsidRDefault="00D866B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D0D0D"/>
          <w:sz w:val="22"/>
          <w:szCs w:val="22"/>
        </w:rPr>
      </w:pPr>
    </w:p>
    <w:p w14:paraId="7CB098D5" w14:textId="77777777" w:rsidR="00D866BB" w:rsidRDefault="00E24E35">
      <w:pPr>
        <w:spacing w:line="360" w:lineRule="auto"/>
        <w:jc w:val="both"/>
        <w:rPr>
          <w:rFonts w:ascii="Palatino Linotype" w:eastAsia="Palatino Linotype" w:hAnsi="Palatino Linotype" w:cs="Palatino Linotype"/>
          <w:color w:val="000000"/>
          <w:sz w:val="22"/>
          <w:szCs w:val="22"/>
        </w:rPr>
      </w:pPr>
      <w:bookmarkStart w:id="0" w:name="_heading=h.gjdgxs" w:colFirst="0" w:colLast="0"/>
      <w:bookmarkEnd w:id="0"/>
      <w:r>
        <w:rPr>
          <w:rFonts w:ascii="Palatino Linotype" w:eastAsia="Palatino Linotype" w:hAnsi="Palatino Linotype" w:cs="Palatino Linotype"/>
          <w:color w:val="0D0D0D"/>
          <w:sz w:val="22"/>
          <w:szCs w:val="22"/>
        </w:rPr>
        <w:t>Con fecha trece de noviembre de dos mil veinticuatro, el Particular presentó una solicitud de acceso a la información pública, a través del Sistema de Acceso a la Información Mexiquense (SAIMEX), ante la Secretaría de Finanzas,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mediante la cual requirió:</w:t>
      </w:r>
    </w:p>
    <w:p w14:paraId="1DE4214C" w14:textId="77777777" w:rsidR="00D866BB" w:rsidRDefault="00D866BB">
      <w:pPr>
        <w:tabs>
          <w:tab w:val="left" w:pos="4667"/>
        </w:tabs>
        <w:spacing w:line="360" w:lineRule="auto"/>
        <w:ind w:right="567"/>
        <w:jc w:val="both"/>
        <w:rPr>
          <w:rFonts w:ascii="Palatino Linotype" w:eastAsia="Palatino Linotype" w:hAnsi="Palatino Linotype" w:cs="Palatino Linotype"/>
          <w:b/>
          <w:i/>
          <w:color w:val="0D0D0D"/>
        </w:rPr>
      </w:pPr>
    </w:p>
    <w:p w14:paraId="53DE30DB" w14:textId="77777777" w:rsidR="00D866BB" w:rsidRDefault="00E24E35">
      <w:pPr>
        <w:tabs>
          <w:tab w:val="left" w:pos="4667"/>
        </w:tabs>
        <w:spacing w:line="360" w:lineRule="auto"/>
        <w:ind w:left="567" w:right="567"/>
        <w:jc w:val="both"/>
        <w:rPr>
          <w:rFonts w:ascii="Palatino Linotype" w:eastAsia="Palatino Linotype" w:hAnsi="Palatino Linotype" w:cs="Palatino Linotype"/>
          <w:b/>
          <w:i/>
          <w:color w:val="0D0D0D"/>
        </w:rPr>
      </w:pPr>
      <w:r>
        <w:rPr>
          <w:rFonts w:ascii="Palatino Linotype" w:eastAsia="Palatino Linotype" w:hAnsi="Palatino Linotype" w:cs="Palatino Linotype"/>
          <w:b/>
          <w:i/>
          <w:color w:val="0D0D0D"/>
        </w:rPr>
        <w:t>“DESCRIPCIÓN CLARA Y PRECISA DE LA INFORMACIÓN SOLICITADA</w:t>
      </w:r>
    </w:p>
    <w:p w14:paraId="0E053002" w14:textId="77777777" w:rsidR="00D866BB" w:rsidRDefault="00E24E35">
      <w:pPr>
        <w:tabs>
          <w:tab w:val="left" w:pos="4667"/>
        </w:tabs>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t>SOLICITO TODO EL SOPORTE DOCUMENTAL DE LOS VEHÍCULOS ASIGNADOS A LA UIPPE DE LA SECRETARÍA DE FINANZAS, EL RESGUARDO Y NOMBRE DE USUARIO DE CADA VEHÍCULO, EL DOCUMENTO DONDE SE AUTORIZA LA GASOLINA ASIGNADA DE MANERA MENSUAL A CADA VEHÍCULO, LOS COMPROBANTES Y TICKETS GENERADOS POR LA CARGA DE COMBUSTIBLE DURANTE EL MES DE OCTUBRE DE 2024 DE LOS VEHÍCULOS ASIGNADOS A LA UIPPE.” (Sic.)</w:t>
      </w:r>
    </w:p>
    <w:p w14:paraId="780F6629" w14:textId="77777777" w:rsidR="00D866BB" w:rsidRDefault="00D866BB">
      <w:pPr>
        <w:tabs>
          <w:tab w:val="left" w:pos="4667"/>
        </w:tabs>
        <w:spacing w:line="360" w:lineRule="auto"/>
        <w:ind w:left="567" w:right="567"/>
        <w:jc w:val="both"/>
        <w:rPr>
          <w:rFonts w:ascii="Palatino Linotype" w:eastAsia="Palatino Linotype" w:hAnsi="Palatino Linotype" w:cs="Palatino Linotype"/>
          <w:i/>
          <w:color w:val="0D0D0D"/>
        </w:rPr>
      </w:pPr>
    </w:p>
    <w:p w14:paraId="01CF1DE5" w14:textId="77777777" w:rsidR="00D866BB" w:rsidRDefault="00E24E35">
      <w:pPr>
        <w:tabs>
          <w:tab w:val="left" w:pos="4667"/>
        </w:tabs>
        <w:spacing w:line="360" w:lineRule="auto"/>
        <w:ind w:left="567" w:right="567"/>
        <w:jc w:val="both"/>
        <w:rPr>
          <w:rFonts w:ascii="Palatino Linotype" w:eastAsia="Palatino Linotype" w:hAnsi="Palatino Linotype" w:cs="Palatino Linotype"/>
          <w:b/>
          <w:i/>
          <w:color w:val="0D0D0D"/>
        </w:rPr>
      </w:pPr>
      <w:r>
        <w:rPr>
          <w:rFonts w:ascii="Palatino Linotype" w:eastAsia="Palatino Linotype" w:hAnsi="Palatino Linotype" w:cs="Palatino Linotype"/>
          <w:b/>
          <w:i/>
          <w:color w:val="0D0D0D"/>
        </w:rPr>
        <w:t>“MODALIDAD DE ENTREGA</w:t>
      </w:r>
    </w:p>
    <w:p w14:paraId="01BA9C5B" w14:textId="77777777" w:rsidR="00D866BB" w:rsidRDefault="00E24E35">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lastRenderedPageBreak/>
        <w:t>A través del SAIMEX”</w:t>
      </w:r>
    </w:p>
    <w:p w14:paraId="6F0D1172" w14:textId="77777777" w:rsidR="00D866BB" w:rsidRDefault="00E24E3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II</w:t>
      </w:r>
      <w:r w:rsidR="00C57634">
        <w:rPr>
          <w:rFonts w:ascii="Palatino Linotype" w:eastAsia="Palatino Linotype" w:hAnsi="Palatino Linotype" w:cs="Palatino Linotype"/>
          <w:b/>
          <w:color w:val="0D0D0D"/>
          <w:sz w:val="22"/>
          <w:szCs w:val="22"/>
        </w:rPr>
        <w:t>. Respuesta del Sujeto Obligado</w:t>
      </w:r>
    </w:p>
    <w:p w14:paraId="636330B4" w14:textId="77777777" w:rsidR="00D866BB" w:rsidRDefault="00D866B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D0D0D"/>
          <w:sz w:val="22"/>
          <w:szCs w:val="22"/>
        </w:rPr>
      </w:pPr>
    </w:p>
    <w:p w14:paraId="6F504A1F"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 fecha cinco de diciembre de dos mil veinticuatro, el Sujeto Obligado notificó al Solicitante, mediante el Sistema de Acceso a la Información Mexiquense (SAIMEX), la respuesta, a través del oficio número 20700004S/UT-2538/2024, del cuatro del mismo mes y año de recepción, suscito por el Jefe de la UIPPE y Titular de la Unidad de Transparencia, por medio del cual precisó remitir la respuesta de la Servidora Pública Habilitada de la Unidad de Información Planeación, Programación y Evaluación. Así, el Sujeto Obligado adjuntó la digitalización de un oficio sin número, del cuatro de diciembre de dos mil veinticuatro, suscrito por la Servidora Pública Habilitada de la Unidad de Información Planeación, Programación y Evaluación, por medio del cual precisó que no se contaba con la información requerida por el solicitante.</w:t>
      </w:r>
    </w:p>
    <w:p w14:paraId="76387434"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6ECEF349" w14:textId="77777777" w:rsidR="00D866BB" w:rsidRDefault="00E24E35">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III. Interpo</w:t>
      </w:r>
      <w:r w:rsidR="00C57634">
        <w:rPr>
          <w:rFonts w:ascii="Palatino Linotype" w:eastAsia="Palatino Linotype" w:hAnsi="Palatino Linotype" w:cs="Palatino Linotype"/>
          <w:b/>
          <w:color w:val="0D0D0D"/>
          <w:sz w:val="22"/>
          <w:szCs w:val="22"/>
        </w:rPr>
        <w:t>sición del Recurso de Revisión</w:t>
      </w:r>
    </w:p>
    <w:p w14:paraId="1458363A"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1725088B" w14:textId="77777777" w:rsidR="00D866BB" w:rsidRDefault="00E24E35">
      <w:pPr>
        <w:widowControl w:val="0"/>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 fecha diez de diciembre de dos mil veinticuatro, se recibió en este Instituto, a través del Sistema de Acceso a la Información Mexiquense (SAIMEX), Recurso de Revisión interpuesto por la parte Recurrente, en contra de la respuesta del Sujeto Obligado, en los siguientes términos:</w:t>
      </w:r>
    </w:p>
    <w:p w14:paraId="02C57C30" w14:textId="77777777" w:rsidR="00D866BB" w:rsidRDefault="00D866BB">
      <w:pPr>
        <w:widowControl w:val="0"/>
        <w:spacing w:line="360" w:lineRule="auto"/>
        <w:jc w:val="both"/>
        <w:rPr>
          <w:rFonts w:ascii="Palatino Linotype" w:eastAsia="Palatino Linotype" w:hAnsi="Palatino Linotype" w:cs="Palatino Linotype"/>
          <w:color w:val="0D0D0D"/>
          <w:sz w:val="22"/>
          <w:szCs w:val="22"/>
        </w:rPr>
      </w:pPr>
    </w:p>
    <w:p w14:paraId="6D3A000C" w14:textId="77777777" w:rsidR="00D866BB" w:rsidRDefault="00E24E35">
      <w:pPr>
        <w:tabs>
          <w:tab w:val="left" w:pos="4667"/>
        </w:tabs>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“ACTO IMPUGNADO</w:t>
      </w:r>
    </w:p>
    <w:p w14:paraId="6520B88E" w14:textId="77777777" w:rsidR="00D866BB" w:rsidRDefault="00E24E35">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t xml:space="preserve">PORQUE SE NIEGAN A ENTREGAR EL SOPORTE DOCUMENTAL DE LOS VEHÍCULOS ASIGNADOS A LA UIPPE DE LA SECRETARÍA DE FINANZAS, EL RESGUARDO Y NOMBRE DE USUARIO DE CADA VEHÍCULO, EL DOCUMENTO DONDE SE AUTORIZA LA GASOLINA ASIGNADA DE MANERA MENSUAL A CADA VEHÍCULO, LOS COMPROBANTES Y TICKETS GENERADOS POR LA CARGA DE COMBUSTIBLE </w:t>
      </w:r>
      <w:r>
        <w:rPr>
          <w:rFonts w:ascii="Palatino Linotype" w:eastAsia="Palatino Linotype" w:hAnsi="Palatino Linotype" w:cs="Palatino Linotype"/>
          <w:i/>
          <w:color w:val="0D0D0D"/>
        </w:rPr>
        <w:lastRenderedPageBreak/>
        <w:t>DURANTE EL MES DE OCTUBRE DE 2024 DE LOS VEHÍCULOS ASIGNADOS A LA UIPPE.” (Sic.)</w:t>
      </w:r>
    </w:p>
    <w:p w14:paraId="33551B98" w14:textId="77777777" w:rsidR="00D866BB" w:rsidRDefault="00D866BB">
      <w:pPr>
        <w:spacing w:line="360" w:lineRule="auto"/>
        <w:ind w:left="567" w:right="567"/>
        <w:jc w:val="both"/>
        <w:rPr>
          <w:rFonts w:ascii="Palatino Linotype" w:eastAsia="Palatino Linotype" w:hAnsi="Palatino Linotype" w:cs="Palatino Linotype"/>
          <w:i/>
          <w:color w:val="0D0D0D"/>
        </w:rPr>
      </w:pPr>
    </w:p>
    <w:p w14:paraId="6310614C" w14:textId="77777777" w:rsidR="00D866BB" w:rsidRDefault="00E24E35">
      <w:pPr>
        <w:spacing w:line="360" w:lineRule="auto"/>
        <w:ind w:left="567" w:right="567"/>
        <w:jc w:val="both"/>
        <w:rPr>
          <w:rFonts w:ascii="Palatino Linotype" w:eastAsia="Palatino Linotype" w:hAnsi="Palatino Linotype" w:cs="Palatino Linotype"/>
          <w:b/>
          <w:i/>
          <w:color w:val="0D0D0D"/>
        </w:rPr>
      </w:pPr>
      <w:r>
        <w:rPr>
          <w:rFonts w:ascii="Palatino Linotype" w:eastAsia="Palatino Linotype" w:hAnsi="Palatino Linotype" w:cs="Palatino Linotype"/>
          <w:b/>
          <w:i/>
          <w:color w:val="0D0D0D"/>
        </w:rPr>
        <w:t>“RAZONES O MOTIVOS DE LA INCONFORMIDAD</w:t>
      </w:r>
    </w:p>
    <w:p w14:paraId="06717A9A" w14:textId="77777777" w:rsidR="00D866BB" w:rsidRDefault="00E24E35">
      <w:pPr>
        <w:widowControl w:val="0"/>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t>ENTONCES ESTAN RESPONDIENDO QUE LA UIPPE NO TIENE NINGUN VEHICULO ASIGANDO NI SE LES OTORGA GASOLINA, EN QUE VEHICULOS ASISTEN A SUS REPRESENTACIONES POR PARTE DE LA SECRETARIA DE FINANZAS, COMO SE CONTRADICEN CON LAS FACTURAS DE CASETAS, NO NOS HAGAMOS TONTOS Y RESPONDAN CON LA VERDAD. QUE OCULTAN.” (Sic.)</w:t>
      </w:r>
    </w:p>
    <w:p w14:paraId="4A791F31"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23AE6BF3" w14:textId="77777777" w:rsidR="00D866BB" w:rsidRDefault="00E24E35">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IV. Trámite del Recurs</w:t>
      </w:r>
      <w:r w:rsidR="00C57634">
        <w:rPr>
          <w:rFonts w:ascii="Palatino Linotype" w:eastAsia="Palatino Linotype" w:hAnsi="Palatino Linotype" w:cs="Palatino Linotype"/>
          <w:b/>
          <w:color w:val="0D0D0D"/>
          <w:sz w:val="22"/>
          <w:szCs w:val="22"/>
        </w:rPr>
        <w:t>o de Revisión ante el Instituto</w:t>
      </w:r>
    </w:p>
    <w:p w14:paraId="75701840"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685F3A52"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a) Turno del Recurso de Revisión. </w:t>
      </w:r>
      <w:r>
        <w:rPr>
          <w:rFonts w:ascii="Palatino Linotype" w:eastAsia="Palatino Linotype" w:hAnsi="Palatino Linotype" w:cs="Palatino Linotype"/>
          <w:color w:val="0D0D0D"/>
          <w:sz w:val="22"/>
          <w:szCs w:val="22"/>
        </w:rPr>
        <w:t xml:space="preserve">El diez de diciembre de dos mil veinticuatro, el Sistema de Acceso a la Información Mexiquense (SAIMEX), asignó el número de expediente </w:t>
      </w:r>
      <w:r>
        <w:rPr>
          <w:rFonts w:ascii="Palatino Linotype" w:eastAsia="Palatino Linotype" w:hAnsi="Palatino Linotype" w:cs="Palatino Linotype"/>
          <w:b/>
          <w:color w:val="0D0D0D"/>
          <w:sz w:val="22"/>
          <w:szCs w:val="22"/>
        </w:rPr>
        <w:t>07586/INFOEM/IP/RR/2024</w:t>
      </w:r>
      <w:r>
        <w:rPr>
          <w:rFonts w:ascii="Palatino Linotype" w:eastAsia="Palatino Linotype" w:hAnsi="Palatino Linotype" w:cs="Palatino Linotype"/>
          <w:color w:val="0D0D0D"/>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84D4B5C"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3850CDA8"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b) Admisión del Recurso de Revisión. </w:t>
      </w:r>
      <w:r>
        <w:rPr>
          <w:rFonts w:ascii="Palatino Linotype" w:eastAsia="Palatino Linotype" w:hAnsi="Palatino Linotype" w:cs="Palatino Linotype"/>
          <w:color w:val="0D0D0D"/>
          <w:sz w:val="22"/>
          <w:szCs w:val="22"/>
        </w:rPr>
        <w:t>El trece de diciembre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0EEE7994" w14:textId="77777777" w:rsidR="00D866BB" w:rsidRDefault="00D866BB">
      <w:pPr>
        <w:spacing w:line="360" w:lineRule="auto"/>
        <w:jc w:val="both"/>
        <w:rPr>
          <w:rFonts w:ascii="Palatino Linotype" w:eastAsia="Palatino Linotype" w:hAnsi="Palatino Linotype" w:cs="Palatino Linotype"/>
          <w:color w:val="0D0D0D"/>
          <w:sz w:val="22"/>
          <w:szCs w:val="22"/>
        </w:rPr>
      </w:pPr>
    </w:p>
    <w:p w14:paraId="6DBAEA8B"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c) Informe Justificado. </w:t>
      </w:r>
      <w:r>
        <w:rPr>
          <w:rFonts w:ascii="Palatino Linotype" w:eastAsia="Palatino Linotype" w:hAnsi="Palatino Linotype" w:cs="Palatino Linotype"/>
          <w:sz w:val="22"/>
          <w:szCs w:val="22"/>
        </w:rPr>
        <w:t>El diecinueve de diciembre de dos mil veinticuatro y quince de enero de dos mil veinticinco se recibió, a través del Sistema de Acceso a la Información Mexiquense (SAIMEX), el Informe Justificado del Sujeto Obligado, por medio de los documentos siguientes:</w:t>
      </w:r>
    </w:p>
    <w:p w14:paraId="36C4D726" w14:textId="77777777" w:rsidR="00D866BB" w:rsidRDefault="00D866BB">
      <w:pPr>
        <w:spacing w:line="360" w:lineRule="auto"/>
        <w:jc w:val="both"/>
        <w:rPr>
          <w:rFonts w:ascii="Palatino Linotype" w:eastAsia="Palatino Linotype" w:hAnsi="Palatino Linotype" w:cs="Palatino Linotype"/>
          <w:sz w:val="22"/>
          <w:szCs w:val="22"/>
          <w:highlight w:val="red"/>
        </w:rPr>
      </w:pPr>
    </w:p>
    <w:p w14:paraId="387EA200"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Oficio sin número, del dieciocho de diciembre de dos mil veinticuatro, signado por la Directora de Información y dirigido al Comisionado Ponente, por medio del cual manifestó remitir la respuesta de la Servidora Pública Habilitada de la Unidad de Información, Planeación, Programación y Evaluación. </w:t>
      </w:r>
    </w:p>
    <w:p w14:paraId="6D19A1A1" w14:textId="77777777" w:rsidR="00D866BB" w:rsidRDefault="00D866BB">
      <w:pPr>
        <w:spacing w:line="360" w:lineRule="auto"/>
        <w:jc w:val="both"/>
        <w:rPr>
          <w:rFonts w:ascii="Palatino Linotype" w:eastAsia="Palatino Linotype" w:hAnsi="Palatino Linotype" w:cs="Palatino Linotype"/>
          <w:sz w:val="22"/>
          <w:szCs w:val="22"/>
        </w:rPr>
      </w:pPr>
    </w:p>
    <w:p w14:paraId="0B5A9035"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 Oficio sin número, de fecha dieciocho de diciembre de dos mil veinticuatro, suscrito por la Servidora Pública Habilitada de la Unidad de Información, Planeación, Programación y Evaluación y dirigido al Jefe de la Unidad de Información, Planeación, Programación y Evaluación y Titular de la Unidad de Transparencia, por medio del cual ratificó la respuesta proporcionada, descrita en el Antecedente II, de conformidad con lo siguiente: </w:t>
      </w:r>
    </w:p>
    <w:p w14:paraId="2C5AF854" w14:textId="77777777" w:rsidR="00D866BB" w:rsidRDefault="00D866BB">
      <w:pPr>
        <w:spacing w:line="360" w:lineRule="auto"/>
        <w:jc w:val="both"/>
        <w:rPr>
          <w:rFonts w:ascii="Palatino Linotype" w:eastAsia="Palatino Linotype" w:hAnsi="Palatino Linotype" w:cs="Palatino Linotype"/>
          <w:i/>
          <w:sz w:val="22"/>
          <w:szCs w:val="22"/>
        </w:rPr>
      </w:pPr>
    </w:p>
    <w:p w14:paraId="38F57566" w14:textId="77777777" w:rsidR="00D866BB" w:rsidRDefault="00E24E3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“…me permito ratificar en todas y cada una de sus partes el contenido del oficio de fecha cuatro de diciembre de dos mil veinticuatro.</w:t>
      </w:r>
    </w:p>
    <w:p w14:paraId="3BA59D73" w14:textId="77777777" w:rsidR="00D866BB" w:rsidRDefault="00E24E3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B9624FC" w14:textId="77777777" w:rsidR="00D866BB" w:rsidRDefault="00D866BB">
      <w:pPr>
        <w:spacing w:line="360" w:lineRule="auto"/>
        <w:ind w:left="567" w:right="567"/>
        <w:jc w:val="both"/>
        <w:rPr>
          <w:rFonts w:ascii="Palatino Linotype" w:eastAsia="Palatino Linotype" w:hAnsi="Palatino Linotype" w:cs="Palatino Linotype"/>
          <w:i/>
        </w:rPr>
      </w:pPr>
    </w:p>
    <w:p w14:paraId="2A15BA14"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iii) Oficio sin número, del catorce de enero de dos mil veinticinco, suscrito por el Jefe de la UIPPE y Titular de la Unidad de Transparencia y dirigido al Comisionado Ponente, en los siguientes términos: </w:t>
      </w:r>
    </w:p>
    <w:p w14:paraId="1E9065A3"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2497E5EC" w14:textId="77777777" w:rsidR="00D866BB" w:rsidRDefault="00E24E35">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i/>
        </w:rPr>
        <w:t xml:space="preserve">“…le informo que tras una búsqueda exhaustiva y razonable en los archivos de esta unidad administrativa se advierte que </w:t>
      </w:r>
      <w:r>
        <w:rPr>
          <w:rFonts w:ascii="Palatino Linotype" w:eastAsia="Palatino Linotype" w:hAnsi="Palatino Linotype" w:cs="Palatino Linotype"/>
          <w:b/>
          <w:i/>
        </w:rPr>
        <w:t xml:space="preserve">durante el mes de octubre de dos mil veinticuatro no se contaba con resguardos y nombres de usuario de cada vehículo, asignados a la Unidad de </w:t>
      </w:r>
      <w:r>
        <w:rPr>
          <w:rFonts w:ascii="Palatino Linotype" w:eastAsia="Palatino Linotype" w:hAnsi="Palatino Linotype" w:cs="Palatino Linotype"/>
          <w:b/>
          <w:i/>
        </w:rPr>
        <w:lastRenderedPageBreak/>
        <w:t>Información, Planeación, Programación, y Evaluación, toda vez que en la unidad administrativa de referencia no existe ningún vehículo asignado de manera directa a los servidores públicos adscritos a ella.</w:t>
      </w:r>
    </w:p>
    <w:p w14:paraId="725C620D" w14:textId="77777777" w:rsidR="00D866BB" w:rsidRDefault="00E24E3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D2A8C53"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445632E1"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Vista del Informe Justificado: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sz w:val="22"/>
          <w:szCs w:val="22"/>
        </w:rPr>
        <w:tab/>
        <w:t xml:space="preserve">quince de enero de dos mil veinticinco, se dictó acuerdo, por medio del cual </w:t>
      </w:r>
      <w:r>
        <w:rPr>
          <w:rFonts w:ascii="Palatino Linotype" w:eastAsia="Palatino Linotype" w:hAnsi="Palatino Linotype" w:cs="Palatino Linotype"/>
          <w:b/>
          <w:sz w:val="22"/>
          <w:szCs w:val="22"/>
        </w:rPr>
        <w:t>se puso a la vista del Recurrente el Informe Justificado</w:t>
      </w:r>
      <w:r>
        <w:rPr>
          <w:rFonts w:ascii="Palatino Linotype" w:eastAsia="Palatino Linotype" w:hAnsi="Palatino Linotype" w:cs="Palatino Linotype"/>
          <w:sz w:val="22"/>
          <w:szCs w:val="22"/>
        </w:rPr>
        <w:t>, entregado por el Sujeto Obligado, a fin de que en un término no mayor a tres días hábiles manifestará lo que a derecho corresponda, acto que fue notificado mediante el Sistema de Acceso a la Información Mexiquense (SAIMEX) el mismo día.</w:t>
      </w:r>
    </w:p>
    <w:p w14:paraId="39EABCB4"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7D560C7F"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e) Cierre de instrucción.</w:t>
      </w:r>
      <w:r>
        <w:rPr>
          <w:rFonts w:ascii="Palatino Linotype" w:eastAsia="Palatino Linotype" w:hAnsi="Palatino Linotype" w:cs="Palatino Linotype"/>
          <w:color w:val="0D0D0D"/>
          <w:sz w:val="22"/>
          <w:szCs w:val="22"/>
        </w:rPr>
        <w:t xml:space="preserve"> El veintiuno de enero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veintidós del mismo mes y año, a través del Sistema de Acceso a la Información Mexiquense (SAIMEX).  </w:t>
      </w:r>
    </w:p>
    <w:p w14:paraId="692A4C6F" w14:textId="77777777" w:rsidR="00D866BB" w:rsidRDefault="00D866BB">
      <w:pPr>
        <w:spacing w:line="360" w:lineRule="auto"/>
        <w:jc w:val="both"/>
        <w:rPr>
          <w:rFonts w:ascii="Palatino Linotype" w:eastAsia="Palatino Linotype" w:hAnsi="Palatino Linotype" w:cs="Palatino Linotype"/>
          <w:b/>
          <w:color w:val="0D0D0D"/>
          <w:sz w:val="22"/>
          <w:szCs w:val="22"/>
        </w:rPr>
      </w:pPr>
    </w:p>
    <w:p w14:paraId="16C33889"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razón de que fue debidamente sustanciado el expediente electrónico y no existe diligencia pendiente de desahogo, se emite la resolución que conforme a derecho proceda, de acuerdo a los siguientes: </w:t>
      </w:r>
    </w:p>
    <w:p w14:paraId="5A5C9D0F" w14:textId="77777777" w:rsidR="00D866BB" w:rsidRDefault="00D866BB">
      <w:pPr>
        <w:spacing w:line="360" w:lineRule="auto"/>
        <w:jc w:val="both"/>
        <w:rPr>
          <w:rFonts w:ascii="Palatino Linotype" w:eastAsia="Palatino Linotype" w:hAnsi="Palatino Linotype" w:cs="Palatino Linotype"/>
          <w:color w:val="0D0D0D"/>
          <w:sz w:val="22"/>
          <w:szCs w:val="22"/>
        </w:rPr>
      </w:pPr>
    </w:p>
    <w:p w14:paraId="2E02389E" w14:textId="77777777" w:rsidR="00D866BB" w:rsidRDefault="00E24E35">
      <w:pP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 O N S I D E R A N D O S</w:t>
      </w:r>
    </w:p>
    <w:p w14:paraId="2642DC04" w14:textId="77777777" w:rsidR="00D866BB" w:rsidRDefault="00D866BB">
      <w:pPr>
        <w:spacing w:line="360" w:lineRule="auto"/>
        <w:jc w:val="center"/>
        <w:rPr>
          <w:rFonts w:ascii="Palatino Linotype" w:eastAsia="Palatino Linotype" w:hAnsi="Palatino Linotype" w:cs="Palatino Linotype"/>
          <w:b/>
          <w:color w:val="000000"/>
          <w:sz w:val="22"/>
          <w:szCs w:val="22"/>
        </w:rPr>
      </w:pPr>
    </w:p>
    <w:p w14:paraId="6DFF5E64" w14:textId="77777777" w:rsidR="00D866BB" w:rsidRDefault="00E24E3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Competencia</w:t>
      </w:r>
    </w:p>
    <w:p w14:paraId="78D51377" w14:textId="77777777" w:rsidR="00D866BB" w:rsidRDefault="00D866BB">
      <w:pPr>
        <w:spacing w:line="360" w:lineRule="auto"/>
        <w:jc w:val="both"/>
        <w:rPr>
          <w:rFonts w:ascii="Palatino Linotype" w:eastAsia="Palatino Linotype" w:hAnsi="Palatino Linotype" w:cs="Palatino Linotype"/>
          <w:b/>
          <w:color w:val="000000"/>
          <w:sz w:val="22"/>
          <w:szCs w:val="22"/>
        </w:rPr>
      </w:pPr>
    </w:p>
    <w:p w14:paraId="2158C73A"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5DFAD72"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510DE327"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14:paraId="1CD028DC"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78BC43A7"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es necesario estudiar las causales de improcedencia y sobreseimiento que se adviertan, para determinar lo que en Derecho proceda.</w:t>
      </w:r>
    </w:p>
    <w:p w14:paraId="697C65A9" w14:textId="77777777" w:rsidR="00D866BB" w:rsidRDefault="00D866BB">
      <w:pPr>
        <w:spacing w:line="360" w:lineRule="auto"/>
        <w:jc w:val="both"/>
        <w:rPr>
          <w:rFonts w:ascii="Palatino Linotype" w:eastAsia="Palatino Linotype" w:hAnsi="Palatino Linotype" w:cs="Palatino Linotype"/>
          <w:b/>
          <w:sz w:val="22"/>
          <w:szCs w:val="22"/>
        </w:rPr>
      </w:pPr>
    </w:p>
    <w:p w14:paraId="6454F84F" w14:textId="77777777" w:rsidR="00D866BB" w:rsidRDefault="00E24E3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14:paraId="2AC6C877" w14:textId="77777777" w:rsidR="00D866BB" w:rsidRDefault="00D866BB">
      <w:pPr>
        <w:spacing w:line="360" w:lineRule="auto"/>
        <w:jc w:val="both"/>
        <w:rPr>
          <w:rFonts w:ascii="Palatino Linotype" w:eastAsia="Palatino Linotype" w:hAnsi="Palatino Linotype" w:cs="Palatino Linotype"/>
          <w:sz w:val="22"/>
          <w:szCs w:val="22"/>
        </w:rPr>
      </w:pPr>
    </w:p>
    <w:p w14:paraId="270547F0"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Pr>
          <w:rFonts w:ascii="Palatino Linotype" w:eastAsia="Palatino Linotype" w:hAnsi="Palatino Linotype" w:cs="Palatino Linotype"/>
          <w:color w:val="000000"/>
          <w:sz w:val="22"/>
          <w:szCs w:val="22"/>
        </w:rPr>
        <w:lastRenderedPageBreak/>
        <w:t>supuestos establecidos en el artículo 191 de la Ley de Transparencia y Acceso a la Información Pública del Estado de México y Municipios, por ser improcedente.</w:t>
      </w:r>
    </w:p>
    <w:p w14:paraId="10A57957"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372CA618"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w:t>
      </w:r>
      <w:r>
        <w:rPr>
          <w:rFonts w:ascii="Palatino Linotype" w:eastAsia="Palatino Linotype" w:hAnsi="Palatino Linotype" w:cs="Palatino Linotype"/>
          <w:b/>
          <w:color w:val="000000"/>
          <w:sz w:val="22"/>
          <w:szCs w:val="22"/>
        </w:rPr>
        <w:t>no se actualiza ninguna de las causales de improcedencia</w:t>
      </w:r>
      <w:r>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6ECB5FE"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020EB1DC"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se actualiza la causal de procedencia del Recurso de Revisión señalada en el artículo 179, fracción III, de la Ley en cita, pues la parte Recurrente se inconformó de la inexistencia de la información.</w:t>
      </w:r>
    </w:p>
    <w:p w14:paraId="08C9FD92" w14:textId="77777777" w:rsidR="00D866BB" w:rsidRDefault="00D866BB">
      <w:pPr>
        <w:spacing w:line="360" w:lineRule="auto"/>
        <w:jc w:val="both"/>
        <w:rPr>
          <w:rFonts w:ascii="Palatino Linotype" w:eastAsia="Palatino Linotype" w:hAnsi="Palatino Linotype" w:cs="Palatino Linotype"/>
          <w:sz w:val="22"/>
          <w:szCs w:val="22"/>
        </w:rPr>
      </w:pPr>
    </w:p>
    <w:p w14:paraId="481189CE"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63E08468" w14:textId="77777777" w:rsidR="00D866BB" w:rsidRDefault="00D866BB">
      <w:pPr>
        <w:spacing w:line="360" w:lineRule="auto"/>
        <w:jc w:val="both"/>
        <w:rPr>
          <w:rFonts w:ascii="Palatino Linotype" w:eastAsia="Palatino Linotype" w:hAnsi="Palatino Linotype" w:cs="Palatino Linotype"/>
          <w:color w:val="0D0D0D"/>
          <w:sz w:val="22"/>
          <w:szCs w:val="22"/>
        </w:rPr>
      </w:pPr>
    </w:p>
    <w:p w14:paraId="37447FDE"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14:paraId="59EA4BAD" w14:textId="77777777" w:rsidR="00D866BB" w:rsidRDefault="00D866BB">
      <w:pPr>
        <w:spacing w:line="360" w:lineRule="auto"/>
        <w:jc w:val="both"/>
        <w:rPr>
          <w:rFonts w:ascii="Palatino Linotype" w:eastAsia="Palatino Linotype" w:hAnsi="Palatino Linotype" w:cs="Palatino Linotype"/>
          <w:color w:val="0D0D0D"/>
          <w:sz w:val="22"/>
          <w:szCs w:val="22"/>
        </w:rPr>
      </w:pPr>
    </w:p>
    <w:p w14:paraId="0C66187F"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color w:val="000000"/>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43C68226"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317BC69E" w14:textId="77777777" w:rsidR="00D866BB" w:rsidRDefault="00E24E3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14:paraId="747F7AEE" w14:textId="77777777" w:rsidR="00D866BB" w:rsidRDefault="00D866BB">
      <w:pPr>
        <w:spacing w:line="360" w:lineRule="auto"/>
        <w:jc w:val="both"/>
        <w:rPr>
          <w:rFonts w:ascii="Palatino Linotype" w:eastAsia="Palatino Linotype" w:hAnsi="Palatino Linotype" w:cs="Palatino Linotype"/>
          <w:b/>
          <w:color w:val="000000"/>
          <w:sz w:val="22"/>
          <w:szCs w:val="22"/>
        </w:rPr>
      </w:pPr>
    </w:p>
    <w:p w14:paraId="599BED01" w14:textId="77777777" w:rsidR="00D866BB" w:rsidRDefault="00E24E3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TERCERO. Determinación de la Controversia</w:t>
      </w:r>
    </w:p>
    <w:p w14:paraId="4DE0129C" w14:textId="77777777" w:rsidR="00D866BB" w:rsidRDefault="00D866BB">
      <w:pPr>
        <w:tabs>
          <w:tab w:val="left" w:pos="4962"/>
        </w:tabs>
        <w:spacing w:line="360" w:lineRule="auto"/>
        <w:jc w:val="both"/>
        <w:rPr>
          <w:rFonts w:ascii="Palatino Linotype" w:eastAsia="Palatino Linotype" w:hAnsi="Palatino Linotype" w:cs="Palatino Linotype"/>
          <w:b/>
          <w:sz w:val="22"/>
          <w:szCs w:val="22"/>
        </w:rPr>
      </w:pPr>
    </w:p>
    <w:p w14:paraId="2836BCF2" w14:textId="77777777" w:rsidR="00D866BB" w:rsidRDefault="00E24E35">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Una vez realizado el estudio de las constancias que integran el expediente en que se actúa, se desprende que el Particular requirió, el soporte documental de los vehículos asignados a la Unidad de Información, Planeación, Programación y Evaluación de la Secretaría de Finanzas, que dé cuenta del Resguardo y nombre del usuario de cada vehículo, documento donde se autoriza la gasolina asignada de manera mensual a cada vehículo, los comprobantes y tickets generados por la cargada de combustible, del primero al treinta y uno de octubre de dos mil veinticuatro. </w:t>
      </w:r>
    </w:p>
    <w:p w14:paraId="56FB5453" w14:textId="77777777" w:rsidR="00D866BB" w:rsidRDefault="00D866BB">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02DEC7C7" w14:textId="77777777" w:rsidR="00D866BB" w:rsidRDefault="00E24E35">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Sujeto Obligado a través de la Unidad de Información Planeación, Programación y Evaluación, precisó que no se contaba con la información requerida por el solicitante; ante dicha respuesta por parte del Ente Recurrido, el Particular, se inconformó de la inexistencia de la información, lo cual se actualiza el supuesto previsto en el artículo 179, fracción V, de la Ley de Transparencia y Acceso a la Información Pública del Estado de México y Municipios.  Así las cosas, una vez admitido y notificado el Recurso de Revisión a las partes, el Sujeto Obligado ratificó su respuesta y precisó que durante el mes de octubre de dos mil veinticuatro, no se contaba con resguardos y nombres de usuarios de cada vehículo, asignados a la Unidad de Información, Planeación, Programación, y Evaluación, toda vez que en la unidad administrativa de referencia no existía ningún vehículo asignado de manera directa a los servidores públicos adscritos a ella. </w:t>
      </w:r>
    </w:p>
    <w:p w14:paraId="37A2C5AE" w14:textId="77777777" w:rsidR="00D866BB" w:rsidRDefault="00D866BB">
      <w:pPr>
        <w:spacing w:line="360" w:lineRule="auto"/>
        <w:ind w:right="-28"/>
        <w:jc w:val="both"/>
        <w:rPr>
          <w:rFonts w:ascii="Palatino Linotype" w:eastAsia="Palatino Linotype" w:hAnsi="Palatino Linotype" w:cs="Palatino Linotype"/>
          <w:color w:val="000000"/>
          <w:sz w:val="22"/>
          <w:szCs w:val="22"/>
        </w:rPr>
      </w:pPr>
    </w:p>
    <w:p w14:paraId="7A867A61" w14:textId="77777777" w:rsidR="00D866BB" w:rsidRDefault="00E24E3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Lo anterior, se desprende de las documentales que obran en el expediente de referencia, materia de la presente resolución, consistente en: la solicitud de acceso a la información, la respuesta,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con Justificación; instrumentales que se toman en cuenta a efecto de resolver el presente medio de impugnación, conforme a lo dispuesto por el artículo 185, fracción IV, de la Ley de Transparencia y Acceso a la Información Pública del Estado de México y Municipios.</w:t>
      </w:r>
    </w:p>
    <w:p w14:paraId="1411C7BD" w14:textId="77777777" w:rsidR="00D866BB" w:rsidRDefault="00D866BB">
      <w:pPr>
        <w:spacing w:line="360" w:lineRule="auto"/>
        <w:jc w:val="both"/>
        <w:rPr>
          <w:rFonts w:ascii="Palatino Linotype" w:eastAsia="Palatino Linotype" w:hAnsi="Palatino Linotype" w:cs="Palatino Linotype"/>
          <w:sz w:val="22"/>
          <w:szCs w:val="22"/>
        </w:rPr>
      </w:pPr>
    </w:p>
    <w:p w14:paraId="092851BD" w14:textId="77777777" w:rsidR="00D866BB" w:rsidRDefault="00E24E3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Marco normativo aplicable en materia de transparencia y </w:t>
      </w:r>
      <w:r w:rsidR="00C57634">
        <w:rPr>
          <w:rFonts w:ascii="Palatino Linotype" w:eastAsia="Palatino Linotype" w:hAnsi="Palatino Linotype" w:cs="Palatino Linotype"/>
          <w:b/>
          <w:sz w:val="22"/>
          <w:szCs w:val="22"/>
        </w:rPr>
        <w:t>acceso a la información pública</w:t>
      </w:r>
    </w:p>
    <w:p w14:paraId="6AD47C5A" w14:textId="77777777" w:rsidR="00D866BB" w:rsidRDefault="00D866BB">
      <w:pPr>
        <w:spacing w:line="360" w:lineRule="auto"/>
        <w:jc w:val="both"/>
        <w:rPr>
          <w:rFonts w:ascii="Palatino Linotype" w:eastAsia="Palatino Linotype" w:hAnsi="Palatino Linotype" w:cs="Palatino Linotype"/>
          <w:b/>
          <w:sz w:val="22"/>
          <w:szCs w:val="22"/>
        </w:rPr>
      </w:pPr>
    </w:p>
    <w:p w14:paraId="74B3677A"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195AAFC" w14:textId="77777777" w:rsidR="00D866BB" w:rsidRDefault="00D866BB">
      <w:pPr>
        <w:spacing w:line="360" w:lineRule="auto"/>
        <w:jc w:val="both"/>
        <w:rPr>
          <w:rFonts w:ascii="Palatino Linotype" w:eastAsia="Palatino Linotype" w:hAnsi="Palatino Linotype" w:cs="Palatino Linotype"/>
          <w:sz w:val="22"/>
          <w:szCs w:val="22"/>
        </w:rPr>
      </w:pPr>
    </w:p>
    <w:p w14:paraId="05CD3C2C"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2D8A276C" w14:textId="77777777" w:rsidR="00D866BB" w:rsidRDefault="00D866BB">
      <w:pPr>
        <w:spacing w:line="360" w:lineRule="auto"/>
        <w:jc w:val="both"/>
        <w:rPr>
          <w:rFonts w:ascii="Palatino Linotype" w:eastAsia="Palatino Linotype" w:hAnsi="Palatino Linotype" w:cs="Palatino Linotype"/>
          <w:sz w:val="22"/>
          <w:szCs w:val="22"/>
        </w:rPr>
      </w:pPr>
    </w:p>
    <w:p w14:paraId="28171FFF"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33313C" w14:textId="77777777" w:rsidR="00D866BB" w:rsidRDefault="00D866BB">
      <w:pPr>
        <w:spacing w:line="360" w:lineRule="auto"/>
        <w:jc w:val="both"/>
        <w:rPr>
          <w:rFonts w:ascii="Palatino Linotype" w:eastAsia="Palatino Linotype" w:hAnsi="Palatino Linotype" w:cs="Palatino Linotype"/>
          <w:sz w:val="22"/>
          <w:szCs w:val="22"/>
        </w:rPr>
      </w:pPr>
    </w:p>
    <w:p w14:paraId="38F49C18"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la Ley de Transparencia y Acceso a la Información Pública del Estado de México y Municipios (Reglamentaria del artículo 5° de la Constitución Local), establece lo siguiente:</w:t>
      </w:r>
    </w:p>
    <w:p w14:paraId="1B1521A2" w14:textId="77777777" w:rsidR="00D866BB" w:rsidRDefault="00D866BB">
      <w:pPr>
        <w:spacing w:line="360" w:lineRule="auto"/>
        <w:jc w:val="both"/>
        <w:rPr>
          <w:rFonts w:ascii="Palatino Linotype" w:eastAsia="Palatino Linotype" w:hAnsi="Palatino Linotype" w:cs="Palatino Linotype"/>
          <w:sz w:val="22"/>
          <w:szCs w:val="22"/>
        </w:rPr>
      </w:pPr>
    </w:p>
    <w:p w14:paraId="14B80052"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71F113AA" w14:textId="77777777" w:rsidR="00D866BB" w:rsidRDefault="00D866BB">
      <w:pPr>
        <w:spacing w:line="360" w:lineRule="auto"/>
        <w:jc w:val="both"/>
        <w:rPr>
          <w:rFonts w:ascii="Palatino Linotype" w:eastAsia="Palatino Linotype" w:hAnsi="Palatino Linotype" w:cs="Palatino Linotype"/>
          <w:sz w:val="22"/>
          <w:szCs w:val="22"/>
        </w:rPr>
      </w:pPr>
    </w:p>
    <w:p w14:paraId="488C64B5"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D0048A6" w14:textId="77777777" w:rsidR="00D866BB" w:rsidRDefault="00D866BB">
      <w:pPr>
        <w:spacing w:line="360" w:lineRule="auto"/>
        <w:jc w:val="both"/>
        <w:rPr>
          <w:rFonts w:ascii="Palatino Linotype" w:eastAsia="Palatino Linotype" w:hAnsi="Palatino Linotype" w:cs="Palatino Linotype"/>
          <w:sz w:val="22"/>
          <w:szCs w:val="22"/>
        </w:rPr>
      </w:pPr>
    </w:p>
    <w:p w14:paraId="1EEFDA6E"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29B646E" w14:textId="77777777" w:rsidR="00D866BB" w:rsidRDefault="00D866BB">
      <w:pPr>
        <w:spacing w:line="360" w:lineRule="auto"/>
        <w:jc w:val="both"/>
        <w:rPr>
          <w:rFonts w:ascii="Palatino Linotype" w:eastAsia="Palatino Linotype" w:hAnsi="Palatino Linotype" w:cs="Palatino Linotype"/>
          <w:sz w:val="22"/>
          <w:szCs w:val="22"/>
        </w:rPr>
      </w:pPr>
    </w:p>
    <w:p w14:paraId="4E68D230" w14:textId="77777777" w:rsidR="00D866BB" w:rsidRDefault="00C5763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26544997" w14:textId="77777777" w:rsidR="00D866BB" w:rsidRDefault="00D866BB">
      <w:pPr>
        <w:spacing w:line="360" w:lineRule="auto"/>
        <w:jc w:val="both"/>
        <w:rPr>
          <w:rFonts w:ascii="Palatino Linotype" w:eastAsia="Palatino Linotype" w:hAnsi="Palatino Linotype" w:cs="Palatino Linotype"/>
          <w:sz w:val="22"/>
          <w:szCs w:val="22"/>
        </w:rPr>
      </w:pPr>
    </w:p>
    <w:p w14:paraId="0A97EAA5"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la ahora Recurrente, concerniente a la inexistencia de la información; para lo cual, en un principio es necesario contextualizar el requerimiento de información. </w:t>
      </w:r>
    </w:p>
    <w:p w14:paraId="011165AE" w14:textId="77777777" w:rsidR="00D866BB" w:rsidRDefault="00D866BB">
      <w:pPr>
        <w:spacing w:line="360" w:lineRule="auto"/>
        <w:jc w:val="both"/>
        <w:rPr>
          <w:rFonts w:ascii="Palatino Linotype" w:eastAsia="Palatino Linotype" w:hAnsi="Palatino Linotype" w:cs="Palatino Linotype"/>
          <w:sz w:val="22"/>
          <w:szCs w:val="22"/>
        </w:rPr>
      </w:pPr>
    </w:p>
    <w:p w14:paraId="13767E5C"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Primero y Segundo de las Normas Administrativas para la Asignación y Uso de Bienes y Servicios de las Dependencias y Organismos Auxiliares del Poder Ejecutivo Estatal, precisan que dicho ordenamiento tiene como objetivo establecer las normas administrativas para la asignación y uso de bienes y servicios que deberán observar de manera obligatoria las dependencias, entre las cuales se encuentra la Secretaría de Finanzas.</w:t>
      </w:r>
    </w:p>
    <w:p w14:paraId="43DA411A" w14:textId="77777777" w:rsidR="00D866BB" w:rsidRDefault="00D866BB">
      <w:pPr>
        <w:spacing w:line="360" w:lineRule="auto"/>
        <w:jc w:val="both"/>
        <w:rPr>
          <w:rFonts w:ascii="Palatino Linotype" w:eastAsia="Palatino Linotype" w:hAnsi="Palatino Linotype" w:cs="Palatino Linotype"/>
          <w:sz w:val="22"/>
          <w:szCs w:val="22"/>
        </w:rPr>
      </w:pPr>
    </w:p>
    <w:p w14:paraId="270051D5"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la norma ACP-018 de los Lineamientos citados, establecen que para la asignación de vehículos para uso directo de los servidores públicos, se tiene que tomar en cuenta la disponibilidad; por su parte, la ACP-019, establece que los vehículos de uso operativo son todos aquellos que tienen las dependencias y que se encuentran destinados permanentemente para sus actividades administrativas.</w:t>
      </w:r>
    </w:p>
    <w:p w14:paraId="52503032" w14:textId="77777777" w:rsidR="00D866BB" w:rsidRDefault="00D866BB">
      <w:pPr>
        <w:spacing w:line="360" w:lineRule="auto"/>
        <w:jc w:val="both"/>
        <w:rPr>
          <w:rFonts w:ascii="Palatino Linotype" w:eastAsia="Palatino Linotype" w:hAnsi="Palatino Linotype" w:cs="Palatino Linotype"/>
          <w:sz w:val="22"/>
          <w:szCs w:val="22"/>
        </w:rPr>
      </w:pPr>
    </w:p>
    <w:p w14:paraId="6955C381"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norma ACP-023, precisa que las áreas de administración, serán las responsables de integrar y actualizar permanentemente los expedientes de los vehículos de uso directo y operativo; además, la norma ACP-132 precisa que los vehículos de las dependencias y organismos auxiliares que cuenten con dotación autorizada de combustibles,</w:t>
      </w:r>
    </w:p>
    <w:p w14:paraId="1A3A27CC"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lubricantes y aditivos, no podrán solicitar reembolsos por este concepto, mediante facturas expedidas por gasolineras.</w:t>
      </w:r>
    </w:p>
    <w:p w14:paraId="44158138"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Situación que toma relevancia, pues la norma ACP-116, precisa que el área de administración, establecerá los controles y medidas administrativas para optimizar y racionalizar los servicios de combustible.</w:t>
      </w:r>
    </w:p>
    <w:p w14:paraId="080B1F75" w14:textId="77777777" w:rsidR="00D866BB" w:rsidRDefault="00D866BB">
      <w:pPr>
        <w:spacing w:line="360" w:lineRule="auto"/>
        <w:jc w:val="both"/>
        <w:rPr>
          <w:rFonts w:ascii="Palatino Linotype" w:eastAsia="Palatino Linotype" w:hAnsi="Palatino Linotype" w:cs="Palatino Linotype"/>
          <w:sz w:val="22"/>
          <w:szCs w:val="22"/>
        </w:rPr>
      </w:pPr>
    </w:p>
    <w:p w14:paraId="2DC28460" w14:textId="77777777" w:rsidR="00D866BB" w:rsidRDefault="00E24E3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Así mismo, conforme a los Objetivos y Funciones por Unidad Administrativa del Manual General de Organización de la Secretaría de Finanzas, precisa que la </w:t>
      </w:r>
      <w:r>
        <w:rPr>
          <w:rFonts w:ascii="Palatino Linotype" w:eastAsia="Palatino Linotype" w:hAnsi="Palatino Linotype" w:cs="Palatino Linotype"/>
          <w:b/>
          <w:sz w:val="22"/>
          <w:szCs w:val="22"/>
        </w:rPr>
        <w:t>Coordinación Administrativa</w:t>
      </w:r>
      <w:r>
        <w:rPr>
          <w:rFonts w:ascii="Palatino Linotype" w:eastAsia="Palatino Linotype" w:hAnsi="Palatino Linotype" w:cs="Palatino Linotype"/>
          <w:sz w:val="22"/>
          <w:szCs w:val="22"/>
        </w:rPr>
        <w:t xml:space="preserve"> con clave de registro 20700002000000S, es el responsable de organizar y controlar los suministros de os recursos humanos, materiales, financieros y técnicos que requieran las unidades administrativas de la Secretaría de Finanzas, coordinar las acciones de registro, mantenimiento y conservación de los bienes muebles, inmuebles y equipo asignado a la Oficina del titular de la Secretaría y unidades Staff, y para tal efecto se auxiliará de la </w:t>
      </w:r>
      <w:r>
        <w:rPr>
          <w:rFonts w:ascii="Palatino Linotype" w:eastAsia="Palatino Linotype" w:hAnsi="Palatino Linotype" w:cs="Palatino Linotype"/>
          <w:b/>
          <w:sz w:val="22"/>
          <w:szCs w:val="22"/>
        </w:rPr>
        <w:t>Subdirección de Servicios</w:t>
      </w:r>
      <w:r>
        <w:rPr>
          <w:rFonts w:ascii="Palatino Linotype" w:eastAsia="Palatino Linotype" w:hAnsi="Palatino Linotype" w:cs="Palatino Linotype"/>
          <w:sz w:val="22"/>
          <w:szCs w:val="22"/>
        </w:rPr>
        <w:t xml:space="preserve"> con clave de registro 20700002000400S, encargada de coordinar la integración y actualización del inventario de vehículos asignados a la Oficina de la Secretaría </w:t>
      </w:r>
      <w:r>
        <w:rPr>
          <w:rFonts w:ascii="Palatino Linotype" w:eastAsia="Palatino Linotype" w:hAnsi="Palatino Linotype" w:cs="Palatino Linotype"/>
          <w:sz w:val="22"/>
          <w:szCs w:val="22"/>
        </w:rPr>
        <w:lastRenderedPageBreak/>
        <w:t xml:space="preserve">de Fianzas, sus unidades staff, y de la Coordinación Administrativa, llevando el control preventivo y correctivo de los mismos, así como tramitar y comprobar ante la Dirección General de Recursos Materiales, la dotación de combustible y lubricantes asignados al parque vehicular de las unidades de apoyo administrativo de la Secretaría de Finanzas. </w:t>
      </w:r>
    </w:p>
    <w:p w14:paraId="1A5D2B8C" w14:textId="77777777" w:rsidR="00D866BB" w:rsidRDefault="00D866BB">
      <w:pPr>
        <w:spacing w:line="360" w:lineRule="auto"/>
        <w:jc w:val="both"/>
        <w:rPr>
          <w:rFonts w:ascii="Palatino Linotype" w:eastAsia="Palatino Linotype" w:hAnsi="Palatino Linotype" w:cs="Palatino Linotype"/>
          <w:sz w:val="22"/>
          <w:szCs w:val="22"/>
        </w:rPr>
      </w:pPr>
    </w:p>
    <w:p w14:paraId="035C5714" w14:textId="77777777" w:rsidR="00D866BB" w:rsidRDefault="00E24E35">
      <w:pPr>
        <w:spacing w:line="360" w:lineRule="auto"/>
        <w:jc w:val="both"/>
        <w:rPr>
          <w:rFonts w:ascii="Palatino Linotype" w:eastAsia="Palatino Linotype" w:hAnsi="Palatino Linotype" w:cs="Palatino Linotype"/>
          <w:color w:val="000000"/>
          <w:sz w:val="22"/>
          <w:szCs w:val="22"/>
        </w:rPr>
      </w:pPr>
      <w:bookmarkStart w:id="1" w:name="_heading=h.30j0zll" w:colFirst="0" w:colLast="0"/>
      <w:bookmarkEnd w:id="1"/>
      <w:r>
        <w:rPr>
          <w:rFonts w:ascii="Palatino Linotype" w:eastAsia="Palatino Linotype" w:hAnsi="Palatino Linotype" w:cs="Palatino Linotype"/>
          <w:sz w:val="22"/>
          <w:szCs w:val="22"/>
        </w:rPr>
        <w:t>Conforme a lo anterior, se logra advertir que la pretensión del ahora Recurrente, es obtener</w:t>
      </w:r>
      <w:r>
        <w:rPr>
          <w:rFonts w:ascii="Palatino Linotype" w:eastAsia="Palatino Linotype" w:hAnsi="Palatino Linotype" w:cs="Palatino Linotype"/>
          <w:color w:val="000000"/>
          <w:sz w:val="22"/>
          <w:szCs w:val="22"/>
        </w:rPr>
        <w:t xml:space="preserve"> el soporte documental de los vehículos asignados a la  Unidad de Información Planeación, Programación y Evaluación del Sujeto Obligado, que contenga el resguardo y nombre de usuario de cada vehículo, documento donde se autorice la gasolina a cada vehículo, los comprobantes y tickets generados por la carga de combustible, del primero al treinta y uno de octubre de dos mil veinticuatro. </w:t>
      </w:r>
    </w:p>
    <w:p w14:paraId="08855D1B"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7F51892E" w14:textId="3C0C683F"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resulta necesario, analizar las manifestaciones realizadas por el Sujeto Obligado tanto en respuesta como en informe justificado a efecto de verificar si satisfacen los requerimientos del Particular; para lo cual, de las constancias que obran en el expediente, se advierte que turno la solicitud, tanto en respuesta, como Informe Justificado, a la Unidad de Información Planeación, Programación y Evaluación.; por lo que, </w:t>
      </w:r>
      <w:r w:rsidR="00A7393B">
        <w:rPr>
          <w:rFonts w:ascii="Palatino Linotype" w:eastAsia="Palatino Linotype" w:hAnsi="Palatino Linotype" w:cs="Palatino Linotype"/>
          <w:sz w:val="22"/>
          <w:szCs w:val="22"/>
        </w:rPr>
        <w:t>resulta</w:t>
      </w:r>
      <w:r>
        <w:rPr>
          <w:rFonts w:ascii="Palatino Linotype" w:eastAsia="Palatino Linotype" w:hAnsi="Palatino Linotype" w:cs="Palatino Linotype"/>
          <w:sz w:val="22"/>
          <w:szCs w:val="22"/>
        </w:rPr>
        <w:t xml:space="preserve"> necesario hacer referencia al procedimiento de búsqueda que debió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608A8A3" w14:textId="77777777" w:rsidR="00D866BB" w:rsidRDefault="00D866BB">
      <w:pPr>
        <w:spacing w:line="360" w:lineRule="auto"/>
        <w:jc w:val="both"/>
        <w:rPr>
          <w:rFonts w:ascii="Palatino Linotype" w:eastAsia="Palatino Linotype" w:hAnsi="Palatino Linotype" w:cs="Palatino Linotype"/>
          <w:sz w:val="22"/>
          <w:szCs w:val="22"/>
        </w:rPr>
      </w:pPr>
    </w:p>
    <w:p w14:paraId="453A6A07"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resulta necesario traer a colación el Manual General de Organización de la Secretaría de Finanzas, que establece que el Sujeto Obligado cuenta con diversas unidades administrativas para el ejercicio de sus funciones, entre las cuales, se encuentra la Unidad de Información, Planeación, Programación y Evaluación, encargada de coordinar la recopilación, conservación, interpretación y sistematización de la información financiera, económica, programática y presupuestal, así como la transparencia y protección de datos personales, además de la Coordinación Administrativa y la Subdirección de Servicios referidas en párrafos anteriores, encaradas del control vehicular y suministro de combustibles y lubricantes a los vehículos asignados a la unidades administrativas de la Secretaría. </w:t>
      </w:r>
    </w:p>
    <w:p w14:paraId="6D026F46" w14:textId="77777777" w:rsidR="00D866BB" w:rsidRDefault="00D866BB">
      <w:pPr>
        <w:spacing w:line="360" w:lineRule="auto"/>
        <w:jc w:val="both"/>
        <w:rPr>
          <w:rFonts w:ascii="Palatino Linotype" w:eastAsia="Palatino Linotype" w:hAnsi="Palatino Linotype" w:cs="Palatino Linotype"/>
          <w:sz w:val="22"/>
          <w:szCs w:val="22"/>
        </w:rPr>
      </w:pPr>
    </w:p>
    <w:p w14:paraId="1173BD61"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colegir que el Sujeto Obligado cuenta con un área específica para conocer de lo solicitado, a saber, la Coordinación Administrativa, que por medio de la Subdirección de Servicios se encarga de ver todas las cuestiones relacionadas con la administración y control vehicular de la Secretaría de Finanzas, y si bien la Unidad de Información, Planeación, Programación y Evaluación podría conocer por ser el área de la cual se requiere conocer los automotores asignados, lo cierto que el área con atribuciones es la previamente señalada.</w:t>
      </w:r>
    </w:p>
    <w:p w14:paraId="2034E9EA" w14:textId="77777777" w:rsidR="00D866BB" w:rsidRDefault="00D866BB">
      <w:pPr>
        <w:spacing w:line="360" w:lineRule="auto"/>
        <w:jc w:val="both"/>
        <w:rPr>
          <w:rFonts w:ascii="Palatino Linotype" w:eastAsia="Palatino Linotype" w:hAnsi="Palatino Linotype" w:cs="Palatino Linotype"/>
          <w:sz w:val="22"/>
          <w:szCs w:val="22"/>
        </w:rPr>
      </w:pPr>
    </w:p>
    <w:p w14:paraId="28FE67E9"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es posible advertir que el Sujeto Obligado incumplió con el procedimiento de búsqueda </w:t>
      </w:r>
      <w:r>
        <w:rPr>
          <w:rFonts w:ascii="Palatino Linotype" w:eastAsia="Palatino Linotype" w:hAnsi="Palatino Linotype" w:cs="Palatino Linotype"/>
          <w:color w:val="000000"/>
          <w:sz w:val="22"/>
          <w:szCs w:val="22"/>
        </w:rPr>
        <w:t xml:space="preserve">establecido en el artículo 162 de la Ley de Transparencia y Acceso a la Información Pública del Estado de México y Municipios, al no turnar el requerimiento de información a todas las áreas competentes. </w:t>
      </w:r>
    </w:p>
    <w:p w14:paraId="42E52E6F"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6D333B87"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Sin menoscabar lo anterior</w:t>
      </w:r>
      <w:r>
        <w:rPr>
          <w:rFonts w:ascii="Palatino Linotype" w:eastAsia="Palatino Linotype" w:hAnsi="Palatino Linotype" w:cs="Palatino Linotype"/>
          <w:color w:val="000000"/>
          <w:sz w:val="22"/>
          <w:szCs w:val="22"/>
        </w:rPr>
        <w:t xml:space="preserve">, tanto en respuesta, como Informe Justificado, dicha área precisó que no contaba con la información requerida por el Solicitante, situación que fue robustecida mediante el Informe justificado, al precisar que durante el mes de octubre de dos mil </w:t>
      </w:r>
      <w:r>
        <w:rPr>
          <w:rFonts w:ascii="Palatino Linotype" w:eastAsia="Palatino Linotype" w:hAnsi="Palatino Linotype" w:cs="Palatino Linotype"/>
          <w:color w:val="000000"/>
          <w:sz w:val="22"/>
          <w:szCs w:val="22"/>
        </w:rPr>
        <w:lastRenderedPageBreak/>
        <w:t>veinticuatro no se contaba con resguardos y nombres de usuario de cada vehículo, asignados a la Unidad de Información, Planeación, Programación, y Evaluación, toda vez que en la unidad administrativa de referencia no existía ningún vehículo asignado de manera directa a los servidores públicos adscritos a ella.</w:t>
      </w:r>
    </w:p>
    <w:p w14:paraId="617F96C3" w14:textId="77777777" w:rsidR="00D866BB" w:rsidRDefault="00D866BB">
      <w:pPr>
        <w:spacing w:line="360" w:lineRule="auto"/>
        <w:jc w:val="both"/>
        <w:rPr>
          <w:rFonts w:ascii="Palatino Linotype" w:eastAsia="Palatino Linotype" w:hAnsi="Palatino Linotype" w:cs="Palatino Linotype"/>
          <w:sz w:val="22"/>
          <w:szCs w:val="22"/>
        </w:rPr>
      </w:pPr>
    </w:p>
    <w:p w14:paraId="76C7A641"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observar que la Unidad de Información, Planeación, Programación, y Evaluación aludió a que la información era inexistente; al respecto, el Criterio de Interpretación, con clave de control SO/014/2017, emitido por el Instituto Nacional de Transparencia, Acceso a la Información Pública y Protección de Datos Personales en el Estado de México y Municipios, precisa que la inexistencia de la información, es una cuestión de hecho que se le atribuye a la misma, cuando ésta no se encuentra en los archivos del Sujeto Obligado.</w:t>
      </w:r>
    </w:p>
    <w:p w14:paraId="64420FA3" w14:textId="77777777" w:rsidR="00D866BB" w:rsidRDefault="00D866BB">
      <w:pPr>
        <w:spacing w:line="360" w:lineRule="auto"/>
        <w:jc w:val="both"/>
        <w:rPr>
          <w:rFonts w:ascii="Palatino Linotype" w:eastAsia="Palatino Linotype" w:hAnsi="Palatino Linotype" w:cs="Palatino Linotype"/>
          <w:sz w:val="22"/>
          <w:szCs w:val="22"/>
        </w:rPr>
      </w:pPr>
    </w:p>
    <w:p w14:paraId="555EBC27"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E64F923" w14:textId="77777777" w:rsidR="00D866BB" w:rsidRDefault="00D866BB">
      <w:pPr>
        <w:spacing w:line="360" w:lineRule="auto"/>
        <w:jc w:val="both"/>
        <w:rPr>
          <w:rFonts w:ascii="Palatino Linotype" w:eastAsia="Palatino Linotype" w:hAnsi="Palatino Linotype" w:cs="Palatino Linotype"/>
          <w:sz w:val="22"/>
          <w:szCs w:val="22"/>
        </w:rPr>
      </w:pPr>
    </w:p>
    <w:p w14:paraId="72B68CCD"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Conforme a lo anterior, la </w:t>
      </w:r>
      <w:r>
        <w:rPr>
          <w:rFonts w:ascii="Palatino Linotype" w:eastAsia="Palatino Linotype" w:hAnsi="Palatino Linotype" w:cs="Palatino Linotype"/>
          <w:b/>
          <w:color w:val="000000"/>
          <w:sz w:val="22"/>
          <w:szCs w:val="22"/>
        </w:rPr>
        <w:t>inexistencia</w:t>
      </w:r>
      <w:r>
        <w:rPr>
          <w:rFonts w:ascii="Palatino Linotype" w:eastAsia="Palatino Linotype" w:hAnsi="Palatino Linotype" w:cs="Palatino Linotype"/>
          <w:color w:val="000000"/>
          <w:sz w:val="22"/>
          <w:szCs w:val="22"/>
        </w:rPr>
        <w:t> presupone la competencia del sujeto obligado para conocer de la información, pero por alguna circunstancia, la documentación solicitada no obra en sus archivos; sin embargo, para poder acreditar dicha circunstancia, se considera que los Sujetos Obligados, </w:t>
      </w:r>
      <w:r>
        <w:rPr>
          <w:rFonts w:ascii="Palatino Linotype" w:eastAsia="Palatino Linotype" w:hAnsi="Palatino Linotype" w:cs="Palatino Linotype"/>
          <w:b/>
          <w:color w:val="000000"/>
          <w:sz w:val="22"/>
          <w:szCs w:val="22"/>
        </w:rPr>
        <w:t>primero deben realizar una indagación en todos los archivos de las áreas con funciones para conocer de lo peticionado.</w:t>
      </w:r>
    </w:p>
    <w:p w14:paraId="6044938D"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41DD6476"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según Jarquín, Soledad (2019), en el “Diccionario de Transparencia y Acceso a la Información Pública” (p. 68), </w:t>
      </w:r>
      <w:r>
        <w:rPr>
          <w:rFonts w:ascii="Palatino Linotype" w:eastAsia="Palatino Linotype" w:hAnsi="Palatino Linotype" w:cs="Palatino Linotype"/>
          <w:b/>
          <w:color w:val="000000"/>
          <w:sz w:val="22"/>
          <w:szCs w:val="22"/>
        </w:rPr>
        <w:t>la búsqueda exhaustiva</w:t>
      </w:r>
      <w:r>
        <w:rPr>
          <w:rFonts w:ascii="Palatino Linotype" w:eastAsia="Palatino Linotype" w:hAnsi="Palatino Linotype" w:cs="Palatino Linotype"/>
          <w:color w:val="000000"/>
          <w:sz w:val="22"/>
          <w:szCs w:val="22"/>
        </w:rPr>
        <w:t xml:space="preserve"> es la obligación del área </w:t>
      </w:r>
      <w:r>
        <w:rPr>
          <w:rFonts w:ascii="Palatino Linotype" w:eastAsia="Palatino Linotype" w:hAnsi="Palatino Linotype" w:cs="Palatino Linotype"/>
          <w:color w:val="000000"/>
          <w:sz w:val="22"/>
          <w:szCs w:val="22"/>
        </w:rPr>
        <w:lastRenderedPageBreak/>
        <w:t>administrativa del Sujeto Obligado que cuenta o puede contar con la información requerida, la cual consiste en localizar toda aquella que atienda la solicitud, </w:t>
      </w:r>
      <w:r>
        <w:rPr>
          <w:rFonts w:ascii="Palatino Linotype" w:eastAsia="Palatino Linotype" w:hAnsi="Palatino Linotype" w:cs="Palatino Linotype"/>
          <w:b/>
          <w:color w:val="000000"/>
          <w:sz w:val="22"/>
          <w:szCs w:val="22"/>
        </w:rPr>
        <w:t>hasta agotar por completo las posibilidades de indagación.</w:t>
      </w:r>
    </w:p>
    <w:p w14:paraId="6563CD58" w14:textId="77777777" w:rsidR="00D866BB" w:rsidRDefault="00D866BB">
      <w:pPr>
        <w:shd w:val="clear" w:color="auto" w:fill="FFFFFF"/>
        <w:spacing w:line="360" w:lineRule="auto"/>
        <w:jc w:val="both"/>
        <w:rPr>
          <w:rFonts w:ascii="Palatino Linotype" w:eastAsia="Palatino Linotype" w:hAnsi="Palatino Linotype" w:cs="Palatino Linotype"/>
          <w:color w:val="000000"/>
          <w:sz w:val="22"/>
          <w:szCs w:val="22"/>
        </w:rPr>
      </w:pPr>
    </w:p>
    <w:p w14:paraId="40C997F0"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según Calero, Natalia (2016), en la “Ley General de Transparencia y Acceso a la Información Pública Comentada” (p. 408), para que exista una búsqueda exhaustiva y razonable, se debe hacer una </w:t>
      </w:r>
      <w:r>
        <w:rPr>
          <w:rFonts w:ascii="Palatino Linotype" w:eastAsia="Palatino Linotype" w:hAnsi="Palatino Linotype" w:cs="Palatino Linotype"/>
          <w:b/>
          <w:color w:val="000000"/>
          <w:sz w:val="22"/>
          <w:szCs w:val="22"/>
        </w:rPr>
        <w:t>indagación consciente y minuciosa en sus archivos físicos y electrónicos.</w:t>
      </w:r>
    </w:p>
    <w:p w14:paraId="10D6AC68"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w:t>
      </w:r>
    </w:p>
    <w:p w14:paraId="16A0B992"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Conforme a lo anterior, para poder acreditar el carácter exhaustivo de la búsqueda realizada por los Sujetos Obligados, se deben motivar las razones por las que se buscó la información en determinadas áreas, </w:t>
      </w:r>
      <w:r>
        <w:rPr>
          <w:rFonts w:ascii="Palatino Linotype" w:eastAsia="Palatino Linotype" w:hAnsi="Palatino Linotype" w:cs="Palatino Linotype"/>
          <w:b/>
          <w:color w:val="000000"/>
          <w:sz w:val="22"/>
          <w:szCs w:val="22"/>
        </w:rPr>
        <w:t>los criterios de búsqueda utilizados y demás circunstancias que fueron tomadas en cuenta.</w:t>
      </w:r>
    </w:p>
    <w:p w14:paraId="2EFBDAD3"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0F06A0C1"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contexto, de conformidad con los criterios con clave de control SO/012/2010 y SO/004/2019,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C51C643"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382FAA05" w14:textId="77777777" w:rsidR="00D866BB" w:rsidRDefault="00E24E3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Motivación por las que se buscó la información, en determinadas unidades administrativas;</w:t>
      </w:r>
    </w:p>
    <w:p w14:paraId="179A45B4" w14:textId="77777777" w:rsidR="00D866BB" w:rsidRDefault="00E24E3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2"/>
          <w:szCs w:val="22"/>
        </w:rPr>
        <w:t>Los criterios de búsqueda utilizados, y</w:t>
      </w:r>
    </w:p>
    <w:p w14:paraId="1470D399" w14:textId="77777777" w:rsidR="00D866BB" w:rsidRDefault="00E24E3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circunstancias que fueron tomadas en cuenta.</w:t>
      </w:r>
    </w:p>
    <w:p w14:paraId="477259D1"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08EC7A79"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tales circunstancias, se considera que para que los Sujetos Obligado justifiquen que realizaron una búsqueda exhaustiva y razonable, deben indicar de manera clara, lo siguiente:</w:t>
      </w:r>
    </w:p>
    <w:p w14:paraId="73233BBC" w14:textId="77777777" w:rsidR="00D866BB" w:rsidRDefault="00E24E35">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29B79BF3" w14:textId="77777777" w:rsidR="00D866BB" w:rsidRDefault="00E24E35">
      <w:pPr>
        <w:shd w:val="clear" w:color="auto" w:fill="FFFFFF"/>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sz w:val="22"/>
          <w:szCs w:val="22"/>
        </w:rPr>
        <w:t>Las áreas donde se buscó la información;</w:t>
      </w:r>
    </w:p>
    <w:p w14:paraId="03E68E7A" w14:textId="77777777" w:rsidR="00D866BB" w:rsidRDefault="00E24E35">
      <w:pPr>
        <w:shd w:val="clear" w:color="auto" w:fill="FFFFFF"/>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sz w:val="22"/>
          <w:szCs w:val="22"/>
        </w:rPr>
        <w:t>Tipo de archivos buscados (físicos o electrónicos);</w:t>
      </w:r>
    </w:p>
    <w:p w14:paraId="3EF47F97" w14:textId="77777777" w:rsidR="00D866BB" w:rsidRDefault="00E24E35">
      <w:pPr>
        <w:shd w:val="clear" w:color="auto" w:fill="FFFFFF"/>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sz w:val="22"/>
          <w:szCs w:val="22"/>
        </w:rPr>
        <w:t>Los criterios de búsqueda utilizados, y</w:t>
      </w:r>
    </w:p>
    <w:p w14:paraId="44CF9035" w14:textId="77777777" w:rsidR="00D866BB" w:rsidRDefault="00E24E35">
      <w:pPr>
        <w:shd w:val="clear" w:color="auto" w:fill="FFFFFF"/>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sz w:val="22"/>
          <w:szCs w:val="22"/>
        </w:rPr>
        <w:t>Las circunstancias que fueron tomadas en cuenta.  </w:t>
      </w:r>
    </w:p>
    <w:p w14:paraId="69DC1E9D" w14:textId="77777777" w:rsidR="00D866BB" w:rsidRDefault="00D866BB">
      <w:pPr>
        <w:spacing w:line="360" w:lineRule="auto"/>
        <w:jc w:val="both"/>
        <w:rPr>
          <w:rFonts w:ascii="Palatino Linotype" w:eastAsia="Palatino Linotype" w:hAnsi="Palatino Linotype" w:cs="Palatino Linotype"/>
          <w:sz w:val="22"/>
          <w:szCs w:val="22"/>
        </w:rPr>
      </w:pPr>
    </w:p>
    <w:p w14:paraId="3C8F5350" w14:textId="77777777" w:rsidR="00D866BB" w:rsidRDefault="00E24E3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orden de ideas, es de señalar que no se cumplió el primero de los requisitos, pues no se turnó la solicitud de información a todas las áreas competentes para conocer de lo requerido, a saber, la Coordinación Administrativa; mientras que la Unidad de Información, Planeación, Programación, y Evaluación no cumplió con lo establecido en el resto de los requerimientos, pues no señaló en </w:t>
      </w:r>
      <w:proofErr w:type="spellStart"/>
      <w:r>
        <w:rPr>
          <w:rFonts w:ascii="Palatino Linotype" w:eastAsia="Palatino Linotype" w:hAnsi="Palatino Linotype" w:cs="Palatino Linotype"/>
          <w:color w:val="000000"/>
          <w:sz w:val="22"/>
          <w:szCs w:val="22"/>
        </w:rPr>
        <w:t>que</w:t>
      </w:r>
      <w:proofErr w:type="spellEnd"/>
      <w:r>
        <w:rPr>
          <w:rFonts w:ascii="Palatino Linotype" w:eastAsia="Palatino Linotype" w:hAnsi="Palatino Linotype" w:cs="Palatino Linotype"/>
          <w:color w:val="000000"/>
          <w:sz w:val="22"/>
          <w:szCs w:val="22"/>
        </w:rPr>
        <w:t xml:space="preserve"> tipo de archivos buscó, ni las circunstancias y criterios tomados en cuenta para localizar la información; lo cual da como resultado que el agravio se </w:t>
      </w:r>
      <w:r>
        <w:rPr>
          <w:rFonts w:ascii="Palatino Linotype" w:eastAsia="Palatino Linotype" w:hAnsi="Palatino Linotype" w:cs="Palatino Linotype"/>
          <w:b/>
          <w:color w:val="000000"/>
          <w:sz w:val="22"/>
          <w:szCs w:val="22"/>
        </w:rPr>
        <w:t>FUNDADO.</w:t>
      </w:r>
    </w:p>
    <w:p w14:paraId="617BFB94"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6C6F3C99"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02749FA3"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Así, se </w:t>
      </w:r>
      <w:r>
        <w:rPr>
          <w:rFonts w:ascii="Palatino Linotype" w:eastAsia="Palatino Linotype" w:hAnsi="Palatino Linotype" w:cs="Palatino Linotype"/>
          <w:sz w:val="22"/>
          <w:szCs w:val="22"/>
        </w:rPr>
        <w:t xml:space="preserve">considera que el Sujeto Obligado para atender el requerimiento de información, deberá realizar una búsqueda razonable y exhaustiva en los archivos de la Coordinación Administrativa, en términos del artículo 162 de la Ley de Transparencia y Acceso a la Información, a efecto de que proporcionen respecto a los vehículos que tenía asignados la  Unidad de Información Planeación, Programación y Evaluación, del primero al treinta y uno de octubre de dos mil veinticuatro, los documentos donde conste el resguardo, el nombre de usuario de los vehículos, la autorización de gasolina, con los comprobantes y tickets generados por la carga de combustible; dicha determinación, toma sustento en el artículo 12 de la Ley de Transparencia y Acceso a la Información Pública del Estado de México y Municipios, que </w:t>
      </w:r>
      <w:r>
        <w:rPr>
          <w:rFonts w:ascii="Palatino Linotype" w:eastAsia="Palatino Linotype" w:hAnsi="Palatino Linotype" w:cs="Palatino Linotype"/>
          <w:sz w:val="22"/>
          <w:szCs w:val="22"/>
        </w:rPr>
        <w:lastRenderedPageBreak/>
        <w:t>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4F1CF2FA" w14:textId="77777777" w:rsidR="00D866BB" w:rsidRDefault="00D866BB">
      <w:pPr>
        <w:tabs>
          <w:tab w:val="left" w:pos="4962"/>
        </w:tabs>
        <w:spacing w:line="360" w:lineRule="auto"/>
        <w:jc w:val="both"/>
        <w:rPr>
          <w:rFonts w:ascii="Palatino Linotype" w:eastAsia="Palatino Linotype" w:hAnsi="Palatino Linotype" w:cs="Palatino Linotype"/>
          <w:sz w:val="22"/>
          <w:szCs w:val="22"/>
        </w:rPr>
      </w:pPr>
    </w:p>
    <w:p w14:paraId="24A23498" w14:textId="77777777" w:rsidR="00D866BB" w:rsidRDefault="00E24E3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DC8788B" w14:textId="77777777" w:rsidR="00D866BB" w:rsidRDefault="00D866BB">
      <w:pPr>
        <w:spacing w:line="360" w:lineRule="auto"/>
        <w:jc w:val="both"/>
        <w:rPr>
          <w:rFonts w:ascii="Palatino Linotype" w:eastAsia="Palatino Linotype" w:hAnsi="Palatino Linotype" w:cs="Palatino Linotype"/>
          <w:b/>
          <w:sz w:val="22"/>
          <w:szCs w:val="22"/>
        </w:rPr>
      </w:pPr>
    </w:p>
    <w:p w14:paraId="0EC557B9"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la información que dé cuenta de lo peticionado, como obre en sus archivos, sin tener que elaborarlos a las necesidades del Recurrente; por lo que, el Sujeto Obligado deberá entregar la información solicitada de los vehículos asignados a la Unidad de Información Planeación, Programación y Evaluación.</w:t>
      </w:r>
    </w:p>
    <w:p w14:paraId="43C304FC" w14:textId="77777777" w:rsidR="00D866BB" w:rsidRDefault="00D866BB">
      <w:pPr>
        <w:spacing w:line="360" w:lineRule="auto"/>
        <w:jc w:val="both"/>
        <w:rPr>
          <w:rFonts w:ascii="Palatino Linotype" w:eastAsia="Palatino Linotype" w:hAnsi="Palatino Linotype" w:cs="Palatino Linotype"/>
          <w:sz w:val="22"/>
          <w:szCs w:val="22"/>
        </w:rPr>
      </w:pPr>
    </w:p>
    <w:p w14:paraId="2BA31AE7"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para el caso de que no se cuente con la información previamente referida por no tener asignados vehículos a la Unidad de Información Planeación, Programación y Evaluación durante el periodo referido, deberá hacerlo del conocimiento del ahora Recurrente, en términos del artículo 19, párrafo segundo, de la Ley de Transparencia y Acceso a la Información Pública del Estado de México y Municipios.</w:t>
      </w:r>
    </w:p>
    <w:p w14:paraId="2B4BE437"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197ED2B9"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w:t>
      </w:r>
      <w:r>
        <w:rPr>
          <w:rFonts w:ascii="Palatino Linotype" w:eastAsia="Palatino Linotype" w:hAnsi="Palatino Linotype" w:cs="Palatino Linotype"/>
          <w:sz w:val="22"/>
          <w:szCs w:val="22"/>
        </w:rPr>
        <w:lastRenderedPageBreak/>
        <w:t xml:space="preserve">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3166B449" w14:textId="77777777" w:rsidR="00D866BB" w:rsidRDefault="00D866BB">
      <w:pPr>
        <w:spacing w:line="360" w:lineRule="auto"/>
        <w:jc w:val="both"/>
        <w:rPr>
          <w:rFonts w:ascii="Palatino Linotype" w:eastAsia="Palatino Linotype" w:hAnsi="Palatino Linotype" w:cs="Palatino Linotype"/>
          <w:sz w:val="22"/>
          <w:szCs w:val="22"/>
        </w:rPr>
      </w:pPr>
    </w:p>
    <w:p w14:paraId="4C1F2D62"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31CF2C6"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689A7E87" w14:textId="77777777" w:rsidR="00D866BB" w:rsidRDefault="00E24E3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SEXTO. Deci</w:t>
      </w:r>
      <w:r w:rsidR="00C57634">
        <w:rPr>
          <w:rFonts w:ascii="Palatino Linotype" w:eastAsia="Palatino Linotype" w:hAnsi="Palatino Linotype" w:cs="Palatino Linotype"/>
          <w:b/>
          <w:color w:val="000000"/>
          <w:sz w:val="22"/>
          <w:szCs w:val="22"/>
        </w:rPr>
        <w:t>sión</w:t>
      </w:r>
    </w:p>
    <w:p w14:paraId="09F4F0C4" w14:textId="77777777" w:rsidR="00D866BB" w:rsidRDefault="00D866BB">
      <w:pPr>
        <w:spacing w:line="360" w:lineRule="auto"/>
        <w:jc w:val="both"/>
        <w:rPr>
          <w:rFonts w:ascii="Palatino Linotype" w:eastAsia="Palatino Linotype" w:hAnsi="Palatino Linotype" w:cs="Palatino Linotype"/>
          <w:b/>
          <w:color w:val="000000"/>
          <w:sz w:val="22"/>
          <w:szCs w:val="22"/>
        </w:rPr>
      </w:pPr>
    </w:p>
    <w:p w14:paraId="14C53C03"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la respuesta de la Secretaría de Fianzas, a efecto de que ponga a disposición del Recurrente, el soporte documental de los vehículos asignados a la  Unidad de Información Planeación, Programación y Evaluación, que contenga el resguardo y nombre de usuario de cada vehículo, documento donde se autorice la gasolina de manera mensual a cada vehículo, los comprobantes y tickets generados por la carga de combustible, del primero al treinta y uno de octubre de dos mil veinticuatro.</w:t>
      </w:r>
    </w:p>
    <w:p w14:paraId="6D9C0A64" w14:textId="77777777" w:rsidR="00D866BB" w:rsidRDefault="00D866BB">
      <w:pPr>
        <w:spacing w:line="360" w:lineRule="auto"/>
        <w:jc w:val="both"/>
        <w:rPr>
          <w:rFonts w:ascii="Palatino Linotype" w:eastAsia="Palatino Linotype" w:hAnsi="Palatino Linotype" w:cs="Palatino Linotype"/>
          <w:sz w:val="22"/>
          <w:szCs w:val="22"/>
        </w:rPr>
      </w:pPr>
    </w:p>
    <w:p w14:paraId="16478D3A" w14:textId="77777777" w:rsidR="00D866BB" w:rsidRDefault="00E24E3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w:t>
      </w:r>
      <w:r w:rsidR="00C57634">
        <w:rPr>
          <w:rFonts w:ascii="Palatino Linotype" w:eastAsia="Palatino Linotype" w:hAnsi="Palatino Linotype" w:cs="Palatino Linotype"/>
          <w:b/>
          <w:color w:val="000000"/>
          <w:sz w:val="22"/>
          <w:szCs w:val="22"/>
        </w:rPr>
        <w:t>ara conocimiento del Particular</w:t>
      </w:r>
    </w:p>
    <w:p w14:paraId="520196F4" w14:textId="77777777" w:rsidR="00D866BB" w:rsidRDefault="00D866BB">
      <w:pPr>
        <w:spacing w:line="360" w:lineRule="auto"/>
        <w:jc w:val="both"/>
        <w:rPr>
          <w:rFonts w:ascii="Palatino Linotype" w:eastAsia="Palatino Linotype" w:hAnsi="Palatino Linotype" w:cs="Palatino Linotype"/>
          <w:b/>
          <w:color w:val="000000"/>
          <w:sz w:val="22"/>
          <w:szCs w:val="22"/>
        </w:rPr>
      </w:pPr>
    </w:p>
    <w:p w14:paraId="2208E0EA" w14:textId="77777777" w:rsidR="00D866BB" w:rsidRDefault="00E24E35">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le hace del conocimiento al Particular, que, en el presente caso, se le concede la razón, pues el Sujetó Obligado, no cumplió con el procedimiento de búsqueda, por lo que, deberá hacerla en todas las áreas competentes, para que, en su caso, proporcionen la documentación </w:t>
      </w:r>
      <w:r>
        <w:rPr>
          <w:rFonts w:ascii="Palatino Linotype" w:eastAsia="Palatino Linotype" w:hAnsi="Palatino Linotype" w:cs="Palatino Linotype"/>
          <w:color w:val="000000"/>
          <w:sz w:val="22"/>
          <w:szCs w:val="22"/>
        </w:rPr>
        <w:lastRenderedPageBreak/>
        <w:t xml:space="preserve">solicitada. </w:t>
      </w:r>
      <w:r>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49A9356B"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7B731D7D"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0A3F3987" w14:textId="77777777" w:rsidR="00D866BB" w:rsidRDefault="00E24E35">
      <w:pP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U E L V E</w:t>
      </w:r>
    </w:p>
    <w:p w14:paraId="368E9FEC" w14:textId="77777777" w:rsidR="00D866BB" w:rsidRDefault="00D866BB">
      <w:pPr>
        <w:spacing w:line="360" w:lineRule="auto"/>
        <w:rPr>
          <w:rFonts w:ascii="Palatino Linotype" w:eastAsia="Palatino Linotype" w:hAnsi="Palatino Linotype" w:cs="Palatino Linotype"/>
          <w:b/>
          <w:color w:val="000000"/>
          <w:sz w:val="22"/>
          <w:szCs w:val="22"/>
        </w:rPr>
      </w:pPr>
    </w:p>
    <w:p w14:paraId="1899FD33"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REVOCA </w:t>
      </w:r>
      <w:r>
        <w:rPr>
          <w:rFonts w:ascii="Palatino Linotype" w:eastAsia="Palatino Linotype" w:hAnsi="Palatino Linotype" w:cs="Palatino Linotype"/>
          <w:color w:val="000000"/>
          <w:sz w:val="22"/>
          <w:szCs w:val="22"/>
        </w:rPr>
        <w:t>la respuesta entregada por la Secretaría de Finanzas, a la solicitud de información</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sz w:val="22"/>
          <w:szCs w:val="22"/>
        </w:rPr>
        <w:t>00890/SF/IP/2024</w:t>
      </w:r>
      <w:r>
        <w:rPr>
          <w:rFonts w:ascii="Palatino Linotype" w:eastAsia="Palatino Linotype" w:hAnsi="Palatino Linotype" w:cs="Palatino Linotype"/>
          <w:color w:val="000000"/>
          <w:sz w:val="22"/>
          <w:szCs w:val="22"/>
        </w:rPr>
        <w:t xml:space="preserve">, por resultar </w:t>
      </w:r>
      <w:r>
        <w:rPr>
          <w:rFonts w:ascii="Palatino Linotype" w:eastAsia="Palatino Linotype" w:hAnsi="Palatino Linotype" w:cs="Palatino Linotype"/>
          <w:b/>
          <w:color w:val="000000"/>
          <w:sz w:val="22"/>
          <w:szCs w:val="22"/>
        </w:rPr>
        <w:t xml:space="preserve">FUNDADAS </w:t>
      </w:r>
      <w:r>
        <w:rPr>
          <w:rFonts w:ascii="Palatino Linotype" w:eastAsia="Palatino Linotype" w:hAnsi="Palatino Linotype" w:cs="Palatino Linotype"/>
          <w:color w:val="000000"/>
          <w:sz w:val="22"/>
          <w:szCs w:val="22"/>
        </w:rPr>
        <w:t>las razones o motivos de inconformidad hechos valer por la persona Recurrente, en términos de los considerandos QUINTO y SEXTO de la presente Resolución.</w:t>
      </w:r>
    </w:p>
    <w:p w14:paraId="6693468C"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3B064B77" w14:textId="77777777" w:rsidR="00D866BB" w:rsidRDefault="00E24E35">
      <w:pPr>
        <w:spacing w:line="360" w:lineRule="auto"/>
        <w:jc w:val="both"/>
        <w:rPr>
          <w:rFonts w:ascii="Palatino Linotype" w:eastAsia="Palatino Linotype" w:hAnsi="Palatino Linotype" w:cs="Palatino Linotype"/>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previa búsqueda exhaustiva y razonable en las unidades administrativas competentes, en términos del Considerando QUINTO, entregue a través del Sistema de Acceso a la Información Mexiquense (SAIMEX), en su caso, en versión pública,</w:t>
      </w:r>
      <w:r>
        <w:rPr>
          <w:rFonts w:ascii="Palatino Linotype" w:eastAsia="Palatino Linotype" w:hAnsi="Palatino Linotype" w:cs="Palatino Linotype"/>
          <w:sz w:val="22"/>
          <w:szCs w:val="22"/>
        </w:rPr>
        <w:t xml:space="preserve"> respecto a los vehículos que tenía asignados la  Unidad de Información Planeación, Programación y Evaluación, del primero al treinta y uno de octubre de dos mil veinticuatro,</w:t>
      </w:r>
      <w:r>
        <w:rPr>
          <w:rFonts w:ascii="Palatino Linotype" w:eastAsia="Palatino Linotype" w:hAnsi="Palatino Linotype" w:cs="Palatino Linotype"/>
          <w:color w:val="000000"/>
          <w:sz w:val="22"/>
          <w:szCs w:val="22"/>
        </w:rPr>
        <w:t xml:space="preserve"> los documentos donde conste lo siguiente:</w:t>
      </w:r>
    </w:p>
    <w:p w14:paraId="7B89EF91" w14:textId="77777777" w:rsidR="00D866BB" w:rsidRDefault="00E24E35">
      <w:pPr>
        <w:widowControl w:val="0"/>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resguardo </w:t>
      </w:r>
    </w:p>
    <w:p w14:paraId="75B8779F" w14:textId="77777777" w:rsidR="00D866BB" w:rsidRDefault="00E24E35">
      <w:pPr>
        <w:widowControl w:val="0"/>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nombre de los servidores públicos usuarios del vehículo;</w:t>
      </w:r>
    </w:p>
    <w:p w14:paraId="40D208F8" w14:textId="77777777" w:rsidR="00D866BB" w:rsidRDefault="00E24E35">
      <w:pPr>
        <w:widowControl w:val="0"/>
        <w:numPr>
          <w:ilvl w:val="0"/>
          <w:numId w:val="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autorización de carga de combustible, con los comprobantes y tickets generados.</w:t>
      </w:r>
    </w:p>
    <w:p w14:paraId="54AEF5D3" w14:textId="77777777" w:rsidR="00D866BB" w:rsidRDefault="00D866BB">
      <w:pPr>
        <w:widowControl w:val="0"/>
        <w:spacing w:line="360" w:lineRule="auto"/>
        <w:ind w:left="720"/>
        <w:jc w:val="both"/>
        <w:rPr>
          <w:rFonts w:ascii="Palatino Linotype" w:eastAsia="Palatino Linotype" w:hAnsi="Palatino Linotype" w:cs="Palatino Linotype"/>
          <w:color w:val="000000"/>
          <w:sz w:val="22"/>
          <w:szCs w:val="22"/>
        </w:rPr>
      </w:pPr>
    </w:p>
    <w:p w14:paraId="5719706D" w14:textId="77777777" w:rsidR="00D866BB" w:rsidRDefault="00E24E3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ser necesario, deberá proporcionar el Acuerdo de Clasificación donde el Comité de Transparencia, confirme la eliminación de los datos confidenciales, en la versión pública, </w:t>
      </w:r>
      <w:r>
        <w:rPr>
          <w:rFonts w:ascii="Palatino Linotype" w:eastAsia="Palatino Linotype" w:hAnsi="Palatino Linotype" w:cs="Palatino Linotype"/>
          <w:sz w:val="22"/>
          <w:szCs w:val="22"/>
        </w:rPr>
        <w:lastRenderedPageBreak/>
        <w:t>de conformidad con los artículos 49, fracciones II y VIII y 132, fracción II de la Ley de Transparencia y Acceso a la Información Pública del Estado de México y Municipios.</w:t>
      </w:r>
    </w:p>
    <w:p w14:paraId="05FAD819" w14:textId="77777777" w:rsidR="00D866BB" w:rsidRDefault="00D866BB">
      <w:pPr>
        <w:tabs>
          <w:tab w:val="left" w:pos="4962"/>
        </w:tabs>
        <w:spacing w:line="360" w:lineRule="auto"/>
        <w:jc w:val="both"/>
        <w:rPr>
          <w:rFonts w:ascii="Palatino Linotype" w:eastAsia="Palatino Linotype" w:hAnsi="Palatino Linotype" w:cs="Palatino Linotype"/>
          <w:sz w:val="22"/>
          <w:szCs w:val="22"/>
        </w:rPr>
      </w:pPr>
    </w:p>
    <w:p w14:paraId="0340EA0A"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el supuesto, de que no se hayan asignado vehículos durante periodo referido, deberá hacerlo del conocimiento del ahora Recurrente, de manera clara y precisa.</w:t>
      </w:r>
    </w:p>
    <w:p w14:paraId="6C5F2286"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18BC64EC" w14:textId="77777777" w:rsidR="00D866BB" w:rsidRDefault="00E24E35">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TERCERO. 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E786E0E" w14:textId="77777777" w:rsidR="00D866BB" w:rsidRDefault="00D866BB">
      <w:pPr>
        <w:spacing w:line="360" w:lineRule="auto"/>
        <w:ind w:right="-28"/>
        <w:jc w:val="both"/>
        <w:rPr>
          <w:rFonts w:ascii="Palatino Linotype" w:eastAsia="Palatino Linotype" w:hAnsi="Palatino Linotype" w:cs="Palatino Linotype"/>
          <w:color w:val="000000"/>
          <w:sz w:val="22"/>
          <w:szCs w:val="22"/>
        </w:rPr>
      </w:pPr>
    </w:p>
    <w:p w14:paraId="3D22CB07"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AD3B15E" w14:textId="77777777" w:rsidR="00D866BB" w:rsidRDefault="00D866BB">
      <w:pPr>
        <w:spacing w:line="360" w:lineRule="auto"/>
        <w:jc w:val="both"/>
        <w:rPr>
          <w:rFonts w:ascii="Palatino Linotype" w:eastAsia="Palatino Linotype" w:hAnsi="Palatino Linotype" w:cs="Palatino Linotype"/>
          <w:color w:val="000000"/>
          <w:sz w:val="22"/>
          <w:szCs w:val="22"/>
        </w:rPr>
      </w:pPr>
    </w:p>
    <w:p w14:paraId="26485D95" w14:textId="77777777" w:rsidR="00D866BB" w:rsidRDefault="00E24E3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13AEF7A" w14:textId="77777777" w:rsidR="00D866BB" w:rsidRDefault="00D866BB">
      <w:pPr>
        <w:spacing w:line="360" w:lineRule="auto"/>
        <w:ind w:right="-93"/>
        <w:jc w:val="both"/>
        <w:rPr>
          <w:rFonts w:ascii="Palatino Linotype" w:eastAsia="Palatino Linotype" w:hAnsi="Palatino Linotype" w:cs="Palatino Linotype"/>
          <w:sz w:val="22"/>
          <w:szCs w:val="22"/>
        </w:rPr>
      </w:pPr>
    </w:p>
    <w:p w14:paraId="0D01E6B4" w14:textId="77777777" w:rsidR="00D866BB" w:rsidRDefault="00E24E3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LO RESUELVE, POR </w:t>
      </w:r>
      <w:r>
        <w:rPr>
          <w:rFonts w:ascii="Palatino Linotype" w:eastAsia="Palatino Linotype" w:hAnsi="Palatino Linotype" w:cs="Palatino Linotype"/>
          <w:b/>
          <w:color w:val="000000"/>
          <w:sz w:val="22"/>
          <w:szCs w:val="22"/>
        </w:rPr>
        <w:t>UNANIMIDAD</w:t>
      </w:r>
      <w:r>
        <w:rPr>
          <w:rFonts w:ascii="Palatino Linotype" w:eastAsia="Palatino Linotype" w:hAnsi="Palatino Linotype" w:cs="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w:t>
      </w:r>
      <w:r>
        <w:rPr>
          <w:rFonts w:ascii="Palatino Linotype" w:eastAsia="Palatino Linotype" w:hAnsi="Palatino Linotype" w:cs="Palatino Linotype"/>
          <w:sz w:val="22"/>
          <w:szCs w:val="22"/>
        </w:rPr>
        <w:t>CON VOTO PARTICULAR CONCURRENTE</w:t>
      </w:r>
      <w:r>
        <w:rPr>
          <w:rFonts w:ascii="Palatino Linotype" w:eastAsia="Palatino Linotype" w:hAnsi="Palatino Linotype" w:cs="Palatino Linotype"/>
          <w:color w:val="000000"/>
          <w:sz w:val="22"/>
          <w:szCs w:val="22"/>
        </w:rPr>
        <w:t>, LUIS GUSTAVO PARRA NORIEGA Y GUADALUPE RAMÍREZ PEÑA CON VOTO PARTICULAR CONCURRENTE EN LA TERCERA SESIÓN ORDINARIA, CELEBRADA EL VEINTINUEVE DE ENERO DE DOS MIL VEINTICINCO, ANTE EL SECRETARIO TÉCNICO DEL PLENO, ALEXIS TAPIA RAMÍREZ.</w:t>
      </w:r>
    </w:p>
    <w:p w14:paraId="1CFC3087" w14:textId="77777777" w:rsidR="00D866BB" w:rsidRDefault="00D866BB">
      <w:pPr>
        <w:tabs>
          <w:tab w:val="left" w:pos="7230"/>
        </w:tabs>
        <w:rPr>
          <w:rFonts w:ascii="Palatino Linotype" w:eastAsia="Palatino Linotype" w:hAnsi="Palatino Linotype" w:cs="Palatino Linotype"/>
          <w:color w:val="0D0D0D"/>
          <w:sz w:val="22"/>
          <w:szCs w:val="22"/>
        </w:rPr>
      </w:pPr>
    </w:p>
    <w:p w14:paraId="11DE7A2C" w14:textId="77777777" w:rsidR="00E46743" w:rsidRDefault="00E46743">
      <w:pPr>
        <w:tabs>
          <w:tab w:val="left" w:pos="7230"/>
        </w:tabs>
        <w:rPr>
          <w:rFonts w:ascii="Palatino Linotype" w:eastAsia="Palatino Linotype" w:hAnsi="Palatino Linotype" w:cs="Palatino Linotype"/>
          <w:color w:val="0D0D0D"/>
          <w:sz w:val="22"/>
          <w:szCs w:val="22"/>
        </w:rPr>
      </w:pPr>
    </w:p>
    <w:p w14:paraId="1F019645" w14:textId="77777777" w:rsidR="00E46743" w:rsidRDefault="00E46743">
      <w:pPr>
        <w:tabs>
          <w:tab w:val="left" w:pos="7230"/>
        </w:tabs>
        <w:rPr>
          <w:rFonts w:ascii="Palatino Linotype" w:eastAsia="Palatino Linotype" w:hAnsi="Palatino Linotype" w:cs="Palatino Linotype"/>
          <w:color w:val="0D0D0D"/>
          <w:sz w:val="22"/>
          <w:szCs w:val="22"/>
        </w:rPr>
      </w:pPr>
    </w:p>
    <w:p w14:paraId="1AEE95F5" w14:textId="77777777" w:rsidR="00E46743" w:rsidRDefault="00E46743">
      <w:pPr>
        <w:tabs>
          <w:tab w:val="left" w:pos="7230"/>
        </w:tabs>
        <w:rPr>
          <w:rFonts w:ascii="Palatino Linotype" w:eastAsia="Palatino Linotype" w:hAnsi="Palatino Linotype" w:cs="Palatino Linotype"/>
          <w:color w:val="0D0D0D"/>
          <w:sz w:val="22"/>
          <w:szCs w:val="22"/>
        </w:rPr>
      </w:pPr>
    </w:p>
    <w:p w14:paraId="4DFB9705" w14:textId="77777777" w:rsidR="00E46743" w:rsidRDefault="00E46743">
      <w:pPr>
        <w:tabs>
          <w:tab w:val="left" w:pos="7230"/>
        </w:tabs>
        <w:rPr>
          <w:rFonts w:ascii="Palatino Linotype" w:eastAsia="Palatino Linotype" w:hAnsi="Palatino Linotype" w:cs="Palatino Linotype"/>
          <w:color w:val="0D0D0D"/>
          <w:sz w:val="22"/>
          <w:szCs w:val="22"/>
        </w:rPr>
      </w:pPr>
    </w:p>
    <w:p w14:paraId="47DD6B70" w14:textId="77777777" w:rsidR="00E46743" w:rsidRDefault="00E46743">
      <w:pPr>
        <w:tabs>
          <w:tab w:val="left" w:pos="7230"/>
        </w:tabs>
        <w:rPr>
          <w:rFonts w:ascii="Palatino Linotype" w:eastAsia="Palatino Linotype" w:hAnsi="Palatino Linotype" w:cs="Palatino Linotype"/>
          <w:color w:val="0D0D0D"/>
          <w:sz w:val="22"/>
          <w:szCs w:val="22"/>
        </w:rPr>
      </w:pPr>
    </w:p>
    <w:p w14:paraId="146F929D" w14:textId="77777777" w:rsidR="00E46743" w:rsidRDefault="00E46743">
      <w:pPr>
        <w:tabs>
          <w:tab w:val="left" w:pos="7230"/>
        </w:tabs>
        <w:rPr>
          <w:rFonts w:ascii="Palatino Linotype" w:eastAsia="Palatino Linotype" w:hAnsi="Palatino Linotype" w:cs="Palatino Linotype"/>
          <w:color w:val="0D0D0D"/>
          <w:sz w:val="22"/>
          <w:szCs w:val="22"/>
        </w:rPr>
      </w:pPr>
    </w:p>
    <w:p w14:paraId="17584C3B" w14:textId="77777777" w:rsidR="00E46743" w:rsidRDefault="00E46743">
      <w:pPr>
        <w:tabs>
          <w:tab w:val="left" w:pos="7230"/>
        </w:tabs>
        <w:rPr>
          <w:rFonts w:ascii="Palatino Linotype" w:eastAsia="Palatino Linotype" w:hAnsi="Palatino Linotype" w:cs="Palatino Linotype"/>
          <w:color w:val="0D0D0D"/>
          <w:sz w:val="22"/>
          <w:szCs w:val="22"/>
        </w:rPr>
      </w:pPr>
    </w:p>
    <w:p w14:paraId="317139F1" w14:textId="77777777" w:rsidR="00E46743" w:rsidRDefault="00E46743">
      <w:pPr>
        <w:tabs>
          <w:tab w:val="left" w:pos="7230"/>
        </w:tabs>
        <w:rPr>
          <w:rFonts w:ascii="Palatino Linotype" w:eastAsia="Palatino Linotype" w:hAnsi="Palatino Linotype" w:cs="Palatino Linotype"/>
          <w:color w:val="0D0D0D"/>
          <w:sz w:val="22"/>
          <w:szCs w:val="22"/>
        </w:rPr>
      </w:pPr>
    </w:p>
    <w:p w14:paraId="5FC8A977" w14:textId="77777777" w:rsidR="00E46743" w:rsidRDefault="00E46743">
      <w:pPr>
        <w:tabs>
          <w:tab w:val="left" w:pos="7230"/>
        </w:tabs>
        <w:rPr>
          <w:rFonts w:ascii="Palatino Linotype" w:eastAsia="Palatino Linotype" w:hAnsi="Palatino Linotype" w:cs="Palatino Linotype"/>
          <w:color w:val="0D0D0D"/>
          <w:sz w:val="22"/>
          <w:szCs w:val="22"/>
        </w:rPr>
      </w:pPr>
    </w:p>
    <w:p w14:paraId="301A2F0C" w14:textId="77777777" w:rsidR="00E46743" w:rsidRDefault="00E46743">
      <w:pPr>
        <w:tabs>
          <w:tab w:val="left" w:pos="7230"/>
        </w:tabs>
        <w:rPr>
          <w:rFonts w:ascii="Palatino Linotype" w:eastAsia="Palatino Linotype" w:hAnsi="Palatino Linotype" w:cs="Palatino Linotype"/>
          <w:color w:val="0D0D0D"/>
          <w:sz w:val="22"/>
          <w:szCs w:val="22"/>
        </w:rPr>
      </w:pPr>
    </w:p>
    <w:p w14:paraId="778B99A7" w14:textId="77777777" w:rsidR="00E46743" w:rsidRDefault="00E46743">
      <w:pPr>
        <w:tabs>
          <w:tab w:val="left" w:pos="7230"/>
        </w:tabs>
        <w:rPr>
          <w:rFonts w:ascii="Palatino Linotype" w:eastAsia="Palatino Linotype" w:hAnsi="Palatino Linotype" w:cs="Palatino Linotype"/>
          <w:color w:val="0D0D0D"/>
          <w:sz w:val="22"/>
          <w:szCs w:val="22"/>
        </w:rPr>
      </w:pPr>
    </w:p>
    <w:p w14:paraId="419281A5" w14:textId="77777777" w:rsidR="00E46743" w:rsidRDefault="00E46743">
      <w:pPr>
        <w:tabs>
          <w:tab w:val="left" w:pos="7230"/>
        </w:tabs>
        <w:rPr>
          <w:rFonts w:ascii="Palatino Linotype" w:eastAsia="Palatino Linotype" w:hAnsi="Palatino Linotype" w:cs="Palatino Linotype"/>
          <w:color w:val="0D0D0D"/>
          <w:sz w:val="22"/>
          <w:szCs w:val="22"/>
        </w:rPr>
      </w:pPr>
    </w:p>
    <w:p w14:paraId="2C847906" w14:textId="77777777" w:rsidR="00E46743" w:rsidRDefault="00E46743">
      <w:pPr>
        <w:tabs>
          <w:tab w:val="left" w:pos="7230"/>
        </w:tabs>
        <w:rPr>
          <w:rFonts w:ascii="Palatino Linotype" w:eastAsia="Palatino Linotype" w:hAnsi="Palatino Linotype" w:cs="Palatino Linotype"/>
          <w:color w:val="0D0D0D"/>
          <w:sz w:val="22"/>
          <w:szCs w:val="22"/>
        </w:rPr>
      </w:pPr>
    </w:p>
    <w:p w14:paraId="7123AC19" w14:textId="77777777" w:rsidR="00E46743" w:rsidRDefault="00E46743">
      <w:pPr>
        <w:tabs>
          <w:tab w:val="left" w:pos="7230"/>
        </w:tabs>
        <w:rPr>
          <w:rFonts w:ascii="Palatino Linotype" w:eastAsia="Palatino Linotype" w:hAnsi="Palatino Linotype" w:cs="Palatino Linotype"/>
          <w:color w:val="0D0D0D"/>
          <w:sz w:val="22"/>
          <w:szCs w:val="22"/>
        </w:rPr>
      </w:pPr>
    </w:p>
    <w:p w14:paraId="008E41E2" w14:textId="77777777" w:rsidR="00E46743" w:rsidRDefault="00E46743">
      <w:pPr>
        <w:tabs>
          <w:tab w:val="left" w:pos="7230"/>
        </w:tabs>
        <w:rPr>
          <w:rFonts w:ascii="Palatino Linotype" w:eastAsia="Palatino Linotype" w:hAnsi="Palatino Linotype" w:cs="Palatino Linotype"/>
          <w:color w:val="0D0D0D"/>
          <w:sz w:val="22"/>
          <w:szCs w:val="22"/>
        </w:rPr>
      </w:pPr>
    </w:p>
    <w:p w14:paraId="6C8225E2" w14:textId="77777777" w:rsidR="00E46743" w:rsidRDefault="00E46743">
      <w:pPr>
        <w:tabs>
          <w:tab w:val="left" w:pos="7230"/>
        </w:tabs>
        <w:rPr>
          <w:rFonts w:ascii="Palatino Linotype" w:eastAsia="Palatino Linotype" w:hAnsi="Palatino Linotype" w:cs="Palatino Linotype"/>
          <w:color w:val="0D0D0D"/>
          <w:sz w:val="22"/>
          <w:szCs w:val="22"/>
        </w:rPr>
      </w:pPr>
    </w:p>
    <w:p w14:paraId="57F44470" w14:textId="77777777" w:rsidR="00E46743" w:rsidRDefault="00E46743">
      <w:pPr>
        <w:tabs>
          <w:tab w:val="left" w:pos="7230"/>
        </w:tabs>
        <w:rPr>
          <w:rFonts w:ascii="Palatino Linotype" w:eastAsia="Palatino Linotype" w:hAnsi="Palatino Linotype" w:cs="Palatino Linotype"/>
          <w:color w:val="0D0D0D"/>
          <w:sz w:val="22"/>
          <w:szCs w:val="22"/>
        </w:rPr>
      </w:pPr>
    </w:p>
    <w:p w14:paraId="50F2734C" w14:textId="77777777" w:rsidR="00E46743" w:rsidRDefault="00E46743">
      <w:pPr>
        <w:tabs>
          <w:tab w:val="left" w:pos="7230"/>
        </w:tabs>
        <w:rPr>
          <w:rFonts w:ascii="Palatino Linotype" w:eastAsia="Palatino Linotype" w:hAnsi="Palatino Linotype" w:cs="Palatino Linotype"/>
          <w:color w:val="0D0D0D"/>
          <w:sz w:val="22"/>
          <w:szCs w:val="22"/>
        </w:rPr>
      </w:pPr>
    </w:p>
    <w:p w14:paraId="003E190F" w14:textId="77777777" w:rsidR="00E46743" w:rsidRDefault="00E46743">
      <w:pPr>
        <w:tabs>
          <w:tab w:val="left" w:pos="7230"/>
        </w:tabs>
        <w:rPr>
          <w:rFonts w:ascii="Palatino Linotype" w:eastAsia="Palatino Linotype" w:hAnsi="Palatino Linotype" w:cs="Palatino Linotype"/>
          <w:color w:val="0D0D0D"/>
          <w:sz w:val="22"/>
          <w:szCs w:val="22"/>
        </w:rPr>
      </w:pPr>
    </w:p>
    <w:p w14:paraId="6953FDE2" w14:textId="77777777" w:rsidR="00E46743" w:rsidRDefault="00E46743">
      <w:pPr>
        <w:tabs>
          <w:tab w:val="left" w:pos="7230"/>
        </w:tabs>
        <w:rPr>
          <w:rFonts w:ascii="Palatino Linotype" w:eastAsia="Palatino Linotype" w:hAnsi="Palatino Linotype" w:cs="Palatino Linotype"/>
          <w:color w:val="0D0D0D"/>
          <w:sz w:val="22"/>
          <w:szCs w:val="22"/>
        </w:rPr>
      </w:pPr>
    </w:p>
    <w:p w14:paraId="563FB219" w14:textId="77777777" w:rsidR="00E46743" w:rsidRDefault="00E46743">
      <w:pPr>
        <w:tabs>
          <w:tab w:val="left" w:pos="7230"/>
        </w:tabs>
        <w:rPr>
          <w:rFonts w:ascii="Palatino Linotype" w:eastAsia="Palatino Linotype" w:hAnsi="Palatino Linotype" w:cs="Palatino Linotype"/>
          <w:color w:val="0D0D0D"/>
          <w:sz w:val="22"/>
          <w:szCs w:val="22"/>
        </w:rPr>
      </w:pPr>
    </w:p>
    <w:p w14:paraId="64A05FFE" w14:textId="77777777" w:rsidR="00E46743" w:rsidRDefault="00E46743">
      <w:pPr>
        <w:tabs>
          <w:tab w:val="left" w:pos="7230"/>
        </w:tabs>
        <w:rPr>
          <w:rFonts w:ascii="Palatino Linotype" w:eastAsia="Palatino Linotype" w:hAnsi="Palatino Linotype" w:cs="Palatino Linotype"/>
          <w:color w:val="0D0D0D"/>
          <w:sz w:val="22"/>
          <w:szCs w:val="22"/>
        </w:rPr>
      </w:pPr>
    </w:p>
    <w:p w14:paraId="778F773A" w14:textId="77777777" w:rsidR="00E46743" w:rsidRDefault="00E46743">
      <w:pPr>
        <w:tabs>
          <w:tab w:val="left" w:pos="7230"/>
        </w:tabs>
        <w:rPr>
          <w:rFonts w:ascii="Palatino Linotype" w:eastAsia="Palatino Linotype" w:hAnsi="Palatino Linotype" w:cs="Palatino Linotype"/>
          <w:color w:val="0D0D0D"/>
          <w:sz w:val="22"/>
          <w:szCs w:val="22"/>
        </w:rPr>
      </w:pPr>
    </w:p>
    <w:p w14:paraId="55DDD1BF" w14:textId="77777777" w:rsidR="00E46743" w:rsidRDefault="00E46743">
      <w:pPr>
        <w:tabs>
          <w:tab w:val="left" w:pos="7230"/>
        </w:tabs>
        <w:rPr>
          <w:rFonts w:ascii="Palatino Linotype" w:eastAsia="Palatino Linotype" w:hAnsi="Palatino Linotype" w:cs="Palatino Linotype"/>
          <w:color w:val="0D0D0D"/>
          <w:sz w:val="22"/>
          <w:szCs w:val="22"/>
        </w:rPr>
      </w:pPr>
    </w:p>
    <w:p w14:paraId="39C478F5" w14:textId="77777777" w:rsidR="00E46743" w:rsidRDefault="00E46743">
      <w:pPr>
        <w:tabs>
          <w:tab w:val="left" w:pos="7230"/>
        </w:tabs>
        <w:rPr>
          <w:rFonts w:ascii="Palatino Linotype" w:eastAsia="Palatino Linotype" w:hAnsi="Palatino Linotype" w:cs="Palatino Linotype"/>
          <w:color w:val="0D0D0D"/>
          <w:sz w:val="22"/>
          <w:szCs w:val="22"/>
        </w:rPr>
      </w:pPr>
    </w:p>
    <w:p w14:paraId="41613069" w14:textId="77777777" w:rsidR="00E46743" w:rsidRDefault="00E46743">
      <w:pPr>
        <w:tabs>
          <w:tab w:val="left" w:pos="7230"/>
        </w:tabs>
        <w:rPr>
          <w:rFonts w:ascii="Palatino Linotype" w:eastAsia="Palatino Linotype" w:hAnsi="Palatino Linotype" w:cs="Palatino Linotype"/>
          <w:color w:val="0D0D0D"/>
          <w:sz w:val="22"/>
          <w:szCs w:val="22"/>
        </w:rPr>
      </w:pPr>
    </w:p>
    <w:sectPr w:rsidR="00E46743">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2139" w14:textId="77777777" w:rsidR="00850E4C" w:rsidRDefault="00850E4C">
      <w:r>
        <w:separator/>
      </w:r>
    </w:p>
  </w:endnote>
  <w:endnote w:type="continuationSeparator" w:id="0">
    <w:p w14:paraId="5E0AE966" w14:textId="77777777" w:rsidR="00850E4C" w:rsidRDefault="0085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D882" w14:textId="77777777" w:rsidR="00D866BB" w:rsidRDefault="00E24E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49C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49CC">
      <w:rPr>
        <w:b/>
        <w:noProof/>
        <w:color w:val="000000"/>
        <w:sz w:val="24"/>
        <w:szCs w:val="24"/>
      </w:rPr>
      <w:t>22</w:t>
    </w:r>
    <w:r>
      <w:rPr>
        <w:b/>
        <w:color w:val="000000"/>
        <w:sz w:val="24"/>
        <w:szCs w:val="24"/>
      </w:rPr>
      <w:fldChar w:fldCharType="end"/>
    </w:r>
  </w:p>
  <w:p w14:paraId="4F28B6BD" w14:textId="77777777" w:rsidR="00D866BB" w:rsidRDefault="00D866B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1AE8" w14:textId="77777777" w:rsidR="00D866BB" w:rsidRDefault="00E24E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49C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49CC">
      <w:rPr>
        <w:b/>
        <w:noProof/>
        <w:color w:val="000000"/>
        <w:sz w:val="24"/>
        <w:szCs w:val="24"/>
      </w:rPr>
      <w:t>22</w:t>
    </w:r>
    <w:r>
      <w:rPr>
        <w:b/>
        <w:color w:val="000000"/>
        <w:sz w:val="24"/>
        <w:szCs w:val="24"/>
      </w:rPr>
      <w:fldChar w:fldCharType="end"/>
    </w:r>
  </w:p>
  <w:p w14:paraId="03353BE2" w14:textId="77777777" w:rsidR="00D866BB" w:rsidRDefault="00D866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1E625" w14:textId="77777777" w:rsidR="00850E4C" w:rsidRDefault="00850E4C">
      <w:r>
        <w:separator/>
      </w:r>
    </w:p>
  </w:footnote>
  <w:footnote w:type="continuationSeparator" w:id="0">
    <w:p w14:paraId="29415E1E" w14:textId="77777777" w:rsidR="00850E4C" w:rsidRDefault="0085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086C" w14:textId="77777777" w:rsidR="00D866BB" w:rsidRDefault="00000000">
    <w:pPr>
      <w:pBdr>
        <w:top w:val="nil"/>
        <w:left w:val="nil"/>
        <w:bottom w:val="nil"/>
        <w:right w:val="nil"/>
        <w:between w:val="nil"/>
      </w:pBdr>
      <w:tabs>
        <w:tab w:val="center" w:pos="4419"/>
        <w:tab w:val="right" w:pos="8838"/>
      </w:tabs>
      <w:rPr>
        <w:color w:val="000000"/>
      </w:rPr>
    </w:pPr>
    <w:r>
      <w:rPr>
        <w:color w:val="000000"/>
      </w:rPr>
      <w:pict w14:anchorId="0CB93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DE5F" w14:textId="77777777" w:rsidR="00D866BB" w:rsidRDefault="00D866BB">
    <w:pPr>
      <w:widowControl w:val="0"/>
      <w:pBdr>
        <w:top w:val="nil"/>
        <w:left w:val="nil"/>
        <w:bottom w:val="nil"/>
        <w:right w:val="nil"/>
        <w:between w:val="nil"/>
      </w:pBdr>
      <w:spacing w:line="276" w:lineRule="auto"/>
      <w:rPr>
        <w:color w:val="000000"/>
      </w:rPr>
    </w:pPr>
  </w:p>
  <w:tbl>
    <w:tblPr>
      <w:tblStyle w:val="a"/>
      <w:tblW w:w="9072" w:type="dxa"/>
      <w:tblInd w:w="0" w:type="dxa"/>
      <w:tblLayout w:type="fixed"/>
      <w:tblLook w:val="0400" w:firstRow="0" w:lastRow="0" w:firstColumn="0" w:lastColumn="0" w:noHBand="0" w:noVBand="1"/>
    </w:tblPr>
    <w:tblGrid>
      <w:gridCol w:w="1985"/>
      <w:gridCol w:w="7087"/>
    </w:tblGrid>
    <w:tr w:rsidR="00D866BB" w14:paraId="2AB62480" w14:textId="77777777">
      <w:trPr>
        <w:trHeight w:val="1435"/>
      </w:trPr>
      <w:tc>
        <w:tcPr>
          <w:tcW w:w="1985" w:type="dxa"/>
          <w:shd w:val="clear" w:color="auto" w:fill="auto"/>
        </w:tcPr>
        <w:p w14:paraId="4235C4BE" w14:textId="77777777" w:rsidR="00D866BB" w:rsidRDefault="00D866BB">
          <w:pPr>
            <w:tabs>
              <w:tab w:val="right" w:pos="4273"/>
            </w:tabs>
            <w:rPr>
              <w:rFonts w:ascii="Garamond" w:eastAsia="Garamond" w:hAnsi="Garamond" w:cs="Garamond"/>
              <w:sz w:val="16"/>
              <w:szCs w:val="16"/>
            </w:rPr>
          </w:pPr>
        </w:p>
      </w:tc>
      <w:tc>
        <w:tcPr>
          <w:tcW w:w="7087" w:type="dxa"/>
          <w:shd w:val="clear" w:color="auto" w:fill="auto"/>
        </w:tcPr>
        <w:p w14:paraId="23C98BE2" w14:textId="77777777" w:rsidR="00D866BB" w:rsidRDefault="00D866B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6945" w:type="dxa"/>
            <w:tblInd w:w="1444" w:type="dxa"/>
            <w:tblBorders>
              <w:top w:val="nil"/>
              <w:left w:val="nil"/>
              <w:bottom w:val="nil"/>
              <w:right w:val="nil"/>
              <w:insideH w:val="nil"/>
              <w:insideV w:val="nil"/>
            </w:tblBorders>
            <w:tblLayout w:type="fixed"/>
            <w:tblLook w:val="0400" w:firstRow="0" w:lastRow="0" w:firstColumn="0" w:lastColumn="0" w:noHBand="0" w:noVBand="1"/>
          </w:tblPr>
          <w:tblGrid>
            <w:gridCol w:w="2552"/>
            <w:gridCol w:w="4393"/>
          </w:tblGrid>
          <w:tr w:rsidR="00D866BB" w14:paraId="5B998380" w14:textId="77777777">
            <w:trPr>
              <w:trHeight w:val="144"/>
            </w:trPr>
            <w:tc>
              <w:tcPr>
                <w:tcW w:w="2552" w:type="dxa"/>
              </w:tcPr>
              <w:p w14:paraId="0608354C" w14:textId="77777777" w:rsidR="00D866BB" w:rsidRDefault="00E24E35">
                <w:pPr>
                  <w:tabs>
                    <w:tab w:val="right" w:pos="8838"/>
                  </w:tabs>
                  <w:spacing w:line="276" w:lineRule="auto"/>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tcPr>
              <w:p w14:paraId="03F15012" w14:textId="77777777" w:rsidR="00D866BB" w:rsidRDefault="00E24E35">
                <w:pPr>
                  <w:tabs>
                    <w:tab w:val="right" w:pos="8838"/>
                  </w:tabs>
                  <w:spacing w:line="276" w:lineRule="auto"/>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07586/INFOEM/IP/RR/2024</w:t>
                </w:r>
              </w:p>
            </w:tc>
          </w:tr>
          <w:tr w:rsidR="00D866BB" w14:paraId="4B540E2D" w14:textId="77777777">
            <w:trPr>
              <w:trHeight w:val="283"/>
            </w:trPr>
            <w:tc>
              <w:tcPr>
                <w:tcW w:w="2552" w:type="dxa"/>
              </w:tcPr>
              <w:p w14:paraId="2B56B1D9" w14:textId="77777777" w:rsidR="00D866BB" w:rsidRDefault="00E24E35">
                <w:pPr>
                  <w:tabs>
                    <w:tab w:val="right" w:pos="8838"/>
                  </w:tabs>
                  <w:spacing w:line="276" w:lineRule="auto"/>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tcPr>
              <w:p w14:paraId="37F19E56" w14:textId="77777777" w:rsidR="00D866BB" w:rsidRDefault="00E24E35">
                <w:pPr>
                  <w:tabs>
                    <w:tab w:val="left" w:pos="2834"/>
                    <w:tab w:val="right" w:pos="8838"/>
                  </w:tabs>
                  <w:spacing w:line="276" w:lineRule="auto"/>
                  <w:ind w:right="319"/>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Secretaría de Finanzas </w:t>
                </w:r>
              </w:p>
            </w:tc>
          </w:tr>
          <w:tr w:rsidR="00D866BB" w14:paraId="25FD6DB6" w14:textId="77777777">
            <w:trPr>
              <w:trHeight w:val="283"/>
            </w:trPr>
            <w:tc>
              <w:tcPr>
                <w:tcW w:w="2552" w:type="dxa"/>
              </w:tcPr>
              <w:p w14:paraId="72B0B261" w14:textId="77777777" w:rsidR="00D866BB" w:rsidRDefault="00E24E35">
                <w:pPr>
                  <w:tabs>
                    <w:tab w:val="right" w:pos="8838"/>
                  </w:tabs>
                  <w:spacing w:line="276" w:lineRule="auto"/>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394" w:type="dxa"/>
              </w:tcPr>
              <w:p w14:paraId="7FB831DD" w14:textId="77777777" w:rsidR="00D866BB" w:rsidRDefault="00E24E35">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585DEA96" w14:textId="77777777" w:rsidR="00D866BB" w:rsidRDefault="00D866BB">
                <w:pPr>
                  <w:tabs>
                    <w:tab w:val="right" w:pos="8838"/>
                  </w:tabs>
                  <w:spacing w:line="276" w:lineRule="auto"/>
                  <w:ind w:right="171"/>
                  <w:jc w:val="both"/>
                  <w:rPr>
                    <w:rFonts w:ascii="Palatino Linotype" w:eastAsia="Palatino Linotype" w:hAnsi="Palatino Linotype" w:cs="Palatino Linotype"/>
                    <w:sz w:val="22"/>
                    <w:szCs w:val="22"/>
                  </w:rPr>
                </w:pPr>
              </w:p>
            </w:tc>
          </w:tr>
        </w:tbl>
        <w:p w14:paraId="0666A434" w14:textId="77777777" w:rsidR="00D866BB" w:rsidRDefault="00D866BB">
          <w:pPr>
            <w:tabs>
              <w:tab w:val="right" w:pos="8838"/>
            </w:tabs>
            <w:ind w:left="-28"/>
            <w:jc w:val="both"/>
            <w:rPr>
              <w:rFonts w:ascii="Arial" w:eastAsia="Arial" w:hAnsi="Arial" w:cs="Arial"/>
              <w:b/>
              <w:sz w:val="22"/>
              <w:szCs w:val="22"/>
            </w:rPr>
          </w:pPr>
        </w:p>
      </w:tc>
    </w:tr>
  </w:tbl>
  <w:p w14:paraId="28A31286" w14:textId="77777777" w:rsidR="00D866BB" w:rsidRDefault="0000000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92D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108.05pt;margin-top:-139.4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D8CF" w14:textId="77777777" w:rsidR="00D866BB" w:rsidRDefault="00D866BB">
    <w:pPr>
      <w:widowControl w:val="0"/>
      <w:pBdr>
        <w:top w:val="nil"/>
        <w:left w:val="nil"/>
        <w:bottom w:val="nil"/>
        <w:right w:val="nil"/>
        <w:between w:val="nil"/>
      </w:pBdr>
      <w:spacing w:line="276" w:lineRule="auto"/>
      <w:rPr>
        <w:color w:val="000000"/>
        <w:sz w:val="14"/>
        <w:szCs w:val="14"/>
      </w:rPr>
    </w:pPr>
  </w:p>
  <w:tbl>
    <w:tblPr>
      <w:tblStyle w:val="a1"/>
      <w:tblW w:w="9356" w:type="dxa"/>
      <w:tblInd w:w="0" w:type="dxa"/>
      <w:tblLayout w:type="fixed"/>
      <w:tblLook w:val="0400" w:firstRow="0" w:lastRow="0" w:firstColumn="0" w:lastColumn="0" w:noHBand="0" w:noVBand="1"/>
    </w:tblPr>
    <w:tblGrid>
      <w:gridCol w:w="2127"/>
      <w:gridCol w:w="7229"/>
    </w:tblGrid>
    <w:tr w:rsidR="00D866BB" w14:paraId="37DDB433" w14:textId="77777777">
      <w:trPr>
        <w:trHeight w:val="1435"/>
      </w:trPr>
      <w:tc>
        <w:tcPr>
          <w:tcW w:w="2127" w:type="dxa"/>
          <w:shd w:val="clear" w:color="auto" w:fill="auto"/>
        </w:tcPr>
        <w:p w14:paraId="3C5C2882" w14:textId="77777777" w:rsidR="00D866BB" w:rsidRDefault="00D866BB">
          <w:pPr>
            <w:tabs>
              <w:tab w:val="right" w:pos="4273"/>
            </w:tabs>
            <w:rPr>
              <w:rFonts w:ascii="Garamond" w:eastAsia="Garamond" w:hAnsi="Garamond" w:cs="Garamond"/>
              <w:sz w:val="22"/>
              <w:szCs w:val="22"/>
            </w:rPr>
          </w:pPr>
        </w:p>
      </w:tc>
      <w:tc>
        <w:tcPr>
          <w:tcW w:w="7229" w:type="dxa"/>
          <w:shd w:val="clear" w:color="auto" w:fill="auto"/>
        </w:tcPr>
        <w:p w14:paraId="368ADC9E" w14:textId="77777777" w:rsidR="00D866BB" w:rsidRDefault="00D866B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884" w:type="dxa"/>
            <w:tblBorders>
              <w:top w:val="nil"/>
              <w:left w:val="nil"/>
              <w:bottom w:val="nil"/>
              <w:right w:val="nil"/>
              <w:insideH w:val="nil"/>
              <w:insideV w:val="nil"/>
            </w:tblBorders>
            <w:tblLayout w:type="fixed"/>
            <w:tblLook w:val="0400" w:firstRow="0" w:lastRow="0" w:firstColumn="0" w:lastColumn="0" w:noHBand="0" w:noVBand="1"/>
          </w:tblPr>
          <w:tblGrid>
            <w:gridCol w:w="2444"/>
            <w:gridCol w:w="4218"/>
          </w:tblGrid>
          <w:tr w:rsidR="00D866BB" w14:paraId="50D1F3B7" w14:textId="77777777">
            <w:trPr>
              <w:trHeight w:val="144"/>
            </w:trPr>
            <w:tc>
              <w:tcPr>
                <w:tcW w:w="2444" w:type="dxa"/>
              </w:tcPr>
              <w:p w14:paraId="083E67A1" w14:textId="77777777" w:rsidR="00D866BB" w:rsidRDefault="00E24E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tcPr>
              <w:p w14:paraId="5D1A30E0" w14:textId="77777777" w:rsidR="00D866BB" w:rsidRDefault="00E24E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07586/INFOEM/IP/RR/2024</w:t>
                </w:r>
              </w:p>
            </w:tc>
          </w:tr>
          <w:tr w:rsidR="00D866BB" w14:paraId="5658EDFA" w14:textId="77777777">
            <w:trPr>
              <w:trHeight w:val="144"/>
            </w:trPr>
            <w:tc>
              <w:tcPr>
                <w:tcW w:w="2444" w:type="dxa"/>
              </w:tcPr>
              <w:p w14:paraId="217F945D" w14:textId="77777777" w:rsidR="00D866BB" w:rsidRDefault="00E24E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tcPr>
              <w:p w14:paraId="366B884E" w14:textId="77777777" w:rsidR="00D866BB" w:rsidRDefault="00D866BB">
                <w:pPr>
                  <w:tabs>
                    <w:tab w:val="left" w:pos="3122"/>
                    <w:tab w:val="right" w:pos="8838"/>
                  </w:tabs>
                  <w:ind w:left="-74" w:right="-105"/>
                  <w:jc w:val="both"/>
                  <w:rPr>
                    <w:rFonts w:ascii="Palatino Linotype" w:eastAsia="Palatino Linotype" w:hAnsi="Palatino Linotype" w:cs="Palatino Linotype"/>
                    <w:sz w:val="22"/>
                    <w:szCs w:val="22"/>
                  </w:rPr>
                </w:pPr>
              </w:p>
            </w:tc>
          </w:tr>
          <w:tr w:rsidR="00D866BB" w14:paraId="01829321" w14:textId="77777777">
            <w:trPr>
              <w:trHeight w:val="283"/>
            </w:trPr>
            <w:tc>
              <w:tcPr>
                <w:tcW w:w="2444" w:type="dxa"/>
              </w:tcPr>
              <w:p w14:paraId="2CAE8143" w14:textId="77777777" w:rsidR="00D866BB" w:rsidRDefault="00E24E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tcPr>
              <w:p w14:paraId="3DA1C154" w14:textId="77777777" w:rsidR="00D866BB" w:rsidRDefault="00E24E35">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Secretaría de Finanzas</w:t>
                </w:r>
              </w:p>
            </w:tc>
          </w:tr>
          <w:tr w:rsidR="00D866BB" w14:paraId="201E417F" w14:textId="77777777">
            <w:trPr>
              <w:trHeight w:val="283"/>
            </w:trPr>
            <w:tc>
              <w:tcPr>
                <w:tcW w:w="2444" w:type="dxa"/>
              </w:tcPr>
              <w:p w14:paraId="095303C7" w14:textId="77777777" w:rsidR="00D866BB" w:rsidRDefault="00E24E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tcPr>
              <w:p w14:paraId="50C491E8" w14:textId="77777777" w:rsidR="00D866BB" w:rsidRDefault="00E24E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43C35697" w14:textId="77777777" w:rsidR="00D866BB" w:rsidRDefault="00D866BB">
          <w:pPr>
            <w:tabs>
              <w:tab w:val="right" w:pos="8838"/>
            </w:tabs>
            <w:ind w:left="-28"/>
            <w:jc w:val="both"/>
            <w:rPr>
              <w:rFonts w:ascii="Arial" w:eastAsia="Arial" w:hAnsi="Arial" w:cs="Arial"/>
              <w:b/>
              <w:sz w:val="22"/>
              <w:szCs w:val="22"/>
            </w:rPr>
          </w:pPr>
        </w:p>
      </w:tc>
    </w:tr>
  </w:tbl>
  <w:p w14:paraId="4F56DE18" w14:textId="77777777" w:rsidR="00D866BB" w:rsidRDefault="00000000">
    <w:pPr>
      <w:pBdr>
        <w:top w:val="nil"/>
        <w:left w:val="nil"/>
        <w:bottom w:val="nil"/>
        <w:right w:val="nil"/>
        <w:between w:val="nil"/>
      </w:pBdr>
      <w:tabs>
        <w:tab w:val="center" w:pos="4419"/>
        <w:tab w:val="right" w:pos="8838"/>
      </w:tabs>
      <w:rPr>
        <w:color w:val="000000"/>
        <w:sz w:val="22"/>
        <w:szCs w:val="22"/>
      </w:rPr>
    </w:pPr>
    <w:r>
      <w:rPr>
        <w:color w:val="000000"/>
        <w:sz w:val="22"/>
        <w:szCs w:val="22"/>
      </w:rPr>
      <w:pict w14:anchorId="0FBF1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105.8pt;margin-top:-125.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1B0"/>
    <w:multiLevelType w:val="multilevel"/>
    <w:tmpl w:val="DBB448E6"/>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D5233D"/>
    <w:multiLevelType w:val="multilevel"/>
    <w:tmpl w:val="0970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2678163">
    <w:abstractNumId w:val="0"/>
  </w:num>
  <w:num w:numId="2" w16cid:durableId="197528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BB"/>
    <w:rsid w:val="000449CC"/>
    <w:rsid w:val="001400E1"/>
    <w:rsid w:val="004F23EA"/>
    <w:rsid w:val="00850E4C"/>
    <w:rsid w:val="00A7393B"/>
    <w:rsid w:val="00C57634"/>
    <w:rsid w:val="00D866BB"/>
    <w:rsid w:val="00E24E35"/>
    <w:rsid w:val="00E46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D927B"/>
  <w15:docId w15:val="{5E5FAA6D-30A3-46E3-83A3-7D61612D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C3"/>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B3138F"/>
    <w:rPr>
      <w:color w:val="605E5C"/>
      <w:shd w:val="clear" w:color="auto" w:fill="E1DFDD"/>
    </w:rPr>
  </w:style>
  <w:style w:type="character" w:customStyle="1" w:styleId="Mencinsinresolver2">
    <w:name w:val="Mención sin resolver2"/>
    <w:basedOn w:val="Fuentedeprrafopredeter"/>
    <w:uiPriority w:val="99"/>
    <w:semiHidden/>
    <w:unhideWhenUsed/>
    <w:rsid w:val="00AB498D"/>
    <w:rPr>
      <w:color w:val="605E5C"/>
      <w:shd w:val="clear" w:color="auto" w:fill="E1DFDD"/>
    </w:rPr>
  </w:style>
  <w:style w:type="table" w:customStyle="1" w:styleId="Tablaconcuadrcula1">
    <w:name w:val="Tabla con cuadrícula1"/>
    <w:basedOn w:val="Tablanormal"/>
    <w:next w:val="Tablaconcuadrcula"/>
    <w:uiPriority w:val="39"/>
    <w:rsid w:val="00B9351D"/>
    <w:rPr>
      <w:rFonts w:ascii="Calibri" w:eastAsia="Calibri"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jgbS7BUPQc5fqkWT+x1MyxDfQ==">CgMxLjAyCGguZ2pkZ3hzMgloLjMwajB6bGwyCWguMzBqMHpsbDIJaC4xZm9iOXRlOAByITF5RHZzU21sLURjUm9VQTVNcDJ0OHA4VERFeXJ3anZmOA==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5263</Words>
  <Characters>28948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HECTOR FABIAN ORDOÑEZ GARCIA</cp:lastModifiedBy>
  <cp:revision>4</cp:revision>
  <cp:lastPrinted>2025-01-31T16:04:00Z</cp:lastPrinted>
  <dcterms:created xsi:type="dcterms:W3CDTF">2025-01-31T16:03:00Z</dcterms:created>
  <dcterms:modified xsi:type="dcterms:W3CDTF">2025-02-19T18:33:00Z</dcterms:modified>
</cp:coreProperties>
</file>