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1AB69" w14:textId="77777777" w:rsidR="00620366" w:rsidRPr="00446CC5" w:rsidRDefault="0031388A">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446CC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446CC5">
        <w:rPr>
          <w:rFonts w:ascii="Palatino Linotype" w:eastAsia="Palatino Linotype" w:hAnsi="Palatino Linotype" w:cs="Palatino Linotype"/>
          <w:b/>
          <w:sz w:val="22"/>
          <w:szCs w:val="22"/>
        </w:rPr>
        <w:t>a quince de enero de dos mil veinticinco</w:t>
      </w:r>
      <w:r w:rsidRPr="00446CC5">
        <w:rPr>
          <w:rFonts w:ascii="Palatino Linotype" w:eastAsia="Palatino Linotype" w:hAnsi="Palatino Linotype" w:cs="Palatino Linotype"/>
          <w:sz w:val="22"/>
          <w:szCs w:val="22"/>
        </w:rPr>
        <w:t xml:space="preserve">. </w:t>
      </w:r>
    </w:p>
    <w:p w14:paraId="2529B416" w14:textId="314F03E2" w:rsidR="00620366" w:rsidRPr="00446CC5" w:rsidRDefault="0031388A">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446CC5">
        <w:rPr>
          <w:rFonts w:ascii="Palatino Linotype" w:eastAsia="Palatino Linotype" w:hAnsi="Palatino Linotype" w:cs="Palatino Linotype"/>
          <w:b/>
          <w:sz w:val="22"/>
          <w:szCs w:val="22"/>
        </w:rPr>
        <w:t>Visto</w:t>
      </w:r>
      <w:r w:rsidRPr="00446CC5">
        <w:rPr>
          <w:rFonts w:ascii="Palatino Linotype" w:eastAsia="Palatino Linotype" w:hAnsi="Palatino Linotype" w:cs="Palatino Linotype"/>
          <w:sz w:val="22"/>
          <w:szCs w:val="22"/>
        </w:rPr>
        <w:t xml:space="preserve"> el expediente formado con motivo del recurso de revisión </w:t>
      </w:r>
      <w:r w:rsidRPr="00446CC5">
        <w:rPr>
          <w:rFonts w:ascii="Palatino Linotype" w:eastAsia="Palatino Linotype" w:hAnsi="Palatino Linotype" w:cs="Palatino Linotype"/>
          <w:b/>
          <w:sz w:val="22"/>
          <w:szCs w:val="22"/>
        </w:rPr>
        <w:t>07414/INFOEM/IP/RR/2024</w:t>
      </w:r>
      <w:r w:rsidRPr="00446CC5">
        <w:rPr>
          <w:rFonts w:ascii="Palatino Linotype" w:eastAsia="Palatino Linotype" w:hAnsi="Palatino Linotype" w:cs="Palatino Linotype"/>
          <w:sz w:val="22"/>
          <w:szCs w:val="22"/>
        </w:rPr>
        <w:t>, interpuesto por</w:t>
      </w:r>
      <w:r w:rsidRPr="00446CC5">
        <w:rPr>
          <w:rFonts w:ascii="Palatino Linotype" w:eastAsia="Palatino Linotype" w:hAnsi="Palatino Linotype" w:cs="Palatino Linotype"/>
          <w:b/>
          <w:sz w:val="22"/>
          <w:szCs w:val="22"/>
        </w:rPr>
        <w:t xml:space="preserve"> </w:t>
      </w:r>
      <w:r w:rsidR="00BF47F1">
        <w:rPr>
          <w:rFonts w:ascii="Palatino Linotype" w:eastAsia="Palatino Linotype" w:hAnsi="Palatino Linotype" w:cs="Palatino Linotype"/>
          <w:b/>
          <w:sz w:val="22"/>
          <w:szCs w:val="22"/>
        </w:rPr>
        <w:t xml:space="preserve">XXXXX XXXXXXXXX </w:t>
      </w:r>
      <w:proofErr w:type="spellStart"/>
      <w:r w:rsidR="00BF47F1">
        <w:rPr>
          <w:rFonts w:ascii="Palatino Linotype" w:eastAsia="Palatino Linotype" w:hAnsi="Palatino Linotype" w:cs="Palatino Linotype"/>
          <w:b/>
          <w:sz w:val="22"/>
          <w:szCs w:val="22"/>
        </w:rPr>
        <w:t>XXXXXXXXX</w:t>
      </w:r>
      <w:proofErr w:type="spellEnd"/>
      <w:r w:rsidRPr="00446CC5">
        <w:rPr>
          <w:rFonts w:ascii="Palatino Linotype" w:eastAsia="Palatino Linotype" w:hAnsi="Palatino Linotype" w:cs="Palatino Linotype"/>
          <w:b/>
          <w:sz w:val="22"/>
          <w:szCs w:val="22"/>
        </w:rPr>
        <w:t>,</w:t>
      </w:r>
      <w:r w:rsidRPr="00446CC5">
        <w:rPr>
          <w:rFonts w:ascii="Palatino Linotype" w:eastAsia="Palatino Linotype" w:hAnsi="Palatino Linotype" w:cs="Palatino Linotype"/>
          <w:sz w:val="22"/>
          <w:szCs w:val="22"/>
        </w:rPr>
        <w:t xml:space="preserve"> en lo sucesivo</w:t>
      </w:r>
      <w:r w:rsidRPr="00446CC5">
        <w:rPr>
          <w:rFonts w:ascii="Palatino Linotype" w:eastAsia="Palatino Linotype" w:hAnsi="Palatino Linotype" w:cs="Palatino Linotype"/>
          <w:b/>
          <w:sz w:val="22"/>
          <w:szCs w:val="22"/>
        </w:rPr>
        <w:t xml:space="preserve"> la parte</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b/>
          <w:sz w:val="22"/>
          <w:szCs w:val="22"/>
        </w:rPr>
        <w:t>Recurrente,</w:t>
      </w:r>
      <w:r w:rsidRPr="00446CC5">
        <w:rPr>
          <w:rFonts w:ascii="Palatino Linotype" w:eastAsia="Palatino Linotype" w:hAnsi="Palatino Linotype" w:cs="Palatino Linotype"/>
          <w:sz w:val="22"/>
          <w:szCs w:val="22"/>
        </w:rPr>
        <w:t xml:space="preserve"> en contra de la respuesta a su solicitud por parte del</w:t>
      </w:r>
      <w:r w:rsidRPr="00446CC5">
        <w:t xml:space="preserve"> </w:t>
      </w:r>
      <w:r w:rsidRPr="00446CC5">
        <w:rPr>
          <w:rFonts w:ascii="Palatino Linotype" w:eastAsia="Palatino Linotype" w:hAnsi="Palatino Linotype" w:cs="Palatino Linotype"/>
          <w:b/>
          <w:sz w:val="22"/>
          <w:szCs w:val="22"/>
        </w:rPr>
        <w:t>Universidad Estatal del Valle de Toluca</w:t>
      </w:r>
      <w:r w:rsidRPr="00446CC5">
        <w:rPr>
          <w:rFonts w:ascii="Palatino Linotype" w:eastAsia="Palatino Linotype" w:hAnsi="Palatino Linotype" w:cs="Palatino Linotype"/>
          <w:sz w:val="22"/>
          <w:szCs w:val="22"/>
        </w:rPr>
        <w:t>,</w:t>
      </w:r>
      <w:r w:rsidRPr="00446CC5">
        <w:rPr>
          <w:rFonts w:ascii="Palatino Linotype" w:eastAsia="Palatino Linotype" w:hAnsi="Palatino Linotype" w:cs="Palatino Linotype"/>
          <w:b/>
          <w:sz w:val="22"/>
          <w:szCs w:val="22"/>
        </w:rPr>
        <w:t xml:space="preserve"> </w:t>
      </w:r>
      <w:r w:rsidRPr="00446CC5">
        <w:rPr>
          <w:rFonts w:ascii="Palatino Linotype" w:eastAsia="Palatino Linotype" w:hAnsi="Palatino Linotype" w:cs="Palatino Linotype"/>
          <w:sz w:val="22"/>
          <w:szCs w:val="22"/>
        </w:rPr>
        <w:t xml:space="preserve">en lo sucesivo 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 xml:space="preserve">se procede a dictar la presente resolución con base en los siguientes: </w:t>
      </w:r>
    </w:p>
    <w:p w14:paraId="4BEE7AC5" w14:textId="77777777" w:rsidR="00620366" w:rsidRPr="00446CC5" w:rsidRDefault="0031388A">
      <w:pPr>
        <w:spacing w:before="240" w:after="240" w:line="360" w:lineRule="auto"/>
        <w:jc w:val="center"/>
        <w:rPr>
          <w:rFonts w:ascii="Palatino Linotype" w:eastAsia="Palatino Linotype" w:hAnsi="Palatino Linotype" w:cs="Palatino Linotype"/>
          <w:b/>
          <w:sz w:val="22"/>
          <w:szCs w:val="22"/>
        </w:rPr>
      </w:pPr>
      <w:r w:rsidRPr="00446CC5">
        <w:rPr>
          <w:rFonts w:ascii="Palatino Linotype" w:eastAsia="Palatino Linotype" w:hAnsi="Palatino Linotype" w:cs="Palatino Linotype"/>
          <w:b/>
          <w:sz w:val="22"/>
          <w:szCs w:val="22"/>
        </w:rPr>
        <w:t>I. A N T E C E D E N T E S</w:t>
      </w:r>
    </w:p>
    <w:p w14:paraId="16E8BC0C" w14:textId="77777777" w:rsidR="00620366" w:rsidRPr="00446CC5" w:rsidRDefault="0031388A">
      <w:pPr>
        <w:spacing w:before="240" w:after="240"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1. Solicitud de acceso a la información.</w:t>
      </w:r>
      <w:r w:rsidRPr="00446CC5">
        <w:rPr>
          <w:rFonts w:ascii="Palatino Linotype" w:eastAsia="Palatino Linotype" w:hAnsi="Palatino Linotype" w:cs="Palatino Linotype"/>
          <w:sz w:val="22"/>
          <w:szCs w:val="22"/>
        </w:rPr>
        <w:t xml:space="preserve"> El </w:t>
      </w:r>
      <w:r w:rsidRPr="00446CC5">
        <w:rPr>
          <w:rFonts w:ascii="Palatino Linotype" w:eastAsia="Palatino Linotype" w:hAnsi="Palatino Linotype" w:cs="Palatino Linotype"/>
          <w:b/>
          <w:sz w:val="22"/>
          <w:szCs w:val="22"/>
        </w:rPr>
        <w:t>veintinueve de octubre de dos mil veinticuatro,</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b/>
          <w:sz w:val="22"/>
          <w:szCs w:val="22"/>
        </w:rPr>
        <w:t>la parte</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b/>
          <w:sz w:val="22"/>
          <w:szCs w:val="22"/>
        </w:rPr>
        <w:t xml:space="preserve">Recurrente </w:t>
      </w:r>
      <w:r w:rsidRPr="00446CC5">
        <w:rPr>
          <w:rFonts w:ascii="Palatino Linotype" w:eastAsia="Palatino Linotype" w:hAnsi="Palatino Linotype" w:cs="Palatino Linotype"/>
          <w:sz w:val="22"/>
          <w:szCs w:val="22"/>
        </w:rPr>
        <w:t xml:space="preserve">presentó, a través del Sistema de Acceso a la Información Mexiquense, en lo subsecuente el </w:t>
      </w:r>
      <w:r w:rsidRPr="00446CC5">
        <w:rPr>
          <w:rFonts w:ascii="Palatino Linotype" w:eastAsia="Palatino Linotype" w:hAnsi="Palatino Linotype" w:cs="Palatino Linotype"/>
          <w:b/>
          <w:sz w:val="22"/>
          <w:szCs w:val="22"/>
        </w:rPr>
        <w:t>SAIMEX,</w:t>
      </w:r>
      <w:r w:rsidRPr="00446CC5">
        <w:rPr>
          <w:rFonts w:ascii="Palatino Linotype" w:eastAsia="Palatino Linotype" w:hAnsi="Palatino Linotype" w:cs="Palatino Linotype"/>
          <w:sz w:val="22"/>
          <w:szCs w:val="22"/>
        </w:rPr>
        <w:t xml:space="preserve"> ante 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la solicitud de acceso a la información pública, a la que se le asignó el número</w:t>
      </w:r>
      <w:r w:rsidRPr="00446CC5">
        <w:t xml:space="preserve"> </w:t>
      </w:r>
      <w:r w:rsidRPr="00446CC5">
        <w:rPr>
          <w:rFonts w:ascii="Palatino Linotype" w:eastAsia="Palatino Linotype" w:hAnsi="Palatino Linotype" w:cs="Palatino Linotype"/>
          <w:b/>
          <w:sz w:val="22"/>
          <w:szCs w:val="22"/>
        </w:rPr>
        <w:t xml:space="preserve">00046/UNEVT/IP/2024, </w:t>
      </w:r>
      <w:r w:rsidRPr="00446CC5">
        <w:rPr>
          <w:rFonts w:ascii="Palatino Linotype" w:eastAsia="Palatino Linotype" w:hAnsi="Palatino Linotype" w:cs="Palatino Linotype"/>
          <w:sz w:val="22"/>
          <w:szCs w:val="22"/>
        </w:rPr>
        <w:t xml:space="preserve">mediante la cual requirió la información siguiente: </w:t>
      </w:r>
    </w:p>
    <w:p w14:paraId="7982E216" w14:textId="77777777" w:rsidR="00620366" w:rsidRPr="00446CC5" w:rsidRDefault="0031388A">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446CC5">
        <w:rPr>
          <w:rFonts w:ascii="Palatino Linotype" w:eastAsia="Palatino Linotype" w:hAnsi="Palatino Linotype" w:cs="Palatino Linotype"/>
          <w:i/>
          <w:sz w:val="22"/>
          <w:szCs w:val="22"/>
        </w:rPr>
        <w:t xml:space="preserve">“Solicito el instrumento de evaluación donde se describan los puntos que se tomaron en cuenta, para realizar el análisis y </w:t>
      </w:r>
      <w:proofErr w:type="spellStart"/>
      <w:r w:rsidRPr="00446CC5">
        <w:rPr>
          <w:rFonts w:ascii="Palatino Linotype" w:eastAsia="Palatino Linotype" w:hAnsi="Palatino Linotype" w:cs="Palatino Linotype"/>
          <w:i/>
          <w:sz w:val="22"/>
          <w:szCs w:val="22"/>
        </w:rPr>
        <w:t>dictámen</w:t>
      </w:r>
      <w:proofErr w:type="spellEnd"/>
      <w:r w:rsidRPr="00446CC5">
        <w:rPr>
          <w:rFonts w:ascii="Palatino Linotype" w:eastAsia="Palatino Linotype" w:hAnsi="Palatino Linotype" w:cs="Palatino Linotype"/>
          <w:i/>
          <w:sz w:val="22"/>
          <w:szCs w:val="22"/>
        </w:rPr>
        <w:t xml:space="preserve"> de las propuestas recibidas, valorando requisitos y proyecto. Cómo se establece en la invitación para la prestación del servicio de cafetería UNEVT 2024-2025, publicada en la página oficial de la universidad estatal del valle de Toluca, y las ponderaciones que determinaron el fallo de adjudicación F-AD-CC/UNEVT/AD-026-2024.” (Sic) </w:t>
      </w:r>
    </w:p>
    <w:p w14:paraId="2D285C01" w14:textId="77777777" w:rsidR="00620366" w:rsidRPr="00446CC5" w:rsidRDefault="0031388A">
      <w:pPr>
        <w:spacing w:before="240" w:after="240" w:line="360" w:lineRule="auto"/>
        <w:ind w:right="902"/>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Modalidad de Entrega:</w:t>
      </w:r>
      <w:r w:rsidRPr="00446CC5">
        <w:rPr>
          <w:rFonts w:ascii="Palatino Linotype" w:eastAsia="Palatino Linotype" w:hAnsi="Palatino Linotype" w:cs="Palatino Linotype"/>
          <w:sz w:val="22"/>
          <w:szCs w:val="22"/>
        </w:rPr>
        <w:t xml:space="preserve"> a través </w:t>
      </w:r>
      <w:r w:rsidRPr="00446CC5">
        <w:rPr>
          <w:rFonts w:ascii="Palatino Linotype" w:eastAsia="Palatino Linotype" w:hAnsi="Palatino Linotype" w:cs="Palatino Linotype"/>
          <w:b/>
          <w:sz w:val="22"/>
          <w:szCs w:val="22"/>
        </w:rPr>
        <w:t>de SAIMEX.</w:t>
      </w:r>
    </w:p>
    <w:p w14:paraId="005E6F81" w14:textId="77777777" w:rsidR="00620366" w:rsidRPr="00446CC5" w:rsidRDefault="0031388A">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446CC5">
        <w:rPr>
          <w:rFonts w:ascii="Palatino Linotype" w:eastAsia="Palatino Linotype" w:hAnsi="Palatino Linotype" w:cs="Palatino Linotype"/>
          <w:b/>
          <w:sz w:val="22"/>
          <w:szCs w:val="22"/>
        </w:rPr>
        <w:lastRenderedPageBreak/>
        <w:t xml:space="preserve">2. Respuesta. </w:t>
      </w:r>
      <w:r w:rsidRPr="00446CC5">
        <w:rPr>
          <w:rFonts w:ascii="Palatino Linotype" w:eastAsia="Palatino Linotype" w:hAnsi="Palatino Linotype" w:cs="Palatino Linotype"/>
          <w:sz w:val="22"/>
          <w:szCs w:val="22"/>
        </w:rPr>
        <w:t xml:space="preserve">El </w:t>
      </w:r>
      <w:r w:rsidRPr="00446CC5">
        <w:rPr>
          <w:rFonts w:ascii="Palatino Linotype" w:eastAsia="Palatino Linotype" w:hAnsi="Palatino Linotype" w:cs="Palatino Linotype"/>
          <w:b/>
          <w:sz w:val="22"/>
          <w:szCs w:val="22"/>
        </w:rPr>
        <w:t>diecinueve de noviembre de dos mil veinticuatro</w:t>
      </w:r>
      <w:r w:rsidRPr="00446CC5">
        <w:rPr>
          <w:rFonts w:ascii="Palatino Linotype" w:eastAsia="Palatino Linotype" w:hAnsi="Palatino Linotype" w:cs="Palatino Linotype"/>
          <w:sz w:val="22"/>
          <w:szCs w:val="22"/>
        </w:rPr>
        <w:t xml:space="preserve">, 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41E852DF" w14:textId="77777777" w:rsidR="00620366" w:rsidRPr="00446CC5" w:rsidRDefault="0031388A">
      <w:pPr>
        <w:spacing w:before="240" w:after="240"/>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“...Por este conducto y atendiendo a su solicitud de información, me permito enviarle los archivos de respuesta.” (Sic)</w:t>
      </w:r>
    </w:p>
    <w:p w14:paraId="08C018E5" w14:textId="77777777" w:rsidR="00620366" w:rsidRPr="00446CC5" w:rsidRDefault="0031388A">
      <w:pPr>
        <w:spacing w:before="240" w:after="240"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Adjunto a la respuesta 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aportó los archivos electrónicos que contienen la información siguiente:</w:t>
      </w:r>
    </w:p>
    <w:p w14:paraId="4C87CFEC" w14:textId="77777777" w:rsidR="00620366" w:rsidRPr="00446CC5" w:rsidRDefault="0031388A">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rPr>
        <w:t>R_SPH_RMyF.pdf</w:t>
      </w:r>
      <w:r w:rsidRPr="00446CC5">
        <w:rPr>
          <w:rFonts w:ascii="Palatino Linotype" w:eastAsia="Palatino Linotype" w:hAnsi="Palatino Linotype" w:cs="Palatino Linotype"/>
          <w:sz w:val="22"/>
          <w:szCs w:val="22"/>
        </w:rPr>
        <w:t>: Oficio 228C3101060001L/235/2024 del 15 de noviembre de 2024, a través del cual el Jefe del Departamento de Recursos Materiales y Financieros informó a la Jefa de la Unidad de Información, Planeación, Programación y Evaluación que, sobre la solicitud de información, para realizar el dictamen de las propuestas recibidas sirvió de instrumento y fundamento lo señalado en el artículo 26 de la Ley de Adquisiciones, Arrendamientos y Servicios del Sector Público asegurando para el Estado que a la letra dice: "</w:t>
      </w:r>
      <w:r w:rsidRPr="00446CC5">
        <w:rPr>
          <w:rFonts w:ascii="Palatino Linotype" w:eastAsia="Palatino Linotype" w:hAnsi="Palatino Linotype" w:cs="Palatino Linotype"/>
          <w:i/>
          <w:sz w:val="22"/>
          <w:szCs w:val="22"/>
        </w:rPr>
        <w:t>las mejores condiciones disponibles en cuanto a precio, calidad, financiamiento, oportunidad y demás circunstancias pertinentes, en cuanto a las ponderaciones" ...(sic).</w:t>
      </w:r>
      <w:r w:rsidRPr="00446CC5">
        <w:rPr>
          <w:rFonts w:ascii="Palatino Linotype" w:eastAsia="Palatino Linotype" w:hAnsi="Palatino Linotype" w:cs="Palatino Linotype"/>
          <w:sz w:val="22"/>
          <w:szCs w:val="22"/>
        </w:rPr>
        <w:t xml:space="preserve"> </w:t>
      </w:r>
    </w:p>
    <w:p w14:paraId="11407C8F" w14:textId="77777777" w:rsidR="00620366" w:rsidRPr="00446CC5" w:rsidRDefault="00620366">
      <w:pPr>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71F73C09" w14:textId="77777777" w:rsidR="00620366" w:rsidRPr="00446CC5" w:rsidRDefault="0031388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Asimismo, se indicó que, para determinar el fallo se toma en consideración lo dispuesto en el artículo 36 segundo párrafo de dicha ley, en relación con lo dispuesto en el artículo 51, párrafo uno y dos, del Reglamento de Adquisiciones, Arrendamientos y Servicios del Sector Público, concerniente a la aplicación del criterio de evaluación binario. </w:t>
      </w:r>
    </w:p>
    <w:p w14:paraId="34C7070D" w14:textId="77777777" w:rsidR="00620366" w:rsidRPr="00446CC5" w:rsidRDefault="0062036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2665936" w14:textId="77777777" w:rsidR="00620366" w:rsidRPr="00446CC5" w:rsidRDefault="0031388A">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Finalmente, se indicó que los referidos criterios para el caso en concreto, tal y como se determina en la invitación a que hace referencia el solicitante se encuentran inmersos en la misma y son entre otros:</w:t>
      </w:r>
    </w:p>
    <w:p w14:paraId="3B793E24" w14:textId="77777777" w:rsidR="00620366" w:rsidRPr="00446CC5" w:rsidRDefault="0062036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551B688"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Documentación.</w:t>
      </w:r>
    </w:p>
    <w:p w14:paraId="1AD455E0"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Experiencia en el ramo</w:t>
      </w:r>
    </w:p>
    <w:p w14:paraId="5EEF3D60"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Garantía de calidad de alimentos.</w:t>
      </w:r>
    </w:p>
    <w:p w14:paraId="1B128543"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Calidad en el servicio e higiene, sin descuidar la economía de este, observado lo Lineamientos Generales para el expendio y distribución de alimentos y bebidas preparados y procesados en las escuelas del Sistema Educativo Nacional.</w:t>
      </w:r>
    </w:p>
    <w:p w14:paraId="308F18B5"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Ofrecer un menú de comida saludable y comida corrida de conformidad a los lineamientos anteriormente referidos.</w:t>
      </w:r>
    </w:p>
    <w:p w14:paraId="7CB3A886"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Manejo adecuado de residuos sólidos, aguas, plásticos y en general medidas en pro de la sustentabilidad y el cuidado ambiental en apego a las políticas de la Universidad.</w:t>
      </w:r>
    </w:p>
    <w:p w14:paraId="1355158B"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No ser servidor público de la Institución, ni de sus cónyuges o parientes, consanguíneos por afinidad hasta el cuarto grado o civiles, o de terceros con los que dichos servidores públicos tengan vínculos privados o de negocios.</w:t>
      </w:r>
    </w:p>
    <w:p w14:paraId="42282886" w14:textId="77777777" w:rsidR="00620366" w:rsidRPr="00446CC5" w:rsidRDefault="00620366">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19A76AE8" w14:textId="6B476A8B" w:rsidR="00620366" w:rsidRPr="00446CC5" w:rsidRDefault="0031388A">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rPr>
        <w:t>R_</w:t>
      </w:r>
      <w:r w:rsidR="00BF47F1">
        <w:rPr>
          <w:rFonts w:ascii="Palatino Linotype" w:eastAsia="Palatino Linotype" w:hAnsi="Palatino Linotype" w:cs="Palatino Linotype"/>
          <w:b/>
          <w:i/>
          <w:sz w:val="22"/>
          <w:szCs w:val="22"/>
        </w:rPr>
        <w:t>XXXXXXXXXXX</w:t>
      </w:r>
      <w:r w:rsidRPr="00446CC5">
        <w:rPr>
          <w:rFonts w:ascii="Palatino Linotype" w:eastAsia="Palatino Linotype" w:hAnsi="Palatino Linotype" w:cs="Palatino Linotype"/>
          <w:b/>
          <w:i/>
          <w:sz w:val="22"/>
          <w:szCs w:val="22"/>
        </w:rPr>
        <w:t>.pdf</w:t>
      </w:r>
      <w:r w:rsidRPr="00446CC5">
        <w:rPr>
          <w:rFonts w:ascii="Palatino Linotype" w:eastAsia="Palatino Linotype" w:hAnsi="Palatino Linotype" w:cs="Palatino Linotype"/>
          <w:sz w:val="22"/>
          <w:szCs w:val="22"/>
        </w:rPr>
        <w:t>: Oficio 228C3101000200S/582/2024 del 19 de noviembre de 2024, a través del cual la Jefa de la UIPPE y Titular de la Unidad de Transparencia informa al solicitante que en atención a su requerimiento entrega en formato digital el oficio descrito en el punto anterior; asimismo, se hizo del conocimiento que esa universidad cuenta con el portal del IPOMEX para su consulta, proporcionando el link electrónico de dicho portal.</w:t>
      </w:r>
    </w:p>
    <w:p w14:paraId="46BD1209" w14:textId="77777777" w:rsidR="00620366" w:rsidRPr="00446CC5" w:rsidRDefault="00620366">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5E69AF3F" w14:textId="77777777" w:rsidR="00620366" w:rsidRPr="00446CC5" w:rsidRDefault="0031388A">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b/>
          <w:sz w:val="22"/>
          <w:szCs w:val="22"/>
        </w:rPr>
        <w:t xml:space="preserve">3. Interposición del recurso de revisión. </w:t>
      </w:r>
      <w:r w:rsidRPr="00446CC5">
        <w:rPr>
          <w:rFonts w:ascii="Palatino Linotype" w:eastAsia="Palatino Linotype" w:hAnsi="Palatino Linotype" w:cs="Palatino Linotype"/>
          <w:sz w:val="22"/>
          <w:szCs w:val="22"/>
        </w:rPr>
        <w:t xml:space="preserve">Inconforme con los términos de la respuesta emitida por parte del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el</w:t>
      </w:r>
      <w:r w:rsidRPr="00446CC5">
        <w:rPr>
          <w:rFonts w:ascii="Palatino Linotype" w:eastAsia="Palatino Linotype" w:hAnsi="Palatino Linotype" w:cs="Palatino Linotype"/>
          <w:b/>
          <w:sz w:val="22"/>
          <w:szCs w:val="22"/>
        </w:rPr>
        <w:t xml:space="preserve"> veintinueve de noviembre de dos mil veinticuatro,</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b/>
          <w:sz w:val="22"/>
          <w:szCs w:val="22"/>
        </w:rPr>
        <w:t>la parte</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b/>
          <w:sz w:val="22"/>
          <w:szCs w:val="22"/>
        </w:rPr>
        <w:t>Recurrente</w:t>
      </w:r>
      <w:r w:rsidRPr="00446CC5">
        <w:rPr>
          <w:rFonts w:ascii="Palatino Linotype" w:eastAsia="Palatino Linotype" w:hAnsi="Palatino Linotype" w:cs="Palatino Linotype"/>
          <w:sz w:val="22"/>
          <w:szCs w:val="22"/>
        </w:rPr>
        <w:t xml:space="preserve"> interpuso el recurso de revisión a través de </w:t>
      </w:r>
      <w:r w:rsidRPr="00446CC5">
        <w:rPr>
          <w:rFonts w:ascii="Palatino Linotype" w:eastAsia="Palatino Linotype" w:hAnsi="Palatino Linotype" w:cs="Palatino Linotype"/>
          <w:b/>
          <w:sz w:val="22"/>
          <w:szCs w:val="22"/>
        </w:rPr>
        <w:t xml:space="preserve">SAIMEX, </w:t>
      </w:r>
      <w:r w:rsidRPr="00446CC5">
        <w:rPr>
          <w:rFonts w:ascii="Palatino Linotype" w:eastAsia="Palatino Linotype" w:hAnsi="Palatino Linotype" w:cs="Palatino Linotype"/>
          <w:sz w:val="22"/>
          <w:szCs w:val="22"/>
        </w:rPr>
        <w:t>en donde se manifestó de la siguiente manera:</w:t>
      </w:r>
    </w:p>
    <w:p w14:paraId="1774E4C6" w14:textId="77777777" w:rsidR="00620366" w:rsidRPr="00446CC5" w:rsidRDefault="0031388A">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b/>
          <w:sz w:val="22"/>
          <w:szCs w:val="22"/>
        </w:rPr>
        <w:t xml:space="preserve">a) Acto impugnado: </w:t>
      </w:r>
      <w:r w:rsidRPr="00446CC5">
        <w:rPr>
          <w:rFonts w:ascii="Palatino Linotype" w:eastAsia="Palatino Linotype" w:hAnsi="Palatino Linotype" w:cs="Palatino Linotype"/>
          <w:i/>
          <w:sz w:val="22"/>
          <w:szCs w:val="22"/>
        </w:rPr>
        <w:t>“No se me entregó la información y documentos solicitados” (Sic)</w:t>
      </w:r>
    </w:p>
    <w:p w14:paraId="7A792E15"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446CC5">
        <w:rPr>
          <w:rFonts w:ascii="Palatino Linotype" w:eastAsia="Palatino Linotype" w:hAnsi="Palatino Linotype" w:cs="Palatino Linotype"/>
          <w:b/>
          <w:sz w:val="22"/>
          <w:szCs w:val="22"/>
        </w:rPr>
        <w:t>b) Razones o motivos de inconformidad</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i/>
          <w:sz w:val="22"/>
          <w:szCs w:val="22"/>
        </w:rPr>
        <w:t>“El sujeto obligado no entregó los instrumentos de evaluación y análisis, así como la ponderación asignada a cada propuesta de los puntos evaluados para el servicios de cafetería, únicamente hace referencia a los puntos publicados en su convocatoria y aún artículo de ley que es de aplicación general para cada procedimiento de contratación. Requiero se me entregué lo solicitado.” (Sic)</w:t>
      </w:r>
    </w:p>
    <w:p w14:paraId="15E9D7A3" w14:textId="77777777" w:rsidR="00620366" w:rsidRPr="00446CC5" w:rsidRDefault="00620366">
      <w:pPr>
        <w:spacing w:line="276" w:lineRule="auto"/>
        <w:ind w:left="567" w:right="900"/>
        <w:jc w:val="both"/>
        <w:rPr>
          <w:rFonts w:ascii="Palatino Linotype" w:eastAsia="Palatino Linotype" w:hAnsi="Palatino Linotype" w:cs="Palatino Linotype"/>
          <w:i/>
          <w:sz w:val="22"/>
          <w:szCs w:val="22"/>
        </w:rPr>
      </w:pPr>
    </w:p>
    <w:p w14:paraId="4702535E" w14:textId="77777777" w:rsidR="00620366" w:rsidRPr="00446CC5" w:rsidRDefault="0031388A">
      <w:pPr>
        <w:spacing w:line="360" w:lineRule="auto"/>
        <w:ind w:right="5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 xml:space="preserve">4. Turno. </w:t>
      </w:r>
      <w:r w:rsidRPr="00446CC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46CC5">
        <w:rPr>
          <w:rFonts w:ascii="Palatino Linotype" w:eastAsia="Palatino Linotype" w:hAnsi="Palatino Linotype" w:cs="Palatino Linotype"/>
          <w:b/>
          <w:sz w:val="22"/>
          <w:szCs w:val="22"/>
        </w:rPr>
        <w:t xml:space="preserve">Guadalupe Ramírez Peña, </w:t>
      </w:r>
      <w:r w:rsidRPr="00446CC5">
        <w:rPr>
          <w:rFonts w:ascii="Palatino Linotype" w:eastAsia="Palatino Linotype" w:hAnsi="Palatino Linotype" w:cs="Palatino Linotype"/>
          <w:sz w:val="22"/>
          <w:szCs w:val="22"/>
        </w:rPr>
        <w:t>a efecto de que analizara sobre su admisión o su desechamiento.</w:t>
      </w:r>
    </w:p>
    <w:p w14:paraId="3F451E1B" w14:textId="77777777" w:rsidR="00620366" w:rsidRPr="00446CC5" w:rsidRDefault="00620366">
      <w:pPr>
        <w:spacing w:line="360" w:lineRule="auto"/>
        <w:ind w:right="51"/>
        <w:jc w:val="both"/>
        <w:rPr>
          <w:rFonts w:ascii="Palatino Linotype" w:eastAsia="Palatino Linotype" w:hAnsi="Palatino Linotype" w:cs="Palatino Linotype"/>
          <w:sz w:val="22"/>
          <w:szCs w:val="22"/>
        </w:rPr>
      </w:pPr>
    </w:p>
    <w:p w14:paraId="59A0CD4B"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5. Admisión del Recurso de revisión.</w:t>
      </w:r>
      <w:r w:rsidRPr="00446CC5">
        <w:rPr>
          <w:rFonts w:ascii="Palatino Linotype" w:eastAsia="Palatino Linotype" w:hAnsi="Palatino Linotype" w:cs="Palatino Linotype"/>
          <w:sz w:val="22"/>
          <w:szCs w:val="22"/>
        </w:rPr>
        <w:t xml:space="preserve"> El </w:t>
      </w:r>
      <w:r w:rsidRPr="00446CC5">
        <w:rPr>
          <w:rFonts w:ascii="Palatino Linotype" w:eastAsia="Palatino Linotype" w:hAnsi="Palatino Linotype" w:cs="Palatino Linotype"/>
          <w:b/>
          <w:sz w:val="22"/>
          <w:szCs w:val="22"/>
        </w:rPr>
        <w:t xml:space="preserve">cuatro de diciembre de dos mil veinticuatro, </w:t>
      </w:r>
      <w:r w:rsidRPr="00446CC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presentara su informe justificado.</w:t>
      </w:r>
    </w:p>
    <w:p w14:paraId="08F0AE23"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145519CF" w14:textId="77777777" w:rsidR="00620366" w:rsidRPr="00446CC5" w:rsidRDefault="0031388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446CC5">
        <w:rPr>
          <w:rFonts w:ascii="Palatino Linotype" w:eastAsia="Palatino Linotype" w:hAnsi="Palatino Linotype" w:cs="Palatino Linotype"/>
          <w:b/>
          <w:sz w:val="22"/>
          <w:szCs w:val="22"/>
        </w:rPr>
        <w:t>6. Manifestaciones</w:t>
      </w:r>
      <w:r w:rsidRPr="00446CC5">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 xml:space="preserve">el </w:t>
      </w:r>
      <w:r w:rsidRPr="00446CC5">
        <w:rPr>
          <w:rFonts w:ascii="Palatino Linotype" w:eastAsia="Palatino Linotype" w:hAnsi="Palatino Linotype" w:cs="Palatino Linotype"/>
          <w:b/>
          <w:sz w:val="22"/>
          <w:szCs w:val="22"/>
        </w:rPr>
        <w:t xml:space="preserve">doce de diciembre de dos mil veinticuatro </w:t>
      </w:r>
      <w:r w:rsidRPr="00446CC5">
        <w:rPr>
          <w:rFonts w:ascii="Palatino Linotype" w:eastAsia="Palatino Linotype" w:hAnsi="Palatino Linotype" w:cs="Palatino Linotype"/>
          <w:sz w:val="22"/>
          <w:szCs w:val="22"/>
        </w:rPr>
        <w:t>rindió su informe justificado a través de los archivos electrónicos que contienen la información siguiente:</w:t>
      </w:r>
    </w:p>
    <w:p w14:paraId="1FCBCA4E" w14:textId="77777777" w:rsidR="00620366" w:rsidRPr="00446CC5" w:rsidRDefault="0062036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81CDD56" w14:textId="77777777" w:rsidR="00620366" w:rsidRPr="00446CC5" w:rsidRDefault="0031388A">
      <w:pPr>
        <w:numPr>
          <w:ilvl w:val="0"/>
          <w:numId w:val="5"/>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rPr>
        <w:t>R_AA_SPH_RMyF.pdf</w:t>
      </w:r>
      <w:r w:rsidRPr="00446CC5">
        <w:rPr>
          <w:rFonts w:ascii="Palatino Linotype" w:eastAsia="Palatino Linotype" w:hAnsi="Palatino Linotype" w:cs="Palatino Linotype"/>
          <w:sz w:val="22"/>
          <w:szCs w:val="22"/>
        </w:rPr>
        <w:t>: Oficio 228C3101060001L/246/2024 del 10 de diciembre de 2024, a través del cual el Jefe del Departamento de Recursos Materiales y Financieros informó a la Jefa de la Unidad de Información, Planeación, Programación y Evaluación que anexaba escrito de contestación que contiene el informe justificado, pruebas y alegatos.</w:t>
      </w:r>
    </w:p>
    <w:p w14:paraId="366425A0" w14:textId="77777777" w:rsidR="00620366" w:rsidRPr="00446CC5" w:rsidRDefault="00620366">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p>
    <w:p w14:paraId="3B044EDB" w14:textId="77777777" w:rsidR="00620366" w:rsidRPr="00446CC5" w:rsidRDefault="0031388A">
      <w:pPr>
        <w:numPr>
          <w:ilvl w:val="0"/>
          <w:numId w:val="5"/>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proofErr w:type="spellStart"/>
      <w:r w:rsidRPr="00446CC5">
        <w:rPr>
          <w:rFonts w:ascii="Palatino Linotype" w:eastAsia="Palatino Linotype" w:hAnsi="Palatino Linotype" w:cs="Palatino Linotype"/>
          <w:b/>
          <w:i/>
          <w:sz w:val="22"/>
          <w:szCs w:val="22"/>
        </w:rPr>
        <w:t>R_informe</w:t>
      </w:r>
      <w:proofErr w:type="spellEnd"/>
      <w:r w:rsidRPr="00446CC5">
        <w:rPr>
          <w:rFonts w:ascii="Palatino Linotype" w:eastAsia="Palatino Linotype" w:hAnsi="Palatino Linotype" w:cs="Palatino Linotype"/>
          <w:b/>
          <w:i/>
          <w:sz w:val="22"/>
          <w:szCs w:val="22"/>
        </w:rPr>
        <w:t xml:space="preserve"> justificado.pdf</w:t>
      </w:r>
      <w:r w:rsidRPr="00446CC5">
        <w:rPr>
          <w:rFonts w:ascii="Palatino Linotype" w:eastAsia="Palatino Linotype" w:hAnsi="Palatino Linotype" w:cs="Palatino Linotype"/>
          <w:sz w:val="22"/>
          <w:szCs w:val="22"/>
        </w:rPr>
        <w:t xml:space="preserve">: Oficio 228C3101000200S/633/2024 del 12 de diciembre de 2024, a través del cual la Jefa de la UIPPE y Titular de la Unidad de Transparencia indicó </w:t>
      </w:r>
      <w:r w:rsidRPr="00446CC5">
        <w:rPr>
          <w:rFonts w:ascii="Palatino Linotype" w:eastAsia="Palatino Linotype" w:hAnsi="Palatino Linotype" w:cs="Palatino Linotype"/>
          <w:sz w:val="22"/>
          <w:szCs w:val="22"/>
        </w:rPr>
        <w:lastRenderedPageBreak/>
        <w:t>que remitía el oficio del servidor público habilitado Titular del Departamento de Recursos Materiales y Financieros, así como el informe justificado correspondiente.</w:t>
      </w:r>
    </w:p>
    <w:p w14:paraId="2F51F855"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76B0A75F" w14:textId="77777777" w:rsidR="00620366" w:rsidRPr="00446CC5" w:rsidRDefault="0031388A">
      <w:pPr>
        <w:numPr>
          <w:ilvl w:val="0"/>
          <w:numId w:val="5"/>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Documento a través del cual el Jefe de Departamento de Recursos Materiales y Financieros rinde informe justificado dentro del medio de impugnación que nos ocupa, en el que reiteró que se tomó en consideración la aplicación del criterio binario, el cual es un sistema mediante el cual se evalúa si las ofertas cumplen o no con los requisitos solicitados por el área convocante y posteriormente, se adjudica el contrato a quien cumpla dichos requisitos, los cuales se derivan precisamente de la invitación publicada debidamente en la página de la universidad, y que en la contestación enlistaron detalladamente.</w:t>
      </w:r>
    </w:p>
    <w:p w14:paraId="7211E730"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33DF0A0F" w14:textId="77777777" w:rsidR="00620366" w:rsidRPr="00446CC5" w:rsidRDefault="0031388A">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Asimismo, se indicó que se le informó al particular que las actuaciones para la información que se solicita se encuentran reguladas por el Reglamento de la Ley de Adquisiciones, Arrendamientos y Servicios del Sector Público, y por ello se consideran las ponderaciones que se determinan en la invitación que alude el recurrente y que está debidamente publicada.</w:t>
      </w:r>
    </w:p>
    <w:p w14:paraId="0E91B167" w14:textId="77777777" w:rsidR="00620366" w:rsidRPr="00446CC5" w:rsidRDefault="00620366">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p>
    <w:p w14:paraId="064F68A1" w14:textId="77777777" w:rsidR="00620366" w:rsidRPr="00446CC5" w:rsidRDefault="0031388A">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Finalmente, en el informe justificado se indicó que los sujetos obligados sólo están constreñidos a proporcionar la información pública que se les requiera y obre en sus archivos; y que, atendiendo lo estipulado en el artículo 158 de la Ley de Transparencia Local, relativo al principio de procesamiento de documentos cuya entrega o reproducción sobrepase las capacidades técnicas, administrativas y humanas del Sujeto Obligado, </w:t>
      </w:r>
      <w:r w:rsidRPr="00446CC5">
        <w:rPr>
          <w:rFonts w:ascii="Palatino Linotype" w:eastAsia="Palatino Linotype" w:hAnsi="Palatino Linotype" w:cs="Palatino Linotype"/>
          <w:b/>
          <w:sz w:val="22"/>
          <w:szCs w:val="22"/>
          <w:u w:val="single"/>
        </w:rPr>
        <w:t>no se generó la documental requerida por el recurrente por la fundamentación brindada;</w:t>
      </w:r>
      <w:r w:rsidRPr="00446CC5">
        <w:rPr>
          <w:rFonts w:ascii="Palatino Linotype" w:eastAsia="Palatino Linotype" w:hAnsi="Palatino Linotype" w:cs="Palatino Linotype"/>
          <w:sz w:val="22"/>
          <w:szCs w:val="22"/>
        </w:rPr>
        <w:t xml:space="preserve"> y, que si la pretensión es obtener la documental que indica, ello sobrepasa las capacidades técnicas y administrativas.</w:t>
      </w:r>
    </w:p>
    <w:p w14:paraId="2F6DA269" w14:textId="77777777" w:rsidR="00620366" w:rsidRPr="00446CC5" w:rsidRDefault="00620366">
      <w:p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p>
    <w:p w14:paraId="1BFC5948" w14:textId="77777777" w:rsidR="00620366" w:rsidRPr="00446CC5" w:rsidRDefault="0031388A">
      <w:p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Documentos los anteriores que fueron puestos a la vista de la parte </w:t>
      </w:r>
      <w:r w:rsidRPr="00446CC5">
        <w:rPr>
          <w:rFonts w:ascii="Palatino Linotype" w:eastAsia="Palatino Linotype" w:hAnsi="Palatino Linotype" w:cs="Palatino Linotype"/>
          <w:b/>
          <w:sz w:val="22"/>
          <w:szCs w:val="22"/>
        </w:rPr>
        <w:t>Recurrente</w:t>
      </w:r>
      <w:r w:rsidRPr="00446CC5">
        <w:rPr>
          <w:rFonts w:ascii="Palatino Linotype" w:eastAsia="Palatino Linotype" w:hAnsi="Palatino Linotype" w:cs="Palatino Linotype"/>
          <w:sz w:val="22"/>
          <w:szCs w:val="22"/>
        </w:rPr>
        <w:t>, para efecto de que rindiera alegatos o hiciera valer manifestaciones que conforme a derecho resultaran procedentes; sin embargo, fue omisa en ejercer dicha prerrogativa.</w:t>
      </w:r>
    </w:p>
    <w:p w14:paraId="3AF9EF68" w14:textId="77777777" w:rsidR="00620366" w:rsidRPr="00446CC5" w:rsidRDefault="00620366">
      <w:p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p>
    <w:p w14:paraId="216230DD" w14:textId="77777777" w:rsidR="00620366" w:rsidRPr="00446CC5" w:rsidRDefault="0031388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 xml:space="preserve">7. Cierre de instrucción. </w:t>
      </w:r>
      <w:r w:rsidRPr="00446CC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D044A7" w:rsidRPr="00446CC5">
        <w:rPr>
          <w:rFonts w:ascii="Palatino Linotype" w:eastAsia="Palatino Linotype" w:hAnsi="Palatino Linotype" w:cs="Palatino Linotype"/>
          <w:b/>
          <w:sz w:val="22"/>
          <w:szCs w:val="22"/>
        </w:rPr>
        <w:t>trece de enero de dos mil veinticinco</w:t>
      </w:r>
      <w:r w:rsidRPr="00446CC5">
        <w:rPr>
          <w:rFonts w:ascii="Palatino Linotype" w:eastAsia="Palatino Linotype" w:hAnsi="Palatino Linotype" w:cs="Palatino Linotype"/>
          <w:b/>
          <w:sz w:val="22"/>
          <w:szCs w:val="22"/>
        </w:rPr>
        <w:t>,</w:t>
      </w:r>
      <w:r w:rsidRPr="00446CC5">
        <w:rPr>
          <w:rFonts w:ascii="Palatino Linotype" w:eastAsia="Palatino Linotype" w:hAnsi="Palatino Linotype" w:cs="Palatino Linotype"/>
          <w:sz w:val="22"/>
          <w:szCs w:val="22"/>
        </w:rPr>
        <w:t xml:space="preserve"> la Comisionada Ponente determinó el cierre de instrucción </w:t>
      </w:r>
      <w:r w:rsidRPr="00446CC5">
        <w:rPr>
          <w:rFonts w:ascii="Palatino Linotype" w:eastAsia="Palatino Linotype" w:hAnsi="Palatino Linotype" w:cs="Palatino Linotype"/>
          <w:sz w:val="22"/>
          <w:szCs w:val="22"/>
        </w:rPr>
        <w:lastRenderedPageBreak/>
        <w:t>en términos de la fracción VI del artículo 185 de la Ley de Transparencia y Acceso a la Información Pública del Estado de México y Municipios.</w:t>
      </w:r>
    </w:p>
    <w:p w14:paraId="4EF95E15" w14:textId="77777777" w:rsidR="00620366" w:rsidRPr="00446CC5" w:rsidRDefault="00620366">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4F9B36A0" w14:textId="77777777" w:rsidR="00620366" w:rsidRPr="00446CC5" w:rsidRDefault="0031388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08B80A7" w14:textId="77777777" w:rsidR="00620366" w:rsidRPr="00446CC5" w:rsidRDefault="0031388A">
      <w:pPr>
        <w:widowControl w:val="0"/>
        <w:spacing w:before="240" w:after="240" w:line="360" w:lineRule="auto"/>
        <w:jc w:val="center"/>
        <w:rPr>
          <w:rFonts w:ascii="Palatino Linotype" w:eastAsia="Palatino Linotype" w:hAnsi="Palatino Linotype" w:cs="Palatino Linotype"/>
          <w:b/>
          <w:sz w:val="22"/>
          <w:szCs w:val="22"/>
        </w:rPr>
      </w:pPr>
      <w:r w:rsidRPr="00446CC5">
        <w:rPr>
          <w:rFonts w:ascii="Palatino Linotype" w:eastAsia="Palatino Linotype" w:hAnsi="Palatino Linotype" w:cs="Palatino Linotype"/>
          <w:b/>
          <w:sz w:val="22"/>
          <w:szCs w:val="22"/>
        </w:rPr>
        <w:t>II. C O N S I D E R A N D O S</w:t>
      </w:r>
    </w:p>
    <w:p w14:paraId="52D3490E"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Primero. Competencia.</w:t>
      </w:r>
      <w:r w:rsidRPr="00446CC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EA67561"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22F1D52B" w14:textId="77777777" w:rsidR="00620366" w:rsidRPr="00446CC5" w:rsidRDefault="0031388A">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446CC5">
        <w:rPr>
          <w:rFonts w:ascii="Palatino Linotype" w:eastAsia="Palatino Linotype" w:hAnsi="Palatino Linotype" w:cs="Palatino Linotype"/>
          <w:b/>
          <w:sz w:val="22"/>
          <w:szCs w:val="22"/>
        </w:rPr>
        <w:t>Segundo. Oportunidad y Procedibilidad del Recurso de Revisión</w:t>
      </w:r>
      <w:r w:rsidRPr="00446CC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28B9EAD"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1531456"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w:t>
      </w:r>
      <w:r w:rsidRPr="00446CC5">
        <w:rPr>
          <w:rFonts w:ascii="Palatino Linotype" w:eastAsia="Palatino Linotype" w:hAnsi="Palatino Linotype" w:cs="Palatino Linotype"/>
          <w:sz w:val="22"/>
          <w:szCs w:val="22"/>
        </w:rPr>
        <w:lastRenderedPageBreak/>
        <w:t xml:space="preserve">México y Municipios, toda vez que 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 xml:space="preserve">remitió la respuesta a la solicitud de información el </w:t>
      </w:r>
      <w:r w:rsidRPr="00446CC5">
        <w:rPr>
          <w:rFonts w:ascii="Palatino Linotype" w:eastAsia="Palatino Linotype" w:hAnsi="Palatino Linotype" w:cs="Palatino Linotype"/>
          <w:b/>
          <w:sz w:val="22"/>
          <w:szCs w:val="22"/>
        </w:rPr>
        <w:t xml:space="preserve">diecinueve de noviembre de dos mil veinticuatro, </w:t>
      </w:r>
      <w:r w:rsidRPr="00446CC5">
        <w:rPr>
          <w:rFonts w:ascii="Palatino Linotype" w:eastAsia="Palatino Linotype" w:hAnsi="Palatino Linotype" w:cs="Palatino Linotype"/>
          <w:sz w:val="22"/>
          <w:szCs w:val="22"/>
        </w:rPr>
        <w:t xml:space="preserve">mientras que el recurso de revisión interpuesto por </w:t>
      </w:r>
      <w:r w:rsidRPr="00446CC5">
        <w:rPr>
          <w:rFonts w:ascii="Palatino Linotype" w:eastAsia="Palatino Linotype" w:hAnsi="Palatino Linotype" w:cs="Palatino Linotype"/>
          <w:b/>
          <w:sz w:val="22"/>
          <w:szCs w:val="22"/>
        </w:rPr>
        <w:t>la parte</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b/>
          <w:sz w:val="22"/>
          <w:szCs w:val="22"/>
        </w:rPr>
        <w:t>Recurrente</w:t>
      </w:r>
      <w:r w:rsidRPr="00446CC5">
        <w:rPr>
          <w:rFonts w:ascii="Palatino Linotype" w:eastAsia="Palatino Linotype" w:hAnsi="Palatino Linotype" w:cs="Palatino Linotype"/>
          <w:sz w:val="22"/>
          <w:szCs w:val="22"/>
        </w:rPr>
        <w:t xml:space="preserve">, se tuvo por presentado el </w:t>
      </w:r>
      <w:r w:rsidRPr="00446CC5">
        <w:rPr>
          <w:rFonts w:ascii="Palatino Linotype" w:eastAsia="Palatino Linotype" w:hAnsi="Palatino Linotype" w:cs="Palatino Linotype"/>
          <w:b/>
          <w:sz w:val="22"/>
          <w:szCs w:val="22"/>
        </w:rPr>
        <w:t>veintinueve de noviembre de dos mil veinticuatro</w:t>
      </w:r>
      <w:r w:rsidRPr="00446CC5">
        <w:rPr>
          <w:rFonts w:ascii="Palatino Linotype" w:eastAsia="Palatino Linotype" w:hAnsi="Palatino Linotype" w:cs="Palatino Linotype"/>
          <w:sz w:val="22"/>
          <w:szCs w:val="22"/>
        </w:rPr>
        <w:t xml:space="preserve"> esto es, al </w:t>
      </w:r>
      <w:r w:rsidRPr="00446CC5">
        <w:rPr>
          <w:rFonts w:ascii="Palatino Linotype" w:eastAsia="Palatino Linotype" w:hAnsi="Palatino Linotype" w:cs="Palatino Linotype"/>
          <w:b/>
          <w:sz w:val="22"/>
          <w:szCs w:val="22"/>
          <w:u w:val="single"/>
        </w:rPr>
        <w:t>octavo</w:t>
      </w:r>
      <w:r w:rsidRPr="00446CC5">
        <w:rPr>
          <w:rFonts w:ascii="Palatino Linotype" w:eastAsia="Palatino Linotype" w:hAnsi="Palatino Linotype" w:cs="Palatino Linotype"/>
          <w:sz w:val="22"/>
          <w:szCs w:val="22"/>
        </w:rPr>
        <w:t xml:space="preserve"> día hábil siguiente a aquel </w:t>
      </w:r>
      <w:r w:rsidRPr="00446CC5">
        <w:rPr>
          <w:rFonts w:ascii="Palatino Linotype" w:eastAsia="Palatino Linotype" w:hAnsi="Palatino Linotype" w:cs="Palatino Linotype"/>
          <w:b/>
          <w:sz w:val="22"/>
          <w:szCs w:val="22"/>
        </w:rPr>
        <w:t>en que se tuvo conocimiento de la respuesta impugnada</w:t>
      </w:r>
      <w:r w:rsidRPr="00446CC5">
        <w:rPr>
          <w:rFonts w:ascii="Palatino Linotype" w:eastAsia="Palatino Linotype" w:hAnsi="Palatino Linotype" w:cs="Palatino Linotype"/>
          <w:sz w:val="22"/>
          <w:szCs w:val="22"/>
        </w:rPr>
        <w:t xml:space="preserve">. </w:t>
      </w:r>
    </w:p>
    <w:p w14:paraId="5B3FF7A4" w14:textId="77777777" w:rsidR="00620366" w:rsidRPr="00446CC5" w:rsidRDefault="0031388A">
      <w:pPr>
        <w:spacing w:before="240" w:after="240"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400C2499" w14:textId="77777777" w:rsidR="00620366" w:rsidRPr="00446CC5" w:rsidRDefault="0031388A">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446CC5">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CE4C924" w14:textId="77777777" w:rsidR="00620366" w:rsidRPr="00446CC5" w:rsidRDefault="00620366">
      <w:pPr>
        <w:tabs>
          <w:tab w:val="left" w:pos="7938"/>
        </w:tabs>
        <w:spacing w:line="360" w:lineRule="auto"/>
        <w:jc w:val="both"/>
        <w:rPr>
          <w:rFonts w:ascii="Palatino Linotype" w:eastAsia="Palatino Linotype" w:hAnsi="Palatino Linotype" w:cs="Palatino Linotype"/>
          <w:sz w:val="22"/>
          <w:szCs w:val="22"/>
        </w:rPr>
      </w:pPr>
    </w:p>
    <w:p w14:paraId="60052F76"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46CC5">
        <w:rPr>
          <w:rFonts w:ascii="Palatino Linotype" w:eastAsia="Palatino Linotype" w:hAnsi="Palatino Linotype" w:cs="Palatino Linotype"/>
          <w:b/>
          <w:sz w:val="22"/>
          <w:szCs w:val="22"/>
        </w:rPr>
        <w:t>la parte</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b/>
          <w:sz w:val="22"/>
          <w:szCs w:val="22"/>
        </w:rPr>
        <w:t>Recurrente</w:t>
      </w:r>
      <w:r w:rsidRPr="00446CC5">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41FAA359"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4759733C" w14:textId="77777777" w:rsidR="00620366" w:rsidRPr="00446CC5" w:rsidRDefault="0031388A">
      <w:pPr>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Artículo 179.</w:t>
      </w:r>
      <w:r w:rsidRPr="00446CC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DA69FD6" w14:textId="77777777" w:rsidR="00620366" w:rsidRPr="00446CC5" w:rsidRDefault="0031388A">
      <w:pPr>
        <w:ind w:left="567" w:right="902"/>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I. La negativa a la información solicitada;</w:t>
      </w:r>
    </w:p>
    <w:p w14:paraId="0C4EA2D2" w14:textId="77777777" w:rsidR="00620366" w:rsidRPr="00446CC5" w:rsidRDefault="0031388A">
      <w:pPr>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 […]”</w:t>
      </w:r>
    </w:p>
    <w:p w14:paraId="3FC9101B" w14:textId="77777777" w:rsidR="00620366" w:rsidRPr="00446CC5" w:rsidRDefault="00620366">
      <w:pPr>
        <w:ind w:left="567"/>
        <w:rPr>
          <w:rFonts w:ascii="Palatino Linotype" w:eastAsia="Palatino Linotype" w:hAnsi="Palatino Linotype" w:cs="Palatino Linotype"/>
          <w:b/>
          <w:i/>
          <w:sz w:val="22"/>
          <w:szCs w:val="22"/>
        </w:rPr>
      </w:pPr>
    </w:p>
    <w:p w14:paraId="1F7BB008" w14:textId="77777777" w:rsidR="00620366" w:rsidRPr="00446CC5" w:rsidRDefault="0031388A">
      <w:pPr>
        <w:ind w:left="567" w:right="900"/>
        <w:jc w:val="right"/>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 xml:space="preserve"> </w:t>
      </w:r>
      <w:r w:rsidRPr="00446CC5">
        <w:rPr>
          <w:rFonts w:ascii="Palatino Linotype" w:eastAsia="Palatino Linotype" w:hAnsi="Palatino Linotype" w:cs="Palatino Linotype"/>
          <w:i/>
          <w:sz w:val="22"/>
          <w:szCs w:val="22"/>
        </w:rPr>
        <w:t>(Énfasis añadido)</w:t>
      </w:r>
    </w:p>
    <w:p w14:paraId="671CDCAD" w14:textId="77777777" w:rsidR="00620366" w:rsidRPr="00446CC5" w:rsidRDefault="00620366">
      <w:pPr>
        <w:spacing w:line="360" w:lineRule="auto"/>
        <w:jc w:val="both"/>
        <w:rPr>
          <w:rFonts w:ascii="Palatino Linotype" w:eastAsia="Palatino Linotype" w:hAnsi="Palatino Linotype" w:cs="Palatino Linotype"/>
          <w:b/>
          <w:sz w:val="22"/>
          <w:szCs w:val="22"/>
        </w:rPr>
      </w:pPr>
    </w:p>
    <w:p w14:paraId="594AB469" w14:textId="77777777" w:rsidR="00620366" w:rsidRPr="00446CC5" w:rsidRDefault="0031388A">
      <w:pPr>
        <w:spacing w:line="360" w:lineRule="auto"/>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b/>
          <w:sz w:val="22"/>
          <w:szCs w:val="22"/>
        </w:rPr>
        <w:t xml:space="preserve">Tercero. Materia de la revisión. </w:t>
      </w:r>
      <w:r w:rsidRPr="00446CC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w:t>
      </w:r>
      <w:r w:rsidRPr="00446CC5">
        <w:rPr>
          <w:rFonts w:ascii="Palatino Linotype" w:eastAsia="Palatino Linotype" w:hAnsi="Palatino Linotype" w:cs="Palatino Linotype"/>
          <w:sz w:val="22"/>
          <w:szCs w:val="22"/>
        </w:rPr>
        <w:lastRenderedPageBreak/>
        <w:t xml:space="preserve">Transparencia y Acceso a la Información se pronunciará será: </w:t>
      </w:r>
      <w:r w:rsidRPr="00446CC5">
        <w:rPr>
          <w:rFonts w:ascii="Palatino Linotype" w:eastAsia="Palatino Linotype" w:hAnsi="Palatino Linotype" w:cs="Palatino Linotype"/>
          <w:b/>
          <w:sz w:val="22"/>
          <w:szCs w:val="22"/>
        </w:rPr>
        <w:t>verificar si la respuesta e informe justificado entregados por el Sujeto Obligado son adecuados y suficientes para satisfacer el derecho de acceso a la información pública de la parte Recurrente,</w:t>
      </w:r>
      <w:r w:rsidRPr="00446CC5">
        <w:rPr>
          <w:rFonts w:ascii="Palatino Linotype" w:eastAsia="Palatino Linotype" w:hAnsi="Palatino Linotype" w:cs="Palatino Linotype"/>
          <w:sz w:val="22"/>
          <w:szCs w:val="22"/>
        </w:rPr>
        <w:t xml:space="preserve"> o en su defecto, en caso de ser procedente, ordenar la entrega de la información oportuna.</w:t>
      </w:r>
    </w:p>
    <w:p w14:paraId="21F7F8A3"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410A4C8C"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 xml:space="preserve">Cuarto. Estudio del asunto. </w:t>
      </w:r>
      <w:r w:rsidRPr="00446CC5">
        <w:rPr>
          <w:rFonts w:ascii="Palatino Linotype" w:eastAsia="Palatino Linotype" w:hAnsi="Palatino Linotype" w:cs="Palatino Linotype"/>
          <w:sz w:val="22"/>
          <w:szCs w:val="22"/>
        </w:rPr>
        <w:t xml:space="preserve">Antes de entrar al análisis de los pronunciamientos del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3276DB4"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A859DF" w14:textId="77777777" w:rsidR="00620366" w:rsidRPr="00446CC5" w:rsidRDefault="0031388A">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46CC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78CA4CB" w14:textId="77777777" w:rsidR="00620366" w:rsidRPr="00446CC5" w:rsidRDefault="0031388A">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99ABEFC" w14:textId="77777777" w:rsidR="00620366" w:rsidRPr="00446CC5" w:rsidRDefault="0031388A">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46CC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09DAF14" w14:textId="77777777" w:rsidR="00620366" w:rsidRPr="00446CC5" w:rsidRDefault="0031388A">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i/>
          <w:sz w:val="22"/>
          <w:szCs w:val="22"/>
        </w:rPr>
        <w:t>[…]</w:t>
      </w:r>
    </w:p>
    <w:p w14:paraId="3C524A76" w14:textId="77777777" w:rsidR="00620366" w:rsidRPr="00446CC5" w:rsidRDefault="0031388A">
      <w:pPr>
        <w:pBdr>
          <w:top w:val="nil"/>
          <w:left w:val="nil"/>
          <w:bottom w:val="nil"/>
          <w:right w:val="nil"/>
          <w:between w:val="nil"/>
        </w:pBdr>
        <w:spacing w:line="276" w:lineRule="auto"/>
        <w:ind w:left="851" w:right="90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rPr>
        <w:lastRenderedPageBreak/>
        <w:t>“Artículo 6o.</w:t>
      </w:r>
    </w:p>
    <w:p w14:paraId="3BFF738D" w14:textId="77777777" w:rsidR="00620366" w:rsidRPr="00446CC5" w:rsidRDefault="0031388A">
      <w:pPr>
        <w:pBdr>
          <w:top w:val="nil"/>
          <w:left w:val="nil"/>
          <w:bottom w:val="nil"/>
          <w:right w:val="nil"/>
          <w:between w:val="nil"/>
        </w:pBdr>
        <w:spacing w:line="276" w:lineRule="auto"/>
        <w:ind w:left="851" w:right="90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i/>
          <w:sz w:val="22"/>
          <w:szCs w:val="22"/>
        </w:rPr>
        <w:t>[...]</w:t>
      </w:r>
    </w:p>
    <w:p w14:paraId="5200AFA1" w14:textId="77777777" w:rsidR="00620366" w:rsidRPr="00446CC5" w:rsidRDefault="0031388A">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rPr>
        <w:t xml:space="preserve">A. Para el ejercicio del derecho de acceso a la información, la Federación y </w:t>
      </w:r>
      <w:r w:rsidRPr="00446CC5">
        <w:rPr>
          <w:rFonts w:ascii="Palatino Linotype" w:eastAsia="Palatino Linotype" w:hAnsi="Palatino Linotype" w:cs="Palatino Linotype"/>
          <w:b/>
          <w:i/>
          <w:sz w:val="22"/>
          <w:szCs w:val="22"/>
          <w:u w:val="single"/>
        </w:rPr>
        <w:t>las entidades federativas</w:t>
      </w:r>
      <w:r w:rsidRPr="00446CC5">
        <w:rPr>
          <w:rFonts w:ascii="Palatino Linotype" w:eastAsia="Palatino Linotype" w:hAnsi="Palatino Linotype" w:cs="Palatino Linotype"/>
          <w:b/>
          <w:i/>
          <w:sz w:val="22"/>
          <w:szCs w:val="22"/>
        </w:rPr>
        <w:t>,</w:t>
      </w:r>
      <w:r w:rsidRPr="00446CC5">
        <w:rPr>
          <w:rFonts w:ascii="Palatino Linotype" w:eastAsia="Palatino Linotype" w:hAnsi="Palatino Linotype" w:cs="Palatino Linotype"/>
          <w:i/>
          <w:sz w:val="22"/>
          <w:szCs w:val="22"/>
        </w:rPr>
        <w:t xml:space="preserve"> en el ámbito de sus respectivas competencias, se regirán por los siguientes principios y bases:</w:t>
      </w:r>
    </w:p>
    <w:p w14:paraId="7F5E914C" w14:textId="77777777" w:rsidR="00620366" w:rsidRPr="00446CC5" w:rsidRDefault="0031388A">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i/>
          <w:sz w:val="22"/>
          <w:szCs w:val="22"/>
        </w:rPr>
        <w:t> </w:t>
      </w:r>
      <w:r w:rsidRPr="00446CC5">
        <w:rPr>
          <w:rFonts w:ascii="Palatino Linotype" w:eastAsia="Palatino Linotype" w:hAnsi="Palatino Linotype" w:cs="Palatino Linotype"/>
          <w:b/>
          <w:i/>
          <w:sz w:val="22"/>
          <w:szCs w:val="22"/>
        </w:rPr>
        <w:t xml:space="preserve">I. </w:t>
      </w:r>
      <w:r w:rsidRPr="00446CC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46CC5">
        <w:rPr>
          <w:rFonts w:ascii="Palatino Linotype" w:eastAsia="Palatino Linotype" w:hAnsi="Palatino Linotype" w:cs="Palatino Linotype"/>
          <w:i/>
          <w:sz w:val="22"/>
          <w:szCs w:val="22"/>
        </w:rPr>
        <w:t xml:space="preserve"> Ejecutivo, Legislativo </w:t>
      </w:r>
      <w:r w:rsidRPr="00446CC5">
        <w:rPr>
          <w:rFonts w:ascii="Palatino Linotype" w:eastAsia="Palatino Linotype" w:hAnsi="Palatino Linotype" w:cs="Palatino Linotype"/>
          <w:b/>
          <w:i/>
          <w:sz w:val="22"/>
          <w:szCs w:val="22"/>
          <w:u w:val="single"/>
        </w:rPr>
        <w:t>y Judicial</w:t>
      </w:r>
      <w:r w:rsidRPr="00446CC5">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46CC5">
        <w:rPr>
          <w:rFonts w:ascii="Palatino Linotype" w:eastAsia="Palatino Linotype" w:hAnsi="Palatino Linotype" w:cs="Palatino Linotype"/>
          <w:b/>
          <w:i/>
          <w:sz w:val="22"/>
          <w:szCs w:val="22"/>
        </w:rPr>
        <w:t>es pública y sólo podrá ser reservada temporalmente por razones de interés público y seguridad nacional,</w:t>
      </w:r>
      <w:r w:rsidRPr="00446CC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F8FA55" w14:textId="77777777" w:rsidR="00620366" w:rsidRPr="00446CC5" w:rsidRDefault="0031388A">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i/>
          <w:sz w:val="22"/>
          <w:szCs w:val="22"/>
        </w:rPr>
        <w:t> </w:t>
      </w:r>
      <w:r w:rsidRPr="00446CC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FA8741C" w14:textId="77777777" w:rsidR="00620366" w:rsidRPr="00446CC5" w:rsidRDefault="0031388A">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i/>
          <w:sz w:val="22"/>
          <w:szCs w:val="22"/>
        </w:rPr>
        <w:t> </w:t>
      </w:r>
      <w:r w:rsidRPr="00446CC5">
        <w:rPr>
          <w:rFonts w:ascii="Palatino Linotype" w:eastAsia="Palatino Linotype" w:hAnsi="Palatino Linotype" w:cs="Palatino Linotype"/>
          <w:b/>
          <w:i/>
          <w:sz w:val="22"/>
          <w:szCs w:val="22"/>
        </w:rPr>
        <w:t xml:space="preserve">III. </w:t>
      </w:r>
      <w:r w:rsidRPr="00446CC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46CC5">
        <w:rPr>
          <w:rFonts w:ascii="Palatino Linotype" w:eastAsia="Palatino Linotype" w:hAnsi="Palatino Linotype" w:cs="Palatino Linotype"/>
          <w:i/>
          <w:sz w:val="22"/>
          <w:szCs w:val="22"/>
        </w:rPr>
        <w:t xml:space="preserve"> a sus datos personales o a la rectificación de éstos.</w:t>
      </w:r>
    </w:p>
    <w:p w14:paraId="4C7B18DC" w14:textId="77777777" w:rsidR="00620366" w:rsidRPr="00446CC5" w:rsidRDefault="0031388A">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i/>
          <w:sz w:val="22"/>
          <w:szCs w:val="22"/>
        </w:rPr>
        <w:t> </w:t>
      </w:r>
      <w:r w:rsidRPr="00446CC5">
        <w:rPr>
          <w:rFonts w:ascii="Palatino Linotype" w:eastAsia="Palatino Linotype" w:hAnsi="Palatino Linotype" w:cs="Palatino Linotype"/>
          <w:b/>
          <w:i/>
          <w:sz w:val="22"/>
          <w:szCs w:val="22"/>
        </w:rPr>
        <w:t xml:space="preserve">IV. </w:t>
      </w:r>
      <w:r w:rsidRPr="00446CC5">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9757CBA" w14:textId="77777777" w:rsidR="00620366" w:rsidRPr="00446CC5" w:rsidRDefault="0031388A">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i/>
          <w:sz w:val="22"/>
          <w:szCs w:val="22"/>
        </w:rPr>
        <w:t xml:space="preserve">V. </w:t>
      </w:r>
      <w:r w:rsidRPr="00446CC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B3EA604" w14:textId="77777777" w:rsidR="00620366" w:rsidRPr="00446CC5" w:rsidRDefault="0031388A">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i/>
          <w:sz w:val="22"/>
          <w:szCs w:val="22"/>
        </w:rPr>
        <w:t> </w:t>
      </w:r>
      <w:r w:rsidRPr="00446CC5">
        <w:rPr>
          <w:rFonts w:ascii="Palatino Linotype" w:eastAsia="Palatino Linotype" w:hAnsi="Palatino Linotype" w:cs="Palatino Linotype"/>
          <w:b/>
          <w:i/>
          <w:sz w:val="22"/>
          <w:szCs w:val="22"/>
        </w:rPr>
        <w:t xml:space="preserve">VI. </w:t>
      </w:r>
      <w:r w:rsidRPr="00446CC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D73B501" w14:textId="77777777" w:rsidR="00620366" w:rsidRPr="00446CC5" w:rsidRDefault="0031388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w:t>
      </w:r>
      <w:r w:rsidRPr="00446CC5">
        <w:rPr>
          <w:rFonts w:ascii="Palatino Linotype" w:eastAsia="Palatino Linotype" w:hAnsi="Palatino Linotype" w:cs="Palatino Linotype"/>
          <w:b/>
          <w:i/>
          <w:sz w:val="22"/>
          <w:szCs w:val="22"/>
        </w:rPr>
        <w:t xml:space="preserve">VII. </w:t>
      </w:r>
      <w:r w:rsidRPr="00446CC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AF3C120" w14:textId="77777777" w:rsidR="00620366" w:rsidRPr="00446CC5" w:rsidRDefault="00620366">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p>
    <w:p w14:paraId="2444D9B2"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06038E4"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73314A"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Artículo 4</w:t>
      </w:r>
      <w:r w:rsidRPr="00446CC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3688AD" w14:textId="77777777" w:rsidR="00620366" w:rsidRPr="00446CC5" w:rsidRDefault="00620366">
      <w:pPr>
        <w:spacing w:line="276" w:lineRule="auto"/>
        <w:ind w:left="567" w:right="616"/>
        <w:jc w:val="both"/>
        <w:rPr>
          <w:rFonts w:ascii="Palatino Linotype" w:eastAsia="Palatino Linotype" w:hAnsi="Palatino Linotype" w:cs="Palatino Linotype"/>
          <w:i/>
          <w:sz w:val="22"/>
          <w:szCs w:val="22"/>
        </w:rPr>
      </w:pPr>
    </w:p>
    <w:p w14:paraId="23261DD1"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46CC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8529ABB" w14:textId="77777777" w:rsidR="00620366" w:rsidRPr="00446CC5" w:rsidRDefault="00620366">
      <w:pPr>
        <w:spacing w:line="276" w:lineRule="auto"/>
        <w:ind w:left="567" w:right="616"/>
        <w:jc w:val="both"/>
        <w:rPr>
          <w:rFonts w:ascii="Palatino Linotype" w:eastAsia="Palatino Linotype" w:hAnsi="Palatino Linotype" w:cs="Palatino Linotype"/>
          <w:i/>
          <w:sz w:val="22"/>
          <w:szCs w:val="22"/>
        </w:rPr>
      </w:pPr>
    </w:p>
    <w:p w14:paraId="6406B1D0"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46CC5">
        <w:rPr>
          <w:rFonts w:ascii="Palatino Linotype" w:eastAsia="Palatino Linotype" w:hAnsi="Palatino Linotype" w:cs="Palatino Linotype"/>
          <w:i/>
          <w:sz w:val="22"/>
          <w:szCs w:val="22"/>
        </w:rPr>
        <w:t>.”</w:t>
      </w:r>
    </w:p>
    <w:p w14:paraId="6FE071C2"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107904EF"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DBEF635"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1F7F743"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“Artículo 12.-</w:t>
      </w:r>
      <w:r w:rsidRPr="00446CC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D5C564" w14:textId="77777777" w:rsidR="00620366" w:rsidRPr="00446CC5" w:rsidRDefault="00620366">
      <w:pPr>
        <w:spacing w:line="276" w:lineRule="auto"/>
        <w:ind w:left="567" w:right="616"/>
        <w:jc w:val="both"/>
        <w:rPr>
          <w:rFonts w:ascii="Palatino Linotype" w:eastAsia="Palatino Linotype" w:hAnsi="Palatino Linotype" w:cs="Palatino Linotype"/>
          <w:i/>
          <w:sz w:val="22"/>
          <w:szCs w:val="22"/>
        </w:rPr>
      </w:pPr>
    </w:p>
    <w:p w14:paraId="34027781" w14:textId="77777777" w:rsidR="00620366" w:rsidRPr="00446CC5" w:rsidRDefault="0031388A">
      <w:pPr>
        <w:spacing w:line="276" w:lineRule="auto"/>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46CC5">
        <w:rPr>
          <w:rFonts w:ascii="Palatino Linotype" w:eastAsia="Palatino Linotype" w:hAnsi="Palatino Linotype" w:cs="Palatino Linotype"/>
          <w:i/>
          <w:sz w:val="22"/>
          <w:szCs w:val="22"/>
        </w:rPr>
        <w:t xml:space="preserve">. </w:t>
      </w:r>
      <w:r w:rsidRPr="00446CC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DAF5219" w14:textId="77777777" w:rsidR="00620366" w:rsidRPr="00446CC5" w:rsidRDefault="00620366">
      <w:pPr>
        <w:spacing w:line="360" w:lineRule="auto"/>
        <w:ind w:left="567" w:right="616"/>
        <w:jc w:val="both"/>
        <w:rPr>
          <w:rFonts w:ascii="Palatino Linotype" w:eastAsia="Palatino Linotype" w:hAnsi="Palatino Linotype" w:cs="Palatino Linotype"/>
          <w:i/>
          <w:sz w:val="22"/>
          <w:szCs w:val="22"/>
        </w:rPr>
      </w:pPr>
    </w:p>
    <w:p w14:paraId="29ED78CD" w14:textId="77777777" w:rsidR="00620366" w:rsidRPr="00446CC5" w:rsidRDefault="0031388A">
      <w:pPr>
        <w:spacing w:line="360" w:lineRule="auto"/>
        <w:ind w:right="-93"/>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64023A5" w14:textId="77777777" w:rsidR="00620366" w:rsidRPr="00446CC5" w:rsidRDefault="00620366">
      <w:pPr>
        <w:spacing w:line="360" w:lineRule="auto"/>
        <w:ind w:right="-93"/>
        <w:jc w:val="both"/>
        <w:rPr>
          <w:rFonts w:ascii="Palatino Linotype" w:eastAsia="Palatino Linotype" w:hAnsi="Palatino Linotype" w:cs="Palatino Linotype"/>
          <w:sz w:val="22"/>
          <w:szCs w:val="22"/>
        </w:rPr>
      </w:pPr>
    </w:p>
    <w:p w14:paraId="35A43C3F" w14:textId="77777777" w:rsidR="00620366" w:rsidRPr="00446CC5" w:rsidRDefault="0031388A">
      <w:pPr>
        <w:spacing w:line="360" w:lineRule="auto"/>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446CC5">
        <w:rPr>
          <w:rFonts w:ascii="Palatino Linotype" w:eastAsia="Palatino Linotype" w:hAnsi="Palatino Linotype" w:cs="Palatino Linotype"/>
          <w:b/>
          <w:sz w:val="22"/>
          <w:szCs w:val="22"/>
        </w:rPr>
        <w:t xml:space="preserve"> </w:t>
      </w:r>
    </w:p>
    <w:p w14:paraId="78A8056A" w14:textId="77777777" w:rsidR="00620366" w:rsidRPr="00446CC5" w:rsidRDefault="00620366">
      <w:pPr>
        <w:spacing w:line="360" w:lineRule="auto"/>
        <w:jc w:val="both"/>
        <w:rPr>
          <w:rFonts w:ascii="Palatino Linotype" w:eastAsia="Palatino Linotype" w:hAnsi="Palatino Linotype" w:cs="Palatino Linotype"/>
          <w:b/>
          <w:sz w:val="22"/>
          <w:szCs w:val="22"/>
        </w:rPr>
      </w:pPr>
    </w:p>
    <w:p w14:paraId="60E4AD1D"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No existe obligación de elaborar documentos ad hoc para atender las solicitudes de acceso a la información.</w:t>
      </w:r>
      <w:r w:rsidRPr="00446CC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FD22A3F" w14:textId="77777777" w:rsidR="00620366" w:rsidRPr="00446CC5" w:rsidRDefault="00620366">
      <w:pPr>
        <w:spacing w:line="360" w:lineRule="auto"/>
        <w:ind w:right="-93"/>
        <w:jc w:val="both"/>
        <w:rPr>
          <w:rFonts w:ascii="Palatino Linotype" w:eastAsia="Palatino Linotype" w:hAnsi="Palatino Linotype" w:cs="Palatino Linotype"/>
          <w:sz w:val="22"/>
          <w:szCs w:val="22"/>
        </w:rPr>
      </w:pPr>
    </w:p>
    <w:p w14:paraId="7CAB7E43"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17C633"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5D1B8817" w14:textId="77777777" w:rsidR="00620366" w:rsidRPr="00446CC5" w:rsidRDefault="0031388A">
      <w:pP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440B3F9" w14:textId="77777777" w:rsidR="00620366" w:rsidRPr="00446CC5" w:rsidRDefault="00620366">
      <w:pPr>
        <w:spacing w:line="360" w:lineRule="auto"/>
        <w:ind w:right="49"/>
        <w:jc w:val="both"/>
        <w:rPr>
          <w:rFonts w:ascii="Palatino Linotype" w:eastAsia="Palatino Linotype" w:hAnsi="Palatino Linotype" w:cs="Palatino Linotype"/>
          <w:sz w:val="22"/>
          <w:szCs w:val="22"/>
        </w:rPr>
      </w:pPr>
    </w:p>
    <w:p w14:paraId="41451439"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w:t>
      </w:r>
      <w:r w:rsidRPr="00446CC5">
        <w:rPr>
          <w:rFonts w:ascii="Palatino Linotype" w:eastAsia="Palatino Linotype" w:hAnsi="Palatino Linotype" w:cs="Palatino Linotype"/>
          <w:sz w:val="22"/>
          <w:szCs w:val="22"/>
        </w:rPr>
        <w:lastRenderedPageBreak/>
        <w:t xml:space="preserve">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225B476" w14:textId="77777777" w:rsidR="00620366" w:rsidRPr="00446CC5" w:rsidRDefault="00620366">
      <w:pPr>
        <w:spacing w:line="360" w:lineRule="auto"/>
        <w:ind w:left="851" w:right="899"/>
        <w:jc w:val="both"/>
        <w:rPr>
          <w:rFonts w:ascii="Palatino Linotype" w:eastAsia="Palatino Linotype" w:hAnsi="Palatino Linotype" w:cs="Palatino Linotype"/>
          <w:i/>
          <w:sz w:val="22"/>
          <w:szCs w:val="22"/>
        </w:rPr>
      </w:pPr>
    </w:p>
    <w:p w14:paraId="4B88DFF8"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 xml:space="preserve">Artículo 3. </w:t>
      </w:r>
      <w:r w:rsidRPr="00446CC5">
        <w:rPr>
          <w:rFonts w:ascii="Palatino Linotype" w:eastAsia="Palatino Linotype" w:hAnsi="Palatino Linotype" w:cs="Palatino Linotype"/>
          <w:i/>
          <w:sz w:val="22"/>
          <w:szCs w:val="22"/>
        </w:rPr>
        <w:t>Para los efectos de la presente Ley se entenderá por:</w:t>
      </w:r>
    </w:p>
    <w:p w14:paraId="5D050369"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2460B694"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XI. Documento:</w:t>
      </w:r>
      <w:r w:rsidRPr="00446CC5">
        <w:rPr>
          <w:rFonts w:ascii="Palatino Linotype" w:eastAsia="Palatino Linotype" w:hAnsi="Palatino Linotype" w:cs="Palatino Linotype"/>
          <w:i/>
          <w:sz w:val="22"/>
          <w:szCs w:val="22"/>
        </w:rPr>
        <w:t xml:space="preserve"> Los expedientes, reportes, estudios, actas</w:t>
      </w:r>
      <w:r w:rsidRPr="00446CC5">
        <w:rPr>
          <w:rFonts w:ascii="Palatino Linotype" w:eastAsia="Palatino Linotype" w:hAnsi="Palatino Linotype" w:cs="Palatino Linotype"/>
          <w:b/>
          <w:i/>
          <w:sz w:val="22"/>
          <w:szCs w:val="22"/>
        </w:rPr>
        <w:t>,</w:t>
      </w:r>
      <w:r w:rsidRPr="00446CC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D4900AB" w14:textId="77777777" w:rsidR="00620366" w:rsidRPr="00446CC5" w:rsidRDefault="00620366">
      <w:pPr>
        <w:spacing w:line="360" w:lineRule="auto"/>
        <w:ind w:left="851" w:right="899"/>
        <w:jc w:val="both"/>
        <w:rPr>
          <w:rFonts w:ascii="Palatino Linotype" w:eastAsia="Palatino Linotype" w:hAnsi="Palatino Linotype" w:cs="Palatino Linotype"/>
          <w:sz w:val="22"/>
          <w:szCs w:val="22"/>
        </w:rPr>
      </w:pPr>
    </w:p>
    <w:p w14:paraId="64AB5CBC"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D11967B"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46C69BAA" w14:textId="77777777" w:rsidR="00620366" w:rsidRPr="00446CC5" w:rsidRDefault="0031388A">
      <w:pPr>
        <w:spacing w:line="276" w:lineRule="auto"/>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sz w:val="22"/>
          <w:szCs w:val="22"/>
        </w:rPr>
        <w:t>“</w:t>
      </w:r>
      <w:r w:rsidRPr="00446CC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46CC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4E9E53"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7F1CC09F"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6983D" w14:textId="77777777" w:rsidR="00620366" w:rsidRPr="00446CC5" w:rsidRDefault="0031388A">
      <w:pPr>
        <w:spacing w:line="276" w:lineRule="auto"/>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36DB1508" w14:textId="77777777" w:rsidR="00620366" w:rsidRPr="00446CC5" w:rsidRDefault="0031388A">
      <w:pPr>
        <w:spacing w:line="276" w:lineRule="auto"/>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0DC2A894" w14:textId="77777777" w:rsidR="00620366" w:rsidRPr="00446CC5" w:rsidRDefault="00620366">
      <w:pPr>
        <w:spacing w:line="276" w:lineRule="auto"/>
        <w:ind w:left="567" w:right="616"/>
        <w:jc w:val="both"/>
        <w:rPr>
          <w:rFonts w:ascii="Palatino Linotype" w:eastAsia="Palatino Linotype" w:hAnsi="Palatino Linotype" w:cs="Palatino Linotype"/>
          <w:b/>
          <w:i/>
          <w:sz w:val="22"/>
          <w:szCs w:val="22"/>
        </w:rPr>
      </w:pPr>
    </w:p>
    <w:p w14:paraId="7FC9F2FA"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De ahí que 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46CC5">
        <w:rPr>
          <w:rFonts w:ascii="Palatino Linotype" w:eastAsia="Palatino Linotype" w:hAnsi="Palatino Linotype" w:cs="Palatino Linotype"/>
          <w:sz w:val="22"/>
          <w:szCs w:val="22"/>
          <w:vertAlign w:val="superscript"/>
        </w:rPr>
        <w:footnoteReference w:id="1"/>
      </w:r>
      <w:r w:rsidRPr="00446CC5">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46CC5">
        <w:rPr>
          <w:rFonts w:ascii="Palatino Linotype" w:eastAsia="Palatino Linotype" w:hAnsi="Palatino Linotype" w:cs="Palatino Linotype"/>
          <w:sz w:val="22"/>
          <w:szCs w:val="22"/>
          <w:vertAlign w:val="superscript"/>
        </w:rPr>
        <w:footnoteReference w:id="2"/>
      </w:r>
      <w:r w:rsidRPr="00446CC5">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017B7063" w14:textId="77777777" w:rsidR="00620366" w:rsidRPr="00446CC5" w:rsidRDefault="0062036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7933A56" w14:textId="77777777" w:rsidR="00620366" w:rsidRPr="00446CC5" w:rsidRDefault="0031388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446CC5">
        <w:rPr>
          <w:rFonts w:ascii="Palatino Linotype" w:eastAsia="Palatino Linotype" w:hAnsi="Palatino Linotype" w:cs="Palatino Linotype"/>
          <w:sz w:val="22"/>
          <w:szCs w:val="22"/>
        </w:rPr>
        <w:lastRenderedPageBreak/>
        <w:t xml:space="preserve">Para ello, conviene iniciar el presente estudio señalando que la persona solicitante requirió del </w:t>
      </w:r>
      <w:r w:rsidRPr="00446CC5">
        <w:rPr>
          <w:rFonts w:ascii="Palatino Linotype" w:eastAsia="Palatino Linotype" w:hAnsi="Palatino Linotype" w:cs="Palatino Linotype"/>
          <w:b/>
          <w:sz w:val="22"/>
          <w:szCs w:val="22"/>
        </w:rPr>
        <w:t>Sujeto Obligado, respecto del servicio de cafetería número UNEVT 2024-2025, adjudicado mediante el fallo</w:t>
      </w:r>
      <w:r w:rsidRPr="00446CC5">
        <w:rPr>
          <w:b/>
        </w:rPr>
        <w:t xml:space="preserve"> </w:t>
      </w:r>
      <w:r w:rsidRPr="00446CC5">
        <w:rPr>
          <w:rFonts w:ascii="Palatino Linotype" w:eastAsia="Palatino Linotype" w:hAnsi="Palatino Linotype" w:cs="Palatino Linotype"/>
          <w:b/>
          <w:sz w:val="22"/>
          <w:szCs w:val="22"/>
        </w:rPr>
        <w:t>F-AD-CC/UNEVT/AD-026-2024</w:t>
      </w:r>
      <w:r w:rsidRPr="00446CC5">
        <w:rPr>
          <w:rFonts w:ascii="Palatino Linotype" w:eastAsia="Palatino Linotype" w:hAnsi="Palatino Linotype" w:cs="Palatino Linotype"/>
          <w:sz w:val="22"/>
          <w:szCs w:val="22"/>
        </w:rPr>
        <w:t>, lo siguiente:</w:t>
      </w:r>
    </w:p>
    <w:p w14:paraId="6631F42B" w14:textId="77777777" w:rsidR="00620366" w:rsidRPr="00446CC5" w:rsidRDefault="0062036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57115D3" w14:textId="77777777" w:rsidR="00620366" w:rsidRPr="00446CC5" w:rsidRDefault="0031388A">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b/>
          <w:sz w:val="22"/>
          <w:szCs w:val="22"/>
        </w:rPr>
        <w:t>El instrumento de evaluación donde se describen los puntos que se tomaron en cuenta para realizar el análisis y dictamen de las propuestas recibidas, valorando requisitos y proyecto, como se establece en la invitación para la prestación del servicio.</w:t>
      </w:r>
    </w:p>
    <w:p w14:paraId="7E5F1152" w14:textId="77777777" w:rsidR="00620366" w:rsidRPr="00446CC5" w:rsidRDefault="0031388A">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b/>
          <w:sz w:val="22"/>
          <w:szCs w:val="22"/>
        </w:rPr>
        <w:t xml:space="preserve">Las ponderaciones que determinaron el fallo de adjudicación. </w:t>
      </w:r>
    </w:p>
    <w:p w14:paraId="2028768B" w14:textId="77777777" w:rsidR="00620366" w:rsidRPr="00446CC5" w:rsidRDefault="00620366">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B5880CC" w14:textId="77777777" w:rsidR="00620366" w:rsidRPr="00446CC5" w:rsidRDefault="0031388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En respuesta, 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por conducto del Jefe del Departamento de Recursos Materiales y Financieros informó que para realizar el dictamen de las propuestas recibidas, sirvió de instrumento y fundamento lo señalado en el artículo 26 de la Ley de Adquisiciones, Arrendamientos y Servicios del Sector Público asegurando para el Estado que a la letra dice: "</w:t>
      </w:r>
      <w:r w:rsidRPr="00446CC5">
        <w:rPr>
          <w:rFonts w:ascii="Palatino Linotype" w:eastAsia="Palatino Linotype" w:hAnsi="Palatino Linotype" w:cs="Palatino Linotype"/>
          <w:i/>
          <w:sz w:val="22"/>
          <w:szCs w:val="22"/>
        </w:rPr>
        <w:t>las mejores condiciones disponibles en cuanto a precio, calidad, financiamiento, oportunidad y demás circunstancias pertinentes, en cuanto a las ponderaciones" ...(sic).</w:t>
      </w:r>
      <w:r w:rsidRPr="00446CC5">
        <w:rPr>
          <w:rFonts w:ascii="Palatino Linotype" w:eastAsia="Palatino Linotype" w:hAnsi="Palatino Linotype" w:cs="Palatino Linotype"/>
          <w:sz w:val="22"/>
          <w:szCs w:val="22"/>
        </w:rPr>
        <w:t xml:space="preserve"> </w:t>
      </w:r>
    </w:p>
    <w:p w14:paraId="1D51E4D5" w14:textId="77777777" w:rsidR="00620366" w:rsidRPr="00446CC5" w:rsidRDefault="00620366">
      <w:pPr>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69C4873C" w14:textId="77777777" w:rsidR="00620366" w:rsidRPr="00446CC5" w:rsidRDefault="0031388A">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sz w:val="22"/>
          <w:szCs w:val="22"/>
        </w:rPr>
        <w:t xml:space="preserve">Asimismo, se indicó que, para determinar el fallo, se toma en consideración lo dispuesto en el artículo 36 segundo párrafo de dicha ley, en relación con lo dispuesto en el artículo 51, párrafo uno y dos, del Reglamento de Adquisiciones, Arrendamientos y Servicios del Sector Público, </w:t>
      </w:r>
      <w:r w:rsidRPr="00446CC5">
        <w:rPr>
          <w:rFonts w:ascii="Palatino Linotype" w:eastAsia="Palatino Linotype" w:hAnsi="Palatino Linotype" w:cs="Palatino Linotype"/>
          <w:b/>
          <w:sz w:val="22"/>
          <w:szCs w:val="22"/>
        </w:rPr>
        <w:t xml:space="preserve">concerniente a la aplicación del criterio de evaluación binario. </w:t>
      </w:r>
    </w:p>
    <w:p w14:paraId="3384EA0E" w14:textId="77777777" w:rsidR="00620366" w:rsidRPr="00446CC5" w:rsidRDefault="0062036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D13EC16" w14:textId="77777777" w:rsidR="00620366" w:rsidRPr="00446CC5" w:rsidRDefault="0031388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Finalmente, se indicó que los referidos criterios para el caso en concreto, tal y como se determina en la invitación a que hace referencia el solicitante se encuentran inmersos en la misma y son entre otros:</w:t>
      </w:r>
    </w:p>
    <w:p w14:paraId="5054C907" w14:textId="77777777" w:rsidR="00620366" w:rsidRPr="00446CC5" w:rsidRDefault="0062036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FB104DB"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Documentación.</w:t>
      </w:r>
    </w:p>
    <w:p w14:paraId="2514344E"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Experiencia en el ramo</w:t>
      </w:r>
    </w:p>
    <w:p w14:paraId="132759A6"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Garantía de calidad de alimentos.</w:t>
      </w:r>
    </w:p>
    <w:p w14:paraId="67A6E974"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Calidad en el servicio e higiene, sin descuidar la economía de este, observado lo Lineamientos Generales para el expendio y distribución de alimentos y bebidas preparados y procesados en las escuelas del Sistema Educativo Nacional.</w:t>
      </w:r>
    </w:p>
    <w:p w14:paraId="0956F12B"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Ofrecer un menú de comida saludable y comida corrida de conformidad a los lineamientos anteriormente referidos.</w:t>
      </w:r>
    </w:p>
    <w:p w14:paraId="676EB2EB"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Manejo adecuado de residuos sólidos, aguas, plásticos y en general medidas en pro de la sustentabilidad y el cuidado ambiental en apego a las políticas de la Universidad.</w:t>
      </w:r>
    </w:p>
    <w:p w14:paraId="1CD2D955" w14:textId="77777777" w:rsidR="00620366" w:rsidRPr="00446CC5" w:rsidRDefault="0031388A">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No ser servidor público de la Institución, ni de sus cónyuges o parientes, consanguíneos por afinidad hasta el cuarto grado o civiles, o de terceros con los que dichos servidores públicos tengan vínculos privados o de negocios.</w:t>
      </w:r>
    </w:p>
    <w:p w14:paraId="5FE8644C" w14:textId="77777777" w:rsidR="00620366" w:rsidRPr="00446CC5" w:rsidRDefault="00620366">
      <w:pPr>
        <w:spacing w:line="360" w:lineRule="auto"/>
        <w:ind w:right="49"/>
        <w:jc w:val="both"/>
        <w:rPr>
          <w:rFonts w:ascii="Palatino Linotype" w:eastAsia="Palatino Linotype" w:hAnsi="Palatino Linotype" w:cs="Palatino Linotype"/>
          <w:sz w:val="22"/>
          <w:szCs w:val="22"/>
        </w:rPr>
      </w:pPr>
    </w:p>
    <w:p w14:paraId="715CB051" w14:textId="77777777" w:rsidR="00620366" w:rsidRPr="00446CC5" w:rsidRDefault="0031388A">
      <w:pPr>
        <w:spacing w:line="360" w:lineRule="auto"/>
        <w:ind w:right="49"/>
        <w:jc w:val="both"/>
        <w:rPr>
          <w:rFonts w:ascii="Palatino Linotype" w:eastAsia="Palatino Linotype" w:hAnsi="Palatino Linotype" w:cs="Palatino Linotype"/>
          <w:b/>
          <w:sz w:val="22"/>
          <w:szCs w:val="22"/>
          <w:u w:val="single"/>
        </w:rPr>
      </w:pPr>
      <w:r w:rsidRPr="00446CC5">
        <w:rPr>
          <w:rFonts w:ascii="Palatino Linotype" w:eastAsia="Palatino Linotype" w:hAnsi="Palatino Linotype" w:cs="Palatino Linotype"/>
          <w:sz w:val="22"/>
          <w:szCs w:val="22"/>
        </w:rPr>
        <w:t xml:space="preserve">Inconforme con la respuesta la parte </w:t>
      </w:r>
      <w:r w:rsidRPr="00446CC5">
        <w:rPr>
          <w:rFonts w:ascii="Palatino Linotype" w:eastAsia="Palatino Linotype" w:hAnsi="Palatino Linotype" w:cs="Palatino Linotype"/>
          <w:b/>
          <w:sz w:val="22"/>
          <w:szCs w:val="22"/>
        </w:rPr>
        <w:t xml:space="preserve">Recurrente, </w:t>
      </w:r>
      <w:r w:rsidRPr="00446CC5">
        <w:rPr>
          <w:rFonts w:ascii="Palatino Linotype" w:eastAsia="Palatino Linotype" w:hAnsi="Palatino Linotype" w:cs="Palatino Linotype"/>
          <w:sz w:val="22"/>
          <w:szCs w:val="22"/>
        </w:rPr>
        <w:t>promovió el presente recurso de revisión en el que a manera de motivos de inconformidad se adolece medularmente de la negativa a la entrega de la información, en virtud de que no se le entregó los instrumentos de evaluación y análisis, así como la ponderación asignada a cada propuesta de los puntos evaluados para el servicios de cafetería, ya que a consideración del particular el Sujeto Obligado únicamente hizo referencia a los puntos publicados en su convocatoria y aún artículo de ley que es de aplicación general para cada procedimiento de contratación.</w:t>
      </w:r>
    </w:p>
    <w:p w14:paraId="0BE5052C" w14:textId="77777777" w:rsidR="00620366" w:rsidRPr="00446CC5" w:rsidRDefault="00620366">
      <w:pPr>
        <w:spacing w:line="360" w:lineRule="auto"/>
        <w:ind w:right="49"/>
        <w:jc w:val="both"/>
        <w:rPr>
          <w:rFonts w:ascii="Palatino Linotype" w:eastAsia="Palatino Linotype" w:hAnsi="Palatino Linotype" w:cs="Palatino Linotype"/>
          <w:b/>
          <w:sz w:val="22"/>
          <w:szCs w:val="22"/>
          <w:u w:val="single"/>
        </w:rPr>
      </w:pPr>
    </w:p>
    <w:p w14:paraId="6C041244"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Admitido el presente recurso de revisión, en términos del artículo 185 fracción II</w:t>
      </w:r>
      <w:r w:rsidRPr="00446CC5">
        <w:rPr>
          <w:rFonts w:ascii="Palatino Linotype" w:eastAsia="Palatino Linotype" w:hAnsi="Palatino Linotype" w:cs="Palatino Linotype"/>
          <w:sz w:val="22"/>
          <w:szCs w:val="22"/>
          <w:vertAlign w:val="superscript"/>
        </w:rPr>
        <w:footnoteReference w:id="3"/>
      </w:r>
      <w:r w:rsidRPr="00446CC5">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33DBE20" w14:textId="77777777" w:rsidR="00620366" w:rsidRPr="00446CC5" w:rsidRDefault="0031388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Cabe resaltar que durante la etapa de manifestaciones</w:t>
      </w:r>
      <w:r w:rsidRPr="00446CC5">
        <w:rPr>
          <w:rFonts w:ascii="Palatino Linotype" w:eastAsia="Palatino Linotype" w:hAnsi="Palatino Linotype" w:cs="Palatino Linotype"/>
          <w:b/>
          <w:sz w:val="22"/>
          <w:szCs w:val="22"/>
        </w:rPr>
        <w:t xml:space="preserve">, </w:t>
      </w:r>
      <w:r w:rsidRPr="00446CC5">
        <w:rPr>
          <w:rFonts w:ascii="Palatino Linotype" w:eastAsia="Palatino Linotype" w:hAnsi="Palatino Linotype" w:cs="Palatino Linotype"/>
          <w:sz w:val="22"/>
          <w:szCs w:val="22"/>
        </w:rPr>
        <w:t xml:space="preserve">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rindió su informe justificado, a través del cual el Jefe de Departamento de Recursos Materiales y Financieros reiteró que se tomó en consideración la aplicación del criterio binario, el cual es un sistema mediante el cual se evalúa si las ofertas cumplen o no con los requisitos solicitados por el área convocante y posteriormente, se adjudica el contrato a quien cumpla dichos requisitos, los cuales se derivan precisamente de la invitación publicada debidamente en la página de la universidad, y que en la contestación enlistaron detalladamente.</w:t>
      </w:r>
    </w:p>
    <w:p w14:paraId="22B3C28B" w14:textId="77777777" w:rsidR="00620366" w:rsidRPr="00446CC5" w:rsidRDefault="0062036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53B1E25" w14:textId="77777777" w:rsidR="00620366" w:rsidRPr="00446CC5" w:rsidRDefault="0031388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Asimismo, se indicó que las actuaciones para la información que se solicita se encuentran reguladas por el Reglamento de la Ley de Adquisiciones, Arrendamientos y Servicios del Sector Público, </w:t>
      </w:r>
      <w:r w:rsidRPr="00446CC5">
        <w:rPr>
          <w:rFonts w:ascii="Palatino Linotype" w:eastAsia="Palatino Linotype" w:hAnsi="Palatino Linotype" w:cs="Palatino Linotype"/>
          <w:sz w:val="22"/>
          <w:szCs w:val="22"/>
          <w:u w:val="single"/>
        </w:rPr>
        <w:t>y por ello se consideran las ponderaciones que se determinan en la invitación que alude el recurrente y que está debidamente publicada.</w:t>
      </w:r>
    </w:p>
    <w:p w14:paraId="28004E81" w14:textId="77777777" w:rsidR="00620366" w:rsidRPr="00446CC5" w:rsidRDefault="0062036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ED07545" w14:textId="77777777" w:rsidR="00620366" w:rsidRPr="00446CC5" w:rsidRDefault="0031388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Finalmente, en el informe justificado se indicó que los sujetos obligados sólo están constreñidos a proporcionar la información pública que se les requiera y obre en sus archivos; y que, atendiendo lo estipulado en el artículo 158 de la Ley de Transparencia Local, relativo al principio de procesamiento de documentos cuya entrega o reproducción sobrepase las capacidades técnicas, administrativas y humanas del Sujeto Obligado, </w:t>
      </w:r>
      <w:r w:rsidRPr="00446CC5">
        <w:rPr>
          <w:rFonts w:ascii="Palatino Linotype" w:eastAsia="Palatino Linotype" w:hAnsi="Palatino Linotype" w:cs="Palatino Linotype"/>
          <w:b/>
          <w:sz w:val="22"/>
          <w:szCs w:val="22"/>
          <w:u w:val="single"/>
        </w:rPr>
        <w:t>no se generó la documental requerida por el recurrente por la fundamentación brindada;</w:t>
      </w:r>
      <w:r w:rsidRPr="00446CC5">
        <w:rPr>
          <w:rFonts w:ascii="Palatino Linotype" w:eastAsia="Palatino Linotype" w:hAnsi="Palatino Linotype" w:cs="Palatino Linotype"/>
          <w:sz w:val="22"/>
          <w:szCs w:val="22"/>
        </w:rPr>
        <w:t xml:space="preserve"> y, que si la pretensión es obtener la documental que indica, ello sobrepasa las capacidades técnicas y administrativas.</w:t>
      </w:r>
    </w:p>
    <w:p w14:paraId="0E2F99B5" w14:textId="77777777" w:rsidR="00620366" w:rsidRPr="00446CC5" w:rsidRDefault="0062036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3286CB9" w14:textId="77777777" w:rsidR="00620366" w:rsidRPr="00446CC5" w:rsidRDefault="0031388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Por su lado, la parte </w:t>
      </w:r>
      <w:r w:rsidRPr="00446CC5">
        <w:rPr>
          <w:rFonts w:ascii="Palatino Linotype" w:eastAsia="Palatino Linotype" w:hAnsi="Palatino Linotype" w:cs="Palatino Linotype"/>
          <w:b/>
          <w:sz w:val="22"/>
          <w:szCs w:val="22"/>
        </w:rPr>
        <w:t xml:space="preserve">Recurrente </w:t>
      </w:r>
      <w:r w:rsidRPr="00446CC5">
        <w:rPr>
          <w:rFonts w:ascii="Palatino Linotype" w:eastAsia="Palatino Linotype" w:hAnsi="Palatino Linotype" w:cs="Palatino Linotype"/>
          <w:sz w:val="22"/>
          <w:szCs w:val="22"/>
        </w:rPr>
        <w:t>fue omisa en hacer valer manifestaciones o rendir alegatos que conforme a derecho resultaran procedentes.</w:t>
      </w:r>
    </w:p>
    <w:p w14:paraId="50DFE958"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907C3A3"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 xml:space="preserve">Expuestas las posturas de las partes, se estima delimitar que el presente estudio versará sobre información relacionada con el </w:t>
      </w:r>
      <w:r w:rsidRPr="00446CC5">
        <w:rPr>
          <w:rFonts w:ascii="Palatino Linotype" w:eastAsia="Palatino Linotype" w:hAnsi="Palatino Linotype" w:cs="Palatino Linotype"/>
          <w:b/>
          <w:sz w:val="22"/>
          <w:szCs w:val="22"/>
          <w:u w:val="single"/>
        </w:rPr>
        <w:t>procedimiento de adjudicación directa UNEVT/AD-026-2024,</w:t>
      </w:r>
      <w:r w:rsidRPr="00446CC5">
        <w:rPr>
          <w:rFonts w:ascii="Palatino Linotype" w:eastAsia="Palatino Linotype" w:hAnsi="Palatino Linotype" w:cs="Palatino Linotype"/>
          <w:sz w:val="22"/>
          <w:szCs w:val="22"/>
        </w:rPr>
        <w:t xml:space="preserve"> para la prestación del servicio de cafetería en la Universidad Estatal del Valle de Toluca, realizado de conformidad con lo establecido en la Ley de Adquisiciones, Arrendamientos y Servicios del Sector Público y su Reglamento; procedimiento cuya invitación y fallo se encuentran publicados en la página oficial del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en el apartado de Transparencia y Datos abiertos &gt;Adquisiciones, Arrendamientos y Servicios (consultable en el siguiente enlace:</w:t>
      </w:r>
      <w:r w:rsidRPr="00446CC5">
        <w:t xml:space="preserve"> </w:t>
      </w:r>
      <w:hyperlink r:id="rId8">
        <w:r w:rsidRPr="00446CC5">
          <w:rPr>
            <w:rFonts w:ascii="Palatino Linotype" w:eastAsia="Palatino Linotype" w:hAnsi="Palatino Linotype" w:cs="Palatino Linotype"/>
            <w:sz w:val="22"/>
            <w:szCs w:val="22"/>
            <w:u w:val="single"/>
          </w:rPr>
          <w:t>https://unevt.edomex.gob.mx/adquisiciones-arrendamientos-servicios</w:t>
        </w:r>
      </w:hyperlink>
      <w:r w:rsidRPr="00446CC5">
        <w:rPr>
          <w:rFonts w:ascii="Palatino Linotype" w:eastAsia="Palatino Linotype" w:hAnsi="Palatino Linotype" w:cs="Palatino Linotype"/>
          <w:sz w:val="22"/>
          <w:szCs w:val="22"/>
        </w:rPr>
        <w:t xml:space="preserve"> ), como se muestra:</w:t>
      </w:r>
    </w:p>
    <w:p w14:paraId="79E928EA"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00D39E02"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noProof/>
          <w:sz w:val="22"/>
          <w:szCs w:val="22"/>
        </w:rPr>
        <w:drawing>
          <wp:inline distT="0" distB="0" distL="0" distR="0" wp14:anchorId="2D09489A" wp14:editId="58330E24">
            <wp:extent cx="5553075" cy="2105025"/>
            <wp:effectExtent l="3175" t="3175" r="3175" b="3175"/>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4411"/>
                    <a:stretch>
                      <a:fillRect/>
                    </a:stretch>
                  </pic:blipFill>
                  <pic:spPr>
                    <a:xfrm>
                      <a:off x="0" y="0"/>
                      <a:ext cx="5553075" cy="2105025"/>
                    </a:xfrm>
                    <a:prstGeom prst="rect">
                      <a:avLst/>
                    </a:prstGeom>
                    <a:ln w="3175">
                      <a:solidFill>
                        <a:srgbClr val="000000"/>
                      </a:solidFill>
                      <a:prstDash val="solid"/>
                    </a:ln>
                  </pic:spPr>
                </pic:pic>
              </a:graphicData>
            </a:graphic>
          </wp:inline>
        </w:drawing>
      </w:r>
    </w:p>
    <w:p w14:paraId="51617616" w14:textId="77777777" w:rsidR="00620366" w:rsidRPr="00446CC5" w:rsidRDefault="0031388A">
      <w:pPr>
        <w:spacing w:line="360" w:lineRule="auto"/>
        <w:jc w:val="center"/>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w:t>
      </w:r>
    </w:p>
    <w:p w14:paraId="22FC0F26"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noProof/>
          <w:sz w:val="22"/>
          <w:szCs w:val="22"/>
        </w:rPr>
        <w:drawing>
          <wp:inline distT="0" distB="0" distL="0" distR="0" wp14:anchorId="39B25EE2" wp14:editId="0AEEDBD9">
            <wp:extent cx="5612130" cy="2019300"/>
            <wp:effectExtent l="9525" t="9525" r="9525" b="9525"/>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b="25275"/>
                    <a:stretch>
                      <a:fillRect/>
                    </a:stretch>
                  </pic:blipFill>
                  <pic:spPr>
                    <a:xfrm>
                      <a:off x="0" y="0"/>
                      <a:ext cx="5612130" cy="2019300"/>
                    </a:xfrm>
                    <a:prstGeom prst="rect">
                      <a:avLst/>
                    </a:prstGeom>
                    <a:ln w="9525">
                      <a:solidFill>
                        <a:srgbClr val="000000"/>
                      </a:solidFill>
                      <a:prstDash val="solid"/>
                    </a:ln>
                  </pic:spPr>
                </pic:pic>
              </a:graphicData>
            </a:graphic>
          </wp:inline>
        </w:drawing>
      </w:r>
    </w:p>
    <w:p w14:paraId="3ADDEBFD"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6EB311D0" w14:textId="77777777" w:rsidR="00620366" w:rsidRPr="00446CC5" w:rsidRDefault="0031388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Invitación para la prestación del servicio de cafetería UNEVT 2024-2025 del 16 de agosto de 2024</w:t>
      </w:r>
      <w:r w:rsidRPr="00446CC5">
        <w:rPr>
          <w:rFonts w:ascii="Palatino Linotype" w:eastAsia="Palatino Linotype" w:hAnsi="Palatino Linotype" w:cs="Palatino Linotype"/>
          <w:sz w:val="22"/>
          <w:szCs w:val="22"/>
        </w:rPr>
        <w:t>:</w:t>
      </w:r>
    </w:p>
    <w:p w14:paraId="66BF4EA6"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noProof/>
          <w:sz w:val="22"/>
          <w:szCs w:val="22"/>
        </w:rPr>
        <w:drawing>
          <wp:inline distT="0" distB="0" distL="0" distR="0" wp14:anchorId="0874BBD9" wp14:editId="01572729">
            <wp:extent cx="5612130" cy="2219325"/>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2219325"/>
                    </a:xfrm>
                    <a:prstGeom prst="rect">
                      <a:avLst/>
                    </a:prstGeom>
                    <a:ln/>
                  </pic:spPr>
                </pic:pic>
              </a:graphicData>
            </a:graphic>
          </wp:inline>
        </w:drawing>
      </w:r>
    </w:p>
    <w:p w14:paraId="54391A55"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2DB41B87" w14:textId="77777777" w:rsidR="00620366" w:rsidRPr="00446CC5" w:rsidRDefault="0031388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b/>
          <w:sz w:val="22"/>
          <w:szCs w:val="22"/>
        </w:rPr>
        <w:t>Fallo de adjudicación</w:t>
      </w:r>
      <w:r w:rsidRPr="00446CC5">
        <w:rPr>
          <w:b/>
        </w:rPr>
        <w:t xml:space="preserve"> número </w:t>
      </w:r>
      <w:r w:rsidRPr="00446CC5">
        <w:rPr>
          <w:rFonts w:ascii="Palatino Linotype" w:eastAsia="Palatino Linotype" w:hAnsi="Palatino Linotype" w:cs="Palatino Linotype"/>
          <w:b/>
          <w:sz w:val="22"/>
          <w:szCs w:val="22"/>
        </w:rPr>
        <w:t>F-AD-CC/UNEVT/AD-026-2024 del 21 de agosto de 2024:</w:t>
      </w:r>
    </w:p>
    <w:p w14:paraId="7190CC0D"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noProof/>
          <w:sz w:val="22"/>
          <w:szCs w:val="22"/>
        </w:rPr>
        <w:drawing>
          <wp:inline distT="0" distB="0" distL="0" distR="0" wp14:anchorId="078613A2" wp14:editId="3DABE91F">
            <wp:extent cx="5612130" cy="2019300"/>
            <wp:effectExtent l="9525" t="9525" r="9525" b="9525"/>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2019300"/>
                    </a:xfrm>
                    <a:prstGeom prst="rect">
                      <a:avLst/>
                    </a:prstGeom>
                    <a:ln w="9525">
                      <a:solidFill>
                        <a:srgbClr val="000000"/>
                      </a:solidFill>
                      <a:prstDash val="solid"/>
                    </a:ln>
                  </pic:spPr>
                </pic:pic>
              </a:graphicData>
            </a:graphic>
          </wp:inline>
        </w:drawing>
      </w:r>
      <w:r w:rsidRPr="00446CC5">
        <w:rPr>
          <w:noProof/>
        </w:rPr>
        <mc:AlternateContent>
          <mc:Choice Requires="wpg">
            <w:drawing>
              <wp:anchor distT="0" distB="0" distL="114300" distR="114300" simplePos="0" relativeHeight="251658240" behindDoc="0" locked="0" layoutInCell="1" hidden="0" allowOverlap="1" wp14:anchorId="071B233E" wp14:editId="3723BC91">
                <wp:simplePos x="0" y="0"/>
                <wp:positionH relativeFrom="column">
                  <wp:posOffset>-12699</wp:posOffset>
                </wp:positionH>
                <wp:positionV relativeFrom="paragraph">
                  <wp:posOffset>469900</wp:posOffset>
                </wp:positionV>
                <wp:extent cx="3838575" cy="209550"/>
                <wp:effectExtent l="0" t="0" r="0" b="0"/>
                <wp:wrapNone/>
                <wp:docPr id="42" name="Rectángulo 42"/>
                <wp:cNvGraphicFramePr/>
                <a:graphic xmlns:a="http://schemas.openxmlformats.org/drawingml/2006/main">
                  <a:graphicData uri="http://schemas.microsoft.com/office/word/2010/wordprocessingShape">
                    <wps:wsp>
                      <wps:cNvSpPr/>
                      <wps:spPr>
                        <a:xfrm>
                          <a:off x="3441000" y="3689513"/>
                          <a:ext cx="3810000" cy="180975"/>
                        </a:xfrm>
                        <a:prstGeom prst="rect">
                          <a:avLst/>
                        </a:prstGeom>
                        <a:noFill/>
                        <a:ln w="28575" cap="flat" cmpd="sng">
                          <a:solidFill>
                            <a:srgbClr val="FF0000"/>
                          </a:solidFill>
                          <a:prstDash val="solid"/>
                          <a:round/>
                          <a:headEnd type="none" w="sm" len="sm"/>
                          <a:tailEnd type="none" w="sm" len="sm"/>
                        </a:ln>
                      </wps:spPr>
                      <wps:txbx>
                        <w:txbxContent>
                          <w:p w14:paraId="0D0C1A8B" w14:textId="77777777" w:rsidR="00620366" w:rsidRDefault="0062036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469900</wp:posOffset>
                </wp:positionV>
                <wp:extent cx="3838575" cy="209550"/>
                <wp:effectExtent b="0" l="0" r="0" t="0"/>
                <wp:wrapNone/>
                <wp:docPr id="42"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838575" cy="209550"/>
                        </a:xfrm>
                        <a:prstGeom prst="rect"/>
                        <a:ln/>
                      </pic:spPr>
                    </pic:pic>
                  </a:graphicData>
                </a:graphic>
              </wp:anchor>
            </w:drawing>
          </mc:Fallback>
        </mc:AlternateContent>
      </w:r>
      <w:r w:rsidRPr="00446CC5">
        <w:rPr>
          <w:noProof/>
        </w:rPr>
        <mc:AlternateContent>
          <mc:Choice Requires="wpg">
            <w:drawing>
              <wp:anchor distT="0" distB="0" distL="114300" distR="114300" simplePos="0" relativeHeight="251659264" behindDoc="0" locked="0" layoutInCell="1" hidden="0" allowOverlap="1" wp14:anchorId="7105E59B" wp14:editId="0A4670D6">
                <wp:simplePos x="0" y="0"/>
                <wp:positionH relativeFrom="column">
                  <wp:posOffset>-12699</wp:posOffset>
                </wp:positionH>
                <wp:positionV relativeFrom="paragraph">
                  <wp:posOffset>1054100</wp:posOffset>
                </wp:positionV>
                <wp:extent cx="5457825" cy="323850"/>
                <wp:effectExtent l="0" t="0" r="0" b="0"/>
                <wp:wrapNone/>
                <wp:docPr id="41" name="Rectángulo 41"/>
                <wp:cNvGraphicFramePr/>
                <a:graphic xmlns:a="http://schemas.openxmlformats.org/drawingml/2006/main">
                  <a:graphicData uri="http://schemas.microsoft.com/office/word/2010/wordprocessingShape">
                    <wps:wsp>
                      <wps:cNvSpPr/>
                      <wps:spPr>
                        <a:xfrm>
                          <a:off x="2631375" y="3632363"/>
                          <a:ext cx="5429250" cy="295275"/>
                        </a:xfrm>
                        <a:prstGeom prst="rect">
                          <a:avLst/>
                        </a:prstGeom>
                        <a:noFill/>
                        <a:ln w="28575" cap="flat" cmpd="sng">
                          <a:solidFill>
                            <a:srgbClr val="FF0000"/>
                          </a:solidFill>
                          <a:prstDash val="solid"/>
                          <a:round/>
                          <a:headEnd type="none" w="sm" len="sm"/>
                          <a:tailEnd type="none" w="sm" len="sm"/>
                        </a:ln>
                      </wps:spPr>
                      <wps:txbx>
                        <w:txbxContent>
                          <w:p w14:paraId="069ABA6C" w14:textId="77777777" w:rsidR="00620366" w:rsidRDefault="0062036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1054100</wp:posOffset>
                </wp:positionV>
                <wp:extent cx="5457825" cy="323850"/>
                <wp:effectExtent b="0" l="0" r="0" t="0"/>
                <wp:wrapNone/>
                <wp:docPr id="41"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457825" cy="323850"/>
                        </a:xfrm>
                        <a:prstGeom prst="rect"/>
                        <a:ln/>
                      </pic:spPr>
                    </pic:pic>
                  </a:graphicData>
                </a:graphic>
              </wp:anchor>
            </w:drawing>
          </mc:Fallback>
        </mc:AlternateContent>
      </w:r>
      <w:r w:rsidRPr="00446CC5">
        <w:rPr>
          <w:noProof/>
        </w:rPr>
        <mc:AlternateContent>
          <mc:Choice Requires="wpg">
            <w:drawing>
              <wp:anchor distT="0" distB="0" distL="114300" distR="114300" simplePos="0" relativeHeight="251660288" behindDoc="0" locked="0" layoutInCell="1" hidden="0" allowOverlap="1" wp14:anchorId="4B63693B" wp14:editId="3FC8CBB5">
                <wp:simplePos x="0" y="0"/>
                <wp:positionH relativeFrom="column">
                  <wp:posOffset>457200</wp:posOffset>
                </wp:positionH>
                <wp:positionV relativeFrom="paragraph">
                  <wp:posOffset>1765300</wp:posOffset>
                </wp:positionV>
                <wp:extent cx="1609725" cy="238125"/>
                <wp:effectExtent l="0" t="0" r="0" b="0"/>
                <wp:wrapNone/>
                <wp:docPr id="44" name="Rectángulo 44"/>
                <wp:cNvGraphicFramePr/>
                <a:graphic xmlns:a="http://schemas.openxmlformats.org/drawingml/2006/main">
                  <a:graphicData uri="http://schemas.microsoft.com/office/word/2010/wordprocessingShape">
                    <wps:wsp>
                      <wps:cNvSpPr/>
                      <wps:spPr>
                        <a:xfrm>
                          <a:off x="4555425" y="3675225"/>
                          <a:ext cx="1581150" cy="209550"/>
                        </a:xfrm>
                        <a:prstGeom prst="rect">
                          <a:avLst/>
                        </a:prstGeom>
                        <a:noFill/>
                        <a:ln w="28575" cap="flat" cmpd="sng">
                          <a:solidFill>
                            <a:srgbClr val="FF0000"/>
                          </a:solidFill>
                          <a:prstDash val="solid"/>
                          <a:round/>
                          <a:headEnd type="none" w="sm" len="sm"/>
                          <a:tailEnd type="none" w="sm" len="sm"/>
                        </a:ln>
                      </wps:spPr>
                      <wps:txbx>
                        <w:txbxContent>
                          <w:p w14:paraId="6FCF327A" w14:textId="77777777" w:rsidR="00620366" w:rsidRDefault="0062036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457200</wp:posOffset>
                </wp:positionH>
                <wp:positionV relativeFrom="paragraph">
                  <wp:posOffset>1765300</wp:posOffset>
                </wp:positionV>
                <wp:extent cx="1609725" cy="238125"/>
                <wp:effectExtent b="0" l="0" r="0" t="0"/>
                <wp:wrapNone/>
                <wp:docPr id="44"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609725" cy="238125"/>
                        </a:xfrm>
                        <a:prstGeom prst="rect"/>
                        <a:ln/>
                      </pic:spPr>
                    </pic:pic>
                  </a:graphicData>
                </a:graphic>
              </wp:anchor>
            </w:drawing>
          </mc:Fallback>
        </mc:AlternateContent>
      </w:r>
    </w:p>
    <w:p w14:paraId="5AF10FE6"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6CFBCA16"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Precisado lo anterior, en el caso es de recordar que quien se pronunció sobre lo requerido fue el Jefe de Departamento de Recursos Materiales y Financieros, unidad administrativa que depende de la Dirección de Administración, y que conforme el Manual General de </w:t>
      </w:r>
      <w:r w:rsidRPr="00446CC5">
        <w:rPr>
          <w:rFonts w:ascii="Palatino Linotype" w:eastAsia="Palatino Linotype" w:hAnsi="Palatino Linotype" w:cs="Palatino Linotype"/>
          <w:sz w:val="22"/>
          <w:szCs w:val="22"/>
        </w:rPr>
        <w:lastRenderedPageBreak/>
        <w:t>Organización de la Universidad Estatal del Valle de Toluca tiene dentro de sus atribuciones las siguientes:</w:t>
      </w:r>
    </w:p>
    <w:p w14:paraId="12849E8A"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04C2C105" w14:textId="77777777" w:rsidR="00620366" w:rsidRPr="00446CC5" w:rsidRDefault="0031388A">
      <w:pPr>
        <w:spacing w:line="276" w:lineRule="auto"/>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 xml:space="preserve">210C3101060001L DEPARTAMENTO DE RECURSOS MATERIALES Y FINANCIEROS </w:t>
      </w:r>
    </w:p>
    <w:p w14:paraId="3E7388BA" w14:textId="77777777" w:rsidR="00620366" w:rsidRPr="00446CC5" w:rsidRDefault="0031388A">
      <w:pPr>
        <w:spacing w:line="276" w:lineRule="auto"/>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OBJETIVO:</w:t>
      </w:r>
      <w:r w:rsidRPr="00446CC5">
        <w:rPr>
          <w:rFonts w:ascii="Palatino Linotype" w:eastAsia="Palatino Linotype" w:hAnsi="Palatino Linotype" w:cs="Palatino Linotype"/>
          <w:i/>
          <w:sz w:val="22"/>
          <w:szCs w:val="22"/>
        </w:rPr>
        <w:t xml:space="preserve"> Gestionar, adquirir, almacenar, suministrar y controlar los enseres, bienes, artículos y servicios, así como establecer los sistemas de control de inventario de bienes muebles e inmuebles y prestar los servicios generales requeridos por las unidades administrativas adscritas a la Universidad, para el logro de los objetivos establecidos. </w:t>
      </w:r>
      <w:r w:rsidRPr="00446CC5">
        <w:rPr>
          <w:rFonts w:ascii="Palatino Linotype" w:eastAsia="Palatino Linotype" w:hAnsi="Palatino Linotype" w:cs="Palatino Linotype"/>
          <w:b/>
          <w:i/>
          <w:sz w:val="22"/>
          <w:szCs w:val="22"/>
        </w:rPr>
        <w:t xml:space="preserve">FUNCIONES: </w:t>
      </w:r>
    </w:p>
    <w:p w14:paraId="71510BFA"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 xml:space="preserve">− Integrar el Programa Anual de Adquisiciones, Arrendamientos y Servicios </w:t>
      </w:r>
      <w:r w:rsidRPr="00446CC5">
        <w:rPr>
          <w:rFonts w:ascii="Palatino Linotype" w:eastAsia="Palatino Linotype" w:hAnsi="Palatino Linotype" w:cs="Palatino Linotype"/>
          <w:i/>
          <w:sz w:val="22"/>
          <w:szCs w:val="22"/>
        </w:rPr>
        <w:t>conforme a los requerimientos de las unidades administrativas adscritas a la Universidad, con apego a la normatividad en la materia.</w:t>
      </w:r>
    </w:p>
    <w:p w14:paraId="4D456FCE"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7BDF0095" w14:textId="77777777" w:rsidR="00620366" w:rsidRPr="00446CC5" w:rsidRDefault="0031388A">
      <w:pPr>
        <w:spacing w:line="276" w:lineRule="auto"/>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 Elaborar la convocatoria y las bases para la adquisición de bienes, arrendamientos y contratación de servicios, así como intervenir en los procedimientos de licitación pública, invitación a cuando menos tres personas, invitación restringida y adjudicación directa.</w:t>
      </w:r>
    </w:p>
    <w:p w14:paraId="352650A9" w14:textId="77777777" w:rsidR="00620366" w:rsidRPr="00446CC5" w:rsidRDefault="0031388A">
      <w:pPr>
        <w:spacing w:line="276" w:lineRule="auto"/>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19F1390A"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5625FFB6"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Como se desprende de lo anterior, el Departamento de Recursos Materiales y Financieros es el área que se encarga de integrar el programa anual de adquisiciones y servicios; elaborar la convocatoria y las bases para la adquisición de bienes, arrendamientos y contratación de servicios; así como, intervenir en los procedimientos de licitación pública, invitación a cuando menos tres personas, invitación restringida y </w:t>
      </w:r>
      <w:r w:rsidRPr="00446CC5">
        <w:rPr>
          <w:rFonts w:ascii="Palatino Linotype" w:eastAsia="Palatino Linotype" w:hAnsi="Palatino Linotype" w:cs="Palatino Linotype"/>
          <w:b/>
          <w:sz w:val="22"/>
          <w:szCs w:val="22"/>
          <w:u w:val="single"/>
        </w:rPr>
        <w:t>adjudicación directa.</w:t>
      </w:r>
    </w:p>
    <w:p w14:paraId="0ACFC31C"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5F7CC26A" w14:textId="77777777" w:rsidR="00620366" w:rsidRPr="00446CC5" w:rsidRDefault="0031388A">
      <w:pPr>
        <w:spacing w:line="360" w:lineRule="auto"/>
        <w:jc w:val="both"/>
        <w:rPr>
          <w:sz w:val="22"/>
          <w:szCs w:val="22"/>
        </w:rPr>
      </w:pPr>
      <w:r w:rsidRPr="00446CC5">
        <w:rPr>
          <w:rFonts w:ascii="Palatino Linotype" w:eastAsia="Palatino Linotype" w:hAnsi="Palatino Linotype" w:cs="Palatino Linotype"/>
          <w:sz w:val="22"/>
          <w:szCs w:val="22"/>
        </w:rPr>
        <w:t xml:space="preserve">Por lo tanto, se advierte que quien se pronunció fue el servidor público habilitado de la unidad administrativa competente, dando cumplimiento al procedimiento para la atención a las solicitudes de acceso a la información, el cual se encuentra establecido en los artículos </w:t>
      </w:r>
      <w:r w:rsidRPr="00446CC5">
        <w:rPr>
          <w:rFonts w:ascii="Palatino Linotype" w:eastAsia="Palatino Linotype" w:hAnsi="Palatino Linotype" w:cs="Palatino Linotype"/>
          <w:sz w:val="22"/>
          <w:szCs w:val="22"/>
        </w:rPr>
        <w:lastRenderedPageBreak/>
        <w:t>151, 159, 160, 162, 163, 164, 165 y 166, de la Ley de Transparencia y Acceso a la Información Pública del Estado de México y Municipios, es el siguiente:</w:t>
      </w:r>
    </w:p>
    <w:p w14:paraId="503B5405" w14:textId="77777777" w:rsidR="00620366" w:rsidRPr="00446CC5" w:rsidRDefault="00620366">
      <w:pPr>
        <w:spacing w:line="360" w:lineRule="auto"/>
        <w:rPr>
          <w:sz w:val="22"/>
          <w:szCs w:val="22"/>
        </w:rPr>
      </w:pPr>
    </w:p>
    <w:p w14:paraId="0F1312CB" w14:textId="77777777" w:rsidR="00620366" w:rsidRPr="00446CC5" w:rsidRDefault="0031388A">
      <w:pPr>
        <w:numPr>
          <w:ilvl w:val="0"/>
          <w:numId w:val="1"/>
        </w:numPr>
        <w:spacing w:line="276"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9C4BA74" w14:textId="77777777" w:rsidR="00620366" w:rsidRPr="00446CC5" w:rsidRDefault="00620366">
      <w:pPr>
        <w:spacing w:line="276" w:lineRule="auto"/>
        <w:ind w:left="360"/>
        <w:jc w:val="both"/>
        <w:rPr>
          <w:rFonts w:ascii="Palatino Linotype" w:eastAsia="Palatino Linotype" w:hAnsi="Palatino Linotype" w:cs="Palatino Linotype"/>
          <w:sz w:val="22"/>
          <w:szCs w:val="22"/>
        </w:rPr>
      </w:pPr>
    </w:p>
    <w:p w14:paraId="3B31E3A2" w14:textId="77777777" w:rsidR="00620366" w:rsidRPr="00446CC5" w:rsidRDefault="0031388A">
      <w:pPr>
        <w:numPr>
          <w:ilvl w:val="0"/>
          <w:numId w:val="1"/>
        </w:numPr>
        <w:spacing w:line="276"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3F6A27C" w14:textId="77777777" w:rsidR="00620366" w:rsidRPr="00446CC5" w:rsidRDefault="00620366">
      <w:pPr>
        <w:spacing w:line="276" w:lineRule="auto"/>
        <w:ind w:left="720"/>
        <w:rPr>
          <w:rFonts w:ascii="Palatino Linotype" w:eastAsia="Palatino Linotype" w:hAnsi="Palatino Linotype" w:cs="Palatino Linotype"/>
          <w:sz w:val="22"/>
          <w:szCs w:val="22"/>
        </w:rPr>
      </w:pPr>
    </w:p>
    <w:p w14:paraId="27C4205A" w14:textId="77777777" w:rsidR="00620366" w:rsidRPr="00446CC5" w:rsidRDefault="0031388A">
      <w:pPr>
        <w:numPr>
          <w:ilvl w:val="0"/>
          <w:numId w:val="1"/>
        </w:numPr>
        <w:spacing w:line="276"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446CC5">
        <w:rPr>
          <w:rFonts w:ascii="Palatino Linotype" w:eastAsia="Palatino Linotype" w:hAnsi="Palatino Linotype" w:cs="Palatino Linotype"/>
          <w:b/>
          <w:sz w:val="22"/>
          <w:szCs w:val="22"/>
        </w:rPr>
        <w:t>quince días, contados a partir del día siguiente a la presentación de ésta.</w:t>
      </w:r>
      <w:r w:rsidRPr="00446CC5">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2A19E41B" w14:textId="77777777" w:rsidR="00620366" w:rsidRPr="00446CC5" w:rsidRDefault="00620366">
      <w:pPr>
        <w:spacing w:line="276" w:lineRule="auto"/>
        <w:ind w:left="720"/>
        <w:rPr>
          <w:rFonts w:ascii="Palatino Linotype" w:eastAsia="Palatino Linotype" w:hAnsi="Palatino Linotype" w:cs="Palatino Linotype"/>
          <w:sz w:val="22"/>
          <w:szCs w:val="22"/>
        </w:rPr>
      </w:pPr>
    </w:p>
    <w:p w14:paraId="3E509742" w14:textId="77777777" w:rsidR="00620366" w:rsidRPr="00446CC5" w:rsidRDefault="0031388A">
      <w:pPr>
        <w:numPr>
          <w:ilvl w:val="0"/>
          <w:numId w:val="1"/>
        </w:numPr>
        <w:spacing w:line="276" w:lineRule="auto"/>
        <w:jc w:val="both"/>
        <w:rPr>
          <w:rFonts w:ascii="Palatino Linotype" w:eastAsia="Palatino Linotype" w:hAnsi="Palatino Linotype" w:cs="Palatino Linotype"/>
          <w:b/>
          <w:sz w:val="22"/>
          <w:szCs w:val="22"/>
          <w:u w:val="single"/>
        </w:rPr>
      </w:pPr>
      <w:r w:rsidRPr="00446CC5">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4C78257" w14:textId="77777777" w:rsidR="00620366" w:rsidRPr="00446CC5" w:rsidRDefault="00620366">
      <w:pPr>
        <w:spacing w:line="276" w:lineRule="auto"/>
        <w:ind w:left="720"/>
        <w:rPr>
          <w:rFonts w:ascii="Palatino Linotype" w:eastAsia="Palatino Linotype" w:hAnsi="Palatino Linotype" w:cs="Palatino Linotype"/>
          <w:b/>
          <w:sz w:val="22"/>
          <w:szCs w:val="22"/>
          <w:u w:val="single"/>
        </w:rPr>
      </w:pPr>
    </w:p>
    <w:p w14:paraId="64E00265" w14:textId="77777777" w:rsidR="00620366" w:rsidRPr="00446CC5" w:rsidRDefault="0031388A">
      <w:pPr>
        <w:numPr>
          <w:ilvl w:val="0"/>
          <w:numId w:val="1"/>
        </w:numPr>
        <w:spacing w:line="276" w:lineRule="auto"/>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0C8BEC7" w14:textId="77777777" w:rsidR="00620366" w:rsidRPr="00446CC5" w:rsidRDefault="00620366">
      <w:pPr>
        <w:spacing w:line="276" w:lineRule="auto"/>
        <w:ind w:left="360"/>
        <w:jc w:val="both"/>
        <w:rPr>
          <w:rFonts w:ascii="Palatino Linotype" w:eastAsia="Palatino Linotype" w:hAnsi="Palatino Linotype" w:cs="Palatino Linotype"/>
          <w:b/>
          <w:sz w:val="22"/>
          <w:szCs w:val="22"/>
        </w:rPr>
      </w:pPr>
    </w:p>
    <w:p w14:paraId="304B82DB" w14:textId="77777777" w:rsidR="00620366" w:rsidRPr="00446CC5" w:rsidRDefault="0031388A">
      <w:pPr>
        <w:numPr>
          <w:ilvl w:val="0"/>
          <w:numId w:val="1"/>
        </w:numPr>
        <w:spacing w:line="276" w:lineRule="auto"/>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sz w:val="22"/>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5BE7C5A1" w14:textId="77777777" w:rsidR="00620366" w:rsidRPr="00446CC5" w:rsidRDefault="00620366">
      <w:pPr>
        <w:spacing w:line="360" w:lineRule="auto"/>
        <w:rPr>
          <w:sz w:val="22"/>
          <w:szCs w:val="22"/>
        </w:rPr>
      </w:pPr>
    </w:p>
    <w:p w14:paraId="65958E0F" w14:textId="77777777" w:rsidR="00620366" w:rsidRPr="00446CC5" w:rsidRDefault="0031388A">
      <w:pPr>
        <w:spacing w:line="360" w:lineRule="auto"/>
        <w:ind w:right="49"/>
        <w:jc w:val="both"/>
        <w:rPr>
          <w:rFonts w:ascii="Palatino Linotype" w:eastAsia="Palatino Linotype" w:hAnsi="Palatino Linotype" w:cs="Palatino Linotype"/>
          <w:b/>
          <w:sz w:val="22"/>
          <w:szCs w:val="22"/>
          <w:u w:val="single"/>
        </w:rPr>
      </w:pPr>
      <w:r w:rsidRPr="00446CC5">
        <w:rPr>
          <w:rFonts w:ascii="Palatino Linotype" w:eastAsia="Palatino Linotype" w:hAnsi="Palatino Linotype" w:cs="Palatino Linotype"/>
          <w:sz w:val="22"/>
          <w:szCs w:val="22"/>
        </w:rPr>
        <w:t xml:space="preserve">En ese sentido, se tiene que, </w:t>
      </w:r>
      <w:r w:rsidRPr="00446CC5">
        <w:rPr>
          <w:rFonts w:ascii="Palatino Linotype" w:eastAsia="Palatino Linotype" w:hAnsi="Palatino Linotype" w:cs="Palatino Linotype"/>
          <w:b/>
          <w:sz w:val="22"/>
          <w:szCs w:val="22"/>
          <w:u w:val="single"/>
        </w:rPr>
        <w:t>el procedimiento de búsqueda de la información se tiene por atendido.</w:t>
      </w:r>
    </w:p>
    <w:p w14:paraId="3577D26E"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50D09EE6"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Ahora, atendiendo la naturaleza de la información requerida y del procedimiento de adjudicación directa respecto de la cual se requiere la misma, resulta conveniente traer a contexto el contenido de los artículos: 1 del Decreto</w:t>
      </w:r>
      <w:r w:rsidRPr="00446CC5">
        <w:t xml:space="preserve"> </w:t>
      </w:r>
      <w:r w:rsidRPr="00446CC5">
        <w:rPr>
          <w:rFonts w:ascii="Palatino Linotype" w:eastAsia="Palatino Linotype" w:hAnsi="Palatino Linotype" w:cs="Palatino Linotype"/>
          <w:sz w:val="22"/>
          <w:szCs w:val="22"/>
        </w:rPr>
        <w:t>del Ejecutivo del Estado por el que se crea el Organismo Público Descentralizado de carácter Estatal denominado “Universidad Estatal del Valle de Toluca”; así como, los numerales 1, fracción VI, 26, 35, 36, 36 bis, 37 y 40 de Ley de Adquisiciones, Arrendamientos y Servicios del Sector Público, que disponen lo siguiente:</w:t>
      </w:r>
    </w:p>
    <w:p w14:paraId="6E6CCEB2" w14:textId="77777777" w:rsidR="00620366" w:rsidRPr="00446CC5" w:rsidRDefault="0031388A">
      <w:pPr>
        <w:ind w:left="567" w:right="474"/>
        <w:jc w:val="center"/>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u w:val="single"/>
        </w:rPr>
        <w:t>Decreto del Ejecutivo del Estado por el que se crea el Organismo Público Descentralizado de carácter Estatal denominado “Universidad Estatal del Valle de Toluca”</w:t>
      </w:r>
    </w:p>
    <w:p w14:paraId="5F426724" w14:textId="77777777" w:rsidR="00620366" w:rsidRPr="00446CC5" w:rsidRDefault="00620366">
      <w:pPr>
        <w:ind w:left="567" w:right="616"/>
        <w:jc w:val="both"/>
        <w:rPr>
          <w:rFonts w:ascii="Palatino Linotype" w:eastAsia="Palatino Linotype" w:hAnsi="Palatino Linotype" w:cs="Palatino Linotype"/>
          <w:i/>
          <w:sz w:val="22"/>
          <w:szCs w:val="22"/>
        </w:rPr>
      </w:pPr>
    </w:p>
    <w:p w14:paraId="117BC040" w14:textId="77777777" w:rsidR="00620366" w:rsidRPr="00446CC5" w:rsidRDefault="0031388A">
      <w:pPr>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i/>
          <w:sz w:val="22"/>
          <w:szCs w:val="22"/>
          <w:u w:val="single"/>
        </w:rPr>
        <w:t>Artículo 1.- Se crea la Universidad Estatal del Valle de Toluca como un organismo público descentralizado del Gobierno del Estado de México</w:t>
      </w:r>
      <w:r w:rsidRPr="00446CC5">
        <w:rPr>
          <w:rFonts w:ascii="Palatino Linotype" w:eastAsia="Palatino Linotype" w:hAnsi="Palatino Linotype" w:cs="Palatino Linotype"/>
          <w:i/>
          <w:sz w:val="22"/>
          <w:szCs w:val="22"/>
        </w:rPr>
        <w:t xml:space="preserve">, con personalidad jurídica y patrimonio propios, con domicilio social en el municipio de Ocoyoacac y </w:t>
      </w:r>
      <w:r w:rsidRPr="00446CC5">
        <w:rPr>
          <w:rFonts w:ascii="Palatino Linotype" w:eastAsia="Palatino Linotype" w:hAnsi="Palatino Linotype" w:cs="Palatino Linotype"/>
          <w:i/>
          <w:sz w:val="22"/>
          <w:szCs w:val="22"/>
          <w:u w:val="single"/>
        </w:rPr>
        <w:t>sectorizada a la Secretaría de Educación</w:t>
      </w:r>
      <w:r w:rsidRPr="00446CC5">
        <w:rPr>
          <w:rFonts w:ascii="Palatino Linotype" w:eastAsia="Palatino Linotype" w:hAnsi="Palatino Linotype" w:cs="Palatino Linotype"/>
          <w:i/>
          <w:sz w:val="22"/>
          <w:szCs w:val="22"/>
        </w:rPr>
        <w:t>.”</w:t>
      </w:r>
    </w:p>
    <w:p w14:paraId="538B0781" w14:textId="77777777" w:rsidR="00620366" w:rsidRPr="00446CC5" w:rsidRDefault="00620366">
      <w:pPr>
        <w:rPr>
          <w:rFonts w:ascii="Palatino Linotype" w:eastAsia="Palatino Linotype" w:hAnsi="Palatino Linotype" w:cs="Palatino Linotype"/>
          <w:sz w:val="22"/>
          <w:szCs w:val="22"/>
        </w:rPr>
      </w:pPr>
    </w:p>
    <w:p w14:paraId="17ABB8CE" w14:textId="77777777" w:rsidR="00620366" w:rsidRPr="00446CC5" w:rsidRDefault="0031388A">
      <w:pPr>
        <w:tabs>
          <w:tab w:val="left" w:pos="851"/>
        </w:tabs>
        <w:ind w:left="567" w:right="616"/>
        <w:jc w:val="center"/>
        <w:rPr>
          <w:rFonts w:ascii="Palatino Linotype" w:eastAsia="Palatino Linotype" w:hAnsi="Palatino Linotype" w:cs="Palatino Linotype"/>
          <w:b/>
          <w:i/>
          <w:sz w:val="22"/>
          <w:szCs w:val="22"/>
          <w:u w:val="single"/>
        </w:rPr>
      </w:pPr>
      <w:r w:rsidRPr="00446CC5">
        <w:rPr>
          <w:rFonts w:ascii="Palatino Linotype" w:eastAsia="Palatino Linotype" w:hAnsi="Palatino Linotype" w:cs="Palatino Linotype"/>
          <w:b/>
          <w:i/>
          <w:sz w:val="22"/>
          <w:szCs w:val="22"/>
          <w:u w:val="single"/>
        </w:rPr>
        <w:t>Ley de Adquisiciones, Arrendamientos y Servicios del Sector Público</w:t>
      </w:r>
    </w:p>
    <w:p w14:paraId="31DD819E"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19C24884"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“Artículo 1. La presente Ley es de orden público y tiene por objeto reglamentar la aplicación del artículo 134 de la Constitución Política de los Estados Unidos Mexicanos en materia de las adquisiciones, arrendamientos de bienes muebles y prestación de servicios de cualquier naturaleza, que realicen:</w:t>
      </w:r>
    </w:p>
    <w:p w14:paraId="4D64B9AF"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2C343E39" w14:textId="77777777" w:rsidR="00620366" w:rsidRPr="00446CC5" w:rsidRDefault="0031388A">
      <w:pPr>
        <w:tabs>
          <w:tab w:val="left" w:pos="851"/>
        </w:tabs>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lastRenderedPageBreak/>
        <w:t>IV. Los organismos descentralizados;</w:t>
      </w:r>
    </w:p>
    <w:p w14:paraId="6B43EDC4"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280568F9"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7298DA2B"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Artículo 3.- Para los efectos de esta Ley, entre las adquisiciones, arrendamientos y servicios, quedan comprendidos:</w:t>
      </w:r>
    </w:p>
    <w:p w14:paraId="6CF688EC"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48EFB5C1"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VI. La prestación de servicios de largo plazo que involucren recursos de varios ejercicios fiscales, a cargo de un inversionista proveedor, el cual se obliga a proporcionarlos con los activos que provea por sí o a través de un tercero</w:t>
      </w:r>
      <w:r w:rsidRPr="00446CC5">
        <w:rPr>
          <w:rFonts w:ascii="Palatino Linotype" w:eastAsia="Palatino Linotype" w:hAnsi="Palatino Linotype" w:cs="Palatino Linotype"/>
          <w:i/>
          <w:sz w:val="22"/>
          <w:szCs w:val="22"/>
        </w:rPr>
        <w:t>, de conformidad con un proyecto para la prestación de dichos servicios; […]”</w:t>
      </w:r>
    </w:p>
    <w:p w14:paraId="2F1C75DF"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71E2ADCC"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Artículo 26. 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 </w:t>
      </w:r>
    </w:p>
    <w:p w14:paraId="20325762"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464F1036"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 Licitación pública; </w:t>
      </w:r>
    </w:p>
    <w:p w14:paraId="622DB7A4"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II. Invitación a cuando menos tres personas, o </w:t>
      </w:r>
    </w:p>
    <w:p w14:paraId="0EEAE81F"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III. Adjudicación directa.</w:t>
      </w:r>
    </w:p>
    <w:p w14:paraId="64D7A30F" w14:textId="77777777" w:rsidR="00620366" w:rsidRPr="00446CC5" w:rsidRDefault="00620366">
      <w:pPr>
        <w:tabs>
          <w:tab w:val="left" w:pos="851"/>
        </w:tabs>
        <w:ind w:left="567" w:right="616"/>
        <w:jc w:val="both"/>
        <w:rPr>
          <w:rFonts w:ascii="Palatino Linotype" w:eastAsia="Palatino Linotype" w:hAnsi="Palatino Linotype" w:cs="Palatino Linotype"/>
          <w:i/>
          <w:sz w:val="14"/>
          <w:szCs w:val="14"/>
        </w:rPr>
      </w:pPr>
    </w:p>
    <w:p w14:paraId="3F976053"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Las adquisiciones, arrendamientos y servicios se adjudicarán, por regla general,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w:t>
      </w:r>
      <w:r w:rsidRPr="00446CC5">
        <w:rPr>
          <w:rFonts w:ascii="Palatino Linotype" w:eastAsia="Palatino Linotype" w:hAnsi="Palatino Linotype" w:cs="Palatino Linotype"/>
          <w:i/>
          <w:sz w:val="22"/>
          <w:szCs w:val="22"/>
        </w:rPr>
        <w:t xml:space="preserve">, de acuerdo con lo que establece la presente Ley. </w:t>
      </w:r>
    </w:p>
    <w:p w14:paraId="2D571CE1"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01FBBD95"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En los procedimientos de contratación deberán establecerse los mismos requisitos y condiciones para todos los participantes, debiendo las dependencias y entidades proporcionar a todos los interesados igual acceso a la información relacionada con dichos procedimientos, a fin de evitar favorecer a algún participante. </w:t>
      </w:r>
    </w:p>
    <w:p w14:paraId="31A4A870"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Previo al inicio de los procedimientos de contratación previstos en este artículo, las dependencias y entidades deberán realizar una investigación de mercado de la cual se desprendan las condiciones que imperan en el mismo, respecto del bien, arrendamiento o servicio objeto de la contratación, a efecto de buscar las mejores condiciones para el Estado.”</w:t>
      </w:r>
    </w:p>
    <w:p w14:paraId="14DEAA15"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3D2FA67F" w14:textId="77777777" w:rsidR="00620366" w:rsidRPr="00446CC5" w:rsidRDefault="0031388A">
      <w:pPr>
        <w:tabs>
          <w:tab w:val="left" w:pos="851"/>
        </w:tabs>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 xml:space="preserve">Artículo 35. El acto de presentación y apertura de proposiciones se llevará a cabo en el día, lugar y hora previstos en la convocatoria a la licitación, conforme a lo siguiente: </w:t>
      </w:r>
    </w:p>
    <w:p w14:paraId="681318D2"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3FAC2374"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 Una vez recibidas las proposiciones en sobre cerrado, se procederá a su apertura, haciéndose constar la documentación presentada, sin que ello implique la evaluación de su contenido; </w:t>
      </w:r>
    </w:p>
    <w:p w14:paraId="49D8F9F3"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23F9ACD5"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II. De entre los licitantes que hayan asistido, éstos elegirán a uno, que en forma conjunta con el servidor público que la dependencia o entidad designe, rubricarán las partes de las proposiciones que previamente haya determinado la convocante en la convocatoria a la licitación, las que para estos efectos constarán documentalmente, y </w:t>
      </w:r>
    </w:p>
    <w:p w14:paraId="3C681AC8"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00D8355D"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III. 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14:paraId="0183E7F0"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3C6589AD"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 Tratándose de licitaciones en las que se utilice la modalidad de ofertas subsecuentes de descuentos, después de la evaluación técnica, se indicará cuando se dará inicio a las pujas de los licitantes.”</w:t>
      </w:r>
    </w:p>
    <w:p w14:paraId="1E5F8CA0"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52A28807" w14:textId="77777777" w:rsidR="00620366" w:rsidRPr="00446CC5" w:rsidRDefault="0031388A">
      <w:pPr>
        <w:tabs>
          <w:tab w:val="left" w:pos="851"/>
        </w:tabs>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 xml:space="preserve">Artículo 36. Las dependencias y entidades para la </w:t>
      </w:r>
      <w:r w:rsidRPr="00446CC5">
        <w:rPr>
          <w:rFonts w:ascii="Palatino Linotype" w:eastAsia="Palatino Linotype" w:hAnsi="Palatino Linotype" w:cs="Palatino Linotype"/>
          <w:b/>
          <w:i/>
          <w:sz w:val="22"/>
          <w:szCs w:val="22"/>
          <w:u w:val="single"/>
        </w:rPr>
        <w:t>evaluación</w:t>
      </w:r>
      <w:r w:rsidRPr="00446CC5">
        <w:rPr>
          <w:rFonts w:ascii="Palatino Linotype" w:eastAsia="Palatino Linotype" w:hAnsi="Palatino Linotype" w:cs="Palatino Linotype"/>
          <w:b/>
          <w:i/>
          <w:sz w:val="22"/>
          <w:szCs w:val="22"/>
        </w:rPr>
        <w:t xml:space="preserve"> de las proposiciones deberán utilizar el criterio indicado en la convocatoria a la licitación. </w:t>
      </w:r>
    </w:p>
    <w:p w14:paraId="40494D55"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57289915"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En todos los casos las convocantes deberán verificar que las proposiciones cumplan con los requisitos solicitados en la convocatoria a la licitación; </w:t>
      </w:r>
      <w:r w:rsidRPr="00446CC5">
        <w:rPr>
          <w:rFonts w:ascii="Palatino Linotype" w:eastAsia="Palatino Linotype" w:hAnsi="Palatino Linotype" w:cs="Palatino Linotype"/>
          <w:b/>
          <w:i/>
          <w:sz w:val="22"/>
          <w:szCs w:val="22"/>
        </w:rPr>
        <w:t>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w:t>
      </w:r>
      <w:r w:rsidRPr="00446CC5">
        <w:rPr>
          <w:rFonts w:ascii="Palatino Linotype" w:eastAsia="Palatino Linotype" w:hAnsi="Palatino Linotype" w:cs="Palatino Linotype"/>
          <w:i/>
          <w:sz w:val="22"/>
          <w:szCs w:val="22"/>
        </w:rPr>
        <w:t xml:space="preserve"> En este supuesto, </w:t>
      </w:r>
      <w:r w:rsidRPr="00446CC5">
        <w:rPr>
          <w:rFonts w:ascii="Palatino Linotype" w:eastAsia="Palatino Linotype" w:hAnsi="Palatino Linotype" w:cs="Palatino Linotype"/>
          <w:b/>
          <w:i/>
          <w:sz w:val="22"/>
          <w:szCs w:val="22"/>
        </w:rPr>
        <w:t xml:space="preserve">la convocante evaluará al menos las dos proposiciones cuyo precio resulte ser más bajo; de no resultar éstas solventes, se evaluarán las que les sigan en precio. </w:t>
      </w:r>
    </w:p>
    <w:p w14:paraId="4B85A759"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6171F0AC"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lastRenderedPageBreak/>
        <w:t xml:space="preserve">Cuando las dependencias y entidades requieran obtener bienes, arrendamientos o servicios que conlleven el uso de características de alta especialidad técnica o de innovación tecnología, deberán utilizar el criterio de evaluación de puntos y porcentajes o de costo beneficio. </w:t>
      </w:r>
    </w:p>
    <w:p w14:paraId="6B2AF38A"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69CDD50A"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w:t>
      </w:r>
    </w:p>
    <w:p w14:paraId="1872CDA8"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07486486"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7F452EE2"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1C249BE0" w14:textId="77777777" w:rsidR="00620366" w:rsidRPr="00446CC5" w:rsidRDefault="0031388A">
      <w:pPr>
        <w:tabs>
          <w:tab w:val="left" w:pos="851"/>
        </w:tabs>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 xml:space="preserve">Artículo 36 Bis. Una vez hecha la evaluación de las proposiciones, el contrato se adjudicará al licitante cuya oferta resulte solvente, porque cumple con los requisitos legales, técnicos y económicos establecidos en la convocatoria a la licitación, y por tanto garantiza el cumplimiento de las obligaciones respectivas y, en su caso: </w:t>
      </w:r>
    </w:p>
    <w:p w14:paraId="437C98F2"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1E045B13"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 La proposición haya obtenido el mejor resultado en la evaluación combinada de puntos y porcentajes, o bien, de costo beneficio; </w:t>
      </w:r>
    </w:p>
    <w:p w14:paraId="2826B59B"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7011BCA5"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II. De no haberse utilizado las modalidades mencionadas en la fracción anterior, la proposición hubiera ofertado el precio más bajo, siempre y cuando éste resulte conveniente. Los precios ofertados que se encuentren por debajo del precio conveniente, podrán ser desechados por la convocante, y </w:t>
      </w:r>
    </w:p>
    <w:p w14:paraId="737EEEC3"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679AB389"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III. A quien oferte el precio más bajo que resulte del uso de la modalidad de ofertas subsecuentes de descuentos, siempre y cuando la proposición resulte solvente técnica y económicamente. </w:t>
      </w:r>
    </w:p>
    <w:p w14:paraId="34E682FC"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0A3BCCD3"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Para los casos señalados en las fracciones I y II de este artículo, en caso de existir igualdad de condiciones, se dará preferencia a las personas que integren el sector de micro, pequeñas y medianas empresas nacionales. </w:t>
      </w:r>
    </w:p>
    <w:p w14:paraId="332D74DF"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71E96E05"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De subsistir el empate entre las personas del sector señalado, la adjudicación se efectuará a favor del licitante que resulte ganador del sorteo que se realice en términos del Reglamento de esta Ley. En las licitaciones públicas que cuenten con la participación de un testigo social, éste invariablemente deberá ser invitado al mismo. Igualmente será convocado un representante del órgano interno de control de la dependencia o entidad de que se trate.”</w:t>
      </w:r>
    </w:p>
    <w:p w14:paraId="232E9BF2"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4E215C91"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Artículo 37. La convocante emitirá un fallo, el cual deberá contener lo siguiente:</w:t>
      </w:r>
      <w:r w:rsidRPr="00446CC5">
        <w:rPr>
          <w:rFonts w:ascii="Palatino Linotype" w:eastAsia="Palatino Linotype" w:hAnsi="Palatino Linotype" w:cs="Palatino Linotype"/>
          <w:i/>
          <w:sz w:val="22"/>
          <w:szCs w:val="22"/>
        </w:rPr>
        <w:t xml:space="preserve"> </w:t>
      </w:r>
    </w:p>
    <w:p w14:paraId="70E915B8"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38F31507"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 La relación de licitantes cuyas proposiciones se desecharon, expresando todas las razones legales, técnicas o económicas que sustentan tal determinación e indicando los puntos de la convocatoria que en cada caso se incumpla; </w:t>
      </w:r>
    </w:p>
    <w:p w14:paraId="607A77A5"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554CE76E"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II. La relación de licitantes cuyas proposiciones resultaron solventes, describiendo en lo general dichas proposiciones. Se presumirá la solvencia de las proposiciones, cuando no se señale expresamente incumplimiento alguno; </w:t>
      </w:r>
    </w:p>
    <w:p w14:paraId="025755C9"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6B82A5EE"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III. En caso de que se determine que el precio de una proposición no es aceptable o no es conveniente, se deberá anexar copia de la investigación de precios realizada o del cálculo correspondiente; </w:t>
      </w:r>
    </w:p>
    <w:p w14:paraId="0E249839"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2CF07762"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IV. Nombre del o los licitantes a quien se adjudica el contrato, indicando las razones que motivaron la adjudicación, de acuerdo a los criterios previstos en la convocatoria, así como la indicación de la o las partidas, los conceptos y montos asignados a cada licitante; </w:t>
      </w:r>
    </w:p>
    <w:p w14:paraId="2020B8AE"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2259A907"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V. Fecha, lugar y hora para la firma del contrato, la presentación de garantías y, en su caso, la entrega de anticipos, y </w:t>
      </w:r>
    </w:p>
    <w:p w14:paraId="64B645C3"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3F9F29F9"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VI. Nombre, cargo y firma del servidor público que lo emite, señalando sus facultades de acuerdo con los ordenamientos jurídicos que rijan a la convocante. Indicará también el nombre y cargo de los responsables de la evaluación de las proposiciones.”</w:t>
      </w:r>
    </w:p>
    <w:p w14:paraId="581A1105"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7B0BC54E" w14:textId="77777777" w:rsidR="00620366" w:rsidRPr="00446CC5" w:rsidRDefault="0031388A">
      <w:pPr>
        <w:tabs>
          <w:tab w:val="left" w:pos="851"/>
        </w:tabs>
        <w:ind w:left="567" w:right="616"/>
        <w:jc w:val="both"/>
        <w:rPr>
          <w:rFonts w:ascii="Palatino Linotype" w:eastAsia="Palatino Linotype" w:hAnsi="Palatino Linotype" w:cs="Palatino Linotype"/>
          <w:b/>
          <w:i/>
          <w:sz w:val="22"/>
          <w:szCs w:val="22"/>
          <w:u w:val="single"/>
        </w:rPr>
      </w:pPr>
      <w:r w:rsidRPr="00446CC5">
        <w:rPr>
          <w:rFonts w:ascii="Palatino Linotype" w:eastAsia="Palatino Linotype" w:hAnsi="Palatino Linotype" w:cs="Palatino Linotype"/>
          <w:i/>
          <w:sz w:val="22"/>
          <w:szCs w:val="22"/>
        </w:rPr>
        <w:lastRenderedPageBreak/>
        <w:t xml:space="preserve">“Artículo 40.- </w:t>
      </w:r>
      <w:r w:rsidRPr="00446CC5">
        <w:rPr>
          <w:rFonts w:ascii="Palatino Linotype" w:eastAsia="Palatino Linotype" w:hAnsi="Palatino Linotype" w:cs="Palatino Linotype"/>
          <w:b/>
          <w:i/>
          <w:sz w:val="22"/>
          <w:szCs w:val="22"/>
        </w:rPr>
        <w:t>En los supuestos que prevé el artículo 41 de esta Ley, las dependencias y entidades, bajo su responsabilidad, podrán optar por no llevar a cabo el procedimiento de licitación pública y celebrar contratos a través de los procedimientos de</w:t>
      </w:r>
      <w:r w:rsidRPr="00446CC5">
        <w:rPr>
          <w:rFonts w:ascii="Palatino Linotype" w:eastAsia="Palatino Linotype" w:hAnsi="Palatino Linotype" w:cs="Palatino Linotype"/>
          <w:i/>
          <w:sz w:val="22"/>
          <w:szCs w:val="22"/>
        </w:rPr>
        <w:t xml:space="preserve"> invitación a cuando menos tres personas o de </w:t>
      </w:r>
      <w:r w:rsidRPr="00446CC5">
        <w:rPr>
          <w:rFonts w:ascii="Palatino Linotype" w:eastAsia="Palatino Linotype" w:hAnsi="Palatino Linotype" w:cs="Palatino Linotype"/>
          <w:b/>
          <w:i/>
          <w:sz w:val="22"/>
          <w:szCs w:val="22"/>
          <w:u w:val="single"/>
        </w:rPr>
        <w:t xml:space="preserve">adjudicación directa. </w:t>
      </w:r>
    </w:p>
    <w:p w14:paraId="0D9D2F09"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62221CBF"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La selección del procedimiento de excepción que realicen las dependencias y entidades deberá fundarse y motivarse, según las circunstancias que concurran en cada caso, en criterios de economía, eficacia, eficiencia, imparcialidad, honradez y transparencia que resulten procedentes para obtener las mejores condiciones para el Estado</w:t>
      </w:r>
      <w:r w:rsidRPr="00446CC5">
        <w:rPr>
          <w:rFonts w:ascii="Palatino Linotype" w:eastAsia="Palatino Linotype" w:hAnsi="Palatino Linotype" w:cs="Palatino Linotype"/>
          <w:i/>
          <w:sz w:val="22"/>
          <w:szCs w:val="22"/>
        </w:rPr>
        <w:t xml:space="preserve">. El acreditamiento del o los criterios en los que se funda; así como la justificación de las razones en las que se sustente el ejercicio de la opción, deberán constar por escrito y ser firmado por el titular del área usuaria o requirente de los bienes o servicios. </w:t>
      </w:r>
    </w:p>
    <w:p w14:paraId="51B5B93B"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438FF136"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En cualquier supuesto se invitará a personas que cuenten con capacidad de respuesta inmediata, así como con los recursos técnicos, financieros y demás que sean necesarios, y cuyas actividades comerciales o profesionales estén relacionadas con los bienes o servicios objeto del contrato a celebrarse</w:t>
      </w:r>
      <w:r w:rsidRPr="00446CC5">
        <w:rPr>
          <w:rFonts w:ascii="Palatino Linotype" w:eastAsia="Palatino Linotype" w:hAnsi="Palatino Linotype" w:cs="Palatino Linotype"/>
          <w:i/>
          <w:sz w:val="22"/>
          <w:szCs w:val="22"/>
        </w:rPr>
        <w:t xml:space="preserve">. </w:t>
      </w:r>
    </w:p>
    <w:p w14:paraId="04258A39"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2F346BDF" w14:textId="77777777" w:rsidR="00620366" w:rsidRPr="00446CC5" w:rsidRDefault="0031388A">
      <w:pPr>
        <w:tabs>
          <w:tab w:val="left" w:pos="851"/>
        </w:tabs>
        <w:ind w:left="567" w:right="616"/>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En estos casos, el titular del área responsable de la contratación, a más tardar el último día hábil de cada mes, enviará al órgano interno de control en la dependencia o entidad de que se trate, un informe relativo a los contratos formalizados durante el mes calendario inmediato anterior, acompañando copia del escrito aludido en este artículo y </w:t>
      </w:r>
      <w:r w:rsidRPr="00446CC5">
        <w:rPr>
          <w:rFonts w:ascii="Palatino Linotype" w:eastAsia="Palatino Linotype" w:hAnsi="Palatino Linotype" w:cs="Palatino Linotype"/>
          <w:b/>
          <w:i/>
          <w:sz w:val="22"/>
          <w:szCs w:val="22"/>
        </w:rPr>
        <w:t>de un dictamen en el que se hará constar el análisis de la o las proposiciones y las razones para la adjudicación del contrato.</w:t>
      </w:r>
      <w:r w:rsidRPr="00446CC5">
        <w:rPr>
          <w:rFonts w:ascii="Palatino Linotype" w:eastAsia="Palatino Linotype" w:hAnsi="Palatino Linotype" w:cs="Palatino Linotype"/>
          <w:i/>
          <w:sz w:val="22"/>
          <w:szCs w:val="22"/>
        </w:rPr>
        <w:t xml:space="preserve"> No será necesario rendir este informe en las operaciones que se realicen al amparo del artículo 41 fracciones IV y XII, de este ordenamiento. </w:t>
      </w:r>
    </w:p>
    <w:p w14:paraId="091B2893" w14:textId="77777777" w:rsidR="00620366" w:rsidRPr="00446CC5" w:rsidRDefault="00620366">
      <w:pPr>
        <w:tabs>
          <w:tab w:val="left" w:pos="851"/>
        </w:tabs>
        <w:ind w:left="567" w:right="616"/>
        <w:jc w:val="both"/>
        <w:rPr>
          <w:rFonts w:ascii="Palatino Linotype" w:eastAsia="Palatino Linotype" w:hAnsi="Palatino Linotype" w:cs="Palatino Linotype"/>
          <w:i/>
          <w:sz w:val="22"/>
          <w:szCs w:val="22"/>
        </w:rPr>
      </w:pPr>
    </w:p>
    <w:p w14:paraId="71F04BB8" w14:textId="77777777" w:rsidR="00620366" w:rsidRPr="00446CC5" w:rsidRDefault="0031388A">
      <w:pPr>
        <w:tabs>
          <w:tab w:val="left" w:pos="851"/>
        </w:tabs>
        <w:ind w:left="567" w:right="616"/>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i/>
          <w:sz w:val="22"/>
          <w:szCs w:val="22"/>
        </w:rPr>
        <w:t xml:space="preserve">En caso del procedimiento de invitación a cuando menos tres personas fundamentados en las fracciones III, VII, VIII, IX primer párrafo, X, XI, XII, XIV, XV, XVI, XVII y XIX del artículo 41 de esta Ley, el escrito a que se refiere el segundo párrafo de este artículo, deberá estar acompañado de los nombres y datos generales de las personas que serán invitadas; </w:t>
      </w:r>
      <w:r w:rsidRPr="00446CC5">
        <w:rPr>
          <w:rFonts w:ascii="Palatino Linotype" w:eastAsia="Palatino Linotype" w:hAnsi="Palatino Linotype" w:cs="Palatino Linotype"/>
          <w:b/>
          <w:i/>
          <w:sz w:val="22"/>
          <w:szCs w:val="22"/>
        </w:rPr>
        <w:t>tratándose de adjudicaciones directas, en todos los casos deberá indicarse el nombre de la persona a quien se propone realizarla; en ambos procedimientos, deberá acompañarse el resultado de la investigación de mercado que sirvió de base para su selección.”</w:t>
      </w:r>
    </w:p>
    <w:p w14:paraId="2A95B427" w14:textId="77777777" w:rsidR="00620366" w:rsidRPr="00446CC5" w:rsidRDefault="00620366">
      <w:pPr>
        <w:tabs>
          <w:tab w:val="left" w:pos="851"/>
        </w:tabs>
        <w:ind w:left="567" w:right="616"/>
        <w:jc w:val="both"/>
        <w:rPr>
          <w:rFonts w:ascii="Palatino Linotype" w:eastAsia="Palatino Linotype" w:hAnsi="Palatino Linotype" w:cs="Palatino Linotype"/>
          <w:b/>
          <w:i/>
          <w:sz w:val="22"/>
          <w:szCs w:val="22"/>
        </w:rPr>
      </w:pPr>
    </w:p>
    <w:p w14:paraId="4C2CFBA2" w14:textId="77777777" w:rsidR="00620366" w:rsidRPr="00446CC5" w:rsidRDefault="0031388A">
      <w:pPr>
        <w:tabs>
          <w:tab w:val="left" w:pos="851"/>
        </w:tabs>
        <w:ind w:left="567" w:right="616"/>
        <w:jc w:val="right"/>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 (Énfasis añadido)</w:t>
      </w:r>
    </w:p>
    <w:p w14:paraId="74BE49EB" w14:textId="77777777" w:rsidR="00620366" w:rsidRPr="00446CC5" w:rsidRDefault="00620366">
      <w:pPr>
        <w:tabs>
          <w:tab w:val="left" w:pos="851"/>
        </w:tabs>
        <w:spacing w:line="276" w:lineRule="auto"/>
        <w:ind w:left="567" w:right="616"/>
        <w:rPr>
          <w:rFonts w:ascii="Palatino Linotype" w:eastAsia="Palatino Linotype" w:hAnsi="Palatino Linotype" w:cs="Palatino Linotype"/>
          <w:i/>
          <w:sz w:val="22"/>
          <w:szCs w:val="22"/>
        </w:rPr>
      </w:pPr>
    </w:p>
    <w:p w14:paraId="4326B4EE"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Es de señalar que los numerales anteriormente descritos fueron tomados como base por la  Universidad Estatal del Valle de Toluca para el desarrollo del procedimiento de adjudicación directa del servicio de cafetería referido por el particular, tal y como se desprende de la lectura al fallo de adjudicación antes citado; destacándose de los mismos lo siguiente:</w:t>
      </w:r>
    </w:p>
    <w:p w14:paraId="3EF7F257"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4918D251"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La Universidad Estatal del Valle de Toluca es un organismo público descentralizado del Gobierno del Estado de México sectorizado a la hoy Secretaría de Educación, Ciencia, Tecnología e Innovación, a la cual le resulta aplicable la Ley de Adquisiciones, Arrendamientos y Servicios del Sector Público.</w:t>
      </w:r>
    </w:p>
    <w:p w14:paraId="584937AE" w14:textId="77777777" w:rsidR="00620366" w:rsidRPr="00446CC5" w:rsidRDefault="0062036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0BE9E847"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Que dentro de los procedimiento de adquisición que el ente público puede llevar a cabo se encuentra la licitación pública, invitación a cuando menos tres personas o la </w:t>
      </w:r>
      <w:r w:rsidRPr="00446CC5">
        <w:rPr>
          <w:rFonts w:ascii="Palatino Linotype" w:eastAsia="Palatino Linotype" w:hAnsi="Palatino Linotype" w:cs="Palatino Linotype"/>
          <w:b/>
          <w:sz w:val="22"/>
          <w:szCs w:val="22"/>
          <w:u w:val="single"/>
        </w:rPr>
        <w:t>adjudicación directa.</w:t>
      </w:r>
    </w:p>
    <w:p w14:paraId="2780AC02"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0E5395C2"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Las adquisiciones, arrendamientos y servicios se adjudicarán, por regla general,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crecimiento económico, entre otros aspectos.</w:t>
      </w:r>
    </w:p>
    <w:p w14:paraId="37A4DC77"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4AAA826B"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Las dependencias, bajo su responsabilidad, podrán optar por no llevar a cabo el procedimiento de licitación pública y celebrar contratos a través de procedimientos como de adjudicación directa.</w:t>
      </w:r>
    </w:p>
    <w:p w14:paraId="0A5A1DC3"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3E3481FB"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Respecto al procedimiento de adjudicación directa en estudio, le resultaron aplicables las reglas para la licitación pública, en cuanto a la convocatoria, el acto de presentación y apertura de proposiciones, la evaluación de estas últimas, adjudicación del contrato y emisión del fallo correspondiente; tal y como se desprende de dicho fallo de adjudicación antes citado.</w:t>
      </w:r>
    </w:p>
    <w:p w14:paraId="7F6B403D"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508C5DFE"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Dentro del procedimiento de adjudicación directa, se desprende que, una vez recibidas las proposiciones en sobre cerrado, se procederá a su apertura, haciéndose constar la documentación presentada, sin que ello implique la evaluación de su contenido.</w:t>
      </w:r>
    </w:p>
    <w:p w14:paraId="33FEC09A"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4F2F99EE"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Respecto al tema de la </w:t>
      </w:r>
      <w:r w:rsidRPr="00446CC5">
        <w:rPr>
          <w:rFonts w:ascii="Palatino Linotype" w:eastAsia="Palatino Linotype" w:hAnsi="Palatino Linotype" w:cs="Palatino Linotype"/>
          <w:b/>
          <w:sz w:val="22"/>
          <w:szCs w:val="22"/>
          <w:u w:val="single"/>
        </w:rPr>
        <w:t>evaluación de las proposiciones</w:t>
      </w:r>
      <w:r w:rsidRPr="00446CC5">
        <w:rPr>
          <w:rFonts w:ascii="Palatino Linotype" w:eastAsia="Palatino Linotype" w:hAnsi="Palatino Linotype" w:cs="Palatino Linotype"/>
          <w:sz w:val="22"/>
          <w:szCs w:val="22"/>
        </w:rPr>
        <w:t>, no se desprende que el ente público deba implementar un instrumento de evaluación, no obstante, dispone que los convocantes deben utilizar el criterio de evaluación binario que consiste en adjudicar el contrato a quien cumpla los requisitos establecidos por la convocante y oferte el precio más bajo; y, que dicho criterio se aplica cuando los criterios de puntos y porcentajes o de costo beneficio no sea posible utilizarlo.</w:t>
      </w:r>
    </w:p>
    <w:p w14:paraId="70310BF6"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24A4C7AB"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De esta manera, una vez realizada la evaluación de las proposiciones se indica que el contrato se adjudicará a la persona (física o jurídico colectiva) cuya oferta resulte solvente y cumpla con los requisitos legales, técnicos y económicos establecidos en la convocatoria o invitación pública, que garantice el cumplimiento de las obligaciones respectivas.</w:t>
      </w:r>
    </w:p>
    <w:p w14:paraId="608CA2CB"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0E4E1E04"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Consecuentemente, </w:t>
      </w:r>
      <w:r w:rsidRPr="00446CC5">
        <w:rPr>
          <w:rFonts w:ascii="Palatino Linotype" w:eastAsia="Palatino Linotype" w:hAnsi="Palatino Linotype" w:cs="Palatino Linotype"/>
          <w:sz w:val="22"/>
          <w:szCs w:val="22"/>
          <w:u w:val="single"/>
        </w:rPr>
        <w:t>se dispone que en el dictamen de adjudicación se hace constar el análisis de la o las proposiciones y las razones para la adjudicación del contrato</w:t>
      </w:r>
      <w:r w:rsidRPr="00446CC5">
        <w:rPr>
          <w:rFonts w:ascii="Palatino Linotype" w:eastAsia="Palatino Linotype" w:hAnsi="Palatino Linotype" w:cs="Palatino Linotype"/>
          <w:sz w:val="22"/>
          <w:szCs w:val="22"/>
        </w:rPr>
        <w:t>.</w:t>
      </w:r>
    </w:p>
    <w:p w14:paraId="65E231E1"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sz w:val="22"/>
          <w:szCs w:val="22"/>
        </w:rPr>
      </w:pPr>
    </w:p>
    <w:p w14:paraId="31A067F2"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Finalmente, se prevé que la convocante debe emitir un fallo de adjudicación el cual debe contener, entre otros, la relación de oferentes cuyas proposiciones se desecharon, </w:t>
      </w:r>
      <w:r w:rsidRPr="00446CC5">
        <w:rPr>
          <w:rFonts w:ascii="Palatino Linotype" w:eastAsia="Palatino Linotype" w:hAnsi="Palatino Linotype" w:cs="Palatino Linotype"/>
          <w:sz w:val="22"/>
          <w:szCs w:val="22"/>
        </w:rPr>
        <w:lastRenderedPageBreak/>
        <w:t>expresando todas las razones legales, técnicas o económicas que sustentan tal determinación e indicando los puntos de la convocatoria que en cada caso se incumpla.</w:t>
      </w:r>
    </w:p>
    <w:p w14:paraId="71C07545"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F5FC768" w14:textId="77777777" w:rsidR="00620366" w:rsidRPr="00446CC5" w:rsidRDefault="0031388A">
      <w:pPr>
        <w:spacing w:line="360" w:lineRule="auto"/>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sz w:val="22"/>
          <w:szCs w:val="22"/>
        </w:rPr>
        <w:t>Por lo anterior, retomando la respuesta e informe justificado del servidor público habilitado competente se desprende que, con relación al requerimiento analizado en el numeral 1 “</w:t>
      </w:r>
      <w:r w:rsidRPr="00446CC5">
        <w:rPr>
          <w:rFonts w:ascii="Palatino Linotype" w:eastAsia="Palatino Linotype" w:hAnsi="Palatino Linotype" w:cs="Palatino Linotype"/>
          <w:b/>
          <w:i/>
          <w:sz w:val="22"/>
          <w:szCs w:val="22"/>
        </w:rPr>
        <w:t>instrumento de evaluación donde se describen los puntos que se tomaron en cuenta para realizar el análisis y dictamen de las propuestas recibidas, valorando requisitos y proyecto, como se establece en la invitación para la prestación del servicio</w:t>
      </w:r>
      <w:r w:rsidRPr="00446CC5">
        <w:rPr>
          <w:rFonts w:ascii="Palatino Linotype" w:eastAsia="Palatino Linotype" w:hAnsi="Palatino Linotype" w:cs="Palatino Linotype"/>
          <w:sz w:val="22"/>
          <w:szCs w:val="22"/>
        </w:rPr>
        <w:t>”, no se generó la documental requerida, consistente en un el instrumento de evaluación que refiere el particular</w:t>
      </w:r>
      <w:r w:rsidRPr="00446CC5">
        <w:rPr>
          <w:rFonts w:ascii="Palatino Linotype" w:eastAsia="Palatino Linotype" w:hAnsi="Palatino Linotype" w:cs="Palatino Linotype"/>
          <w:b/>
          <w:sz w:val="22"/>
          <w:szCs w:val="22"/>
        </w:rPr>
        <w:t>, no obstante para llevar a cabo la evaluación de las proposiciones y emisión del dictamen de adjudicación indicó que llevó a cabo la aplicación del criterio de evaluación binario</w:t>
      </w:r>
      <w:r w:rsidRPr="00446CC5">
        <w:rPr>
          <w:rFonts w:ascii="Palatino Linotype" w:eastAsia="Palatino Linotype" w:hAnsi="Palatino Linotype" w:cs="Palatino Linotype"/>
          <w:sz w:val="22"/>
          <w:szCs w:val="22"/>
        </w:rPr>
        <w:t xml:space="preserve"> que dispone el segundo párrafo del artículo 36 de la Ley de Adquisiciones, Arrendamientos y Servicios del Sector Público, </w:t>
      </w:r>
      <w:r w:rsidRPr="00446CC5">
        <w:rPr>
          <w:rFonts w:ascii="Palatino Linotype" w:eastAsia="Palatino Linotype" w:hAnsi="Palatino Linotype" w:cs="Palatino Linotype"/>
          <w:b/>
          <w:sz w:val="22"/>
          <w:szCs w:val="22"/>
        </w:rPr>
        <w:t>el cual consiste en</w:t>
      </w:r>
      <w:r w:rsidRPr="00446CC5">
        <w:rPr>
          <w:rFonts w:ascii="Palatino Linotype" w:eastAsia="Palatino Linotype" w:hAnsi="Palatino Linotype" w:cs="Palatino Linotype"/>
          <w:sz w:val="22"/>
          <w:szCs w:val="22"/>
        </w:rPr>
        <w:t xml:space="preserve"> </w:t>
      </w:r>
      <w:r w:rsidRPr="00446CC5">
        <w:rPr>
          <w:rFonts w:ascii="Palatino Linotype" w:eastAsia="Palatino Linotype" w:hAnsi="Palatino Linotype" w:cs="Palatino Linotype"/>
          <w:b/>
          <w:sz w:val="22"/>
          <w:szCs w:val="22"/>
        </w:rPr>
        <w:t>adjudicar el contrato a quien cumpla los requisitos establecidos por la convocante y oferte el precio más bajo.</w:t>
      </w:r>
    </w:p>
    <w:p w14:paraId="1871DDFD" w14:textId="77777777" w:rsidR="00620366" w:rsidRPr="00446CC5" w:rsidRDefault="00620366">
      <w:pPr>
        <w:spacing w:line="360" w:lineRule="auto"/>
        <w:jc w:val="both"/>
        <w:rPr>
          <w:rFonts w:ascii="Palatino Linotype" w:eastAsia="Palatino Linotype" w:hAnsi="Palatino Linotype" w:cs="Palatino Linotype"/>
          <w:b/>
          <w:sz w:val="22"/>
          <w:szCs w:val="22"/>
        </w:rPr>
      </w:pPr>
    </w:p>
    <w:p w14:paraId="635DFA77"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Además que el servidor público habilitado competente indicó que dicho criterio se encuentra inmerso en la invitación al procedimiento que refiere el particular, que consistente en los requisitos que en términos generales consisten en: la documentación requerida, experiencia en el ramo, garantía de calidad de alimentos, calidad en el servicio e higiene, sin descuidar la economía de este, observado lo Lineamientos Generales para el expendio y distribución de alimentos y bebidas preparados y procesados en las escuelas del Sistema Educativo Nacional; ofrecer un menú de comida saludable y comida corrida de conformidad a los lineamientos anteriormente referidos; manejo adecuado de residuos sólidos, aguas, plásticos y en general medidas en pro de la sustentabilidad y el cuidado ambiental en apego a las políticas de la Universidad; y, no ser servidor público de la Institución, ni de sus cónyuges o parientes, consanguíneos por afinidad hasta el cuarto </w:t>
      </w:r>
      <w:r w:rsidRPr="00446CC5">
        <w:rPr>
          <w:rFonts w:ascii="Palatino Linotype" w:eastAsia="Palatino Linotype" w:hAnsi="Palatino Linotype" w:cs="Palatino Linotype"/>
          <w:sz w:val="22"/>
          <w:szCs w:val="22"/>
        </w:rPr>
        <w:lastRenderedPageBreak/>
        <w:t>grado o civiles, o de terceros con los que dichos servidores públicos tengan vínculos privados o de negocios.</w:t>
      </w:r>
    </w:p>
    <w:p w14:paraId="275E92FB"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239624D" w14:textId="77777777" w:rsidR="00620366" w:rsidRPr="00446CC5" w:rsidRDefault="0031388A">
      <w:pPr>
        <w:spacing w:line="360" w:lineRule="auto"/>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sz w:val="22"/>
          <w:szCs w:val="22"/>
        </w:rPr>
        <w:t xml:space="preserve">Por lo tanto, a consideración de este Órgano Garante tal pronunciamiento del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resulta suficiente para tener por colmado el requerimiento de mérito, ya que no obstante que no se advirtiera fuente obligacional para contar con un instrumento de evaluación como el que refiere el particular, el servidor público habilitado competente señaló el criterio que utilizó para evaluar las proposiciones de los oferentes, el cual le permite adjudicar el contrato a quien cumpla los requisitos establecidos en la convocatoria respectiva.</w:t>
      </w:r>
    </w:p>
    <w:p w14:paraId="1E7D09E1"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DF0B16A"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Ahora, con relación al requerimiento analizado bajo el </w:t>
      </w:r>
      <w:r w:rsidRPr="00446CC5">
        <w:rPr>
          <w:rFonts w:ascii="Palatino Linotype" w:eastAsia="Palatino Linotype" w:hAnsi="Palatino Linotype" w:cs="Palatino Linotype"/>
          <w:b/>
          <w:sz w:val="22"/>
          <w:szCs w:val="22"/>
        </w:rPr>
        <w:t>punto 2</w:t>
      </w:r>
      <w:r w:rsidRPr="00446CC5">
        <w:rPr>
          <w:rFonts w:ascii="Palatino Linotype" w:eastAsia="Palatino Linotype" w:hAnsi="Palatino Linotype" w:cs="Palatino Linotype"/>
          <w:sz w:val="22"/>
          <w:szCs w:val="22"/>
        </w:rPr>
        <w:t xml:space="preserve"> consistente en “</w:t>
      </w:r>
      <w:r w:rsidRPr="00446CC5">
        <w:rPr>
          <w:rFonts w:ascii="Palatino Linotype" w:eastAsia="Palatino Linotype" w:hAnsi="Palatino Linotype" w:cs="Palatino Linotype"/>
          <w:b/>
          <w:i/>
          <w:sz w:val="22"/>
          <w:szCs w:val="22"/>
        </w:rPr>
        <w:t xml:space="preserve">las ponderaciones que determinaron el fallo de adjudicación” </w:t>
      </w:r>
      <w:r w:rsidRPr="00446CC5">
        <w:rPr>
          <w:rFonts w:ascii="Palatino Linotype" w:eastAsia="Palatino Linotype" w:hAnsi="Palatino Linotype" w:cs="Palatino Linotype"/>
          <w:sz w:val="22"/>
          <w:szCs w:val="22"/>
        </w:rPr>
        <w:t>fue hasta informe justificado en donde el servidor público habilitado competente señaló que las ponderaciones se determinan en la invitación publicada y que alude el particular.</w:t>
      </w:r>
    </w:p>
    <w:p w14:paraId="55D2FD95"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1A572150"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Sin embargo, dicho pronunciamiento no se puede tener por válido para atender el derecho de acceso a la información pública del particular, por las siguientes consideraciones:</w:t>
      </w:r>
    </w:p>
    <w:p w14:paraId="1BA5A7EC"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D27C281"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En primer lugar, resulta necesario definir lo que se concibe como “</w:t>
      </w:r>
      <w:r w:rsidRPr="00446CC5">
        <w:rPr>
          <w:rFonts w:ascii="Palatino Linotype" w:eastAsia="Palatino Linotype" w:hAnsi="Palatino Linotype" w:cs="Palatino Linotype"/>
          <w:b/>
          <w:i/>
          <w:sz w:val="22"/>
          <w:szCs w:val="22"/>
        </w:rPr>
        <w:t>ponderar</w:t>
      </w:r>
      <w:r w:rsidRPr="00446CC5">
        <w:rPr>
          <w:rFonts w:ascii="Palatino Linotype" w:eastAsia="Palatino Linotype" w:hAnsi="Palatino Linotype" w:cs="Palatino Linotype"/>
          <w:sz w:val="22"/>
          <w:szCs w:val="22"/>
        </w:rPr>
        <w:t>”, verbo que conforme el Diccionario de la Real Academia Española lo define como “</w:t>
      </w:r>
      <w:r w:rsidRPr="00446CC5">
        <w:rPr>
          <w:rFonts w:ascii="Palatino Linotype" w:eastAsia="Palatino Linotype" w:hAnsi="Palatino Linotype" w:cs="Palatino Linotype"/>
          <w:b/>
          <w:i/>
          <w:sz w:val="22"/>
          <w:szCs w:val="22"/>
        </w:rPr>
        <w:t>Determinar el peso de algo.</w:t>
      </w:r>
      <w:r w:rsidRPr="00446CC5">
        <w:rPr>
          <w:rFonts w:ascii="Palatino Linotype" w:eastAsia="Palatino Linotype" w:hAnsi="Palatino Linotype" w:cs="Palatino Linotype"/>
          <w:sz w:val="22"/>
          <w:szCs w:val="22"/>
        </w:rPr>
        <w:t xml:space="preserve">” </w:t>
      </w:r>
    </w:p>
    <w:p w14:paraId="395DAA6D"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5FF016"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Lo anterior, en términos de los procedimientos de adquisición resultaría similar a una técnica o ejercicio que realiza el convocante para determinar cuál de las propuestas de los oferentes cumple con los requisitos y otorgue el precio más bajo.</w:t>
      </w:r>
    </w:p>
    <w:p w14:paraId="508A69B0"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055BC7"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De esta manera, si bien en la normatividad que rige al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en el tema de procedimientos de adquisición, no se desprende que tenga que emitir un documento denominado “</w:t>
      </w:r>
      <w:r w:rsidRPr="00446CC5">
        <w:rPr>
          <w:rFonts w:ascii="Palatino Linotype" w:eastAsia="Palatino Linotype" w:hAnsi="Palatino Linotype" w:cs="Palatino Linotype"/>
          <w:b/>
          <w:i/>
          <w:sz w:val="22"/>
          <w:szCs w:val="22"/>
        </w:rPr>
        <w:t>ponderaciones para determinar el fallo</w:t>
      </w:r>
      <w:r w:rsidRPr="00446CC5">
        <w:rPr>
          <w:rFonts w:ascii="Palatino Linotype" w:eastAsia="Palatino Linotype" w:hAnsi="Palatino Linotype" w:cs="Palatino Linotype"/>
          <w:sz w:val="22"/>
          <w:szCs w:val="22"/>
        </w:rPr>
        <w:t>”; en el caso, existe una expresión documental que puede colmar la pretensión del particular.</w:t>
      </w:r>
    </w:p>
    <w:p w14:paraId="0D9ECF24"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7D567F"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Se afirma lo anterior, en virtud de que, conforme lo anteriormente analizado, el fallo de adjudicación se sustenta en un dictamen previo, mismo que contiene el análisis de la o las proposiciones y las razones para la adjudicación del contrato, en otras palabras, se lleva a cabo una ponderación de las propuestas a efecto de determinar cuál es la mejor, indicando los motivos de su admisión o desechamiento.</w:t>
      </w:r>
    </w:p>
    <w:p w14:paraId="036C0561"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171967"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46CC5">
        <w:rPr>
          <w:rFonts w:ascii="Palatino Linotype" w:eastAsia="Palatino Linotype" w:hAnsi="Palatino Linotype" w:cs="Palatino Linotype"/>
          <w:sz w:val="22"/>
          <w:szCs w:val="22"/>
        </w:rPr>
        <w:t xml:space="preserve">Por lo tanto, atendiendo que el dictamen de adjudicación es un documento que sustenta el fallo, y que es una documental que esta constreñida a elaborar 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que resume la cronología de los actos de contratación, el análisis de las propuestas y las razones para admitirlas o desecharlas; en consecuencia, tal documental resulta ser la idónea para atender el requerimiento de la parte </w:t>
      </w:r>
      <w:r w:rsidRPr="00446CC5">
        <w:rPr>
          <w:rFonts w:ascii="Palatino Linotype" w:eastAsia="Palatino Linotype" w:hAnsi="Palatino Linotype" w:cs="Palatino Linotype"/>
          <w:b/>
          <w:sz w:val="22"/>
          <w:szCs w:val="22"/>
        </w:rPr>
        <w:t>Recurrente.</w:t>
      </w:r>
    </w:p>
    <w:p w14:paraId="2B3662FB"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07FF380"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Máxime que del análisis al fallo de adjudicación se advierte que hubo tres oferentes en el procedimiento de adjudicación directa del que derivó la adjudicación de la prestación del servicio de cafetería referido por el particular, y por tanto es que se debe contar con el análisis a cada propuesta, para dar sustento al fallo de adjudicación.</w:t>
      </w:r>
    </w:p>
    <w:p w14:paraId="27AD57CF"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00E5FAA"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Sirve insertar la digitalización del fallo de adjudicación donde se advierte los nombres de las personas que participaron en el procedimiento:</w:t>
      </w:r>
    </w:p>
    <w:p w14:paraId="0278D0D5"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noProof/>
          <w:sz w:val="22"/>
          <w:szCs w:val="22"/>
        </w:rPr>
        <w:lastRenderedPageBreak/>
        <w:drawing>
          <wp:inline distT="0" distB="0" distL="0" distR="0" wp14:anchorId="153BBF57" wp14:editId="30282541">
            <wp:extent cx="5612130" cy="2400300"/>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2400300"/>
                    </a:xfrm>
                    <a:prstGeom prst="rect">
                      <a:avLst/>
                    </a:prstGeom>
                    <a:ln/>
                  </pic:spPr>
                </pic:pic>
              </a:graphicData>
            </a:graphic>
          </wp:inline>
        </w:drawing>
      </w:r>
      <w:r w:rsidRPr="00446CC5">
        <w:rPr>
          <w:noProof/>
        </w:rPr>
        <mc:AlternateContent>
          <mc:Choice Requires="wpg">
            <w:drawing>
              <wp:anchor distT="0" distB="0" distL="114300" distR="114300" simplePos="0" relativeHeight="251661312" behindDoc="0" locked="0" layoutInCell="1" hidden="0" allowOverlap="1" wp14:anchorId="0F29EE61" wp14:editId="56AAC8D1">
                <wp:simplePos x="0" y="0"/>
                <wp:positionH relativeFrom="column">
                  <wp:posOffset>88901</wp:posOffset>
                </wp:positionH>
                <wp:positionV relativeFrom="paragraph">
                  <wp:posOffset>1155700</wp:posOffset>
                </wp:positionV>
                <wp:extent cx="2314575" cy="619125"/>
                <wp:effectExtent l="0" t="0" r="0" b="0"/>
                <wp:wrapNone/>
                <wp:docPr id="43" name="Rectángulo 43"/>
                <wp:cNvGraphicFramePr/>
                <a:graphic xmlns:a="http://schemas.openxmlformats.org/drawingml/2006/main">
                  <a:graphicData uri="http://schemas.microsoft.com/office/word/2010/wordprocessingShape">
                    <wps:wsp>
                      <wps:cNvSpPr/>
                      <wps:spPr>
                        <a:xfrm>
                          <a:off x="4203000" y="3484725"/>
                          <a:ext cx="2286000" cy="590550"/>
                        </a:xfrm>
                        <a:prstGeom prst="rect">
                          <a:avLst/>
                        </a:prstGeom>
                        <a:noFill/>
                        <a:ln w="28575" cap="flat" cmpd="sng">
                          <a:solidFill>
                            <a:srgbClr val="FF0000"/>
                          </a:solidFill>
                          <a:prstDash val="solid"/>
                          <a:round/>
                          <a:headEnd type="none" w="sm" len="sm"/>
                          <a:tailEnd type="none" w="sm" len="sm"/>
                        </a:ln>
                      </wps:spPr>
                      <wps:txbx>
                        <w:txbxContent>
                          <w:p w14:paraId="25820192" w14:textId="77777777" w:rsidR="00620366" w:rsidRDefault="0062036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88901</wp:posOffset>
                </wp:positionH>
                <wp:positionV relativeFrom="paragraph">
                  <wp:posOffset>1155700</wp:posOffset>
                </wp:positionV>
                <wp:extent cx="2314575" cy="619125"/>
                <wp:effectExtent b="0" l="0" r="0" t="0"/>
                <wp:wrapNone/>
                <wp:docPr id="43"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314575" cy="619125"/>
                        </a:xfrm>
                        <a:prstGeom prst="rect"/>
                        <a:ln/>
                      </pic:spPr>
                    </pic:pic>
                  </a:graphicData>
                </a:graphic>
              </wp:anchor>
            </w:drawing>
          </mc:Fallback>
        </mc:AlternateContent>
      </w:r>
    </w:p>
    <w:p w14:paraId="6FF02736"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B1D266C"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Por lo tanto, a fin colmar el requerimiento en análisis del particular, resulta procedente </w:t>
      </w:r>
      <w:r w:rsidRPr="00446CC5">
        <w:rPr>
          <w:rFonts w:ascii="Palatino Linotype" w:eastAsia="Palatino Linotype" w:hAnsi="Palatino Linotype" w:cs="Palatino Linotype"/>
          <w:b/>
          <w:sz w:val="22"/>
          <w:szCs w:val="22"/>
        </w:rPr>
        <w:t xml:space="preserve">Modificar </w:t>
      </w:r>
      <w:r w:rsidRPr="00446CC5">
        <w:rPr>
          <w:rFonts w:ascii="Palatino Linotype" w:eastAsia="Palatino Linotype" w:hAnsi="Palatino Linotype" w:cs="Palatino Linotype"/>
          <w:sz w:val="22"/>
          <w:szCs w:val="22"/>
        </w:rPr>
        <w:t xml:space="preserve">la respuesta del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y ordenar se entregue, de ser procedente en versión pública, lo siguiente:</w:t>
      </w:r>
    </w:p>
    <w:p w14:paraId="5857EC0D"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007A170"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El dictamen que sustentó el fallo de adjudicación número </w:t>
      </w:r>
      <w:r w:rsidRPr="00446CC5">
        <w:rPr>
          <w:rFonts w:ascii="Palatino Linotype" w:eastAsia="Palatino Linotype" w:hAnsi="Palatino Linotype" w:cs="Palatino Linotype"/>
          <w:b/>
          <w:sz w:val="22"/>
          <w:szCs w:val="22"/>
        </w:rPr>
        <w:t>F-AD-CC/UNEVT/AD-026-2024 del 21 de agosto de 2024.</w:t>
      </w:r>
    </w:p>
    <w:p w14:paraId="7FC9230B"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5269A2"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Por otro lado, no pasa por desapercibido que vía informe justificado el </w:t>
      </w:r>
      <w:r w:rsidRPr="00446CC5">
        <w:rPr>
          <w:rFonts w:ascii="Palatino Linotype" w:eastAsia="Palatino Linotype" w:hAnsi="Palatino Linotype" w:cs="Palatino Linotype"/>
          <w:b/>
          <w:sz w:val="22"/>
          <w:szCs w:val="22"/>
        </w:rPr>
        <w:t xml:space="preserve">Sujeto Obligado </w:t>
      </w:r>
      <w:r w:rsidRPr="00446CC5">
        <w:rPr>
          <w:rFonts w:ascii="Palatino Linotype" w:eastAsia="Palatino Linotype" w:hAnsi="Palatino Linotype" w:cs="Palatino Linotype"/>
          <w:sz w:val="22"/>
          <w:szCs w:val="22"/>
        </w:rPr>
        <w:t xml:space="preserve">señaló que los sujetos obligados sólo están constreñidos a proporcionar la información pública que se les requiera y obre en sus archivos y que de manera particular no generó la documental -instrumento de evaluación- requerida por la parte </w:t>
      </w:r>
      <w:r w:rsidRPr="00446CC5">
        <w:rPr>
          <w:rFonts w:ascii="Palatino Linotype" w:eastAsia="Palatino Linotype" w:hAnsi="Palatino Linotype" w:cs="Palatino Linotype"/>
          <w:b/>
          <w:sz w:val="22"/>
          <w:szCs w:val="22"/>
        </w:rPr>
        <w:t xml:space="preserve">Recurrente </w:t>
      </w:r>
      <w:r w:rsidRPr="00446CC5">
        <w:rPr>
          <w:rFonts w:ascii="Palatino Linotype" w:eastAsia="Palatino Linotype" w:hAnsi="Palatino Linotype" w:cs="Palatino Linotype"/>
          <w:sz w:val="22"/>
          <w:szCs w:val="22"/>
        </w:rPr>
        <w:t>por la fundamentación brindada; y, que si la pretensión era obtener la documental que indica el particular, ello sobrepasaría las capacidades técnicas y administrativas conforme el artículo 158 de la Ley de Transparencia Local.</w:t>
      </w:r>
    </w:p>
    <w:p w14:paraId="0EAB69CF"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106EAA3"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Al respecto, de dicho pronunciamiento no se advierte que el ente público este pretendiendo realizar un cambio de modalidad conforme el numeral indicado que lo dispone; sino únicamente pretende señalar que él no está constreñido a entregar información que no obra en sus archivos, como lo es el caso de la indicada documental que requiere el particular; no obstante, interpreta de manera errónea el artículo 158 de la Ley en la materia para justificar la imposibilidad para entregar la información, que en términos generales es porque no la genera.</w:t>
      </w:r>
    </w:p>
    <w:p w14:paraId="61645125"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89E1CA"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 xml:space="preserve">Quinto. Versión Pública. </w:t>
      </w:r>
      <w:r w:rsidRPr="00446CC5">
        <w:rPr>
          <w:rFonts w:ascii="Palatino Linotype" w:eastAsia="Palatino Linotype" w:hAnsi="Palatino Linotype" w:cs="Palatino Linotype"/>
          <w:sz w:val="22"/>
          <w:szCs w:val="22"/>
        </w:rPr>
        <w:t xml:space="preserve">Finalmente, para la entrega de la información que se determina ordenar, 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deberá realizar un análisis con la finalidad de advertir si esta contiene datos que deben ser clasificados en los términos que la misma Ley en la materia señala, en ese sentido, 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24A7EB0F" w14:textId="77777777" w:rsidR="00620366" w:rsidRPr="00446CC5" w:rsidRDefault="0062036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F16EC5" w14:textId="77777777" w:rsidR="00620366" w:rsidRPr="00446CC5" w:rsidRDefault="0031388A">
      <w:pPr>
        <w:spacing w:line="360" w:lineRule="auto"/>
        <w:ind w:right="50"/>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413370FB" w14:textId="77777777" w:rsidR="00620366" w:rsidRPr="00446CC5" w:rsidRDefault="00620366">
      <w:pPr>
        <w:spacing w:line="360" w:lineRule="auto"/>
        <w:ind w:right="50"/>
        <w:jc w:val="both"/>
        <w:rPr>
          <w:rFonts w:ascii="Palatino Linotype" w:eastAsia="Palatino Linotype" w:hAnsi="Palatino Linotype" w:cs="Palatino Linotype"/>
          <w:sz w:val="22"/>
          <w:szCs w:val="22"/>
        </w:rPr>
      </w:pPr>
    </w:p>
    <w:p w14:paraId="6D8218DC"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r w:rsidRPr="00446CC5">
        <w:rPr>
          <w:rFonts w:ascii="Palatino Linotype" w:eastAsia="Palatino Linotype" w:hAnsi="Palatino Linotype" w:cs="Palatino Linotype"/>
          <w:b/>
          <w:i/>
          <w:sz w:val="22"/>
          <w:szCs w:val="22"/>
        </w:rPr>
        <w:t>Artículo 3</w:t>
      </w:r>
      <w:r w:rsidRPr="00446CC5">
        <w:rPr>
          <w:rFonts w:ascii="Palatino Linotype" w:eastAsia="Palatino Linotype" w:hAnsi="Palatino Linotype" w:cs="Palatino Linotype"/>
          <w:i/>
          <w:sz w:val="22"/>
          <w:szCs w:val="22"/>
        </w:rPr>
        <w:t>. Para los efectos de la presente Ley se entenderá por:</w:t>
      </w:r>
    </w:p>
    <w:p w14:paraId="33009B4C"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39527153"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IX. Datos personales:</w:t>
      </w:r>
      <w:r w:rsidRPr="00446CC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AD25844"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XX. Información clasificada</w:t>
      </w:r>
      <w:r w:rsidRPr="00446CC5">
        <w:rPr>
          <w:rFonts w:ascii="Palatino Linotype" w:eastAsia="Palatino Linotype" w:hAnsi="Palatino Linotype" w:cs="Palatino Linotype"/>
          <w:i/>
          <w:sz w:val="22"/>
          <w:szCs w:val="22"/>
        </w:rPr>
        <w:t>: Aquella considerada por la presente Ley como reservada o confidencial;</w:t>
      </w:r>
    </w:p>
    <w:p w14:paraId="6290FDBF"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lastRenderedPageBreak/>
        <w:t>XXI. Información confidencial:</w:t>
      </w:r>
      <w:r w:rsidRPr="00446CC5">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F636871"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XLV. Versión pública:</w:t>
      </w:r>
      <w:r w:rsidRPr="00446CC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3AAB202"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567BD369"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 xml:space="preserve">Artículo 91. </w:t>
      </w:r>
      <w:r w:rsidRPr="00446CC5">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76A576E"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 xml:space="preserve">Artículo 132. </w:t>
      </w:r>
      <w:r w:rsidRPr="00446CC5">
        <w:rPr>
          <w:rFonts w:ascii="Palatino Linotype" w:eastAsia="Palatino Linotype" w:hAnsi="Palatino Linotype" w:cs="Palatino Linotype"/>
          <w:i/>
          <w:sz w:val="22"/>
          <w:szCs w:val="22"/>
        </w:rPr>
        <w:t>La clasificación de la información se llevará a cabo en el momento en que:</w:t>
      </w:r>
    </w:p>
    <w:p w14:paraId="75A91390"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I</w:t>
      </w:r>
      <w:r w:rsidRPr="00446CC5">
        <w:rPr>
          <w:rFonts w:ascii="Palatino Linotype" w:eastAsia="Palatino Linotype" w:hAnsi="Palatino Linotype" w:cs="Palatino Linotype"/>
          <w:i/>
          <w:sz w:val="22"/>
          <w:szCs w:val="22"/>
        </w:rPr>
        <w:t>. Se reciba una solicitud de acceso a la información;</w:t>
      </w:r>
    </w:p>
    <w:p w14:paraId="72607E22"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II</w:t>
      </w:r>
      <w:r w:rsidRPr="00446CC5">
        <w:rPr>
          <w:rFonts w:ascii="Palatino Linotype" w:eastAsia="Palatino Linotype" w:hAnsi="Palatino Linotype" w:cs="Palatino Linotype"/>
          <w:i/>
          <w:sz w:val="22"/>
          <w:szCs w:val="22"/>
        </w:rPr>
        <w:t>. Se determine mediante resolución de autoridad competente; o</w:t>
      </w:r>
    </w:p>
    <w:p w14:paraId="7AD3E43F"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III</w:t>
      </w:r>
      <w:r w:rsidRPr="00446CC5">
        <w:rPr>
          <w:rFonts w:ascii="Palatino Linotype" w:eastAsia="Palatino Linotype" w:hAnsi="Palatino Linotype" w:cs="Palatino Linotype"/>
          <w:i/>
          <w:sz w:val="22"/>
          <w:szCs w:val="22"/>
        </w:rPr>
        <w:t>. Se generen versiones públicas para dar cumplimiento a las obligaciones de transparencia previstas en esta Ley.</w:t>
      </w:r>
    </w:p>
    <w:p w14:paraId="2DE83581"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40597001"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Artículo 143</w:t>
      </w:r>
      <w:r w:rsidRPr="00446CC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22A9D8C"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I.</w:t>
      </w:r>
      <w:r w:rsidRPr="00446CC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7EACCC3"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II.</w:t>
      </w:r>
      <w:r w:rsidRPr="00446CC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5BE4AEE"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III</w:t>
      </w:r>
      <w:r w:rsidRPr="00446CC5">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704D4A20"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0219A45" w14:textId="77777777" w:rsidR="00620366" w:rsidRPr="00446CC5" w:rsidRDefault="0031388A">
      <w:pPr>
        <w:spacing w:line="276" w:lineRule="auto"/>
        <w:ind w:left="567" w:right="902"/>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4283198"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1503569C"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w:t>
      </w:r>
      <w:r w:rsidRPr="00446CC5">
        <w:rPr>
          <w:rFonts w:ascii="Palatino Linotype" w:eastAsia="Palatino Linotype" w:hAnsi="Palatino Linotype" w:cs="Palatino Linotype"/>
          <w:b/>
          <w:sz w:val="22"/>
          <w:szCs w:val="22"/>
        </w:rPr>
        <w:t>confidencial</w:t>
      </w:r>
      <w:r w:rsidRPr="00446CC5">
        <w:rPr>
          <w:rFonts w:ascii="Palatino Linotype" w:eastAsia="Palatino Linotype" w:hAnsi="Palatino Linotype" w:cs="Palatino Linotype"/>
          <w:sz w:val="22"/>
          <w:szCs w:val="22"/>
        </w:rPr>
        <w:t xml:space="preserve"> la información que posean, desclasificarán y generarán, en su caso, versiones públicas de expedientes o documentos que contengan partes o secciones clasificadas.</w:t>
      </w:r>
    </w:p>
    <w:p w14:paraId="3C1E4F9A"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1E091DF"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siendo estas las siguientes:</w:t>
      </w:r>
    </w:p>
    <w:p w14:paraId="4F490A6D"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4021DF86" w14:textId="77777777" w:rsidR="00620366" w:rsidRPr="00446CC5" w:rsidRDefault="0031388A">
      <w:pPr>
        <w:spacing w:line="276" w:lineRule="auto"/>
        <w:ind w:left="567"/>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“CAPÍTULO VIII </w:t>
      </w:r>
    </w:p>
    <w:p w14:paraId="6E88EF0B" w14:textId="77777777" w:rsidR="00620366" w:rsidRPr="00446CC5" w:rsidRDefault="0031388A">
      <w:pPr>
        <w:spacing w:line="276" w:lineRule="auto"/>
        <w:ind w:left="567"/>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DE LOS ELEMENTOS PARA LA CLASIFICACIÓN </w:t>
      </w:r>
    </w:p>
    <w:p w14:paraId="16477142"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 xml:space="preserve">Quincuagésimo. </w:t>
      </w:r>
      <w:r w:rsidRPr="00446CC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DD0B8FB"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 xml:space="preserve">Quincuagésimo primero. </w:t>
      </w:r>
      <w:r w:rsidRPr="00446CC5">
        <w:rPr>
          <w:rFonts w:ascii="Palatino Linotype" w:eastAsia="Palatino Linotype" w:hAnsi="Palatino Linotype" w:cs="Palatino Linotype"/>
          <w:i/>
          <w:sz w:val="22"/>
          <w:szCs w:val="22"/>
        </w:rPr>
        <w:t xml:space="preserve">Toda acta del Comité de Transparencia deberá contener: </w:t>
      </w:r>
    </w:p>
    <w:p w14:paraId="5B556460"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 El número de sesión y fecha; </w:t>
      </w:r>
    </w:p>
    <w:p w14:paraId="75F8A5FE"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II. El nombre del área que solicitó la clasificación de información; </w:t>
      </w:r>
    </w:p>
    <w:p w14:paraId="5F04E96C"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III. La fundamentación legal y motivación correspondiente; </w:t>
      </w:r>
    </w:p>
    <w:p w14:paraId="5A7BC0A8"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IV. La resolución o resoluciones aprobadas; y </w:t>
      </w:r>
    </w:p>
    <w:p w14:paraId="589AC080"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V. La rúbrica o firma digital de cada integrante del Comité de Transparencia. </w:t>
      </w:r>
    </w:p>
    <w:p w14:paraId="43D7D5AD"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w:t>
      </w:r>
    </w:p>
    <w:p w14:paraId="4A2D2C42" w14:textId="77777777" w:rsidR="00620366" w:rsidRPr="00446CC5" w:rsidRDefault="0031388A">
      <w:pPr>
        <w:spacing w:line="276" w:lineRule="auto"/>
        <w:ind w:left="567" w:right="900"/>
        <w:jc w:val="both"/>
        <w:rPr>
          <w:rFonts w:ascii="Palatino Linotype" w:eastAsia="Palatino Linotype" w:hAnsi="Palatino Linotype" w:cs="Palatino Linotype"/>
          <w:b/>
          <w:i/>
          <w:sz w:val="22"/>
          <w:szCs w:val="22"/>
          <w:u w:val="single"/>
        </w:rPr>
      </w:pPr>
      <w:r w:rsidRPr="00446CC5">
        <w:rPr>
          <w:rFonts w:ascii="Palatino Linotype" w:eastAsia="Palatino Linotype" w:hAnsi="Palatino Linotype" w:cs="Palatino Linotype"/>
          <w:i/>
          <w:sz w:val="22"/>
          <w:szCs w:val="22"/>
        </w:rPr>
        <w:t xml:space="preserve">En los casos de resoluciones del Comité de Transparencia en las que se </w:t>
      </w:r>
      <w:r w:rsidRPr="00446CC5">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4207B4B8" w14:textId="77777777" w:rsidR="00620366" w:rsidRPr="00446CC5" w:rsidRDefault="0031388A">
      <w:pPr>
        <w:spacing w:line="276" w:lineRule="auto"/>
        <w:ind w:left="567" w:right="900"/>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lastRenderedPageBreak/>
        <w:t xml:space="preserve">Quincuagésimo segundo. </w:t>
      </w:r>
      <w:r w:rsidRPr="00446CC5">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446CC5">
        <w:rPr>
          <w:rFonts w:ascii="Palatino Linotype" w:eastAsia="Palatino Linotype" w:hAnsi="Palatino Linotype" w:cs="Palatino Linotype"/>
          <w:b/>
          <w:i/>
          <w:sz w:val="22"/>
          <w:szCs w:val="22"/>
        </w:rPr>
        <w:t>confidencial,</w:t>
      </w:r>
      <w:r w:rsidRPr="00446CC5">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3CACE164"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F4F9E68" w14:textId="77777777" w:rsidR="00620366" w:rsidRPr="00446CC5" w:rsidRDefault="0031388A">
      <w:pPr>
        <w:spacing w:line="276" w:lineRule="auto"/>
        <w:ind w:left="567" w:right="900"/>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3C7CD6E5" w14:textId="77777777" w:rsidR="00620366" w:rsidRPr="00446CC5" w:rsidRDefault="0031388A">
      <w:pPr>
        <w:spacing w:line="276" w:lineRule="auto"/>
        <w:ind w:left="567" w:right="900"/>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1C4CE43D" w14:textId="77777777" w:rsidR="00620366" w:rsidRPr="00446CC5" w:rsidRDefault="0031388A">
      <w:pPr>
        <w:spacing w:line="276" w:lineRule="auto"/>
        <w:ind w:left="567" w:right="900"/>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 xml:space="preserve">III. Señalar las personas o instancias autorizadas a acceder a la información clasificada. </w:t>
      </w:r>
    </w:p>
    <w:p w14:paraId="4CDCB1DB"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446CC5">
        <w:rPr>
          <w:rFonts w:ascii="Palatino Linotype" w:eastAsia="Palatino Linotype" w:hAnsi="Palatino Linotype" w:cs="Palatino Linotype"/>
          <w:b/>
          <w:i/>
          <w:sz w:val="22"/>
          <w:szCs w:val="22"/>
          <w:u w:val="single"/>
        </w:rPr>
        <w:t>información confidencial.</w:t>
      </w:r>
      <w:r w:rsidRPr="00446CC5">
        <w:rPr>
          <w:rFonts w:ascii="Palatino Linotype" w:eastAsia="Palatino Linotype" w:hAnsi="Palatino Linotype" w:cs="Palatino Linotype"/>
          <w:i/>
          <w:sz w:val="22"/>
          <w:szCs w:val="22"/>
        </w:rPr>
        <w:t xml:space="preserve"> </w:t>
      </w:r>
    </w:p>
    <w:p w14:paraId="499FF327" w14:textId="77777777" w:rsidR="00620366" w:rsidRPr="00446CC5" w:rsidRDefault="0031388A">
      <w:pPr>
        <w:spacing w:line="276" w:lineRule="auto"/>
        <w:ind w:left="567" w:right="900"/>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w:t>
      </w:r>
    </w:p>
    <w:p w14:paraId="183FFBC8" w14:textId="77777777" w:rsidR="00620366" w:rsidRPr="00446CC5" w:rsidRDefault="0031388A">
      <w:pPr>
        <w:spacing w:line="276" w:lineRule="auto"/>
        <w:ind w:left="567" w:right="900"/>
        <w:jc w:val="both"/>
        <w:rPr>
          <w:rFonts w:ascii="Palatino Linotype" w:eastAsia="Palatino Linotype" w:hAnsi="Palatino Linotype" w:cs="Palatino Linotype"/>
          <w:b/>
          <w:i/>
          <w:sz w:val="22"/>
          <w:szCs w:val="22"/>
        </w:rPr>
      </w:pPr>
      <w:r w:rsidRPr="00446CC5">
        <w:rPr>
          <w:rFonts w:ascii="Palatino Linotype" w:eastAsia="Palatino Linotype" w:hAnsi="Palatino Linotype" w:cs="Palatino Linotype"/>
          <w:b/>
          <w:i/>
          <w:sz w:val="22"/>
          <w:szCs w:val="22"/>
        </w:rPr>
        <w:t xml:space="preserve">Quincuagésimo cuarto. </w:t>
      </w:r>
      <w:r w:rsidRPr="00446CC5">
        <w:rPr>
          <w:rFonts w:ascii="Palatino Linotype" w:eastAsia="Palatino Linotype" w:hAnsi="Palatino Linotype" w:cs="Palatino Linotype"/>
          <w:i/>
          <w:sz w:val="22"/>
          <w:szCs w:val="22"/>
        </w:rPr>
        <w:t xml:space="preserve">Cuando el Comité de Transparencia confirme la clasificación de documentos reservados y/o </w:t>
      </w:r>
      <w:r w:rsidRPr="00446CC5">
        <w:rPr>
          <w:rFonts w:ascii="Palatino Linotype" w:eastAsia="Palatino Linotype" w:hAnsi="Palatino Linotype" w:cs="Palatino Linotype"/>
          <w:b/>
          <w:i/>
          <w:sz w:val="22"/>
          <w:szCs w:val="22"/>
        </w:rPr>
        <w:t>confidenciales</w:t>
      </w:r>
      <w:r w:rsidRPr="00446CC5">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46CC5">
        <w:rPr>
          <w:rFonts w:ascii="Palatino Linotype" w:eastAsia="Palatino Linotype" w:hAnsi="Palatino Linotype" w:cs="Palatino Linotype"/>
          <w:b/>
          <w:i/>
          <w:sz w:val="22"/>
          <w:szCs w:val="22"/>
        </w:rPr>
        <w:t xml:space="preserve"> </w:t>
      </w:r>
    </w:p>
    <w:p w14:paraId="69AAEE9C" w14:textId="77777777" w:rsidR="00620366" w:rsidRPr="00446CC5" w:rsidRDefault="0031388A">
      <w:pPr>
        <w:spacing w:line="276" w:lineRule="auto"/>
        <w:ind w:left="567" w:right="900"/>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b/>
          <w:i/>
          <w:sz w:val="22"/>
          <w:szCs w:val="22"/>
        </w:rPr>
        <w:t xml:space="preserve">Quincuagésimo quinto. </w:t>
      </w:r>
      <w:r w:rsidRPr="00446CC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46CC5">
        <w:rPr>
          <w:rFonts w:ascii="Palatino Linotype" w:eastAsia="Palatino Linotype" w:hAnsi="Palatino Linotype" w:cs="Palatino Linotype"/>
          <w:i/>
          <w:sz w:val="22"/>
          <w:szCs w:val="22"/>
        </w:rPr>
        <w:t>testado</w:t>
      </w:r>
      <w:proofErr w:type="spellEnd"/>
      <w:r w:rsidRPr="00446CC5">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5D90D766" w14:textId="77777777" w:rsidR="00620366" w:rsidRPr="00446CC5" w:rsidRDefault="00620366">
      <w:pPr>
        <w:spacing w:line="276" w:lineRule="auto"/>
        <w:ind w:left="567" w:right="900"/>
        <w:jc w:val="both"/>
        <w:rPr>
          <w:rFonts w:ascii="Palatino Linotype" w:eastAsia="Palatino Linotype" w:hAnsi="Palatino Linotype" w:cs="Palatino Linotype"/>
          <w:sz w:val="22"/>
          <w:szCs w:val="22"/>
        </w:rPr>
      </w:pPr>
    </w:p>
    <w:p w14:paraId="18A44025" w14:textId="77777777" w:rsidR="00620366" w:rsidRPr="00446CC5" w:rsidRDefault="0031388A">
      <w:pPr>
        <w:spacing w:before="240" w:after="240" w:line="360" w:lineRule="auto"/>
        <w:jc w:val="both"/>
        <w:rPr>
          <w:rFonts w:ascii="Palatino Linotype" w:eastAsia="Palatino Linotype" w:hAnsi="Palatino Linotype" w:cs="Palatino Linotype"/>
        </w:rPr>
      </w:pPr>
      <w:r w:rsidRPr="00446CC5">
        <w:rPr>
          <w:rFonts w:ascii="Palatino Linotype" w:eastAsia="Palatino Linotype" w:hAnsi="Palatino Linotype" w:cs="Palatino Linotype"/>
        </w:rPr>
        <w:lastRenderedPageBreak/>
        <w:t>Asimismo, deberá observar los Lineamientos Quincuagésimo sexto, Quincuagésimo séptimo y Quincuagésimo octavo, establecen lo siguiente:</w:t>
      </w:r>
    </w:p>
    <w:p w14:paraId="703D87FB" w14:textId="77777777" w:rsidR="00620366" w:rsidRPr="00446CC5" w:rsidRDefault="0031388A">
      <w:pPr>
        <w:ind w:left="851" w:right="902"/>
        <w:jc w:val="both"/>
        <w:rPr>
          <w:rFonts w:ascii="Palatino Linotype" w:eastAsia="Palatino Linotype" w:hAnsi="Palatino Linotype" w:cs="Palatino Linotype"/>
          <w:i/>
        </w:rPr>
      </w:pPr>
      <w:r w:rsidRPr="00446CC5">
        <w:rPr>
          <w:rFonts w:ascii="Palatino Linotype" w:eastAsia="Palatino Linotype" w:hAnsi="Palatino Linotype" w:cs="Palatino Linotype"/>
          <w:i/>
        </w:rPr>
        <w:t>“</w:t>
      </w:r>
      <w:r w:rsidRPr="00446CC5">
        <w:rPr>
          <w:rFonts w:ascii="Palatino Linotype" w:eastAsia="Palatino Linotype" w:hAnsi="Palatino Linotype" w:cs="Palatino Linotype"/>
          <w:b/>
          <w:i/>
        </w:rPr>
        <w:t>Quincuagésimo sexto</w:t>
      </w:r>
      <w:r w:rsidRPr="00446CC5">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3969F66" w14:textId="77777777" w:rsidR="00620366" w:rsidRPr="00446CC5" w:rsidRDefault="0031388A">
      <w:pPr>
        <w:ind w:left="851" w:right="902"/>
        <w:jc w:val="both"/>
        <w:rPr>
          <w:rFonts w:ascii="Palatino Linotype" w:eastAsia="Palatino Linotype" w:hAnsi="Palatino Linotype" w:cs="Palatino Linotype"/>
          <w:i/>
        </w:rPr>
      </w:pPr>
      <w:r w:rsidRPr="00446CC5">
        <w:rPr>
          <w:rFonts w:ascii="Palatino Linotype" w:eastAsia="Palatino Linotype" w:hAnsi="Palatino Linotype" w:cs="Palatino Linotype"/>
          <w:b/>
          <w:i/>
        </w:rPr>
        <w:t>Quincuagésimo séptimo</w:t>
      </w:r>
      <w:r w:rsidRPr="00446CC5">
        <w:rPr>
          <w:rFonts w:ascii="Palatino Linotype" w:eastAsia="Palatino Linotype" w:hAnsi="Palatino Linotype" w:cs="Palatino Linotype"/>
          <w:i/>
        </w:rPr>
        <w:t xml:space="preserve">. Se considera, en principio, como información pública y no podrá omitirse de las versiones públicas la siguiente: </w:t>
      </w:r>
    </w:p>
    <w:p w14:paraId="446DBF3B" w14:textId="77777777" w:rsidR="00620366" w:rsidRPr="00446CC5" w:rsidRDefault="0031388A">
      <w:pPr>
        <w:ind w:left="851" w:right="902"/>
        <w:jc w:val="both"/>
        <w:rPr>
          <w:rFonts w:ascii="Palatino Linotype" w:eastAsia="Palatino Linotype" w:hAnsi="Palatino Linotype" w:cs="Palatino Linotype"/>
          <w:i/>
        </w:rPr>
      </w:pPr>
      <w:r w:rsidRPr="00446CC5">
        <w:rPr>
          <w:rFonts w:ascii="Palatino Linotype" w:eastAsia="Palatino Linotype" w:hAnsi="Palatino Linotype" w:cs="Palatino Linotype"/>
          <w:b/>
          <w:i/>
        </w:rPr>
        <w:t>I</w:t>
      </w:r>
      <w:r w:rsidRPr="00446CC5">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414E1698" w14:textId="77777777" w:rsidR="00620366" w:rsidRPr="00446CC5" w:rsidRDefault="0031388A">
      <w:pPr>
        <w:ind w:left="851" w:right="902"/>
        <w:jc w:val="both"/>
        <w:rPr>
          <w:rFonts w:ascii="Palatino Linotype" w:eastAsia="Palatino Linotype" w:hAnsi="Palatino Linotype" w:cs="Palatino Linotype"/>
          <w:i/>
        </w:rPr>
      </w:pPr>
      <w:r w:rsidRPr="00446CC5">
        <w:rPr>
          <w:rFonts w:ascii="Palatino Linotype" w:eastAsia="Palatino Linotype" w:hAnsi="Palatino Linotype" w:cs="Palatino Linotype"/>
          <w:b/>
          <w:i/>
        </w:rPr>
        <w:t>II.</w:t>
      </w:r>
      <w:r w:rsidRPr="00446CC5">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6BC5AF17" w14:textId="77777777" w:rsidR="00620366" w:rsidRPr="00446CC5" w:rsidRDefault="0031388A">
      <w:pPr>
        <w:ind w:left="851" w:right="902"/>
        <w:jc w:val="both"/>
        <w:rPr>
          <w:rFonts w:ascii="Palatino Linotype" w:eastAsia="Palatino Linotype" w:hAnsi="Palatino Linotype" w:cs="Palatino Linotype"/>
          <w:i/>
        </w:rPr>
      </w:pPr>
      <w:r w:rsidRPr="00446CC5">
        <w:rPr>
          <w:rFonts w:ascii="Palatino Linotype" w:eastAsia="Palatino Linotype" w:hAnsi="Palatino Linotype" w:cs="Palatino Linotype"/>
          <w:b/>
          <w:i/>
        </w:rPr>
        <w:t>III</w:t>
      </w:r>
      <w:r w:rsidRPr="00446CC5">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9DAF873" w14:textId="77777777" w:rsidR="00620366" w:rsidRPr="00446CC5" w:rsidRDefault="0031388A">
      <w:pPr>
        <w:ind w:left="851" w:right="902"/>
        <w:jc w:val="both"/>
        <w:rPr>
          <w:rFonts w:ascii="Palatino Linotype" w:eastAsia="Palatino Linotype" w:hAnsi="Palatino Linotype" w:cs="Palatino Linotype"/>
          <w:i/>
        </w:rPr>
      </w:pPr>
      <w:r w:rsidRPr="00446CC5">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007A0742" w14:textId="77777777" w:rsidR="00620366" w:rsidRPr="00446CC5" w:rsidRDefault="0031388A">
      <w:pPr>
        <w:ind w:left="851" w:right="902"/>
        <w:jc w:val="both"/>
        <w:rPr>
          <w:rFonts w:ascii="Palatino Linotype" w:eastAsia="Palatino Linotype" w:hAnsi="Palatino Linotype" w:cs="Palatino Linotype"/>
          <w:i/>
        </w:rPr>
      </w:pPr>
      <w:r w:rsidRPr="00446CC5">
        <w:rPr>
          <w:rFonts w:ascii="Palatino Linotype" w:eastAsia="Palatino Linotype" w:hAnsi="Palatino Linotype" w:cs="Palatino Linotype"/>
          <w:b/>
          <w:i/>
        </w:rPr>
        <w:t>Quincuagésimo octavo</w:t>
      </w:r>
      <w:r w:rsidRPr="00446CC5">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64751A49" w14:textId="77777777" w:rsidR="00620366" w:rsidRPr="00446CC5" w:rsidRDefault="00620366">
      <w:pPr>
        <w:spacing w:line="360" w:lineRule="auto"/>
        <w:jc w:val="both"/>
        <w:rPr>
          <w:rFonts w:ascii="Palatino Linotype" w:eastAsia="Palatino Linotype" w:hAnsi="Palatino Linotype" w:cs="Palatino Linotype"/>
        </w:rPr>
      </w:pPr>
    </w:p>
    <w:p w14:paraId="7B7E3BE8"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w:t>
      </w:r>
      <w:r w:rsidRPr="00446CC5">
        <w:rPr>
          <w:rFonts w:ascii="Palatino Linotype" w:eastAsia="Palatino Linotype" w:hAnsi="Palatino Linotype" w:cs="Palatino Linotype"/>
          <w:sz w:val="22"/>
          <w:szCs w:val="22"/>
        </w:rPr>
        <w:lastRenderedPageBreak/>
        <w:t>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4CD3356"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F372E0D" w14:textId="77777777" w:rsidR="00620366" w:rsidRPr="00446CC5" w:rsidRDefault="0031388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14:paraId="42EE9153" w14:textId="77777777" w:rsidR="00620366" w:rsidRPr="00446CC5" w:rsidRDefault="0031388A">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446CC5">
        <w:rPr>
          <w:rFonts w:ascii="Palatino Linotype" w:eastAsia="Palatino Linotype" w:hAnsi="Palatino Linotype" w:cs="Palatino Linotype"/>
          <w:b/>
          <w:sz w:val="22"/>
          <w:szCs w:val="22"/>
        </w:rPr>
        <w:t>III. R E S U E L V E</w:t>
      </w:r>
    </w:p>
    <w:p w14:paraId="5549E682" w14:textId="77777777" w:rsidR="00620366" w:rsidRPr="00446CC5" w:rsidRDefault="00620366">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0F1CDC66" w14:textId="77777777" w:rsidR="00620366" w:rsidRPr="00446CC5" w:rsidRDefault="0031388A">
      <w:pPr>
        <w:spacing w:line="360" w:lineRule="auto"/>
        <w:jc w:val="both"/>
        <w:rPr>
          <w:rFonts w:ascii="Palatino Linotype" w:eastAsia="Palatino Linotype" w:hAnsi="Palatino Linotype" w:cs="Palatino Linotype"/>
          <w:b/>
          <w:sz w:val="22"/>
          <w:szCs w:val="22"/>
        </w:rPr>
      </w:pPr>
      <w:bookmarkStart w:id="11" w:name="_heading=h.3rdcrjn" w:colFirst="0" w:colLast="0"/>
      <w:bookmarkEnd w:id="11"/>
      <w:r w:rsidRPr="00446CC5">
        <w:rPr>
          <w:rFonts w:ascii="Palatino Linotype" w:eastAsia="Palatino Linotype" w:hAnsi="Palatino Linotype" w:cs="Palatino Linotype"/>
          <w:b/>
          <w:sz w:val="22"/>
          <w:szCs w:val="22"/>
        </w:rPr>
        <w:t xml:space="preserve">Primero. </w:t>
      </w:r>
      <w:r w:rsidRPr="00446CC5">
        <w:rPr>
          <w:rFonts w:ascii="Palatino Linotype" w:eastAsia="Palatino Linotype" w:hAnsi="Palatino Linotype" w:cs="Palatino Linotype"/>
          <w:sz w:val="22"/>
          <w:szCs w:val="22"/>
        </w:rPr>
        <w:t xml:space="preserve">Resultan </w:t>
      </w:r>
      <w:r w:rsidRPr="00446CC5">
        <w:rPr>
          <w:rFonts w:ascii="Palatino Linotype" w:eastAsia="Palatino Linotype" w:hAnsi="Palatino Linotype" w:cs="Palatino Linotype"/>
          <w:b/>
          <w:sz w:val="22"/>
          <w:szCs w:val="22"/>
        </w:rPr>
        <w:t>fundados</w:t>
      </w:r>
      <w:r w:rsidRPr="00446CC5">
        <w:rPr>
          <w:rFonts w:ascii="Palatino Linotype" w:eastAsia="Palatino Linotype" w:hAnsi="Palatino Linotype" w:cs="Palatino Linotype"/>
          <w:sz w:val="22"/>
          <w:szCs w:val="22"/>
        </w:rPr>
        <w:t xml:space="preserve"> los motivos de inconformidad hechos valer por la parte </w:t>
      </w:r>
      <w:r w:rsidRPr="00446CC5">
        <w:rPr>
          <w:rFonts w:ascii="Palatino Linotype" w:eastAsia="Palatino Linotype" w:hAnsi="Palatino Linotype" w:cs="Palatino Linotype"/>
          <w:b/>
          <w:sz w:val="22"/>
          <w:szCs w:val="22"/>
        </w:rPr>
        <w:t xml:space="preserve">Recurrente </w:t>
      </w:r>
      <w:r w:rsidRPr="00446CC5">
        <w:rPr>
          <w:rFonts w:ascii="Palatino Linotype" w:eastAsia="Palatino Linotype" w:hAnsi="Palatino Linotype" w:cs="Palatino Linotype"/>
          <w:sz w:val="22"/>
          <w:szCs w:val="22"/>
        </w:rPr>
        <w:t xml:space="preserve">en el recurso de revisión </w:t>
      </w:r>
      <w:r w:rsidRPr="00446CC5">
        <w:rPr>
          <w:rFonts w:ascii="Palatino Linotype" w:eastAsia="Palatino Linotype" w:hAnsi="Palatino Linotype" w:cs="Palatino Linotype"/>
          <w:b/>
          <w:sz w:val="22"/>
          <w:szCs w:val="22"/>
        </w:rPr>
        <w:t xml:space="preserve">07414/INFOEM/IP/RR/2024, </w:t>
      </w:r>
      <w:r w:rsidRPr="00446CC5">
        <w:rPr>
          <w:rFonts w:ascii="Palatino Linotype" w:eastAsia="Palatino Linotype" w:hAnsi="Palatino Linotype" w:cs="Palatino Linotype"/>
          <w:sz w:val="22"/>
          <w:szCs w:val="22"/>
        </w:rPr>
        <w:t xml:space="preserve">por lo que, en términos del Considerando </w:t>
      </w:r>
      <w:r w:rsidRPr="00446CC5">
        <w:rPr>
          <w:rFonts w:ascii="Palatino Linotype" w:eastAsia="Palatino Linotype" w:hAnsi="Palatino Linotype" w:cs="Palatino Linotype"/>
          <w:b/>
          <w:sz w:val="22"/>
          <w:szCs w:val="22"/>
        </w:rPr>
        <w:t>Cuarto</w:t>
      </w:r>
      <w:r w:rsidRPr="00446CC5">
        <w:rPr>
          <w:rFonts w:ascii="Palatino Linotype" w:eastAsia="Palatino Linotype" w:hAnsi="Palatino Linotype" w:cs="Palatino Linotype"/>
          <w:sz w:val="22"/>
          <w:szCs w:val="22"/>
        </w:rPr>
        <w:t xml:space="preserve"> de la presente resolución, se</w:t>
      </w:r>
      <w:r w:rsidRPr="00446CC5">
        <w:rPr>
          <w:rFonts w:ascii="Palatino Linotype" w:eastAsia="Palatino Linotype" w:hAnsi="Palatino Linotype" w:cs="Palatino Linotype"/>
          <w:b/>
          <w:sz w:val="22"/>
          <w:szCs w:val="22"/>
        </w:rPr>
        <w:t xml:space="preserve"> Modifica </w:t>
      </w:r>
      <w:r w:rsidRPr="00446CC5">
        <w:rPr>
          <w:rFonts w:ascii="Palatino Linotype" w:eastAsia="Palatino Linotype" w:hAnsi="Palatino Linotype" w:cs="Palatino Linotype"/>
          <w:sz w:val="22"/>
          <w:szCs w:val="22"/>
        </w:rPr>
        <w:t>la respuesta</w:t>
      </w:r>
      <w:r w:rsidRPr="00446CC5">
        <w:rPr>
          <w:rFonts w:ascii="Palatino Linotype" w:eastAsia="Palatino Linotype" w:hAnsi="Palatino Linotype" w:cs="Palatino Linotype"/>
          <w:b/>
          <w:sz w:val="22"/>
          <w:szCs w:val="22"/>
        </w:rPr>
        <w:t xml:space="preserve"> </w:t>
      </w:r>
      <w:r w:rsidRPr="00446CC5">
        <w:rPr>
          <w:rFonts w:ascii="Palatino Linotype" w:eastAsia="Palatino Linotype" w:hAnsi="Palatino Linotype" w:cs="Palatino Linotype"/>
          <w:sz w:val="22"/>
          <w:szCs w:val="22"/>
        </w:rPr>
        <w:t xml:space="preserve">del </w:t>
      </w:r>
      <w:r w:rsidRPr="00446CC5">
        <w:rPr>
          <w:rFonts w:ascii="Palatino Linotype" w:eastAsia="Palatino Linotype" w:hAnsi="Palatino Linotype" w:cs="Palatino Linotype"/>
          <w:b/>
          <w:sz w:val="22"/>
          <w:szCs w:val="22"/>
        </w:rPr>
        <w:t>Sujeto Obligado.</w:t>
      </w:r>
    </w:p>
    <w:p w14:paraId="6140005B" w14:textId="77777777" w:rsidR="00620366" w:rsidRPr="00446CC5" w:rsidRDefault="00620366">
      <w:pPr>
        <w:spacing w:line="360" w:lineRule="auto"/>
        <w:jc w:val="both"/>
        <w:rPr>
          <w:rFonts w:ascii="Palatino Linotype" w:eastAsia="Palatino Linotype" w:hAnsi="Palatino Linotype" w:cs="Palatino Linotype"/>
          <w:b/>
          <w:sz w:val="22"/>
          <w:szCs w:val="22"/>
        </w:rPr>
      </w:pPr>
    </w:p>
    <w:p w14:paraId="6F5A91F3" w14:textId="77777777" w:rsidR="00620366" w:rsidRPr="00446CC5" w:rsidRDefault="0031388A">
      <w:pPr>
        <w:spacing w:line="360" w:lineRule="auto"/>
        <w:jc w:val="both"/>
        <w:rPr>
          <w:rFonts w:ascii="Palatino Linotype" w:eastAsia="Palatino Linotype" w:hAnsi="Palatino Linotype" w:cs="Palatino Linotype"/>
          <w:sz w:val="22"/>
          <w:szCs w:val="22"/>
        </w:rPr>
      </w:pPr>
      <w:bookmarkStart w:id="12" w:name="_heading=h.2et92p0" w:colFirst="0" w:colLast="0"/>
      <w:bookmarkEnd w:id="12"/>
      <w:r w:rsidRPr="00446CC5">
        <w:rPr>
          <w:rFonts w:ascii="Palatino Linotype" w:eastAsia="Palatino Linotype" w:hAnsi="Palatino Linotype" w:cs="Palatino Linotype"/>
          <w:b/>
          <w:sz w:val="22"/>
          <w:szCs w:val="22"/>
        </w:rPr>
        <w:t xml:space="preserve">Segundo. </w:t>
      </w:r>
      <w:r w:rsidRPr="00446CC5">
        <w:rPr>
          <w:rFonts w:ascii="Palatino Linotype" w:eastAsia="Palatino Linotype" w:hAnsi="Palatino Linotype" w:cs="Palatino Linotype"/>
          <w:sz w:val="22"/>
          <w:szCs w:val="22"/>
        </w:rPr>
        <w:t xml:space="preserve">Se </w:t>
      </w:r>
      <w:r w:rsidRPr="00446CC5">
        <w:rPr>
          <w:rFonts w:ascii="Palatino Linotype" w:eastAsia="Palatino Linotype" w:hAnsi="Palatino Linotype" w:cs="Palatino Linotype"/>
          <w:b/>
          <w:sz w:val="22"/>
          <w:szCs w:val="22"/>
        </w:rPr>
        <w:t>Ordena</w:t>
      </w:r>
      <w:r w:rsidRPr="00446CC5">
        <w:rPr>
          <w:rFonts w:ascii="Palatino Linotype" w:eastAsia="Palatino Linotype" w:hAnsi="Palatino Linotype" w:cs="Palatino Linotype"/>
          <w:sz w:val="22"/>
          <w:szCs w:val="22"/>
        </w:rPr>
        <w:t xml:space="preserve"> al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en términos de los Considerandos </w:t>
      </w:r>
      <w:r w:rsidRPr="00446CC5">
        <w:rPr>
          <w:rFonts w:ascii="Palatino Linotype" w:eastAsia="Palatino Linotype" w:hAnsi="Palatino Linotype" w:cs="Palatino Linotype"/>
          <w:b/>
          <w:sz w:val="22"/>
          <w:szCs w:val="22"/>
        </w:rPr>
        <w:t xml:space="preserve">Cuarto y Quinto </w:t>
      </w:r>
      <w:r w:rsidRPr="00446CC5">
        <w:rPr>
          <w:rFonts w:ascii="Palatino Linotype" w:eastAsia="Palatino Linotype" w:hAnsi="Palatino Linotype" w:cs="Palatino Linotype"/>
          <w:sz w:val="22"/>
          <w:szCs w:val="22"/>
        </w:rPr>
        <w:t xml:space="preserve">de esta resolución, </w:t>
      </w:r>
      <w:r w:rsidRPr="00446CC5">
        <w:rPr>
          <w:rFonts w:ascii="Palatino Linotype" w:eastAsia="Palatino Linotype" w:hAnsi="Palatino Linotype" w:cs="Palatino Linotype"/>
          <w:b/>
          <w:sz w:val="22"/>
          <w:szCs w:val="22"/>
        </w:rPr>
        <w:t>haga entrega vía Sistema de Acceso a la Información Mexiquense (SAIMEX), respecto del servicio de cafetería referido en la solicitud de información,</w:t>
      </w:r>
      <w:r w:rsidRPr="00446CC5">
        <w:rPr>
          <w:rFonts w:ascii="Palatino Linotype" w:eastAsia="Palatino Linotype" w:hAnsi="Palatino Linotype" w:cs="Palatino Linotype"/>
          <w:sz w:val="22"/>
          <w:szCs w:val="22"/>
        </w:rPr>
        <w:t xml:space="preserve"> de ser procedente en versión pública, el documento donde conste lo siguiente:</w:t>
      </w:r>
    </w:p>
    <w:p w14:paraId="009E10E4" w14:textId="77777777" w:rsidR="00620366" w:rsidRPr="00446CC5" w:rsidRDefault="00620366">
      <w:pPr>
        <w:spacing w:line="360" w:lineRule="auto"/>
        <w:jc w:val="both"/>
        <w:rPr>
          <w:rFonts w:ascii="Palatino Linotype" w:eastAsia="Palatino Linotype" w:hAnsi="Palatino Linotype" w:cs="Palatino Linotype"/>
          <w:sz w:val="22"/>
          <w:szCs w:val="22"/>
        </w:rPr>
      </w:pPr>
      <w:bookmarkStart w:id="13" w:name="_heading=h.1ksv4uv" w:colFirst="0" w:colLast="0"/>
      <w:bookmarkEnd w:id="13"/>
    </w:p>
    <w:p w14:paraId="4AFAA6D0" w14:textId="77777777" w:rsidR="00620366" w:rsidRPr="00446CC5" w:rsidRDefault="0031388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t xml:space="preserve">El dictamen que sustentó el fallo de adjudicación número </w:t>
      </w:r>
      <w:r w:rsidRPr="00446CC5">
        <w:rPr>
          <w:rFonts w:ascii="Palatino Linotype" w:eastAsia="Palatino Linotype" w:hAnsi="Palatino Linotype" w:cs="Palatino Linotype"/>
          <w:b/>
          <w:sz w:val="22"/>
          <w:szCs w:val="22"/>
        </w:rPr>
        <w:t>F-AD-CC/UNEVT/AD-026-2024 del 21 de agosto de 2024.</w:t>
      </w:r>
    </w:p>
    <w:p w14:paraId="0CDE44F2" w14:textId="77777777" w:rsidR="00620366" w:rsidRPr="00446CC5" w:rsidRDefault="00620366">
      <w:pPr>
        <w:pBdr>
          <w:top w:val="nil"/>
          <w:left w:val="nil"/>
          <w:bottom w:val="nil"/>
          <w:right w:val="nil"/>
          <w:between w:val="nil"/>
        </w:pBdr>
        <w:ind w:left="720"/>
        <w:rPr>
          <w:rFonts w:ascii="Palatino Linotype" w:eastAsia="Palatino Linotype" w:hAnsi="Palatino Linotype" w:cs="Palatino Linotype"/>
          <w:b/>
          <w:sz w:val="22"/>
          <w:szCs w:val="22"/>
        </w:rPr>
      </w:pPr>
    </w:p>
    <w:p w14:paraId="4607AC84" w14:textId="77777777" w:rsidR="00620366" w:rsidRPr="00446CC5" w:rsidRDefault="0031388A">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r w:rsidRPr="00446CC5">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w:t>
      </w:r>
      <w:r w:rsidRPr="00446CC5">
        <w:rPr>
          <w:rFonts w:ascii="Palatino Linotype" w:eastAsia="Palatino Linotype" w:hAnsi="Palatino Linotype" w:cs="Palatino Linotype"/>
          <w:i/>
          <w:sz w:val="22"/>
          <w:szCs w:val="22"/>
        </w:rPr>
        <w:lastRenderedPageBreak/>
        <w:t xml:space="preserve">Municipios, en el que funde y motive las razones sobre los datos que se supriman o eliminen de los soportes documentales objeto de la versión públicas que se formule y se pongan a disposición de </w:t>
      </w:r>
      <w:r w:rsidRPr="00446CC5">
        <w:rPr>
          <w:rFonts w:ascii="Palatino Linotype" w:eastAsia="Palatino Linotype" w:hAnsi="Palatino Linotype" w:cs="Palatino Linotype"/>
          <w:b/>
          <w:i/>
          <w:sz w:val="22"/>
          <w:szCs w:val="22"/>
        </w:rPr>
        <w:t>la parte Recurrente</w:t>
      </w:r>
      <w:r w:rsidRPr="00446CC5">
        <w:rPr>
          <w:rFonts w:ascii="Palatino Linotype" w:eastAsia="Palatino Linotype" w:hAnsi="Palatino Linotype" w:cs="Palatino Linotype"/>
          <w:i/>
          <w:sz w:val="22"/>
          <w:szCs w:val="22"/>
        </w:rPr>
        <w:t>, mismo que igualmente hará de su conocimiento.</w:t>
      </w:r>
    </w:p>
    <w:p w14:paraId="2F720B10" w14:textId="77777777" w:rsidR="00620366" w:rsidRPr="00446CC5" w:rsidRDefault="00620366">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451F26C0" w14:textId="77777777" w:rsidR="00620366" w:rsidRPr="00446CC5" w:rsidRDefault="0031388A">
      <w:pPr>
        <w:spacing w:line="360" w:lineRule="auto"/>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 xml:space="preserve">Tercero. Notifíquese, </w:t>
      </w:r>
      <w:r w:rsidRPr="00446CC5">
        <w:rPr>
          <w:rFonts w:ascii="Palatino Linotype" w:eastAsia="Palatino Linotype" w:hAnsi="Palatino Linotype" w:cs="Palatino Linotype"/>
          <w:sz w:val="22"/>
          <w:szCs w:val="22"/>
        </w:rPr>
        <w:t xml:space="preserve">vía </w:t>
      </w:r>
      <w:r w:rsidRPr="00446CC5">
        <w:rPr>
          <w:rFonts w:ascii="Palatino Linotype" w:eastAsia="Palatino Linotype" w:hAnsi="Palatino Linotype" w:cs="Palatino Linotype"/>
          <w:b/>
          <w:sz w:val="22"/>
          <w:szCs w:val="22"/>
        </w:rPr>
        <w:t>SAIMEX</w:t>
      </w:r>
      <w:r w:rsidRPr="00446CC5">
        <w:rPr>
          <w:rFonts w:ascii="Palatino Linotype" w:eastAsia="Palatino Linotype" w:hAnsi="Palatino Linotype" w:cs="Palatino Linotype"/>
          <w:sz w:val="22"/>
          <w:szCs w:val="22"/>
        </w:rPr>
        <w:t xml:space="preserve">, al Titular de la Unidad de Transparencia del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1E6798"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447915E0" w14:textId="77777777" w:rsidR="00620366" w:rsidRPr="00446CC5" w:rsidRDefault="0031388A">
      <w:pP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Cuarto.</w:t>
      </w:r>
      <w:r w:rsidRPr="00446CC5">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446CC5">
        <w:rPr>
          <w:rFonts w:ascii="Palatino Linotype" w:eastAsia="Palatino Linotype" w:hAnsi="Palatino Linotype" w:cs="Palatino Linotype"/>
          <w:b/>
          <w:sz w:val="22"/>
          <w:szCs w:val="22"/>
        </w:rPr>
        <w:t>Sujeto Obligado</w:t>
      </w:r>
      <w:r w:rsidRPr="00446CC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448FC2D" w14:textId="77777777" w:rsidR="00620366" w:rsidRPr="00446CC5" w:rsidRDefault="00620366">
      <w:pPr>
        <w:spacing w:line="360" w:lineRule="auto"/>
        <w:ind w:right="49"/>
        <w:jc w:val="both"/>
        <w:rPr>
          <w:rFonts w:ascii="Palatino Linotype" w:eastAsia="Palatino Linotype" w:hAnsi="Palatino Linotype" w:cs="Palatino Linotype"/>
          <w:sz w:val="22"/>
          <w:szCs w:val="22"/>
        </w:rPr>
      </w:pPr>
    </w:p>
    <w:p w14:paraId="2EFF4754" w14:textId="77777777" w:rsidR="00620366" w:rsidRPr="00446CC5" w:rsidRDefault="0031388A">
      <w:pPr>
        <w:spacing w:line="360" w:lineRule="auto"/>
        <w:ind w:right="49"/>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b/>
          <w:sz w:val="22"/>
          <w:szCs w:val="22"/>
        </w:rPr>
        <w:t xml:space="preserve">Quinto. Notifíquese </w:t>
      </w:r>
      <w:r w:rsidRPr="00446CC5">
        <w:rPr>
          <w:rFonts w:ascii="Palatino Linotype" w:eastAsia="Palatino Linotype" w:hAnsi="Palatino Linotype" w:cs="Palatino Linotype"/>
          <w:sz w:val="22"/>
          <w:szCs w:val="22"/>
        </w:rPr>
        <w:t>vía SAIMEX</w:t>
      </w:r>
      <w:r w:rsidRPr="00446CC5">
        <w:rPr>
          <w:rFonts w:ascii="Palatino Linotype" w:eastAsia="Palatino Linotype" w:hAnsi="Palatino Linotype" w:cs="Palatino Linotype"/>
          <w:b/>
          <w:sz w:val="22"/>
          <w:szCs w:val="22"/>
        </w:rPr>
        <w:t xml:space="preserve">, </w:t>
      </w:r>
      <w:r w:rsidRPr="00446CC5">
        <w:rPr>
          <w:rFonts w:ascii="Palatino Linotype" w:eastAsia="Palatino Linotype" w:hAnsi="Palatino Linotype" w:cs="Palatino Linotype"/>
          <w:sz w:val="22"/>
          <w:szCs w:val="22"/>
        </w:rPr>
        <w:t xml:space="preserve">la presente resolución a la parte </w:t>
      </w:r>
      <w:r w:rsidRPr="00446CC5">
        <w:rPr>
          <w:rFonts w:ascii="Palatino Linotype" w:eastAsia="Palatino Linotype" w:hAnsi="Palatino Linotype" w:cs="Palatino Linotype"/>
          <w:b/>
          <w:sz w:val="22"/>
          <w:szCs w:val="22"/>
        </w:rPr>
        <w:t>Recurrente</w:t>
      </w:r>
      <w:r w:rsidRPr="00446CC5">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2603A75" w14:textId="2DD246D6" w:rsidR="00620366" w:rsidRPr="00446CC5" w:rsidRDefault="00620366">
      <w:pPr>
        <w:spacing w:line="360" w:lineRule="auto"/>
        <w:ind w:right="49"/>
        <w:jc w:val="both"/>
        <w:rPr>
          <w:rFonts w:ascii="Palatino Linotype" w:eastAsia="Palatino Linotype" w:hAnsi="Palatino Linotype" w:cs="Palatino Linotype"/>
          <w:sz w:val="22"/>
          <w:szCs w:val="22"/>
        </w:rPr>
      </w:pPr>
    </w:p>
    <w:p w14:paraId="76F44439" w14:textId="77777777" w:rsidR="00446CC5" w:rsidRPr="00446CC5" w:rsidRDefault="00446CC5">
      <w:pPr>
        <w:spacing w:line="360" w:lineRule="auto"/>
        <w:ind w:right="49"/>
        <w:jc w:val="both"/>
        <w:rPr>
          <w:rFonts w:ascii="Palatino Linotype" w:eastAsia="Palatino Linotype" w:hAnsi="Palatino Linotype" w:cs="Palatino Linotype"/>
          <w:sz w:val="22"/>
          <w:szCs w:val="22"/>
        </w:rPr>
      </w:pPr>
    </w:p>
    <w:p w14:paraId="10AF6549" w14:textId="77777777" w:rsidR="00620366" w:rsidRPr="00446CC5" w:rsidRDefault="0031388A">
      <w:pPr>
        <w:spacing w:line="360" w:lineRule="auto"/>
        <w:ind w:right="-93"/>
        <w:jc w:val="both"/>
        <w:rPr>
          <w:rFonts w:ascii="Palatino Linotype" w:eastAsia="Palatino Linotype" w:hAnsi="Palatino Linotype" w:cs="Palatino Linotype"/>
          <w:sz w:val="22"/>
          <w:szCs w:val="22"/>
        </w:rPr>
      </w:pPr>
      <w:r w:rsidRPr="00446CC5">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QUINCE DE ENERO DE DOS MIL VEINTICINCO, ANTE EL SECRETARIO TÉCNICO DEL PLENO ALEXIS TAPIA RAMÍREZ.</w:t>
      </w:r>
    </w:p>
    <w:p w14:paraId="33CD5FA3"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68DAB9F1"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2A1C4891" w14:textId="77777777" w:rsidR="00620366" w:rsidRPr="00446CC5" w:rsidRDefault="00620366">
      <w:pPr>
        <w:spacing w:line="360" w:lineRule="auto"/>
        <w:jc w:val="both"/>
        <w:rPr>
          <w:rFonts w:ascii="Palatino Linotype" w:eastAsia="Palatino Linotype" w:hAnsi="Palatino Linotype" w:cs="Palatino Linotype"/>
          <w:sz w:val="22"/>
          <w:szCs w:val="22"/>
        </w:rPr>
      </w:pPr>
      <w:bookmarkStart w:id="14" w:name="_heading=h.1t3h5sf" w:colFirst="0" w:colLast="0"/>
      <w:bookmarkEnd w:id="14"/>
    </w:p>
    <w:p w14:paraId="1A189960"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CC0C248"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49EA05CB"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1ED1B15"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034C267"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312D817"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4F8A8C5"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026F732C"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08A21E27"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4E6B765E"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0BA8C776"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64F8C3D2"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367D33D8"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C3AB62A"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36B5B25"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8949E3D"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887777A"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7FFF841E"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087C7C65" w14:textId="77777777" w:rsidR="00620366" w:rsidRPr="00446CC5" w:rsidRDefault="00620366">
      <w:pPr>
        <w:spacing w:line="360" w:lineRule="auto"/>
        <w:jc w:val="both"/>
        <w:rPr>
          <w:rFonts w:ascii="Palatino Linotype" w:eastAsia="Palatino Linotype" w:hAnsi="Palatino Linotype" w:cs="Palatino Linotype"/>
          <w:sz w:val="22"/>
          <w:szCs w:val="22"/>
        </w:rPr>
      </w:pPr>
    </w:p>
    <w:p w14:paraId="2ABCEE28" w14:textId="77777777" w:rsidR="00620366" w:rsidRPr="00446CC5" w:rsidRDefault="00620366">
      <w:pPr>
        <w:spacing w:line="360" w:lineRule="auto"/>
        <w:jc w:val="both"/>
        <w:rPr>
          <w:rFonts w:ascii="Palatino Linotype" w:eastAsia="Palatino Linotype" w:hAnsi="Palatino Linotype" w:cs="Palatino Linotype"/>
          <w:sz w:val="22"/>
          <w:szCs w:val="22"/>
        </w:rPr>
      </w:pPr>
    </w:p>
    <w:sectPr w:rsidR="00620366" w:rsidRPr="00446CC5">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A0B7E" w14:textId="77777777" w:rsidR="001B20D9" w:rsidRDefault="001B20D9">
      <w:r>
        <w:separator/>
      </w:r>
    </w:p>
  </w:endnote>
  <w:endnote w:type="continuationSeparator" w:id="0">
    <w:p w14:paraId="6CF55CBD" w14:textId="77777777" w:rsidR="001B20D9" w:rsidRDefault="001B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5315" w14:textId="77777777" w:rsidR="00620366" w:rsidRDefault="0031388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44A7">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44A7">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690E263E" w14:textId="77777777" w:rsidR="00620366" w:rsidRDefault="0062036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B086" w14:textId="77777777" w:rsidR="00620366" w:rsidRDefault="0031388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44A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44A7">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673ED35A" w14:textId="77777777" w:rsidR="00620366" w:rsidRDefault="0062036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AC3D1" w14:textId="77777777" w:rsidR="001B20D9" w:rsidRDefault="001B20D9">
      <w:r>
        <w:separator/>
      </w:r>
    </w:p>
  </w:footnote>
  <w:footnote w:type="continuationSeparator" w:id="0">
    <w:p w14:paraId="28A4D526" w14:textId="77777777" w:rsidR="001B20D9" w:rsidRDefault="001B20D9">
      <w:r>
        <w:continuationSeparator/>
      </w:r>
    </w:p>
  </w:footnote>
  <w:footnote w:id="1">
    <w:p w14:paraId="1823D3C7" w14:textId="77777777" w:rsidR="00620366" w:rsidRDefault="0031388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1802E32" w14:textId="77777777" w:rsidR="00620366" w:rsidRDefault="0031388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D78F0C9" w14:textId="77777777" w:rsidR="00620366" w:rsidRDefault="0031388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3BA0079" w14:textId="77777777" w:rsidR="00620366" w:rsidRDefault="0031388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E048" w14:textId="77777777" w:rsidR="00620366" w:rsidRDefault="0031388A">
    <w:pPr>
      <w:rPr>
        <w:rFonts w:ascii="Cambria" w:eastAsia="Cambria" w:hAnsi="Cambria" w:cs="Cambria"/>
        <w:color w:val="000000"/>
      </w:rPr>
    </w:pPr>
    <w:r>
      <w:rPr>
        <w:noProof/>
      </w:rPr>
      <w:drawing>
        <wp:anchor distT="0" distB="0" distL="0" distR="0" simplePos="0" relativeHeight="251658240" behindDoc="1" locked="0" layoutInCell="1" hidden="0" allowOverlap="1" wp14:anchorId="3073CDFD" wp14:editId="65B2224C">
          <wp:simplePos x="0" y="0"/>
          <wp:positionH relativeFrom="column">
            <wp:posOffset>-1080108</wp:posOffset>
          </wp:positionH>
          <wp:positionV relativeFrom="paragraph">
            <wp:posOffset>-488282</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7087" w:type="dxa"/>
      <w:tblInd w:w="3261" w:type="dxa"/>
      <w:tblLayout w:type="fixed"/>
      <w:tblLook w:val="0400" w:firstRow="0" w:lastRow="0" w:firstColumn="0" w:lastColumn="0" w:noHBand="0" w:noVBand="1"/>
    </w:tblPr>
    <w:tblGrid>
      <w:gridCol w:w="2489"/>
      <w:gridCol w:w="4598"/>
    </w:tblGrid>
    <w:tr w:rsidR="00620366" w14:paraId="480C94F6" w14:textId="77777777">
      <w:tc>
        <w:tcPr>
          <w:tcW w:w="2489" w:type="dxa"/>
          <w:shd w:val="clear" w:color="auto" w:fill="auto"/>
        </w:tcPr>
        <w:p w14:paraId="0A1DDDB6" w14:textId="77777777" w:rsidR="00620366" w:rsidRDefault="00313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6CF4165" w14:textId="77777777" w:rsidR="00620366" w:rsidRDefault="0031388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07414/INFOEM/IP/RR/2024</w:t>
          </w:r>
        </w:p>
      </w:tc>
    </w:tr>
    <w:tr w:rsidR="00620366" w14:paraId="38475EE3" w14:textId="77777777">
      <w:trPr>
        <w:trHeight w:val="228"/>
      </w:trPr>
      <w:tc>
        <w:tcPr>
          <w:tcW w:w="2489" w:type="dxa"/>
          <w:shd w:val="clear" w:color="auto" w:fill="auto"/>
          <w:vAlign w:val="center"/>
        </w:tcPr>
        <w:p w14:paraId="25BB6FF8" w14:textId="77777777" w:rsidR="00620366" w:rsidRDefault="00313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22C34554" w14:textId="77777777" w:rsidR="00620366" w:rsidRDefault="0031388A">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Estatal del Valle de Toluca</w:t>
          </w:r>
        </w:p>
      </w:tc>
    </w:tr>
    <w:tr w:rsidR="00620366" w14:paraId="4182BD1B" w14:textId="77777777">
      <w:tc>
        <w:tcPr>
          <w:tcW w:w="2489" w:type="dxa"/>
          <w:shd w:val="clear" w:color="auto" w:fill="auto"/>
          <w:vAlign w:val="center"/>
        </w:tcPr>
        <w:p w14:paraId="25100D39" w14:textId="77777777" w:rsidR="00620366" w:rsidRDefault="0031388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73D8069D" w14:textId="77777777" w:rsidR="00620366" w:rsidRDefault="0031388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F9D8941" w14:textId="77777777" w:rsidR="00620366" w:rsidRDefault="0031388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1B6D" w14:textId="77777777" w:rsidR="00620366" w:rsidRDefault="0031388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DDAB112" wp14:editId="49C7FC38">
          <wp:simplePos x="0" y="0"/>
          <wp:positionH relativeFrom="column">
            <wp:posOffset>-1079486</wp:posOffset>
          </wp:positionH>
          <wp:positionV relativeFrom="paragraph">
            <wp:posOffset>-328914</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945" w:type="dxa"/>
      <w:tblInd w:w="3261" w:type="dxa"/>
      <w:tblLayout w:type="fixed"/>
      <w:tblLook w:val="0400" w:firstRow="0" w:lastRow="0" w:firstColumn="0" w:lastColumn="0" w:noHBand="0" w:noVBand="1"/>
    </w:tblPr>
    <w:tblGrid>
      <w:gridCol w:w="2551"/>
      <w:gridCol w:w="4394"/>
    </w:tblGrid>
    <w:tr w:rsidR="00620366" w14:paraId="4812E961" w14:textId="77777777">
      <w:tc>
        <w:tcPr>
          <w:tcW w:w="2551" w:type="dxa"/>
          <w:shd w:val="clear" w:color="auto" w:fill="auto"/>
          <w:vAlign w:val="center"/>
        </w:tcPr>
        <w:p w14:paraId="3C84CB56" w14:textId="77777777" w:rsidR="00620366" w:rsidRDefault="00313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4D79788F" w14:textId="77777777" w:rsidR="00620366" w:rsidRDefault="0031388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07414/INFOEM/IP/RR/2024</w:t>
          </w:r>
        </w:p>
      </w:tc>
    </w:tr>
    <w:tr w:rsidR="00620366" w14:paraId="0F078481" w14:textId="77777777">
      <w:trPr>
        <w:trHeight w:val="130"/>
      </w:trPr>
      <w:tc>
        <w:tcPr>
          <w:tcW w:w="2551" w:type="dxa"/>
          <w:shd w:val="clear" w:color="auto" w:fill="auto"/>
          <w:vAlign w:val="center"/>
        </w:tcPr>
        <w:p w14:paraId="18900981" w14:textId="77777777" w:rsidR="00620366" w:rsidRDefault="00313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8C9567A" w14:textId="63B01DEF" w:rsidR="00620366" w:rsidRDefault="00BF47F1" w:rsidP="00BF47F1">
          <w:pPr>
            <w:ind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XXXXXXXXX </w:t>
          </w:r>
          <w:proofErr w:type="spellStart"/>
          <w:r>
            <w:rPr>
              <w:rFonts w:ascii="Palatino Linotype" w:eastAsia="Palatino Linotype" w:hAnsi="Palatino Linotype" w:cs="Palatino Linotype"/>
              <w:b/>
              <w:sz w:val="22"/>
              <w:szCs w:val="22"/>
            </w:rPr>
            <w:t>XXXXXXXXX</w:t>
          </w:r>
          <w:proofErr w:type="spellEnd"/>
          <w:r>
            <w:rPr>
              <w:rFonts w:ascii="Palatino Linotype" w:eastAsia="Palatino Linotype" w:hAnsi="Palatino Linotype" w:cs="Palatino Linotype"/>
              <w:b/>
              <w:sz w:val="22"/>
              <w:szCs w:val="22"/>
            </w:rPr>
            <w:t xml:space="preserve"> </w:t>
          </w:r>
        </w:p>
      </w:tc>
    </w:tr>
    <w:tr w:rsidR="00620366" w14:paraId="51D116BE" w14:textId="77777777">
      <w:trPr>
        <w:trHeight w:val="228"/>
      </w:trPr>
      <w:tc>
        <w:tcPr>
          <w:tcW w:w="2551" w:type="dxa"/>
          <w:shd w:val="clear" w:color="auto" w:fill="auto"/>
          <w:vAlign w:val="center"/>
        </w:tcPr>
        <w:p w14:paraId="2E72F7D8" w14:textId="77777777" w:rsidR="00620366" w:rsidRDefault="00313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0B9AEF0A" w14:textId="77777777" w:rsidR="00620366" w:rsidRDefault="0031388A">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Estatal del Valle de Toluca</w:t>
          </w:r>
        </w:p>
      </w:tc>
    </w:tr>
    <w:tr w:rsidR="00620366" w14:paraId="7149C729" w14:textId="77777777">
      <w:tc>
        <w:tcPr>
          <w:tcW w:w="2551" w:type="dxa"/>
          <w:shd w:val="clear" w:color="auto" w:fill="auto"/>
          <w:vAlign w:val="center"/>
        </w:tcPr>
        <w:p w14:paraId="5D625522" w14:textId="77777777" w:rsidR="00620366" w:rsidRDefault="003138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2068D896" w14:textId="77777777" w:rsidR="00620366" w:rsidRDefault="0031388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6A537A" w14:textId="77777777" w:rsidR="00620366" w:rsidRDefault="00620366">
    <w:pPr>
      <w:pBdr>
        <w:top w:val="nil"/>
        <w:left w:val="nil"/>
        <w:bottom w:val="nil"/>
        <w:right w:val="nil"/>
        <w:between w:val="nil"/>
      </w:pBdr>
      <w:tabs>
        <w:tab w:val="center" w:pos="4252"/>
        <w:tab w:val="right" w:pos="8504"/>
      </w:tabs>
      <w:rPr>
        <w:rFonts w:ascii="Cambria" w:eastAsia="Cambria" w:hAnsi="Cambria" w:cs="Cambria"/>
        <w:color w:val="000000"/>
      </w:rPr>
    </w:pPr>
  </w:p>
  <w:p w14:paraId="2811323C" w14:textId="77777777" w:rsidR="00620366" w:rsidRDefault="006203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B62F1"/>
    <w:multiLevelType w:val="multilevel"/>
    <w:tmpl w:val="079433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24F5A6F"/>
    <w:multiLevelType w:val="multilevel"/>
    <w:tmpl w:val="5734CCD6"/>
    <w:lvl w:ilvl="0">
      <w:start w:val="1"/>
      <w:numFmt w:val="decimal"/>
      <w:pStyle w:val="Listaconvietas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7BC23F1"/>
    <w:multiLevelType w:val="multilevel"/>
    <w:tmpl w:val="2C204C0A"/>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F12800"/>
    <w:multiLevelType w:val="multilevel"/>
    <w:tmpl w:val="6E6C8CBE"/>
    <w:lvl w:ilvl="0">
      <w:numFmt w:val="bullet"/>
      <w:lvlText w:val="-"/>
      <w:lvlJc w:val="left"/>
      <w:pPr>
        <w:ind w:left="1080" w:hanging="360"/>
      </w:pPr>
      <w:rPr>
        <w:rFonts w:ascii="Palatino Linotype" w:eastAsia="Palatino Linotype" w:hAnsi="Palatino Linotype" w:cs="Palatino Linotype"/>
        <w:b/>
        <w:color w:val="00000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E187DD0"/>
    <w:multiLevelType w:val="multilevel"/>
    <w:tmpl w:val="D19283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B323618"/>
    <w:multiLevelType w:val="multilevel"/>
    <w:tmpl w:val="0FBE6A0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EFD20BD"/>
    <w:multiLevelType w:val="multilevel"/>
    <w:tmpl w:val="52062C0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6"/>
  </w:num>
  <w:num w:numId="2">
    <w:abstractNumId w:val="0"/>
  </w:num>
  <w:num w:numId="3">
    <w:abstractNumId w:val="2"/>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366"/>
    <w:rsid w:val="001B20D9"/>
    <w:rsid w:val="0031388A"/>
    <w:rsid w:val="00446CC5"/>
    <w:rsid w:val="00620366"/>
    <w:rsid w:val="00BF47F1"/>
    <w:rsid w:val="00D044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3A30"/>
  <w15:docId w15:val="{65A96F31-4227-4771-BF7A-33CAD9C19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numPr>
        <w:numId w:val="7"/>
      </w:numPr>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18">
    <w:name w:val="18"/>
    <w:basedOn w:val="TableNormal8"/>
    <w:tblPr>
      <w:tblStyleRowBandSize w:val="1"/>
      <w:tblStyleColBandSize w:val="1"/>
      <w:tblCellMar>
        <w:left w:w="115" w:type="dxa"/>
        <w:right w:w="115" w:type="dxa"/>
      </w:tblCellMar>
    </w:tblPr>
  </w:style>
  <w:style w:type="table" w:customStyle="1" w:styleId="17">
    <w:name w:val="17"/>
    <w:basedOn w:val="TableNormal8"/>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nevt.edomex.gob.mx/adquisiciones-arrendamientos-servicios" TargetMode="External"/><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2zLxqj1e9lruEDNSqSDDXKMLkg==">CgMxLjAyCWguMWZvYjl0ZTIJaC40ZDM0b2c4MghoLmdqZGd4czIJaC4zZHk2dmttMgloLjMwajB6bGwyCWguMnM4ZXlvMTIIaC50eWpjd3QyCWguM3pueXNoNzIJaC4xeTgxMHR3Mg5oLmlqdjk4cG50Y2Q1czIJaC4yNmluMXJnMgloLjNyZGNyam4yCWguMmV0OTJwMDIJaC4xa3N2NHV2MgloLjF0M2g1c2Y4AHIhMTZRcFdzdHdtZENxWldMMFByZmRqTWZ2OE1UWnlRNX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11262</Words>
  <Characters>61943</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dcterms:created xsi:type="dcterms:W3CDTF">2025-01-22T17:36:00Z</dcterms:created>
  <dcterms:modified xsi:type="dcterms:W3CDTF">2025-01-22T17:36:00Z</dcterms:modified>
</cp:coreProperties>
</file>