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6AE3A" w14:textId="77777777" w:rsidR="00CA7BF7" w:rsidRPr="00A15BFF" w:rsidRDefault="00EA6A07">
      <w:pPr>
        <w:spacing w:before="240" w:after="240" w:line="360" w:lineRule="auto"/>
        <w:jc w:val="both"/>
        <w:rPr>
          <w:rFonts w:ascii="Palatino Linotype" w:eastAsia="Palatino Linotype" w:hAnsi="Palatino Linotype" w:cs="Palatino Linotype"/>
        </w:rPr>
      </w:pPr>
      <w:bookmarkStart w:id="0" w:name="_heading=h.3rdcrjn" w:colFirst="0" w:colLast="0"/>
      <w:bookmarkEnd w:id="0"/>
      <w:r w:rsidRPr="00A15BF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veintiocho de mayo de dos mil veinticinco. </w:t>
      </w:r>
    </w:p>
    <w:p w14:paraId="4A56EA92" w14:textId="06A41616" w:rsidR="00CA7BF7" w:rsidRPr="00A15BFF" w:rsidRDefault="00EA6A07">
      <w:pPr>
        <w:tabs>
          <w:tab w:val="left" w:pos="5812"/>
        </w:tabs>
        <w:spacing w:before="240" w:after="240" w:line="360" w:lineRule="auto"/>
        <w:jc w:val="both"/>
        <w:rPr>
          <w:rFonts w:ascii="Palatino Linotype" w:eastAsia="Palatino Linotype" w:hAnsi="Palatino Linotype" w:cs="Palatino Linotype"/>
        </w:rPr>
      </w:pPr>
      <w:bookmarkStart w:id="1" w:name="_heading=h.daj3j2xo6q66" w:colFirst="0" w:colLast="0"/>
      <w:bookmarkEnd w:id="1"/>
      <w:r w:rsidRPr="00A15BFF">
        <w:rPr>
          <w:rFonts w:ascii="Palatino Linotype" w:eastAsia="Palatino Linotype" w:hAnsi="Palatino Linotype" w:cs="Palatino Linotype"/>
          <w:b/>
        </w:rPr>
        <w:t>VISTO</w:t>
      </w:r>
      <w:r w:rsidRPr="00A15BFF">
        <w:rPr>
          <w:rFonts w:ascii="Palatino Linotype" w:eastAsia="Palatino Linotype" w:hAnsi="Palatino Linotype" w:cs="Palatino Linotype"/>
        </w:rPr>
        <w:t xml:space="preserve"> el expediente formado con motivo del recurso de revisión </w:t>
      </w:r>
      <w:r w:rsidRPr="00A15BFF">
        <w:rPr>
          <w:rFonts w:ascii="Palatino Linotype" w:eastAsia="Palatino Linotype" w:hAnsi="Palatino Linotype" w:cs="Palatino Linotype"/>
          <w:b/>
        </w:rPr>
        <w:t>03044/INFOEM/IP/RR/2025</w:t>
      </w:r>
      <w:r w:rsidRPr="00A15BFF">
        <w:rPr>
          <w:rFonts w:ascii="Palatino Linotype" w:eastAsia="Palatino Linotype" w:hAnsi="Palatino Linotype" w:cs="Palatino Linotype"/>
        </w:rPr>
        <w:t>, interpuesto por</w:t>
      </w:r>
      <w:r w:rsidRPr="00A15BFF">
        <w:rPr>
          <w:rFonts w:ascii="Palatino Linotype" w:eastAsia="Palatino Linotype" w:hAnsi="Palatino Linotype" w:cs="Palatino Linotype"/>
          <w:b/>
        </w:rPr>
        <w:t xml:space="preserve"> </w:t>
      </w:r>
      <w:r w:rsidR="005B2BFB" w:rsidRPr="005B2BFB">
        <w:rPr>
          <w:rFonts w:ascii="Palatino Linotype" w:eastAsia="Palatino Linotype" w:hAnsi="Palatino Linotype" w:cs="Palatino Linotype"/>
          <w:b/>
        </w:rPr>
        <w:t>XXXXXX XXXXXXX XXXXX</w:t>
      </w:r>
      <w:r w:rsidRPr="00A15BFF">
        <w:rPr>
          <w:rFonts w:ascii="Palatino Linotype" w:eastAsia="Palatino Linotype" w:hAnsi="Palatino Linotype" w:cs="Palatino Linotype"/>
          <w:b/>
        </w:rPr>
        <w:t>,</w:t>
      </w:r>
      <w:r w:rsidRPr="00A15BFF">
        <w:rPr>
          <w:rFonts w:ascii="Palatino Linotype" w:eastAsia="Palatino Linotype" w:hAnsi="Palatino Linotype" w:cs="Palatino Linotype"/>
        </w:rPr>
        <w:t xml:space="preserve"> en lo sucesivo</w:t>
      </w:r>
      <w:r w:rsidRPr="00A15BFF">
        <w:rPr>
          <w:rFonts w:ascii="Palatino Linotype" w:eastAsia="Palatino Linotype" w:hAnsi="Palatino Linotype" w:cs="Palatino Linotype"/>
          <w:b/>
        </w:rPr>
        <w:t xml:space="preserve"> </w:t>
      </w:r>
      <w:r w:rsidRPr="00A15BFF">
        <w:rPr>
          <w:rFonts w:ascii="Palatino Linotype" w:eastAsia="Palatino Linotype" w:hAnsi="Palatino Linotype" w:cs="Palatino Linotype"/>
        </w:rPr>
        <w:t xml:space="preserve">la parte </w:t>
      </w:r>
      <w:r w:rsidRPr="00A15BFF">
        <w:rPr>
          <w:rFonts w:ascii="Palatino Linotype" w:eastAsia="Palatino Linotype" w:hAnsi="Palatino Linotype" w:cs="Palatino Linotype"/>
          <w:b/>
        </w:rPr>
        <w:t>Recurrente,</w:t>
      </w:r>
      <w:r w:rsidRPr="00A15BFF">
        <w:rPr>
          <w:rFonts w:ascii="Palatino Linotype" w:eastAsia="Palatino Linotype" w:hAnsi="Palatino Linotype" w:cs="Palatino Linotype"/>
        </w:rPr>
        <w:t xml:space="preserve"> en contra de la respuesta a la solicitud de información con número de folio</w:t>
      </w:r>
      <w:r w:rsidRPr="00A15BFF">
        <w:rPr>
          <w:rFonts w:ascii="Palatino Linotype" w:eastAsia="Palatino Linotype" w:hAnsi="Palatino Linotype" w:cs="Palatino Linotype"/>
          <w:b/>
        </w:rPr>
        <w:t xml:space="preserve"> 00050/OZUMBA/IP/2025, </w:t>
      </w:r>
      <w:r w:rsidRPr="00A15BFF">
        <w:rPr>
          <w:rFonts w:ascii="Palatino Linotype" w:eastAsia="Palatino Linotype" w:hAnsi="Palatino Linotype" w:cs="Palatino Linotype"/>
        </w:rPr>
        <w:t xml:space="preserve">por parte del </w:t>
      </w:r>
      <w:r w:rsidRPr="00A15BFF">
        <w:rPr>
          <w:rFonts w:ascii="Palatino Linotype" w:eastAsia="Palatino Linotype" w:hAnsi="Palatino Linotype" w:cs="Palatino Linotype"/>
          <w:b/>
        </w:rPr>
        <w:t xml:space="preserve">Ayuntamiento de Ozumba, </w:t>
      </w:r>
      <w:r w:rsidRPr="00A15BFF">
        <w:rPr>
          <w:rFonts w:ascii="Palatino Linotype" w:eastAsia="Palatino Linotype" w:hAnsi="Palatino Linotype" w:cs="Palatino Linotype"/>
        </w:rPr>
        <w:t xml:space="preserve">en lo sucesivo el </w:t>
      </w:r>
      <w:r w:rsidRPr="00A15BFF">
        <w:rPr>
          <w:rFonts w:ascii="Palatino Linotype" w:eastAsia="Palatino Linotype" w:hAnsi="Palatino Linotype" w:cs="Palatino Linotype"/>
          <w:b/>
        </w:rPr>
        <w:t xml:space="preserve">Sujeto Obligado, </w:t>
      </w:r>
      <w:r w:rsidRPr="00A15BFF">
        <w:rPr>
          <w:rFonts w:ascii="Palatino Linotype" w:eastAsia="Palatino Linotype" w:hAnsi="Palatino Linotype" w:cs="Palatino Linotype"/>
        </w:rPr>
        <w:t xml:space="preserve">se procede a dictar la presente resolución con base en los siguientes: </w:t>
      </w:r>
    </w:p>
    <w:p w14:paraId="0371B47D" w14:textId="77777777" w:rsidR="00CA7BF7" w:rsidRPr="00A15BFF" w:rsidRDefault="00EA6A07">
      <w:pPr>
        <w:spacing w:before="240" w:after="240" w:line="360" w:lineRule="auto"/>
        <w:jc w:val="center"/>
        <w:rPr>
          <w:rFonts w:ascii="Palatino Linotype" w:eastAsia="Palatino Linotype" w:hAnsi="Palatino Linotype" w:cs="Palatino Linotype"/>
          <w:b/>
        </w:rPr>
      </w:pPr>
      <w:r w:rsidRPr="00A15BFF">
        <w:rPr>
          <w:rFonts w:ascii="Palatino Linotype" w:eastAsia="Palatino Linotype" w:hAnsi="Palatino Linotype" w:cs="Palatino Linotype"/>
          <w:b/>
        </w:rPr>
        <w:t>I. A N T E C E D E N T E S</w:t>
      </w:r>
    </w:p>
    <w:p w14:paraId="3C25E3E5" w14:textId="77777777" w:rsidR="00CA7BF7" w:rsidRPr="00A15BFF" w:rsidRDefault="00EA6A07">
      <w:pPr>
        <w:tabs>
          <w:tab w:val="left" w:pos="5071"/>
        </w:tabs>
        <w:spacing w:before="240" w:after="240" w:line="360" w:lineRule="auto"/>
        <w:jc w:val="both"/>
        <w:rPr>
          <w:rFonts w:ascii="Palatino Linotype" w:eastAsia="Palatino Linotype" w:hAnsi="Palatino Linotype" w:cs="Palatino Linotype"/>
        </w:rPr>
      </w:pPr>
      <w:bookmarkStart w:id="2" w:name="_heading=h.gjdgxs" w:colFirst="0" w:colLast="0"/>
      <w:bookmarkEnd w:id="2"/>
      <w:r w:rsidRPr="00A15BFF">
        <w:rPr>
          <w:rFonts w:ascii="Palatino Linotype" w:eastAsia="Palatino Linotype" w:hAnsi="Palatino Linotype" w:cs="Palatino Linotype"/>
          <w:b/>
        </w:rPr>
        <w:t xml:space="preserve">1. Solicitud de acceso a la información. </w:t>
      </w:r>
      <w:r w:rsidRPr="00A15BFF">
        <w:rPr>
          <w:rFonts w:ascii="Palatino Linotype" w:eastAsia="Palatino Linotype" w:hAnsi="Palatino Linotype" w:cs="Palatino Linotype"/>
        </w:rPr>
        <w:t xml:space="preserve">El </w:t>
      </w:r>
      <w:r w:rsidRPr="00A15BFF">
        <w:rPr>
          <w:rFonts w:ascii="Palatino Linotype" w:eastAsia="Palatino Linotype" w:hAnsi="Palatino Linotype" w:cs="Palatino Linotype"/>
          <w:b/>
        </w:rPr>
        <w:t xml:space="preserve">dieciséis de febrero de dos mil veinticinco. </w:t>
      </w:r>
      <w:r w:rsidRPr="00A15BFF">
        <w:rPr>
          <w:rFonts w:ascii="Palatino Linotype" w:eastAsia="Palatino Linotype" w:hAnsi="Palatino Linotype" w:cs="Palatino Linotype"/>
        </w:rPr>
        <w:t xml:space="preserve">la parte </w:t>
      </w:r>
      <w:r w:rsidRPr="00A15BFF">
        <w:rPr>
          <w:rFonts w:ascii="Palatino Linotype" w:eastAsia="Palatino Linotype" w:hAnsi="Palatino Linotype" w:cs="Palatino Linotype"/>
          <w:b/>
        </w:rPr>
        <w:t xml:space="preserve">Recurrente </w:t>
      </w:r>
      <w:r w:rsidRPr="00A15BFF">
        <w:rPr>
          <w:rFonts w:ascii="Palatino Linotype" w:eastAsia="Palatino Linotype" w:hAnsi="Palatino Linotype" w:cs="Palatino Linotype"/>
        </w:rPr>
        <w:t xml:space="preserve">presentó la solicitud de acceso a la información pública ante el </w:t>
      </w:r>
      <w:r w:rsidRPr="00A15BFF">
        <w:rPr>
          <w:rFonts w:ascii="Palatino Linotype" w:eastAsia="Palatino Linotype" w:hAnsi="Palatino Linotype" w:cs="Palatino Linotype"/>
          <w:b/>
        </w:rPr>
        <w:t>Sujeto Obligado</w:t>
      </w:r>
      <w:r w:rsidRPr="00A15BFF">
        <w:rPr>
          <w:rFonts w:ascii="Palatino Linotype" w:eastAsia="Palatino Linotype" w:hAnsi="Palatino Linotype" w:cs="Palatino Linotype"/>
        </w:rPr>
        <w:t xml:space="preserve">, a través del Sistema de Acceso a la Información Mexiquense, en lo subsecuente el </w:t>
      </w:r>
      <w:r w:rsidRPr="00A15BFF">
        <w:rPr>
          <w:rFonts w:ascii="Palatino Linotype" w:eastAsia="Palatino Linotype" w:hAnsi="Palatino Linotype" w:cs="Palatino Linotype"/>
          <w:b/>
        </w:rPr>
        <w:t>SAIMEX,</w:t>
      </w:r>
      <w:r w:rsidRPr="00A15BFF">
        <w:rPr>
          <w:rFonts w:ascii="Palatino Linotype" w:eastAsia="Palatino Linotype" w:hAnsi="Palatino Linotype" w:cs="Palatino Linotype"/>
        </w:rPr>
        <w:t xml:space="preserve"> sin embargo, al corresponder a un día inhábil se tuvo por presentada el día </w:t>
      </w:r>
      <w:r w:rsidRPr="00A15BFF">
        <w:rPr>
          <w:rFonts w:ascii="Palatino Linotype" w:eastAsia="Palatino Linotype" w:hAnsi="Palatino Linotype" w:cs="Palatino Linotype"/>
          <w:b/>
        </w:rPr>
        <w:t>diecisiete de febrero de dos mil veinticinco;</w:t>
      </w:r>
      <w:r w:rsidRPr="00A15BFF">
        <w:rPr>
          <w:rFonts w:ascii="Palatino Linotype" w:eastAsia="Palatino Linotype" w:hAnsi="Palatino Linotype" w:cs="Palatino Linotype"/>
        </w:rPr>
        <w:t xml:space="preserve"> mediante la cual requirió lo siguiente:</w:t>
      </w:r>
    </w:p>
    <w:p w14:paraId="14A4A2C8" w14:textId="77777777" w:rsidR="00CA7BF7" w:rsidRPr="00A15BFF" w:rsidRDefault="00EA6A07">
      <w:pPr>
        <w:spacing w:before="120" w:after="120"/>
        <w:ind w:left="851" w:right="902"/>
        <w:jc w:val="both"/>
        <w:rPr>
          <w:rFonts w:ascii="Palatino Linotype" w:eastAsia="Palatino Linotype" w:hAnsi="Palatino Linotype" w:cs="Palatino Linotype"/>
          <w:b/>
          <w:i/>
          <w:sz w:val="22"/>
          <w:szCs w:val="22"/>
        </w:rPr>
      </w:pPr>
      <w:r w:rsidRPr="00A15BFF">
        <w:rPr>
          <w:rFonts w:ascii="Palatino Linotype" w:eastAsia="Palatino Linotype" w:hAnsi="Palatino Linotype" w:cs="Palatino Linotype"/>
          <w:i/>
          <w:sz w:val="22"/>
          <w:szCs w:val="22"/>
        </w:rPr>
        <w:t xml:space="preserve">“CON FUNDAMENTO EN EL ARTÍCULO 6 Y 8 DE LA CONSTITUCIÓN POLITICA DE LOS ESTADOS UNIDOS MEXICANOS Y DEL ARTICULO 5 DE LA CONSTITUCIÓN POLÍTICA DEL ESTADO LIBRE Y SOBERANO DE MÉXICO QUE TUTELAN EL DERECHO DE ACCESO A LA INFORMACIÓN PÚBLICA Y A LOS ARTÍCULOS APLICABLES DE LA LEY DE TRANSPARENCIA Y ACCESO A LA INFORMACIÓN PÚBLICA DEL ESTADO DE MÉXICO Y MUNICIPIOS; TENGO A BIEN SOLICITAR A USTED LA NOMINA DEL PERSONAL DE CONFIANZA, </w:t>
      </w:r>
      <w:r w:rsidRPr="00A15BFF">
        <w:rPr>
          <w:rFonts w:ascii="Palatino Linotype" w:eastAsia="Palatino Linotype" w:hAnsi="Palatino Linotype" w:cs="Palatino Linotype"/>
          <w:i/>
          <w:sz w:val="22"/>
          <w:szCs w:val="22"/>
        </w:rPr>
        <w:lastRenderedPageBreak/>
        <w:t>ASIMILADOS Y SINDICALIZADOS CORRESPONDIENTE A LA PRIMERA QUINCENA DE FEBRERO DEL 2025.</w:t>
      </w:r>
      <w:r w:rsidRPr="00A15BFF">
        <w:rPr>
          <w:rFonts w:ascii="Palatino Linotype" w:eastAsia="Palatino Linotype" w:hAnsi="Palatino Linotype" w:cs="Palatino Linotype"/>
          <w:b/>
          <w:i/>
          <w:sz w:val="22"/>
          <w:szCs w:val="22"/>
        </w:rPr>
        <w:t>”</w:t>
      </w:r>
      <w:r w:rsidRPr="00A15BFF">
        <w:rPr>
          <w:rFonts w:ascii="Palatino Linotype" w:eastAsia="Palatino Linotype" w:hAnsi="Palatino Linotype" w:cs="Palatino Linotype"/>
          <w:i/>
          <w:sz w:val="22"/>
          <w:szCs w:val="22"/>
        </w:rPr>
        <w:t xml:space="preserve"> (sic) </w:t>
      </w:r>
    </w:p>
    <w:p w14:paraId="0B059D4A" w14:textId="77777777" w:rsidR="00CA7BF7" w:rsidRPr="00A15BFF" w:rsidRDefault="00EA6A07">
      <w:pPr>
        <w:spacing w:before="240" w:after="240" w:line="360" w:lineRule="auto"/>
        <w:jc w:val="both"/>
        <w:rPr>
          <w:rFonts w:ascii="Palatino Linotype" w:eastAsia="Palatino Linotype" w:hAnsi="Palatino Linotype" w:cs="Palatino Linotype"/>
        </w:rPr>
      </w:pPr>
      <w:bookmarkStart w:id="3" w:name="_heading=h.3dy6vkm" w:colFirst="0" w:colLast="0"/>
      <w:bookmarkEnd w:id="3"/>
      <w:r w:rsidRPr="00A15BFF">
        <w:rPr>
          <w:rFonts w:ascii="Palatino Linotype" w:eastAsia="Palatino Linotype" w:hAnsi="Palatino Linotype" w:cs="Palatino Linotype"/>
          <w:b/>
        </w:rPr>
        <w:t>Modalidad de Entrega:</w:t>
      </w:r>
      <w:r w:rsidRPr="00A15BFF">
        <w:rPr>
          <w:rFonts w:ascii="Palatino Linotype" w:eastAsia="Palatino Linotype" w:hAnsi="Palatino Linotype" w:cs="Palatino Linotype"/>
        </w:rPr>
        <w:t xml:space="preserve"> a través del</w:t>
      </w:r>
      <w:r w:rsidRPr="00A15BFF">
        <w:rPr>
          <w:rFonts w:ascii="Palatino Linotype" w:eastAsia="Palatino Linotype" w:hAnsi="Palatino Linotype" w:cs="Palatino Linotype"/>
          <w:b/>
        </w:rPr>
        <w:t xml:space="preserve"> SAIMEX.</w:t>
      </w:r>
    </w:p>
    <w:p w14:paraId="716FD00F"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b/>
        </w:rPr>
        <w:t xml:space="preserve">2. Respuesta. </w:t>
      </w:r>
      <w:r w:rsidRPr="00A15BFF">
        <w:rPr>
          <w:rFonts w:ascii="Palatino Linotype" w:eastAsia="Palatino Linotype" w:hAnsi="Palatino Linotype" w:cs="Palatino Linotype"/>
        </w:rPr>
        <w:t xml:space="preserve">El </w:t>
      </w:r>
      <w:r w:rsidRPr="00A15BFF">
        <w:rPr>
          <w:rFonts w:ascii="Palatino Linotype" w:eastAsia="Palatino Linotype" w:hAnsi="Palatino Linotype" w:cs="Palatino Linotype"/>
          <w:b/>
        </w:rPr>
        <w:t>cinco de marzo de dos mil veinticinco,</w:t>
      </w:r>
      <w:r w:rsidRPr="00A15BFF">
        <w:rPr>
          <w:rFonts w:ascii="Palatino Linotype" w:eastAsia="Palatino Linotype" w:hAnsi="Palatino Linotype" w:cs="Palatino Linotype"/>
        </w:rPr>
        <w:t xml:space="preserve"> el </w:t>
      </w:r>
      <w:r w:rsidRPr="00A15BFF">
        <w:rPr>
          <w:rFonts w:ascii="Palatino Linotype" w:eastAsia="Palatino Linotype" w:hAnsi="Palatino Linotype" w:cs="Palatino Linotype"/>
          <w:b/>
        </w:rPr>
        <w:t xml:space="preserve">Sujeto Obligado </w:t>
      </w:r>
      <w:r w:rsidRPr="00A15BFF">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698DC7C8" w14:textId="77777777" w:rsidR="00CA7BF7" w:rsidRPr="00A15BFF" w:rsidRDefault="00EA6A07">
      <w:pPr>
        <w:spacing w:before="240" w:after="24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i/>
          <w:sz w:val="22"/>
          <w:szCs w:val="22"/>
        </w:rPr>
        <w:t xml:space="preserve">“…por medio del presente reciba un cordial saludo al mismo tiempo envió contestación Estimado solicitante reciba con el presente un cordial saludo, al mismo tiempo remito respuesta a su SI, por parte de SPH designado para atenderla el cual refiere lo siguiente “respuesta en formato </w:t>
      </w:r>
      <w:proofErr w:type="spellStart"/>
      <w:r w:rsidRPr="00A15BFF">
        <w:rPr>
          <w:rFonts w:ascii="Palatino Linotype" w:eastAsia="Palatino Linotype" w:hAnsi="Palatino Linotype" w:cs="Palatino Linotype"/>
          <w:i/>
          <w:sz w:val="22"/>
          <w:szCs w:val="22"/>
        </w:rPr>
        <w:t>pdf</w:t>
      </w:r>
      <w:proofErr w:type="spellEnd"/>
      <w:r w:rsidRPr="00A15BFF">
        <w:rPr>
          <w:rFonts w:ascii="Palatino Linotype" w:eastAsia="Palatino Linotype" w:hAnsi="Palatino Linotype" w:cs="Palatino Linotype"/>
          <w:i/>
          <w:sz w:val="22"/>
          <w:szCs w:val="22"/>
        </w:rPr>
        <w:t>”, denominado 0050.pff SIC...” (sic)</w:t>
      </w:r>
    </w:p>
    <w:p w14:paraId="7F363911" w14:textId="77777777" w:rsidR="00CA7BF7" w:rsidRPr="00A15BFF" w:rsidRDefault="00EA6A07">
      <w:pPr>
        <w:spacing w:before="240" w:after="240" w:line="360" w:lineRule="auto"/>
        <w:ind w:right="49"/>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El </w:t>
      </w:r>
      <w:r w:rsidRPr="00A15BFF">
        <w:rPr>
          <w:rFonts w:ascii="Palatino Linotype" w:eastAsia="Palatino Linotype" w:hAnsi="Palatino Linotype" w:cs="Palatino Linotype"/>
          <w:b/>
        </w:rPr>
        <w:t xml:space="preserve">Sujeto Obligado </w:t>
      </w:r>
      <w:r w:rsidRPr="00A15BFF">
        <w:rPr>
          <w:rFonts w:ascii="Palatino Linotype" w:eastAsia="Palatino Linotype" w:hAnsi="Palatino Linotype" w:cs="Palatino Linotype"/>
        </w:rPr>
        <w:t>no adjuntó documento alguno.</w:t>
      </w:r>
    </w:p>
    <w:p w14:paraId="5E383337" w14:textId="77777777" w:rsidR="00CA7BF7" w:rsidRPr="00A15BFF" w:rsidRDefault="00EA6A07">
      <w:pPr>
        <w:spacing w:before="240" w:after="240" w:line="360" w:lineRule="auto"/>
        <w:ind w:right="49"/>
        <w:jc w:val="both"/>
        <w:rPr>
          <w:rFonts w:ascii="Palatino Linotype" w:eastAsia="Palatino Linotype" w:hAnsi="Palatino Linotype" w:cs="Palatino Linotype"/>
        </w:rPr>
      </w:pPr>
      <w:r w:rsidRPr="00A15BFF">
        <w:rPr>
          <w:rFonts w:ascii="Palatino Linotype" w:eastAsia="Palatino Linotype" w:hAnsi="Palatino Linotype" w:cs="Palatino Linotype"/>
          <w:b/>
        </w:rPr>
        <w:t xml:space="preserve">3. Interposición del recurso de revisión. </w:t>
      </w:r>
      <w:r w:rsidRPr="00A15BFF">
        <w:rPr>
          <w:rFonts w:ascii="Palatino Linotype" w:eastAsia="Palatino Linotype" w:hAnsi="Palatino Linotype" w:cs="Palatino Linotype"/>
        </w:rPr>
        <w:t xml:space="preserve">Inconforme con los términos de la respuesta emitida por parte del </w:t>
      </w:r>
      <w:r w:rsidRPr="00A15BFF">
        <w:rPr>
          <w:rFonts w:ascii="Palatino Linotype" w:eastAsia="Palatino Linotype" w:hAnsi="Palatino Linotype" w:cs="Palatino Linotype"/>
          <w:b/>
        </w:rPr>
        <w:t>Sujeto Obligado</w:t>
      </w:r>
      <w:r w:rsidRPr="00A15BFF">
        <w:rPr>
          <w:rFonts w:ascii="Palatino Linotype" w:eastAsia="Palatino Linotype" w:hAnsi="Palatino Linotype" w:cs="Palatino Linotype"/>
        </w:rPr>
        <w:t xml:space="preserve">, el </w:t>
      </w:r>
      <w:r w:rsidRPr="00A15BFF">
        <w:rPr>
          <w:rFonts w:ascii="Palatino Linotype" w:eastAsia="Palatino Linotype" w:hAnsi="Palatino Linotype" w:cs="Palatino Linotype"/>
          <w:b/>
        </w:rPr>
        <w:t>dieciséis de marzo de dos mil veinticinco,</w:t>
      </w:r>
      <w:r w:rsidRPr="00A15BFF">
        <w:rPr>
          <w:rFonts w:ascii="Palatino Linotype" w:eastAsia="Palatino Linotype" w:hAnsi="Palatino Linotype" w:cs="Palatino Linotype"/>
        </w:rPr>
        <w:t xml:space="preserve"> la parte </w:t>
      </w:r>
      <w:r w:rsidRPr="00A15BFF">
        <w:rPr>
          <w:rFonts w:ascii="Palatino Linotype" w:eastAsia="Palatino Linotype" w:hAnsi="Palatino Linotype" w:cs="Palatino Linotype"/>
          <w:b/>
        </w:rPr>
        <w:t>Recurrente</w:t>
      </w:r>
      <w:r w:rsidRPr="00A15BFF">
        <w:rPr>
          <w:rFonts w:ascii="Palatino Linotype" w:eastAsia="Palatino Linotype" w:hAnsi="Palatino Linotype" w:cs="Palatino Linotype"/>
        </w:rPr>
        <w:t xml:space="preserve"> interpuso el recurso de revisión a través de </w:t>
      </w:r>
      <w:r w:rsidRPr="00A15BFF">
        <w:rPr>
          <w:rFonts w:ascii="Palatino Linotype" w:eastAsia="Palatino Linotype" w:hAnsi="Palatino Linotype" w:cs="Palatino Linotype"/>
          <w:b/>
        </w:rPr>
        <w:t xml:space="preserve">SAIMEX, </w:t>
      </w:r>
      <w:r w:rsidRPr="00A15BFF">
        <w:rPr>
          <w:rFonts w:ascii="Palatino Linotype" w:eastAsia="Palatino Linotype" w:hAnsi="Palatino Linotype" w:cs="Palatino Linotype"/>
        </w:rPr>
        <w:t xml:space="preserve">sin embargo, al corresponder a un día inhábil se tuvo por presentado el día </w:t>
      </w:r>
      <w:r w:rsidRPr="00A15BFF">
        <w:rPr>
          <w:rFonts w:ascii="Palatino Linotype" w:eastAsia="Palatino Linotype" w:hAnsi="Palatino Linotype" w:cs="Palatino Linotype"/>
          <w:b/>
        </w:rPr>
        <w:t xml:space="preserve">dieciocho de marzo de dos mil veinticinco; </w:t>
      </w:r>
      <w:r w:rsidRPr="00A15BFF">
        <w:rPr>
          <w:rFonts w:ascii="Palatino Linotype" w:eastAsia="Palatino Linotype" w:hAnsi="Palatino Linotype" w:cs="Palatino Linotype"/>
        </w:rPr>
        <w:t>en donde se manifestó de la siguiente manera:</w:t>
      </w:r>
    </w:p>
    <w:p w14:paraId="2D11B081" w14:textId="77777777" w:rsidR="00CA7BF7" w:rsidRPr="00A15BFF" w:rsidRDefault="00EA6A07">
      <w:pPr>
        <w:spacing w:before="240" w:after="240" w:line="360" w:lineRule="auto"/>
        <w:ind w:right="49"/>
        <w:jc w:val="both"/>
        <w:rPr>
          <w:rFonts w:ascii="Palatino Linotype" w:eastAsia="Palatino Linotype" w:hAnsi="Palatino Linotype" w:cs="Palatino Linotype"/>
          <w:b/>
        </w:rPr>
      </w:pPr>
      <w:r w:rsidRPr="00A15BFF">
        <w:rPr>
          <w:rFonts w:ascii="Palatino Linotype" w:eastAsia="Palatino Linotype" w:hAnsi="Palatino Linotype" w:cs="Palatino Linotype"/>
          <w:b/>
        </w:rPr>
        <w:t xml:space="preserve">Acto impugnado: </w:t>
      </w:r>
    </w:p>
    <w:p w14:paraId="1AAD1171" w14:textId="77777777" w:rsidR="00CA7BF7" w:rsidRPr="00A15BFF" w:rsidRDefault="00EA6A07">
      <w:pPr>
        <w:tabs>
          <w:tab w:val="left" w:pos="2745"/>
        </w:tabs>
        <w:spacing w:before="240" w:after="240"/>
        <w:ind w:left="851" w:right="900"/>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i/>
          <w:sz w:val="22"/>
          <w:szCs w:val="22"/>
        </w:rPr>
        <w:t>“artículo 71 fracción II de la LEY DE TRANSPARENCIA Y ACCESO A LA INFORMACIÓN PÚBLICA DEL ESTADO DE MÉXICO Y MUNICIPIOS” (sic)</w:t>
      </w:r>
    </w:p>
    <w:p w14:paraId="7C82E7F3" w14:textId="77777777" w:rsidR="00CA7BF7" w:rsidRPr="00A15BFF" w:rsidRDefault="00CA7BF7">
      <w:pPr>
        <w:spacing w:line="360" w:lineRule="auto"/>
        <w:jc w:val="both"/>
        <w:rPr>
          <w:rFonts w:ascii="Palatino Linotype" w:eastAsia="Palatino Linotype" w:hAnsi="Palatino Linotype" w:cs="Palatino Linotype"/>
          <w:b/>
        </w:rPr>
      </w:pPr>
      <w:bookmarkStart w:id="4" w:name="_heading=h.30j0zll" w:colFirst="0" w:colLast="0"/>
      <w:bookmarkEnd w:id="4"/>
    </w:p>
    <w:p w14:paraId="4509558E" w14:textId="77777777" w:rsidR="00CA7BF7" w:rsidRPr="00A15BFF" w:rsidRDefault="00CA7BF7">
      <w:pPr>
        <w:spacing w:line="360" w:lineRule="auto"/>
        <w:jc w:val="both"/>
        <w:rPr>
          <w:rFonts w:ascii="Palatino Linotype" w:eastAsia="Palatino Linotype" w:hAnsi="Palatino Linotype" w:cs="Palatino Linotype"/>
          <w:b/>
        </w:rPr>
      </w:pPr>
    </w:p>
    <w:p w14:paraId="1224013B" w14:textId="77777777" w:rsidR="00CA7BF7" w:rsidRPr="00A15BFF" w:rsidRDefault="00EA6A07">
      <w:pPr>
        <w:spacing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b/>
        </w:rPr>
        <w:lastRenderedPageBreak/>
        <w:t>Y, Razones o motivos de inconformidad</w:t>
      </w:r>
      <w:r w:rsidRPr="00A15BFF">
        <w:rPr>
          <w:rFonts w:ascii="Palatino Linotype" w:eastAsia="Palatino Linotype" w:hAnsi="Palatino Linotype" w:cs="Palatino Linotype"/>
        </w:rPr>
        <w:t>:</w:t>
      </w:r>
    </w:p>
    <w:p w14:paraId="0A4FE358" w14:textId="77777777" w:rsidR="00CA7BF7" w:rsidRPr="00A15BFF" w:rsidRDefault="00EA6A07">
      <w:pPr>
        <w:tabs>
          <w:tab w:val="left" w:pos="2745"/>
        </w:tabs>
        <w:spacing w:before="240" w:after="240"/>
        <w:ind w:left="851" w:right="900"/>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i/>
          <w:sz w:val="22"/>
          <w:szCs w:val="22"/>
        </w:rPr>
        <w:t>“Se entregue la información incompleta, toda vez que no se adjunta archivo con información solicitada.” (sic)</w:t>
      </w:r>
    </w:p>
    <w:p w14:paraId="35D14F35" w14:textId="77777777" w:rsidR="00CA7BF7" w:rsidRPr="00A15BFF" w:rsidRDefault="00EA6A07">
      <w:pPr>
        <w:spacing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b/>
        </w:rPr>
        <w:t xml:space="preserve">4. Turno. </w:t>
      </w:r>
      <w:r w:rsidRPr="00A15BF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A15BFF">
        <w:rPr>
          <w:rFonts w:ascii="Palatino Linotype" w:eastAsia="Palatino Linotype" w:hAnsi="Palatino Linotype" w:cs="Palatino Linotype"/>
          <w:b/>
        </w:rPr>
        <w:t xml:space="preserve">Guadalupe Ramírez Peña, </w:t>
      </w:r>
      <w:r w:rsidRPr="00A15BFF">
        <w:rPr>
          <w:rFonts w:ascii="Palatino Linotype" w:eastAsia="Palatino Linotype" w:hAnsi="Palatino Linotype" w:cs="Palatino Linotype"/>
        </w:rPr>
        <w:t xml:space="preserve">a efecto de que analizara sobre su admisión o su </w:t>
      </w:r>
      <w:proofErr w:type="spellStart"/>
      <w:r w:rsidRPr="00A15BFF">
        <w:rPr>
          <w:rFonts w:ascii="Palatino Linotype" w:eastAsia="Palatino Linotype" w:hAnsi="Palatino Linotype" w:cs="Palatino Linotype"/>
        </w:rPr>
        <w:t>desechamiento</w:t>
      </w:r>
      <w:proofErr w:type="spellEnd"/>
      <w:r w:rsidRPr="00A15BFF">
        <w:rPr>
          <w:rFonts w:ascii="Palatino Linotype" w:eastAsia="Palatino Linotype" w:hAnsi="Palatino Linotype" w:cs="Palatino Linotype"/>
        </w:rPr>
        <w:t>.</w:t>
      </w:r>
    </w:p>
    <w:p w14:paraId="39D86C7C" w14:textId="77777777" w:rsidR="00CA7BF7" w:rsidRPr="00A15BFF" w:rsidRDefault="00EA6A07">
      <w:pPr>
        <w:spacing w:before="240" w:after="240" w:line="360" w:lineRule="auto"/>
        <w:jc w:val="both"/>
        <w:rPr>
          <w:rFonts w:ascii="Palatino Linotype" w:eastAsia="Palatino Linotype" w:hAnsi="Palatino Linotype" w:cs="Palatino Linotype"/>
          <w:b/>
        </w:rPr>
      </w:pPr>
      <w:r w:rsidRPr="00A15BFF">
        <w:rPr>
          <w:rFonts w:ascii="Palatino Linotype" w:eastAsia="Palatino Linotype" w:hAnsi="Palatino Linotype" w:cs="Palatino Linotype"/>
          <w:b/>
        </w:rPr>
        <w:t>5. Admisión del Recurso de revisión.</w:t>
      </w:r>
      <w:r w:rsidRPr="00A15BFF">
        <w:rPr>
          <w:rFonts w:ascii="Palatino Linotype" w:eastAsia="Palatino Linotype" w:hAnsi="Palatino Linotype" w:cs="Palatino Linotype"/>
        </w:rPr>
        <w:t xml:space="preserve"> El</w:t>
      </w:r>
      <w:r w:rsidRPr="00A15BFF">
        <w:rPr>
          <w:rFonts w:ascii="Palatino Linotype" w:eastAsia="Palatino Linotype" w:hAnsi="Palatino Linotype" w:cs="Palatino Linotype"/>
          <w:b/>
        </w:rPr>
        <w:t xml:space="preserve"> veintiuno de marzo de dos mil veinticinco, </w:t>
      </w:r>
      <w:r w:rsidRPr="00A15BFF">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A15BFF">
        <w:rPr>
          <w:rFonts w:ascii="Palatino Linotype" w:eastAsia="Palatino Linotype" w:hAnsi="Palatino Linotype" w:cs="Palatino Linotype"/>
          <w:b/>
        </w:rPr>
        <w:t xml:space="preserve">Sujeto Obligado </w:t>
      </w:r>
      <w:r w:rsidRPr="00A15BFF">
        <w:rPr>
          <w:rFonts w:ascii="Palatino Linotype" w:eastAsia="Palatino Linotype" w:hAnsi="Palatino Linotype" w:cs="Palatino Linotype"/>
        </w:rPr>
        <w:t>presentara su informe justificado.</w:t>
      </w:r>
    </w:p>
    <w:p w14:paraId="3EC6AEC8" w14:textId="77777777" w:rsidR="00CA7BF7" w:rsidRPr="00A15BFF" w:rsidRDefault="00EA6A07">
      <w:pPr>
        <w:spacing w:before="240" w:after="240" w:line="360" w:lineRule="auto"/>
        <w:jc w:val="both"/>
        <w:rPr>
          <w:rFonts w:ascii="Palatino Linotype" w:eastAsia="Palatino Linotype" w:hAnsi="Palatino Linotype" w:cs="Palatino Linotype"/>
        </w:rPr>
      </w:pPr>
      <w:bookmarkStart w:id="5" w:name="_heading=h.2s8eyo1" w:colFirst="0" w:colLast="0"/>
      <w:bookmarkEnd w:id="5"/>
      <w:r w:rsidRPr="00A15BFF">
        <w:rPr>
          <w:rFonts w:ascii="Palatino Linotype" w:eastAsia="Palatino Linotype" w:hAnsi="Palatino Linotype" w:cs="Palatino Linotype"/>
          <w:b/>
        </w:rPr>
        <w:t>6. Manifestaciones</w:t>
      </w:r>
      <w:r w:rsidRPr="00A15BFF">
        <w:rPr>
          <w:rFonts w:ascii="Palatino Linotype" w:eastAsia="Palatino Linotype" w:hAnsi="Palatino Linotype" w:cs="Palatino Linotype"/>
        </w:rPr>
        <w:t xml:space="preserve">. El </w:t>
      </w:r>
      <w:r w:rsidRPr="00A15BFF">
        <w:rPr>
          <w:rFonts w:ascii="Palatino Linotype" w:eastAsia="Palatino Linotype" w:hAnsi="Palatino Linotype" w:cs="Palatino Linotype"/>
          <w:b/>
        </w:rPr>
        <w:t>veinticinco de marzo dos mil veinticinco</w:t>
      </w:r>
      <w:r w:rsidRPr="00A15BFF">
        <w:rPr>
          <w:rFonts w:ascii="Palatino Linotype" w:eastAsia="Palatino Linotype" w:hAnsi="Palatino Linotype" w:cs="Palatino Linotype"/>
        </w:rPr>
        <w:t xml:space="preserve">, el </w:t>
      </w:r>
      <w:r w:rsidRPr="00A15BFF">
        <w:rPr>
          <w:rFonts w:ascii="Palatino Linotype" w:eastAsia="Palatino Linotype" w:hAnsi="Palatino Linotype" w:cs="Palatino Linotype"/>
          <w:b/>
        </w:rPr>
        <w:t>Sujeto Obligado</w:t>
      </w:r>
      <w:r w:rsidRPr="00A15BFF">
        <w:rPr>
          <w:rFonts w:ascii="Palatino Linotype" w:eastAsia="Palatino Linotype" w:hAnsi="Palatino Linotype" w:cs="Palatino Linotype"/>
        </w:rPr>
        <w:t xml:space="preserve"> remitió, a través de SAIMEX, el oficio número TM/OZU/335/2025, del veintiuno de marzo de dos mil veinticinco, mediante el cual el Tesorero Municipal refiere adjuntar el tabulador de sueldos para dar cumplimiento a lo solicitado.</w:t>
      </w:r>
    </w:p>
    <w:p w14:paraId="672C1169"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Anexos:</w:t>
      </w:r>
    </w:p>
    <w:p w14:paraId="20A4D26C"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lastRenderedPageBreak/>
        <w:t>- Relación de nómina 2025 con los rubros: puesto, confianza, sindicalizado, eventual, dieta, sueldo, sueldo eventual, parcialmente legible.</w:t>
      </w:r>
    </w:p>
    <w:p w14:paraId="6E293493"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Una vez analizada la información, el veintiséis de marzo de dos mil veinticinco se hizo del conocimiento de la parte </w:t>
      </w:r>
      <w:r w:rsidRPr="00A15BFF">
        <w:rPr>
          <w:rFonts w:ascii="Palatino Linotype" w:eastAsia="Palatino Linotype" w:hAnsi="Palatino Linotype" w:cs="Palatino Linotype"/>
          <w:b/>
        </w:rPr>
        <w:t xml:space="preserve">Recurrente </w:t>
      </w:r>
      <w:r w:rsidRPr="00A15BFF">
        <w:rPr>
          <w:rFonts w:ascii="Palatino Linotype" w:eastAsia="Palatino Linotype" w:hAnsi="Palatino Linotype" w:cs="Palatino Linotype"/>
        </w:rPr>
        <w:t>con la finalidad de que manifestara lo que a su derecho estimara conveniente, sin embargo, fue omisa en ejercer dicha prerrogativa.</w:t>
      </w:r>
    </w:p>
    <w:p w14:paraId="3DD2E636"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b/>
        </w:rPr>
        <w:t xml:space="preserve">7. Cierre de instrucción. </w:t>
      </w:r>
      <w:r w:rsidRPr="00A15BFF">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A15BFF">
        <w:rPr>
          <w:rFonts w:ascii="Palatino Linotype" w:eastAsia="Palatino Linotype" w:hAnsi="Palatino Linotype" w:cs="Palatino Linotype"/>
          <w:b/>
        </w:rPr>
        <w:t>veintiuno de mayo de dos mil veinticinco</w:t>
      </w:r>
      <w:r w:rsidRPr="00A15BFF">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ED6745E" w14:textId="77777777" w:rsidR="00CA7BF7" w:rsidRPr="00A15BFF" w:rsidRDefault="00EA6A07">
      <w:pPr>
        <w:widowControl w:val="0"/>
        <w:spacing w:before="240" w:after="240" w:line="360" w:lineRule="auto"/>
        <w:jc w:val="both"/>
        <w:rPr>
          <w:rFonts w:ascii="Palatino Linotype" w:eastAsia="Palatino Linotype" w:hAnsi="Palatino Linotype" w:cs="Palatino Linotype"/>
          <w:b/>
        </w:rPr>
      </w:pPr>
      <w:r w:rsidRPr="00A15BFF">
        <w:rPr>
          <w:rFonts w:ascii="Palatino Linotype" w:eastAsia="Palatino Linotype" w:hAnsi="Palatino Linotype" w:cs="Palatino Linotype"/>
          <w:b/>
        </w:rPr>
        <w:t>8. Ampliación del término para resolver</w:t>
      </w:r>
      <w:r w:rsidRPr="00A15BFF">
        <w:rPr>
          <w:rFonts w:ascii="Palatino Linotype" w:eastAsia="Palatino Linotype" w:hAnsi="Palatino Linotype" w:cs="Palatino Linotype"/>
        </w:rPr>
        <w:t xml:space="preserve">. El </w:t>
      </w:r>
      <w:r w:rsidRPr="00A15BFF">
        <w:rPr>
          <w:rFonts w:ascii="Palatino Linotype" w:eastAsia="Palatino Linotype" w:hAnsi="Palatino Linotype" w:cs="Palatino Linotype"/>
          <w:b/>
        </w:rPr>
        <w:t>veintiuno de mayo de dos mil veinticinco</w:t>
      </w:r>
      <w:r w:rsidRPr="00A15BFF">
        <w:rPr>
          <w:rFonts w:ascii="Palatino Linotype" w:eastAsia="Palatino Linotype" w:hAnsi="Palatino Linotype" w:cs="Palatino Linotype"/>
        </w:rPr>
        <w:t>, se amplió el término para resolver los recursos de revisión en términos del artículo 181 párrafo tercero de la Ley de Transparencia y Acceso a la Información Pública del Estado de México y Municipios.</w:t>
      </w:r>
    </w:p>
    <w:p w14:paraId="643B1050"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8EDC8EB" w14:textId="77777777" w:rsidR="00CA7BF7" w:rsidRPr="00A15BFF" w:rsidRDefault="00EA6A07">
      <w:pPr>
        <w:widowControl w:val="0"/>
        <w:spacing w:before="240" w:after="240" w:line="360" w:lineRule="auto"/>
        <w:jc w:val="center"/>
        <w:rPr>
          <w:rFonts w:ascii="Palatino Linotype" w:eastAsia="Palatino Linotype" w:hAnsi="Palatino Linotype" w:cs="Palatino Linotype"/>
          <w:b/>
        </w:rPr>
      </w:pPr>
      <w:r w:rsidRPr="00A15BFF">
        <w:rPr>
          <w:rFonts w:ascii="Palatino Linotype" w:eastAsia="Palatino Linotype" w:hAnsi="Palatino Linotype" w:cs="Palatino Linotype"/>
          <w:b/>
        </w:rPr>
        <w:t>II. C O N S I D E R A N D O S</w:t>
      </w:r>
    </w:p>
    <w:p w14:paraId="6541C2E0"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b/>
        </w:rPr>
        <w:t>Primero. Competencia.</w:t>
      </w:r>
      <w:r w:rsidRPr="00A15BFF">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A15BFF">
        <w:rPr>
          <w:rFonts w:ascii="Palatino Linotype" w:eastAsia="Palatino Linotype" w:hAnsi="Palatino Linotype" w:cs="Palatino Linotype"/>
        </w:rPr>
        <w:lastRenderedPageBreak/>
        <w:t>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6DDED9C" w14:textId="77777777" w:rsidR="00CA7BF7" w:rsidRPr="00A15BFF" w:rsidRDefault="00EA6A07">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A15BFF">
        <w:rPr>
          <w:rFonts w:ascii="Palatino Linotype" w:eastAsia="Palatino Linotype" w:hAnsi="Palatino Linotype" w:cs="Palatino Linotype"/>
          <w:b/>
        </w:rPr>
        <w:t>Segundo. Oportunidad y Procedibilidad del Recurso de Revisión</w:t>
      </w:r>
      <w:r w:rsidRPr="00A15BFF">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AF1322B"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A15BFF">
        <w:rPr>
          <w:rFonts w:ascii="Palatino Linotype" w:eastAsia="Palatino Linotype" w:hAnsi="Palatino Linotype" w:cs="Palatino Linotype"/>
          <w:b/>
        </w:rPr>
        <w:t xml:space="preserve">Sujeto Obligado </w:t>
      </w:r>
      <w:r w:rsidRPr="00A15BFF">
        <w:rPr>
          <w:rFonts w:ascii="Palatino Linotype" w:eastAsia="Palatino Linotype" w:hAnsi="Palatino Linotype" w:cs="Palatino Linotype"/>
        </w:rPr>
        <w:t xml:space="preserve">remitió la respuesta a la solicitud de información el día </w:t>
      </w:r>
      <w:r w:rsidRPr="00A15BFF">
        <w:rPr>
          <w:rFonts w:ascii="Palatino Linotype" w:eastAsia="Palatino Linotype" w:hAnsi="Palatino Linotype" w:cs="Palatino Linotype"/>
          <w:b/>
        </w:rPr>
        <w:t xml:space="preserve">cinco de marzo de dos mil veinticinco, </w:t>
      </w:r>
      <w:r w:rsidRPr="00A15BFF">
        <w:rPr>
          <w:rFonts w:ascii="Palatino Linotype" w:eastAsia="Palatino Linotype" w:hAnsi="Palatino Linotype" w:cs="Palatino Linotype"/>
        </w:rPr>
        <w:t xml:space="preserve">mientras que el recurso de revisión interpuesto por la parte </w:t>
      </w:r>
      <w:r w:rsidRPr="00A15BFF">
        <w:rPr>
          <w:rFonts w:ascii="Palatino Linotype" w:eastAsia="Palatino Linotype" w:hAnsi="Palatino Linotype" w:cs="Palatino Linotype"/>
          <w:b/>
        </w:rPr>
        <w:t xml:space="preserve">Recurrente, </w:t>
      </w:r>
      <w:r w:rsidRPr="00A15BFF">
        <w:rPr>
          <w:rFonts w:ascii="Palatino Linotype" w:eastAsia="Palatino Linotype" w:hAnsi="Palatino Linotype" w:cs="Palatino Linotype"/>
        </w:rPr>
        <w:t>se tuvo por presentado el día</w:t>
      </w:r>
      <w:r w:rsidRPr="00A15BFF">
        <w:rPr>
          <w:rFonts w:ascii="Palatino Linotype" w:eastAsia="Palatino Linotype" w:hAnsi="Palatino Linotype" w:cs="Palatino Linotype"/>
          <w:b/>
        </w:rPr>
        <w:t xml:space="preserve"> dieciocho de marzo de dos mil veinticinco, </w:t>
      </w:r>
      <w:r w:rsidRPr="00A15BFF">
        <w:rPr>
          <w:rFonts w:ascii="Palatino Linotype" w:eastAsia="Palatino Linotype" w:hAnsi="Palatino Linotype" w:cs="Palatino Linotype"/>
        </w:rPr>
        <w:t>esto es, al octavo día hábil posterior a aquel en el que tuvo conocimiento de la respuesta impugnada. En este sentido, se concluye que el presente recurso de revisión se encuentra dentro de los márgenes temporales previstos en las disposiciones legales referidas.</w:t>
      </w:r>
    </w:p>
    <w:p w14:paraId="021E73D1" w14:textId="77777777" w:rsidR="00CA7BF7" w:rsidRPr="00A15BFF" w:rsidRDefault="00EA6A07">
      <w:pPr>
        <w:tabs>
          <w:tab w:val="left" w:pos="7938"/>
        </w:tabs>
        <w:spacing w:before="240" w:after="240" w:line="360" w:lineRule="auto"/>
        <w:jc w:val="both"/>
        <w:rPr>
          <w:rFonts w:ascii="Palatino Linotype" w:eastAsia="Palatino Linotype" w:hAnsi="Palatino Linotype" w:cs="Palatino Linotype"/>
        </w:rPr>
      </w:pPr>
      <w:bookmarkStart w:id="7" w:name="_heading=h.3znysh7" w:colFirst="0" w:colLast="0"/>
      <w:bookmarkEnd w:id="7"/>
      <w:r w:rsidRPr="00A15BFF">
        <w:rPr>
          <w:rFonts w:ascii="Palatino Linotype" w:eastAsia="Palatino Linotype" w:hAnsi="Palatino Linotype" w:cs="Palatino Linotype"/>
        </w:rPr>
        <w:lastRenderedPageBreak/>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54DC462"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Finalmente, se advierte que resulta procedente la interposición del recurso, según lo manifestado por la parte </w:t>
      </w:r>
      <w:r w:rsidRPr="00A15BFF">
        <w:rPr>
          <w:rFonts w:ascii="Palatino Linotype" w:eastAsia="Palatino Linotype" w:hAnsi="Palatino Linotype" w:cs="Palatino Linotype"/>
          <w:b/>
        </w:rPr>
        <w:t>Recurrente</w:t>
      </w:r>
      <w:r w:rsidRPr="00A15BFF">
        <w:rPr>
          <w:rFonts w:ascii="Palatino Linotype" w:eastAsia="Palatino Linotype" w:hAnsi="Palatino Linotype" w:cs="Palatino Linotype"/>
        </w:rPr>
        <w:t xml:space="preserve"> en sus motivos de inconformidad, de acuerdo al artículo 179, fracción V del ordenamiento legal citado, que a la letra dice: </w:t>
      </w:r>
    </w:p>
    <w:p w14:paraId="7373CAED" w14:textId="77777777" w:rsidR="00CA7BF7" w:rsidRPr="00A15BFF" w:rsidRDefault="00EA6A07">
      <w:pPr>
        <w:tabs>
          <w:tab w:val="left" w:pos="7938"/>
        </w:tabs>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i/>
          <w:sz w:val="22"/>
          <w:szCs w:val="22"/>
        </w:rPr>
        <w:t>“</w:t>
      </w:r>
      <w:r w:rsidRPr="00A15BFF">
        <w:rPr>
          <w:rFonts w:ascii="Palatino Linotype" w:eastAsia="Palatino Linotype" w:hAnsi="Palatino Linotype" w:cs="Palatino Linotype"/>
          <w:b/>
          <w:i/>
          <w:sz w:val="22"/>
          <w:szCs w:val="22"/>
        </w:rPr>
        <w:t>Artículo 179.</w:t>
      </w:r>
      <w:r w:rsidRPr="00A15BFF">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C3CE973" w14:textId="77777777" w:rsidR="00CA7BF7" w:rsidRPr="00A15BFF" w:rsidRDefault="00EA6A07">
      <w:pPr>
        <w:tabs>
          <w:tab w:val="left" w:pos="7938"/>
        </w:tabs>
        <w:spacing w:before="120" w:after="120"/>
        <w:ind w:left="1134" w:right="900"/>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i/>
          <w:sz w:val="22"/>
          <w:szCs w:val="22"/>
        </w:rPr>
        <w:t>...</w:t>
      </w:r>
    </w:p>
    <w:p w14:paraId="07D4A44B" w14:textId="77777777" w:rsidR="00CA7BF7" w:rsidRPr="00A15BFF" w:rsidRDefault="00EA6A07">
      <w:pPr>
        <w:tabs>
          <w:tab w:val="left" w:pos="7938"/>
        </w:tabs>
        <w:spacing w:before="120" w:after="120"/>
        <w:ind w:left="1134" w:right="900"/>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 xml:space="preserve">V. </w:t>
      </w:r>
      <w:r w:rsidRPr="00A15BFF">
        <w:rPr>
          <w:rFonts w:ascii="Palatino Linotype" w:eastAsia="Palatino Linotype" w:hAnsi="Palatino Linotype" w:cs="Palatino Linotype"/>
          <w:i/>
          <w:sz w:val="22"/>
          <w:szCs w:val="22"/>
        </w:rPr>
        <w:t>La entrega de información incompleta;”</w:t>
      </w:r>
    </w:p>
    <w:p w14:paraId="03AF779D" w14:textId="77777777" w:rsidR="00CA7BF7" w:rsidRPr="00A15BFF" w:rsidRDefault="00EA6A07">
      <w:pPr>
        <w:spacing w:before="240" w:after="240" w:line="360" w:lineRule="auto"/>
        <w:jc w:val="both"/>
        <w:rPr>
          <w:rFonts w:ascii="Palatino Linotype" w:eastAsia="Palatino Linotype" w:hAnsi="Palatino Linotype" w:cs="Palatino Linotype"/>
          <w:b/>
        </w:rPr>
      </w:pPr>
      <w:r w:rsidRPr="00A15BFF">
        <w:rPr>
          <w:rFonts w:ascii="Palatino Linotype" w:eastAsia="Palatino Linotype" w:hAnsi="Palatino Linotype" w:cs="Palatino Linotype"/>
          <w:b/>
        </w:rPr>
        <w:t xml:space="preserve">Tercero. Materia de la revisión. </w:t>
      </w:r>
      <w:r w:rsidRPr="00A15BFF">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A15BFF">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A15BFF">
        <w:rPr>
          <w:rFonts w:ascii="Palatino Linotype" w:eastAsia="Palatino Linotype" w:hAnsi="Palatino Linotype" w:cs="Palatino Linotype"/>
        </w:rPr>
        <w:t xml:space="preserve">de la parte </w:t>
      </w:r>
      <w:r w:rsidRPr="00A15BFF">
        <w:rPr>
          <w:rFonts w:ascii="Palatino Linotype" w:eastAsia="Palatino Linotype" w:hAnsi="Palatino Linotype" w:cs="Palatino Linotype"/>
          <w:b/>
        </w:rPr>
        <w:t>Recurrente</w:t>
      </w:r>
      <w:r w:rsidRPr="00A15BFF">
        <w:rPr>
          <w:rFonts w:ascii="Palatino Linotype" w:eastAsia="Palatino Linotype" w:hAnsi="Palatino Linotype" w:cs="Palatino Linotype"/>
        </w:rPr>
        <w:t>, o en su defecto, en caso de ser procedente, ordenar la entrega de información.</w:t>
      </w:r>
    </w:p>
    <w:p w14:paraId="7D8C7582" w14:textId="77777777" w:rsidR="00CA7BF7" w:rsidRPr="00A15BFF" w:rsidRDefault="00EA6A07">
      <w:pPr>
        <w:spacing w:before="240" w:after="240" w:line="360" w:lineRule="auto"/>
        <w:jc w:val="both"/>
        <w:rPr>
          <w:rFonts w:ascii="Palatino Linotype" w:eastAsia="Palatino Linotype" w:hAnsi="Palatino Linotype" w:cs="Palatino Linotype"/>
        </w:rPr>
      </w:pPr>
      <w:bookmarkStart w:id="8" w:name="_heading=h.2et92p0" w:colFirst="0" w:colLast="0"/>
      <w:bookmarkEnd w:id="8"/>
      <w:r w:rsidRPr="00A15BFF">
        <w:rPr>
          <w:rFonts w:ascii="Palatino Linotype" w:eastAsia="Palatino Linotype" w:hAnsi="Palatino Linotype" w:cs="Palatino Linotype"/>
          <w:b/>
        </w:rPr>
        <w:t xml:space="preserve">Cuarto. Estudio del asunto. </w:t>
      </w:r>
      <w:r w:rsidRPr="00A15BFF">
        <w:rPr>
          <w:rFonts w:ascii="Palatino Linotype" w:eastAsia="Palatino Linotype" w:hAnsi="Palatino Linotype" w:cs="Palatino Linotype"/>
        </w:rPr>
        <w:t xml:space="preserve">En primer lugar, es conveniente mencionar que de conformidad con el artículo 4 de la Ley de Transparencia y Acceso a la Información Pública del Estado de México y Municipios toda la información generada, obtenida, </w:t>
      </w:r>
      <w:r w:rsidRPr="00A15BFF">
        <w:rPr>
          <w:rFonts w:ascii="Palatino Linotype" w:eastAsia="Palatino Linotype" w:hAnsi="Palatino Linotype" w:cs="Palatino Linotype"/>
        </w:rPr>
        <w:lastRenderedPageBreak/>
        <w:t>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084F444" w14:textId="77777777" w:rsidR="00CA7BF7" w:rsidRPr="00A15BFF" w:rsidRDefault="00EA6A07">
      <w:pP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i/>
          <w:sz w:val="22"/>
          <w:szCs w:val="22"/>
        </w:rPr>
        <w:t>“</w:t>
      </w:r>
      <w:r w:rsidRPr="00A15BFF">
        <w:rPr>
          <w:rFonts w:ascii="Palatino Linotype" w:eastAsia="Palatino Linotype" w:hAnsi="Palatino Linotype" w:cs="Palatino Linotype"/>
          <w:b/>
          <w:i/>
          <w:sz w:val="22"/>
          <w:szCs w:val="22"/>
        </w:rPr>
        <w:t>Artículo 4</w:t>
      </w:r>
      <w:r w:rsidRPr="00A15BF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79B87E1" w14:textId="77777777" w:rsidR="00CA7BF7" w:rsidRPr="00A15BFF" w:rsidRDefault="00EA6A07">
      <w:pP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15BFF">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4B89EE7" w14:textId="77777777" w:rsidR="00CA7BF7" w:rsidRPr="00A15BFF" w:rsidRDefault="00EA6A07">
      <w:pP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A15BFF">
        <w:rPr>
          <w:rFonts w:ascii="Palatino Linotype" w:eastAsia="Palatino Linotype" w:hAnsi="Palatino Linotype" w:cs="Palatino Linotype"/>
          <w:i/>
          <w:sz w:val="22"/>
          <w:szCs w:val="22"/>
        </w:rPr>
        <w:t>.”</w:t>
      </w:r>
    </w:p>
    <w:p w14:paraId="39B4C76E"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75393AF" w14:textId="77777777" w:rsidR="00CA7BF7" w:rsidRPr="00A15BFF" w:rsidRDefault="00EA6A07">
      <w:pP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lastRenderedPageBreak/>
        <w:t>“Artículo 12.-</w:t>
      </w:r>
      <w:r w:rsidRPr="00A15BF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C55A0C8" w14:textId="77777777" w:rsidR="00CA7BF7" w:rsidRPr="00A15BFF" w:rsidRDefault="00EA6A07">
      <w:pP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15BFF">
        <w:rPr>
          <w:rFonts w:ascii="Palatino Linotype" w:eastAsia="Palatino Linotype" w:hAnsi="Palatino Linotype" w:cs="Palatino Linotype"/>
          <w:i/>
          <w:sz w:val="22"/>
          <w:szCs w:val="22"/>
        </w:rPr>
        <w:t xml:space="preserve">. </w:t>
      </w:r>
      <w:r w:rsidRPr="00A15BFF">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4C05C3F7" w14:textId="77777777" w:rsidR="00CA7BF7" w:rsidRPr="00A15BFF" w:rsidRDefault="00EA6A07">
      <w:pPr>
        <w:spacing w:before="240" w:after="240" w:line="360" w:lineRule="auto"/>
        <w:ind w:right="-93"/>
        <w:jc w:val="both"/>
        <w:rPr>
          <w:rFonts w:ascii="Palatino Linotype" w:eastAsia="Palatino Linotype" w:hAnsi="Palatino Linotype" w:cs="Palatino Linotype"/>
        </w:rPr>
      </w:pPr>
      <w:r w:rsidRPr="00A15BFF">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143BB41F" w14:textId="77777777" w:rsidR="00CA7BF7" w:rsidRPr="00A15BFF" w:rsidRDefault="00EA6A07">
      <w:pPr>
        <w:spacing w:before="240" w:after="240" w:line="360" w:lineRule="auto"/>
        <w:jc w:val="both"/>
        <w:rPr>
          <w:rFonts w:ascii="Palatino Linotype" w:eastAsia="Palatino Linotype" w:hAnsi="Palatino Linotype" w:cs="Palatino Linotype"/>
          <w:b/>
        </w:rPr>
      </w:pPr>
      <w:r w:rsidRPr="00A15BFF">
        <w:rPr>
          <w:rFonts w:ascii="Palatino Linotype" w:eastAsia="Palatino Linotype" w:hAnsi="Palatino Linotype" w:cs="Palatino Linotype"/>
        </w:rPr>
        <w:t xml:space="preserve">Sirve de apoyo a lo anterior, el criterio orientador con clave de control SO/003/2017, emitido por el entonces Instituto Nacional de Transparencia, Acceso a la Información y Protección de Datos Personales, </w:t>
      </w:r>
      <w:proofErr w:type="gramStart"/>
      <w:r w:rsidRPr="00A15BFF">
        <w:rPr>
          <w:rFonts w:ascii="Palatino Linotype" w:eastAsia="Palatino Linotype" w:hAnsi="Palatino Linotype" w:cs="Palatino Linotype"/>
        </w:rPr>
        <w:t>que</w:t>
      </w:r>
      <w:proofErr w:type="gramEnd"/>
      <w:r w:rsidRPr="00A15BFF">
        <w:rPr>
          <w:rFonts w:ascii="Palatino Linotype" w:eastAsia="Palatino Linotype" w:hAnsi="Palatino Linotype" w:cs="Palatino Linotype"/>
        </w:rPr>
        <w:t xml:space="preserve"> por rubro y texto, dispone lo siguiente:</w:t>
      </w:r>
      <w:r w:rsidRPr="00A15BFF">
        <w:rPr>
          <w:rFonts w:ascii="Palatino Linotype" w:eastAsia="Palatino Linotype" w:hAnsi="Palatino Linotype" w:cs="Palatino Linotype"/>
          <w:b/>
        </w:rPr>
        <w:t xml:space="preserve"> </w:t>
      </w:r>
    </w:p>
    <w:p w14:paraId="5179D77C" w14:textId="77777777" w:rsidR="00CA7BF7" w:rsidRPr="00A15BFF" w:rsidRDefault="00EA6A07">
      <w:pPr>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i/>
          <w:sz w:val="22"/>
          <w:szCs w:val="22"/>
        </w:rPr>
        <w:t>“</w:t>
      </w:r>
      <w:r w:rsidRPr="00A15BFF">
        <w:rPr>
          <w:rFonts w:ascii="Palatino Linotype" w:eastAsia="Palatino Linotype" w:hAnsi="Palatino Linotype" w:cs="Palatino Linotype"/>
          <w:b/>
          <w:i/>
          <w:sz w:val="22"/>
          <w:szCs w:val="22"/>
        </w:rPr>
        <w:t>No existe obligación de elaborar documentos ad hoc para atender las solicitudes de acceso a la información.</w:t>
      </w:r>
      <w:r w:rsidRPr="00A15BF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w:t>
      </w:r>
      <w:r w:rsidRPr="00A15BFF">
        <w:rPr>
          <w:rFonts w:ascii="Palatino Linotype" w:eastAsia="Palatino Linotype" w:hAnsi="Palatino Linotype" w:cs="Palatino Linotype"/>
          <w:i/>
          <w:sz w:val="22"/>
          <w:szCs w:val="22"/>
        </w:rPr>
        <w:lastRenderedPageBreak/>
        <w:t xml:space="preserve">que la misma obre en sus archivos; sin necesidad de elaborar documentos ad hoc para atender las solicitudes de información.” </w:t>
      </w:r>
    </w:p>
    <w:p w14:paraId="4A4CA22A"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8F5F13B" w14:textId="77777777" w:rsidR="00CA7BF7" w:rsidRPr="00A15BFF" w:rsidRDefault="00EA6A07">
      <w:pPr>
        <w:spacing w:before="120" w:after="12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E346BAF" w14:textId="77777777" w:rsidR="00CA7BF7" w:rsidRPr="00A15BFF" w:rsidRDefault="00EA6A07">
      <w:pP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i/>
          <w:sz w:val="22"/>
          <w:szCs w:val="22"/>
        </w:rPr>
        <w:t>“</w:t>
      </w:r>
      <w:r w:rsidRPr="00A15BFF">
        <w:rPr>
          <w:rFonts w:ascii="Palatino Linotype" w:eastAsia="Palatino Linotype" w:hAnsi="Palatino Linotype" w:cs="Palatino Linotype"/>
          <w:b/>
          <w:i/>
          <w:sz w:val="22"/>
          <w:szCs w:val="22"/>
        </w:rPr>
        <w:t xml:space="preserve">Artículo 3. </w:t>
      </w:r>
      <w:r w:rsidRPr="00A15BFF">
        <w:rPr>
          <w:rFonts w:ascii="Palatino Linotype" w:eastAsia="Palatino Linotype" w:hAnsi="Palatino Linotype" w:cs="Palatino Linotype"/>
          <w:i/>
          <w:sz w:val="22"/>
          <w:szCs w:val="22"/>
        </w:rPr>
        <w:t>Para los efectos de la presente Ley se entenderá por:</w:t>
      </w:r>
    </w:p>
    <w:p w14:paraId="0C13C6CF" w14:textId="77777777" w:rsidR="00CA7BF7" w:rsidRPr="00A15BFF" w:rsidRDefault="00EA6A07">
      <w:pPr>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i/>
          <w:sz w:val="22"/>
          <w:szCs w:val="22"/>
        </w:rPr>
        <w:t>…</w:t>
      </w:r>
    </w:p>
    <w:p w14:paraId="6DBEA972" w14:textId="77777777" w:rsidR="00CA7BF7" w:rsidRPr="00A15BFF" w:rsidRDefault="00EA6A07">
      <w:pPr>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XI. Documento:</w:t>
      </w:r>
      <w:r w:rsidRPr="00A15BFF">
        <w:rPr>
          <w:rFonts w:ascii="Palatino Linotype" w:eastAsia="Palatino Linotype" w:hAnsi="Palatino Linotype" w:cs="Palatino Linotype"/>
          <w:i/>
          <w:sz w:val="22"/>
          <w:szCs w:val="22"/>
        </w:rPr>
        <w:t xml:space="preserve"> Los expedientes, reportes, estudios, actas</w:t>
      </w:r>
      <w:r w:rsidRPr="00A15BFF">
        <w:rPr>
          <w:rFonts w:ascii="Palatino Linotype" w:eastAsia="Palatino Linotype" w:hAnsi="Palatino Linotype" w:cs="Palatino Linotype"/>
          <w:b/>
          <w:i/>
          <w:sz w:val="22"/>
          <w:szCs w:val="22"/>
        </w:rPr>
        <w:t>,</w:t>
      </w:r>
      <w:r w:rsidRPr="00A15BF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67767BC"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lastRenderedPageBreak/>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DD371BC" w14:textId="77777777" w:rsidR="00CA7BF7" w:rsidRPr="00A15BFF" w:rsidRDefault="00EA6A07">
      <w:pP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sz w:val="22"/>
          <w:szCs w:val="22"/>
        </w:rPr>
        <w:t>“</w:t>
      </w:r>
      <w:r w:rsidRPr="00A15BFF">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A15BF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3BF1C5A" w14:textId="77777777" w:rsidR="00CA7BF7" w:rsidRPr="00A15BFF" w:rsidRDefault="00EA6A07">
      <w:pP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i/>
          <w:sz w:val="22"/>
          <w:szCs w:val="22"/>
        </w:rPr>
        <w:t xml:space="preserve">En </w:t>
      </w:r>
      <w:proofErr w:type="gramStart"/>
      <w:r w:rsidRPr="00A15BFF">
        <w:rPr>
          <w:rFonts w:ascii="Palatino Linotype" w:eastAsia="Palatino Linotype" w:hAnsi="Palatino Linotype" w:cs="Palatino Linotype"/>
          <w:i/>
          <w:sz w:val="22"/>
          <w:szCs w:val="22"/>
        </w:rPr>
        <w:t>consecuencia</w:t>
      </w:r>
      <w:proofErr w:type="gramEnd"/>
      <w:r w:rsidRPr="00A15BFF">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5AF87A1" w14:textId="77777777" w:rsidR="00CA7BF7" w:rsidRPr="00A15BFF" w:rsidRDefault="00EA6A07">
      <w:pPr>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i/>
          <w:sz w:val="22"/>
          <w:szCs w:val="22"/>
        </w:rPr>
        <w:t xml:space="preserve">1) Que se trate de información registrada en cualquier soporte documental, </w:t>
      </w:r>
      <w:proofErr w:type="gramStart"/>
      <w:r w:rsidRPr="00A15BFF">
        <w:rPr>
          <w:rFonts w:ascii="Palatino Linotype" w:eastAsia="Palatino Linotype" w:hAnsi="Palatino Linotype" w:cs="Palatino Linotype"/>
          <w:i/>
          <w:sz w:val="22"/>
          <w:szCs w:val="22"/>
        </w:rPr>
        <w:t>que</w:t>
      </w:r>
      <w:proofErr w:type="gramEnd"/>
      <w:r w:rsidRPr="00A15BFF">
        <w:rPr>
          <w:rFonts w:ascii="Palatino Linotype" w:eastAsia="Palatino Linotype" w:hAnsi="Palatino Linotype" w:cs="Palatino Linotype"/>
          <w:i/>
          <w:sz w:val="22"/>
          <w:szCs w:val="22"/>
        </w:rPr>
        <w:t xml:space="preserve"> en ejercicio de las atribuciones conferidas, sea generada por los Sujetos Obligados;</w:t>
      </w:r>
    </w:p>
    <w:p w14:paraId="29F30AA6" w14:textId="77777777" w:rsidR="00CA7BF7" w:rsidRPr="00A15BFF" w:rsidRDefault="00EA6A07">
      <w:pPr>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i/>
          <w:sz w:val="22"/>
          <w:szCs w:val="22"/>
        </w:rPr>
        <w:t xml:space="preserve">2) Que se trate de información registrada en cualquier soporte documental, </w:t>
      </w:r>
      <w:proofErr w:type="gramStart"/>
      <w:r w:rsidRPr="00A15BFF">
        <w:rPr>
          <w:rFonts w:ascii="Palatino Linotype" w:eastAsia="Palatino Linotype" w:hAnsi="Palatino Linotype" w:cs="Palatino Linotype"/>
          <w:i/>
          <w:sz w:val="22"/>
          <w:szCs w:val="22"/>
        </w:rPr>
        <w:t>que</w:t>
      </w:r>
      <w:proofErr w:type="gramEnd"/>
      <w:r w:rsidRPr="00A15BFF">
        <w:rPr>
          <w:rFonts w:ascii="Palatino Linotype" w:eastAsia="Palatino Linotype" w:hAnsi="Palatino Linotype" w:cs="Palatino Linotype"/>
          <w:i/>
          <w:sz w:val="22"/>
          <w:szCs w:val="22"/>
        </w:rPr>
        <w:t xml:space="preserve"> en ejercicio de las atribuciones conferidas, sea administrada por los Sujetos Obligados, y</w:t>
      </w:r>
    </w:p>
    <w:p w14:paraId="6BEC5001" w14:textId="77777777" w:rsidR="00CA7BF7" w:rsidRPr="00A15BFF" w:rsidRDefault="00EA6A07">
      <w:pPr>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i/>
          <w:sz w:val="22"/>
          <w:szCs w:val="22"/>
        </w:rPr>
        <w:t xml:space="preserve">3) Que se trate de información registrada en cualquier soporte documental, </w:t>
      </w:r>
      <w:proofErr w:type="gramStart"/>
      <w:r w:rsidRPr="00A15BFF">
        <w:rPr>
          <w:rFonts w:ascii="Palatino Linotype" w:eastAsia="Palatino Linotype" w:hAnsi="Palatino Linotype" w:cs="Palatino Linotype"/>
          <w:i/>
          <w:sz w:val="22"/>
          <w:szCs w:val="22"/>
        </w:rPr>
        <w:t>que</w:t>
      </w:r>
      <w:proofErr w:type="gramEnd"/>
      <w:r w:rsidRPr="00A15BFF">
        <w:rPr>
          <w:rFonts w:ascii="Palatino Linotype" w:eastAsia="Palatino Linotype" w:hAnsi="Palatino Linotype" w:cs="Palatino Linotype"/>
          <w:i/>
          <w:sz w:val="22"/>
          <w:szCs w:val="22"/>
        </w:rPr>
        <w:t xml:space="preserve"> en ejercicio de las atribuciones conferidas, se encuentre en posesión de los Sujetos Obligados.”</w:t>
      </w:r>
    </w:p>
    <w:p w14:paraId="63C61E10" w14:textId="77777777" w:rsidR="00CA7BF7" w:rsidRPr="00A15BFF" w:rsidRDefault="00EA6A07">
      <w:pPr>
        <w:spacing w:before="240" w:after="240" w:line="360" w:lineRule="auto"/>
        <w:ind w:right="51"/>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w:t>
      </w:r>
      <w:r w:rsidRPr="00A15BFF">
        <w:rPr>
          <w:rFonts w:ascii="Palatino Linotype" w:eastAsia="Palatino Linotype" w:hAnsi="Palatino Linotype" w:cs="Palatino Linotype"/>
        </w:rPr>
        <w:lastRenderedPageBreak/>
        <w:t>Sujeto Obligado; como así se establece en la Ley de Transparencia y Acceso a la Información Pública del Estado de México y Municipios.</w:t>
      </w:r>
    </w:p>
    <w:p w14:paraId="427C34A3"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31FC2F7A" w14:textId="77777777" w:rsidR="00CA7BF7" w:rsidRPr="00A15BFF" w:rsidRDefault="00EA6A07">
      <w:pPr>
        <w:spacing w:before="240" w:after="240" w:line="360" w:lineRule="auto"/>
        <w:ind w:right="51"/>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A15BFF">
        <w:rPr>
          <w:rFonts w:ascii="Palatino Linotype" w:eastAsia="Palatino Linotype" w:hAnsi="Palatino Linotype" w:cs="Palatino Linotype"/>
          <w:b/>
        </w:rPr>
        <w:t>Recurrente</w:t>
      </w:r>
      <w:r w:rsidRPr="00A15BFF">
        <w:rPr>
          <w:rFonts w:ascii="Palatino Linotype" w:eastAsia="Palatino Linotype" w:hAnsi="Palatino Linotype" w:cs="Palatino Linotype"/>
        </w:rPr>
        <w:t xml:space="preserve"> requirió al </w:t>
      </w:r>
      <w:r w:rsidRPr="00A15BFF">
        <w:rPr>
          <w:rFonts w:ascii="Palatino Linotype" w:eastAsia="Palatino Linotype" w:hAnsi="Palatino Linotype" w:cs="Palatino Linotype"/>
          <w:b/>
        </w:rPr>
        <w:t xml:space="preserve">Sujeto Obligado </w:t>
      </w:r>
      <w:r w:rsidRPr="00A15BFF">
        <w:rPr>
          <w:rFonts w:ascii="Palatino Linotype" w:eastAsia="Palatino Linotype" w:hAnsi="Palatino Linotype" w:cs="Palatino Linotype"/>
        </w:rPr>
        <w:t>le proporcione, información consistente en lo siguiente:</w:t>
      </w:r>
    </w:p>
    <w:p w14:paraId="32B62221" w14:textId="77777777" w:rsidR="00CA7BF7" w:rsidRPr="00A15BFF" w:rsidRDefault="00EA6A07">
      <w:pPr>
        <w:numPr>
          <w:ilvl w:val="0"/>
          <w:numId w:val="1"/>
        </w:numPr>
        <w:pBdr>
          <w:top w:val="nil"/>
          <w:left w:val="nil"/>
          <w:bottom w:val="nil"/>
          <w:right w:val="nil"/>
          <w:between w:val="nil"/>
        </w:pBdr>
        <w:spacing w:before="240" w:after="240" w:line="360" w:lineRule="auto"/>
        <w:ind w:left="426" w:right="51" w:firstLine="0"/>
        <w:jc w:val="both"/>
        <w:rPr>
          <w:rFonts w:ascii="Palatino Linotype" w:eastAsia="Palatino Linotype" w:hAnsi="Palatino Linotype" w:cs="Palatino Linotype"/>
        </w:rPr>
      </w:pPr>
      <w:r w:rsidRPr="00A15BFF">
        <w:rPr>
          <w:rFonts w:ascii="Palatino Linotype" w:eastAsia="Palatino Linotype" w:hAnsi="Palatino Linotype" w:cs="Palatino Linotype"/>
        </w:rPr>
        <w:t>Nómina del personal de confianza, asimilados y sindicalizados de la primera quincena de febrero de dos mil veinticinco.</w:t>
      </w:r>
    </w:p>
    <w:p w14:paraId="1048186B" w14:textId="77777777" w:rsidR="00CA7BF7" w:rsidRPr="00A15BFF" w:rsidRDefault="00EA6A07">
      <w:pPr>
        <w:spacing w:before="240" w:after="240" w:line="360" w:lineRule="auto"/>
        <w:ind w:right="49"/>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En respuesta, el </w:t>
      </w:r>
      <w:r w:rsidRPr="00A15BFF">
        <w:rPr>
          <w:rFonts w:ascii="Palatino Linotype" w:eastAsia="Palatino Linotype" w:hAnsi="Palatino Linotype" w:cs="Palatino Linotype"/>
          <w:b/>
        </w:rPr>
        <w:t>Sujeto Obligado</w:t>
      </w:r>
      <w:r w:rsidRPr="00A15BFF">
        <w:rPr>
          <w:rFonts w:ascii="Palatino Linotype" w:eastAsia="Palatino Linotype" w:hAnsi="Palatino Linotype" w:cs="Palatino Linotype"/>
        </w:rPr>
        <w:t>, por conducto de la Unidad de Transparencia refirió remitir el archivo mediante el cual el servidor público habilitado atendió la solicitud, sin embargo, el mismo no obra en el expediente electrónico.</w:t>
      </w:r>
    </w:p>
    <w:p w14:paraId="38DD7ED6" w14:textId="77777777" w:rsidR="00CA7BF7" w:rsidRPr="00A15BFF" w:rsidRDefault="00EA6A07">
      <w:pPr>
        <w:spacing w:before="240" w:after="240" w:line="360" w:lineRule="auto"/>
        <w:ind w:right="49"/>
        <w:jc w:val="both"/>
        <w:rPr>
          <w:rFonts w:ascii="Palatino Linotype" w:eastAsia="Palatino Linotype" w:hAnsi="Palatino Linotype" w:cs="Palatino Linotype"/>
        </w:rPr>
      </w:pPr>
      <w:r w:rsidRPr="00A15BFF">
        <w:rPr>
          <w:rFonts w:ascii="Palatino Linotype" w:eastAsia="Palatino Linotype" w:hAnsi="Palatino Linotype" w:cs="Palatino Linotype"/>
        </w:rPr>
        <w:lastRenderedPageBreak/>
        <w:t xml:space="preserve">Derivado de lo anterior, la parte </w:t>
      </w:r>
      <w:r w:rsidRPr="00A15BFF">
        <w:rPr>
          <w:rFonts w:ascii="Palatino Linotype" w:eastAsia="Palatino Linotype" w:hAnsi="Palatino Linotype" w:cs="Palatino Linotype"/>
          <w:b/>
        </w:rPr>
        <w:t xml:space="preserve">Recurrente </w:t>
      </w:r>
      <w:r w:rsidRPr="00A15BFF">
        <w:rPr>
          <w:rFonts w:ascii="Palatino Linotype" w:eastAsia="Palatino Linotype" w:hAnsi="Palatino Linotype" w:cs="Palatino Linotype"/>
        </w:rPr>
        <w:t>presentó el recurso de revisión que se resuelve, donde se inconformó por la entrega de información incompleta, al no haberse adjuntado el archivo.</w:t>
      </w:r>
    </w:p>
    <w:p w14:paraId="2457B9E6"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Durante el periodo de manifestaciones el </w:t>
      </w:r>
      <w:r w:rsidRPr="00A15BFF">
        <w:rPr>
          <w:rFonts w:ascii="Palatino Linotype" w:eastAsia="Palatino Linotype" w:hAnsi="Palatino Linotype" w:cs="Palatino Linotype"/>
          <w:b/>
        </w:rPr>
        <w:t xml:space="preserve">Sujeto Obligado, </w:t>
      </w:r>
      <w:r w:rsidRPr="00A15BFF">
        <w:rPr>
          <w:rFonts w:ascii="Palatino Linotype" w:eastAsia="Palatino Linotype" w:hAnsi="Palatino Linotype" w:cs="Palatino Linotype"/>
        </w:rPr>
        <w:t xml:space="preserve">por conducto del Tesorero Municipal hizo entrega de la relación de nómina de 2025, con los rubros: puesto, confianza, sindicalizado, eventual, dieta, sueldo, sueldo eventual, sin </w:t>
      </w:r>
      <w:proofErr w:type="gramStart"/>
      <w:r w:rsidRPr="00A15BFF">
        <w:rPr>
          <w:rFonts w:ascii="Palatino Linotype" w:eastAsia="Palatino Linotype" w:hAnsi="Palatino Linotype" w:cs="Palatino Linotype"/>
        </w:rPr>
        <w:t>embargo,  dicho</w:t>
      </w:r>
      <w:proofErr w:type="gramEnd"/>
      <w:r w:rsidRPr="00A15BFF">
        <w:rPr>
          <w:rFonts w:ascii="Palatino Linotype" w:eastAsia="Palatino Linotype" w:hAnsi="Palatino Linotype" w:cs="Palatino Linotype"/>
        </w:rPr>
        <w:t xml:space="preserve"> documento es parcialmente legible como se advierte a continuación:</w:t>
      </w:r>
    </w:p>
    <w:p w14:paraId="54838472" w14:textId="77777777" w:rsidR="00CA7BF7" w:rsidRPr="00A15BFF" w:rsidRDefault="00EA6A07">
      <w:pPr>
        <w:spacing w:before="240" w:after="240" w:line="360" w:lineRule="auto"/>
        <w:jc w:val="center"/>
        <w:rPr>
          <w:rFonts w:ascii="Palatino Linotype" w:eastAsia="Palatino Linotype" w:hAnsi="Palatino Linotype" w:cs="Palatino Linotype"/>
        </w:rPr>
      </w:pPr>
      <w:r w:rsidRPr="00A15BFF">
        <w:rPr>
          <w:rFonts w:ascii="Palatino Linotype" w:eastAsia="Palatino Linotype" w:hAnsi="Palatino Linotype" w:cs="Palatino Linotype"/>
          <w:noProof/>
        </w:rPr>
        <w:drawing>
          <wp:inline distT="0" distB="0" distL="0" distR="0" wp14:anchorId="565CCB64" wp14:editId="40F39013">
            <wp:extent cx="5220000" cy="3202990"/>
            <wp:effectExtent l="0" t="0" r="0" b="0"/>
            <wp:docPr id="21401318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220000" cy="3202990"/>
                    </a:xfrm>
                    <a:prstGeom prst="rect">
                      <a:avLst/>
                    </a:prstGeom>
                    <a:ln/>
                  </pic:spPr>
                </pic:pic>
              </a:graphicData>
            </a:graphic>
          </wp:inline>
        </w:drawing>
      </w:r>
    </w:p>
    <w:p w14:paraId="547CE5BA" w14:textId="77777777" w:rsidR="00CA7BF7" w:rsidRPr="00A15BFF" w:rsidRDefault="00EA6A07">
      <w:pPr>
        <w:spacing w:before="280" w:after="28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Una vez establecidas las posturas de las partes, se procede al análisis de los requerimientos de información, así como la información proporcionada por el </w:t>
      </w:r>
      <w:r w:rsidRPr="00A15BFF">
        <w:rPr>
          <w:rFonts w:ascii="Palatino Linotype" w:eastAsia="Palatino Linotype" w:hAnsi="Palatino Linotype" w:cs="Palatino Linotype"/>
          <w:b/>
        </w:rPr>
        <w:t xml:space="preserve">Sujeto Obligado, </w:t>
      </w:r>
      <w:r w:rsidRPr="00A15BFF">
        <w:rPr>
          <w:rFonts w:ascii="Palatino Linotype" w:eastAsia="Palatino Linotype" w:hAnsi="Palatino Linotype" w:cs="Palatino Linotype"/>
        </w:rPr>
        <w:t xml:space="preserve">en contraposición con el motivo de inconformidad alegado por la parte </w:t>
      </w:r>
      <w:r w:rsidRPr="00A15BFF">
        <w:rPr>
          <w:rFonts w:ascii="Palatino Linotype" w:eastAsia="Palatino Linotype" w:hAnsi="Palatino Linotype" w:cs="Palatino Linotype"/>
          <w:b/>
        </w:rPr>
        <w:t xml:space="preserve">Recurrente, </w:t>
      </w:r>
      <w:r w:rsidRPr="00A15BFF">
        <w:rPr>
          <w:rFonts w:ascii="Palatino Linotype" w:eastAsia="Palatino Linotype" w:hAnsi="Palatino Linotype" w:cs="Palatino Linotype"/>
        </w:rPr>
        <w:t xml:space="preserve">con la finalidad de determinar si el Derecho de acceso de esta se satisfizo, o en su defecto, señalar los documentos que en el ejercicio de sus </w:t>
      </w:r>
      <w:r w:rsidRPr="00A15BFF">
        <w:rPr>
          <w:rFonts w:ascii="Palatino Linotype" w:eastAsia="Palatino Linotype" w:hAnsi="Palatino Linotype" w:cs="Palatino Linotype"/>
        </w:rPr>
        <w:lastRenderedPageBreak/>
        <w:t>atribuciones pudo haber generado, y que, de manera enunciativa más no limitativa, pudieran colmar dicho derecho, en caso de ser procedente.</w:t>
      </w:r>
    </w:p>
    <w:p w14:paraId="5685E204" w14:textId="77777777" w:rsidR="00CA7BF7" w:rsidRPr="00A15BFF" w:rsidRDefault="00EA6A07">
      <w:pPr>
        <w:spacing w:before="240" w:after="240" w:line="360" w:lineRule="auto"/>
        <w:ind w:right="51"/>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En este tenor, en principio es de recordar que de acuerdo con lo establecido en los artículos 53, fracción IV y 162 de la Ley de Transparencia y Acceso a la Información Pública del Estado de México y Municipios, las Unidades de Transparencia deben garantizar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w:t>
      </w:r>
    </w:p>
    <w:p w14:paraId="693C9E4C" w14:textId="77777777" w:rsidR="00CA7BF7" w:rsidRPr="00A15BFF" w:rsidRDefault="00EA6A07">
      <w:pPr>
        <w:spacing w:before="240" w:after="240" w:line="360" w:lineRule="auto"/>
        <w:ind w:right="49"/>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En el caso particular, la Unidad de Transparencia turnó la solicitud a la Tesorería Municipal, como el órgano encargado de la recaudación de los ingresos municipales y </w:t>
      </w:r>
      <w:r w:rsidRPr="00A15BFF">
        <w:rPr>
          <w:rFonts w:ascii="Palatino Linotype" w:eastAsia="Palatino Linotype" w:hAnsi="Palatino Linotype" w:cs="Palatino Linotype"/>
          <w:b/>
        </w:rPr>
        <w:t>responsable de realizar las erogaciones</w:t>
      </w:r>
      <w:r w:rsidRPr="00A15BFF">
        <w:rPr>
          <w:rFonts w:ascii="Palatino Linotype" w:eastAsia="Palatino Linotype" w:hAnsi="Palatino Linotype" w:cs="Palatino Linotype"/>
        </w:rPr>
        <w:t xml:space="preserve"> que haga el ayuntamiento, así como de administrar la hacienda pública municipal, y llevar los registros contables, financieros y administrativos de los ingresos, egresos, e inventarios, de conformidad con los artículos 93 y 95, fracciones I y IV de la Ley Orgánica Municipal del Estado de México,  a saber:</w:t>
      </w:r>
    </w:p>
    <w:p w14:paraId="5591CA8F" w14:textId="77777777" w:rsidR="00CA7BF7" w:rsidRPr="00A15BFF" w:rsidRDefault="00EA6A07">
      <w:pP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i/>
          <w:sz w:val="22"/>
          <w:szCs w:val="22"/>
        </w:rPr>
        <w:t>“</w:t>
      </w:r>
      <w:r w:rsidRPr="00A15BFF">
        <w:rPr>
          <w:rFonts w:ascii="Palatino Linotype" w:eastAsia="Palatino Linotype" w:hAnsi="Palatino Linotype" w:cs="Palatino Linotype"/>
          <w:b/>
          <w:i/>
          <w:sz w:val="22"/>
          <w:szCs w:val="22"/>
        </w:rPr>
        <w:t>Artículo 93</w:t>
      </w:r>
      <w:r w:rsidRPr="00A15BFF">
        <w:rPr>
          <w:rFonts w:ascii="Palatino Linotype" w:eastAsia="Palatino Linotype" w:hAnsi="Palatino Linotype" w:cs="Palatino Linotype"/>
          <w:i/>
          <w:sz w:val="22"/>
          <w:szCs w:val="22"/>
        </w:rPr>
        <w:t>.- La tesorería municipal es el órgano encargado de la recaudación de los ingresos municipales y responsable de realizar las erogaciones que haga el ayuntamiento.</w:t>
      </w:r>
    </w:p>
    <w:p w14:paraId="5514C0F1" w14:textId="77777777" w:rsidR="00CA7BF7" w:rsidRPr="00A15BFF" w:rsidRDefault="00EA6A07">
      <w:pP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i/>
          <w:sz w:val="22"/>
          <w:szCs w:val="22"/>
        </w:rPr>
        <w:t>…</w:t>
      </w:r>
    </w:p>
    <w:p w14:paraId="183AB419" w14:textId="77777777" w:rsidR="00CA7BF7" w:rsidRPr="00A15BFF" w:rsidRDefault="00EA6A07">
      <w:pP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Artículo 95</w:t>
      </w:r>
      <w:r w:rsidRPr="00A15BFF">
        <w:rPr>
          <w:rFonts w:ascii="Palatino Linotype" w:eastAsia="Palatino Linotype" w:hAnsi="Palatino Linotype" w:cs="Palatino Linotype"/>
          <w:i/>
          <w:sz w:val="22"/>
          <w:szCs w:val="22"/>
        </w:rPr>
        <w:t xml:space="preserve">.- Son atribuciones del tesorero municipal: </w:t>
      </w:r>
    </w:p>
    <w:p w14:paraId="1F1BCEB1" w14:textId="77777777" w:rsidR="00CA7BF7" w:rsidRPr="00A15BFF" w:rsidRDefault="00EA6A07">
      <w:pPr>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I</w:t>
      </w:r>
      <w:r w:rsidRPr="00A15BFF">
        <w:rPr>
          <w:rFonts w:ascii="Palatino Linotype" w:eastAsia="Palatino Linotype" w:hAnsi="Palatino Linotype" w:cs="Palatino Linotype"/>
          <w:i/>
          <w:sz w:val="22"/>
          <w:szCs w:val="22"/>
        </w:rPr>
        <w:t xml:space="preserve">. </w:t>
      </w:r>
      <w:r w:rsidRPr="00A15BFF">
        <w:rPr>
          <w:rFonts w:ascii="Palatino Linotype" w:eastAsia="Palatino Linotype" w:hAnsi="Palatino Linotype" w:cs="Palatino Linotype"/>
          <w:b/>
          <w:i/>
          <w:sz w:val="22"/>
          <w:szCs w:val="22"/>
        </w:rPr>
        <w:t>Administrar la hacienda pública municipal</w:t>
      </w:r>
      <w:r w:rsidRPr="00A15BFF">
        <w:rPr>
          <w:rFonts w:ascii="Palatino Linotype" w:eastAsia="Palatino Linotype" w:hAnsi="Palatino Linotype" w:cs="Palatino Linotype"/>
          <w:i/>
          <w:sz w:val="22"/>
          <w:szCs w:val="22"/>
        </w:rPr>
        <w:t>, de conformidad con las disposiciones legales aplicables;</w:t>
      </w:r>
    </w:p>
    <w:p w14:paraId="08D52B34" w14:textId="77777777" w:rsidR="00CA7BF7" w:rsidRPr="00A15BFF" w:rsidRDefault="00EA6A07">
      <w:pPr>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i/>
          <w:sz w:val="22"/>
          <w:szCs w:val="22"/>
        </w:rPr>
        <w:t>…</w:t>
      </w:r>
    </w:p>
    <w:p w14:paraId="74E727A1" w14:textId="77777777" w:rsidR="00CA7BF7" w:rsidRPr="00A15BFF" w:rsidRDefault="00EA6A07">
      <w:pPr>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lastRenderedPageBreak/>
        <w:t>IV.</w:t>
      </w:r>
      <w:r w:rsidRPr="00A15BFF">
        <w:rPr>
          <w:rFonts w:ascii="Palatino Linotype" w:eastAsia="Palatino Linotype" w:hAnsi="Palatino Linotype" w:cs="Palatino Linotype"/>
          <w:i/>
          <w:sz w:val="22"/>
          <w:szCs w:val="22"/>
        </w:rPr>
        <w:t xml:space="preserve"> </w:t>
      </w:r>
      <w:r w:rsidRPr="00A15BFF">
        <w:rPr>
          <w:rFonts w:ascii="Palatino Linotype" w:eastAsia="Palatino Linotype" w:hAnsi="Palatino Linotype" w:cs="Palatino Linotype"/>
          <w:b/>
          <w:i/>
          <w:sz w:val="22"/>
          <w:szCs w:val="22"/>
        </w:rPr>
        <w:t>Llevar los registros contables, financieros y administrativos de los ingresos, egresos</w:t>
      </w:r>
      <w:r w:rsidRPr="00A15BFF">
        <w:rPr>
          <w:rFonts w:ascii="Palatino Linotype" w:eastAsia="Palatino Linotype" w:hAnsi="Palatino Linotype" w:cs="Palatino Linotype"/>
          <w:i/>
          <w:sz w:val="22"/>
          <w:szCs w:val="22"/>
        </w:rPr>
        <w:t xml:space="preserve">, e </w:t>
      </w:r>
      <w:proofErr w:type="gramStart"/>
      <w:r w:rsidRPr="00A15BFF">
        <w:rPr>
          <w:rFonts w:ascii="Palatino Linotype" w:eastAsia="Palatino Linotype" w:hAnsi="Palatino Linotype" w:cs="Palatino Linotype"/>
          <w:i/>
          <w:sz w:val="22"/>
          <w:szCs w:val="22"/>
        </w:rPr>
        <w:t>inventarios;…</w:t>
      </w:r>
      <w:proofErr w:type="gramEnd"/>
      <w:r w:rsidRPr="00A15BFF">
        <w:rPr>
          <w:rFonts w:ascii="Palatino Linotype" w:eastAsia="Palatino Linotype" w:hAnsi="Palatino Linotype" w:cs="Palatino Linotype"/>
          <w:i/>
          <w:sz w:val="22"/>
          <w:szCs w:val="22"/>
        </w:rPr>
        <w:t>”</w:t>
      </w:r>
    </w:p>
    <w:p w14:paraId="62E83F1A" w14:textId="77777777" w:rsidR="00CA7BF7" w:rsidRPr="00A15BFF" w:rsidRDefault="00EA6A07">
      <w:pPr>
        <w:tabs>
          <w:tab w:val="left" w:pos="3544"/>
        </w:tabs>
        <w:spacing w:before="240" w:after="240" w:line="360" w:lineRule="auto"/>
        <w:ind w:right="49"/>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Atento a lo anterior, se colige que la Tesorería Municipal cuenta con atribuciones para conocer de la información solicitada por la parte </w:t>
      </w:r>
      <w:r w:rsidRPr="00A15BFF">
        <w:rPr>
          <w:rFonts w:ascii="Palatino Linotype" w:eastAsia="Palatino Linotype" w:hAnsi="Palatino Linotype" w:cs="Palatino Linotype"/>
          <w:b/>
        </w:rPr>
        <w:t>Recurrente</w:t>
      </w:r>
      <w:r w:rsidRPr="00A15BFF">
        <w:rPr>
          <w:rFonts w:ascii="Palatino Linotype" w:eastAsia="Palatino Linotype" w:hAnsi="Palatino Linotype" w:cs="Palatino Linotype"/>
        </w:rPr>
        <w:t>, por lo tanto, la Unidad de Transparencia cumplió el procedimiento de búsqueda establecido en los artículos 151, 159, 160, 162, 163, 164, 165 y 166, de la Ley de Transparencia y Acceso a la Información Pública del Estado de México y Municipio,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w:t>
      </w:r>
    </w:p>
    <w:p w14:paraId="02C9ACC7" w14:textId="77777777" w:rsidR="00CA7BF7" w:rsidRPr="00A15BFF" w:rsidRDefault="00EA6A07">
      <w:pPr>
        <w:tabs>
          <w:tab w:val="left" w:pos="3544"/>
        </w:tabs>
        <w:spacing w:before="240" w:after="240" w:line="360" w:lineRule="auto"/>
        <w:ind w:right="49"/>
        <w:jc w:val="both"/>
        <w:rPr>
          <w:rFonts w:ascii="Palatino Linotype" w:eastAsia="Palatino Linotype" w:hAnsi="Palatino Linotype" w:cs="Palatino Linotype"/>
        </w:rPr>
      </w:pPr>
      <w:r w:rsidRPr="00A15BFF">
        <w:rPr>
          <w:rFonts w:ascii="Palatino Linotype" w:eastAsia="Palatino Linotype" w:hAnsi="Palatino Linotype" w:cs="Palatino Linotype"/>
        </w:rPr>
        <w:t>Ahora bien, por lo que se refiere a la materia de la solicitud, es oportuno mencionar que si bien el término “</w:t>
      </w:r>
      <w:r w:rsidRPr="00A15BFF">
        <w:rPr>
          <w:rFonts w:ascii="Palatino Linotype" w:eastAsia="Palatino Linotype" w:hAnsi="Palatino Linotype" w:cs="Palatino Linotype"/>
          <w:i/>
        </w:rPr>
        <w:t xml:space="preserve">nómina” </w:t>
      </w:r>
      <w:r w:rsidRPr="00A15BFF">
        <w:rPr>
          <w:rFonts w:ascii="Palatino Linotype" w:eastAsia="Palatino Linotype" w:hAnsi="Palatino Linotype" w:cs="Palatino Linotype"/>
        </w:rPr>
        <w:t xml:space="preserve">no está definido en nuestra legislación, también lo es que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RPr="00A15BFF">
        <w:rPr>
          <w:rFonts w:ascii="Palatino Linotype" w:eastAsia="Palatino Linotype" w:hAnsi="Palatino Linotype" w:cs="Palatino Linotype"/>
          <w:i/>
        </w:rPr>
        <w:t>listado general de los trabajadores de una institución, en</w:t>
      </w:r>
      <w:r w:rsidRPr="00A15BFF">
        <w:rPr>
          <w:rFonts w:ascii="Palatino Linotype" w:eastAsia="Palatino Linotype" w:hAnsi="Palatino Linotype" w:cs="Palatino Linotype"/>
          <w:b/>
          <w:i/>
        </w:rPr>
        <w:t xml:space="preserve"> </w:t>
      </w:r>
      <w:r w:rsidRPr="00A15BFF">
        <w:rPr>
          <w:rFonts w:ascii="Palatino Linotype" w:eastAsia="Palatino Linotype" w:hAnsi="Palatino Linotype" w:cs="Palatino Linotype"/>
          <w:i/>
        </w:rPr>
        <w:t xml:space="preserve">el cual se </w:t>
      </w:r>
      <w:r w:rsidRPr="00A15BFF">
        <w:rPr>
          <w:rFonts w:ascii="Palatino Linotype" w:eastAsia="Palatino Linotype" w:hAnsi="Palatino Linotype" w:cs="Palatino Linotype"/>
          <w:b/>
          <w:i/>
        </w:rPr>
        <w:t xml:space="preserve">asientan las </w:t>
      </w:r>
      <w:r w:rsidRPr="00A15BFF">
        <w:rPr>
          <w:rFonts w:ascii="Palatino Linotype" w:eastAsia="Palatino Linotype" w:hAnsi="Palatino Linotype" w:cs="Palatino Linotype"/>
          <w:b/>
          <w:i/>
          <w:u w:val="single"/>
        </w:rPr>
        <w:t>percepciones brutas, deducciones y alcance neto de las mismas</w:t>
      </w:r>
      <w:r w:rsidRPr="00A15BFF">
        <w:rPr>
          <w:rFonts w:ascii="Palatino Linotype" w:eastAsia="Palatino Linotype" w:hAnsi="Palatino Linotype" w:cs="Palatino Linotype"/>
          <w:i/>
        </w:rPr>
        <w:t>; la nómina es utilizada para</w:t>
      </w:r>
      <w:r w:rsidRPr="00A15BFF">
        <w:rPr>
          <w:rFonts w:ascii="Palatino Linotype" w:eastAsia="Palatino Linotype" w:hAnsi="Palatino Linotype" w:cs="Palatino Linotype"/>
          <w:b/>
          <w:i/>
        </w:rPr>
        <w:t xml:space="preserve"> efectuar los pagos periódicos</w:t>
      </w:r>
      <w:r w:rsidRPr="00A15BFF">
        <w:rPr>
          <w:rFonts w:ascii="Palatino Linotype" w:eastAsia="Palatino Linotype" w:hAnsi="Palatino Linotype" w:cs="Palatino Linotype"/>
          <w:i/>
        </w:rPr>
        <w:t xml:space="preserve"> (semanales, quincenales o</w:t>
      </w:r>
      <w:r w:rsidRPr="00A15BFF">
        <w:rPr>
          <w:rFonts w:ascii="Palatino Linotype" w:eastAsia="Palatino Linotype" w:hAnsi="Palatino Linotype" w:cs="Palatino Linotype"/>
          <w:b/>
          <w:i/>
        </w:rPr>
        <w:t xml:space="preserve"> </w:t>
      </w:r>
      <w:r w:rsidRPr="00A15BFF">
        <w:rPr>
          <w:rFonts w:ascii="Palatino Linotype" w:eastAsia="Palatino Linotype" w:hAnsi="Palatino Linotype" w:cs="Palatino Linotype"/>
          <w:i/>
        </w:rPr>
        <w:t xml:space="preserve">mensuales) a los trabajadores por concepto de </w:t>
      </w:r>
      <w:r w:rsidRPr="00A15BFF">
        <w:rPr>
          <w:rFonts w:ascii="Palatino Linotype" w:eastAsia="Palatino Linotype" w:hAnsi="Palatino Linotype" w:cs="Palatino Linotype"/>
          <w:b/>
          <w:i/>
        </w:rPr>
        <w:t>sueldos y salarios</w:t>
      </w:r>
      <w:r w:rsidRPr="00A15BFF">
        <w:rPr>
          <w:rFonts w:ascii="Palatino Linotype" w:eastAsia="Palatino Linotype" w:hAnsi="Palatino Linotype" w:cs="Palatino Linotype"/>
          <w:i/>
        </w:rPr>
        <w:t>.</w:t>
      </w:r>
    </w:p>
    <w:p w14:paraId="0DF60A17"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Documento o término que ha sido mencionado en diferentes ordenamientos legales, tal es el caso, de la Ley Federal del Trabajo en el artículo 804 fracción II, que además </w:t>
      </w:r>
      <w:r w:rsidRPr="00A15BFF">
        <w:rPr>
          <w:rFonts w:ascii="Palatino Linotype" w:eastAsia="Palatino Linotype" w:hAnsi="Palatino Linotype" w:cs="Palatino Linotype"/>
        </w:rPr>
        <w:lastRenderedPageBreak/>
        <w:t>reconoce los recibos de pagos de salarios, por lo que resulta indispensable citar el artículo de referencia:</w:t>
      </w:r>
    </w:p>
    <w:p w14:paraId="32EDC5E3" w14:textId="77777777" w:rsidR="00CA7BF7" w:rsidRPr="00A15BFF" w:rsidRDefault="00EA6A0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“Artículo 804.-</w:t>
      </w:r>
      <w:r w:rsidRPr="00A15BFF">
        <w:rPr>
          <w:rFonts w:ascii="Palatino Linotype" w:eastAsia="Palatino Linotype" w:hAnsi="Palatino Linotype" w:cs="Palatino Linotype"/>
          <w:i/>
          <w:sz w:val="22"/>
          <w:szCs w:val="22"/>
        </w:rPr>
        <w:t xml:space="preserve"> El patrón tiene obligación de conservar y exhibir en juicio los documentos que a continuación se precisan:</w:t>
      </w:r>
    </w:p>
    <w:p w14:paraId="66CD626A" w14:textId="77777777" w:rsidR="00CA7BF7" w:rsidRPr="00A15BFF" w:rsidRDefault="00EA6A07">
      <w:pPr>
        <w:pBdr>
          <w:top w:val="nil"/>
          <w:left w:val="nil"/>
          <w:bottom w:val="nil"/>
          <w:right w:val="nil"/>
          <w:between w:val="nil"/>
        </w:pBdr>
        <w:spacing w:before="120" w:after="120"/>
        <w:ind w:left="993"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w:t>
      </w:r>
    </w:p>
    <w:p w14:paraId="70456B40" w14:textId="77777777" w:rsidR="00CA7BF7" w:rsidRPr="00A15BFF" w:rsidRDefault="00EA6A07">
      <w:pPr>
        <w:pBdr>
          <w:top w:val="nil"/>
          <w:left w:val="nil"/>
          <w:bottom w:val="nil"/>
          <w:right w:val="nil"/>
          <w:between w:val="nil"/>
        </w:pBdr>
        <w:spacing w:before="120" w:after="120"/>
        <w:ind w:left="993" w:right="902"/>
        <w:jc w:val="both"/>
        <w:rPr>
          <w:rFonts w:ascii="Palatino Linotype" w:eastAsia="Palatino Linotype" w:hAnsi="Palatino Linotype" w:cs="Palatino Linotype"/>
          <w:b/>
          <w:i/>
          <w:sz w:val="22"/>
          <w:szCs w:val="22"/>
        </w:rPr>
      </w:pPr>
      <w:r w:rsidRPr="00A15BFF">
        <w:rPr>
          <w:rFonts w:ascii="Palatino Linotype" w:eastAsia="Palatino Linotype" w:hAnsi="Palatino Linotype" w:cs="Palatino Linotype"/>
          <w:b/>
          <w:i/>
          <w:sz w:val="22"/>
          <w:szCs w:val="22"/>
        </w:rPr>
        <w:t>II.</w:t>
      </w:r>
      <w:r w:rsidRPr="00A15BFF">
        <w:rPr>
          <w:rFonts w:ascii="Palatino Linotype" w:eastAsia="Palatino Linotype" w:hAnsi="Palatino Linotype" w:cs="Palatino Linotype"/>
          <w:i/>
          <w:sz w:val="22"/>
          <w:szCs w:val="22"/>
        </w:rPr>
        <w:t xml:space="preserve"> </w:t>
      </w:r>
      <w:r w:rsidRPr="00A15BFF">
        <w:rPr>
          <w:rFonts w:ascii="Palatino Linotype" w:eastAsia="Palatino Linotype" w:hAnsi="Palatino Linotype" w:cs="Palatino Linotype"/>
          <w:b/>
          <w:i/>
          <w:sz w:val="22"/>
          <w:szCs w:val="22"/>
        </w:rPr>
        <w:t>Listas de raya o nómina de personal</w:t>
      </w:r>
      <w:r w:rsidRPr="00A15BFF">
        <w:rPr>
          <w:rFonts w:ascii="Palatino Linotype" w:eastAsia="Palatino Linotype" w:hAnsi="Palatino Linotype" w:cs="Palatino Linotype"/>
          <w:i/>
          <w:sz w:val="22"/>
          <w:szCs w:val="22"/>
        </w:rPr>
        <w:t xml:space="preserve">, cuando se lleven en el centro de trabajo; </w:t>
      </w:r>
      <w:r w:rsidRPr="00A15BFF">
        <w:rPr>
          <w:rFonts w:ascii="Palatino Linotype" w:eastAsia="Palatino Linotype" w:hAnsi="Palatino Linotype" w:cs="Palatino Linotype"/>
          <w:b/>
          <w:i/>
          <w:sz w:val="22"/>
          <w:szCs w:val="22"/>
        </w:rPr>
        <w:t>o recibos de pagos de salarios;</w:t>
      </w:r>
    </w:p>
    <w:p w14:paraId="323061EC" w14:textId="77777777" w:rsidR="00CA7BF7" w:rsidRPr="00A15BFF" w:rsidRDefault="00EA6A07">
      <w:pPr>
        <w:pBdr>
          <w:top w:val="nil"/>
          <w:left w:val="nil"/>
          <w:bottom w:val="nil"/>
          <w:right w:val="nil"/>
          <w:between w:val="nil"/>
        </w:pBdr>
        <w:spacing w:before="120" w:after="120"/>
        <w:ind w:left="993"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i/>
          <w:sz w:val="22"/>
          <w:szCs w:val="22"/>
        </w:rPr>
        <w:t>…</w:t>
      </w:r>
    </w:p>
    <w:p w14:paraId="05297554" w14:textId="77777777" w:rsidR="00CA7BF7" w:rsidRPr="00A15BFF" w:rsidRDefault="00EA6A07">
      <w:pPr>
        <w:pBdr>
          <w:top w:val="nil"/>
          <w:left w:val="nil"/>
          <w:bottom w:val="nil"/>
          <w:right w:val="nil"/>
          <w:between w:val="nil"/>
        </w:pBdr>
        <w:spacing w:before="120" w:after="120"/>
        <w:ind w:left="855"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i/>
          <w:sz w:val="22"/>
          <w:szCs w:val="22"/>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2286BBC8"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De lo anteriormente citado, se puede llegar a la conclusión de que la nómina es el documento que contiene el registro de los trabajadores a los cuales se va a remunerar por los </w:t>
      </w:r>
      <w:hyperlink r:id="rId9">
        <w:r w:rsidRPr="00A15BFF">
          <w:rPr>
            <w:rFonts w:ascii="Palatino Linotype" w:eastAsia="Palatino Linotype" w:hAnsi="Palatino Linotype" w:cs="Palatino Linotype"/>
          </w:rPr>
          <w:t>servicios</w:t>
        </w:r>
      </w:hyperlink>
      <w:r w:rsidRPr="00A15BFF">
        <w:rPr>
          <w:rFonts w:ascii="Palatino Linotype" w:eastAsia="Palatino Linotype" w:hAnsi="Palatino Linotype" w:cs="Palatino Linotype"/>
        </w:rPr>
        <w:t xml:space="preserve"> que éstos le prestan al patrón, en el cual </w:t>
      </w:r>
      <w:r w:rsidRPr="00A15BFF">
        <w:rPr>
          <w:rFonts w:ascii="Palatino Linotype" w:eastAsia="Palatino Linotype" w:hAnsi="Palatino Linotype" w:cs="Palatino Linotype"/>
          <w:b/>
        </w:rPr>
        <w:t>se asientan las percepciones brutas, deducciones y el neto</w:t>
      </w:r>
      <w:r w:rsidRPr="00A15BFF">
        <w:rPr>
          <w:rFonts w:ascii="Palatino Linotype" w:eastAsia="Palatino Linotype" w:hAnsi="Palatino Linotype" w:cs="Palatino Linotype"/>
        </w:rPr>
        <w:t xml:space="preserve"> a recibir de dichos trabajadores</w:t>
      </w:r>
    </w:p>
    <w:p w14:paraId="25DEBE33"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En este sentido, es de mencionar que el </w:t>
      </w:r>
      <w:r w:rsidRPr="00A15BFF">
        <w:rPr>
          <w:rFonts w:ascii="Palatino Linotype" w:eastAsia="Palatino Linotype" w:hAnsi="Palatino Linotype" w:cs="Palatino Linotype"/>
          <w:b/>
        </w:rPr>
        <w:t xml:space="preserve">Sujeto Obligado </w:t>
      </w:r>
      <w:r w:rsidRPr="00A15BFF">
        <w:rPr>
          <w:rFonts w:ascii="Palatino Linotype" w:eastAsia="Palatino Linotype" w:hAnsi="Palatino Linotype" w:cs="Palatino Linotype"/>
        </w:rPr>
        <w:t xml:space="preserve">se encuentra constreñido a entregar al Órgano Superior de Fiscalización del Estado de México, como parte de los informes trimestrales, la </w:t>
      </w:r>
      <w:r w:rsidRPr="00A15BFF">
        <w:rPr>
          <w:rFonts w:ascii="Palatino Linotype" w:eastAsia="Palatino Linotype" w:hAnsi="Palatino Linotype" w:cs="Palatino Linotype"/>
          <w:i/>
        </w:rPr>
        <w:t>conciliación de nómina</w:t>
      </w:r>
      <w:r w:rsidRPr="00A15BFF">
        <w:rPr>
          <w:rFonts w:ascii="Palatino Linotype" w:eastAsia="Palatino Linotype" w:hAnsi="Palatino Linotype" w:cs="Palatino Linotype"/>
        </w:rPr>
        <w:t>, como se desprende de los Lineamientos para la integración y presentación de los Informes Trimestrales Estatales y Municipales del Ejercicio Fiscal 2025, los cuales establecen el formato mediante el cual debe presentarse la información que integra dichos informes y los instructivos de llenado correspondientes.</w:t>
      </w:r>
    </w:p>
    <w:p w14:paraId="6D337C7F"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De conformidad con los Lineamientos del ejercicio 2025, la información que generan los entes fiscalizables de carácter municipal con motivo de la nómina, se encuentra </w:t>
      </w:r>
      <w:r w:rsidRPr="00A15BFF">
        <w:rPr>
          <w:rFonts w:ascii="Palatino Linotype" w:eastAsia="Palatino Linotype" w:hAnsi="Palatino Linotype" w:cs="Palatino Linotype"/>
        </w:rPr>
        <w:lastRenderedPageBreak/>
        <w:t>contenida en el Módulo 4 Información Administrativa, Submódulo Nómina (Plataforma Digital), como se muestra a continuación:</w:t>
      </w:r>
    </w:p>
    <w:p w14:paraId="6B3C0966" w14:textId="77777777" w:rsidR="00CA7BF7" w:rsidRPr="00A15BFF" w:rsidRDefault="00EA6A07">
      <w:pPr>
        <w:spacing w:before="240" w:after="240" w:line="360" w:lineRule="auto"/>
        <w:jc w:val="center"/>
        <w:rPr>
          <w:rFonts w:ascii="Palatino Linotype" w:eastAsia="Palatino Linotype" w:hAnsi="Palatino Linotype" w:cs="Palatino Linotype"/>
        </w:rPr>
      </w:pPr>
      <w:r w:rsidRPr="00A15BFF">
        <w:rPr>
          <w:rFonts w:ascii="Palatino Linotype" w:eastAsia="Palatino Linotype" w:hAnsi="Palatino Linotype" w:cs="Palatino Linotype"/>
        </w:rPr>
        <w:t xml:space="preserve"> </w:t>
      </w:r>
      <w:r w:rsidRPr="00A15BFF">
        <w:rPr>
          <w:rFonts w:ascii="Palatino Linotype" w:eastAsia="Palatino Linotype" w:hAnsi="Palatino Linotype" w:cs="Palatino Linotype"/>
          <w:noProof/>
        </w:rPr>
        <w:drawing>
          <wp:inline distT="0" distB="0" distL="0" distR="0" wp14:anchorId="5AEAED16" wp14:editId="01964A13">
            <wp:extent cx="4500000" cy="2216906"/>
            <wp:effectExtent l="0" t="0" r="0" b="0"/>
            <wp:docPr id="21401318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500000" cy="2216906"/>
                    </a:xfrm>
                    <a:prstGeom prst="rect">
                      <a:avLst/>
                    </a:prstGeom>
                    <a:ln/>
                  </pic:spPr>
                </pic:pic>
              </a:graphicData>
            </a:graphic>
          </wp:inline>
        </w:drawing>
      </w:r>
      <w:r w:rsidRPr="00A15BFF">
        <w:rPr>
          <w:noProof/>
        </w:rPr>
        <mc:AlternateContent>
          <mc:Choice Requires="wpg">
            <w:drawing>
              <wp:anchor distT="0" distB="0" distL="114300" distR="114300" simplePos="0" relativeHeight="251658240" behindDoc="0" locked="0" layoutInCell="1" hidden="0" allowOverlap="1" wp14:anchorId="7DA46FA6" wp14:editId="285C2EB7">
                <wp:simplePos x="0" y="0"/>
                <wp:positionH relativeFrom="column">
                  <wp:posOffset>558800</wp:posOffset>
                </wp:positionH>
                <wp:positionV relativeFrom="paragraph">
                  <wp:posOffset>4267200</wp:posOffset>
                </wp:positionV>
                <wp:extent cx="4482879" cy="451568"/>
                <wp:effectExtent l="0" t="0" r="0" b="0"/>
                <wp:wrapNone/>
                <wp:docPr id="2140131839" name="Rectángulo 2140131839"/>
                <wp:cNvGraphicFramePr/>
                <a:graphic xmlns:a="http://schemas.openxmlformats.org/drawingml/2006/main">
                  <a:graphicData uri="http://schemas.microsoft.com/office/word/2010/wordprocessingShape">
                    <wps:wsp>
                      <wps:cNvSpPr/>
                      <wps:spPr>
                        <a:xfrm>
                          <a:off x="3123611" y="3573266"/>
                          <a:ext cx="4444779" cy="413468"/>
                        </a:xfrm>
                        <a:prstGeom prst="rect">
                          <a:avLst/>
                        </a:prstGeom>
                        <a:noFill/>
                        <a:ln w="38100" cap="flat" cmpd="sng">
                          <a:solidFill>
                            <a:srgbClr val="C00000"/>
                          </a:solidFill>
                          <a:prstDash val="solid"/>
                          <a:miter lim="800000"/>
                          <a:headEnd type="none" w="sm" len="sm"/>
                          <a:tailEnd type="none" w="sm" len="sm"/>
                        </a:ln>
                      </wps:spPr>
                      <wps:txbx>
                        <w:txbxContent>
                          <w:p w14:paraId="5E9D7CA3" w14:textId="77777777" w:rsidR="00CA7BF7" w:rsidRDefault="00CA7BF7">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558800</wp:posOffset>
                </wp:positionH>
                <wp:positionV relativeFrom="paragraph">
                  <wp:posOffset>4267200</wp:posOffset>
                </wp:positionV>
                <wp:extent cx="4482879" cy="451568"/>
                <wp:effectExtent b="0" l="0" r="0" t="0"/>
                <wp:wrapNone/>
                <wp:docPr id="2140131839"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4482879" cy="451568"/>
                        </a:xfrm>
                        <a:prstGeom prst="rect"/>
                        <a:ln/>
                      </pic:spPr>
                    </pic:pic>
                  </a:graphicData>
                </a:graphic>
              </wp:anchor>
            </w:drawing>
          </mc:Fallback>
        </mc:AlternateContent>
      </w:r>
    </w:p>
    <w:p w14:paraId="7941723B" w14:textId="77777777" w:rsidR="00CA7BF7" w:rsidRPr="00A15BFF" w:rsidRDefault="00EA6A07">
      <w:pPr>
        <w:spacing w:before="240" w:after="240" w:line="360" w:lineRule="auto"/>
        <w:jc w:val="center"/>
        <w:rPr>
          <w:rFonts w:ascii="Palatino Linotype" w:eastAsia="Palatino Linotype" w:hAnsi="Palatino Linotype" w:cs="Palatino Linotype"/>
        </w:rPr>
      </w:pPr>
      <w:r w:rsidRPr="00A15BFF">
        <w:rPr>
          <w:rFonts w:ascii="Palatino Linotype" w:eastAsia="Palatino Linotype" w:hAnsi="Palatino Linotype" w:cs="Palatino Linotype"/>
          <w:noProof/>
        </w:rPr>
        <w:drawing>
          <wp:inline distT="0" distB="0" distL="0" distR="0" wp14:anchorId="7378E7C9" wp14:editId="00610AE7">
            <wp:extent cx="4500000" cy="2839326"/>
            <wp:effectExtent l="0" t="0" r="0" b="0"/>
            <wp:docPr id="21401318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b="18245"/>
                    <a:stretch>
                      <a:fillRect/>
                    </a:stretch>
                  </pic:blipFill>
                  <pic:spPr>
                    <a:xfrm>
                      <a:off x="0" y="0"/>
                      <a:ext cx="4500000" cy="2839326"/>
                    </a:xfrm>
                    <a:prstGeom prst="rect">
                      <a:avLst/>
                    </a:prstGeom>
                    <a:ln/>
                  </pic:spPr>
                </pic:pic>
              </a:graphicData>
            </a:graphic>
          </wp:inline>
        </w:drawing>
      </w:r>
    </w:p>
    <w:p w14:paraId="5EC83C17" w14:textId="77777777" w:rsidR="00CA7BF7" w:rsidRPr="00A15BFF" w:rsidRDefault="00EA6A07">
      <w:pPr>
        <w:spacing w:before="240" w:after="240" w:line="360" w:lineRule="auto"/>
        <w:jc w:val="both"/>
      </w:pPr>
      <w:r w:rsidRPr="00A15BFF">
        <w:t xml:space="preserve"> </w:t>
      </w:r>
      <w:r w:rsidRPr="00A15BFF">
        <w:rPr>
          <w:rFonts w:ascii="Palatino Linotype" w:eastAsia="Palatino Linotype" w:hAnsi="Palatino Linotype" w:cs="Palatino Linotype"/>
        </w:rPr>
        <w:t xml:space="preserve">La finalidad de la conciliación de nómina consiste en presentar el concentrado mensual, de manera quincenal, de las cifras derivadas de todas las erogaciones realizadas por concepto de remuneraciones al trabajo, registradas en la nómina; las </w:t>
      </w:r>
      <w:r w:rsidRPr="00A15BFF">
        <w:rPr>
          <w:rFonts w:ascii="Palatino Linotype" w:eastAsia="Palatino Linotype" w:hAnsi="Palatino Linotype" w:cs="Palatino Linotype"/>
        </w:rPr>
        <w:lastRenderedPageBreak/>
        <w:t>cuales deben de coincidir con las contenidas en los registros contables, por concepto de remuneraciones al trabajo personal.</w:t>
      </w:r>
    </w:p>
    <w:p w14:paraId="42B62588" w14:textId="77777777" w:rsidR="00CA7BF7" w:rsidRPr="00A15BFF" w:rsidRDefault="00EA6A07">
      <w:pPr>
        <w:spacing w:before="240" w:after="240" w:line="360" w:lineRule="auto"/>
        <w:ind w:right="49"/>
        <w:jc w:val="both"/>
        <w:rPr>
          <w:rFonts w:ascii="Palatino Linotype" w:eastAsia="Palatino Linotype" w:hAnsi="Palatino Linotype" w:cs="Palatino Linotype"/>
        </w:rPr>
      </w:pPr>
      <w:r w:rsidRPr="00A15BFF">
        <w:rPr>
          <w:rFonts w:ascii="Palatino Linotype" w:eastAsia="Palatino Linotype" w:hAnsi="Palatino Linotype" w:cs="Palatino Linotype"/>
        </w:rPr>
        <w:t>Y, debe presentarse a través de los formatos XLSX y TXT, siendo el primero el siguiente:</w:t>
      </w:r>
    </w:p>
    <w:p w14:paraId="60CAB0D0" w14:textId="77777777" w:rsidR="00CA7BF7" w:rsidRPr="00A15BFF" w:rsidRDefault="00CA7BF7">
      <w:pPr>
        <w:ind w:right="51"/>
        <w:jc w:val="center"/>
        <w:rPr>
          <w:rFonts w:ascii="Palatino Linotype" w:eastAsia="Palatino Linotype" w:hAnsi="Palatino Linotype" w:cs="Palatino Linotype"/>
        </w:rPr>
      </w:pPr>
    </w:p>
    <w:p w14:paraId="5AEE16AB" w14:textId="77777777" w:rsidR="00CA7BF7" w:rsidRPr="00A15BFF" w:rsidRDefault="00EA6A07">
      <w:pPr>
        <w:ind w:right="51"/>
        <w:jc w:val="center"/>
        <w:rPr>
          <w:rFonts w:ascii="Palatino Linotype" w:eastAsia="Palatino Linotype" w:hAnsi="Palatino Linotype" w:cs="Palatino Linotype"/>
        </w:rPr>
      </w:pPr>
      <w:r w:rsidRPr="00A15BFF">
        <w:rPr>
          <w:noProof/>
        </w:rPr>
        <w:drawing>
          <wp:inline distT="0" distB="0" distL="0" distR="0" wp14:anchorId="25EBDD38" wp14:editId="649261A5">
            <wp:extent cx="4733925" cy="5477757"/>
            <wp:effectExtent l="0" t="0" r="0" b="0"/>
            <wp:docPr id="21401318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t="-1" b="-191"/>
                    <a:stretch>
                      <a:fillRect/>
                    </a:stretch>
                  </pic:blipFill>
                  <pic:spPr>
                    <a:xfrm>
                      <a:off x="0" y="0"/>
                      <a:ext cx="4733925" cy="5477757"/>
                    </a:xfrm>
                    <a:prstGeom prst="rect">
                      <a:avLst/>
                    </a:prstGeom>
                    <a:ln/>
                  </pic:spPr>
                </pic:pic>
              </a:graphicData>
            </a:graphic>
          </wp:inline>
        </w:drawing>
      </w:r>
    </w:p>
    <w:p w14:paraId="7AE888AA" w14:textId="77777777" w:rsidR="00CA7BF7" w:rsidRPr="00A15BFF" w:rsidRDefault="00CA7BF7">
      <w:pPr>
        <w:ind w:right="51"/>
        <w:jc w:val="center"/>
        <w:rPr>
          <w:rFonts w:ascii="Palatino Linotype" w:eastAsia="Palatino Linotype" w:hAnsi="Palatino Linotype" w:cs="Palatino Linotype"/>
        </w:rPr>
      </w:pPr>
    </w:p>
    <w:p w14:paraId="45CFED33" w14:textId="77777777" w:rsidR="00CA7BF7" w:rsidRPr="00A15BFF" w:rsidRDefault="00EA6A07">
      <w:pPr>
        <w:spacing w:before="240" w:line="360" w:lineRule="auto"/>
        <w:ind w:right="49"/>
        <w:jc w:val="both"/>
        <w:rPr>
          <w:rFonts w:ascii="Palatino Linotype" w:eastAsia="Palatino Linotype" w:hAnsi="Palatino Linotype" w:cs="Palatino Linotype"/>
        </w:rPr>
      </w:pPr>
      <w:r w:rsidRPr="00A15BFF">
        <w:rPr>
          <w:rFonts w:ascii="Palatino Linotype" w:eastAsia="Palatino Linotype" w:hAnsi="Palatino Linotype" w:cs="Palatino Linotype"/>
        </w:rPr>
        <w:lastRenderedPageBreak/>
        <w:t>Para el llenado de dicho formato se deben observar las siguientes consideraciones:</w:t>
      </w:r>
    </w:p>
    <w:p w14:paraId="54CB98B7" w14:textId="77777777" w:rsidR="00CA7BF7" w:rsidRPr="00A15BFF" w:rsidRDefault="00EA6A07">
      <w:pPr>
        <w:spacing w:before="240" w:line="360" w:lineRule="auto"/>
        <w:ind w:right="49"/>
        <w:jc w:val="center"/>
        <w:rPr>
          <w:rFonts w:ascii="Palatino Linotype" w:eastAsia="Palatino Linotype" w:hAnsi="Palatino Linotype" w:cs="Palatino Linotype"/>
        </w:rPr>
      </w:pPr>
      <w:r w:rsidRPr="00A15BFF">
        <w:rPr>
          <w:noProof/>
        </w:rPr>
        <w:drawing>
          <wp:inline distT="0" distB="0" distL="0" distR="0" wp14:anchorId="5EB8D6EC" wp14:editId="741A0FB8">
            <wp:extent cx="4644000" cy="1276864"/>
            <wp:effectExtent l="0" t="0" r="0" b="0"/>
            <wp:docPr id="21401318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644000" cy="1276864"/>
                    </a:xfrm>
                    <a:prstGeom prst="rect">
                      <a:avLst/>
                    </a:prstGeom>
                    <a:ln/>
                  </pic:spPr>
                </pic:pic>
              </a:graphicData>
            </a:graphic>
          </wp:inline>
        </w:drawing>
      </w:r>
      <w:r w:rsidRPr="00A15BFF">
        <w:rPr>
          <w:noProof/>
        </w:rPr>
        <w:drawing>
          <wp:inline distT="0" distB="0" distL="0" distR="0" wp14:anchorId="26DA0CF1" wp14:editId="162F4036">
            <wp:extent cx="4642622" cy="4868323"/>
            <wp:effectExtent l="0" t="0" r="0" b="0"/>
            <wp:docPr id="21401318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b="207"/>
                    <a:stretch>
                      <a:fillRect/>
                    </a:stretch>
                  </pic:blipFill>
                  <pic:spPr>
                    <a:xfrm>
                      <a:off x="0" y="0"/>
                      <a:ext cx="4642622" cy="4868323"/>
                    </a:xfrm>
                    <a:prstGeom prst="rect">
                      <a:avLst/>
                    </a:prstGeom>
                    <a:ln/>
                  </pic:spPr>
                </pic:pic>
              </a:graphicData>
            </a:graphic>
          </wp:inline>
        </w:drawing>
      </w:r>
    </w:p>
    <w:p w14:paraId="21AE807F"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Como se logra vislumbrar, el formato de conciliación de nómina que es remitido por los entes fiscalizables municipales al Órgano Superior de Fiscalización del Estado de </w:t>
      </w:r>
      <w:r w:rsidRPr="00A15BFF">
        <w:rPr>
          <w:rFonts w:ascii="Palatino Linotype" w:eastAsia="Palatino Linotype" w:hAnsi="Palatino Linotype" w:cs="Palatino Linotype"/>
        </w:rPr>
        <w:lastRenderedPageBreak/>
        <w:t xml:space="preserve">México, como parte de los informes trimestrales para dar cumplimiento a sus obligaciones fiscales, contiene los rubros: Número Progresivo, Número de quincena, Número de empleado, R.F.C, CURP, Número de seguridad social (ISSEMYM), </w:t>
      </w:r>
      <w:r w:rsidRPr="00A15BFF">
        <w:rPr>
          <w:rFonts w:ascii="Palatino Linotype" w:eastAsia="Palatino Linotype" w:hAnsi="Palatino Linotype" w:cs="Palatino Linotype"/>
          <w:b/>
        </w:rPr>
        <w:t>Nombre completo</w:t>
      </w:r>
      <w:r w:rsidRPr="00A15BFF">
        <w:rPr>
          <w:rFonts w:ascii="Palatino Linotype" w:eastAsia="Palatino Linotype" w:hAnsi="Palatino Linotype" w:cs="Palatino Linotype"/>
        </w:rPr>
        <w:t xml:space="preserve">: Apellido Paterno, Apellido Materno, Nombre (s), Fecha de alta, Fecha de baja, </w:t>
      </w:r>
      <w:r w:rsidRPr="00A15BFF">
        <w:rPr>
          <w:rFonts w:ascii="Palatino Linotype" w:eastAsia="Palatino Linotype" w:hAnsi="Palatino Linotype" w:cs="Palatino Linotype"/>
          <w:b/>
        </w:rPr>
        <w:t>Puesto funcional</w:t>
      </w:r>
      <w:r w:rsidRPr="00A15BFF">
        <w:rPr>
          <w:rFonts w:ascii="Palatino Linotype" w:eastAsia="Palatino Linotype" w:hAnsi="Palatino Linotype" w:cs="Palatino Linotype"/>
        </w:rPr>
        <w:t xml:space="preserve">, Nivel y/o rango, No. de horas laboradas, </w:t>
      </w:r>
      <w:r w:rsidRPr="00A15BFF">
        <w:rPr>
          <w:rFonts w:ascii="Palatino Linotype" w:eastAsia="Palatino Linotype" w:hAnsi="Palatino Linotype" w:cs="Palatino Linotype"/>
          <w:b/>
        </w:rPr>
        <w:t>Adscripción,</w:t>
      </w:r>
      <w:r w:rsidRPr="00A15BFF">
        <w:rPr>
          <w:rFonts w:ascii="Palatino Linotype" w:eastAsia="Palatino Linotype" w:hAnsi="Palatino Linotype" w:cs="Palatino Linotype"/>
        </w:rPr>
        <w:t xml:space="preserve"> </w:t>
      </w:r>
      <w:r w:rsidRPr="00A15BFF">
        <w:rPr>
          <w:rFonts w:ascii="Palatino Linotype" w:eastAsia="Palatino Linotype" w:hAnsi="Palatino Linotype" w:cs="Palatino Linotype"/>
          <w:b/>
        </w:rPr>
        <w:t>Categoría: Confianza, Sindicalizado o Eventual</w:t>
      </w:r>
      <w:r w:rsidRPr="00A15BFF">
        <w:rPr>
          <w:rFonts w:ascii="Palatino Linotype" w:eastAsia="Palatino Linotype" w:hAnsi="Palatino Linotype" w:cs="Palatino Linotype"/>
        </w:rPr>
        <w:t xml:space="preserve">; </w:t>
      </w:r>
      <w:r w:rsidRPr="00A15BFF">
        <w:rPr>
          <w:rFonts w:ascii="Palatino Linotype" w:eastAsia="Palatino Linotype" w:hAnsi="Palatino Linotype" w:cs="Palatino Linotype"/>
          <w:b/>
        </w:rPr>
        <w:t>Percepciones ordinarias</w:t>
      </w:r>
      <w:r w:rsidRPr="00A15BFF">
        <w:rPr>
          <w:rFonts w:ascii="Palatino Linotype" w:eastAsia="Palatino Linotype" w:hAnsi="Palatino Linotype" w:cs="Palatino Linotype"/>
        </w:rPr>
        <w:t xml:space="preserve"> (de acuerdo al tabulador), </w:t>
      </w:r>
      <w:r w:rsidRPr="00A15BFF">
        <w:rPr>
          <w:rFonts w:ascii="Palatino Linotype" w:eastAsia="Palatino Linotype" w:hAnsi="Palatino Linotype" w:cs="Palatino Linotype"/>
          <w:b/>
        </w:rPr>
        <w:t>Percepciones extraordinarias</w:t>
      </w:r>
      <w:r w:rsidRPr="00A15BFF">
        <w:rPr>
          <w:rFonts w:ascii="Palatino Linotype" w:eastAsia="Palatino Linotype" w:hAnsi="Palatino Linotype" w:cs="Palatino Linotype"/>
        </w:rPr>
        <w:t xml:space="preserve">, </w:t>
      </w:r>
      <w:r w:rsidRPr="00A15BFF">
        <w:rPr>
          <w:rFonts w:ascii="Palatino Linotype" w:eastAsia="Palatino Linotype" w:hAnsi="Palatino Linotype" w:cs="Palatino Linotype"/>
          <w:b/>
        </w:rPr>
        <w:t>Total de percepciones brutas; Deducciones; Total de deducciones, Total neto</w:t>
      </w:r>
      <w:r w:rsidRPr="00A15BFF">
        <w:rPr>
          <w:rFonts w:ascii="Palatino Linotype" w:eastAsia="Palatino Linotype" w:hAnsi="Palatino Linotype" w:cs="Palatino Linotype"/>
        </w:rPr>
        <w:t>, Días pagados, Nombre de la fuente de financiamiento, Póliza, y Medio de pago.</w:t>
      </w:r>
    </w:p>
    <w:p w14:paraId="3E843DB6"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Atento a lo anterior se arriba a la conclusión de que la información proporcionada por el servidor público habilitado de la Tesorería Municipal no colma el requerimiento de información formulado por la parte </w:t>
      </w:r>
      <w:r w:rsidRPr="00A15BFF">
        <w:rPr>
          <w:rFonts w:ascii="Palatino Linotype" w:eastAsia="Palatino Linotype" w:hAnsi="Palatino Linotype" w:cs="Palatino Linotype"/>
          <w:b/>
        </w:rPr>
        <w:t>Recurrente</w:t>
      </w:r>
      <w:r w:rsidRPr="00A15BFF">
        <w:rPr>
          <w:rFonts w:ascii="Palatino Linotype" w:eastAsia="Palatino Linotype" w:hAnsi="Palatino Linotype" w:cs="Palatino Linotype"/>
        </w:rPr>
        <w:t xml:space="preserve">, dado que el documento mediante el cual pretendió atender la solicitud se entregó de forma ilegible, además de no dar cuenta del personal que corresponde a las categorías referidas en la </w:t>
      </w:r>
      <w:proofErr w:type="gramStart"/>
      <w:r w:rsidRPr="00A15BFF">
        <w:rPr>
          <w:rFonts w:ascii="Palatino Linotype" w:eastAsia="Palatino Linotype" w:hAnsi="Palatino Linotype" w:cs="Palatino Linotype"/>
        </w:rPr>
        <w:t>solicitud</w:t>
      </w:r>
      <w:proofErr w:type="gramEnd"/>
      <w:r w:rsidRPr="00A15BFF">
        <w:rPr>
          <w:rFonts w:ascii="Palatino Linotype" w:eastAsia="Palatino Linotype" w:hAnsi="Palatino Linotype" w:cs="Palatino Linotype"/>
        </w:rPr>
        <w:t xml:space="preserve"> así como tampoco del sueldo bruto y neto correspondiente.</w:t>
      </w:r>
    </w:p>
    <w:p w14:paraId="72404415"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Por consiguiente, a fin de garantizar el Derecho de acceso de la parte </w:t>
      </w:r>
      <w:r w:rsidRPr="00A15BFF">
        <w:rPr>
          <w:rFonts w:ascii="Palatino Linotype" w:eastAsia="Palatino Linotype" w:hAnsi="Palatino Linotype" w:cs="Palatino Linotype"/>
          <w:b/>
        </w:rPr>
        <w:t xml:space="preserve">Recurrente, </w:t>
      </w:r>
      <w:r w:rsidRPr="00A15BFF">
        <w:rPr>
          <w:rFonts w:ascii="Palatino Linotype" w:eastAsia="Palatino Linotype" w:hAnsi="Palatino Linotype" w:cs="Palatino Linotype"/>
        </w:rPr>
        <w:t xml:space="preserve">el </w:t>
      </w:r>
      <w:r w:rsidRPr="00A15BFF">
        <w:rPr>
          <w:rFonts w:ascii="Palatino Linotype" w:eastAsia="Palatino Linotype" w:hAnsi="Palatino Linotype" w:cs="Palatino Linotype"/>
          <w:b/>
        </w:rPr>
        <w:t xml:space="preserve">Sujeto Obligado </w:t>
      </w:r>
      <w:r w:rsidRPr="00A15BFF">
        <w:rPr>
          <w:rFonts w:ascii="Palatino Linotype" w:eastAsia="Palatino Linotype" w:hAnsi="Palatino Linotype" w:cs="Palatino Linotype"/>
        </w:rPr>
        <w:t>deberá hacer entrega del soporte documental que dé cuenta de la nómina de la primera quincena de febrero de dos mil veinticinco, de los servidores públicos de confianza, asimilados a salarios y sindicalizados, siendo este la conciliación de la nómina que debe entregar al Órgano Superior de Fiscalización del Estado de México en cumplimiento a sus obligaciones fiscales, el cual deberá ser proporcionado en versión pública de conformidad con el considerando siguiente.</w:t>
      </w:r>
    </w:p>
    <w:p w14:paraId="2680D915" w14:textId="77777777" w:rsidR="00CA7BF7" w:rsidRPr="00A15BFF" w:rsidRDefault="00CA7BF7">
      <w:pPr>
        <w:spacing w:before="240" w:after="240" w:line="360" w:lineRule="auto"/>
        <w:jc w:val="both"/>
        <w:rPr>
          <w:rFonts w:ascii="Palatino Linotype" w:eastAsia="Palatino Linotype" w:hAnsi="Palatino Linotype" w:cs="Palatino Linotype"/>
        </w:rPr>
      </w:pPr>
    </w:p>
    <w:p w14:paraId="3814D36B"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lastRenderedPageBreak/>
        <w:t xml:space="preserve">De lo hasta aquí expuesto, se concluye que los motivos de inconformidad de la parte </w:t>
      </w:r>
      <w:r w:rsidRPr="00A15BFF">
        <w:rPr>
          <w:rFonts w:ascii="Palatino Linotype" w:eastAsia="Palatino Linotype" w:hAnsi="Palatino Linotype" w:cs="Palatino Linotype"/>
          <w:b/>
        </w:rPr>
        <w:t xml:space="preserve">Recurrente </w:t>
      </w:r>
      <w:r w:rsidRPr="00A15BFF">
        <w:rPr>
          <w:rFonts w:ascii="Palatino Linotype" w:eastAsia="Palatino Linotype" w:hAnsi="Palatino Linotype" w:cs="Palatino Linotype"/>
        </w:rPr>
        <w:t xml:space="preserve">devienen fundados, siendo procedente </w:t>
      </w:r>
      <w:r w:rsidRPr="00A15BFF">
        <w:rPr>
          <w:rFonts w:ascii="Palatino Linotype" w:eastAsia="Palatino Linotype" w:hAnsi="Palatino Linotype" w:cs="Palatino Linotype"/>
          <w:i/>
        </w:rPr>
        <w:t xml:space="preserve">Revocar </w:t>
      </w:r>
      <w:r w:rsidRPr="00A15BFF">
        <w:rPr>
          <w:rFonts w:ascii="Palatino Linotype" w:eastAsia="Palatino Linotype" w:hAnsi="Palatino Linotype" w:cs="Palatino Linotype"/>
        </w:rPr>
        <w:t xml:space="preserve">la respuesta proporcionada por el </w:t>
      </w:r>
      <w:r w:rsidRPr="00A15BFF">
        <w:rPr>
          <w:rFonts w:ascii="Palatino Linotype" w:eastAsia="Palatino Linotype" w:hAnsi="Palatino Linotype" w:cs="Palatino Linotype"/>
          <w:b/>
        </w:rPr>
        <w:t xml:space="preserve">Sujeto Obligado </w:t>
      </w:r>
      <w:r w:rsidRPr="00A15BFF">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11FF9314" w14:textId="77777777" w:rsidR="00CA7BF7" w:rsidRPr="00A15BFF" w:rsidRDefault="00EA6A07">
      <w:pPr>
        <w:spacing w:before="240" w:after="240" w:line="360" w:lineRule="auto"/>
        <w:ind w:right="51"/>
        <w:jc w:val="both"/>
        <w:rPr>
          <w:rFonts w:ascii="Palatino Linotype" w:eastAsia="Palatino Linotype" w:hAnsi="Palatino Linotype" w:cs="Palatino Linotype"/>
        </w:rPr>
      </w:pPr>
      <w:r w:rsidRPr="00A15BFF">
        <w:rPr>
          <w:rFonts w:ascii="Palatino Linotype" w:eastAsia="Palatino Linotype" w:hAnsi="Palatino Linotype" w:cs="Palatino Linotype"/>
          <w:b/>
        </w:rPr>
        <w:t xml:space="preserve">Quinto. Versión Pública. </w:t>
      </w:r>
      <w:r w:rsidRPr="00A15BFF">
        <w:rPr>
          <w:rFonts w:ascii="Palatino Linotype" w:eastAsia="Palatino Linotype" w:hAnsi="Palatino Linotype" w:cs="Palatino Linotype"/>
        </w:rPr>
        <w:t>Como fue debidamente apuntado, el </w:t>
      </w:r>
      <w:r w:rsidRPr="00A15BFF">
        <w:rPr>
          <w:rFonts w:ascii="Palatino Linotype" w:eastAsia="Palatino Linotype" w:hAnsi="Palatino Linotype" w:cs="Palatino Linotype"/>
          <w:b/>
        </w:rPr>
        <w:t>Sujeto Obligado</w:t>
      </w:r>
      <w:r w:rsidRPr="00A15BFF">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14BA2CA0" w14:textId="77777777" w:rsidR="00CA7BF7" w:rsidRPr="00A15BFF" w:rsidRDefault="00EA6A07">
      <w:pPr>
        <w:spacing w:before="240" w:after="240" w:line="360" w:lineRule="auto"/>
        <w:ind w:right="49"/>
        <w:jc w:val="both"/>
        <w:rPr>
          <w:rFonts w:ascii="Palatino Linotype" w:eastAsia="Palatino Linotype" w:hAnsi="Palatino Linotype" w:cs="Palatino Linotype"/>
        </w:rPr>
      </w:pPr>
      <w:r w:rsidRPr="00A15BFF">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454EBF1B" w14:textId="77777777" w:rsidR="00CA7BF7" w:rsidRPr="00A15BFF" w:rsidRDefault="00EA6A07">
      <w:pPr>
        <w:spacing w:before="240" w:after="240" w:line="360" w:lineRule="auto"/>
        <w:ind w:right="49"/>
        <w:jc w:val="both"/>
        <w:rPr>
          <w:rFonts w:ascii="Palatino Linotype" w:eastAsia="Palatino Linotype" w:hAnsi="Palatino Linotype" w:cs="Palatino Linotype"/>
        </w:rPr>
      </w:pPr>
      <w:r w:rsidRPr="00A15BFF">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7906457F" w14:textId="77777777" w:rsidR="00CA7BF7" w:rsidRPr="00A15BFF" w:rsidRDefault="00EA6A07">
      <w:pPr>
        <w:spacing w:before="240" w:after="240" w:line="360" w:lineRule="auto"/>
        <w:ind w:right="49"/>
        <w:jc w:val="both"/>
        <w:rPr>
          <w:rFonts w:ascii="Palatino Linotype" w:eastAsia="Palatino Linotype" w:hAnsi="Palatino Linotype" w:cs="Palatino Linotype"/>
        </w:rPr>
      </w:pPr>
      <w:r w:rsidRPr="00A15BFF">
        <w:rPr>
          <w:rFonts w:ascii="Palatino Linotype" w:eastAsia="Palatino Linotype" w:hAnsi="Palatino Linotype" w:cs="Palatino Linotype"/>
        </w:rPr>
        <w:lastRenderedPageBreak/>
        <w:t>Al respecto, los artículos 3, fracciones IX, XX, XXI, XXXII, XLV; 6, 91, 132, 137, 143, fracción I, de la Ley de Transparencia y Acceso a la Información Pública del Estado de México y Municipios vigente establecen:</w:t>
      </w:r>
    </w:p>
    <w:p w14:paraId="00A51F6A" w14:textId="77777777" w:rsidR="00CA7BF7" w:rsidRPr="00A15BFF" w:rsidRDefault="00EA6A07">
      <w:pP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rPr>
        <w:t> </w:t>
      </w:r>
      <w:r w:rsidRPr="00A15BFF">
        <w:rPr>
          <w:rFonts w:ascii="Palatino Linotype" w:eastAsia="Palatino Linotype" w:hAnsi="Palatino Linotype" w:cs="Palatino Linotype"/>
          <w:i/>
          <w:sz w:val="22"/>
          <w:szCs w:val="22"/>
        </w:rPr>
        <w:t>“</w:t>
      </w:r>
      <w:r w:rsidRPr="00A15BFF">
        <w:rPr>
          <w:rFonts w:ascii="Palatino Linotype" w:eastAsia="Palatino Linotype" w:hAnsi="Palatino Linotype" w:cs="Palatino Linotype"/>
          <w:b/>
          <w:i/>
          <w:sz w:val="22"/>
          <w:szCs w:val="22"/>
        </w:rPr>
        <w:t>Artículo 3.</w:t>
      </w:r>
      <w:r w:rsidRPr="00A15BFF">
        <w:rPr>
          <w:rFonts w:ascii="Palatino Linotype" w:eastAsia="Palatino Linotype" w:hAnsi="Palatino Linotype" w:cs="Palatino Linotype"/>
          <w:i/>
          <w:sz w:val="22"/>
          <w:szCs w:val="22"/>
        </w:rPr>
        <w:t xml:space="preserve"> Para los efectos de la presente Ley se entenderá por:</w:t>
      </w:r>
    </w:p>
    <w:p w14:paraId="59B2C5CD" w14:textId="77777777" w:rsidR="00CA7BF7" w:rsidRPr="00A15BFF" w:rsidRDefault="00EA6A07">
      <w:pPr>
        <w:tabs>
          <w:tab w:val="left" w:pos="1276"/>
        </w:tabs>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i/>
          <w:sz w:val="22"/>
          <w:szCs w:val="22"/>
        </w:rPr>
        <w:t>…</w:t>
      </w:r>
    </w:p>
    <w:p w14:paraId="3A5B2E54" w14:textId="77777777" w:rsidR="00CA7BF7" w:rsidRPr="00A15BFF" w:rsidRDefault="00EA6A07">
      <w:pPr>
        <w:tabs>
          <w:tab w:val="left" w:pos="1276"/>
        </w:tabs>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IX. Datos personales</w:t>
      </w:r>
      <w:r w:rsidRPr="00A15BFF">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570D1E30" w14:textId="77777777" w:rsidR="00CA7BF7" w:rsidRPr="00A15BFF" w:rsidRDefault="00EA6A07">
      <w:pPr>
        <w:tabs>
          <w:tab w:val="left" w:pos="1276"/>
        </w:tabs>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i/>
          <w:sz w:val="22"/>
          <w:szCs w:val="22"/>
        </w:rPr>
        <w:t>…</w:t>
      </w:r>
    </w:p>
    <w:p w14:paraId="2D4BF0D4" w14:textId="77777777" w:rsidR="00CA7BF7" w:rsidRPr="00A15BFF" w:rsidRDefault="00EA6A07">
      <w:pPr>
        <w:tabs>
          <w:tab w:val="left" w:pos="1276"/>
        </w:tabs>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XX. Información clasificada</w:t>
      </w:r>
      <w:r w:rsidRPr="00A15BFF">
        <w:rPr>
          <w:rFonts w:ascii="Palatino Linotype" w:eastAsia="Palatino Linotype" w:hAnsi="Palatino Linotype" w:cs="Palatino Linotype"/>
          <w:i/>
          <w:sz w:val="22"/>
          <w:szCs w:val="22"/>
        </w:rPr>
        <w:t>: Aquella considerada por la presente Ley como reservada o confidencial;</w:t>
      </w:r>
    </w:p>
    <w:p w14:paraId="5562C33D" w14:textId="77777777" w:rsidR="00CA7BF7" w:rsidRPr="00A15BFF" w:rsidRDefault="00EA6A07">
      <w:pPr>
        <w:tabs>
          <w:tab w:val="left" w:pos="1276"/>
        </w:tabs>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XXI. Información confidencial</w:t>
      </w:r>
      <w:r w:rsidRPr="00A15BFF">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8E8ED47" w14:textId="77777777" w:rsidR="00CA7BF7" w:rsidRPr="00A15BFF" w:rsidRDefault="00EA6A07">
      <w:pPr>
        <w:tabs>
          <w:tab w:val="left" w:pos="1276"/>
        </w:tabs>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i/>
          <w:sz w:val="22"/>
          <w:szCs w:val="22"/>
        </w:rPr>
        <w:t>…</w:t>
      </w:r>
    </w:p>
    <w:p w14:paraId="2AE388C6" w14:textId="77777777" w:rsidR="00CA7BF7" w:rsidRPr="00A15BFF" w:rsidRDefault="00EA6A07">
      <w:pPr>
        <w:tabs>
          <w:tab w:val="left" w:pos="1276"/>
        </w:tabs>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XXXII. Protección de Datos Personales</w:t>
      </w:r>
      <w:r w:rsidRPr="00A15BFF">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7602CE72" w14:textId="77777777" w:rsidR="00CA7BF7" w:rsidRPr="00A15BFF" w:rsidRDefault="00EA6A07">
      <w:pPr>
        <w:tabs>
          <w:tab w:val="left" w:pos="1276"/>
        </w:tabs>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i/>
          <w:sz w:val="22"/>
          <w:szCs w:val="22"/>
        </w:rPr>
        <w:t>…</w:t>
      </w:r>
    </w:p>
    <w:p w14:paraId="64B6E64B" w14:textId="77777777" w:rsidR="00CA7BF7" w:rsidRPr="00A15BFF" w:rsidRDefault="00EA6A07">
      <w:pPr>
        <w:tabs>
          <w:tab w:val="left" w:pos="1276"/>
        </w:tabs>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XLV. Versión pública</w:t>
      </w:r>
      <w:r w:rsidRPr="00A15BFF">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57ADC740" w14:textId="77777777" w:rsidR="00CA7BF7" w:rsidRPr="00A15BFF" w:rsidRDefault="00EA6A07">
      <w:pP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 Artículo 6</w:t>
      </w:r>
      <w:r w:rsidRPr="00A15BFF">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0C1D3B1" w14:textId="77777777" w:rsidR="00CA7BF7" w:rsidRPr="00A15BFF" w:rsidRDefault="00EA6A07">
      <w:pP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i/>
          <w:sz w:val="22"/>
          <w:szCs w:val="22"/>
        </w:rPr>
        <w:t>…</w:t>
      </w:r>
    </w:p>
    <w:p w14:paraId="66E3074A" w14:textId="77777777" w:rsidR="00CA7BF7" w:rsidRPr="00A15BFF" w:rsidRDefault="00EA6A07">
      <w:pP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lastRenderedPageBreak/>
        <w:t>Artículo 91.</w:t>
      </w:r>
      <w:r w:rsidRPr="00A15BFF">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A15BFF">
        <w:rPr>
          <w:rFonts w:ascii="Palatino Linotype" w:eastAsia="Palatino Linotype" w:hAnsi="Palatino Linotype" w:cs="Palatino Linotype"/>
          <w:i/>
          <w:sz w:val="22"/>
          <w:szCs w:val="22"/>
        </w:rPr>
        <w:br/>
        <w:t>…</w:t>
      </w:r>
    </w:p>
    <w:p w14:paraId="2E9B817E" w14:textId="77777777" w:rsidR="00CA7BF7" w:rsidRPr="00A15BFF" w:rsidRDefault="00EA6A07">
      <w:pP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Artículo 132.</w:t>
      </w:r>
      <w:r w:rsidRPr="00A15BFF">
        <w:rPr>
          <w:rFonts w:ascii="Palatino Linotype" w:eastAsia="Palatino Linotype" w:hAnsi="Palatino Linotype" w:cs="Palatino Linotype"/>
          <w:i/>
          <w:sz w:val="22"/>
          <w:szCs w:val="22"/>
        </w:rPr>
        <w:t xml:space="preserve"> La clasificación de la información se llevará a cabo en el momento en que:</w:t>
      </w:r>
    </w:p>
    <w:p w14:paraId="1EC38FEC" w14:textId="77777777" w:rsidR="00CA7BF7" w:rsidRPr="00A15BFF" w:rsidRDefault="00EA6A07">
      <w:pPr>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I</w:t>
      </w:r>
      <w:r w:rsidRPr="00A15BFF">
        <w:rPr>
          <w:rFonts w:ascii="Palatino Linotype" w:eastAsia="Palatino Linotype" w:hAnsi="Palatino Linotype" w:cs="Palatino Linotype"/>
          <w:i/>
          <w:sz w:val="22"/>
          <w:szCs w:val="22"/>
        </w:rPr>
        <w:t>. Se reciba una solicitud de acceso a la información;</w:t>
      </w:r>
    </w:p>
    <w:p w14:paraId="4F751FB5" w14:textId="77777777" w:rsidR="00CA7BF7" w:rsidRPr="00A15BFF" w:rsidRDefault="00EA6A07">
      <w:pPr>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II.</w:t>
      </w:r>
      <w:r w:rsidRPr="00A15BFF">
        <w:rPr>
          <w:rFonts w:ascii="Palatino Linotype" w:eastAsia="Palatino Linotype" w:hAnsi="Palatino Linotype" w:cs="Palatino Linotype"/>
          <w:i/>
          <w:sz w:val="22"/>
          <w:szCs w:val="22"/>
        </w:rPr>
        <w:t xml:space="preserve"> Se determine mediante resolución de autoridad competente; o</w:t>
      </w:r>
    </w:p>
    <w:p w14:paraId="5B4E4DD3" w14:textId="77777777" w:rsidR="00CA7BF7" w:rsidRPr="00A15BFF" w:rsidRDefault="00EA6A07">
      <w:pPr>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III.</w:t>
      </w:r>
      <w:r w:rsidRPr="00A15BFF">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660C8725" w14:textId="77777777" w:rsidR="00CA7BF7" w:rsidRPr="00A15BFF" w:rsidRDefault="00EA6A07">
      <w:pP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w:t>
      </w:r>
    </w:p>
    <w:p w14:paraId="09A97B13" w14:textId="77777777" w:rsidR="00CA7BF7" w:rsidRPr="00A15BFF" w:rsidRDefault="00EA6A07">
      <w:pP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Artículo 137.</w:t>
      </w:r>
      <w:r w:rsidRPr="00A15BFF">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5E33935" w14:textId="77777777" w:rsidR="00CA7BF7" w:rsidRPr="00A15BFF" w:rsidRDefault="00EA6A07">
      <w:pP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 Artículo 143.</w:t>
      </w:r>
      <w:r w:rsidRPr="00A15BFF">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39166DA9" w14:textId="77777777" w:rsidR="00CA7BF7" w:rsidRPr="00A15BFF" w:rsidRDefault="00EA6A07">
      <w:pPr>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I.</w:t>
      </w:r>
      <w:r w:rsidRPr="00A15BFF">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2C79CA35" w14:textId="77777777" w:rsidR="00CA7BF7" w:rsidRPr="00A15BFF" w:rsidRDefault="00EA6A07">
      <w:pPr>
        <w:spacing w:before="240" w:after="240" w:line="360" w:lineRule="auto"/>
        <w:ind w:right="50"/>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A15BFF">
        <w:rPr>
          <w:rFonts w:ascii="Palatino Linotype" w:eastAsia="Palatino Linotype" w:hAnsi="Palatino Linotype" w:cs="Palatino Linotype"/>
          <w:b/>
        </w:rPr>
        <w:t>Sujeto Obligado</w:t>
      </w:r>
      <w:r w:rsidRPr="00A15BFF">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w:t>
      </w:r>
      <w:r w:rsidRPr="00A15BFF">
        <w:rPr>
          <w:rFonts w:ascii="Palatino Linotype" w:eastAsia="Palatino Linotype" w:hAnsi="Palatino Linotype" w:cs="Palatino Linotype"/>
        </w:rPr>
        <w:lastRenderedPageBreak/>
        <w:t>acuerdo a los que señala la fracción XII del artículo 4 de la Ley de Protección de Datos Personales en posesión de Sujeto Obligados del Estado de México.</w:t>
      </w:r>
    </w:p>
    <w:p w14:paraId="574F169D" w14:textId="77777777" w:rsidR="00CA7BF7" w:rsidRPr="00A15BFF" w:rsidRDefault="00EA6A07">
      <w:pPr>
        <w:spacing w:before="240" w:after="240" w:line="360" w:lineRule="auto"/>
        <w:ind w:right="50"/>
        <w:jc w:val="both"/>
        <w:rPr>
          <w:rFonts w:ascii="Palatino Linotype" w:eastAsia="Palatino Linotype" w:hAnsi="Palatino Linotype" w:cs="Palatino Linotype"/>
        </w:rPr>
      </w:pPr>
      <w:r w:rsidRPr="00A15BFF">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0236A31"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En el caso específico, la información que se ordena si bien tiene el carácter información pública en razón de que se trata de documentos que se encuentran en posesión del </w:t>
      </w:r>
      <w:r w:rsidRPr="00A15BFF">
        <w:rPr>
          <w:rFonts w:ascii="Palatino Linotype" w:eastAsia="Palatino Linotype" w:hAnsi="Palatino Linotype" w:cs="Palatino Linotype"/>
          <w:b/>
        </w:rPr>
        <w:t>Sujeto Obligado</w:t>
      </w:r>
      <w:r w:rsidRPr="00A15BFF">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A15BFF">
        <w:rPr>
          <w:rFonts w:ascii="Palatino Linotype" w:eastAsia="Palatino Linotype" w:hAnsi="Palatino Linotype" w:cs="Palatino Linotype"/>
          <w:b/>
        </w:rPr>
        <w:t>Registro Federal de Contribuyentes</w:t>
      </w:r>
      <w:r w:rsidRPr="00A15BFF">
        <w:rPr>
          <w:rFonts w:ascii="Palatino Linotype" w:eastAsia="Palatino Linotype" w:hAnsi="Palatino Linotype" w:cs="Palatino Linotype"/>
        </w:rPr>
        <w:t xml:space="preserve"> (RFC), la </w:t>
      </w:r>
      <w:r w:rsidRPr="00A15BFF">
        <w:rPr>
          <w:rFonts w:ascii="Palatino Linotype" w:eastAsia="Palatino Linotype" w:hAnsi="Palatino Linotype" w:cs="Palatino Linotype"/>
          <w:b/>
        </w:rPr>
        <w:t>Clave Única de Registro de Población</w:t>
      </w:r>
      <w:r w:rsidRPr="00A15BFF">
        <w:rPr>
          <w:rFonts w:ascii="Palatino Linotype" w:eastAsia="Palatino Linotype" w:hAnsi="Palatino Linotype" w:cs="Palatino Linotype"/>
        </w:rPr>
        <w:t xml:space="preserve"> (CURP), la </w:t>
      </w:r>
      <w:r w:rsidRPr="00A15BFF">
        <w:rPr>
          <w:rFonts w:ascii="Palatino Linotype" w:eastAsia="Palatino Linotype" w:hAnsi="Palatino Linotype" w:cs="Palatino Linotype"/>
          <w:b/>
        </w:rPr>
        <w:t>Clave de cualquier tipo de seguridad social</w:t>
      </w:r>
      <w:r w:rsidRPr="00A15BFF">
        <w:rPr>
          <w:rFonts w:ascii="Palatino Linotype" w:eastAsia="Palatino Linotype" w:hAnsi="Palatino Linotype" w:cs="Palatino Linotype"/>
        </w:rPr>
        <w:t xml:space="preserve"> (ISSEMYM, u otros), los </w:t>
      </w:r>
      <w:r w:rsidRPr="00A15BFF">
        <w:rPr>
          <w:rFonts w:ascii="Palatino Linotype" w:eastAsia="Palatino Linotype" w:hAnsi="Palatino Linotype" w:cs="Palatino Linotype"/>
          <w:b/>
        </w:rPr>
        <w:t>números de cuentas bancarias</w:t>
      </w:r>
      <w:r w:rsidRPr="00A15BFF">
        <w:rPr>
          <w:rFonts w:ascii="Palatino Linotype" w:eastAsia="Palatino Linotype" w:hAnsi="Palatino Linotype" w:cs="Palatino Linotype"/>
        </w:rPr>
        <w:t xml:space="preserve">, claves estandarizadas – interbancarias - (CLABES) y de tarjetas, los </w:t>
      </w:r>
      <w:r w:rsidRPr="00A15BFF">
        <w:rPr>
          <w:rFonts w:ascii="Palatino Linotype" w:eastAsia="Palatino Linotype" w:hAnsi="Palatino Linotype" w:cs="Palatino Linotype"/>
          <w:b/>
        </w:rPr>
        <w:t>préstamos o descuentos</w:t>
      </w:r>
      <w:r w:rsidRPr="00A15BFF">
        <w:rPr>
          <w:rFonts w:ascii="Palatino Linotype" w:eastAsia="Palatino Linotype" w:hAnsi="Palatino Linotype" w:cs="Palatino Linotype"/>
        </w:rPr>
        <w:t xml:space="preserve"> que se le hagan a la persona y que no tengan relación con los impuestos o la cuota por seguridad social, el</w:t>
      </w:r>
      <w:r w:rsidRPr="00A15BFF">
        <w:rPr>
          <w:rFonts w:ascii="Palatino Linotype" w:eastAsia="Palatino Linotype" w:hAnsi="Palatino Linotype" w:cs="Palatino Linotype"/>
          <w:b/>
        </w:rPr>
        <w:t xml:space="preserve"> número de empleado, </w:t>
      </w:r>
      <w:r w:rsidRPr="00A15BFF">
        <w:rPr>
          <w:rFonts w:ascii="Palatino Linotype" w:eastAsia="Palatino Linotype" w:hAnsi="Palatino Linotype" w:cs="Palatino Linotype"/>
        </w:rPr>
        <w:t>y cualquier información de carácter fiscal.</w:t>
      </w:r>
    </w:p>
    <w:p w14:paraId="39AD9585" w14:textId="77777777" w:rsidR="00CA7BF7" w:rsidRPr="00A15BFF" w:rsidRDefault="00EA6A07">
      <w:pPr>
        <w:spacing w:before="240" w:after="240" w:line="360" w:lineRule="auto"/>
        <w:ind w:right="50"/>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Datos que deberá clasificar como confidenciales por tratarse precisamente de información privada, puesto que los datos personales son irrenunciables, </w:t>
      </w:r>
      <w:r w:rsidRPr="00A15BFF">
        <w:rPr>
          <w:rFonts w:ascii="Palatino Linotype" w:eastAsia="Palatino Linotype" w:hAnsi="Palatino Linotype" w:cs="Palatino Linotype"/>
        </w:rPr>
        <w:lastRenderedPageBreak/>
        <w:t>intransferibles e indelegables y los Sujetos Obligados no deberán hacer entrega de los mismos a personas ajenas a su titular.</w:t>
      </w:r>
    </w:p>
    <w:p w14:paraId="534DE03D"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Por cuanto hace al </w:t>
      </w:r>
      <w:r w:rsidRPr="00A15BFF">
        <w:rPr>
          <w:rFonts w:ascii="Palatino Linotype" w:eastAsia="Palatino Linotype" w:hAnsi="Palatino Linotype" w:cs="Palatino Linotype"/>
          <w:b/>
        </w:rPr>
        <w:t>Registro Federal de Contribuyentes, RFC,</w:t>
      </w:r>
      <w:r w:rsidRPr="00A15BFF">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w:t>
      </w:r>
      <w:proofErr w:type="spellStart"/>
      <w:r w:rsidRPr="00A15BFF">
        <w:rPr>
          <w:rFonts w:ascii="Palatino Linotype" w:eastAsia="Palatino Linotype" w:hAnsi="Palatino Linotype" w:cs="Palatino Linotype"/>
        </w:rPr>
        <w:t>homoclave</w:t>
      </w:r>
      <w:proofErr w:type="spellEnd"/>
      <w:r w:rsidRPr="00A15BFF">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6DA06497"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D3FEC4B" w14:textId="77777777" w:rsidR="00CA7BF7" w:rsidRPr="00A15BFF" w:rsidRDefault="00EA6A07">
      <w:pPr>
        <w:spacing w:before="240" w:after="240" w:line="360" w:lineRule="auto"/>
        <w:jc w:val="both"/>
        <w:rPr>
          <w:rFonts w:ascii="Palatino Linotype" w:eastAsia="Palatino Linotype" w:hAnsi="Palatino Linotype" w:cs="Palatino Linotype"/>
        </w:rPr>
      </w:pPr>
      <w:bookmarkStart w:id="9" w:name="_heading=h.26in1rg" w:colFirst="0" w:colLast="0"/>
      <w:bookmarkEnd w:id="9"/>
      <w:r w:rsidRPr="00A15BFF">
        <w:rPr>
          <w:rFonts w:ascii="Palatino Linotype" w:eastAsia="Palatino Linotype" w:hAnsi="Palatino Linotype" w:cs="Palatino Linotype"/>
        </w:rPr>
        <w:t>Lo anterior se apoya del criterio orientador con clave de control SO/019/2017, emitido por el entonces Instituto Nacional de Transparencia, Acceso a la Información y Protección de Datos Personales, INAI, el cual es del tenor literal siguiente:</w:t>
      </w:r>
    </w:p>
    <w:p w14:paraId="5858C167" w14:textId="77777777" w:rsidR="00CA7BF7" w:rsidRPr="00A15BFF" w:rsidRDefault="00EA6A07">
      <w:pP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 xml:space="preserve"> “Registro Federal de Contribuyentes (RFC) de personas físicas</w:t>
      </w:r>
      <w:r w:rsidRPr="00A15BFF">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6000632F"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A15BFF">
        <w:rPr>
          <w:rFonts w:ascii="Palatino Linotype" w:eastAsia="Palatino Linotype" w:hAnsi="Palatino Linotype" w:cs="Palatino Linotype"/>
        </w:rPr>
        <w:t>homoclave</w:t>
      </w:r>
      <w:proofErr w:type="spellEnd"/>
      <w:r w:rsidRPr="00A15BFF">
        <w:rPr>
          <w:rFonts w:ascii="Palatino Linotype" w:eastAsia="Palatino Linotype" w:hAnsi="Palatino Linotype" w:cs="Palatino Linotype"/>
        </w:rPr>
        <w:t xml:space="preserve">, la cual es única e irrepetible y determina la identificación de dicha persona para efectos fiscales, por lo que constituye un dato personal que concierne a una persona física identificada e identificable en términos de los artículos 3, </w:t>
      </w:r>
      <w:r w:rsidRPr="00A15BFF">
        <w:rPr>
          <w:rFonts w:ascii="Palatino Linotype" w:eastAsia="Palatino Linotype" w:hAnsi="Palatino Linotype" w:cs="Palatino Linotype"/>
        </w:rPr>
        <w:lastRenderedPageBreak/>
        <w:t>fracción IX de la Ley de Transparencia y Acceso a la Información Pública del Estado de México y Municipios, y  4 fracciones XI y XII de la Ley de Protección de Datos Personales en Posesión de los Sujetos Obligados del Estado de México y Municipios.</w:t>
      </w:r>
    </w:p>
    <w:p w14:paraId="09E9E8F4"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De igual manera la </w:t>
      </w:r>
      <w:r w:rsidRPr="00A15BFF">
        <w:rPr>
          <w:rFonts w:ascii="Palatino Linotype" w:eastAsia="Palatino Linotype" w:hAnsi="Palatino Linotype" w:cs="Palatino Linotype"/>
          <w:b/>
        </w:rPr>
        <w:t>Clave Única de Registro de Población</w:t>
      </w:r>
      <w:r w:rsidRPr="00A15BFF">
        <w:rPr>
          <w:rFonts w:ascii="Palatino Linotype" w:eastAsia="Palatino Linotype" w:hAnsi="Palatino Linotype" w:cs="Palatino Linotype"/>
        </w:rPr>
        <w:t xml:space="preserve">, </w:t>
      </w:r>
      <w:r w:rsidRPr="00A15BFF">
        <w:rPr>
          <w:rFonts w:ascii="Palatino Linotype" w:eastAsia="Palatino Linotype" w:hAnsi="Palatino Linotype" w:cs="Palatino Linotype"/>
          <w:b/>
        </w:rPr>
        <w:t>CURP,</w:t>
      </w:r>
      <w:r w:rsidRPr="00A15BFF">
        <w:rPr>
          <w:rFonts w:ascii="Palatino Linotype" w:eastAsia="Palatino Linotype" w:hAnsi="Palatino Linotype" w:cs="Palatino Linotype"/>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6D9A9B2D"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Argumento que se apoya del criterio orientador con Clave de control SO/018/2017, emitido por el entonces Instituto Nacional de Transparencia, Acceso a la Información y Protección de Datos Personales, INAI, el cual refiere:</w:t>
      </w:r>
    </w:p>
    <w:p w14:paraId="5F3FF293" w14:textId="77777777" w:rsidR="00CA7BF7" w:rsidRPr="00A15BFF" w:rsidRDefault="00EA6A07">
      <w:pPr>
        <w:spacing w:before="120" w:after="120"/>
        <w:ind w:left="851" w:right="902"/>
        <w:jc w:val="both"/>
        <w:rPr>
          <w:rFonts w:ascii="Palatino Linotype" w:eastAsia="Palatino Linotype" w:hAnsi="Palatino Linotype" w:cs="Palatino Linotype"/>
          <w:i/>
        </w:rPr>
      </w:pPr>
      <w:r w:rsidRPr="00A15BFF">
        <w:rPr>
          <w:rFonts w:ascii="Palatino Linotype" w:eastAsia="Palatino Linotype" w:hAnsi="Palatino Linotype" w:cs="Palatino Linotype"/>
          <w:b/>
          <w:i/>
        </w:rPr>
        <w:t xml:space="preserve"> </w:t>
      </w:r>
      <w:r w:rsidRPr="00A15BFF">
        <w:rPr>
          <w:rFonts w:ascii="Palatino Linotype" w:eastAsia="Palatino Linotype" w:hAnsi="Palatino Linotype" w:cs="Palatino Linotype"/>
          <w:b/>
          <w:i/>
          <w:sz w:val="22"/>
          <w:szCs w:val="22"/>
        </w:rPr>
        <w:t xml:space="preserve">“Clave Única de Registro de Población (CURP). </w:t>
      </w:r>
      <w:r w:rsidRPr="00A15BFF">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349DA87"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Por lo que respecta a la </w:t>
      </w:r>
      <w:r w:rsidRPr="00A15BFF">
        <w:rPr>
          <w:rFonts w:ascii="Palatino Linotype" w:eastAsia="Palatino Linotype" w:hAnsi="Palatino Linotype" w:cs="Palatino Linotype"/>
          <w:b/>
        </w:rPr>
        <w:t>clave de seguridad social</w:t>
      </w:r>
      <w:r w:rsidRPr="00A15BFF">
        <w:rPr>
          <w:rFonts w:ascii="Palatino Linotype" w:eastAsia="Palatino Linotype" w:hAnsi="Palatino Linotype" w:cs="Palatino Linotype"/>
        </w:rPr>
        <w:t>, en virtud de que su divulgación no aporta a la transparencia o a la rendición de cuentas y sí provoca una transgresión a la vida privada e intimidad de la persona, esta información también resulta ser de carácter confidencial.</w:t>
      </w:r>
    </w:p>
    <w:p w14:paraId="335140D0"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lastRenderedPageBreak/>
        <w:t xml:space="preserve">Respecto de los </w:t>
      </w:r>
      <w:r w:rsidRPr="00A15BFF">
        <w:rPr>
          <w:rFonts w:ascii="Palatino Linotype" w:eastAsia="Palatino Linotype" w:hAnsi="Palatino Linotype" w:cs="Palatino Linotype"/>
          <w:b/>
        </w:rPr>
        <w:t>números de cuentas bancari</w:t>
      </w:r>
      <w:r w:rsidRPr="00A15BFF">
        <w:rPr>
          <w:rFonts w:ascii="Palatino Linotype" w:eastAsia="Palatino Linotype" w:hAnsi="Palatino Linotype" w:cs="Palatino Linotype"/>
        </w:rPr>
        <w:t xml:space="preserve">as, </w:t>
      </w:r>
      <w:r w:rsidRPr="00A15BFF">
        <w:rPr>
          <w:rFonts w:ascii="Palatino Linotype" w:eastAsia="Palatino Linotype" w:hAnsi="Palatino Linotype" w:cs="Palatino Linotype"/>
          <w:b/>
        </w:rPr>
        <w:t>claves estandarizadas –interbancarias- (CLABES) y de tarjetas</w:t>
      </w:r>
      <w:r w:rsidRPr="00A15BFF">
        <w:rPr>
          <w:rFonts w:ascii="Palatino Linotype" w:eastAsia="Palatino Linotype" w:hAnsi="Palatino Linotype" w:cs="Palatino Linotype"/>
        </w:rPr>
        <w:t>, el Pleno de este Instituto ha determinado que esa información debe clasificarse como confidencial, y elaborarse una versión pública en la que se teste la misma.</w:t>
      </w:r>
    </w:p>
    <w:p w14:paraId="4F304840"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0A508D2E"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4F44CD97"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1D8FF652"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36E960CF"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Lo argumentado se apoya de los criterios orientadores con claves de control SO/010/2017 y SO/011/2017, emitidos por el entonces Instituto Nacional de </w:t>
      </w:r>
      <w:r w:rsidRPr="00A15BFF">
        <w:rPr>
          <w:rFonts w:ascii="Palatino Linotype" w:eastAsia="Palatino Linotype" w:hAnsi="Palatino Linotype" w:cs="Palatino Linotype"/>
        </w:rPr>
        <w:lastRenderedPageBreak/>
        <w:t>Transparencia, Acceso a la Información y Protección de Datos Personales, INAI, que llevan por rubro y texto los siguientes:</w:t>
      </w:r>
    </w:p>
    <w:p w14:paraId="3233C7CE" w14:textId="77777777" w:rsidR="00CA7BF7" w:rsidRPr="00A15BFF" w:rsidRDefault="00EA6A07">
      <w:pP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i/>
          <w:sz w:val="22"/>
          <w:szCs w:val="22"/>
        </w:rPr>
        <w:t>“</w:t>
      </w:r>
      <w:r w:rsidRPr="00A15BFF">
        <w:rPr>
          <w:rFonts w:ascii="Palatino Linotype" w:eastAsia="Palatino Linotype" w:hAnsi="Palatino Linotype" w:cs="Palatino Linotype"/>
          <w:b/>
          <w:i/>
          <w:sz w:val="22"/>
          <w:szCs w:val="22"/>
        </w:rPr>
        <w:t>Cuentas bancarias y/o CLABE interbancaria de personas físicas y morales privadas.</w:t>
      </w:r>
      <w:r w:rsidRPr="00A15BFF">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785052D" w14:textId="77777777" w:rsidR="00CA7BF7" w:rsidRPr="00A15BFF" w:rsidRDefault="00EA6A07">
      <w:pP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A15BFF">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152452F0" w14:textId="77777777" w:rsidR="00CA7BF7" w:rsidRPr="00A15BFF" w:rsidRDefault="00EA6A07">
      <w:pPr>
        <w:spacing w:before="240" w:after="240" w:line="360" w:lineRule="auto"/>
        <w:jc w:val="both"/>
        <w:rPr>
          <w:rFonts w:ascii="Palatino Linotype" w:eastAsia="Palatino Linotype" w:hAnsi="Palatino Linotype" w:cs="Palatino Linotype"/>
        </w:rPr>
      </w:pPr>
      <w:bookmarkStart w:id="10" w:name="_heading=h.35nkun2" w:colFirst="0" w:colLast="0"/>
      <w:bookmarkEnd w:id="10"/>
      <w:r w:rsidRPr="00A15BFF">
        <w:rPr>
          <w:rFonts w:ascii="Palatino Linotype" w:eastAsia="Palatino Linotype" w:hAnsi="Palatino Linotype" w:cs="Palatino Linotype"/>
        </w:rPr>
        <w:t xml:space="preserve">Por cuanto hace a los </w:t>
      </w:r>
      <w:r w:rsidRPr="00A15BFF">
        <w:rPr>
          <w:rFonts w:ascii="Palatino Linotype" w:eastAsia="Palatino Linotype" w:hAnsi="Palatino Linotype" w:cs="Palatino Linotype"/>
          <w:b/>
        </w:rPr>
        <w:t>préstamos o descuentos de carácter personal</w:t>
      </w:r>
      <w:r w:rsidRPr="00A15BFF">
        <w:rPr>
          <w:rFonts w:ascii="Palatino Linotype" w:eastAsia="Palatino Linotype" w:hAnsi="Palatino Linotype" w:cs="Palatino Linotype"/>
        </w:rPr>
        <w:t>, en virtud de no tener relación con la prestación del servicio y al no involucrar instituciones públicas, se consideran datos confidenciales.</w:t>
      </w:r>
    </w:p>
    <w:p w14:paraId="2D8E6E85"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4C32BA09" w14:textId="77777777" w:rsidR="00CA7BF7" w:rsidRPr="00A15BFF" w:rsidRDefault="00EA6A07">
      <w:pPr>
        <w:spacing w:before="120" w:after="120"/>
        <w:ind w:left="851" w:right="902"/>
        <w:jc w:val="both"/>
        <w:rPr>
          <w:rFonts w:ascii="Palatino Linotype" w:eastAsia="Palatino Linotype" w:hAnsi="Palatino Linotype" w:cs="Palatino Linotype"/>
          <w:b/>
          <w:i/>
          <w:sz w:val="22"/>
          <w:szCs w:val="22"/>
        </w:rPr>
      </w:pPr>
      <w:bookmarkStart w:id="11" w:name="_heading=h.1ksv4uv" w:colFirst="0" w:colLast="0"/>
      <w:bookmarkEnd w:id="11"/>
      <w:r w:rsidRPr="00A15BFF">
        <w:rPr>
          <w:rFonts w:ascii="Palatino Linotype" w:eastAsia="Palatino Linotype" w:hAnsi="Palatino Linotype" w:cs="Palatino Linotype"/>
          <w:b/>
          <w:i/>
          <w:sz w:val="22"/>
          <w:szCs w:val="22"/>
        </w:rPr>
        <w:t xml:space="preserve">“ARTÍCULO 84. </w:t>
      </w:r>
      <w:r w:rsidRPr="00A15BFF">
        <w:rPr>
          <w:rFonts w:ascii="Palatino Linotype" w:eastAsia="Palatino Linotype" w:hAnsi="Palatino Linotype" w:cs="Palatino Linotype"/>
          <w:i/>
          <w:sz w:val="22"/>
          <w:szCs w:val="22"/>
        </w:rPr>
        <w:t>Sólo podrán hacerse retenciones, descuentos o deducciones al sueldo de los servidores públicos por concepto de:</w:t>
      </w:r>
    </w:p>
    <w:p w14:paraId="5117BD51" w14:textId="77777777" w:rsidR="00CA7BF7" w:rsidRPr="00A15BFF" w:rsidRDefault="00EA6A07">
      <w:pPr>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I.</w:t>
      </w:r>
      <w:r w:rsidRPr="00A15BFF">
        <w:rPr>
          <w:rFonts w:ascii="Palatino Linotype" w:eastAsia="Palatino Linotype" w:hAnsi="Palatino Linotype" w:cs="Palatino Linotype"/>
          <w:i/>
          <w:sz w:val="22"/>
          <w:szCs w:val="22"/>
        </w:rPr>
        <w:t xml:space="preserve"> Gravámenes fiscales relacionados con el sueldo;</w:t>
      </w:r>
    </w:p>
    <w:p w14:paraId="16C6A24C" w14:textId="77777777" w:rsidR="00CA7BF7" w:rsidRPr="00A15BFF" w:rsidRDefault="00EA6A07">
      <w:pPr>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II.</w:t>
      </w:r>
      <w:r w:rsidRPr="00A15BFF">
        <w:rPr>
          <w:rFonts w:ascii="Palatino Linotype" w:eastAsia="Palatino Linotype" w:hAnsi="Palatino Linotype" w:cs="Palatino Linotype"/>
          <w:i/>
          <w:sz w:val="22"/>
          <w:szCs w:val="22"/>
        </w:rPr>
        <w:t xml:space="preserve"> Deudas contraídas con las instituciones públicas o dependencias por concepto de anticipos de sueldo, pagos hechos con exceso, errores o pérdidas debidamente comprobados;</w:t>
      </w:r>
    </w:p>
    <w:p w14:paraId="5D4CF73A" w14:textId="77777777" w:rsidR="00CA7BF7" w:rsidRPr="00A15BFF" w:rsidRDefault="00EA6A07">
      <w:pPr>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III.</w:t>
      </w:r>
      <w:r w:rsidRPr="00A15BFF">
        <w:rPr>
          <w:rFonts w:ascii="Palatino Linotype" w:eastAsia="Palatino Linotype" w:hAnsi="Palatino Linotype" w:cs="Palatino Linotype"/>
          <w:i/>
          <w:sz w:val="22"/>
          <w:szCs w:val="22"/>
        </w:rPr>
        <w:t xml:space="preserve"> </w:t>
      </w:r>
      <w:r w:rsidRPr="00A15BFF">
        <w:rPr>
          <w:rFonts w:ascii="Palatino Linotype" w:eastAsia="Palatino Linotype" w:hAnsi="Palatino Linotype" w:cs="Palatino Linotype"/>
          <w:b/>
          <w:i/>
          <w:sz w:val="22"/>
          <w:szCs w:val="22"/>
        </w:rPr>
        <w:t>Cuotas sindicales</w:t>
      </w:r>
      <w:r w:rsidRPr="00A15BFF">
        <w:rPr>
          <w:rFonts w:ascii="Palatino Linotype" w:eastAsia="Palatino Linotype" w:hAnsi="Palatino Linotype" w:cs="Palatino Linotype"/>
          <w:i/>
          <w:sz w:val="22"/>
          <w:szCs w:val="22"/>
        </w:rPr>
        <w:t>;</w:t>
      </w:r>
    </w:p>
    <w:p w14:paraId="6CB5600F" w14:textId="77777777" w:rsidR="00CA7BF7" w:rsidRPr="00A15BFF" w:rsidRDefault="00EA6A07">
      <w:pPr>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lastRenderedPageBreak/>
        <w:t>IV.</w:t>
      </w:r>
      <w:r w:rsidRPr="00A15BFF">
        <w:rPr>
          <w:rFonts w:ascii="Palatino Linotype" w:eastAsia="Palatino Linotype" w:hAnsi="Palatino Linotype" w:cs="Palatino Linotype"/>
          <w:i/>
          <w:sz w:val="22"/>
          <w:szCs w:val="22"/>
        </w:rPr>
        <w:t xml:space="preserve"> Cuotas de aportación a fondos para la constitución de cooperativas y de cajas de ahorro, siempre que el servidor público hubiese manifestado previamente, de manera expresa, su conformidad;</w:t>
      </w:r>
    </w:p>
    <w:p w14:paraId="05330030" w14:textId="77777777" w:rsidR="00CA7BF7" w:rsidRPr="00A15BFF" w:rsidRDefault="00EA6A07">
      <w:pPr>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V.</w:t>
      </w:r>
      <w:r w:rsidRPr="00A15BFF">
        <w:rPr>
          <w:rFonts w:ascii="Palatino Linotype" w:eastAsia="Palatino Linotype" w:hAnsi="Palatino Linotype" w:cs="Palatino Linotype"/>
          <w:i/>
          <w:sz w:val="22"/>
          <w:szCs w:val="22"/>
        </w:rPr>
        <w:t xml:space="preserve"> Descuentos ordenados por el Instituto de Seguridad Social del Estado de México y Municipios, con motivo de cuotas y obligaciones contraídas con éste por los servidores públicos;</w:t>
      </w:r>
    </w:p>
    <w:p w14:paraId="109AD1BC" w14:textId="77777777" w:rsidR="00CA7BF7" w:rsidRPr="00A15BFF" w:rsidRDefault="00EA6A07">
      <w:pPr>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VI.</w:t>
      </w:r>
      <w:r w:rsidRPr="00A15BFF">
        <w:rPr>
          <w:rFonts w:ascii="Palatino Linotype" w:eastAsia="Palatino Linotype" w:hAnsi="Palatino Linotype" w:cs="Palatino Linotype"/>
          <w:i/>
          <w:sz w:val="22"/>
          <w:szCs w:val="22"/>
        </w:rPr>
        <w:t xml:space="preserve"> Obligaciones a cargo del servidor público con las que haya consentido, derivadas de la adquisición o del uso de habitaciones consideradas como de interés social;</w:t>
      </w:r>
    </w:p>
    <w:p w14:paraId="1E6CD7CA" w14:textId="77777777" w:rsidR="00CA7BF7" w:rsidRPr="00A15BFF" w:rsidRDefault="00EA6A07">
      <w:pPr>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VII.</w:t>
      </w:r>
      <w:r w:rsidRPr="00A15BFF">
        <w:rPr>
          <w:rFonts w:ascii="Palatino Linotype" w:eastAsia="Palatino Linotype" w:hAnsi="Palatino Linotype" w:cs="Palatino Linotype"/>
          <w:i/>
          <w:sz w:val="22"/>
          <w:szCs w:val="22"/>
        </w:rPr>
        <w:t xml:space="preserve"> Faltas de puntualidad o de asistencia injustificadas;</w:t>
      </w:r>
    </w:p>
    <w:p w14:paraId="509F2697" w14:textId="77777777" w:rsidR="00CA7BF7" w:rsidRPr="00A15BFF" w:rsidRDefault="00EA6A07">
      <w:pPr>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VIII. Pensiones alimenticias ordenadas por la autoridad judicial;</w:t>
      </w:r>
      <w:r w:rsidRPr="00A15BFF">
        <w:rPr>
          <w:rFonts w:ascii="Palatino Linotype" w:eastAsia="Palatino Linotype" w:hAnsi="Palatino Linotype" w:cs="Palatino Linotype"/>
          <w:i/>
          <w:sz w:val="22"/>
          <w:szCs w:val="22"/>
        </w:rPr>
        <w:t xml:space="preserve"> o</w:t>
      </w:r>
    </w:p>
    <w:p w14:paraId="04985044" w14:textId="77777777" w:rsidR="00CA7BF7" w:rsidRPr="00A15BFF" w:rsidRDefault="00EA6A07">
      <w:pPr>
        <w:spacing w:before="120" w:after="120"/>
        <w:ind w:left="1134" w:right="902"/>
        <w:jc w:val="both"/>
        <w:rPr>
          <w:rFonts w:ascii="Palatino Linotype" w:eastAsia="Palatino Linotype" w:hAnsi="Palatino Linotype" w:cs="Palatino Linotype"/>
          <w:b/>
          <w:i/>
          <w:sz w:val="22"/>
          <w:szCs w:val="22"/>
        </w:rPr>
      </w:pPr>
      <w:r w:rsidRPr="00A15BFF">
        <w:rPr>
          <w:rFonts w:ascii="Palatino Linotype" w:eastAsia="Palatino Linotype" w:hAnsi="Palatino Linotype" w:cs="Palatino Linotype"/>
          <w:b/>
          <w:i/>
          <w:sz w:val="22"/>
          <w:szCs w:val="22"/>
        </w:rPr>
        <w:t>IX. Cualquier otro convenido con instituciones de servicios y aceptado por el servidor público.</w:t>
      </w:r>
    </w:p>
    <w:p w14:paraId="624BF946" w14:textId="77777777" w:rsidR="00CA7BF7" w:rsidRPr="00A15BFF" w:rsidRDefault="00EA6A07">
      <w:pP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17A6D197"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75C35B8E"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De este modo, los </w:t>
      </w:r>
      <w:r w:rsidRPr="00A15BFF">
        <w:rPr>
          <w:rFonts w:ascii="Palatino Linotype" w:eastAsia="Palatino Linotype" w:hAnsi="Palatino Linotype" w:cs="Palatino Linotype"/>
          <w:b/>
        </w:rPr>
        <w:t>descuentos o deducciones por cuotas sindicales</w:t>
      </w:r>
      <w:r w:rsidRPr="00A15BFF">
        <w:rPr>
          <w:rFonts w:ascii="Palatino Linotype" w:eastAsia="Palatino Linotype" w:hAnsi="Palatino Linotype" w:cs="Palatino Linotype"/>
        </w:rPr>
        <w:t xml:space="preserve">, </w:t>
      </w:r>
      <w:r w:rsidRPr="00A15BFF">
        <w:rPr>
          <w:rFonts w:ascii="Palatino Linotype" w:eastAsia="Palatino Linotype" w:hAnsi="Palatino Linotype" w:cs="Palatino Linotype"/>
          <w:b/>
        </w:rPr>
        <w:t>pensiones alimenticias</w:t>
      </w:r>
      <w:r w:rsidRPr="00A15BFF">
        <w:rPr>
          <w:rFonts w:ascii="Palatino Linotype" w:eastAsia="Palatino Linotype" w:hAnsi="Palatino Linotype" w:cs="Palatino Linotype"/>
        </w:rPr>
        <w:t xml:space="preserve"> o </w:t>
      </w:r>
      <w:r w:rsidRPr="00A15BFF">
        <w:rPr>
          <w:rFonts w:ascii="Palatino Linotype" w:eastAsia="Palatino Linotype" w:hAnsi="Palatino Linotype" w:cs="Palatino Linotype"/>
          <w:b/>
        </w:rPr>
        <w:t>créditos adquiridos con instituciones privadas</w:t>
      </w:r>
      <w:r w:rsidRPr="00A15BFF">
        <w:rPr>
          <w:rFonts w:ascii="Palatino Linotype" w:eastAsia="Palatino Linotype" w:hAnsi="Palatino Linotype" w:cs="Palatino Linotype"/>
        </w:rPr>
        <w:t xml:space="preserve">, entre otros que no se relacionen con el gasto público, al revelar parte de las decisiones que adopta una persona respecto del uso y destino de su remuneración salarial, lo cual incide en la manera en que se integra su patrimonio, </w:t>
      </w:r>
      <w:r w:rsidRPr="00A15BFF">
        <w:rPr>
          <w:rFonts w:ascii="Palatino Linotype" w:eastAsia="Palatino Linotype" w:hAnsi="Palatino Linotype" w:cs="Palatino Linotype"/>
          <w:b/>
        </w:rPr>
        <w:t xml:space="preserve">es información que no es de carácter </w:t>
      </w:r>
      <w:r w:rsidRPr="00A15BFF">
        <w:rPr>
          <w:rFonts w:ascii="Palatino Linotype" w:eastAsia="Palatino Linotype" w:hAnsi="Palatino Linotype" w:cs="Palatino Linotype"/>
          <w:b/>
        </w:rPr>
        <w:lastRenderedPageBreak/>
        <w:t>público, sino que constituye información confidencial</w:t>
      </w:r>
      <w:r w:rsidRPr="00A15BFF">
        <w:rPr>
          <w:rFonts w:ascii="Palatino Linotype" w:eastAsia="Palatino Linotype" w:hAnsi="Palatino Linotype" w:cs="Palatino Linotype"/>
        </w:rPr>
        <w:t xml:space="preserve"> en virtud de que corresponde con decisiones personales, y por tanto, se debe clasificar.</w:t>
      </w:r>
    </w:p>
    <w:p w14:paraId="629C3E49"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Las claves y conceptos de los descuentos personales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1F0E5F59"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En conclusión, la información relacionada con los préstamos o descuentos de carácter personal, en virtud de no tener relación con la prestación del servicio y al no involucrar instituciones públicas, se consideran datos confidenciales.</w:t>
      </w:r>
    </w:p>
    <w:p w14:paraId="056C913C"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Con relación al </w:t>
      </w:r>
      <w:r w:rsidRPr="00A15BFF">
        <w:rPr>
          <w:rFonts w:ascii="Palatino Linotype" w:eastAsia="Palatino Linotype" w:hAnsi="Palatino Linotype" w:cs="Palatino Linotype"/>
          <w:b/>
        </w:rPr>
        <w:t>número de empleado</w:t>
      </w:r>
      <w:r w:rsidRPr="00A15BFF">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A15BFF">
        <w:rPr>
          <w:rFonts w:ascii="Palatino Linotype" w:eastAsia="Palatino Linotype" w:hAnsi="Palatino Linotype" w:cs="Palatino Linotype"/>
          <w:vertAlign w:val="superscript"/>
        </w:rPr>
        <w:footnoteReference w:id="1"/>
      </w:r>
      <w:r w:rsidRPr="00A15BFF">
        <w:rPr>
          <w:rFonts w:ascii="Palatino Linotype" w:eastAsia="Palatino Linotype" w:hAnsi="Palatino Linotype" w:cs="Palatino Linotype"/>
        </w:rPr>
        <w:t>.</w:t>
      </w:r>
    </w:p>
    <w:p w14:paraId="310C4B3E"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Bajo esos argumentos, se entendería que la información relativa al número de empleado constituye información confidencial al tratarse de un número de identificación personal a través del cual se puede consultar la situación laboral personal, empero el entonces Pleno del el Instituto Nacional de Transparencia, Acceso a la Información, y Protección de Datos Personales, INAI  se ha pronunciado </w:t>
      </w:r>
      <w:r w:rsidRPr="00A15BFF">
        <w:rPr>
          <w:rFonts w:ascii="Palatino Linotype" w:eastAsia="Palatino Linotype" w:hAnsi="Palatino Linotype" w:cs="Palatino Linotype"/>
        </w:rPr>
        <w:lastRenderedPageBreak/>
        <w:t>sobre su publicidad, a través del Criterio de interpretación con Clave de control SO/006/2019, que indica lo siguiente:</w:t>
      </w:r>
    </w:p>
    <w:p w14:paraId="3FAF55F3" w14:textId="77777777" w:rsidR="00CA7BF7" w:rsidRPr="00A15BFF" w:rsidRDefault="00EA6A07">
      <w:pPr>
        <w:tabs>
          <w:tab w:val="left" w:pos="7655"/>
        </w:tabs>
        <w:spacing w:before="120" w:after="120"/>
        <w:ind w:left="992" w:right="99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 xml:space="preserve">“Número de empleado. </w:t>
      </w:r>
      <w:r w:rsidRPr="00A15BFF">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44812F9B"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A15BFF">
        <w:rPr>
          <w:rFonts w:ascii="Palatino Linotype" w:eastAsia="Palatino Linotype" w:hAnsi="Palatino Linotype" w:cs="Palatino Linotype"/>
          <w:b/>
        </w:rPr>
        <w:t>Sujeto Obligado</w:t>
      </w:r>
      <w:r w:rsidRPr="00A15BFF">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2B0C2F77"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Por otro lado, derivado de la información que se ordena entregar pudiera existir información de la Dirección de Seguridad Pública del Ayuntamiento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w:t>
      </w:r>
      <w:r w:rsidRPr="00A15BFF">
        <w:rPr>
          <w:rFonts w:ascii="Palatino Linotype" w:eastAsia="Palatino Linotype" w:hAnsi="Palatino Linotype" w:cs="Palatino Linotype"/>
        </w:rPr>
        <w:lastRenderedPageBreak/>
        <w:t xml:space="preserve">públicos que integran dicha Dirección </w:t>
      </w:r>
      <w:r w:rsidRPr="00A15BFF">
        <w:rPr>
          <w:rFonts w:ascii="Palatino Linotype" w:eastAsia="Palatino Linotype" w:hAnsi="Palatino Linotype" w:cs="Palatino Linotype"/>
          <w:b/>
          <w:u w:val="single"/>
        </w:rPr>
        <w:t>sólo por cuanto hace al nombre</w:t>
      </w:r>
      <w:r w:rsidRPr="00A15BFF">
        <w:rPr>
          <w:rFonts w:ascii="Palatino Linotype" w:eastAsia="Palatino Linotype" w:hAnsi="Palatino Linotype" w:cs="Palatino Linotype"/>
          <w:b/>
        </w:rPr>
        <w:t xml:space="preserve">, </w:t>
      </w:r>
      <w:r w:rsidRPr="00A15BFF">
        <w:rPr>
          <w:rFonts w:ascii="Palatino Linotype" w:eastAsia="Palatino Linotype" w:hAnsi="Palatino Linotype" w:cs="Palatino Linotype"/>
        </w:rPr>
        <w:t xml:space="preserve">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sidRPr="00A15BFF">
        <w:rPr>
          <w:rFonts w:ascii="Palatino Linotype" w:eastAsia="Palatino Linotype" w:hAnsi="Palatino Linotype" w:cs="Palatino Linotype"/>
          <w:b/>
        </w:rPr>
        <w:t>que desempeñen funciones operativas</w:t>
      </w:r>
      <w:r w:rsidRPr="00A15BFF">
        <w:rPr>
          <w:rFonts w:ascii="Palatino Linotype" w:eastAsia="Palatino Linotype" w:hAnsi="Palatino Linotype" w:cs="Palatino Linotype"/>
        </w:rPr>
        <w:t>.</w:t>
      </w:r>
    </w:p>
    <w:p w14:paraId="0D85C020"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Al respecto, la información </w:t>
      </w:r>
      <w:r w:rsidRPr="00A15BFF">
        <w:rPr>
          <w:rFonts w:ascii="Palatino Linotype" w:eastAsia="Palatino Linotype" w:hAnsi="Palatino Linotype" w:cs="Palatino Linotype"/>
          <w:b/>
        </w:rPr>
        <w:t>de los elementos que realizan funciones operativas, entre ellos su nombre y cargo, deben ser protegidos</w:t>
      </w:r>
      <w:r w:rsidRPr="00A15BFF">
        <w:rPr>
          <w:rFonts w:ascii="Palatino Linotype" w:eastAsia="Palatino Linotype" w:hAnsi="Palatino Linotype" w:cs="Palatino Linotype"/>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5F284192"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vigente a la fecha de presentación </w:t>
      </w:r>
      <w:r w:rsidRPr="00A15BFF">
        <w:rPr>
          <w:rFonts w:ascii="Palatino Linotype" w:eastAsia="Palatino Linotype" w:hAnsi="Palatino Linotype" w:cs="Palatino Linotype"/>
        </w:rPr>
        <w:lastRenderedPageBreak/>
        <w:t>de la solicitud, así como los requisitos previstos por los numerales Vigésimo tercero y Trigésimo tercero, de los Lineamientos generales en materia de clasificación y desclasificación de la información, así como para la elaboración de versiones públicas, vigentes a la fecha de presentación de la solicitud, al aplicar la prueba de daño correspondiente.</w:t>
      </w:r>
    </w:p>
    <w:p w14:paraId="266875DA" w14:textId="77777777" w:rsidR="00CA7BF7" w:rsidRPr="00A15BFF" w:rsidRDefault="00EA6A07">
      <w:pPr>
        <w:spacing w:before="240" w:after="240" w:line="360" w:lineRule="auto"/>
        <w:jc w:val="both"/>
        <w:rPr>
          <w:rFonts w:ascii="Palatino Linotype" w:eastAsia="Palatino Linotype" w:hAnsi="Palatino Linotype" w:cs="Palatino Linotype"/>
          <w:b/>
        </w:rPr>
      </w:pPr>
      <w:r w:rsidRPr="00A15BFF">
        <w:rPr>
          <w:rFonts w:ascii="Palatino Linotype" w:eastAsia="Palatino Linotype" w:hAnsi="Palatino Linotype" w:cs="Palatino Linotype"/>
        </w:rPr>
        <w:t xml:space="preserve">Como sustento de lo anterior, es preciso mencionar que el </w:t>
      </w:r>
      <w:r w:rsidRPr="00A15BFF">
        <w:rPr>
          <w:rFonts w:ascii="Palatino Linotype" w:eastAsia="Palatino Linotype" w:hAnsi="Palatino Linotype" w:cs="Palatino Linotype"/>
          <w:b/>
        </w:rPr>
        <w:t xml:space="preserve">actual Pleno de este Instituto ha sostenido el criterio de no dar a conocer los nombres de aquellos servidores públicos que realizan funciones operativas en materia de seguridad pública, </w:t>
      </w:r>
      <w:r w:rsidRPr="00A15BFF">
        <w:rPr>
          <w:rFonts w:ascii="Palatino Linotype" w:eastAsia="Palatino Linotype" w:hAnsi="Palatino Linotype" w:cs="Palatino Linotype"/>
        </w:rPr>
        <w:t xml:space="preserve">pues los vuelve identificables y posiblemente reconocibles para grupos delictivos, que pudieran relacionarlos directamente con actividades u operativos pasados, presentes o ubicarlos simplemente por el hecho de pertenecer a una organización que lleva a cabo actividades de prevención y salvaguarda de la integridad de las personas en el combate a la delincuencia; así, dicha información puede ser utilizada para </w:t>
      </w:r>
      <w:r w:rsidRPr="00A15BFF">
        <w:rPr>
          <w:rFonts w:ascii="Palatino Linotype" w:eastAsia="Palatino Linotype" w:hAnsi="Palatino Linotype" w:cs="Palatino Linotype"/>
          <w:b/>
        </w:rPr>
        <w:t xml:space="preserve">vulnerar la vida, seguridad o salud de dichos elementos, incluso la de sus familias o entorno social. </w:t>
      </w:r>
    </w:p>
    <w:p w14:paraId="107DF0AF"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En tal contexto, es procedente la clasificación del nombre de los elementos operativos como información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4A871DCD"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lastRenderedPageBreak/>
        <w:t>En ese entendido, la leyenda de clasificación que se genere, deberá establecer ambos supuestos de clasificación: reserva y confidencialidad, en congruencia con los requisitos establecidos en los lineamientos citados.</w:t>
      </w:r>
    </w:p>
    <w:p w14:paraId="3C8F0C1A" w14:textId="77777777" w:rsidR="00CA7BF7" w:rsidRPr="00A15BFF" w:rsidRDefault="00EA6A07">
      <w:pPr>
        <w:spacing w:before="120" w:after="12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orientador histórico 06/09, emitido por el entonces Instituto Federal de Acceso a la Información y Protección de Datos, que establece lo siguiente:</w:t>
      </w:r>
    </w:p>
    <w:p w14:paraId="56D017FD" w14:textId="77777777" w:rsidR="00CA7BF7" w:rsidRPr="00A15BFF" w:rsidRDefault="00EA6A07">
      <w:pPr>
        <w:tabs>
          <w:tab w:val="left" w:pos="4962"/>
        </w:tabs>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w:t>
      </w:r>
      <w:r w:rsidRPr="00A15BFF">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A15BFF">
        <w:rPr>
          <w:rFonts w:ascii="Palatino Linotype" w:eastAsia="Palatino Linotype" w:hAnsi="Palatino Linotype" w:cs="Palatino Linotype"/>
          <w:i/>
          <w:sz w:val="22"/>
          <w:szCs w:val="22"/>
        </w:rPr>
        <w:t>obstante</w:t>
      </w:r>
      <w:proofErr w:type="gramEnd"/>
      <w:r w:rsidRPr="00A15BFF">
        <w:rPr>
          <w:rFonts w:ascii="Palatino Linotype" w:eastAsia="Palatino Linotype" w:hAnsi="Palatino Linotype" w:cs="Palatino Linotype"/>
          <w:i/>
          <w:sz w:val="22"/>
          <w:szCs w:val="22"/>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w:t>
      </w:r>
      <w:r w:rsidRPr="00A15BFF">
        <w:rPr>
          <w:rFonts w:ascii="Palatino Linotype" w:eastAsia="Palatino Linotype" w:hAnsi="Palatino Linotype" w:cs="Palatino Linotype"/>
          <w:i/>
          <w:sz w:val="22"/>
          <w:szCs w:val="22"/>
        </w:rPr>
        <w:lastRenderedPageBreak/>
        <w:t>que realiza el Estado Mexicano para garantizar la seguridad del país en sus diferentes vertientes.”</w:t>
      </w:r>
    </w:p>
    <w:p w14:paraId="083516E3"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A15BFF">
        <w:rPr>
          <w:rFonts w:ascii="Palatino Linotype" w:eastAsia="Palatino Linotype" w:hAnsi="Palatino Linotype" w:cs="Palatino Linotype"/>
          <w:b/>
        </w:rPr>
        <w:t>funciones de carácter operativo.</w:t>
      </w:r>
    </w:p>
    <w:p w14:paraId="77BBAAFF" w14:textId="77777777" w:rsidR="00CA7BF7" w:rsidRPr="00A15BFF" w:rsidRDefault="00EA6A07">
      <w:pPr>
        <w:spacing w:before="240" w:after="36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Sirven de sustento a lo anterior las tesis jurisprudenciales emitidas por la Suprema corte de Justicia de la Nación, que son del literal siguiente:</w:t>
      </w:r>
    </w:p>
    <w:p w14:paraId="759C031A" w14:textId="77777777" w:rsidR="00CA7BF7" w:rsidRPr="00A15BFF" w:rsidRDefault="00EA6A07">
      <w:pPr>
        <w:spacing w:before="120" w:after="120"/>
        <w:ind w:left="851" w:right="760"/>
        <w:jc w:val="both"/>
        <w:rPr>
          <w:rFonts w:ascii="Palatino Linotype" w:eastAsia="Palatino Linotype" w:hAnsi="Palatino Linotype" w:cs="Palatino Linotype"/>
          <w:b/>
          <w:i/>
          <w:sz w:val="22"/>
          <w:szCs w:val="22"/>
        </w:rPr>
      </w:pPr>
      <w:r w:rsidRPr="00A15BFF">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sidRPr="00A15BFF">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A15BFF">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sidRPr="00A15BFF">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sidRPr="00A15BFF">
        <w:rPr>
          <w:rFonts w:ascii="Palatino Linotype" w:eastAsia="Palatino Linotype" w:hAnsi="Palatino Linotype" w:cs="Palatino Linotype"/>
          <w:b/>
          <w:i/>
          <w:sz w:val="22"/>
          <w:szCs w:val="22"/>
        </w:rPr>
        <w:t xml:space="preserve">mientras que por lo que respecta a la protección </w:t>
      </w:r>
      <w:r w:rsidRPr="00A15BFF">
        <w:rPr>
          <w:rFonts w:ascii="Palatino Linotype" w:eastAsia="Palatino Linotype" w:hAnsi="Palatino Linotype" w:cs="Palatino Linotype"/>
          <w:b/>
          <w:i/>
          <w:sz w:val="22"/>
          <w:szCs w:val="22"/>
        </w:rPr>
        <w:lastRenderedPageBreak/>
        <w:t>de la persona existen normas que protegen el derecho a la vida o a la privacidad de los gobernados.</w:t>
      </w:r>
      <w:r w:rsidRPr="00A15BFF">
        <w:rPr>
          <w:rFonts w:ascii="Palatino Linotype" w:eastAsia="Palatino Linotype" w:hAnsi="Palatino Linotype" w:cs="Palatino Linotype"/>
          <w:i/>
          <w:sz w:val="22"/>
          <w:szCs w:val="22"/>
        </w:rPr>
        <w:t>”</w:t>
      </w:r>
    </w:p>
    <w:p w14:paraId="7D2FF00E" w14:textId="77777777" w:rsidR="00CA7BF7" w:rsidRPr="00A15BFF" w:rsidRDefault="00EA6A07">
      <w:pPr>
        <w:spacing w:before="120" w:after="120"/>
        <w:ind w:left="851" w:right="760"/>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“TRANSPARENCIA Y ACCESO A LA INFORMACIÓN PÚBLICA GUBERNAMENTAL. EL ARTÍCULO 14, FRACCIÓN I, DE LA LEY FEDERAL RELATIVA, NO VIOLA LA GARANTÍA DE ACCESO A LA INFORMACIÓN.</w:t>
      </w:r>
      <w:r w:rsidRPr="00A15BFF">
        <w:rPr>
          <w:rFonts w:ascii="Palatino Linotype" w:eastAsia="Palatino Linotype" w:hAnsi="Palatino Linotype" w:cs="Palatino Linotype"/>
          <w:i/>
          <w:sz w:val="22"/>
          <w:szCs w:val="22"/>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A15BFF">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A15BFF">
        <w:rPr>
          <w:rFonts w:ascii="Palatino Linotype" w:eastAsia="Palatino Linotype" w:hAnsi="Palatino Linotype" w:cs="Palatino Linotype"/>
          <w:i/>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331953C8" w14:textId="77777777" w:rsidR="00CA7BF7" w:rsidRPr="00A15BFF" w:rsidRDefault="00EA6A07">
      <w:pPr>
        <w:widowControl w:val="0"/>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w:t>
      </w:r>
      <w:r w:rsidRPr="00A15BFF">
        <w:rPr>
          <w:rFonts w:ascii="Palatino Linotype" w:eastAsia="Palatino Linotype" w:hAnsi="Palatino Linotype" w:cs="Palatino Linotype"/>
        </w:rPr>
        <w:lastRenderedPageBreak/>
        <w:t xml:space="preserve">Información Pública y Protección de Datos Personales, motivando la referida clasificación al señalar las </w:t>
      </w:r>
      <w:r w:rsidRPr="00A15BFF">
        <w:rPr>
          <w:rFonts w:ascii="Palatino Linotype" w:eastAsia="Palatino Linotype" w:hAnsi="Palatino Linotype" w:cs="Palatino Linotype"/>
          <w:b/>
          <w:u w:val="single"/>
        </w:rPr>
        <w:t>razones, motivos o circunstancias especiales</w:t>
      </w:r>
      <w:r w:rsidRPr="00A15BFF">
        <w:rPr>
          <w:rFonts w:ascii="Palatino Linotype" w:eastAsia="Palatino Linotype" w:hAnsi="Palatino Linotype" w:cs="Palatino Linotype"/>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6DAFDB86" w14:textId="77777777" w:rsidR="00CA7BF7" w:rsidRPr="00A15BFF" w:rsidRDefault="00EA6A07">
      <w:pPr>
        <w:spacing w:before="240" w:after="240" w:line="360" w:lineRule="auto"/>
        <w:ind w:right="50"/>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A15BFF">
        <w:rPr>
          <w:rFonts w:ascii="Palatino Linotype" w:eastAsia="Palatino Linotype" w:hAnsi="Palatino Linotype" w:cs="Palatino Linotype"/>
        </w:rPr>
        <w:t>Responsable</w:t>
      </w:r>
      <w:proofErr w:type="gramEnd"/>
      <w:r w:rsidRPr="00A15BFF">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0E85828B" w14:textId="77777777" w:rsidR="00CA7BF7" w:rsidRPr="00A15BFF" w:rsidRDefault="00EA6A07">
      <w:pP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“Artículo 49.</w:t>
      </w:r>
      <w:r w:rsidRPr="00A15BFF">
        <w:rPr>
          <w:rFonts w:ascii="Palatino Linotype" w:eastAsia="Palatino Linotype" w:hAnsi="Palatino Linotype" w:cs="Palatino Linotype"/>
          <w:i/>
          <w:sz w:val="22"/>
          <w:szCs w:val="22"/>
        </w:rPr>
        <w:t xml:space="preserve"> </w:t>
      </w:r>
      <w:r w:rsidRPr="00A15BFF">
        <w:rPr>
          <w:rFonts w:ascii="Palatino Linotype" w:eastAsia="Palatino Linotype" w:hAnsi="Palatino Linotype" w:cs="Palatino Linotype"/>
          <w:b/>
          <w:i/>
          <w:sz w:val="22"/>
          <w:szCs w:val="22"/>
        </w:rPr>
        <w:t>Los Comités de Transparencia</w:t>
      </w:r>
      <w:r w:rsidRPr="00A15BFF">
        <w:rPr>
          <w:rFonts w:ascii="Palatino Linotype" w:eastAsia="Palatino Linotype" w:hAnsi="Palatino Linotype" w:cs="Palatino Linotype"/>
          <w:i/>
          <w:sz w:val="22"/>
          <w:szCs w:val="22"/>
        </w:rPr>
        <w:t xml:space="preserve"> tendrán las siguientes atribuciones:</w:t>
      </w:r>
    </w:p>
    <w:p w14:paraId="32EDC079" w14:textId="77777777" w:rsidR="00CA7BF7" w:rsidRPr="00A15BFF" w:rsidRDefault="00EA6A07">
      <w:pPr>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VIII. Aprobar, modificar o revocar la clasificación de la información</w:t>
      </w:r>
      <w:r w:rsidRPr="00A15BFF">
        <w:rPr>
          <w:rFonts w:ascii="Palatino Linotype" w:eastAsia="Palatino Linotype" w:hAnsi="Palatino Linotype" w:cs="Palatino Linotype"/>
          <w:i/>
          <w:sz w:val="22"/>
          <w:szCs w:val="22"/>
        </w:rPr>
        <w:t>…”</w:t>
      </w:r>
    </w:p>
    <w:p w14:paraId="65FDC1B7" w14:textId="77777777" w:rsidR="00CA7BF7" w:rsidRPr="00A15BFF" w:rsidRDefault="00EA6A07">
      <w:pP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i/>
          <w:sz w:val="22"/>
          <w:szCs w:val="22"/>
        </w:rPr>
        <w:t>“</w:t>
      </w:r>
      <w:r w:rsidRPr="00A15BFF">
        <w:rPr>
          <w:rFonts w:ascii="Palatino Linotype" w:eastAsia="Palatino Linotype" w:hAnsi="Palatino Linotype" w:cs="Palatino Linotype"/>
          <w:b/>
          <w:i/>
          <w:sz w:val="22"/>
          <w:szCs w:val="22"/>
        </w:rPr>
        <w:t>Artículo 53.</w:t>
      </w:r>
      <w:r w:rsidRPr="00A15BFF">
        <w:rPr>
          <w:rFonts w:ascii="Palatino Linotype" w:eastAsia="Palatino Linotype" w:hAnsi="Palatino Linotype" w:cs="Palatino Linotype"/>
          <w:i/>
          <w:sz w:val="22"/>
          <w:szCs w:val="22"/>
        </w:rPr>
        <w:t xml:space="preserve"> Las </w:t>
      </w:r>
      <w:r w:rsidRPr="00A15BFF">
        <w:rPr>
          <w:rFonts w:ascii="Palatino Linotype" w:eastAsia="Palatino Linotype" w:hAnsi="Palatino Linotype" w:cs="Palatino Linotype"/>
          <w:b/>
          <w:i/>
          <w:sz w:val="22"/>
          <w:szCs w:val="22"/>
        </w:rPr>
        <w:t>Unidades de Transparencia</w:t>
      </w:r>
      <w:r w:rsidRPr="00A15BFF">
        <w:rPr>
          <w:rFonts w:ascii="Palatino Linotype" w:eastAsia="Palatino Linotype" w:hAnsi="Palatino Linotype" w:cs="Palatino Linotype"/>
          <w:i/>
          <w:sz w:val="22"/>
          <w:szCs w:val="22"/>
        </w:rPr>
        <w:t xml:space="preserve"> tendrán las siguientes </w:t>
      </w:r>
      <w:r w:rsidRPr="00A15BFF">
        <w:rPr>
          <w:rFonts w:ascii="Palatino Linotype" w:eastAsia="Palatino Linotype" w:hAnsi="Palatino Linotype" w:cs="Palatino Linotype"/>
          <w:b/>
          <w:i/>
          <w:sz w:val="22"/>
          <w:szCs w:val="22"/>
        </w:rPr>
        <w:t>funciones</w:t>
      </w:r>
      <w:r w:rsidRPr="00A15BFF">
        <w:rPr>
          <w:rFonts w:ascii="Palatino Linotype" w:eastAsia="Palatino Linotype" w:hAnsi="Palatino Linotype" w:cs="Palatino Linotype"/>
          <w:i/>
          <w:sz w:val="22"/>
          <w:szCs w:val="22"/>
        </w:rPr>
        <w:t>:</w:t>
      </w:r>
    </w:p>
    <w:p w14:paraId="52FD6890" w14:textId="77777777" w:rsidR="00CA7BF7" w:rsidRPr="00A15BFF" w:rsidRDefault="00EA6A07">
      <w:pPr>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X. Presentar ante el Comité, el proyecto de clasificación de información</w:t>
      </w:r>
      <w:r w:rsidRPr="00A15BFF">
        <w:rPr>
          <w:rFonts w:ascii="Palatino Linotype" w:eastAsia="Palatino Linotype" w:hAnsi="Palatino Linotype" w:cs="Palatino Linotype"/>
          <w:i/>
          <w:sz w:val="22"/>
          <w:szCs w:val="22"/>
        </w:rPr>
        <w:t xml:space="preserve">…” </w:t>
      </w:r>
    </w:p>
    <w:p w14:paraId="5EA14968" w14:textId="77777777" w:rsidR="00CA7BF7" w:rsidRPr="00A15BFF" w:rsidRDefault="00EA6A07">
      <w:pP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lastRenderedPageBreak/>
        <w:t>“Artículo 59.</w:t>
      </w:r>
      <w:r w:rsidRPr="00A15BFF">
        <w:rPr>
          <w:rFonts w:ascii="Palatino Linotype" w:eastAsia="Palatino Linotype" w:hAnsi="Palatino Linotype" w:cs="Palatino Linotype"/>
          <w:i/>
          <w:sz w:val="22"/>
          <w:szCs w:val="22"/>
        </w:rPr>
        <w:t xml:space="preserve"> Los </w:t>
      </w:r>
      <w:r w:rsidRPr="00A15BFF">
        <w:rPr>
          <w:rFonts w:ascii="Palatino Linotype" w:eastAsia="Palatino Linotype" w:hAnsi="Palatino Linotype" w:cs="Palatino Linotype"/>
          <w:b/>
          <w:i/>
          <w:sz w:val="22"/>
          <w:szCs w:val="22"/>
        </w:rPr>
        <w:t>servidores públicos habilitados</w:t>
      </w:r>
      <w:r w:rsidRPr="00A15BFF">
        <w:rPr>
          <w:rFonts w:ascii="Palatino Linotype" w:eastAsia="Palatino Linotype" w:hAnsi="Palatino Linotype" w:cs="Palatino Linotype"/>
          <w:i/>
          <w:sz w:val="22"/>
          <w:szCs w:val="22"/>
        </w:rPr>
        <w:t xml:space="preserve"> tendrán las </w:t>
      </w:r>
      <w:r w:rsidRPr="00A15BFF">
        <w:rPr>
          <w:rFonts w:ascii="Palatino Linotype" w:eastAsia="Palatino Linotype" w:hAnsi="Palatino Linotype" w:cs="Palatino Linotype"/>
          <w:b/>
          <w:i/>
          <w:sz w:val="22"/>
          <w:szCs w:val="22"/>
        </w:rPr>
        <w:t>funciones</w:t>
      </w:r>
      <w:r w:rsidRPr="00A15BFF">
        <w:rPr>
          <w:rFonts w:ascii="Palatino Linotype" w:eastAsia="Palatino Linotype" w:hAnsi="Palatino Linotype" w:cs="Palatino Linotype"/>
          <w:i/>
          <w:sz w:val="22"/>
          <w:szCs w:val="22"/>
        </w:rPr>
        <w:t xml:space="preserve"> siguientes:</w:t>
      </w:r>
    </w:p>
    <w:p w14:paraId="6C8A069A" w14:textId="77777777" w:rsidR="00CA7BF7" w:rsidRPr="00A15BFF" w:rsidRDefault="00EA6A07">
      <w:pPr>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A15BFF">
        <w:rPr>
          <w:rFonts w:ascii="Palatino Linotype" w:eastAsia="Palatino Linotype" w:hAnsi="Palatino Linotype" w:cs="Palatino Linotype"/>
          <w:i/>
          <w:sz w:val="22"/>
          <w:szCs w:val="22"/>
        </w:rPr>
        <w:t>, la cual tendrá los fundamentos y argumentos en que se basa dicha propuesta…”</w:t>
      </w:r>
    </w:p>
    <w:p w14:paraId="062C2A66"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763469F"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66992B1C" w14:textId="77777777" w:rsidR="00CA7BF7" w:rsidRPr="00A15BFF" w:rsidRDefault="00EA6A07">
      <w:pP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i/>
          <w:sz w:val="22"/>
          <w:szCs w:val="22"/>
        </w:rPr>
        <w:t>“</w:t>
      </w:r>
      <w:r w:rsidRPr="00A15BFF">
        <w:rPr>
          <w:rFonts w:ascii="Palatino Linotype" w:eastAsia="Palatino Linotype" w:hAnsi="Palatino Linotype" w:cs="Palatino Linotype"/>
          <w:b/>
          <w:i/>
          <w:sz w:val="22"/>
          <w:szCs w:val="22"/>
        </w:rPr>
        <w:t>Artículo 149.</w:t>
      </w:r>
      <w:r w:rsidRPr="00A15BFF">
        <w:rPr>
          <w:rFonts w:ascii="Palatino Linotype" w:eastAsia="Palatino Linotype" w:hAnsi="Palatino Linotype" w:cs="Palatino Linotype"/>
          <w:i/>
          <w:sz w:val="22"/>
          <w:szCs w:val="22"/>
        </w:rPr>
        <w:t xml:space="preserve"> El </w:t>
      </w:r>
      <w:r w:rsidRPr="00A15BFF">
        <w:rPr>
          <w:rFonts w:ascii="Palatino Linotype" w:eastAsia="Palatino Linotype" w:hAnsi="Palatino Linotype" w:cs="Palatino Linotype"/>
          <w:b/>
          <w:i/>
          <w:sz w:val="22"/>
          <w:szCs w:val="22"/>
        </w:rPr>
        <w:t>acuerdo que clasifique la información como confidencial</w:t>
      </w:r>
      <w:r w:rsidRPr="00A15BFF">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1D17B9D9" w14:textId="77777777" w:rsidR="00CA7BF7" w:rsidRPr="00A15BFF" w:rsidRDefault="00EA6A07">
      <w:pPr>
        <w:spacing w:before="240" w:after="240" w:line="360" w:lineRule="auto"/>
        <w:ind w:right="51"/>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Es decir, el </w:t>
      </w:r>
      <w:r w:rsidRPr="00A15BFF">
        <w:rPr>
          <w:rFonts w:ascii="Palatino Linotype" w:eastAsia="Palatino Linotype" w:hAnsi="Palatino Linotype" w:cs="Palatino Linotype"/>
          <w:b/>
        </w:rPr>
        <w:t>Sujeto Obligado</w:t>
      </w:r>
      <w:r w:rsidRPr="00A15BFF">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w:t>
      </w:r>
      <w:r w:rsidRPr="00A15BFF">
        <w:rPr>
          <w:rFonts w:ascii="Palatino Linotype" w:eastAsia="Palatino Linotype" w:hAnsi="Palatino Linotype" w:cs="Palatino Linotype"/>
        </w:rPr>
        <w:lastRenderedPageBreak/>
        <w:t>tachado; en otras palabras si no se exponen de manera puntual las razones de la versión pública de la documentación entregada se estaría violentando el derecho de acceso a la información de la persona solicitante.</w:t>
      </w:r>
    </w:p>
    <w:p w14:paraId="32418A28" w14:textId="77777777" w:rsidR="00CA7BF7" w:rsidRPr="00A15BFF" w:rsidRDefault="00EA6A07">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Asimismo, respecto a las formalidades que deberá llevar el acuerdo de clasificación que deberá emitir el </w:t>
      </w:r>
      <w:r w:rsidRPr="00A15BFF">
        <w:rPr>
          <w:rFonts w:ascii="Palatino Linotype" w:eastAsia="Palatino Linotype" w:hAnsi="Palatino Linotype" w:cs="Palatino Linotype"/>
          <w:b/>
        </w:rPr>
        <w:t>Sujeto Obligado</w:t>
      </w:r>
      <w:r w:rsidRPr="00A15BFF">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presentación de la solicitud, señalan lo siguiente:</w:t>
      </w:r>
    </w:p>
    <w:p w14:paraId="175DEF95" w14:textId="77777777" w:rsidR="00CA7BF7" w:rsidRPr="00A15BFF" w:rsidRDefault="00EA6A07">
      <w:pP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 xml:space="preserve"> “Quincuagésimo. </w:t>
      </w:r>
      <w:r w:rsidRPr="00A15BFF">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9BCF2CF" w14:textId="77777777" w:rsidR="00CA7BF7" w:rsidRPr="00A15BFF" w:rsidRDefault="00EA6A0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 xml:space="preserve">Quincuagésimo primero. </w:t>
      </w:r>
      <w:r w:rsidRPr="00A15BFF">
        <w:rPr>
          <w:rFonts w:ascii="Palatino Linotype" w:eastAsia="Palatino Linotype" w:hAnsi="Palatino Linotype" w:cs="Palatino Linotype"/>
          <w:i/>
          <w:sz w:val="22"/>
          <w:szCs w:val="22"/>
        </w:rPr>
        <w:t xml:space="preserve">Toda acta del Comité de Transparencia deberá contener: </w:t>
      </w:r>
    </w:p>
    <w:p w14:paraId="30BBB436" w14:textId="77777777" w:rsidR="00CA7BF7" w:rsidRPr="00A15BFF" w:rsidRDefault="00EA6A0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I.</w:t>
      </w:r>
      <w:r w:rsidRPr="00A15BFF">
        <w:rPr>
          <w:rFonts w:ascii="Palatino Linotype" w:eastAsia="Palatino Linotype" w:hAnsi="Palatino Linotype" w:cs="Palatino Linotype"/>
          <w:i/>
          <w:sz w:val="22"/>
          <w:szCs w:val="22"/>
        </w:rPr>
        <w:t xml:space="preserve"> El número de sesión y fecha; </w:t>
      </w:r>
    </w:p>
    <w:p w14:paraId="2BFD3A42" w14:textId="77777777" w:rsidR="00CA7BF7" w:rsidRPr="00A15BFF" w:rsidRDefault="00EA6A0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II</w:t>
      </w:r>
      <w:r w:rsidRPr="00A15BFF">
        <w:rPr>
          <w:rFonts w:ascii="Palatino Linotype" w:eastAsia="Palatino Linotype" w:hAnsi="Palatino Linotype" w:cs="Palatino Linotype"/>
          <w:i/>
          <w:sz w:val="22"/>
          <w:szCs w:val="22"/>
        </w:rPr>
        <w:t xml:space="preserve">. El nombre del área que solicitó la clasificación de información; </w:t>
      </w:r>
    </w:p>
    <w:p w14:paraId="2CB0CA1F" w14:textId="77777777" w:rsidR="00CA7BF7" w:rsidRPr="00A15BFF" w:rsidRDefault="00EA6A0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III</w:t>
      </w:r>
      <w:r w:rsidRPr="00A15BFF">
        <w:rPr>
          <w:rFonts w:ascii="Palatino Linotype" w:eastAsia="Palatino Linotype" w:hAnsi="Palatino Linotype" w:cs="Palatino Linotype"/>
          <w:i/>
          <w:sz w:val="22"/>
          <w:szCs w:val="22"/>
        </w:rPr>
        <w:t xml:space="preserve">. La fundamentación legal y motivación correspondiente; </w:t>
      </w:r>
    </w:p>
    <w:p w14:paraId="1546E06E" w14:textId="77777777" w:rsidR="00CA7BF7" w:rsidRPr="00A15BFF" w:rsidRDefault="00EA6A0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IV</w:t>
      </w:r>
      <w:r w:rsidRPr="00A15BFF">
        <w:rPr>
          <w:rFonts w:ascii="Palatino Linotype" w:eastAsia="Palatino Linotype" w:hAnsi="Palatino Linotype" w:cs="Palatino Linotype"/>
          <w:i/>
          <w:sz w:val="22"/>
          <w:szCs w:val="22"/>
        </w:rPr>
        <w:t xml:space="preserve">. La resolución o resoluciones aprobadas; y </w:t>
      </w:r>
    </w:p>
    <w:p w14:paraId="5B1C9548" w14:textId="77777777" w:rsidR="00CA7BF7" w:rsidRPr="00A15BFF" w:rsidRDefault="00EA6A0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V</w:t>
      </w:r>
      <w:r w:rsidRPr="00A15BFF">
        <w:rPr>
          <w:rFonts w:ascii="Palatino Linotype" w:eastAsia="Palatino Linotype" w:hAnsi="Palatino Linotype" w:cs="Palatino Linotype"/>
          <w:i/>
          <w:sz w:val="22"/>
          <w:szCs w:val="22"/>
        </w:rPr>
        <w:t xml:space="preserve">. La rúbrica o firma digital de cada integrante del Comité de Transparencia. </w:t>
      </w:r>
    </w:p>
    <w:p w14:paraId="7297C345" w14:textId="77777777" w:rsidR="00CA7BF7" w:rsidRPr="00A15BFF" w:rsidRDefault="00EA6A0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432B1F48" w14:textId="77777777" w:rsidR="00CA7BF7" w:rsidRPr="00A15BFF" w:rsidRDefault="00EA6A0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I.</w:t>
      </w:r>
      <w:r w:rsidRPr="00A15BFF">
        <w:rPr>
          <w:rFonts w:ascii="Palatino Linotype" w:eastAsia="Palatino Linotype" w:hAnsi="Palatino Linotype" w:cs="Palatino Linotype"/>
          <w:i/>
          <w:sz w:val="22"/>
          <w:szCs w:val="22"/>
        </w:rPr>
        <w:t xml:space="preserve"> Los motivos y razonamientos que sustenten la confirmación o modificación de la prueba de daño;</w:t>
      </w:r>
    </w:p>
    <w:p w14:paraId="685BF8AD" w14:textId="77777777" w:rsidR="00CA7BF7" w:rsidRPr="00A15BFF" w:rsidRDefault="00EA6A07">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A15BFF">
        <w:rPr>
          <w:rFonts w:ascii="Palatino Linotype" w:eastAsia="Palatino Linotype" w:hAnsi="Palatino Linotype" w:cs="Palatino Linotype"/>
          <w:b/>
          <w:i/>
          <w:sz w:val="22"/>
          <w:szCs w:val="22"/>
        </w:rPr>
        <w:t>II</w:t>
      </w:r>
      <w:r w:rsidRPr="00A15BFF">
        <w:rPr>
          <w:rFonts w:ascii="Palatino Linotype" w:eastAsia="Palatino Linotype" w:hAnsi="Palatino Linotype" w:cs="Palatino Linotype"/>
          <w:i/>
          <w:sz w:val="22"/>
          <w:szCs w:val="22"/>
        </w:rPr>
        <w:t>. Descripción de las partes o secciones reservadas, en caso de clasificación parcial</w:t>
      </w:r>
      <w:r w:rsidRPr="00A15BFF">
        <w:rPr>
          <w:rFonts w:ascii="Palatino Linotype" w:eastAsia="Palatino Linotype" w:hAnsi="Palatino Linotype" w:cs="Palatino Linotype"/>
          <w:b/>
          <w:i/>
          <w:sz w:val="22"/>
          <w:szCs w:val="22"/>
        </w:rPr>
        <w:t xml:space="preserve">; </w:t>
      </w:r>
    </w:p>
    <w:p w14:paraId="2B5FF7CA" w14:textId="77777777" w:rsidR="00CA7BF7" w:rsidRPr="00A15BFF" w:rsidRDefault="00EA6A0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t>III.</w:t>
      </w:r>
      <w:r w:rsidRPr="00A15BFF">
        <w:rPr>
          <w:rFonts w:ascii="Palatino Linotype" w:eastAsia="Palatino Linotype" w:hAnsi="Palatino Linotype" w:cs="Palatino Linotype"/>
          <w:i/>
          <w:sz w:val="22"/>
          <w:szCs w:val="22"/>
        </w:rPr>
        <w:t xml:space="preserve"> El periodo por el que mantendrá su clasificación y fecha de expiración; y </w:t>
      </w:r>
    </w:p>
    <w:p w14:paraId="1BB1CC4A" w14:textId="77777777" w:rsidR="00CA7BF7" w:rsidRPr="00A15BFF" w:rsidRDefault="00EA6A0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b/>
          <w:i/>
          <w:sz w:val="22"/>
          <w:szCs w:val="22"/>
        </w:rPr>
        <w:lastRenderedPageBreak/>
        <w:t>IV.</w:t>
      </w:r>
      <w:r w:rsidRPr="00A15BFF">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0EF6E670" w14:textId="77777777" w:rsidR="00CA7BF7" w:rsidRPr="00A15BFF" w:rsidRDefault="00EA6A0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0F308F7" w14:textId="77777777" w:rsidR="00CA7BF7" w:rsidRPr="00A15BFF" w:rsidRDefault="00EA6A0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15BFF">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6ABC0FF"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3617EB9A" w14:textId="77777777" w:rsidR="00CA7BF7" w:rsidRPr="00A15BFF" w:rsidRDefault="00EA6A07">
      <w:pPr>
        <w:spacing w:before="120" w:after="120"/>
        <w:ind w:left="851" w:right="900"/>
        <w:jc w:val="both"/>
        <w:rPr>
          <w:rFonts w:ascii="Palatino Linotype" w:eastAsia="Palatino Linotype" w:hAnsi="Palatino Linotype" w:cs="Palatino Linotype"/>
          <w:i/>
          <w:sz w:val="21"/>
          <w:szCs w:val="21"/>
        </w:rPr>
      </w:pPr>
      <w:r w:rsidRPr="00A15BFF">
        <w:rPr>
          <w:rFonts w:ascii="Palatino Linotype" w:eastAsia="Palatino Linotype" w:hAnsi="Palatino Linotype" w:cs="Palatino Linotype"/>
          <w:i/>
          <w:sz w:val="21"/>
          <w:szCs w:val="21"/>
        </w:rPr>
        <w:t>“</w:t>
      </w:r>
      <w:r w:rsidRPr="00A15BFF">
        <w:rPr>
          <w:rFonts w:ascii="Palatino Linotype" w:eastAsia="Palatino Linotype" w:hAnsi="Palatino Linotype" w:cs="Palatino Linotype"/>
          <w:b/>
          <w:i/>
          <w:sz w:val="21"/>
          <w:szCs w:val="21"/>
        </w:rPr>
        <w:t>Quincuagésimo segundo</w:t>
      </w:r>
      <w:r w:rsidRPr="00A15BFF">
        <w:rPr>
          <w:rFonts w:ascii="Palatino Linotype" w:eastAsia="Palatino Linotype" w:hAnsi="Palatino Linotype" w:cs="Palatino Linotype"/>
          <w:i/>
          <w:sz w:val="21"/>
          <w:szCs w:val="21"/>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EB63B40" w14:textId="77777777" w:rsidR="00CA7BF7" w:rsidRPr="00A15BFF" w:rsidRDefault="00EA6A07">
      <w:pPr>
        <w:spacing w:before="120" w:after="120"/>
        <w:ind w:left="851" w:right="900"/>
        <w:jc w:val="both"/>
        <w:rPr>
          <w:rFonts w:ascii="Palatino Linotype" w:eastAsia="Palatino Linotype" w:hAnsi="Palatino Linotype" w:cs="Palatino Linotype"/>
          <w:i/>
          <w:sz w:val="21"/>
          <w:szCs w:val="21"/>
        </w:rPr>
      </w:pPr>
      <w:r w:rsidRPr="00A15BFF">
        <w:rPr>
          <w:rFonts w:ascii="Palatino Linotype" w:eastAsia="Palatino Linotype" w:hAnsi="Palatino Linotype" w:cs="Palatino Linotype"/>
          <w:i/>
          <w:sz w:val="21"/>
          <w:szCs w:val="21"/>
        </w:rPr>
        <w:t xml:space="preserve">En el caso específico de la clasificación y elaboración de versiones públicas de documentos que contengan información confidencial, las áreas de los sujetos obligados deberán: </w:t>
      </w:r>
    </w:p>
    <w:p w14:paraId="400BEAF4" w14:textId="77777777" w:rsidR="00CA7BF7" w:rsidRPr="00A15BFF" w:rsidRDefault="00EA6A07">
      <w:pPr>
        <w:spacing w:before="120" w:after="120"/>
        <w:ind w:left="1134" w:right="900"/>
        <w:jc w:val="both"/>
        <w:rPr>
          <w:rFonts w:ascii="Palatino Linotype" w:eastAsia="Palatino Linotype" w:hAnsi="Palatino Linotype" w:cs="Palatino Linotype"/>
          <w:i/>
          <w:sz w:val="21"/>
          <w:szCs w:val="21"/>
        </w:rPr>
      </w:pPr>
      <w:r w:rsidRPr="00A15BFF">
        <w:rPr>
          <w:rFonts w:ascii="Palatino Linotype" w:eastAsia="Palatino Linotype" w:hAnsi="Palatino Linotype" w:cs="Palatino Linotype"/>
          <w:b/>
          <w:i/>
          <w:sz w:val="21"/>
          <w:szCs w:val="21"/>
        </w:rPr>
        <w:t>I.</w:t>
      </w:r>
      <w:r w:rsidRPr="00A15BFF">
        <w:rPr>
          <w:rFonts w:ascii="Palatino Linotype" w:eastAsia="Palatino Linotype" w:hAnsi="Palatino Linotype" w:cs="Palatino Linotype"/>
          <w:i/>
          <w:sz w:val="21"/>
          <w:szCs w:val="21"/>
        </w:rPr>
        <w:t xml:space="preserve"> Fijar la fecha en que se elaboró la versión pública y la fecha en la cual el Comité de Transparencia confirmó dicha versión;</w:t>
      </w:r>
    </w:p>
    <w:p w14:paraId="24417147" w14:textId="77777777" w:rsidR="00CA7BF7" w:rsidRPr="00A15BFF" w:rsidRDefault="00EA6A07">
      <w:pPr>
        <w:spacing w:before="120" w:after="120"/>
        <w:ind w:left="1134" w:right="900"/>
        <w:jc w:val="both"/>
        <w:rPr>
          <w:rFonts w:ascii="Palatino Linotype" w:eastAsia="Palatino Linotype" w:hAnsi="Palatino Linotype" w:cs="Palatino Linotype"/>
          <w:i/>
          <w:sz w:val="21"/>
          <w:szCs w:val="21"/>
        </w:rPr>
      </w:pPr>
      <w:r w:rsidRPr="00A15BFF">
        <w:rPr>
          <w:rFonts w:ascii="Palatino Linotype" w:eastAsia="Palatino Linotype" w:hAnsi="Palatino Linotype" w:cs="Palatino Linotype"/>
          <w:b/>
          <w:i/>
          <w:sz w:val="21"/>
          <w:szCs w:val="21"/>
        </w:rPr>
        <w:t>II.</w:t>
      </w:r>
      <w:r w:rsidRPr="00A15BFF">
        <w:rPr>
          <w:rFonts w:ascii="Palatino Linotype" w:eastAsia="Palatino Linotype" w:hAnsi="Palatino Linotype" w:cs="Palatino Linotype"/>
          <w:i/>
          <w:sz w:val="21"/>
          <w:szCs w:val="21"/>
        </w:rPr>
        <w:t xml:space="preserve"> Señalar dentro del documento el tipo de información confidencial que fue testada en cada caso específico, de conformidad con el lineamiento trigésimo octavo; y</w:t>
      </w:r>
    </w:p>
    <w:p w14:paraId="7DA37413" w14:textId="77777777" w:rsidR="00CA7BF7" w:rsidRPr="00A15BFF" w:rsidRDefault="00EA6A07">
      <w:pPr>
        <w:spacing w:before="120" w:after="120"/>
        <w:ind w:left="1134" w:right="900"/>
        <w:jc w:val="both"/>
        <w:rPr>
          <w:rFonts w:ascii="Palatino Linotype" w:eastAsia="Palatino Linotype" w:hAnsi="Palatino Linotype" w:cs="Palatino Linotype"/>
          <w:i/>
          <w:sz w:val="21"/>
          <w:szCs w:val="21"/>
        </w:rPr>
      </w:pPr>
      <w:r w:rsidRPr="00A15BFF">
        <w:rPr>
          <w:rFonts w:ascii="Palatino Linotype" w:eastAsia="Palatino Linotype" w:hAnsi="Palatino Linotype" w:cs="Palatino Linotype"/>
          <w:b/>
          <w:i/>
          <w:sz w:val="21"/>
          <w:szCs w:val="21"/>
        </w:rPr>
        <w:t>III.</w:t>
      </w:r>
      <w:r w:rsidRPr="00A15BFF">
        <w:rPr>
          <w:rFonts w:ascii="Palatino Linotype" w:eastAsia="Palatino Linotype" w:hAnsi="Palatino Linotype" w:cs="Palatino Linotype"/>
          <w:i/>
          <w:sz w:val="21"/>
          <w:szCs w:val="21"/>
        </w:rPr>
        <w:t xml:space="preserve"> Señalar las personas o instancias autorizadas a acceder a la información clasificada.</w:t>
      </w:r>
    </w:p>
    <w:p w14:paraId="02A90174" w14:textId="77777777" w:rsidR="00CA7BF7" w:rsidRPr="00A15BFF" w:rsidRDefault="00EA6A07">
      <w:pPr>
        <w:spacing w:before="120" w:after="120"/>
        <w:ind w:left="851" w:right="900"/>
        <w:jc w:val="both"/>
        <w:rPr>
          <w:rFonts w:ascii="Palatino Linotype" w:eastAsia="Palatino Linotype" w:hAnsi="Palatino Linotype" w:cs="Palatino Linotype"/>
          <w:i/>
          <w:sz w:val="21"/>
          <w:szCs w:val="21"/>
        </w:rPr>
      </w:pPr>
      <w:r w:rsidRPr="00A15BFF">
        <w:rPr>
          <w:rFonts w:ascii="Palatino Linotype" w:eastAsia="Palatino Linotype" w:hAnsi="Palatino Linotype" w:cs="Palatino Linotype"/>
          <w:i/>
          <w:sz w:val="21"/>
          <w:szCs w:val="21"/>
        </w:rPr>
        <w:t>En los documentos de difusión electrónica, señalar en la primera hoja y en el nombre del archivo, que la versión pública corresponde a un documento que contiene información confidencial.”</w:t>
      </w:r>
    </w:p>
    <w:p w14:paraId="28A97F0E" w14:textId="77777777" w:rsidR="00CA7BF7" w:rsidRPr="00A15BFF" w:rsidRDefault="00EA6A07">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1"/>
          <w:szCs w:val="21"/>
        </w:rPr>
      </w:pPr>
      <w:r w:rsidRPr="00A15BFF">
        <w:rPr>
          <w:rFonts w:ascii="Palatino Linotype" w:eastAsia="Palatino Linotype" w:hAnsi="Palatino Linotype" w:cs="Palatino Linotype"/>
          <w:i/>
          <w:sz w:val="21"/>
          <w:szCs w:val="21"/>
        </w:rPr>
        <w:t>…</w:t>
      </w:r>
    </w:p>
    <w:p w14:paraId="097C139C" w14:textId="77777777" w:rsidR="00CA7BF7" w:rsidRPr="00A15BFF" w:rsidRDefault="00EA6A07">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1"/>
          <w:szCs w:val="21"/>
        </w:rPr>
      </w:pPr>
      <w:r w:rsidRPr="00A15BFF">
        <w:rPr>
          <w:rFonts w:ascii="Palatino Linotype" w:eastAsia="Palatino Linotype" w:hAnsi="Palatino Linotype" w:cs="Palatino Linotype"/>
          <w:b/>
          <w:i/>
          <w:sz w:val="21"/>
          <w:szCs w:val="21"/>
        </w:rPr>
        <w:t xml:space="preserve">Quincuagésimo cuarto. </w:t>
      </w:r>
      <w:r w:rsidRPr="00A15BFF">
        <w:rPr>
          <w:rFonts w:ascii="Palatino Linotype" w:eastAsia="Palatino Linotype" w:hAnsi="Palatino Linotype" w:cs="Palatino Linotype"/>
          <w:i/>
          <w:sz w:val="21"/>
          <w:szCs w:val="21"/>
        </w:rPr>
        <w:t xml:space="preserve">Cuando el Comité de Transparencia confirme la clasificación de documentos reservados y/o confidenciales, sea total o parcialmente; se deberá anexar al expediente la resolución que determinó la clasificación o, en su </w:t>
      </w:r>
      <w:r w:rsidRPr="00A15BFF">
        <w:rPr>
          <w:rFonts w:ascii="Palatino Linotype" w:eastAsia="Palatino Linotype" w:hAnsi="Palatino Linotype" w:cs="Palatino Linotype"/>
          <w:i/>
          <w:sz w:val="21"/>
          <w:szCs w:val="21"/>
        </w:rPr>
        <w:lastRenderedPageBreak/>
        <w:t>defecto, identificar en la carátula del expediente del cual formen parte, la fecha y sesión del Comité de Transparencia en la que se confirmó dicha clasificación.</w:t>
      </w:r>
      <w:r w:rsidRPr="00A15BFF">
        <w:rPr>
          <w:rFonts w:ascii="Palatino Linotype" w:eastAsia="Palatino Linotype" w:hAnsi="Palatino Linotype" w:cs="Palatino Linotype"/>
          <w:b/>
          <w:i/>
          <w:sz w:val="21"/>
          <w:szCs w:val="21"/>
        </w:rPr>
        <w:t xml:space="preserve"> </w:t>
      </w:r>
    </w:p>
    <w:p w14:paraId="7808F1C7" w14:textId="77777777" w:rsidR="00CA7BF7" w:rsidRPr="00A15BFF" w:rsidRDefault="00EA6A07">
      <w:pPr>
        <w:spacing w:before="120" w:after="120"/>
        <w:ind w:left="851" w:right="902"/>
        <w:jc w:val="both"/>
        <w:rPr>
          <w:rFonts w:ascii="Palatino Linotype" w:eastAsia="Palatino Linotype" w:hAnsi="Palatino Linotype" w:cs="Palatino Linotype"/>
          <w:i/>
          <w:sz w:val="21"/>
          <w:szCs w:val="21"/>
        </w:rPr>
      </w:pPr>
      <w:r w:rsidRPr="00A15BFF">
        <w:rPr>
          <w:rFonts w:ascii="Palatino Linotype" w:eastAsia="Palatino Linotype" w:hAnsi="Palatino Linotype" w:cs="Palatino Linotype"/>
          <w:b/>
          <w:i/>
          <w:sz w:val="21"/>
          <w:szCs w:val="21"/>
        </w:rPr>
        <w:t xml:space="preserve">Quincuagésimo quinto. </w:t>
      </w:r>
      <w:r w:rsidRPr="00A15BFF">
        <w:rPr>
          <w:rFonts w:ascii="Palatino Linotype" w:eastAsia="Palatino Linotype" w:hAnsi="Palatino Linotype" w:cs="Palatino Linotype"/>
          <w:i/>
          <w:sz w:val="21"/>
          <w:szCs w:val="21"/>
        </w:rPr>
        <w:t xml:space="preserve">Cada área del sujeto obligado podrá designar formalmente a una o más personas como responsables del </w:t>
      </w:r>
      <w:proofErr w:type="spellStart"/>
      <w:r w:rsidRPr="00A15BFF">
        <w:rPr>
          <w:rFonts w:ascii="Palatino Linotype" w:eastAsia="Palatino Linotype" w:hAnsi="Palatino Linotype" w:cs="Palatino Linotype"/>
          <w:i/>
          <w:sz w:val="21"/>
          <w:szCs w:val="21"/>
        </w:rPr>
        <w:t>testado</w:t>
      </w:r>
      <w:proofErr w:type="spellEnd"/>
      <w:r w:rsidRPr="00A15BFF">
        <w:rPr>
          <w:rFonts w:ascii="Palatino Linotype" w:eastAsia="Palatino Linotype" w:hAnsi="Palatino Linotype" w:cs="Palatino Linotype"/>
          <w:i/>
          <w:sz w:val="21"/>
          <w:szCs w:val="21"/>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A3062A5" w14:textId="77777777" w:rsidR="00CA7BF7" w:rsidRPr="00A15BFF" w:rsidRDefault="00EA6A07">
      <w:pPr>
        <w:spacing w:before="120" w:after="120"/>
        <w:ind w:left="851" w:right="902"/>
        <w:jc w:val="both"/>
        <w:rPr>
          <w:rFonts w:ascii="Palatino Linotype" w:eastAsia="Palatino Linotype" w:hAnsi="Palatino Linotype" w:cs="Palatino Linotype"/>
          <w:b/>
          <w:i/>
          <w:sz w:val="21"/>
          <w:szCs w:val="21"/>
        </w:rPr>
      </w:pPr>
      <w:r w:rsidRPr="00A15BFF">
        <w:rPr>
          <w:rFonts w:ascii="Palatino Linotype" w:eastAsia="Palatino Linotype" w:hAnsi="Palatino Linotype" w:cs="Palatino Linotype"/>
          <w:b/>
          <w:i/>
          <w:sz w:val="21"/>
          <w:szCs w:val="21"/>
        </w:rPr>
        <w:t>...</w:t>
      </w:r>
    </w:p>
    <w:p w14:paraId="7D451773" w14:textId="77777777" w:rsidR="00CA7BF7" w:rsidRPr="00A15BFF" w:rsidRDefault="00EA6A07">
      <w:pPr>
        <w:spacing w:before="120" w:after="120"/>
        <w:ind w:left="851" w:right="902"/>
        <w:jc w:val="both"/>
        <w:rPr>
          <w:rFonts w:ascii="Palatino Linotype" w:eastAsia="Palatino Linotype" w:hAnsi="Palatino Linotype" w:cs="Palatino Linotype"/>
          <w:i/>
          <w:sz w:val="21"/>
          <w:szCs w:val="21"/>
        </w:rPr>
      </w:pPr>
      <w:r w:rsidRPr="00A15BFF">
        <w:rPr>
          <w:rFonts w:ascii="Palatino Linotype" w:eastAsia="Palatino Linotype" w:hAnsi="Palatino Linotype" w:cs="Palatino Linotype"/>
          <w:b/>
          <w:i/>
          <w:sz w:val="21"/>
          <w:szCs w:val="21"/>
        </w:rPr>
        <w:t>Quincuagésimo séptimo</w:t>
      </w:r>
      <w:r w:rsidRPr="00A15BFF">
        <w:rPr>
          <w:rFonts w:ascii="Palatino Linotype" w:eastAsia="Palatino Linotype" w:hAnsi="Palatino Linotype" w:cs="Palatino Linotype"/>
          <w:i/>
          <w:sz w:val="21"/>
          <w:szCs w:val="21"/>
        </w:rPr>
        <w:t xml:space="preserve">. Se considera, en principio, como información pública y no podrá omitirse de las versiones públicas la siguiente: </w:t>
      </w:r>
    </w:p>
    <w:p w14:paraId="5EA189DE" w14:textId="77777777" w:rsidR="00CA7BF7" w:rsidRPr="00A15BFF" w:rsidRDefault="00EA6A07">
      <w:pPr>
        <w:spacing w:before="120" w:after="120"/>
        <w:ind w:left="1134" w:right="902"/>
        <w:jc w:val="both"/>
        <w:rPr>
          <w:rFonts w:ascii="Palatino Linotype" w:eastAsia="Palatino Linotype" w:hAnsi="Palatino Linotype" w:cs="Palatino Linotype"/>
          <w:i/>
          <w:sz w:val="21"/>
          <w:szCs w:val="21"/>
        </w:rPr>
      </w:pPr>
      <w:r w:rsidRPr="00A15BFF">
        <w:rPr>
          <w:rFonts w:ascii="Palatino Linotype" w:eastAsia="Palatino Linotype" w:hAnsi="Palatino Linotype" w:cs="Palatino Linotype"/>
          <w:b/>
          <w:i/>
          <w:sz w:val="21"/>
          <w:szCs w:val="21"/>
        </w:rPr>
        <w:t>I</w:t>
      </w:r>
      <w:r w:rsidRPr="00A15BFF">
        <w:rPr>
          <w:rFonts w:ascii="Palatino Linotype" w:eastAsia="Palatino Linotype" w:hAnsi="Palatino Linotype" w:cs="Palatino Linotype"/>
          <w:i/>
          <w:sz w:val="21"/>
          <w:szCs w:val="21"/>
        </w:rPr>
        <w:t xml:space="preserve">. La relativa a las Obligaciones de Transparencia que contempla el Título V de la Ley General y las demás disposiciones legales aplicables; </w:t>
      </w:r>
    </w:p>
    <w:p w14:paraId="7632E37C" w14:textId="77777777" w:rsidR="00CA7BF7" w:rsidRPr="00A15BFF" w:rsidRDefault="00EA6A07">
      <w:pPr>
        <w:spacing w:before="120" w:after="120"/>
        <w:ind w:left="1134" w:right="902"/>
        <w:jc w:val="both"/>
        <w:rPr>
          <w:rFonts w:ascii="Palatino Linotype" w:eastAsia="Palatino Linotype" w:hAnsi="Palatino Linotype" w:cs="Palatino Linotype"/>
          <w:i/>
          <w:sz w:val="21"/>
          <w:szCs w:val="21"/>
        </w:rPr>
      </w:pPr>
      <w:r w:rsidRPr="00A15BFF">
        <w:rPr>
          <w:rFonts w:ascii="Palatino Linotype" w:eastAsia="Palatino Linotype" w:hAnsi="Palatino Linotype" w:cs="Palatino Linotype"/>
          <w:b/>
          <w:i/>
          <w:sz w:val="21"/>
          <w:szCs w:val="21"/>
        </w:rPr>
        <w:t>II.</w:t>
      </w:r>
      <w:r w:rsidRPr="00A15BFF">
        <w:rPr>
          <w:rFonts w:ascii="Palatino Linotype" w:eastAsia="Palatino Linotype" w:hAnsi="Palatino Linotype" w:cs="Palatino Linotype"/>
          <w:i/>
          <w:sz w:val="21"/>
          <w:szCs w:val="21"/>
        </w:rPr>
        <w:t xml:space="preserve"> El nombre de los integrantes de los sujetos obligados en los documentos, y sus firmas autógrafas o digitales, cuando sean utilizados en el ejercicio de las facultades conferidas para el desempeño del servicio público, y</w:t>
      </w:r>
    </w:p>
    <w:p w14:paraId="194E0416" w14:textId="77777777" w:rsidR="00CA7BF7" w:rsidRPr="00A15BFF" w:rsidRDefault="00EA6A07">
      <w:pPr>
        <w:spacing w:before="120" w:after="120"/>
        <w:ind w:left="1134" w:right="902"/>
        <w:jc w:val="both"/>
        <w:rPr>
          <w:rFonts w:ascii="Palatino Linotype" w:eastAsia="Palatino Linotype" w:hAnsi="Palatino Linotype" w:cs="Palatino Linotype"/>
          <w:i/>
          <w:sz w:val="21"/>
          <w:szCs w:val="21"/>
        </w:rPr>
      </w:pPr>
      <w:r w:rsidRPr="00A15BFF">
        <w:rPr>
          <w:rFonts w:ascii="Palatino Linotype" w:eastAsia="Palatino Linotype" w:hAnsi="Palatino Linotype" w:cs="Palatino Linotype"/>
          <w:b/>
          <w:i/>
          <w:sz w:val="21"/>
          <w:szCs w:val="21"/>
        </w:rPr>
        <w:t>III</w:t>
      </w:r>
      <w:r w:rsidRPr="00A15BFF">
        <w:rPr>
          <w:rFonts w:ascii="Palatino Linotype" w:eastAsia="Palatino Linotype" w:hAnsi="Palatino Linotype" w:cs="Palatino Linotype"/>
          <w:i/>
          <w:sz w:val="21"/>
          <w:szCs w:val="21"/>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60FF732B" w14:textId="77777777" w:rsidR="00CA7BF7" w:rsidRPr="00A15BFF" w:rsidRDefault="00EA6A07">
      <w:pPr>
        <w:spacing w:before="120" w:after="120"/>
        <w:ind w:left="851" w:right="902"/>
        <w:jc w:val="both"/>
        <w:rPr>
          <w:rFonts w:ascii="Palatino Linotype" w:eastAsia="Palatino Linotype" w:hAnsi="Palatino Linotype" w:cs="Palatino Linotype"/>
          <w:i/>
          <w:sz w:val="21"/>
          <w:szCs w:val="21"/>
        </w:rPr>
      </w:pPr>
      <w:r w:rsidRPr="00A15BFF">
        <w:rPr>
          <w:rFonts w:ascii="Palatino Linotype" w:eastAsia="Palatino Linotype" w:hAnsi="Palatino Linotype" w:cs="Palatino Linotype"/>
          <w:i/>
          <w:sz w:val="21"/>
          <w:szCs w:val="21"/>
        </w:rPr>
        <w:t xml:space="preserve">Lo anterior, siempre y cuando no se acredite alguna causal de clasificación, prevista en las leyes o en los tratados internacionales suscritas por el Estado mexicano.  </w:t>
      </w:r>
    </w:p>
    <w:p w14:paraId="42F214C8" w14:textId="77777777" w:rsidR="00CA7BF7" w:rsidRPr="00A15BFF" w:rsidRDefault="00EA6A07">
      <w:pPr>
        <w:spacing w:before="120" w:after="120"/>
        <w:ind w:left="851" w:right="902"/>
        <w:jc w:val="both"/>
        <w:rPr>
          <w:rFonts w:ascii="Palatino Linotype" w:eastAsia="Palatino Linotype" w:hAnsi="Palatino Linotype" w:cs="Palatino Linotype"/>
          <w:i/>
          <w:sz w:val="21"/>
          <w:szCs w:val="21"/>
        </w:rPr>
      </w:pPr>
      <w:r w:rsidRPr="00A15BFF">
        <w:rPr>
          <w:rFonts w:ascii="Palatino Linotype" w:eastAsia="Palatino Linotype" w:hAnsi="Palatino Linotype" w:cs="Palatino Linotype"/>
          <w:b/>
          <w:i/>
          <w:sz w:val="21"/>
          <w:szCs w:val="21"/>
        </w:rPr>
        <w:t>Quincuagésimo octavo</w:t>
      </w:r>
      <w:r w:rsidRPr="00A15BFF">
        <w:rPr>
          <w:rFonts w:ascii="Palatino Linotype" w:eastAsia="Palatino Linotype" w:hAnsi="Palatino Linotype" w:cs="Palatino Linotype"/>
          <w:i/>
          <w:sz w:val="21"/>
          <w:szCs w:val="21"/>
        </w:rPr>
        <w:t>. Los sujetos obligados garantizarán que los sistemas o medios empleados para eliminar la información en las versiones públicas sean irreversibles, de tal forma que no permitan su recuperación o la visualización de la misma.”</w:t>
      </w:r>
    </w:p>
    <w:p w14:paraId="5C142687"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Así, con fundamento en lo prescrito en los artículos 5 párrafos trigésimo séptimo, trigésimo octavo y trigésimo noveno de la Constitución Política del Estado Libre y Soberano de México; 2, fracción II; 29, 36 fracciones I y II; 176, 178, 181, 185 y 186 fracción II de la Ley de Transparencia y Acceso a la Información Pública del Estado de México y Municipios, este Pleno:</w:t>
      </w:r>
    </w:p>
    <w:p w14:paraId="0C16FC23" w14:textId="77777777" w:rsidR="00CA7BF7" w:rsidRPr="00A15BFF" w:rsidRDefault="00CA7BF7">
      <w:pPr>
        <w:spacing w:before="240" w:after="240" w:line="360" w:lineRule="auto"/>
        <w:jc w:val="both"/>
        <w:rPr>
          <w:rFonts w:ascii="Palatino Linotype" w:eastAsia="Palatino Linotype" w:hAnsi="Palatino Linotype" w:cs="Palatino Linotype"/>
        </w:rPr>
      </w:pPr>
    </w:p>
    <w:p w14:paraId="68D37E30" w14:textId="77777777" w:rsidR="00CA7BF7" w:rsidRPr="00A15BFF" w:rsidRDefault="00EA6A07">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A15BFF">
        <w:rPr>
          <w:rFonts w:ascii="Palatino Linotype" w:eastAsia="Palatino Linotype" w:hAnsi="Palatino Linotype" w:cs="Palatino Linotype"/>
          <w:b/>
        </w:rPr>
        <w:lastRenderedPageBreak/>
        <w:t>III. R E S U E L V E</w:t>
      </w:r>
    </w:p>
    <w:p w14:paraId="149CEF7A" w14:textId="77777777" w:rsidR="00CA7BF7" w:rsidRPr="00A15BFF" w:rsidRDefault="00EA6A07">
      <w:pPr>
        <w:spacing w:before="240" w:after="240" w:line="360" w:lineRule="auto"/>
        <w:jc w:val="both"/>
        <w:rPr>
          <w:rFonts w:ascii="Palatino Linotype" w:eastAsia="Palatino Linotype" w:hAnsi="Palatino Linotype" w:cs="Palatino Linotype"/>
        </w:rPr>
      </w:pPr>
      <w:bookmarkStart w:id="12" w:name="_heading=h.1t3h5sf" w:colFirst="0" w:colLast="0"/>
      <w:bookmarkEnd w:id="12"/>
      <w:r w:rsidRPr="00A15BFF">
        <w:rPr>
          <w:rFonts w:ascii="Palatino Linotype" w:eastAsia="Palatino Linotype" w:hAnsi="Palatino Linotype" w:cs="Palatino Linotype"/>
          <w:b/>
        </w:rPr>
        <w:t xml:space="preserve">Primero. </w:t>
      </w:r>
      <w:r w:rsidRPr="00A15BFF">
        <w:rPr>
          <w:rFonts w:ascii="Palatino Linotype" w:eastAsia="Palatino Linotype" w:hAnsi="Palatino Linotype" w:cs="Palatino Linotype"/>
        </w:rPr>
        <w:t>Resultan</w:t>
      </w:r>
      <w:r w:rsidRPr="00A15BFF">
        <w:rPr>
          <w:rFonts w:ascii="Palatino Linotype" w:eastAsia="Palatino Linotype" w:hAnsi="Palatino Linotype" w:cs="Palatino Linotype"/>
          <w:b/>
        </w:rPr>
        <w:t xml:space="preserve"> fundadas</w:t>
      </w:r>
      <w:r w:rsidRPr="00A15BFF">
        <w:rPr>
          <w:rFonts w:ascii="Palatino Linotype" w:eastAsia="Palatino Linotype" w:hAnsi="Palatino Linotype" w:cs="Palatino Linotype"/>
        </w:rPr>
        <w:t xml:space="preserve"> las razones o motivos de inconformidad hechos valer por la parte</w:t>
      </w:r>
      <w:r w:rsidRPr="00A15BFF">
        <w:rPr>
          <w:rFonts w:ascii="Palatino Linotype" w:eastAsia="Palatino Linotype" w:hAnsi="Palatino Linotype" w:cs="Palatino Linotype"/>
          <w:b/>
        </w:rPr>
        <w:t xml:space="preserve"> Recurrente</w:t>
      </w:r>
      <w:r w:rsidRPr="00A15BFF">
        <w:rPr>
          <w:rFonts w:ascii="Palatino Linotype" w:eastAsia="Palatino Linotype" w:hAnsi="Palatino Linotype" w:cs="Palatino Linotype"/>
        </w:rPr>
        <w:t xml:space="preserve"> en el recurso de revisión </w:t>
      </w:r>
      <w:r w:rsidRPr="00A15BFF">
        <w:rPr>
          <w:rFonts w:ascii="Palatino Linotype" w:eastAsia="Palatino Linotype" w:hAnsi="Palatino Linotype" w:cs="Palatino Linotype"/>
          <w:b/>
        </w:rPr>
        <w:t>03044/INFOEM/IP/RR/2025</w:t>
      </w:r>
      <w:r w:rsidRPr="00A15BFF">
        <w:rPr>
          <w:rFonts w:ascii="Palatino Linotype" w:eastAsia="Palatino Linotype" w:hAnsi="Palatino Linotype" w:cs="Palatino Linotype"/>
        </w:rPr>
        <w:t xml:space="preserve">; por lo que, en términos del </w:t>
      </w:r>
      <w:r w:rsidRPr="00A15BFF">
        <w:rPr>
          <w:rFonts w:ascii="Palatino Linotype" w:eastAsia="Palatino Linotype" w:hAnsi="Palatino Linotype" w:cs="Palatino Linotype"/>
          <w:b/>
        </w:rPr>
        <w:t>Considerando</w:t>
      </w:r>
      <w:r w:rsidRPr="00A15BFF">
        <w:rPr>
          <w:rFonts w:ascii="Palatino Linotype" w:eastAsia="Palatino Linotype" w:hAnsi="Palatino Linotype" w:cs="Palatino Linotype"/>
        </w:rPr>
        <w:t xml:space="preserve"> </w:t>
      </w:r>
      <w:r w:rsidRPr="00A15BFF">
        <w:rPr>
          <w:rFonts w:ascii="Palatino Linotype" w:eastAsia="Palatino Linotype" w:hAnsi="Palatino Linotype" w:cs="Palatino Linotype"/>
          <w:b/>
        </w:rPr>
        <w:t xml:space="preserve">Cuarto </w:t>
      </w:r>
      <w:r w:rsidRPr="00A15BFF">
        <w:rPr>
          <w:rFonts w:ascii="Palatino Linotype" w:eastAsia="Palatino Linotype" w:hAnsi="Palatino Linotype" w:cs="Palatino Linotype"/>
        </w:rPr>
        <w:t xml:space="preserve">de esta resolución, se </w:t>
      </w:r>
      <w:r w:rsidRPr="00A15BFF">
        <w:rPr>
          <w:rFonts w:ascii="Palatino Linotype" w:eastAsia="Palatino Linotype" w:hAnsi="Palatino Linotype" w:cs="Palatino Linotype"/>
          <w:b/>
        </w:rPr>
        <w:t>Revoca</w:t>
      </w:r>
      <w:r w:rsidRPr="00A15BFF">
        <w:rPr>
          <w:rFonts w:ascii="Palatino Linotype" w:eastAsia="Palatino Linotype" w:hAnsi="Palatino Linotype" w:cs="Palatino Linotype"/>
        </w:rPr>
        <w:t xml:space="preserve"> la respuesta emitida por el </w:t>
      </w:r>
      <w:r w:rsidRPr="00A15BFF">
        <w:rPr>
          <w:rFonts w:ascii="Palatino Linotype" w:eastAsia="Palatino Linotype" w:hAnsi="Palatino Linotype" w:cs="Palatino Linotype"/>
          <w:b/>
        </w:rPr>
        <w:t xml:space="preserve">Sujeto Obligado. </w:t>
      </w:r>
    </w:p>
    <w:p w14:paraId="639BCE58" w14:textId="77777777" w:rsidR="00CA7BF7" w:rsidRPr="00A15BFF" w:rsidRDefault="00EA6A07">
      <w:pPr>
        <w:spacing w:before="240" w:after="240" w:line="360" w:lineRule="auto"/>
        <w:ind w:right="49"/>
        <w:jc w:val="both"/>
        <w:rPr>
          <w:rFonts w:ascii="Palatino Linotype" w:eastAsia="Palatino Linotype" w:hAnsi="Palatino Linotype" w:cs="Palatino Linotype"/>
        </w:rPr>
      </w:pPr>
      <w:r w:rsidRPr="00A15BFF">
        <w:rPr>
          <w:rFonts w:ascii="Palatino Linotype" w:eastAsia="Palatino Linotype" w:hAnsi="Palatino Linotype" w:cs="Palatino Linotype"/>
          <w:b/>
        </w:rPr>
        <w:t xml:space="preserve">Segundo. </w:t>
      </w:r>
      <w:r w:rsidRPr="00A15BFF">
        <w:rPr>
          <w:rFonts w:ascii="Palatino Linotype" w:eastAsia="Palatino Linotype" w:hAnsi="Palatino Linotype" w:cs="Palatino Linotype"/>
        </w:rPr>
        <w:t xml:space="preserve">Se </w:t>
      </w:r>
      <w:r w:rsidRPr="00A15BFF">
        <w:rPr>
          <w:rFonts w:ascii="Palatino Linotype" w:eastAsia="Palatino Linotype" w:hAnsi="Palatino Linotype" w:cs="Palatino Linotype"/>
          <w:b/>
        </w:rPr>
        <w:t xml:space="preserve">Ordena </w:t>
      </w:r>
      <w:r w:rsidRPr="00A15BFF">
        <w:rPr>
          <w:rFonts w:ascii="Palatino Linotype" w:eastAsia="Palatino Linotype" w:hAnsi="Palatino Linotype" w:cs="Palatino Linotype"/>
        </w:rPr>
        <w:t xml:space="preserve">al </w:t>
      </w:r>
      <w:r w:rsidRPr="00A15BFF">
        <w:rPr>
          <w:rFonts w:ascii="Palatino Linotype" w:eastAsia="Palatino Linotype" w:hAnsi="Palatino Linotype" w:cs="Palatino Linotype"/>
          <w:b/>
        </w:rPr>
        <w:t xml:space="preserve">Sujeto Obligado, </w:t>
      </w:r>
      <w:r w:rsidRPr="00A15BFF">
        <w:rPr>
          <w:rFonts w:ascii="Palatino Linotype" w:eastAsia="Palatino Linotype" w:hAnsi="Palatino Linotype" w:cs="Palatino Linotype"/>
        </w:rPr>
        <w:t xml:space="preserve">en términos de los </w:t>
      </w:r>
      <w:r w:rsidRPr="00A15BFF">
        <w:rPr>
          <w:rFonts w:ascii="Palatino Linotype" w:eastAsia="Palatino Linotype" w:hAnsi="Palatino Linotype" w:cs="Palatino Linotype"/>
          <w:b/>
        </w:rPr>
        <w:t xml:space="preserve">Considerandos </w:t>
      </w:r>
      <w:proofErr w:type="gramStart"/>
      <w:r w:rsidRPr="00A15BFF">
        <w:rPr>
          <w:rFonts w:ascii="Palatino Linotype" w:eastAsia="Palatino Linotype" w:hAnsi="Palatino Linotype" w:cs="Palatino Linotype"/>
          <w:b/>
        </w:rPr>
        <w:t xml:space="preserve">Cuarto </w:t>
      </w:r>
      <w:r w:rsidRPr="00A15BFF">
        <w:rPr>
          <w:rFonts w:ascii="Palatino Linotype" w:eastAsia="Palatino Linotype" w:hAnsi="Palatino Linotype" w:cs="Palatino Linotype"/>
        </w:rPr>
        <w:t xml:space="preserve"> y</w:t>
      </w:r>
      <w:proofErr w:type="gramEnd"/>
      <w:r w:rsidRPr="00A15BFF">
        <w:rPr>
          <w:rFonts w:ascii="Palatino Linotype" w:eastAsia="Palatino Linotype" w:hAnsi="Palatino Linotype" w:cs="Palatino Linotype"/>
        </w:rPr>
        <w:t xml:space="preserve"> </w:t>
      </w:r>
      <w:r w:rsidRPr="00A15BFF">
        <w:rPr>
          <w:rFonts w:ascii="Palatino Linotype" w:eastAsia="Palatino Linotype" w:hAnsi="Palatino Linotype" w:cs="Palatino Linotype"/>
          <w:b/>
        </w:rPr>
        <w:t xml:space="preserve">Quinto </w:t>
      </w:r>
      <w:r w:rsidRPr="00A15BFF">
        <w:rPr>
          <w:rFonts w:ascii="Palatino Linotype" w:eastAsia="Palatino Linotype" w:hAnsi="Palatino Linotype" w:cs="Palatino Linotype"/>
        </w:rPr>
        <w:t xml:space="preserve">de esta resolución, haga entrega, vía </w:t>
      </w:r>
      <w:r w:rsidRPr="00A15BFF">
        <w:rPr>
          <w:rFonts w:ascii="Palatino Linotype" w:eastAsia="Palatino Linotype" w:hAnsi="Palatino Linotype" w:cs="Palatino Linotype"/>
          <w:b/>
        </w:rPr>
        <w:t>SAIMEX</w:t>
      </w:r>
      <w:r w:rsidRPr="00A15BFF">
        <w:rPr>
          <w:rFonts w:ascii="Palatino Linotype" w:eastAsia="Palatino Linotype" w:hAnsi="Palatino Linotype" w:cs="Palatino Linotype"/>
        </w:rPr>
        <w:t>, en versión pública de lo siguiente:</w:t>
      </w:r>
    </w:p>
    <w:p w14:paraId="6B47FA8E" w14:textId="77777777" w:rsidR="00CA7BF7" w:rsidRPr="00A15BFF" w:rsidRDefault="00EA6A07">
      <w:pPr>
        <w:spacing w:before="240" w:after="240" w:line="360" w:lineRule="auto"/>
        <w:ind w:left="284"/>
        <w:jc w:val="both"/>
        <w:rPr>
          <w:rFonts w:ascii="Palatino Linotype" w:eastAsia="Palatino Linotype" w:hAnsi="Palatino Linotype" w:cs="Palatino Linotype"/>
        </w:rPr>
      </w:pPr>
      <w:bookmarkStart w:id="13" w:name="_heading=h.1fob9te" w:colFirst="0" w:colLast="0"/>
      <w:bookmarkEnd w:id="13"/>
      <w:r w:rsidRPr="00A15BFF">
        <w:rPr>
          <w:rFonts w:ascii="Palatino Linotype" w:eastAsia="Palatino Linotype" w:hAnsi="Palatino Linotype" w:cs="Palatino Linotype"/>
        </w:rPr>
        <w:t>1. La conciliación de nómina de la primera quincena de febrero de dos mil veinticinco.</w:t>
      </w:r>
    </w:p>
    <w:p w14:paraId="43640BB4" w14:textId="77777777" w:rsidR="00CA7BF7" w:rsidRPr="00A15BFF" w:rsidRDefault="00EA6A07">
      <w:pPr>
        <w:pBdr>
          <w:top w:val="nil"/>
          <w:left w:val="nil"/>
          <w:bottom w:val="nil"/>
          <w:right w:val="nil"/>
          <w:between w:val="nil"/>
        </w:pBdr>
        <w:ind w:left="284"/>
        <w:jc w:val="both"/>
        <w:rPr>
          <w:rFonts w:ascii="Palatino Linotype" w:eastAsia="Palatino Linotype" w:hAnsi="Palatino Linotype" w:cs="Palatino Linotype"/>
          <w:i/>
          <w:sz w:val="20"/>
          <w:szCs w:val="20"/>
        </w:rPr>
      </w:pPr>
      <w:r w:rsidRPr="00A15BFF">
        <w:rPr>
          <w:rFonts w:ascii="Palatino Linotype" w:eastAsia="Palatino Linotype" w:hAnsi="Palatino Linotype" w:cs="Palatino Linotype"/>
          <w:i/>
          <w:sz w:val="20"/>
          <w:szCs w:val="20"/>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w:t>
      </w:r>
      <w:r w:rsidRPr="00A15BFF">
        <w:rPr>
          <w:rFonts w:ascii="Palatino Linotype" w:eastAsia="Palatino Linotype" w:hAnsi="Palatino Linotype" w:cs="Palatino Linotype"/>
          <w:b/>
          <w:i/>
          <w:sz w:val="20"/>
          <w:szCs w:val="20"/>
        </w:rPr>
        <w:t>Recurrente</w:t>
      </w:r>
      <w:r w:rsidRPr="00A15BFF">
        <w:rPr>
          <w:rFonts w:ascii="Palatino Linotype" w:eastAsia="Palatino Linotype" w:hAnsi="Palatino Linotype" w:cs="Palatino Linotype"/>
          <w:i/>
          <w:sz w:val="20"/>
          <w:szCs w:val="20"/>
        </w:rPr>
        <w:t>, mismo que igualmente hará de su conocimiento.</w:t>
      </w:r>
    </w:p>
    <w:p w14:paraId="7021C471"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b/>
        </w:rPr>
        <w:t xml:space="preserve">Tercero. Notifíquese, </w:t>
      </w:r>
      <w:r w:rsidRPr="00A15BFF">
        <w:rPr>
          <w:rFonts w:ascii="Palatino Linotype" w:eastAsia="Palatino Linotype" w:hAnsi="Palatino Linotype" w:cs="Palatino Linotype"/>
        </w:rPr>
        <w:t xml:space="preserve">vía </w:t>
      </w:r>
      <w:r w:rsidRPr="00A15BFF">
        <w:rPr>
          <w:rFonts w:ascii="Palatino Linotype" w:eastAsia="Palatino Linotype" w:hAnsi="Palatino Linotype" w:cs="Palatino Linotype"/>
          <w:b/>
        </w:rPr>
        <w:t>SAIMEX</w:t>
      </w:r>
      <w:r w:rsidRPr="00A15BFF">
        <w:rPr>
          <w:rFonts w:ascii="Palatino Linotype" w:eastAsia="Palatino Linotype" w:hAnsi="Palatino Linotype" w:cs="Palatino Linotype"/>
        </w:rPr>
        <w:t xml:space="preserve">, al Titular de la Unidad de Transparencia del </w:t>
      </w:r>
      <w:r w:rsidRPr="00A15BFF">
        <w:rPr>
          <w:rFonts w:ascii="Palatino Linotype" w:eastAsia="Palatino Linotype" w:hAnsi="Palatino Linotype" w:cs="Palatino Linotype"/>
          <w:b/>
        </w:rPr>
        <w:t>Sujeto Obligado,</w:t>
      </w:r>
      <w:r w:rsidRPr="00A15BFF">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w:t>
      </w:r>
      <w:r w:rsidRPr="00A15BFF">
        <w:rPr>
          <w:rFonts w:ascii="Palatino Linotype" w:eastAsia="Palatino Linotype" w:hAnsi="Palatino Linotype" w:cs="Palatino Linotype"/>
        </w:rPr>
        <w:lastRenderedPageBreak/>
        <w:t>previsto en los artículos 198, 200, fracción III; 214, 215 y 216 de la Ley  de Transparencia y Acceso a la Información Pública del Estado de México y Municipios.</w:t>
      </w:r>
    </w:p>
    <w:p w14:paraId="5A7A0AE6" w14:textId="77777777" w:rsidR="00CA7BF7" w:rsidRPr="00A15BFF" w:rsidRDefault="00EA6A07">
      <w:pPr>
        <w:spacing w:before="240" w:after="240" w:line="360" w:lineRule="auto"/>
        <w:jc w:val="both"/>
        <w:rPr>
          <w:rFonts w:ascii="Palatino Linotype" w:eastAsia="Palatino Linotype" w:hAnsi="Palatino Linotype" w:cs="Palatino Linotype"/>
        </w:rPr>
      </w:pPr>
      <w:r w:rsidRPr="00A15BFF">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A15BFF">
        <w:rPr>
          <w:rFonts w:ascii="Palatino Linotype" w:eastAsia="Palatino Linotype" w:hAnsi="Palatino Linotype" w:cs="Palatino Linotype"/>
          <w:b/>
        </w:rPr>
        <w:t>Sujeto Obligado</w:t>
      </w:r>
      <w:r w:rsidRPr="00A15BFF">
        <w:rPr>
          <w:rFonts w:ascii="Palatino Linotype" w:eastAsia="Palatino Linotype" w:hAnsi="Palatino Linotype" w:cs="Palatino Linotype"/>
        </w:rPr>
        <w:t xml:space="preserve"> de manera fundada y motivada, podrá solicitar una ampliación de plazo para el cumplimiento de la presente resolución.</w:t>
      </w:r>
    </w:p>
    <w:p w14:paraId="17011078" w14:textId="77777777" w:rsidR="00CA7BF7" w:rsidRPr="00A15BFF" w:rsidRDefault="00EA6A07">
      <w:pPr>
        <w:spacing w:before="240" w:after="240" w:line="360" w:lineRule="auto"/>
        <w:jc w:val="both"/>
        <w:rPr>
          <w:rFonts w:ascii="Palatino Linotype" w:eastAsia="Palatino Linotype" w:hAnsi="Palatino Linotype" w:cs="Palatino Linotype"/>
        </w:rPr>
      </w:pPr>
      <w:bookmarkStart w:id="14" w:name="_heading=h.ot3qq6vxa08f" w:colFirst="0" w:colLast="0"/>
      <w:bookmarkEnd w:id="14"/>
      <w:r w:rsidRPr="00A15BFF">
        <w:rPr>
          <w:rFonts w:ascii="Palatino Linotype" w:eastAsia="Palatino Linotype" w:hAnsi="Palatino Linotype" w:cs="Palatino Linotype"/>
          <w:b/>
        </w:rPr>
        <w:t xml:space="preserve">Cuarto.  Notifíquese, </w:t>
      </w:r>
      <w:r w:rsidRPr="00A15BFF">
        <w:rPr>
          <w:rFonts w:ascii="Palatino Linotype" w:eastAsia="Palatino Linotype" w:hAnsi="Palatino Linotype" w:cs="Palatino Linotype"/>
        </w:rPr>
        <w:t xml:space="preserve">vía </w:t>
      </w:r>
      <w:r w:rsidRPr="00A15BFF">
        <w:rPr>
          <w:rFonts w:ascii="Palatino Linotype" w:eastAsia="Palatino Linotype" w:hAnsi="Palatino Linotype" w:cs="Palatino Linotype"/>
          <w:b/>
        </w:rPr>
        <w:t>SAIMEX</w:t>
      </w:r>
      <w:r w:rsidRPr="00A15BFF">
        <w:rPr>
          <w:rFonts w:ascii="Palatino Linotype" w:eastAsia="Palatino Linotype" w:hAnsi="Palatino Linotype" w:cs="Palatino Linotype"/>
        </w:rPr>
        <w:t xml:space="preserve"> a la parte </w:t>
      </w:r>
      <w:r w:rsidRPr="00A15BFF">
        <w:rPr>
          <w:rFonts w:ascii="Palatino Linotype" w:eastAsia="Palatino Linotype" w:hAnsi="Palatino Linotype" w:cs="Palatino Linotype"/>
          <w:b/>
        </w:rPr>
        <w:t>Recurrente</w:t>
      </w:r>
      <w:r w:rsidRPr="00A15BFF">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1EE18930" w14:textId="77777777" w:rsidR="00CA7BF7" w:rsidRPr="00A016A2" w:rsidRDefault="00EA6A07">
      <w:pPr>
        <w:tabs>
          <w:tab w:val="left" w:pos="8647"/>
        </w:tabs>
        <w:spacing w:before="240" w:after="240" w:line="360" w:lineRule="auto"/>
        <w:ind w:right="51"/>
        <w:jc w:val="both"/>
        <w:rPr>
          <w:rFonts w:ascii="Palatino Linotype" w:eastAsia="Palatino Linotype" w:hAnsi="Palatino Linotype" w:cs="Palatino Linotype"/>
        </w:rPr>
      </w:pPr>
      <w:bookmarkStart w:id="15" w:name="_heading=h.lnxbz9" w:colFirst="0" w:colLast="0"/>
      <w:bookmarkEnd w:id="15"/>
      <w:r w:rsidRPr="00A15BFF">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Y GUADALUPE RAMÍREZ PEÑA, EMITIENDO VOTO PARTICULAR; EN LA DÉCIMA NOVENA SESIÓN ORDINARIA CELEBRADA EL VEINTIOCHO DE MAYO DE DOS MIL VEINTICINCO, ANTE EL SECRETARIO TÉCNICO DEL PLENO ALEXIS TAPIA RAMÍREZ.</w:t>
      </w:r>
    </w:p>
    <w:p w14:paraId="4D58B5C0" w14:textId="77777777" w:rsidR="00CA7BF7" w:rsidRPr="00A016A2" w:rsidRDefault="00CA7BF7">
      <w:pPr>
        <w:spacing w:line="360" w:lineRule="auto"/>
        <w:jc w:val="both"/>
        <w:rPr>
          <w:rFonts w:ascii="Palatino Linotype" w:eastAsia="Palatino Linotype" w:hAnsi="Palatino Linotype" w:cs="Palatino Linotype"/>
        </w:rPr>
      </w:pPr>
    </w:p>
    <w:p w14:paraId="5F41733F" w14:textId="77777777" w:rsidR="00CA7BF7" w:rsidRPr="00A016A2" w:rsidRDefault="00CA7BF7">
      <w:pPr>
        <w:spacing w:line="360" w:lineRule="auto"/>
        <w:jc w:val="center"/>
        <w:rPr>
          <w:rFonts w:ascii="Palatino Linotype" w:eastAsia="Palatino Linotype" w:hAnsi="Palatino Linotype" w:cs="Palatino Linotype"/>
        </w:rPr>
      </w:pPr>
    </w:p>
    <w:p w14:paraId="6CEF1253" w14:textId="77777777" w:rsidR="00CA7BF7" w:rsidRPr="00A016A2" w:rsidRDefault="00CA7BF7">
      <w:pPr>
        <w:spacing w:line="360" w:lineRule="auto"/>
        <w:jc w:val="both"/>
        <w:rPr>
          <w:rFonts w:ascii="Palatino Linotype" w:eastAsia="Palatino Linotype" w:hAnsi="Palatino Linotype" w:cs="Palatino Linotype"/>
        </w:rPr>
      </w:pPr>
    </w:p>
    <w:p w14:paraId="2A9EDD36" w14:textId="77777777" w:rsidR="00CA7BF7" w:rsidRPr="00A016A2" w:rsidRDefault="00CA7BF7">
      <w:pPr>
        <w:spacing w:line="360" w:lineRule="auto"/>
        <w:jc w:val="both"/>
        <w:rPr>
          <w:rFonts w:ascii="Palatino Linotype" w:eastAsia="Palatino Linotype" w:hAnsi="Palatino Linotype" w:cs="Palatino Linotype"/>
        </w:rPr>
      </w:pPr>
    </w:p>
    <w:p w14:paraId="2B991931" w14:textId="77777777" w:rsidR="00CA7BF7" w:rsidRPr="00A016A2" w:rsidRDefault="00CA7BF7">
      <w:pPr>
        <w:spacing w:line="360" w:lineRule="auto"/>
        <w:jc w:val="both"/>
        <w:rPr>
          <w:rFonts w:ascii="Palatino Linotype" w:eastAsia="Palatino Linotype" w:hAnsi="Palatino Linotype" w:cs="Palatino Linotype"/>
        </w:rPr>
      </w:pPr>
    </w:p>
    <w:p w14:paraId="2B682599" w14:textId="77777777" w:rsidR="00CA7BF7" w:rsidRPr="00A016A2" w:rsidRDefault="00CA7BF7">
      <w:pPr>
        <w:spacing w:line="360" w:lineRule="auto"/>
        <w:jc w:val="both"/>
        <w:rPr>
          <w:rFonts w:ascii="Palatino Linotype" w:eastAsia="Palatino Linotype" w:hAnsi="Palatino Linotype" w:cs="Palatino Linotype"/>
        </w:rPr>
      </w:pPr>
    </w:p>
    <w:p w14:paraId="55772C48" w14:textId="77777777" w:rsidR="00CA7BF7" w:rsidRPr="00A016A2" w:rsidRDefault="00CA7BF7">
      <w:pPr>
        <w:spacing w:line="360" w:lineRule="auto"/>
        <w:jc w:val="both"/>
        <w:rPr>
          <w:rFonts w:ascii="Palatino Linotype" w:eastAsia="Palatino Linotype" w:hAnsi="Palatino Linotype" w:cs="Palatino Linotype"/>
        </w:rPr>
      </w:pPr>
    </w:p>
    <w:p w14:paraId="57EAADDB" w14:textId="77777777" w:rsidR="00CA7BF7" w:rsidRPr="00A016A2" w:rsidRDefault="00CA7BF7">
      <w:pPr>
        <w:spacing w:line="360" w:lineRule="auto"/>
        <w:jc w:val="both"/>
        <w:rPr>
          <w:rFonts w:ascii="Palatino Linotype" w:eastAsia="Palatino Linotype" w:hAnsi="Palatino Linotype" w:cs="Palatino Linotype"/>
        </w:rPr>
      </w:pPr>
    </w:p>
    <w:p w14:paraId="611C9362" w14:textId="77777777" w:rsidR="00CA7BF7" w:rsidRPr="00A016A2" w:rsidRDefault="00CA7BF7">
      <w:pPr>
        <w:spacing w:line="360" w:lineRule="auto"/>
        <w:jc w:val="both"/>
        <w:rPr>
          <w:rFonts w:ascii="Palatino Linotype" w:eastAsia="Palatino Linotype" w:hAnsi="Palatino Linotype" w:cs="Palatino Linotype"/>
        </w:rPr>
      </w:pPr>
    </w:p>
    <w:p w14:paraId="204EF4DD" w14:textId="77777777" w:rsidR="00CA7BF7" w:rsidRPr="00A016A2" w:rsidRDefault="00CA7BF7">
      <w:pPr>
        <w:spacing w:line="360" w:lineRule="auto"/>
        <w:jc w:val="both"/>
        <w:rPr>
          <w:rFonts w:ascii="Palatino Linotype" w:eastAsia="Palatino Linotype" w:hAnsi="Palatino Linotype" w:cs="Palatino Linotype"/>
        </w:rPr>
      </w:pPr>
    </w:p>
    <w:p w14:paraId="10148918" w14:textId="77777777" w:rsidR="00CA7BF7" w:rsidRPr="00A016A2" w:rsidRDefault="00CA7BF7">
      <w:pPr>
        <w:spacing w:line="360" w:lineRule="auto"/>
        <w:jc w:val="both"/>
        <w:rPr>
          <w:rFonts w:ascii="Palatino Linotype" w:eastAsia="Palatino Linotype" w:hAnsi="Palatino Linotype" w:cs="Palatino Linotype"/>
        </w:rPr>
      </w:pPr>
    </w:p>
    <w:p w14:paraId="7EDC2A24" w14:textId="77777777" w:rsidR="00CA7BF7" w:rsidRPr="00A016A2" w:rsidRDefault="00CA7BF7">
      <w:pPr>
        <w:spacing w:line="360" w:lineRule="auto"/>
        <w:jc w:val="both"/>
        <w:rPr>
          <w:rFonts w:ascii="Palatino Linotype" w:eastAsia="Palatino Linotype" w:hAnsi="Palatino Linotype" w:cs="Palatino Linotype"/>
        </w:rPr>
      </w:pPr>
    </w:p>
    <w:p w14:paraId="5F49B1C5" w14:textId="77777777" w:rsidR="00CA7BF7" w:rsidRPr="00A016A2" w:rsidRDefault="00CA7BF7">
      <w:pPr>
        <w:spacing w:line="360" w:lineRule="auto"/>
        <w:jc w:val="both"/>
        <w:rPr>
          <w:rFonts w:ascii="Palatino Linotype" w:eastAsia="Palatino Linotype" w:hAnsi="Palatino Linotype" w:cs="Palatino Linotype"/>
        </w:rPr>
      </w:pPr>
    </w:p>
    <w:p w14:paraId="2935B4CD" w14:textId="77777777" w:rsidR="00CA7BF7" w:rsidRPr="00A016A2" w:rsidRDefault="00CA7BF7">
      <w:pPr>
        <w:spacing w:line="360" w:lineRule="auto"/>
        <w:jc w:val="both"/>
        <w:rPr>
          <w:rFonts w:ascii="Palatino Linotype" w:eastAsia="Palatino Linotype" w:hAnsi="Palatino Linotype" w:cs="Palatino Linotype"/>
        </w:rPr>
      </w:pPr>
    </w:p>
    <w:p w14:paraId="0C65D4F9" w14:textId="77777777" w:rsidR="00CA7BF7" w:rsidRPr="00A016A2" w:rsidRDefault="00CA7BF7">
      <w:pPr>
        <w:spacing w:line="360" w:lineRule="auto"/>
        <w:jc w:val="both"/>
        <w:rPr>
          <w:rFonts w:ascii="Palatino Linotype" w:eastAsia="Palatino Linotype" w:hAnsi="Palatino Linotype" w:cs="Palatino Linotype"/>
        </w:rPr>
      </w:pPr>
    </w:p>
    <w:p w14:paraId="39A80649" w14:textId="77777777" w:rsidR="00CA7BF7" w:rsidRPr="00A016A2" w:rsidRDefault="00CA7BF7">
      <w:pPr>
        <w:spacing w:line="360" w:lineRule="auto"/>
        <w:jc w:val="both"/>
        <w:rPr>
          <w:rFonts w:ascii="Palatino Linotype" w:eastAsia="Palatino Linotype" w:hAnsi="Palatino Linotype" w:cs="Palatino Linotype"/>
        </w:rPr>
      </w:pPr>
    </w:p>
    <w:p w14:paraId="7E05F056" w14:textId="77777777" w:rsidR="00CA7BF7" w:rsidRPr="00A016A2" w:rsidRDefault="00CA7BF7">
      <w:pPr>
        <w:spacing w:line="360" w:lineRule="auto"/>
        <w:jc w:val="both"/>
        <w:rPr>
          <w:rFonts w:ascii="Palatino Linotype" w:eastAsia="Palatino Linotype" w:hAnsi="Palatino Linotype" w:cs="Palatino Linotype"/>
        </w:rPr>
      </w:pPr>
    </w:p>
    <w:p w14:paraId="44E220EE" w14:textId="77777777" w:rsidR="00CA7BF7" w:rsidRPr="00A016A2" w:rsidRDefault="00CA7BF7">
      <w:pPr>
        <w:spacing w:line="360" w:lineRule="auto"/>
        <w:jc w:val="both"/>
        <w:rPr>
          <w:rFonts w:ascii="Palatino Linotype" w:eastAsia="Palatino Linotype" w:hAnsi="Palatino Linotype" w:cs="Palatino Linotype"/>
        </w:rPr>
      </w:pPr>
    </w:p>
    <w:p w14:paraId="321636E2" w14:textId="77777777" w:rsidR="00CA7BF7" w:rsidRPr="00A016A2" w:rsidRDefault="00CA7BF7">
      <w:pPr>
        <w:spacing w:line="360" w:lineRule="auto"/>
        <w:jc w:val="both"/>
        <w:rPr>
          <w:rFonts w:ascii="Palatino Linotype" w:eastAsia="Palatino Linotype" w:hAnsi="Palatino Linotype" w:cs="Palatino Linotype"/>
        </w:rPr>
      </w:pPr>
    </w:p>
    <w:p w14:paraId="19444F93" w14:textId="77777777" w:rsidR="00CA7BF7" w:rsidRPr="00A016A2" w:rsidRDefault="00CA7BF7">
      <w:pPr>
        <w:spacing w:line="360" w:lineRule="auto"/>
        <w:jc w:val="both"/>
        <w:rPr>
          <w:rFonts w:ascii="Palatino Linotype" w:eastAsia="Palatino Linotype" w:hAnsi="Palatino Linotype" w:cs="Palatino Linotype"/>
        </w:rPr>
      </w:pPr>
    </w:p>
    <w:p w14:paraId="6CAD7B37" w14:textId="77777777" w:rsidR="00CA7BF7" w:rsidRPr="00A016A2" w:rsidRDefault="00CA7BF7">
      <w:pPr>
        <w:spacing w:line="360" w:lineRule="auto"/>
        <w:jc w:val="both"/>
        <w:rPr>
          <w:rFonts w:ascii="Palatino Linotype" w:eastAsia="Palatino Linotype" w:hAnsi="Palatino Linotype" w:cs="Palatino Linotype"/>
        </w:rPr>
      </w:pPr>
    </w:p>
    <w:sectPr w:rsidR="00CA7BF7" w:rsidRPr="00A016A2">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E18A9" w14:textId="77777777" w:rsidR="002403CC" w:rsidRDefault="002403CC">
      <w:r>
        <w:separator/>
      </w:r>
    </w:p>
  </w:endnote>
  <w:endnote w:type="continuationSeparator" w:id="0">
    <w:p w14:paraId="4448B1C8" w14:textId="77777777" w:rsidR="002403CC" w:rsidRDefault="00240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21224" w14:textId="77777777" w:rsidR="00CA7BF7" w:rsidRDefault="00EA6A0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15BFF">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15BFF">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6E2EDE32" w14:textId="77777777" w:rsidR="00CA7BF7" w:rsidRDefault="00CA7BF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30A44" w14:textId="77777777" w:rsidR="00CA7BF7" w:rsidRDefault="00EA6A0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15BF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15BFF">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686DB070" w14:textId="77777777" w:rsidR="00CA7BF7" w:rsidRDefault="00CA7BF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D07AB" w14:textId="77777777" w:rsidR="002403CC" w:rsidRDefault="002403CC">
      <w:r>
        <w:separator/>
      </w:r>
    </w:p>
  </w:footnote>
  <w:footnote w:type="continuationSeparator" w:id="0">
    <w:p w14:paraId="35F38053" w14:textId="77777777" w:rsidR="002403CC" w:rsidRDefault="002403CC">
      <w:r>
        <w:continuationSeparator/>
      </w:r>
    </w:p>
  </w:footnote>
  <w:footnote w:id="1">
    <w:p w14:paraId="7923C3B2" w14:textId="77777777" w:rsidR="00CA7BF7" w:rsidRDefault="00EA6A07">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CF2E0" w14:textId="77777777" w:rsidR="00CA7BF7" w:rsidRDefault="00EA6A07">
    <w:pPr>
      <w:rPr>
        <w:rFonts w:ascii="Cambria" w:eastAsia="Cambria" w:hAnsi="Cambria" w:cs="Cambria"/>
        <w:color w:val="000000"/>
      </w:rPr>
    </w:pPr>
    <w:r>
      <w:rPr>
        <w:noProof/>
      </w:rPr>
      <w:drawing>
        <wp:anchor distT="0" distB="0" distL="0" distR="0" simplePos="0" relativeHeight="251658240" behindDoc="1" locked="0" layoutInCell="1" hidden="0" allowOverlap="1" wp14:anchorId="752F7CDB" wp14:editId="39D5D85E">
          <wp:simplePos x="0" y="0"/>
          <wp:positionH relativeFrom="column">
            <wp:posOffset>-1080093</wp:posOffset>
          </wp:positionH>
          <wp:positionV relativeFrom="paragraph">
            <wp:posOffset>-488265</wp:posOffset>
          </wp:positionV>
          <wp:extent cx="7809865" cy="10165715"/>
          <wp:effectExtent l="0" t="0" r="0" b="0"/>
          <wp:wrapNone/>
          <wp:docPr id="21401318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6"/>
      <w:tblW w:w="5953" w:type="dxa"/>
      <w:tblInd w:w="3261" w:type="dxa"/>
      <w:tblLayout w:type="fixed"/>
      <w:tblLook w:val="0400" w:firstRow="0" w:lastRow="0" w:firstColumn="0" w:lastColumn="0" w:noHBand="0" w:noVBand="1"/>
    </w:tblPr>
    <w:tblGrid>
      <w:gridCol w:w="2489"/>
      <w:gridCol w:w="3464"/>
    </w:tblGrid>
    <w:tr w:rsidR="00CA7BF7" w14:paraId="766F77A8" w14:textId="77777777">
      <w:tc>
        <w:tcPr>
          <w:tcW w:w="2489" w:type="dxa"/>
          <w:shd w:val="clear" w:color="auto" w:fill="auto"/>
        </w:tcPr>
        <w:p w14:paraId="2E3E4927" w14:textId="77777777" w:rsidR="00CA7BF7" w:rsidRDefault="00EA6A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689257A" w14:textId="77777777" w:rsidR="00CA7BF7" w:rsidRDefault="00EA6A0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03044/INFOEM/IP/RR/2025</w:t>
          </w:r>
        </w:p>
      </w:tc>
    </w:tr>
    <w:tr w:rsidR="00CA7BF7" w14:paraId="4DBA08DB" w14:textId="77777777">
      <w:trPr>
        <w:trHeight w:val="228"/>
      </w:trPr>
      <w:tc>
        <w:tcPr>
          <w:tcW w:w="2489" w:type="dxa"/>
          <w:shd w:val="clear" w:color="auto" w:fill="auto"/>
          <w:vAlign w:val="center"/>
        </w:tcPr>
        <w:p w14:paraId="2D4E6D08" w14:textId="77777777" w:rsidR="00CA7BF7" w:rsidRDefault="00EA6A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4B98F45" w14:textId="77777777" w:rsidR="00CA7BF7" w:rsidRDefault="00EA6A07">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Ozumba</w:t>
          </w:r>
        </w:p>
      </w:tc>
    </w:tr>
    <w:tr w:rsidR="00CA7BF7" w14:paraId="187815EF" w14:textId="77777777">
      <w:tc>
        <w:tcPr>
          <w:tcW w:w="2489" w:type="dxa"/>
          <w:shd w:val="clear" w:color="auto" w:fill="auto"/>
          <w:vAlign w:val="center"/>
        </w:tcPr>
        <w:p w14:paraId="74F29BA3" w14:textId="77777777" w:rsidR="00CA7BF7" w:rsidRDefault="00EA6A0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A49B381" w14:textId="77777777" w:rsidR="00CA7BF7" w:rsidRDefault="00EA6A0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1EE42E5" w14:textId="77777777" w:rsidR="00CA7BF7" w:rsidRDefault="00EA6A07">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B2548" w14:textId="77777777" w:rsidR="00CA7BF7" w:rsidRDefault="00EA6A0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BDA5CE6" wp14:editId="632AB9B8">
          <wp:simplePos x="0" y="0"/>
          <wp:positionH relativeFrom="column">
            <wp:posOffset>-1080119</wp:posOffset>
          </wp:positionH>
          <wp:positionV relativeFrom="paragraph">
            <wp:posOffset>-369894</wp:posOffset>
          </wp:positionV>
          <wp:extent cx="7809865" cy="10165715"/>
          <wp:effectExtent l="0" t="0" r="0" b="0"/>
          <wp:wrapNone/>
          <wp:docPr id="21401318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7"/>
      <w:tblW w:w="5953" w:type="dxa"/>
      <w:tblInd w:w="3261" w:type="dxa"/>
      <w:tblLayout w:type="fixed"/>
      <w:tblLook w:val="0400" w:firstRow="0" w:lastRow="0" w:firstColumn="0" w:lastColumn="0" w:noHBand="0" w:noVBand="1"/>
    </w:tblPr>
    <w:tblGrid>
      <w:gridCol w:w="2489"/>
      <w:gridCol w:w="3464"/>
    </w:tblGrid>
    <w:tr w:rsidR="00CA7BF7" w14:paraId="5051EB90" w14:textId="77777777">
      <w:tc>
        <w:tcPr>
          <w:tcW w:w="2489" w:type="dxa"/>
          <w:shd w:val="clear" w:color="auto" w:fill="auto"/>
        </w:tcPr>
        <w:p w14:paraId="3EB2038A" w14:textId="77777777" w:rsidR="00CA7BF7" w:rsidRDefault="00EA6A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E3E8A71" w14:textId="77777777" w:rsidR="00CA7BF7" w:rsidRDefault="00EA6A0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03044/INFOEM/IP/RR/2025</w:t>
          </w:r>
        </w:p>
      </w:tc>
    </w:tr>
    <w:tr w:rsidR="00CA7BF7" w14:paraId="4EE3C407" w14:textId="77777777">
      <w:tc>
        <w:tcPr>
          <w:tcW w:w="2489" w:type="dxa"/>
          <w:shd w:val="clear" w:color="auto" w:fill="auto"/>
        </w:tcPr>
        <w:p w14:paraId="71C6DD55" w14:textId="77777777" w:rsidR="00CA7BF7" w:rsidRDefault="00EA6A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752606E7" w14:textId="4830853E" w:rsidR="00CA7BF7" w:rsidRDefault="005B2BF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 XXXXXXX XXXXX </w:t>
          </w:r>
        </w:p>
      </w:tc>
    </w:tr>
    <w:tr w:rsidR="00CA7BF7" w14:paraId="13BA0433" w14:textId="77777777">
      <w:trPr>
        <w:trHeight w:val="228"/>
      </w:trPr>
      <w:tc>
        <w:tcPr>
          <w:tcW w:w="2489" w:type="dxa"/>
          <w:shd w:val="clear" w:color="auto" w:fill="auto"/>
          <w:vAlign w:val="center"/>
        </w:tcPr>
        <w:p w14:paraId="12E420FB" w14:textId="77777777" w:rsidR="00CA7BF7" w:rsidRDefault="00EA6A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4D1E7E4" w14:textId="77777777" w:rsidR="00CA7BF7" w:rsidRDefault="00EA6A07">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Ozumba</w:t>
          </w:r>
        </w:p>
      </w:tc>
    </w:tr>
    <w:tr w:rsidR="00CA7BF7" w14:paraId="11AB5980" w14:textId="77777777">
      <w:tc>
        <w:tcPr>
          <w:tcW w:w="2489" w:type="dxa"/>
          <w:shd w:val="clear" w:color="auto" w:fill="auto"/>
          <w:vAlign w:val="center"/>
        </w:tcPr>
        <w:p w14:paraId="623FE15B" w14:textId="77777777" w:rsidR="00CA7BF7" w:rsidRDefault="00EA6A0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7B54F2D" w14:textId="77777777" w:rsidR="00CA7BF7" w:rsidRDefault="00EA6A0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5954968" w14:textId="77777777" w:rsidR="00CA7BF7" w:rsidRDefault="00CA7B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F5FB6"/>
    <w:multiLevelType w:val="multilevel"/>
    <w:tmpl w:val="30B28298"/>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FD068CC"/>
    <w:multiLevelType w:val="multilevel"/>
    <w:tmpl w:val="73CCD438"/>
    <w:lvl w:ilvl="0">
      <w:start w:val="1"/>
      <w:numFmt w:val="decimal"/>
      <w:pStyle w:val="Listaconvietas3"/>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BF7"/>
    <w:rsid w:val="002403CC"/>
    <w:rsid w:val="005B2BFB"/>
    <w:rsid w:val="00A016A2"/>
    <w:rsid w:val="00A15BFF"/>
    <w:rsid w:val="00CA7BF7"/>
    <w:rsid w:val="00DA7D5F"/>
    <w:rsid w:val="00EA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018AA"/>
  <w15:docId w15:val="{DE87FF56-0368-4058-9E45-426A56E41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F1A"/>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
    <w:tblPr>
      <w:tblStyleRowBandSize w:val="1"/>
      <w:tblStyleColBandSize w:val="1"/>
      <w:tblCellMar>
        <w:left w:w="115" w:type="dxa"/>
        <w:right w:w="115" w:type="dxa"/>
      </w:tblCellMar>
    </w:tblPr>
  </w:style>
  <w:style w:type="table" w:customStyle="1" w:styleId="a0">
    <w:basedOn w:val="TableNormalf"/>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
    <w:tblPr>
      <w:tblStyleRowBandSize w:val="1"/>
      <w:tblStyleColBandSize w:val="1"/>
      <w:tblCellMar>
        <w:left w:w="115" w:type="dxa"/>
        <w:right w:w="115" w:type="dxa"/>
      </w:tblCellMar>
    </w:tblPr>
  </w:style>
  <w:style w:type="table" w:customStyle="1" w:styleId="a2">
    <w:basedOn w:val="TableNormalf"/>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e"/>
    <w:tblPr>
      <w:tblStyleRowBandSize w:val="1"/>
      <w:tblStyleColBandSize w:val="1"/>
      <w:tblCellMar>
        <w:left w:w="115" w:type="dxa"/>
        <w:right w:w="115" w:type="dxa"/>
      </w:tblCellMar>
    </w:tblPr>
  </w:style>
  <w:style w:type="table" w:customStyle="1" w:styleId="a4">
    <w:basedOn w:val="TableNormale"/>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d"/>
    <w:tblPr>
      <w:tblStyleRowBandSize w:val="1"/>
      <w:tblStyleColBandSize w:val="1"/>
      <w:tblCellMar>
        <w:left w:w="108" w:type="dxa"/>
        <w:right w:w="108" w:type="dxa"/>
      </w:tblCellMar>
    </w:tblPr>
  </w:style>
  <w:style w:type="table" w:customStyle="1" w:styleId="a6">
    <w:basedOn w:val="TableNormald"/>
    <w:tblPr>
      <w:tblStyleRowBandSize w:val="1"/>
      <w:tblStyleColBandSize w:val="1"/>
      <w:tblCellMar>
        <w:left w:w="108" w:type="dxa"/>
        <w:right w:w="108" w:type="dxa"/>
      </w:tblCellMar>
    </w:tblPr>
  </w:style>
  <w:style w:type="table" w:customStyle="1" w:styleId="a7">
    <w:basedOn w:val="TableNormald"/>
    <w:tblPr>
      <w:tblStyleRowBandSize w:val="1"/>
      <w:tblStyleColBandSize w:val="1"/>
      <w:tblCellMar>
        <w:left w:w="108" w:type="dxa"/>
        <w:right w:w="108" w:type="dxa"/>
      </w:tblCellMar>
    </w:tblPr>
  </w:style>
  <w:style w:type="table" w:customStyle="1" w:styleId="a8">
    <w:basedOn w:val="TableNormald"/>
    <w:tblPr>
      <w:tblStyleRowBandSize w:val="1"/>
      <w:tblStyleColBandSize w:val="1"/>
      <w:tblCellMar>
        <w:left w:w="108" w:type="dxa"/>
        <w:right w:w="108" w:type="dxa"/>
      </w:tblCellMar>
    </w:tblPr>
  </w:style>
  <w:style w:type="table" w:customStyle="1" w:styleId="a9">
    <w:basedOn w:val="TableNormald"/>
    <w:tblPr>
      <w:tblStyleRowBandSize w:val="1"/>
      <w:tblStyleColBandSize w:val="1"/>
      <w:tblCellMar>
        <w:left w:w="108" w:type="dxa"/>
        <w:right w:w="108" w:type="dxa"/>
      </w:tblCellMar>
    </w:tblPr>
  </w:style>
  <w:style w:type="table" w:customStyle="1" w:styleId="aa">
    <w:basedOn w:val="TableNormald"/>
    <w:tblPr>
      <w:tblStyleRowBandSize w:val="1"/>
      <w:tblStyleColBandSize w:val="1"/>
      <w:tblCellMar>
        <w:left w:w="115" w:type="dxa"/>
        <w:right w:w="115" w:type="dxa"/>
      </w:tblCellMar>
    </w:tblPr>
  </w:style>
  <w:style w:type="table" w:customStyle="1" w:styleId="ab">
    <w:basedOn w:val="TableNormald"/>
    <w:tblPr>
      <w:tblStyleRowBandSize w:val="1"/>
      <w:tblStyleColBandSize w:val="1"/>
      <w:tblCellMar>
        <w:left w:w="115" w:type="dxa"/>
        <w:right w:w="115" w:type="dxa"/>
      </w:tblCellMar>
    </w:tblPr>
  </w:style>
  <w:style w:type="table" w:customStyle="1" w:styleId="ac">
    <w:basedOn w:val="TableNormalc"/>
    <w:tblPr>
      <w:tblStyleRowBandSize w:val="1"/>
      <w:tblStyleColBandSize w:val="1"/>
      <w:tblCellMar>
        <w:left w:w="108" w:type="dxa"/>
        <w:right w:w="108" w:type="dxa"/>
      </w:tblCellMar>
    </w:tblPr>
  </w:style>
  <w:style w:type="table" w:customStyle="1" w:styleId="ad">
    <w:basedOn w:val="TableNormalc"/>
    <w:tblPr>
      <w:tblStyleRowBandSize w:val="1"/>
      <w:tblStyleColBandSize w:val="1"/>
      <w:tblCellMar>
        <w:left w:w="115" w:type="dxa"/>
        <w:right w:w="115" w:type="dxa"/>
      </w:tblCellMar>
    </w:tblPr>
  </w:style>
  <w:style w:type="table" w:customStyle="1" w:styleId="ae">
    <w:basedOn w:val="TableNormalc"/>
    <w:tblPr>
      <w:tblStyleRowBandSize w:val="1"/>
      <w:tblStyleColBandSize w:val="1"/>
      <w:tblCellMar>
        <w:left w:w="115" w:type="dxa"/>
        <w:right w:w="115" w:type="dxa"/>
      </w:tblCellMar>
    </w:tblPr>
  </w:style>
  <w:style w:type="table" w:customStyle="1" w:styleId="af">
    <w:basedOn w:val="TableNormalb"/>
    <w:tblPr>
      <w:tblStyleRowBandSize w:val="1"/>
      <w:tblStyleColBandSize w:val="1"/>
      <w:tblCellMar>
        <w:left w:w="115" w:type="dxa"/>
        <w:right w:w="115" w:type="dxa"/>
      </w:tblCellMar>
    </w:tblPr>
  </w:style>
  <w:style w:type="table" w:customStyle="1" w:styleId="af0">
    <w:basedOn w:val="TableNormalb"/>
    <w:tblPr>
      <w:tblStyleRowBandSize w:val="1"/>
      <w:tblStyleColBandSize w:val="1"/>
      <w:tblCellMar>
        <w:left w:w="115" w:type="dxa"/>
        <w:right w:w="115" w:type="dxa"/>
      </w:tblCellMar>
    </w:tblPr>
  </w:style>
  <w:style w:type="table" w:customStyle="1" w:styleId="af1">
    <w:basedOn w:val="TableNormalb"/>
    <w:tblPr>
      <w:tblStyleRowBandSize w:val="1"/>
      <w:tblStyleColBandSize w:val="1"/>
      <w:tblCellMar>
        <w:left w:w="115" w:type="dxa"/>
        <w:right w:w="115" w:type="dxa"/>
      </w:tblCellMar>
    </w:tblPr>
  </w:style>
  <w:style w:type="table" w:customStyle="1" w:styleId="af2">
    <w:basedOn w:val="TableNormala"/>
    <w:tblPr>
      <w:tblStyleRowBandSize w:val="1"/>
      <w:tblStyleColBandSize w:val="1"/>
      <w:tblCellMar>
        <w:left w:w="115" w:type="dxa"/>
        <w:right w:w="115" w:type="dxa"/>
      </w:tblCellMar>
    </w:tblPr>
  </w:style>
  <w:style w:type="table" w:customStyle="1" w:styleId="af3">
    <w:basedOn w:val="TableNormala"/>
    <w:tblPr>
      <w:tblStyleRowBandSize w:val="1"/>
      <w:tblStyleColBandSize w:val="1"/>
      <w:tblCellMar>
        <w:left w:w="115" w:type="dxa"/>
        <w:right w:w="115" w:type="dxa"/>
      </w:tblCellMar>
    </w:tblPr>
  </w:style>
  <w:style w:type="table" w:customStyle="1" w:styleId="af4">
    <w:basedOn w:val="TableNormal9"/>
    <w:tblPr>
      <w:tblStyleRowBandSize w:val="1"/>
      <w:tblStyleColBandSize w:val="1"/>
      <w:tblCellMar>
        <w:left w:w="115" w:type="dxa"/>
        <w:right w:w="115" w:type="dxa"/>
      </w:tblCellMar>
    </w:tblPr>
  </w:style>
  <w:style w:type="table" w:customStyle="1" w:styleId="af5">
    <w:basedOn w:val="TableNormal9"/>
    <w:tblPr>
      <w:tblStyleRowBandSize w:val="1"/>
      <w:tblStyleColBandSize w:val="1"/>
      <w:tblCellMar>
        <w:left w:w="115" w:type="dxa"/>
        <w:right w:w="115" w:type="dxa"/>
      </w:tblCellMar>
    </w:tblPr>
  </w:style>
  <w:style w:type="table" w:customStyle="1" w:styleId="af6">
    <w:basedOn w:val="TableNormal8"/>
    <w:tblPr>
      <w:tblStyleRowBandSize w:val="1"/>
      <w:tblStyleColBandSize w:val="1"/>
      <w:tblCellMar>
        <w:left w:w="115" w:type="dxa"/>
        <w:right w:w="115" w:type="dxa"/>
      </w:tblCellMar>
    </w:tblPr>
  </w:style>
  <w:style w:type="table" w:customStyle="1" w:styleId="af7">
    <w:basedOn w:val="TableNormal8"/>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7"/>
    <w:tblPr>
      <w:tblStyleRowBandSize w:val="1"/>
      <w:tblStyleColBandSize w:val="1"/>
      <w:tblCellMar>
        <w:left w:w="115" w:type="dxa"/>
        <w:right w:w="115" w:type="dxa"/>
      </w:tblCellMar>
    </w:tblPr>
  </w:style>
  <w:style w:type="table" w:customStyle="1" w:styleId="af9">
    <w:basedOn w:val="TableNormal7"/>
    <w:tblPr>
      <w:tblStyleRowBandSize w:val="1"/>
      <w:tblStyleColBandSize w:val="1"/>
      <w:tblCellMar>
        <w:left w:w="115" w:type="dxa"/>
        <w:right w:w="115" w:type="dxa"/>
      </w:tblCellMar>
    </w:tblPr>
  </w:style>
  <w:style w:type="table" w:customStyle="1" w:styleId="afa">
    <w:basedOn w:val="TableNormal6"/>
    <w:tblPr>
      <w:tblStyleRowBandSize w:val="1"/>
      <w:tblStyleColBandSize w:val="1"/>
      <w:tblCellMar>
        <w:left w:w="115" w:type="dxa"/>
        <w:right w:w="115" w:type="dxa"/>
      </w:tblCellMar>
    </w:tblPr>
  </w:style>
  <w:style w:type="table" w:customStyle="1" w:styleId="afb">
    <w:basedOn w:val="TableNormal6"/>
    <w:tblPr>
      <w:tblStyleRowBandSize w:val="1"/>
      <w:tblStyleColBandSize w:val="1"/>
      <w:tblCellMar>
        <w:left w:w="115" w:type="dxa"/>
        <w:right w:w="115" w:type="dxa"/>
      </w:tblCellMar>
    </w:tblPr>
  </w:style>
  <w:style w:type="table" w:customStyle="1" w:styleId="afc">
    <w:basedOn w:val="TableNormal5"/>
    <w:tblPr>
      <w:tblStyleRowBandSize w:val="1"/>
      <w:tblStyleColBandSize w:val="1"/>
      <w:tblCellMar>
        <w:left w:w="115" w:type="dxa"/>
        <w:right w:w="115" w:type="dxa"/>
      </w:tblCellMar>
    </w:tblPr>
  </w:style>
  <w:style w:type="table" w:customStyle="1" w:styleId="afd">
    <w:basedOn w:val="TableNormal5"/>
    <w:tblPr>
      <w:tblStyleRowBandSize w:val="1"/>
      <w:tblStyleColBandSize w:val="1"/>
      <w:tblCellMar>
        <w:left w:w="115" w:type="dxa"/>
        <w:right w:w="115" w:type="dxa"/>
      </w:tblCellMar>
    </w:tblPr>
  </w:style>
  <w:style w:type="table" w:customStyle="1" w:styleId="afe">
    <w:basedOn w:val="TableNormal4"/>
    <w:tblPr>
      <w:tblStyleRowBandSize w:val="1"/>
      <w:tblStyleColBandSize w:val="1"/>
      <w:tblCellMar>
        <w:left w:w="115" w:type="dxa"/>
        <w:right w:w="115" w:type="dxa"/>
      </w:tblCellMar>
    </w:tblPr>
  </w:style>
  <w:style w:type="table" w:customStyle="1" w:styleId="aff">
    <w:basedOn w:val="TableNormal4"/>
    <w:tblPr>
      <w:tblStyleRowBandSize w:val="1"/>
      <w:tblStyleColBandSize w:val="1"/>
      <w:tblCellMar>
        <w:left w:w="115" w:type="dxa"/>
        <w:right w:w="115" w:type="dxa"/>
      </w:tblCellMar>
    </w:tblPr>
  </w:style>
  <w:style w:type="table" w:customStyle="1" w:styleId="aff0">
    <w:basedOn w:val="TableNormal3"/>
    <w:tblPr>
      <w:tblStyleRowBandSize w:val="1"/>
      <w:tblStyleColBandSize w:val="1"/>
      <w:tblCellMar>
        <w:left w:w="115" w:type="dxa"/>
        <w:right w:w="115" w:type="dxa"/>
      </w:tblCellMar>
    </w:tblPr>
  </w:style>
  <w:style w:type="table" w:customStyle="1" w:styleId="aff1">
    <w:basedOn w:val="TableNormal3"/>
    <w:tblPr>
      <w:tblStyleRowBandSize w:val="1"/>
      <w:tblStyleColBandSize w:val="1"/>
      <w:tblCellMar>
        <w:left w:w="115" w:type="dxa"/>
        <w:right w:w="115" w:type="dxa"/>
      </w:tblCellMar>
    </w:tblPr>
  </w:style>
  <w:style w:type="table" w:customStyle="1" w:styleId="aff2">
    <w:basedOn w:val="TableNormal2"/>
    <w:tblPr>
      <w:tblStyleRowBandSize w:val="1"/>
      <w:tblStyleColBandSize w:val="1"/>
      <w:tblCellMar>
        <w:left w:w="115" w:type="dxa"/>
        <w:right w:w="115" w:type="dxa"/>
      </w:tblCellMar>
    </w:tblPr>
  </w:style>
  <w:style w:type="table" w:customStyle="1" w:styleId="aff3">
    <w:basedOn w:val="TableNormal2"/>
    <w:tblPr>
      <w:tblStyleRowBandSize w:val="1"/>
      <w:tblStyleColBandSize w:val="1"/>
      <w:tblCellMar>
        <w:left w:w="115" w:type="dxa"/>
        <w:right w:w="115" w:type="dxa"/>
      </w:tblCellMar>
    </w:tblPr>
  </w:style>
  <w:style w:type="paragraph" w:styleId="Listaconvietas">
    <w:name w:val="List Bullet"/>
    <w:basedOn w:val="Normal"/>
    <w:uiPriority w:val="99"/>
    <w:unhideWhenUsed/>
    <w:rsid w:val="00E55BB0"/>
    <w:pPr>
      <w:numPr>
        <w:numId w:val="2"/>
      </w:numPr>
      <w:contextualSpacing/>
    </w:pPr>
  </w:style>
  <w:style w:type="paragraph" w:styleId="Listaconvietas2">
    <w:name w:val="List Bullet 2"/>
    <w:basedOn w:val="Normal"/>
    <w:uiPriority w:val="99"/>
    <w:unhideWhenUsed/>
    <w:rsid w:val="00240AD1"/>
    <w:pPr>
      <w:tabs>
        <w:tab w:val="num" w:pos="720"/>
      </w:tabs>
      <w:ind w:left="720" w:hanging="720"/>
      <w:contextualSpacing/>
    </w:pPr>
  </w:style>
  <w:style w:type="table" w:customStyle="1" w:styleId="aff4">
    <w:basedOn w:val="TableNormal1"/>
    <w:tblPr>
      <w:tblStyleRowBandSize w:val="1"/>
      <w:tblStyleColBandSize w:val="1"/>
      <w:tblCellMar>
        <w:left w:w="115" w:type="dxa"/>
        <w:right w:w="115" w:type="dxa"/>
      </w:tblCellMar>
    </w:tblPr>
  </w:style>
  <w:style w:type="table" w:customStyle="1" w:styleId="aff5">
    <w:basedOn w:val="TableNormal1"/>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onografias.com/trabajos14/verific-servicios/verific-servicios.shtml"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6vaoOsvGOI5Gqsn29EIEPUWDHg==">CgMxLjAyCWguM3JkY3JqbjIOaC5kYWozajJ4bzZxNjYyCGguZ2pkZ3hzMgloLjNkeTZ2a20yCWguMzBqMHpsbDIJaC4yczhleW8xMghoLnR5amN3dDIJaC4zem55c2g3MgloLjJldDkycDAyCWguMjZpbjFyZzIJaC4zNW5rdW4yMgloLjFrc3Y0dXYyCWguMXQzaDVzZjIJaC4xZm9iOXRlMg5oLm90M3FxNnZ4YTA4ZjIIaC5sbnhiejk4AHIhMXl0dkJRb3RWREQ1eHk2QkI0S09CX1oyZXg5Y3o0dF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10851</Words>
  <Characters>59686</Characters>
  <Application>Microsoft Office Word</Application>
  <DocSecurity>0</DocSecurity>
  <Lines>497</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2025-05-30T19:07:00Z</cp:lastPrinted>
  <dcterms:created xsi:type="dcterms:W3CDTF">2025-06-11T18:47:00Z</dcterms:created>
  <dcterms:modified xsi:type="dcterms:W3CDTF">2025-06-11T18:47:00Z</dcterms:modified>
</cp:coreProperties>
</file>