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8D0D" w14:textId="77777777" w:rsidR="0093010C" w:rsidRDefault="0093010C" w:rsidP="006257C4">
      <w:pPr>
        <w:widowControl w:val="0"/>
        <w:pBdr>
          <w:top w:val="nil"/>
          <w:left w:val="nil"/>
          <w:bottom w:val="nil"/>
          <w:right w:val="nil"/>
          <w:between w:val="nil"/>
        </w:pBdr>
        <w:spacing w:after="0" w:line="360" w:lineRule="auto"/>
        <w:jc w:val="left"/>
      </w:pPr>
    </w:p>
    <w:sdt>
      <w:sdtPr>
        <w:rPr>
          <w:rFonts w:ascii="Palatino Linotype" w:eastAsia="Palatino Linotype" w:hAnsi="Palatino Linotype" w:cs="Palatino Linotype"/>
          <w:color w:val="auto"/>
          <w:sz w:val="22"/>
          <w:szCs w:val="22"/>
          <w:lang w:val="es-ES"/>
        </w:rPr>
        <w:id w:val="245394711"/>
        <w:docPartObj>
          <w:docPartGallery w:val="Table of Contents"/>
          <w:docPartUnique/>
        </w:docPartObj>
      </w:sdtPr>
      <w:sdtEndPr>
        <w:rPr>
          <w:b/>
          <w:bCs/>
        </w:rPr>
      </w:sdtEndPr>
      <w:sdtContent>
        <w:p w14:paraId="0FBA4643" w14:textId="672EBE89" w:rsidR="00C25498" w:rsidRDefault="00C25498">
          <w:pPr>
            <w:pStyle w:val="TtulodeTDC"/>
          </w:pPr>
          <w:r>
            <w:rPr>
              <w:lang w:val="es-ES"/>
            </w:rPr>
            <w:t>Tabla de contenido</w:t>
          </w:r>
        </w:p>
        <w:p w14:paraId="52A1F5C6" w14:textId="77777777" w:rsidR="00C25498" w:rsidRDefault="00C25498">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0313065" w:history="1">
            <w:r w:rsidRPr="00B570E0">
              <w:rPr>
                <w:rStyle w:val="Hipervnculo"/>
                <w:noProof/>
              </w:rPr>
              <w:t>A N T E C E D E N T E S</w:t>
            </w:r>
            <w:r>
              <w:rPr>
                <w:noProof/>
                <w:webHidden/>
              </w:rPr>
              <w:tab/>
            </w:r>
            <w:r>
              <w:rPr>
                <w:noProof/>
                <w:webHidden/>
              </w:rPr>
              <w:fldChar w:fldCharType="begin"/>
            </w:r>
            <w:r>
              <w:rPr>
                <w:noProof/>
                <w:webHidden/>
              </w:rPr>
              <w:instrText xml:space="preserve"> PAGEREF _Toc210313065 \h </w:instrText>
            </w:r>
            <w:r>
              <w:rPr>
                <w:noProof/>
                <w:webHidden/>
              </w:rPr>
            </w:r>
            <w:r>
              <w:rPr>
                <w:noProof/>
                <w:webHidden/>
              </w:rPr>
              <w:fldChar w:fldCharType="separate"/>
            </w:r>
            <w:r w:rsidR="00AE7586">
              <w:rPr>
                <w:noProof/>
                <w:webHidden/>
              </w:rPr>
              <w:t>2</w:t>
            </w:r>
            <w:r>
              <w:rPr>
                <w:noProof/>
                <w:webHidden/>
              </w:rPr>
              <w:fldChar w:fldCharType="end"/>
            </w:r>
          </w:hyperlink>
        </w:p>
        <w:p w14:paraId="2A5E850C" w14:textId="77777777" w:rsidR="00C25498" w:rsidRDefault="006250BE">
          <w:pPr>
            <w:pStyle w:val="TDC2"/>
            <w:tabs>
              <w:tab w:val="right" w:leader="dot" w:pos="9204"/>
            </w:tabs>
            <w:rPr>
              <w:rFonts w:asciiTheme="minorHAnsi" w:eastAsiaTheme="minorEastAsia" w:hAnsiTheme="minorHAnsi" w:cstheme="minorBidi"/>
              <w:noProof/>
            </w:rPr>
          </w:pPr>
          <w:hyperlink w:anchor="_Toc210313066" w:history="1">
            <w:r w:rsidR="00C25498" w:rsidRPr="00B570E0">
              <w:rPr>
                <w:rStyle w:val="Hipervnculo"/>
                <w:noProof/>
              </w:rPr>
              <w:t>I. Presentación de la solicitud de información</w:t>
            </w:r>
            <w:r w:rsidR="00C25498">
              <w:rPr>
                <w:noProof/>
                <w:webHidden/>
              </w:rPr>
              <w:tab/>
            </w:r>
            <w:r w:rsidR="00C25498">
              <w:rPr>
                <w:noProof/>
                <w:webHidden/>
              </w:rPr>
              <w:fldChar w:fldCharType="begin"/>
            </w:r>
            <w:r w:rsidR="00C25498">
              <w:rPr>
                <w:noProof/>
                <w:webHidden/>
              </w:rPr>
              <w:instrText xml:space="preserve"> PAGEREF _Toc210313066 \h </w:instrText>
            </w:r>
            <w:r w:rsidR="00C25498">
              <w:rPr>
                <w:noProof/>
                <w:webHidden/>
              </w:rPr>
            </w:r>
            <w:r w:rsidR="00C25498">
              <w:rPr>
                <w:noProof/>
                <w:webHidden/>
              </w:rPr>
              <w:fldChar w:fldCharType="separate"/>
            </w:r>
            <w:r w:rsidR="00AE7586">
              <w:rPr>
                <w:noProof/>
                <w:webHidden/>
              </w:rPr>
              <w:t>2</w:t>
            </w:r>
            <w:r w:rsidR="00C25498">
              <w:rPr>
                <w:noProof/>
                <w:webHidden/>
              </w:rPr>
              <w:fldChar w:fldCharType="end"/>
            </w:r>
          </w:hyperlink>
        </w:p>
        <w:p w14:paraId="0722E837" w14:textId="77777777" w:rsidR="00C25498" w:rsidRDefault="006250BE">
          <w:pPr>
            <w:pStyle w:val="TDC2"/>
            <w:tabs>
              <w:tab w:val="right" w:leader="dot" w:pos="9204"/>
            </w:tabs>
            <w:rPr>
              <w:rFonts w:asciiTheme="minorHAnsi" w:eastAsiaTheme="minorEastAsia" w:hAnsiTheme="minorHAnsi" w:cstheme="minorBidi"/>
              <w:noProof/>
            </w:rPr>
          </w:pPr>
          <w:hyperlink w:anchor="_Toc210313067" w:history="1">
            <w:r w:rsidR="00C25498" w:rsidRPr="00B570E0">
              <w:rPr>
                <w:rStyle w:val="Hipervnculo"/>
                <w:noProof/>
              </w:rPr>
              <w:t>II. Respuesta del Sujeto Obligado</w:t>
            </w:r>
            <w:r w:rsidR="00C25498">
              <w:rPr>
                <w:noProof/>
                <w:webHidden/>
              </w:rPr>
              <w:tab/>
            </w:r>
            <w:r w:rsidR="00C25498">
              <w:rPr>
                <w:noProof/>
                <w:webHidden/>
              </w:rPr>
              <w:fldChar w:fldCharType="begin"/>
            </w:r>
            <w:r w:rsidR="00C25498">
              <w:rPr>
                <w:noProof/>
                <w:webHidden/>
              </w:rPr>
              <w:instrText xml:space="preserve"> PAGEREF _Toc210313067 \h </w:instrText>
            </w:r>
            <w:r w:rsidR="00C25498">
              <w:rPr>
                <w:noProof/>
                <w:webHidden/>
              </w:rPr>
            </w:r>
            <w:r w:rsidR="00C25498">
              <w:rPr>
                <w:noProof/>
                <w:webHidden/>
              </w:rPr>
              <w:fldChar w:fldCharType="separate"/>
            </w:r>
            <w:r w:rsidR="00AE7586">
              <w:rPr>
                <w:noProof/>
                <w:webHidden/>
              </w:rPr>
              <w:t>3</w:t>
            </w:r>
            <w:r w:rsidR="00C25498">
              <w:rPr>
                <w:noProof/>
                <w:webHidden/>
              </w:rPr>
              <w:fldChar w:fldCharType="end"/>
            </w:r>
          </w:hyperlink>
        </w:p>
        <w:p w14:paraId="61334B10" w14:textId="77777777" w:rsidR="00C25498" w:rsidRDefault="006250BE">
          <w:pPr>
            <w:pStyle w:val="TDC2"/>
            <w:tabs>
              <w:tab w:val="right" w:leader="dot" w:pos="9204"/>
            </w:tabs>
            <w:rPr>
              <w:rFonts w:asciiTheme="minorHAnsi" w:eastAsiaTheme="minorEastAsia" w:hAnsiTheme="minorHAnsi" w:cstheme="minorBidi"/>
              <w:noProof/>
            </w:rPr>
          </w:pPr>
          <w:hyperlink w:anchor="_Toc210313068" w:history="1">
            <w:r w:rsidR="00C25498" w:rsidRPr="00B570E0">
              <w:rPr>
                <w:rStyle w:val="Hipervnculo"/>
                <w:noProof/>
              </w:rPr>
              <w:t>III. Interposición del Recurso de Revisión</w:t>
            </w:r>
            <w:r w:rsidR="00C25498">
              <w:rPr>
                <w:noProof/>
                <w:webHidden/>
              </w:rPr>
              <w:tab/>
            </w:r>
            <w:r w:rsidR="00C25498">
              <w:rPr>
                <w:noProof/>
                <w:webHidden/>
              </w:rPr>
              <w:fldChar w:fldCharType="begin"/>
            </w:r>
            <w:r w:rsidR="00C25498">
              <w:rPr>
                <w:noProof/>
                <w:webHidden/>
              </w:rPr>
              <w:instrText xml:space="preserve"> PAGEREF _Toc210313068 \h </w:instrText>
            </w:r>
            <w:r w:rsidR="00C25498">
              <w:rPr>
                <w:noProof/>
                <w:webHidden/>
              </w:rPr>
            </w:r>
            <w:r w:rsidR="00C25498">
              <w:rPr>
                <w:noProof/>
                <w:webHidden/>
              </w:rPr>
              <w:fldChar w:fldCharType="separate"/>
            </w:r>
            <w:r w:rsidR="00AE7586">
              <w:rPr>
                <w:noProof/>
                <w:webHidden/>
              </w:rPr>
              <w:t>4</w:t>
            </w:r>
            <w:r w:rsidR="00C25498">
              <w:rPr>
                <w:noProof/>
                <w:webHidden/>
              </w:rPr>
              <w:fldChar w:fldCharType="end"/>
            </w:r>
          </w:hyperlink>
        </w:p>
        <w:p w14:paraId="07D390CA" w14:textId="77777777" w:rsidR="00C25498" w:rsidRDefault="006250BE">
          <w:pPr>
            <w:pStyle w:val="TDC2"/>
            <w:tabs>
              <w:tab w:val="right" w:leader="dot" w:pos="9204"/>
            </w:tabs>
            <w:rPr>
              <w:rFonts w:asciiTheme="minorHAnsi" w:eastAsiaTheme="minorEastAsia" w:hAnsiTheme="minorHAnsi" w:cstheme="minorBidi"/>
              <w:noProof/>
            </w:rPr>
          </w:pPr>
          <w:hyperlink w:anchor="_Toc210313069" w:history="1">
            <w:r w:rsidR="00C25498" w:rsidRPr="00B570E0">
              <w:rPr>
                <w:rStyle w:val="Hipervnculo"/>
                <w:noProof/>
              </w:rPr>
              <w:t>IV. Trámite del Recurso de Revisión ante este Instituto</w:t>
            </w:r>
            <w:r w:rsidR="00C25498">
              <w:rPr>
                <w:noProof/>
                <w:webHidden/>
              </w:rPr>
              <w:tab/>
            </w:r>
            <w:r w:rsidR="00C25498">
              <w:rPr>
                <w:noProof/>
                <w:webHidden/>
              </w:rPr>
              <w:fldChar w:fldCharType="begin"/>
            </w:r>
            <w:r w:rsidR="00C25498">
              <w:rPr>
                <w:noProof/>
                <w:webHidden/>
              </w:rPr>
              <w:instrText xml:space="preserve"> PAGEREF _Toc210313069 \h </w:instrText>
            </w:r>
            <w:r w:rsidR="00C25498">
              <w:rPr>
                <w:noProof/>
                <w:webHidden/>
              </w:rPr>
            </w:r>
            <w:r w:rsidR="00C25498">
              <w:rPr>
                <w:noProof/>
                <w:webHidden/>
              </w:rPr>
              <w:fldChar w:fldCharType="separate"/>
            </w:r>
            <w:r w:rsidR="00AE7586">
              <w:rPr>
                <w:noProof/>
                <w:webHidden/>
              </w:rPr>
              <w:t>5</w:t>
            </w:r>
            <w:r w:rsidR="00C25498">
              <w:rPr>
                <w:noProof/>
                <w:webHidden/>
              </w:rPr>
              <w:fldChar w:fldCharType="end"/>
            </w:r>
          </w:hyperlink>
        </w:p>
        <w:p w14:paraId="5A663F0B" w14:textId="77777777" w:rsidR="00C25498" w:rsidRDefault="006250BE">
          <w:pPr>
            <w:pStyle w:val="TDC1"/>
            <w:tabs>
              <w:tab w:val="right" w:leader="dot" w:pos="9204"/>
            </w:tabs>
            <w:rPr>
              <w:rFonts w:asciiTheme="minorHAnsi" w:eastAsiaTheme="minorEastAsia" w:hAnsiTheme="minorHAnsi" w:cstheme="minorBidi"/>
              <w:noProof/>
            </w:rPr>
          </w:pPr>
          <w:hyperlink w:anchor="_Toc210313070" w:history="1">
            <w:r w:rsidR="00C25498" w:rsidRPr="00B570E0">
              <w:rPr>
                <w:rStyle w:val="Hipervnculo"/>
                <w:noProof/>
              </w:rPr>
              <w:t>C O N S I D E R A N D O S</w:t>
            </w:r>
            <w:r w:rsidR="00C25498">
              <w:rPr>
                <w:noProof/>
                <w:webHidden/>
              </w:rPr>
              <w:tab/>
            </w:r>
            <w:r w:rsidR="00C25498">
              <w:rPr>
                <w:noProof/>
                <w:webHidden/>
              </w:rPr>
              <w:fldChar w:fldCharType="begin"/>
            </w:r>
            <w:r w:rsidR="00C25498">
              <w:rPr>
                <w:noProof/>
                <w:webHidden/>
              </w:rPr>
              <w:instrText xml:space="preserve"> PAGEREF _Toc210313070 \h </w:instrText>
            </w:r>
            <w:r w:rsidR="00C25498">
              <w:rPr>
                <w:noProof/>
                <w:webHidden/>
              </w:rPr>
            </w:r>
            <w:r w:rsidR="00C25498">
              <w:rPr>
                <w:noProof/>
                <w:webHidden/>
              </w:rPr>
              <w:fldChar w:fldCharType="separate"/>
            </w:r>
            <w:r w:rsidR="00AE7586">
              <w:rPr>
                <w:noProof/>
                <w:webHidden/>
              </w:rPr>
              <w:t>7</w:t>
            </w:r>
            <w:r w:rsidR="00C25498">
              <w:rPr>
                <w:noProof/>
                <w:webHidden/>
              </w:rPr>
              <w:fldChar w:fldCharType="end"/>
            </w:r>
          </w:hyperlink>
        </w:p>
        <w:p w14:paraId="1F8D628A" w14:textId="77777777" w:rsidR="00C25498" w:rsidRDefault="006250BE">
          <w:pPr>
            <w:pStyle w:val="TDC2"/>
            <w:tabs>
              <w:tab w:val="right" w:leader="dot" w:pos="9204"/>
            </w:tabs>
            <w:rPr>
              <w:rFonts w:asciiTheme="minorHAnsi" w:eastAsiaTheme="minorEastAsia" w:hAnsiTheme="minorHAnsi" w:cstheme="minorBidi"/>
              <w:noProof/>
            </w:rPr>
          </w:pPr>
          <w:hyperlink w:anchor="_Toc210313071" w:history="1">
            <w:r w:rsidR="00C25498" w:rsidRPr="00B570E0">
              <w:rPr>
                <w:rStyle w:val="Hipervnculo"/>
                <w:noProof/>
              </w:rPr>
              <w:t>PRIMERO. Competencia</w:t>
            </w:r>
            <w:r w:rsidR="00C25498">
              <w:rPr>
                <w:noProof/>
                <w:webHidden/>
              </w:rPr>
              <w:tab/>
            </w:r>
            <w:r w:rsidR="00C25498">
              <w:rPr>
                <w:noProof/>
                <w:webHidden/>
              </w:rPr>
              <w:fldChar w:fldCharType="begin"/>
            </w:r>
            <w:r w:rsidR="00C25498">
              <w:rPr>
                <w:noProof/>
                <w:webHidden/>
              </w:rPr>
              <w:instrText xml:space="preserve"> PAGEREF _Toc210313071 \h </w:instrText>
            </w:r>
            <w:r w:rsidR="00C25498">
              <w:rPr>
                <w:noProof/>
                <w:webHidden/>
              </w:rPr>
            </w:r>
            <w:r w:rsidR="00C25498">
              <w:rPr>
                <w:noProof/>
                <w:webHidden/>
              </w:rPr>
              <w:fldChar w:fldCharType="separate"/>
            </w:r>
            <w:r w:rsidR="00AE7586">
              <w:rPr>
                <w:noProof/>
                <w:webHidden/>
              </w:rPr>
              <w:t>7</w:t>
            </w:r>
            <w:r w:rsidR="00C25498">
              <w:rPr>
                <w:noProof/>
                <w:webHidden/>
              </w:rPr>
              <w:fldChar w:fldCharType="end"/>
            </w:r>
          </w:hyperlink>
        </w:p>
        <w:p w14:paraId="0E09FDEF" w14:textId="77777777" w:rsidR="00C25498" w:rsidRDefault="006250BE">
          <w:pPr>
            <w:pStyle w:val="TDC2"/>
            <w:tabs>
              <w:tab w:val="right" w:leader="dot" w:pos="9204"/>
            </w:tabs>
            <w:rPr>
              <w:rFonts w:asciiTheme="minorHAnsi" w:eastAsiaTheme="minorEastAsia" w:hAnsiTheme="minorHAnsi" w:cstheme="minorBidi"/>
              <w:noProof/>
            </w:rPr>
          </w:pPr>
          <w:hyperlink w:anchor="_Toc210313072" w:history="1">
            <w:r w:rsidR="00C25498" w:rsidRPr="00B570E0">
              <w:rPr>
                <w:rStyle w:val="Hipervnculo"/>
                <w:noProof/>
              </w:rPr>
              <w:t>SEGUNDO. Causales de improcedencia y sobreseimiento</w:t>
            </w:r>
            <w:r w:rsidR="00C25498">
              <w:rPr>
                <w:noProof/>
                <w:webHidden/>
              </w:rPr>
              <w:tab/>
            </w:r>
            <w:r w:rsidR="00C25498">
              <w:rPr>
                <w:noProof/>
                <w:webHidden/>
              </w:rPr>
              <w:fldChar w:fldCharType="begin"/>
            </w:r>
            <w:r w:rsidR="00C25498">
              <w:rPr>
                <w:noProof/>
                <w:webHidden/>
              </w:rPr>
              <w:instrText xml:space="preserve"> PAGEREF _Toc210313072 \h </w:instrText>
            </w:r>
            <w:r w:rsidR="00C25498">
              <w:rPr>
                <w:noProof/>
                <w:webHidden/>
              </w:rPr>
            </w:r>
            <w:r w:rsidR="00C25498">
              <w:rPr>
                <w:noProof/>
                <w:webHidden/>
              </w:rPr>
              <w:fldChar w:fldCharType="separate"/>
            </w:r>
            <w:r w:rsidR="00AE7586">
              <w:rPr>
                <w:noProof/>
                <w:webHidden/>
              </w:rPr>
              <w:t>7</w:t>
            </w:r>
            <w:r w:rsidR="00C25498">
              <w:rPr>
                <w:noProof/>
                <w:webHidden/>
              </w:rPr>
              <w:fldChar w:fldCharType="end"/>
            </w:r>
          </w:hyperlink>
        </w:p>
        <w:p w14:paraId="305F7D56" w14:textId="77777777" w:rsidR="00C25498" w:rsidRDefault="006250BE">
          <w:pPr>
            <w:pStyle w:val="TDC2"/>
            <w:tabs>
              <w:tab w:val="right" w:leader="dot" w:pos="9204"/>
            </w:tabs>
            <w:rPr>
              <w:rFonts w:asciiTheme="minorHAnsi" w:eastAsiaTheme="minorEastAsia" w:hAnsiTheme="minorHAnsi" w:cstheme="minorBidi"/>
              <w:noProof/>
            </w:rPr>
          </w:pPr>
          <w:hyperlink w:anchor="_Toc210313073" w:history="1">
            <w:r w:rsidR="00C25498" w:rsidRPr="00B570E0">
              <w:rPr>
                <w:rStyle w:val="Hipervnculo"/>
                <w:noProof/>
              </w:rPr>
              <w:t>TERCERO. Determinación de la Controversia</w:t>
            </w:r>
            <w:r w:rsidR="00C25498">
              <w:rPr>
                <w:noProof/>
                <w:webHidden/>
              </w:rPr>
              <w:tab/>
            </w:r>
            <w:r w:rsidR="00C25498">
              <w:rPr>
                <w:noProof/>
                <w:webHidden/>
              </w:rPr>
              <w:fldChar w:fldCharType="begin"/>
            </w:r>
            <w:r w:rsidR="00C25498">
              <w:rPr>
                <w:noProof/>
                <w:webHidden/>
              </w:rPr>
              <w:instrText xml:space="preserve"> PAGEREF _Toc210313073 \h </w:instrText>
            </w:r>
            <w:r w:rsidR="00C25498">
              <w:rPr>
                <w:noProof/>
                <w:webHidden/>
              </w:rPr>
            </w:r>
            <w:r w:rsidR="00C25498">
              <w:rPr>
                <w:noProof/>
                <w:webHidden/>
              </w:rPr>
              <w:fldChar w:fldCharType="separate"/>
            </w:r>
            <w:r w:rsidR="00AE7586">
              <w:rPr>
                <w:noProof/>
                <w:webHidden/>
              </w:rPr>
              <w:t>9</w:t>
            </w:r>
            <w:r w:rsidR="00C25498">
              <w:rPr>
                <w:noProof/>
                <w:webHidden/>
              </w:rPr>
              <w:fldChar w:fldCharType="end"/>
            </w:r>
          </w:hyperlink>
        </w:p>
        <w:p w14:paraId="5A5818F8" w14:textId="77777777" w:rsidR="00C25498" w:rsidRDefault="006250BE">
          <w:pPr>
            <w:pStyle w:val="TDC2"/>
            <w:tabs>
              <w:tab w:val="right" w:leader="dot" w:pos="9204"/>
            </w:tabs>
            <w:rPr>
              <w:rFonts w:asciiTheme="minorHAnsi" w:eastAsiaTheme="minorEastAsia" w:hAnsiTheme="minorHAnsi" w:cstheme="minorBidi"/>
              <w:noProof/>
            </w:rPr>
          </w:pPr>
          <w:hyperlink w:anchor="_Toc210313074" w:history="1">
            <w:r w:rsidR="00C25498" w:rsidRPr="00B570E0">
              <w:rPr>
                <w:rStyle w:val="Hipervnculo"/>
                <w:noProof/>
              </w:rPr>
              <w:t>CUARTO. Marco normativo aplicable en materia de transparencia y acceso a la información pública</w:t>
            </w:r>
            <w:r w:rsidR="00C25498">
              <w:rPr>
                <w:noProof/>
                <w:webHidden/>
              </w:rPr>
              <w:tab/>
            </w:r>
            <w:r w:rsidR="00C25498">
              <w:rPr>
                <w:noProof/>
                <w:webHidden/>
              </w:rPr>
              <w:fldChar w:fldCharType="begin"/>
            </w:r>
            <w:r w:rsidR="00C25498">
              <w:rPr>
                <w:noProof/>
                <w:webHidden/>
              </w:rPr>
              <w:instrText xml:space="preserve"> PAGEREF _Toc210313074 \h </w:instrText>
            </w:r>
            <w:r w:rsidR="00C25498">
              <w:rPr>
                <w:noProof/>
                <w:webHidden/>
              </w:rPr>
            </w:r>
            <w:r w:rsidR="00C25498">
              <w:rPr>
                <w:noProof/>
                <w:webHidden/>
              </w:rPr>
              <w:fldChar w:fldCharType="separate"/>
            </w:r>
            <w:r w:rsidR="00AE7586">
              <w:rPr>
                <w:noProof/>
                <w:webHidden/>
              </w:rPr>
              <w:t>10</w:t>
            </w:r>
            <w:r w:rsidR="00C25498">
              <w:rPr>
                <w:noProof/>
                <w:webHidden/>
              </w:rPr>
              <w:fldChar w:fldCharType="end"/>
            </w:r>
          </w:hyperlink>
        </w:p>
        <w:p w14:paraId="00C2BBF0" w14:textId="77777777" w:rsidR="00C25498" w:rsidRDefault="006250BE">
          <w:pPr>
            <w:pStyle w:val="TDC2"/>
            <w:tabs>
              <w:tab w:val="right" w:leader="dot" w:pos="9204"/>
            </w:tabs>
            <w:rPr>
              <w:rFonts w:asciiTheme="minorHAnsi" w:eastAsiaTheme="minorEastAsia" w:hAnsiTheme="minorHAnsi" w:cstheme="minorBidi"/>
              <w:noProof/>
            </w:rPr>
          </w:pPr>
          <w:hyperlink w:anchor="_Toc210313075" w:history="1">
            <w:r w:rsidR="00C25498" w:rsidRPr="00B570E0">
              <w:rPr>
                <w:rStyle w:val="Hipervnculo"/>
                <w:smallCaps/>
                <w:noProof/>
              </w:rPr>
              <w:t>QUINTO.</w:t>
            </w:r>
            <w:r w:rsidR="00C25498" w:rsidRPr="00B570E0">
              <w:rPr>
                <w:rStyle w:val="Hipervnculo"/>
                <w:noProof/>
              </w:rPr>
              <w:t xml:space="preserve"> Estudio de Fondo</w:t>
            </w:r>
            <w:r w:rsidR="00C25498">
              <w:rPr>
                <w:noProof/>
                <w:webHidden/>
              </w:rPr>
              <w:tab/>
            </w:r>
            <w:r w:rsidR="00C25498">
              <w:rPr>
                <w:noProof/>
                <w:webHidden/>
              </w:rPr>
              <w:fldChar w:fldCharType="begin"/>
            </w:r>
            <w:r w:rsidR="00C25498">
              <w:rPr>
                <w:noProof/>
                <w:webHidden/>
              </w:rPr>
              <w:instrText xml:space="preserve"> PAGEREF _Toc210313075 \h </w:instrText>
            </w:r>
            <w:r w:rsidR="00C25498">
              <w:rPr>
                <w:noProof/>
                <w:webHidden/>
              </w:rPr>
            </w:r>
            <w:r w:rsidR="00C25498">
              <w:rPr>
                <w:noProof/>
                <w:webHidden/>
              </w:rPr>
              <w:fldChar w:fldCharType="separate"/>
            </w:r>
            <w:r w:rsidR="00AE7586">
              <w:rPr>
                <w:noProof/>
                <w:webHidden/>
              </w:rPr>
              <w:t>11</w:t>
            </w:r>
            <w:r w:rsidR="00C25498">
              <w:rPr>
                <w:noProof/>
                <w:webHidden/>
              </w:rPr>
              <w:fldChar w:fldCharType="end"/>
            </w:r>
          </w:hyperlink>
        </w:p>
        <w:p w14:paraId="49B0917F" w14:textId="77777777" w:rsidR="00C25498" w:rsidRDefault="006250BE">
          <w:pPr>
            <w:pStyle w:val="TDC2"/>
            <w:tabs>
              <w:tab w:val="right" w:leader="dot" w:pos="9204"/>
            </w:tabs>
            <w:rPr>
              <w:rFonts w:asciiTheme="minorHAnsi" w:eastAsiaTheme="minorEastAsia" w:hAnsiTheme="minorHAnsi" w:cstheme="minorBidi"/>
              <w:noProof/>
            </w:rPr>
          </w:pPr>
          <w:hyperlink w:anchor="_Toc210313076" w:history="1">
            <w:r w:rsidR="00C25498" w:rsidRPr="00B570E0">
              <w:rPr>
                <w:rStyle w:val="Hipervnculo"/>
                <w:noProof/>
              </w:rPr>
              <w:t>CUARTO. Decisión</w:t>
            </w:r>
            <w:r w:rsidR="00C25498">
              <w:rPr>
                <w:noProof/>
                <w:webHidden/>
              </w:rPr>
              <w:tab/>
            </w:r>
            <w:r w:rsidR="00C25498">
              <w:rPr>
                <w:noProof/>
                <w:webHidden/>
              </w:rPr>
              <w:fldChar w:fldCharType="begin"/>
            </w:r>
            <w:r w:rsidR="00C25498">
              <w:rPr>
                <w:noProof/>
                <w:webHidden/>
              </w:rPr>
              <w:instrText xml:space="preserve"> PAGEREF _Toc210313076 \h </w:instrText>
            </w:r>
            <w:r w:rsidR="00C25498">
              <w:rPr>
                <w:noProof/>
                <w:webHidden/>
              </w:rPr>
            </w:r>
            <w:r w:rsidR="00C25498">
              <w:rPr>
                <w:noProof/>
                <w:webHidden/>
              </w:rPr>
              <w:fldChar w:fldCharType="separate"/>
            </w:r>
            <w:r w:rsidR="00AE7586">
              <w:rPr>
                <w:noProof/>
                <w:webHidden/>
              </w:rPr>
              <w:t>26</w:t>
            </w:r>
            <w:r w:rsidR="00C25498">
              <w:rPr>
                <w:noProof/>
                <w:webHidden/>
              </w:rPr>
              <w:fldChar w:fldCharType="end"/>
            </w:r>
          </w:hyperlink>
        </w:p>
        <w:p w14:paraId="15CA8E88" w14:textId="77777777" w:rsidR="00C25498" w:rsidRDefault="006250BE">
          <w:pPr>
            <w:pStyle w:val="TDC2"/>
            <w:tabs>
              <w:tab w:val="right" w:leader="dot" w:pos="9204"/>
            </w:tabs>
            <w:rPr>
              <w:rFonts w:asciiTheme="minorHAnsi" w:eastAsiaTheme="minorEastAsia" w:hAnsiTheme="minorHAnsi" w:cstheme="minorBidi"/>
              <w:noProof/>
            </w:rPr>
          </w:pPr>
          <w:hyperlink w:anchor="_Toc210313077" w:history="1">
            <w:r w:rsidR="00C25498" w:rsidRPr="00B570E0">
              <w:rPr>
                <w:rStyle w:val="Hipervnculo"/>
                <w:noProof/>
              </w:rPr>
              <w:t>SEXTO. Vista la Dirección General de Protección de Datos Personales</w:t>
            </w:r>
            <w:r w:rsidR="00C25498">
              <w:rPr>
                <w:noProof/>
                <w:webHidden/>
              </w:rPr>
              <w:tab/>
            </w:r>
            <w:r w:rsidR="00C25498">
              <w:rPr>
                <w:noProof/>
                <w:webHidden/>
              </w:rPr>
              <w:fldChar w:fldCharType="begin"/>
            </w:r>
            <w:r w:rsidR="00C25498">
              <w:rPr>
                <w:noProof/>
                <w:webHidden/>
              </w:rPr>
              <w:instrText xml:space="preserve"> PAGEREF _Toc210313077 \h </w:instrText>
            </w:r>
            <w:r w:rsidR="00C25498">
              <w:rPr>
                <w:noProof/>
                <w:webHidden/>
              </w:rPr>
            </w:r>
            <w:r w:rsidR="00C25498">
              <w:rPr>
                <w:noProof/>
                <w:webHidden/>
              </w:rPr>
              <w:fldChar w:fldCharType="separate"/>
            </w:r>
            <w:r w:rsidR="00AE7586">
              <w:rPr>
                <w:noProof/>
                <w:webHidden/>
              </w:rPr>
              <w:t>27</w:t>
            </w:r>
            <w:r w:rsidR="00C25498">
              <w:rPr>
                <w:noProof/>
                <w:webHidden/>
              </w:rPr>
              <w:fldChar w:fldCharType="end"/>
            </w:r>
          </w:hyperlink>
        </w:p>
        <w:p w14:paraId="16CAAABC" w14:textId="77777777" w:rsidR="00C25498" w:rsidRDefault="006250BE">
          <w:pPr>
            <w:pStyle w:val="TDC1"/>
            <w:tabs>
              <w:tab w:val="right" w:leader="dot" w:pos="9204"/>
            </w:tabs>
            <w:rPr>
              <w:rFonts w:asciiTheme="minorHAnsi" w:eastAsiaTheme="minorEastAsia" w:hAnsiTheme="minorHAnsi" w:cstheme="minorBidi"/>
              <w:noProof/>
            </w:rPr>
          </w:pPr>
          <w:hyperlink w:anchor="_Toc210313078" w:history="1">
            <w:r w:rsidR="00C25498" w:rsidRPr="00B570E0">
              <w:rPr>
                <w:rStyle w:val="Hipervnculo"/>
                <w:noProof/>
              </w:rPr>
              <w:t>R E S U E L V E</w:t>
            </w:r>
            <w:r w:rsidR="00C25498">
              <w:rPr>
                <w:noProof/>
                <w:webHidden/>
              </w:rPr>
              <w:tab/>
            </w:r>
            <w:r w:rsidR="00C25498">
              <w:rPr>
                <w:noProof/>
                <w:webHidden/>
              </w:rPr>
              <w:fldChar w:fldCharType="begin"/>
            </w:r>
            <w:r w:rsidR="00C25498">
              <w:rPr>
                <w:noProof/>
                <w:webHidden/>
              </w:rPr>
              <w:instrText xml:space="preserve"> PAGEREF _Toc210313078 \h </w:instrText>
            </w:r>
            <w:r w:rsidR="00C25498">
              <w:rPr>
                <w:noProof/>
                <w:webHidden/>
              </w:rPr>
            </w:r>
            <w:r w:rsidR="00C25498">
              <w:rPr>
                <w:noProof/>
                <w:webHidden/>
              </w:rPr>
              <w:fldChar w:fldCharType="separate"/>
            </w:r>
            <w:r w:rsidR="00AE7586">
              <w:rPr>
                <w:noProof/>
                <w:webHidden/>
              </w:rPr>
              <w:t>28</w:t>
            </w:r>
            <w:r w:rsidR="00C25498">
              <w:rPr>
                <w:noProof/>
                <w:webHidden/>
              </w:rPr>
              <w:fldChar w:fldCharType="end"/>
            </w:r>
          </w:hyperlink>
        </w:p>
        <w:p w14:paraId="78263FBE" w14:textId="7804B207" w:rsidR="00C25498" w:rsidRDefault="00C25498">
          <w:r>
            <w:rPr>
              <w:b/>
              <w:bCs/>
              <w:lang w:val="es-ES"/>
            </w:rPr>
            <w:fldChar w:fldCharType="end"/>
          </w:r>
        </w:p>
      </w:sdtContent>
    </w:sdt>
    <w:p w14:paraId="303D4332" w14:textId="77777777" w:rsidR="0093010C" w:rsidRPr="00C25498" w:rsidRDefault="001F0517" w:rsidP="006257C4">
      <w:pPr>
        <w:pStyle w:val="Ttulo2"/>
        <w:spacing w:before="0" w:after="0"/>
      </w:pPr>
      <w:r w:rsidRPr="00C25498">
        <w:br w:type="page"/>
      </w:r>
    </w:p>
    <w:p w14:paraId="3947AEDB" w14:textId="183819D4" w:rsidR="0093010C" w:rsidRPr="00C25498" w:rsidRDefault="001F0517" w:rsidP="006257C4">
      <w:pPr>
        <w:spacing w:after="0" w:line="360" w:lineRule="auto"/>
      </w:pPr>
      <w:r w:rsidRPr="00C25498">
        <w:lastRenderedPageBreak/>
        <w:t xml:space="preserve">Resolución del Pleno del Instituto de Transparencia, Acceso a la Información Pública y Protección de Datos Personales del Estado de México y Municipios, con domicilio en Metepec, Estado de México, de fecha </w:t>
      </w:r>
      <w:r w:rsidR="00C25498" w:rsidRPr="00C25498">
        <w:t>primero de octubre</w:t>
      </w:r>
      <w:r w:rsidRPr="00C25498">
        <w:t xml:space="preserve"> de dos mil veinticinco.</w:t>
      </w:r>
    </w:p>
    <w:p w14:paraId="0E0BCB4C" w14:textId="77777777" w:rsidR="0093010C" w:rsidRPr="00C25498" w:rsidRDefault="0093010C" w:rsidP="006257C4">
      <w:pPr>
        <w:spacing w:after="0" w:line="360" w:lineRule="auto"/>
        <w:rPr>
          <w:b/>
        </w:rPr>
      </w:pPr>
    </w:p>
    <w:p w14:paraId="7582DDE0" w14:textId="77777777" w:rsidR="0093010C" w:rsidRPr="00C25498" w:rsidRDefault="001F0517" w:rsidP="006257C4">
      <w:pPr>
        <w:spacing w:after="0" w:line="360" w:lineRule="auto"/>
      </w:pPr>
      <w:r w:rsidRPr="00C25498">
        <w:rPr>
          <w:b/>
        </w:rPr>
        <w:t>VISTO</w:t>
      </w:r>
      <w:r w:rsidRPr="00C25498">
        <w:t xml:space="preserve"> el expediente conformado con motivo del Recurso de Revisión </w:t>
      </w:r>
      <w:r w:rsidRPr="00E63E4A">
        <w:rPr>
          <w:b/>
        </w:rPr>
        <w:t>07656/INFOEM/IP/RR/2025</w:t>
      </w:r>
      <w:r w:rsidRPr="00C25498">
        <w:t xml:space="preserve">, interpuesto por un Particular, en lo sucesivo, la persona Recurrente o Particular, en contra de la respuesta del Sujeto Obligado, </w:t>
      </w:r>
      <w:bookmarkStart w:id="0" w:name="_GoBack"/>
      <w:r w:rsidRPr="00E63E4A">
        <w:rPr>
          <w:b/>
        </w:rPr>
        <w:t>Ayuntamiento de Toluca</w:t>
      </w:r>
      <w:bookmarkEnd w:id="0"/>
      <w:r w:rsidRPr="00C25498">
        <w:t>, se emite la presente Resolución, con base en los antecedentes y considerandos que se exponen a continuación:</w:t>
      </w:r>
    </w:p>
    <w:p w14:paraId="3886CE37" w14:textId="77777777" w:rsidR="0093010C" w:rsidRPr="00C25498" w:rsidRDefault="0093010C" w:rsidP="006257C4">
      <w:pPr>
        <w:spacing w:after="0" w:line="360" w:lineRule="auto"/>
      </w:pPr>
    </w:p>
    <w:p w14:paraId="26A1E6EE" w14:textId="77777777" w:rsidR="0093010C" w:rsidRPr="00C25498" w:rsidRDefault="001F0517" w:rsidP="006257C4">
      <w:pPr>
        <w:pStyle w:val="Ttulo1"/>
        <w:spacing w:before="0" w:after="0"/>
        <w:rPr>
          <w:sz w:val="22"/>
          <w:szCs w:val="22"/>
        </w:rPr>
      </w:pPr>
      <w:bookmarkStart w:id="1" w:name="_Toc210313065"/>
      <w:r w:rsidRPr="00C25498">
        <w:rPr>
          <w:sz w:val="22"/>
          <w:szCs w:val="22"/>
        </w:rPr>
        <w:t>A N T E C E D E N T E S</w:t>
      </w:r>
      <w:bookmarkEnd w:id="1"/>
    </w:p>
    <w:p w14:paraId="2C24EEDC" w14:textId="77777777" w:rsidR="0093010C" w:rsidRPr="00C25498" w:rsidRDefault="0093010C" w:rsidP="006257C4">
      <w:pPr>
        <w:spacing w:after="0" w:line="360" w:lineRule="auto"/>
      </w:pPr>
      <w:bookmarkStart w:id="2" w:name="_heading=h.gjdgxs" w:colFirst="0" w:colLast="0"/>
      <w:bookmarkEnd w:id="2"/>
    </w:p>
    <w:p w14:paraId="1FEC42D1" w14:textId="77777777" w:rsidR="0093010C" w:rsidRPr="00C25498" w:rsidRDefault="001F0517" w:rsidP="006257C4">
      <w:pPr>
        <w:pStyle w:val="Ttulo2"/>
        <w:spacing w:before="0" w:after="0"/>
      </w:pPr>
      <w:bookmarkStart w:id="3" w:name="_Toc210313066"/>
      <w:r w:rsidRPr="00C25498">
        <w:t>I. Presentación de la solicitud de información</w:t>
      </w:r>
      <w:bookmarkEnd w:id="3"/>
    </w:p>
    <w:p w14:paraId="45CC1E0C" w14:textId="77777777" w:rsidR="0093010C" w:rsidRPr="00C25498" w:rsidRDefault="0093010C" w:rsidP="006257C4">
      <w:pPr>
        <w:tabs>
          <w:tab w:val="left" w:pos="567"/>
        </w:tabs>
        <w:spacing w:after="0" w:line="360" w:lineRule="auto"/>
      </w:pPr>
    </w:p>
    <w:p w14:paraId="42A98F32" w14:textId="77777777" w:rsidR="0093010C" w:rsidRPr="00C25498" w:rsidRDefault="001F0517" w:rsidP="006257C4">
      <w:pPr>
        <w:spacing w:after="0" w:line="360" w:lineRule="auto"/>
      </w:pPr>
      <w:bookmarkStart w:id="4" w:name="_heading=h.su0jssiigkpq" w:colFirst="0" w:colLast="0"/>
      <w:bookmarkEnd w:id="4"/>
      <w:r w:rsidRPr="00C25498">
        <w:t>Con fecha doce de mayo de dos mil veinticinco, la parte Solicitante presentó una solicitud de acceso a la información pública, a través del Sistema de Acceso a la Información Mexiquense, en lo sucesivo el SAIMEX, ante el Ayuntamiento de Toluca, en la que requirió lo siguiente:</w:t>
      </w:r>
    </w:p>
    <w:p w14:paraId="7DE74D06" w14:textId="77777777" w:rsidR="0093010C" w:rsidRPr="00C25498" w:rsidRDefault="0093010C" w:rsidP="006257C4">
      <w:pPr>
        <w:spacing w:after="0" w:line="360" w:lineRule="auto"/>
      </w:pPr>
    </w:p>
    <w:p w14:paraId="2D82D38B" w14:textId="77777777" w:rsidR="0093010C" w:rsidRPr="00C25498" w:rsidRDefault="001F0517" w:rsidP="006257C4">
      <w:pPr>
        <w:tabs>
          <w:tab w:val="left" w:pos="567"/>
        </w:tabs>
        <w:spacing w:after="0" w:line="360" w:lineRule="auto"/>
        <w:ind w:left="567" w:right="709"/>
        <w:rPr>
          <w:b/>
          <w:sz w:val="20"/>
          <w:szCs w:val="20"/>
        </w:rPr>
      </w:pPr>
      <w:r w:rsidRPr="00C25498">
        <w:rPr>
          <w:b/>
          <w:sz w:val="20"/>
          <w:szCs w:val="20"/>
        </w:rPr>
        <w:t>Folio de la solicitud: 02730/TOLUCA/IP/2025</w:t>
      </w:r>
    </w:p>
    <w:p w14:paraId="0EFA58C9" w14:textId="77777777" w:rsidR="0093010C" w:rsidRPr="00C25498" w:rsidRDefault="001F0517" w:rsidP="006257C4">
      <w:pPr>
        <w:tabs>
          <w:tab w:val="left" w:pos="567"/>
        </w:tabs>
        <w:spacing w:after="0" w:line="360" w:lineRule="auto"/>
        <w:ind w:left="567" w:right="709"/>
        <w:rPr>
          <w:b/>
          <w:sz w:val="20"/>
          <w:szCs w:val="20"/>
        </w:rPr>
      </w:pPr>
      <w:r w:rsidRPr="00C25498">
        <w:rPr>
          <w:b/>
          <w:sz w:val="20"/>
          <w:szCs w:val="20"/>
        </w:rPr>
        <w:t>DESCRIPCIÓN CLARA Y PRECISA DE LA INFORMACIÓN SOLICITADA</w:t>
      </w:r>
    </w:p>
    <w:p w14:paraId="352CCFF7" w14:textId="77777777" w:rsidR="0093010C" w:rsidRPr="00C25498" w:rsidRDefault="001F0517" w:rsidP="006257C4">
      <w:pPr>
        <w:tabs>
          <w:tab w:val="left" w:pos="4667"/>
        </w:tabs>
        <w:spacing w:after="0" w:line="360" w:lineRule="auto"/>
        <w:ind w:left="567" w:right="709"/>
        <w:rPr>
          <w:i/>
          <w:sz w:val="20"/>
          <w:szCs w:val="20"/>
        </w:rPr>
      </w:pPr>
      <w:r w:rsidRPr="00C25498">
        <w:rPr>
          <w:i/>
          <w:sz w:val="20"/>
          <w:szCs w:val="20"/>
        </w:rPr>
        <w:t>“Los oficios recibidos y emitidos en la Dirección General de Desarrollo Económico del 1 de enero al 9 de mayo de 2025” (Sic.)</w:t>
      </w:r>
    </w:p>
    <w:p w14:paraId="1333125F" w14:textId="77777777" w:rsidR="0093010C" w:rsidRPr="00C25498" w:rsidRDefault="0093010C" w:rsidP="006257C4">
      <w:pPr>
        <w:tabs>
          <w:tab w:val="left" w:pos="4667"/>
        </w:tabs>
        <w:spacing w:after="0" w:line="360" w:lineRule="auto"/>
        <w:ind w:left="567" w:right="709"/>
        <w:rPr>
          <w:i/>
          <w:sz w:val="20"/>
          <w:szCs w:val="20"/>
        </w:rPr>
      </w:pPr>
    </w:p>
    <w:p w14:paraId="1B9F2950" w14:textId="77777777" w:rsidR="00660B5D" w:rsidRPr="00C25498" w:rsidRDefault="001F0517" w:rsidP="006257C4">
      <w:pPr>
        <w:tabs>
          <w:tab w:val="left" w:pos="4667"/>
        </w:tabs>
        <w:spacing w:after="0" w:line="360" w:lineRule="auto"/>
        <w:ind w:left="567" w:right="709"/>
        <w:rPr>
          <w:b/>
          <w:sz w:val="20"/>
          <w:szCs w:val="20"/>
        </w:rPr>
      </w:pPr>
      <w:r w:rsidRPr="00C25498">
        <w:rPr>
          <w:b/>
          <w:sz w:val="20"/>
          <w:szCs w:val="20"/>
        </w:rPr>
        <w:t xml:space="preserve">MODALIDAD DE ENTREGA </w:t>
      </w:r>
    </w:p>
    <w:p w14:paraId="29547F9C" w14:textId="1692DFC4" w:rsidR="0093010C" w:rsidRPr="00C25498" w:rsidRDefault="001F0517" w:rsidP="006257C4">
      <w:pPr>
        <w:tabs>
          <w:tab w:val="left" w:pos="4667"/>
        </w:tabs>
        <w:spacing w:after="0" w:line="360" w:lineRule="auto"/>
        <w:ind w:left="567" w:right="709"/>
        <w:rPr>
          <w:b/>
          <w:sz w:val="20"/>
          <w:szCs w:val="20"/>
        </w:rPr>
      </w:pPr>
      <w:r w:rsidRPr="00C25498">
        <w:rPr>
          <w:i/>
          <w:sz w:val="20"/>
          <w:szCs w:val="20"/>
        </w:rPr>
        <w:t>“A través del SAIMEX.”</w:t>
      </w:r>
    </w:p>
    <w:p w14:paraId="29B046E2" w14:textId="77777777" w:rsidR="0093010C" w:rsidRPr="00C25498" w:rsidRDefault="0093010C" w:rsidP="006257C4">
      <w:pPr>
        <w:tabs>
          <w:tab w:val="left" w:pos="4667"/>
        </w:tabs>
        <w:spacing w:after="0" w:line="360" w:lineRule="auto"/>
        <w:ind w:right="709"/>
      </w:pPr>
    </w:p>
    <w:p w14:paraId="6A9C2351" w14:textId="77777777" w:rsidR="0093010C" w:rsidRPr="00C25498" w:rsidRDefault="001F0517" w:rsidP="006257C4">
      <w:pPr>
        <w:pStyle w:val="Ttulo2"/>
        <w:spacing w:before="0" w:after="0"/>
      </w:pPr>
      <w:bookmarkStart w:id="5" w:name="_Toc210313067"/>
      <w:r w:rsidRPr="00C25498">
        <w:lastRenderedPageBreak/>
        <w:t>II. Respuesta del Sujeto Obligado</w:t>
      </w:r>
      <w:bookmarkEnd w:id="5"/>
    </w:p>
    <w:p w14:paraId="0303C4C1" w14:textId="77777777" w:rsidR="0093010C" w:rsidRPr="00C25498" w:rsidRDefault="0093010C" w:rsidP="006257C4">
      <w:pPr>
        <w:spacing w:after="0" w:line="360" w:lineRule="auto"/>
      </w:pPr>
    </w:p>
    <w:p w14:paraId="429FC9EC" w14:textId="77777777" w:rsidR="0093010C" w:rsidRPr="00C25498" w:rsidRDefault="001F0517" w:rsidP="006257C4">
      <w:pPr>
        <w:spacing w:after="0" w:line="360" w:lineRule="auto"/>
      </w:pPr>
      <w:r w:rsidRPr="00C25498">
        <w:t xml:space="preserve">El dos de junio de dos mil veinticinco, el Sujeto Obligado a través de SAIMEX, dio respuesta, mediante los siguientes archivos: </w:t>
      </w:r>
    </w:p>
    <w:p w14:paraId="07124A37" w14:textId="77777777" w:rsidR="0093010C" w:rsidRPr="00C25498" w:rsidRDefault="0093010C" w:rsidP="006257C4">
      <w:pPr>
        <w:spacing w:after="0" w:line="360" w:lineRule="auto"/>
        <w:rPr>
          <w:b/>
          <w:i/>
        </w:rPr>
      </w:pPr>
    </w:p>
    <w:p w14:paraId="63B5E48A" w14:textId="77777777" w:rsidR="0093010C" w:rsidRPr="00C25498" w:rsidRDefault="001F0517" w:rsidP="006257C4">
      <w:pPr>
        <w:numPr>
          <w:ilvl w:val="0"/>
          <w:numId w:val="17"/>
        </w:numPr>
        <w:pBdr>
          <w:top w:val="nil"/>
          <w:left w:val="nil"/>
          <w:bottom w:val="nil"/>
          <w:right w:val="nil"/>
          <w:between w:val="nil"/>
        </w:pBdr>
        <w:spacing w:after="0" w:line="360" w:lineRule="auto"/>
        <w:rPr>
          <w:b/>
          <w:i/>
          <w:color w:val="000000"/>
        </w:rPr>
      </w:pPr>
      <w:r w:rsidRPr="00C25498">
        <w:rPr>
          <w:b/>
          <w:i/>
          <w:color w:val="000000"/>
        </w:rPr>
        <w:t xml:space="preserve">ANEXO1 SAIMEX 2730 3.pdf; </w:t>
      </w:r>
      <w:r w:rsidRPr="00C25498">
        <w:rPr>
          <w:color w:val="000000"/>
        </w:rPr>
        <w:t xml:space="preserve">del que se desprenden 500 hojas de las que se advierten diversos oficios de distintas áreas del Sujeto Obligado y de Particulares dirigidos a la Directora General de Desarrollo Económico, que abordan los meses de enero, febrero, marzo y abril del año en curso, en el que se testó información como nombres de Particulares; cabe precisar que, también dejó visibles datos personales, a manera de ejemplo, los siguientes: </w:t>
      </w:r>
    </w:p>
    <w:p w14:paraId="67A067D8" w14:textId="77777777" w:rsidR="00660B5D" w:rsidRPr="00C25498" w:rsidRDefault="00660B5D" w:rsidP="006257C4">
      <w:pPr>
        <w:pBdr>
          <w:top w:val="nil"/>
          <w:left w:val="nil"/>
          <w:bottom w:val="nil"/>
          <w:right w:val="nil"/>
          <w:between w:val="nil"/>
        </w:pBdr>
        <w:spacing w:after="0" w:line="360" w:lineRule="auto"/>
        <w:ind w:left="720"/>
        <w:rPr>
          <w:b/>
          <w:i/>
          <w:color w:val="000000"/>
        </w:rPr>
      </w:pPr>
    </w:p>
    <w:p w14:paraId="540D63B0"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 xml:space="preserve">En las páginas 364, 365, 366, 394, 396, 397, 398, 434, 437, dejó visible nombre y RFC de Particulares; </w:t>
      </w:r>
    </w:p>
    <w:p w14:paraId="20B643CF"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 xml:space="preserve">En las páginas 367, 373, 391, 401, 450, 451, 452, 462, 467, 493, dejó visible un número celular de un particular, </w:t>
      </w:r>
    </w:p>
    <w:p w14:paraId="0B54331F"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 xml:space="preserve">En las páginas 392, 403, 404, 442 dejó visible nombre y número celular de Particulares; </w:t>
      </w:r>
    </w:p>
    <w:p w14:paraId="3839D459"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 xml:space="preserve">En la página 400 dejó visibles nombres, fecha de nacimiento y CURP de Particulares, </w:t>
      </w:r>
    </w:p>
    <w:p w14:paraId="1D943AFE"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 xml:space="preserve">En la página 422 dejó visible RFC y CURP de Particulares. </w:t>
      </w:r>
    </w:p>
    <w:p w14:paraId="5AA7E1E3" w14:textId="77777777" w:rsidR="0093010C" w:rsidRPr="00C25498" w:rsidRDefault="0093010C" w:rsidP="006257C4">
      <w:pPr>
        <w:pBdr>
          <w:top w:val="nil"/>
          <w:left w:val="nil"/>
          <w:bottom w:val="nil"/>
          <w:right w:val="nil"/>
          <w:between w:val="nil"/>
        </w:pBdr>
        <w:spacing w:after="0" w:line="360" w:lineRule="auto"/>
        <w:ind w:left="1440"/>
        <w:rPr>
          <w:b/>
          <w:i/>
          <w:color w:val="000000"/>
        </w:rPr>
      </w:pPr>
    </w:p>
    <w:p w14:paraId="7591A378" w14:textId="77777777" w:rsidR="0093010C" w:rsidRPr="00C25498" w:rsidRDefault="001F0517" w:rsidP="006257C4">
      <w:pPr>
        <w:numPr>
          <w:ilvl w:val="0"/>
          <w:numId w:val="17"/>
        </w:numPr>
        <w:pBdr>
          <w:top w:val="nil"/>
          <w:left w:val="nil"/>
          <w:bottom w:val="nil"/>
          <w:right w:val="nil"/>
          <w:between w:val="nil"/>
        </w:pBdr>
        <w:spacing w:after="0" w:line="360" w:lineRule="auto"/>
        <w:rPr>
          <w:b/>
          <w:i/>
          <w:color w:val="000000"/>
        </w:rPr>
      </w:pPr>
      <w:r w:rsidRPr="00C25498">
        <w:rPr>
          <w:b/>
          <w:i/>
          <w:color w:val="000000"/>
        </w:rPr>
        <w:t xml:space="preserve">ANEXO 3 SAIMEX 2730 3.pdf; </w:t>
      </w:r>
      <w:r w:rsidRPr="00C25498">
        <w:rPr>
          <w:color w:val="000000"/>
        </w:rPr>
        <w:t>del que se advierten 500 hojas; de los cuales, de la página 1 a la 167 son diversos oficios de distintas áreas del Sujeto Obligado y de Particulares dirigidos a la Directora General de Desarrollo Económico, que abordan los meses de febrero, marzo y abril del año en curso.</w:t>
      </w:r>
    </w:p>
    <w:p w14:paraId="6F3922E9" w14:textId="77777777" w:rsidR="0093010C" w:rsidRPr="00C25498" w:rsidRDefault="0093010C" w:rsidP="006257C4">
      <w:pPr>
        <w:pBdr>
          <w:top w:val="nil"/>
          <w:left w:val="nil"/>
          <w:bottom w:val="nil"/>
          <w:right w:val="nil"/>
          <w:between w:val="nil"/>
        </w:pBdr>
        <w:spacing w:after="0" w:line="360" w:lineRule="auto"/>
        <w:ind w:left="720"/>
        <w:rPr>
          <w:b/>
          <w:i/>
          <w:color w:val="000000"/>
        </w:rPr>
      </w:pPr>
    </w:p>
    <w:p w14:paraId="7DFD2945" w14:textId="77777777" w:rsidR="0093010C" w:rsidRPr="00C25498" w:rsidRDefault="001F0517" w:rsidP="006257C4">
      <w:pPr>
        <w:pBdr>
          <w:top w:val="nil"/>
          <w:left w:val="nil"/>
          <w:bottom w:val="nil"/>
          <w:right w:val="nil"/>
          <w:between w:val="nil"/>
        </w:pBdr>
        <w:spacing w:after="0" w:line="360" w:lineRule="auto"/>
        <w:ind w:left="720"/>
        <w:rPr>
          <w:color w:val="000000"/>
        </w:rPr>
      </w:pPr>
      <w:r w:rsidRPr="00C25498">
        <w:rPr>
          <w:color w:val="000000"/>
        </w:rPr>
        <w:lastRenderedPageBreak/>
        <w:t xml:space="preserve">A partir de la foja 168 se trata de oficios emitidos por la Dirección General de Desarrollo Económico de diversas fechas de enero a abril del año en curso. </w:t>
      </w:r>
    </w:p>
    <w:p w14:paraId="029C2EB6" w14:textId="77777777" w:rsidR="00660B5D" w:rsidRPr="00C25498" w:rsidRDefault="00660B5D" w:rsidP="006257C4">
      <w:pPr>
        <w:pBdr>
          <w:top w:val="nil"/>
          <w:left w:val="nil"/>
          <w:bottom w:val="nil"/>
          <w:right w:val="nil"/>
          <w:between w:val="nil"/>
        </w:pBdr>
        <w:spacing w:after="0" w:line="360" w:lineRule="auto"/>
        <w:ind w:left="720"/>
        <w:rPr>
          <w:color w:val="000000"/>
        </w:rPr>
      </w:pPr>
    </w:p>
    <w:p w14:paraId="74253A2B" w14:textId="77777777" w:rsidR="0093010C" w:rsidRPr="00C25498" w:rsidRDefault="001F0517" w:rsidP="006257C4">
      <w:pPr>
        <w:pBdr>
          <w:top w:val="nil"/>
          <w:left w:val="nil"/>
          <w:bottom w:val="nil"/>
          <w:right w:val="nil"/>
          <w:between w:val="nil"/>
        </w:pBdr>
        <w:spacing w:after="0" w:line="360" w:lineRule="auto"/>
        <w:ind w:left="720"/>
        <w:rPr>
          <w:color w:val="000000"/>
        </w:rPr>
      </w:pPr>
      <w:r w:rsidRPr="00C25498">
        <w:rPr>
          <w:color w:val="000000"/>
        </w:rPr>
        <w:t>En los anteriores testó información como nombres de Particulares, números telefónicos y correos electrónicos de Particulares e información desconocida; cabe precisar que, también dejó visibles datos personales, a manera de ejemplo, los siguientes:</w:t>
      </w:r>
    </w:p>
    <w:p w14:paraId="544A6E6E" w14:textId="77777777" w:rsidR="00660B5D" w:rsidRPr="00C25498" w:rsidRDefault="00660B5D" w:rsidP="006257C4">
      <w:pPr>
        <w:pBdr>
          <w:top w:val="nil"/>
          <w:left w:val="nil"/>
          <w:bottom w:val="nil"/>
          <w:right w:val="nil"/>
          <w:between w:val="nil"/>
        </w:pBdr>
        <w:spacing w:after="0" w:line="360" w:lineRule="auto"/>
        <w:ind w:left="720"/>
        <w:rPr>
          <w:b/>
          <w:i/>
          <w:color w:val="000000"/>
        </w:rPr>
      </w:pPr>
    </w:p>
    <w:p w14:paraId="5335786F"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En las páginas 4, 81 dejó visible un número celular de un particular</w:t>
      </w:r>
    </w:p>
    <w:p w14:paraId="455A1B0F"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En las páginas 15, 17, 113, 152 dejó visible nombre y número celular de Particulares</w:t>
      </w:r>
    </w:p>
    <w:p w14:paraId="2CCCD508" w14:textId="77777777" w:rsidR="0093010C" w:rsidRPr="00C25498" w:rsidRDefault="001F0517" w:rsidP="006257C4">
      <w:pPr>
        <w:numPr>
          <w:ilvl w:val="1"/>
          <w:numId w:val="17"/>
        </w:numPr>
        <w:pBdr>
          <w:top w:val="nil"/>
          <w:left w:val="nil"/>
          <w:bottom w:val="nil"/>
          <w:right w:val="nil"/>
          <w:between w:val="nil"/>
        </w:pBdr>
        <w:spacing w:after="0" w:line="360" w:lineRule="auto"/>
        <w:rPr>
          <w:i/>
          <w:color w:val="000000"/>
        </w:rPr>
      </w:pPr>
      <w:r w:rsidRPr="00C25498">
        <w:rPr>
          <w:color w:val="000000"/>
        </w:rPr>
        <w:t>En las páginas 23, 113, 130, 152, 184, 286, 287, 288, dejó visible correo electrónico de Particulares</w:t>
      </w:r>
    </w:p>
    <w:p w14:paraId="491571CB"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En las páginas 29, 30, 88, 90, 91, 92, 93, 94, 95, 98, 99, 100, dejó visible nombre y RFC de Particulares</w:t>
      </w:r>
    </w:p>
    <w:p w14:paraId="56BB4313" w14:textId="77777777" w:rsidR="0093010C" w:rsidRPr="00C25498" w:rsidRDefault="0093010C" w:rsidP="006257C4">
      <w:pPr>
        <w:spacing w:after="0" w:line="360" w:lineRule="auto"/>
        <w:rPr>
          <w:i/>
        </w:rPr>
      </w:pPr>
    </w:p>
    <w:p w14:paraId="690910EF" w14:textId="77777777" w:rsidR="0093010C" w:rsidRPr="00C25498" w:rsidRDefault="001F0517" w:rsidP="006257C4">
      <w:pPr>
        <w:pBdr>
          <w:top w:val="nil"/>
          <w:left w:val="nil"/>
          <w:bottom w:val="nil"/>
          <w:right w:val="nil"/>
          <w:between w:val="nil"/>
        </w:pBdr>
        <w:spacing w:after="0" w:line="360" w:lineRule="auto"/>
        <w:ind w:left="720"/>
        <w:rPr>
          <w:color w:val="000000"/>
        </w:rPr>
      </w:pPr>
      <w:r w:rsidRPr="00C25498">
        <w:rPr>
          <w:b/>
          <w:i/>
          <w:color w:val="000000"/>
        </w:rPr>
        <w:t>ANEXO 2 SAIMEX 2730.pdf</w:t>
      </w:r>
      <w:proofErr w:type="gramStart"/>
      <w:r w:rsidRPr="00C25498">
        <w:rPr>
          <w:b/>
          <w:i/>
          <w:color w:val="000000"/>
        </w:rPr>
        <w:t xml:space="preserve">; </w:t>
      </w:r>
      <w:r w:rsidRPr="00C25498">
        <w:rPr>
          <w:b/>
          <w:color w:val="000000"/>
        </w:rPr>
        <w:t xml:space="preserve"> </w:t>
      </w:r>
      <w:r w:rsidRPr="00C25498">
        <w:rPr>
          <w:color w:val="000000"/>
        </w:rPr>
        <w:t>del</w:t>
      </w:r>
      <w:proofErr w:type="gramEnd"/>
      <w:r w:rsidRPr="00C25498">
        <w:rPr>
          <w:color w:val="000000"/>
        </w:rPr>
        <w:t xml:space="preserve"> cual se aprecian 614 fojas de oficios emitidos por la por la Dirección General de Desarrollo Económico de diversas fechas de enero a mayo del año en curso. </w:t>
      </w:r>
    </w:p>
    <w:p w14:paraId="11F365E4" w14:textId="77777777" w:rsidR="00660B5D" w:rsidRPr="00C25498" w:rsidRDefault="00660B5D" w:rsidP="006257C4">
      <w:pPr>
        <w:pBdr>
          <w:top w:val="nil"/>
          <w:left w:val="nil"/>
          <w:bottom w:val="nil"/>
          <w:right w:val="nil"/>
          <w:between w:val="nil"/>
        </w:pBdr>
        <w:spacing w:after="0" w:line="360" w:lineRule="auto"/>
        <w:ind w:left="720"/>
        <w:rPr>
          <w:color w:val="000000"/>
        </w:rPr>
      </w:pPr>
    </w:p>
    <w:p w14:paraId="1BDB8348" w14:textId="77777777" w:rsidR="0093010C" w:rsidRPr="00C25498" w:rsidRDefault="001F0517" w:rsidP="006257C4">
      <w:pPr>
        <w:pBdr>
          <w:top w:val="nil"/>
          <w:left w:val="nil"/>
          <w:bottom w:val="nil"/>
          <w:right w:val="nil"/>
          <w:between w:val="nil"/>
        </w:pBdr>
        <w:spacing w:after="0" w:line="360" w:lineRule="auto"/>
        <w:ind w:left="720"/>
        <w:rPr>
          <w:color w:val="000000"/>
        </w:rPr>
      </w:pPr>
      <w:r w:rsidRPr="00C25498">
        <w:rPr>
          <w:color w:val="000000"/>
        </w:rPr>
        <w:t>En los anteriores testó información como nombres de Particulares, números telefónicos y correos electrónicos de Particulares e información desconocida; cabe precisar que, también dejó visibles datos personales, a manera de ejemplo, los siguientes:</w:t>
      </w:r>
    </w:p>
    <w:p w14:paraId="15C6E91D" w14:textId="77777777" w:rsidR="00660B5D" w:rsidRPr="00C25498" w:rsidRDefault="00660B5D" w:rsidP="006257C4">
      <w:pPr>
        <w:pBdr>
          <w:top w:val="nil"/>
          <w:left w:val="nil"/>
          <w:bottom w:val="nil"/>
          <w:right w:val="nil"/>
          <w:between w:val="nil"/>
        </w:pBdr>
        <w:spacing w:after="0" w:line="360" w:lineRule="auto"/>
        <w:ind w:left="720"/>
        <w:rPr>
          <w:b/>
          <w:i/>
          <w:color w:val="000000"/>
        </w:rPr>
      </w:pPr>
    </w:p>
    <w:p w14:paraId="4F482E8E" w14:textId="77777777" w:rsidR="0093010C" w:rsidRPr="00C25498" w:rsidRDefault="001F0517" w:rsidP="006257C4">
      <w:pPr>
        <w:numPr>
          <w:ilvl w:val="1"/>
          <w:numId w:val="17"/>
        </w:numPr>
        <w:pBdr>
          <w:top w:val="nil"/>
          <w:left w:val="nil"/>
          <w:bottom w:val="nil"/>
          <w:right w:val="nil"/>
          <w:between w:val="nil"/>
        </w:pBdr>
        <w:spacing w:after="0" w:line="360" w:lineRule="auto"/>
        <w:rPr>
          <w:b/>
          <w:i/>
          <w:color w:val="000000"/>
        </w:rPr>
      </w:pPr>
      <w:r w:rsidRPr="00C25498">
        <w:rPr>
          <w:color w:val="000000"/>
        </w:rPr>
        <w:t>En las páginas 318 dejó visible un número celular de un particular</w:t>
      </w:r>
    </w:p>
    <w:p w14:paraId="1F2EEFC7" w14:textId="77777777" w:rsidR="0093010C" w:rsidRPr="00C25498" w:rsidRDefault="0093010C" w:rsidP="006257C4">
      <w:pPr>
        <w:spacing w:after="0" w:line="360" w:lineRule="auto"/>
      </w:pPr>
    </w:p>
    <w:p w14:paraId="66B1783D" w14:textId="77777777" w:rsidR="0093010C" w:rsidRPr="00C25498" w:rsidRDefault="001F0517" w:rsidP="006257C4">
      <w:pPr>
        <w:pStyle w:val="Ttulo2"/>
        <w:spacing w:before="0" w:after="0"/>
      </w:pPr>
      <w:bookmarkStart w:id="6" w:name="_Toc210313068"/>
      <w:r w:rsidRPr="00C25498">
        <w:t>III. Interposición del Recurso de Revisión</w:t>
      </w:r>
      <w:bookmarkEnd w:id="6"/>
    </w:p>
    <w:p w14:paraId="415E98EC" w14:textId="77777777" w:rsidR="0093010C" w:rsidRPr="00C25498" w:rsidRDefault="0093010C" w:rsidP="006257C4">
      <w:pPr>
        <w:spacing w:after="0" w:line="360" w:lineRule="auto"/>
        <w:rPr>
          <w:b/>
        </w:rPr>
      </w:pPr>
    </w:p>
    <w:p w14:paraId="651D6AA0" w14:textId="77777777" w:rsidR="0093010C" w:rsidRPr="00C25498" w:rsidRDefault="001F0517" w:rsidP="006257C4">
      <w:pPr>
        <w:spacing w:after="0" w:line="360" w:lineRule="auto"/>
      </w:pPr>
      <w:bookmarkStart w:id="7" w:name="_heading=h.2et92p0" w:colFirst="0" w:colLast="0"/>
      <w:bookmarkEnd w:id="7"/>
      <w:r w:rsidRPr="00C25498">
        <w:lastRenderedPageBreak/>
        <w:t>Con fecha veintitrés de junio de dos mil veinticinco, se recibió a través del SAIMEX, el Recurso de Revisión interpuesto por la persona Recurrente, en los siguientes términos:</w:t>
      </w:r>
    </w:p>
    <w:p w14:paraId="3490749C" w14:textId="77777777" w:rsidR="0093010C" w:rsidRPr="00C25498" w:rsidRDefault="0093010C" w:rsidP="006257C4">
      <w:pPr>
        <w:spacing w:after="0" w:line="360" w:lineRule="auto"/>
      </w:pPr>
    </w:p>
    <w:p w14:paraId="24D66183" w14:textId="77777777" w:rsidR="0093010C" w:rsidRPr="00C25498" w:rsidRDefault="001F0517" w:rsidP="006257C4">
      <w:pPr>
        <w:spacing w:after="0" w:line="360" w:lineRule="auto"/>
        <w:ind w:left="567" w:right="709"/>
        <w:rPr>
          <w:b/>
          <w:sz w:val="20"/>
          <w:szCs w:val="20"/>
        </w:rPr>
      </w:pPr>
      <w:r w:rsidRPr="00C25498">
        <w:rPr>
          <w:b/>
          <w:sz w:val="20"/>
          <w:szCs w:val="20"/>
        </w:rPr>
        <w:t>ACTO IMPUGNADO</w:t>
      </w:r>
      <w:r w:rsidRPr="00C25498">
        <w:rPr>
          <w:b/>
          <w:sz w:val="20"/>
          <w:szCs w:val="20"/>
        </w:rPr>
        <w:tab/>
      </w:r>
    </w:p>
    <w:p w14:paraId="4F679417" w14:textId="77777777" w:rsidR="0093010C" w:rsidRPr="00C25498" w:rsidRDefault="001F0517" w:rsidP="006257C4">
      <w:pPr>
        <w:spacing w:after="0" w:line="360" w:lineRule="auto"/>
        <w:ind w:left="567" w:right="709"/>
        <w:rPr>
          <w:b/>
          <w:sz w:val="20"/>
          <w:szCs w:val="20"/>
        </w:rPr>
      </w:pPr>
      <w:r w:rsidRPr="00C25498">
        <w:rPr>
          <w:i/>
          <w:sz w:val="20"/>
          <w:szCs w:val="20"/>
        </w:rPr>
        <w:t xml:space="preserve">“no dicen que se testo no entregan acta y </w:t>
      </w:r>
      <w:proofErr w:type="spellStart"/>
      <w:r w:rsidRPr="00C25498">
        <w:rPr>
          <w:i/>
          <w:sz w:val="20"/>
          <w:szCs w:val="20"/>
        </w:rPr>
        <w:t>flatan</w:t>
      </w:r>
      <w:proofErr w:type="spellEnd"/>
      <w:r w:rsidRPr="00C25498">
        <w:rPr>
          <w:i/>
          <w:sz w:val="20"/>
          <w:szCs w:val="20"/>
        </w:rPr>
        <w:t xml:space="preserve"> oficios no </w:t>
      </w:r>
      <w:proofErr w:type="spellStart"/>
      <w:r w:rsidRPr="00C25498">
        <w:rPr>
          <w:i/>
          <w:sz w:val="20"/>
          <w:szCs w:val="20"/>
        </w:rPr>
        <w:t>esta</w:t>
      </w:r>
      <w:proofErr w:type="spellEnd"/>
      <w:r w:rsidRPr="00C25498">
        <w:rPr>
          <w:i/>
          <w:sz w:val="20"/>
          <w:szCs w:val="20"/>
        </w:rPr>
        <w:t xml:space="preserve"> completo” (Sic.)</w:t>
      </w:r>
    </w:p>
    <w:p w14:paraId="53A9045B" w14:textId="77777777" w:rsidR="0093010C" w:rsidRPr="00C25498" w:rsidRDefault="0093010C" w:rsidP="006257C4">
      <w:pPr>
        <w:spacing w:after="0" w:line="360" w:lineRule="auto"/>
        <w:ind w:left="567" w:right="709"/>
        <w:rPr>
          <w:sz w:val="20"/>
          <w:szCs w:val="20"/>
        </w:rPr>
      </w:pPr>
    </w:p>
    <w:p w14:paraId="1618F446" w14:textId="77777777" w:rsidR="0093010C" w:rsidRPr="00C25498" w:rsidRDefault="001F0517" w:rsidP="006257C4">
      <w:pPr>
        <w:spacing w:after="0" w:line="360" w:lineRule="auto"/>
        <w:ind w:left="567" w:right="709"/>
        <w:rPr>
          <w:b/>
          <w:sz w:val="20"/>
          <w:szCs w:val="20"/>
        </w:rPr>
      </w:pPr>
      <w:r w:rsidRPr="00C25498">
        <w:rPr>
          <w:b/>
          <w:sz w:val="20"/>
          <w:szCs w:val="20"/>
        </w:rPr>
        <w:t>RAZONES O MOTIVOS DE LA INCONFORMIDAD</w:t>
      </w:r>
      <w:r w:rsidRPr="00C25498">
        <w:rPr>
          <w:b/>
          <w:sz w:val="20"/>
          <w:szCs w:val="20"/>
        </w:rPr>
        <w:tab/>
      </w:r>
    </w:p>
    <w:p w14:paraId="565FD368" w14:textId="77777777" w:rsidR="0093010C" w:rsidRPr="00C25498" w:rsidRDefault="001F0517" w:rsidP="006257C4">
      <w:pPr>
        <w:tabs>
          <w:tab w:val="left" w:pos="4667"/>
        </w:tabs>
        <w:spacing w:after="0" w:line="360" w:lineRule="auto"/>
        <w:ind w:left="567" w:right="709"/>
        <w:rPr>
          <w:i/>
          <w:sz w:val="20"/>
          <w:szCs w:val="20"/>
        </w:rPr>
      </w:pPr>
      <w:r w:rsidRPr="00C25498">
        <w:rPr>
          <w:i/>
          <w:sz w:val="20"/>
          <w:szCs w:val="20"/>
        </w:rPr>
        <w:t xml:space="preserve">“no dicen que se testo no entregan acta y </w:t>
      </w:r>
      <w:proofErr w:type="spellStart"/>
      <w:r w:rsidRPr="00C25498">
        <w:rPr>
          <w:i/>
          <w:sz w:val="20"/>
          <w:szCs w:val="20"/>
        </w:rPr>
        <w:t>flatan</w:t>
      </w:r>
      <w:proofErr w:type="spellEnd"/>
      <w:r w:rsidRPr="00C25498">
        <w:rPr>
          <w:i/>
          <w:sz w:val="20"/>
          <w:szCs w:val="20"/>
        </w:rPr>
        <w:t xml:space="preserve"> oficios no </w:t>
      </w:r>
      <w:proofErr w:type="spellStart"/>
      <w:r w:rsidRPr="00C25498">
        <w:rPr>
          <w:i/>
          <w:sz w:val="20"/>
          <w:szCs w:val="20"/>
        </w:rPr>
        <w:t>esta</w:t>
      </w:r>
      <w:proofErr w:type="spellEnd"/>
      <w:r w:rsidRPr="00C25498">
        <w:rPr>
          <w:i/>
          <w:sz w:val="20"/>
          <w:szCs w:val="20"/>
        </w:rPr>
        <w:t xml:space="preserve"> completo” (Sic.)</w:t>
      </w:r>
    </w:p>
    <w:p w14:paraId="353E1C8A" w14:textId="77777777" w:rsidR="0093010C" w:rsidRPr="00C25498" w:rsidRDefault="0093010C" w:rsidP="006257C4">
      <w:pPr>
        <w:tabs>
          <w:tab w:val="left" w:pos="4667"/>
        </w:tabs>
        <w:spacing w:after="0" w:line="360" w:lineRule="auto"/>
      </w:pPr>
    </w:p>
    <w:p w14:paraId="2AD9B938" w14:textId="77777777" w:rsidR="0093010C" w:rsidRPr="00C25498" w:rsidRDefault="001F0517" w:rsidP="006257C4">
      <w:pPr>
        <w:pStyle w:val="Ttulo2"/>
        <w:spacing w:before="0" w:after="0"/>
      </w:pPr>
      <w:bookmarkStart w:id="8" w:name="_Toc210313069"/>
      <w:r w:rsidRPr="00C25498">
        <w:t>IV. Trámite del Recurso de Revisión ante este Instituto</w:t>
      </w:r>
      <w:bookmarkEnd w:id="8"/>
    </w:p>
    <w:p w14:paraId="7DA36013" w14:textId="77777777" w:rsidR="0093010C" w:rsidRPr="00C25498" w:rsidRDefault="0093010C" w:rsidP="006257C4">
      <w:pPr>
        <w:spacing w:after="0" w:line="360" w:lineRule="auto"/>
        <w:rPr>
          <w:b/>
        </w:rPr>
      </w:pPr>
    </w:p>
    <w:p w14:paraId="7FA9A4B8" w14:textId="77777777" w:rsidR="0093010C" w:rsidRPr="00C25498" w:rsidRDefault="001F0517" w:rsidP="006257C4">
      <w:pPr>
        <w:spacing w:after="0" w:line="360" w:lineRule="auto"/>
      </w:pPr>
      <w:r w:rsidRPr="00C25498">
        <w:rPr>
          <w:b/>
        </w:rPr>
        <w:t>a) Turno del Medio de Impugnación.</w:t>
      </w:r>
      <w:r w:rsidRPr="00C25498">
        <w:t xml:space="preserve"> El veintitrés de junio de dos mil veinticinco, el SAIMEX, asignó el número de expediente</w:t>
      </w:r>
      <w:r w:rsidRPr="00C25498">
        <w:rPr>
          <w:b/>
        </w:rPr>
        <w:t xml:space="preserve"> 07656/INFOEM/IP/RR/2025, </w:t>
      </w:r>
      <w:r w:rsidRPr="00C25498">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2A2135BC" w14:textId="77777777" w:rsidR="0093010C" w:rsidRPr="00C25498" w:rsidRDefault="0093010C" w:rsidP="006257C4">
      <w:pPr>
        <w:spacing w:after="0" w:line="360" w:lineRule="auto"/>
      </w:pPr>
    </w:p>
    <w:p w14:paraId="57172FC2" w14:textId="77777777" w:rsidR="0093010C" w:rsidRPr="00C25498" w:rsidRDefault="001F0517" w:rsidP="006257C4">
      <w:pPr>
        <w:spacing w:after="0" w:line="360" w:lineRule="auto"/>
      </w:pPr>
      <w:r w:rsidRPr="00C25498">
        <w:rPr>
          <w:b/>
        </w:rPr>
        <w:t>b) Admisión del Recurso de Revisión.</w:t>
      </w:r>
      <w:r w:rsidRPr="00C25498">
        <w:t xml:space="preserve"> El veintiséis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2F9003BD" w14:textId="77777777" w:rsidR="0093010C" w:rsidRPr="00C25498" w:rsidRDefault="0093010C" w:rsidP="006257C4">
      <w:pPr>
        <w:spacing w:after="0" w:line="360" w:lineRule="auto"/>
      </w:pPr>
    </w:p>
    <w:p w14:paraId="42EC3078" w14:textId="77777777" w:rsidR="0093010C" w:rsidRPr="00C25498" w:rsidRDefault="001F0517" w:rsidP="006257C4">
      <w:pPr>
        <w:spacing w:after="0" w:line="360" w:lineRule="auto"/>
      </w:pPr>
      <w:bookmarkStart w:id="9" w:name="_heading=h.blfsoiy1ze0b" w:colFirst="0" w:colLast="0"/>
      <w:bookmarkEnd w:id="9"/>
      <w:r w:rsidRPr="00C25498">
        <w:rPr>
          <w:b/>
        </w:rPr>
        <w:lastRenderedPageBreak/>
        <w:t xml:space="preserve">c) Informe Justificado. </w:t>
      </w:r>
      <w:r w:rsidRPr="00C25498">
        <w:t>En fecha cuatro de julio de dos mil veinticinco, se recibió en este Instituto, a través del Sistema de Acceso a la Información Mexiquense (SAIMEX), el Informe Justificado, por parte del Sujeto Obligado, en los siguientes términos:</w:t>
      </w:r>
    </w:p>
    <w:p w14:paraId="7A0C3804" w14:textId="77777777" w:rsidR="0093010C" w:rsidRPr="00C25498" w:rsidRDefault="0093010C" w:rsidP="006257C4">
      <w:pPr>
        <w:spacing w:after="0" w:line="360" w:lineRule="auto"/>
      </w:pPr>
    </w:p>
    <w:p w14:paraId="41CDFC25" w14:textId="77777777" w:rsidR="0093010C" w:rsidRPr="00C25498" w:rsidRDefault="001F0517" w:rsidP="006257C4">
      <w:pPr>
        <w:numPr>
          <w:ilvl w:val="0"/>
          <w:numId w:val="8"/>
        </w:numPr>
        <w:pBdr>
          <w:top w:val="nil"/>
          <w:left w:val="nil"/>
          <w:bottom w:val="nil"/>
          <w:right w:val="nil"/>
          <w:between w:val="nil"/>
        </w:pBdr>
        <w:spacing w:after="0" w:line="360" w:lineRule="auto"/>
        <w:rPr>
          <w:b/>
        </w:rPr>
      </w:pPr>
      <w:r w:rsidRPr="00C25498">
        <w:rPr>
          <w:b/>
          <w:i/>
        </w:rPr>
        <w:t>Ratificación 07656.pdf;</w:t>
      </w:r>
      <w:r w:rsidRPr="00C25498">
        <w:rPr>
          <w:b/>
        </w:rPr>
        <w:t xml:space="preserve"> </w:t>
      </w:r>
      <w:r w:rsidRPr="00C25498">
        <w:t>del que se aprecia un oficio emitido por el Titular de la Unidad de Transparencia, en el que ratificó la respuesta inicial.</w:t>
      </w:r>
      <w:r w:rsidRPr="00C25498">
        <w:rPr>
          <w:b/>
        </w:rPr>
        <w:t xml:space="preserve"> </w:t>
      </w:r>
    </w:p>
    <w:p w14:paraId="164EF9AD" w14:textId="77777777" w:rsidR="0093010C" w:rsidRPr="00C25498" w:rsidRDefault="0093010C" w:rsidP="006257C4">
      <w:pPr>
        <w:spacing w:after="0" w:line="360" w:lineRule="auto"/>
        <w:rPr>
          <w:b/>
        </w:rPr>
      </w:pPr>
    </w:p>
    <w:p w14:paraId="6ECD1A57" w14:textId="77777777" w:rsidR="0093010C" w:rsidRPr="00C25498" w:rsidRDefault="001F0517" w:rsidP="006257C4">
      <w:pPr>
        <w:spacing w:after="0" w:line="360" w:lineRule="auto"/>
      </w:pPr>
      <w:r w:rsidRPr="00C25498">
        <w:rPr>
          <w:b/>
        </w:rPr>
        <w:t xml:space="preserve">d) Vista de Informe Justificado. </w:t>
      </w:r>
      <w:r w:rsidRPr="00C25498">
        <w:t>El diecisiete de septiembre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4D787A29" w14:textId="77777777" w:rsidR="0093010C" w:rsidRPr="00C25498" w:rsidRDefault="0093010C" w:rsidP="006257C4">
      <w:pPr>
        <w:widowControl w:val="0"/>
        <w:spacing w:after="0" w:line="360" w:lineRule="auto"/>
        <w:rPr>
          <w:b/>
        </w:rPr>
      </w:pPr>
    </w:p>
    <w:p w14:paraId="21F348CB" w14:textId="77777777" w:rsidR="0093010C" w:rsidRPr="00C25498" w:rsidRDefault="001F0517" w:rsidP="006257C4">
      <w:pPr>
        <w:spacing w:after="0" w:line="360" w:lineRule="auto"/>
      </w:pPr>
      <w:r w:rsidRPr="00C25498">
        <w:rPr>
          <w:b/>
        </w:rPr>
        <w:t xml:space="preserve">e) Manifestaciones de la parte Recurrente. </w:t>
      </w:r>
      <w:r w:rsidRPr="00C25498">
        <w:t>De las constancias que integran el expediente se advierte que la parte Recurrente no añadió manifestaciones.</w:t>
      </w:r>
    </w:p>
    <w:p w14:paraId="0D3C5BAE" w14:textId="77777777" w:rsidR="0093010C" w:rsidRPr="00C25498" w:rsidRDefault="001F0517" w:rsidP="006257C4">
      <w:pPr>
        <w:spacing w:after="0" w:line="360" w:lineRule="auto"/>
      </w:pPr>
      <w:r w:rsidRPr="00C25498">
        <w:t xml:space="preserve"> </w:t>
      </w:r>
    </w:p>
    <w:p w14:paraId="5F95E412" w14:textId="77777777" w:rsidR="0093010C" w:rsidRPr="00C25498" w:rsidRDefault="001F0517" w:rsidP="006257C4">
      <w:pPr>
        <w:spacing w:after="0" w:line="360" w:lineRule="auto"/>
        <w:rPr>
          <w:b/>
        </w:rPr>
      </w:pPr>
      <w:r w:rsidRPr="00C25498">
        <w:rPr>
          <w:b/>
        </w:rPr>
        <w:t>f)</w:t>
      </w:r>
      <w:r w:rsidRPr="00C25498">
        <w:t xml:space="preserve"> </w:t>
      </w:r>
      <w:r w:rsidRPr="00C25498">
        <w:rPr>
          <w:b/>
        </w:rPr>
        <w:t>Ampliación de plazo para resolver</w:t>
      </w:r>
      <w:r w:rsidRPr="00C25498">
        <w:t>. El diecisiete de septiembre de dos mil veinticinco, el Comisionado Ponente, con fundamento en lo dispuesto por el artículo 181, párrafo tercero, de la Ley de Transparencia y Acceso a la Información Pública del Estado de México y Municipios, acordó ampliar por quince días hábiles, el plazo para resolver el Recurso de Revisión que nos ocupa; acto que fue notificado a las partes en la misma fecha, mediante el SAIMEX.</w:t>
      </w:r>
    </w:p>
    <w:p w14:paraId="145B79C8" w14:textId="77777777" w:rsidR="0093010C" w:rsidRPr="00C25498" w:rsidRDefault="0093010C" w:rsidP="006257C4">
      <w:pPr>
        <w:spacing w:after="0" w:line="360" w:lineRule="auto"/>
      </w:pPr>
    </w:p>
    <w:p w14:paraId="145BAF12" w14:textId="77777777" w:rsidR="0093010C" w:rsidRPr="00C25498" w:rsidRDefault="001F0517" w:rsidP="006257C4">
      <w:pPr>
        <w:spacing w:after="0" w:line="360" w:lineRule="auto"/>
      </w:pPr>
      <w:r w:rsidRPr="00C25498">
        <w:rPr>
          <w:b/>
        </w:rPr>
        <w:t>g) Cierre de instrucción.</w:t>
      </w:r>
      <w:r w:rsidRPr="00C25498">
        <w:t xml:space="preserve"> El veintitrés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C25498">
        <w:lastRenderedPageBreak/>
        <w:t>Pública del Estado de México y Municipios, acto que fue notificado a las partes en la misma fecha, mediante el SAIMEX.</w:t>
      </w:r>
    </w:p>
    <w:p w14:paraId="1C580EF9" w14:textId="77777777" w:rsidR="0093010C" w:rsidRPr="00C25498" w:rsidRDefault="0093010C" w:rsidP="006257C4">
      <w:pPr>
        <w:spacing w:after="0" w:line="360" w:lineRule="auto"/>
      </w:pPr>
    </w:p>
    <w:p w14:paraId="79431A3B" w14:textId="77777777" w:rsidR="0093010C" w:rsidRPr="00C25498" w:rsidRDefault="001F0517" w:rsidP="006257C4">
      <w:pPr>
        <w:spacing w:after="0" w:line="360" w:lineRule="auto"/>
      </w:pPr>
      <w:r w:rsidRPr="00C25498">
        <w:t xml:space="preserve">En razón de que fue debidamente sustanciado e integrado el expediente electrónico y no existir diligencia pendiente de desahogo, se emite la resolución que conforme a Derecho proceda, de acuerdo a los siguientes: </w:t>
      </w:r>
    </w:p>
    <w:p w14:paraId="1E5236FB" w14:textId="77777777" w:rsidR="0093010C" w:rsidRPr="00C25498" w:rsidRDefault="0093010C" w:rsidP="006257C4">
      <w:pPr>
        <w:spacing w:after="0" w:line="360" w:lineRule="auto"/>
        <w:rPr>
          <w:b/>
        </w:rPr>
      </w:pPr>
    </w:p>
    <w:p w14:paraId="5314043D" w14:textId="77777777" w:rsidR="0093010C" w:rsidRPr="00C25498" w:rsidRDefault="001F0517" w:rsidP="006257C4">
      <w:pPr>
        <w:pStyle w:val="Ttulo1"/>
        <w:spacing w:before="0" w:after="0"/>
        <w:rPr>
          <w:sz w:val="22"/>
          <w:szCs w:val="22"/>
        </w:rPr>
      </w:pPr>
      <w:bookmarkStart w:id="10" w:name="_Toc210313070"/>
      <w:r w:rsidRPr="00C25498">
        <w:rPr>
          <w:sz w:val="22"/>
          <w:szCs w:val="22"/>
        </w:rPr>
        <w:t>C O N S I D E R A N D O S</w:t>
      </w:r>
      <w:bookmarkEnd w:id="10"/>
    </w:p>
    <w:p w14:paraId="41F375D2" w14:textId="77777777" w:rsidR="0093010C" w:rsidRPr="00C25498" w:rsidRDefault="0093010C" w:rsidP="006257C4">
      <w:pPr>
        <w:spacing w:after="0" w:line="360" w:lineRule="auto"/>
        <w:rPr>
          <w:b/>
        </w:rPr>
      </w:pPr>
    </w:p>
    <w:p w14:paraId="33FBD514" w14:textId="77777777" w:rsidR="0093010C" w:rsidRPr="00C25498" w:rsidRDefault="001F0517" w:rsidP="006257C4">
      <w:pPr>
        <w:pStyle w:val="Ttulo2"/>
        <w:spacing w:before="0" w:after="0"/>
      </w:pPr>
      <w:bookmarkStart w:id="11" w:name="_Toc210313071"/>
      <w:r w:rsidRPr="00C25498">
        <w:t>PRIMERO. Competencia</w:t>
      </w:r>
      <w:bookmarkEnd w:id="11"/>
    </w:p>
    <w:p w14:paraId="5F2A274C" w14:textId="77777777" w:rsidR="0093010C" w:rsidRPr="00C25498" w:rsidRDefault="0093010C" w:rsidP="006257C4">
      <w:pPr>
        <w:spacing w:after="0" w:line="360" w:lineRule="auto"/>
      </w:pPr>
    </w:p>
    <w:p w14:paraId="6F326FF0" w14:textId="77777777" w:rsidR="0093010C" w:rsidRPr="00C25498" w:rsidRDefault="001F0517" w:rsidP="006257C4">
      <w:pPr>
        <w:spacing w:after="0" w:line="360" w:lineRule="auto"/>
      </w:pPr>
      <w:r w:rsidRPr="00C25498">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FD4883" w14:textId="77777777" w:rsidR="0093010C" w:rsidRPr="00C25498" w:rsidRDefault="0093010C" w:rsidP="006257C4">
      <w:pPr>
        <w:spacing w:after="0" w:line="360" w:lineRule="auto"/>
      </w:pPr>
    </w:p>
    <w:p w14:paraId="1BD3D363" w14:textId="77777777" w:rsidR="0093010C" w:rsidRPr="00C25498" w:rsidRDefault="001F0517" w:rsidP="006257C4">
      <w:pPr>
        <w:pStyle w:val="Ttulo2"/>
        <w:spacing w:before="0" w:after="0"/>
      </w:pPr>
      <w:bookmarkStart w:id="12" w:name="_Toc210313072"/>
      <w:r w:rsidRPr="00C25498">
        <w:t>SEGUNDO. Causales de improcedencia y sobreseimiento</w:t>
      </w:r>
      <w:bookmarkEnd w:id="12"/>
    </w:p>
    <w:p w14:paraId="286131F1" w14:textId="77777777" w:rsidR="0093010C" w:rsidRPr="00C25498" w:rsidRDefault="0093010C" w:rsidP="006257C4">
      <w:pPr>
        <w:spacing w:after="0" w:line="360" w:lineRule="auto"/>
      </w:pPr>
    </w:p>
    <w:p w14:paraId="33C5AE23" w14:textId="77777777" w:rsidR="0093010C" w:rsidRPr="00C25498" w:rsidRDefault="001F0517" w:rsidP="006257C4">
      <w:pPr>
        <w:spacing w:after="0" w:line="360" w:lineRule="auto"/>
      </w:pPr>
      <w:r w:rsidRPr="00C25498">
        <w:t xml:space="preserve">De las constancias que forman parte del Recurso de Revisión que se analiza, se advierte que previo al estudio del fondo de la </w:t>
      </w:r>
      <w:proofErr w:type="spellStart"/>
      <w:r w:rsidRPr="00C25498">
        <w:rPr>
          <w:i/>
        </w:rPr>
        <w:t>litis</w:t>
      </w:r>
      <w:proofErr w:type="spellEnd"/>
      <w:r w:rsidRPr="00C25498">
        <w:t>, es necesario estudiar las causales de improcedencia y sobreseimiento que se adviertan, para determinar lo que en Derecho proceda.</w:t>
      </w:r>
    </w:p>
    <w:p w14:paraId="41B64869" w14:textId="77777777" w:rsidR="0093010C" w:rsidRPr="00C25498" w:rsidRDefault="0093010C" w:rsidP="006257C4">
      <w:pPr>
        <w:spacing w:after="0" w:line="360" w:lineRule="auto"/>
      </w:pPr>
    </w:p>
    <w:p w14:paraId="0904B9DE" w14:textId="77777777" w:rsidR="0093010C" w:rsidRPr="00C25498" w:rsidRDefault="001F0517" w:rsidP="006257C4">
      <w:pPr>
        <w:spacing w:after="0" w:line="360" w:lineRule="auto"/>
        <w:rPr>
          <w:b/>
        </w:rPr>
      </w:pPr>
      <w:r w:rsidRPr="00C25498">
        <w:rPr>
          <w:b/>
        </w:rPr>
        <w:lastRenderedPageBreak/>
        <w:t>Causales de improcedencia</w:t>
      </w:r>
    </w:p>
    <w:p w14:paraId="155B2556" w14:textId="77777777" w:rsidR="0093010C" w:rsidRPr="00C25498" w:rsidRDefault="0093010C" w:rsidP="006257C4">
      <w:pPr>
        <w:spacing w:after="0" w:line="360" w:lineRule="auto"/>
      </w:pPr>
    </w:p>
    <w:p w14:paraId="64B403BF" w14:textId="77777777" w:rsidR="0093010C" w:rsidRPr="00C25498" w:rsidRDefault="001F0517" w:rsidP="006257C4">
      <w:pPr>
        <w:spacing w:after="0" w:line="360" w:lineRule="auto"/>
      </w:pPr>
      <w:r w:rsidRPr="00C25498">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C25498">
        <w:t>./</w:t>
      </w:r>
      <w:proofErr w:type="gramEnd"/>
      <w:r w:rsidRPr="00C25498">
        <w:t>J. 163/2005</w:t>
      </w:r>
      <w:r w:rsidRPr="00C25498">
        <w:rPr>
          <w:b/>
        </w:rPr>
        <w:t xml:space="preserve"> </w:t>
      </w:r>
      <w:r w:rsidRPr="00C25498">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900965E" w14:textId="77777777" w:rsidR="0093010C" w:rsidRPr="00C25498" w:rsidRDefault="0093010C" w:rsidP="006257C4">
      <w:pPr>
        <w:spacing w:after="0" w:line="360" w:lineRule="auto"/>
      </w:pPr>
    </w:p>
    <w:p w14:paraId="56958823" w14:textId="77777777" w:rsidR="0093010C" w:rsidRPr="00C25498" w:rsidRDefault="001F0517" w:rsidP="006257C4">
      <w:pPr>
        <w:spacing w:after="0" w:line="360" w:lineRule="auto"/>
      </w:pPr>
      <w:r w:rsidRPr="00C25498">
        <w:t xml:space="preserve">En el presente caso, </w:t>
      </w:r>
      <w:r w:rsidRPr="00C25498">
        <w:rPr>
          <w:b/>
        </w:rPr>
        <w:t>no se actualiza ninguna de las causales de improcedencia</w:t>
      </w:r>
      <w:r w:rsidRPr="00C25498">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1948773" w14:textId="77777777" w:rsidR="0093010C" w:rsidRPr="00C25498" w:rsidRDefault="0093010C" w:rsidP="006257C4">
      <w:pPr>
        <w:spacing w:after="0" w:line="360" w:lineRule="auto"/>
        <w:rPr>
          <w:b/>
        </w:rPr>
      </w:pPr>
    </w:p>
    <w:p w14:paraId="7A1D0D5B" w14:textId="77777777" w:rsidR="0093010C" w:rsidRPr="00C25498" w:rsidRDefault="001F0517" w:rsidP="006257C4">
      <w:pPr>
        <w:spacing w:after="0" w:line="360" w:lineRule="auto"/>
        <w:ind w:right="-28"/>
        <w:rPr>
          <w:b/>
        </w:rPr>
      </w:pPr>
      <w:r w:rsidRPr="00C25498">
        <w:rPr>
          <w:b/>
        </w:rPr>
        <w:t>Causales de sobreseimiento</w:t>
      </w:r>
    </w:p>
    <w:p w14:paraId="4796604F" w14:textId="77777777" w:rsidR="0093010C" w:rsidRPr="00C25498" w:rsidRDefault="0093010C" w:rsidP="006257C4">
      <w:pPr>
        <w:spacing w:after="0" w:line="360" w:lineRule="auto"/>
        <w:ind w:right="-28"/>
        <w:rPr>
          <w:b/>
        </w:rPr>
      </w:pPr>
    </w:p>
    <w:p w14:paraId="6EF9811A" w14:textId="77777777" w:rsidR="0093010C" w:rsidRPr="00C25498" w:rsidRDefault="001F0517" w:rsidP="006257C4">
      <w:pPr>
        <w:spacing w:after="0" w:line="360" w:lineRule="auto"/>
      </w:pPr>
      <w:r w:rsidRPr="00C25498">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C25498">
        <w:rPr>
          <w:b/>
        </w:rPr>
        <w:t xml:space="preserve"> </w:t>
      </w:r>
      <w:r w:rsidRPr="00C25498">
        <w:t xml:space="preserve">toda vez que no hay constancias en el expediente en que se actúa, de que la persona Recurrente se haya desistido, fallecido, que el Sujeto Obligado hubiese modificado o revocado el acto impugnado o bien, que admitido una </w:t>
      </w:r>
      <w:r w:rsidRPr="00C25498">
        <w:lastRenderedPageBreak/>
        <w:t>vez admitido el Recurso de Revisión, aparezca alguna causal de improcedencia o haya quedado sin materia.</w:t>
      </w:r>
    </w:p>
    <w:p w14:paraId="74DAAA71" w14:textId="77777777" w:rsidR="0093010C" w:rsidRPr="00C25498" w:rsidRDefault="0093010C" w:rsidP="006257C4">
      <w:pPr>
        <w:spacing w:after="0" w:line="360" w:lineRule="auto"/>
      </w:pPr>
    </w:p>
    <w:p w14:paraId="03C9B5C1" w14:textId="77777777" w:rsidR="0093010C" w:rsidRPr="00C25498" w:rsidRDefault="001F0517" w:rsidP="006257C4">
      <w:pPr>
        <w:pStyle w:val="Ttulo2"/>
        <w:spacing w:before="0" w:after="0"/>
      </w:pPr>
      <w:bookmarkStart w:id="13" w:name="_Toc210313073"/>
      <w:r w:rsidRPr="00C25498">
        <w:t>TERCERO. Determinación de la Controversia</w:t>
      </w:r>
      <w:bookmarkEnd w:id="13"/>
    </w:p>
    <w:p w14:paraId="6C4E5499" w14:textId="77777777" w:rsidR="0093010C" w:rsidRPr="00C25498" w:rsidRDefault="0093010C" w:rsidP="006257C4">
      <w:pPr>
        <w:spacing w:after="0" w:line="360" w:lineRule="auto"/>
      </w:pPr>
    </w:p>
    <w:p w14:paraId="752B142B" w14:textId="74E5CFAD" w:rsidR="0093010C" w:rsidRPr="00C25498" w:rsidRDefault="001F0517" w:rsidP="006257C4">
      <w:pPr>
        <w:spacing w:after="0" w:line="360" w:lineRule="auto"/>
        <w:rPr>
          <w:color w:val="000000"/>
        </w:rPr>
      </w:pPr>
      <w:r w:rsidRPr="00C25498">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w:t>
      </w:r>
      <w:r w:rsidR="00660B5D" w:rsidRPr="00C25498">
        <w:t xml:space="preserve">los oficios recibidos y emitidos por la </w:t>
      </w:r>
      <w:r w:rsidRPr="00C25498">
        <w:t>Dirección General de Desarrollo Económico del 1° de enero al 9 de mayo de 2025</w:t>
      </w:r>
      <w:r w:rsidR="00660B5D" w:rsidRPr="00C25498">
        <w:t>.</w:t>
      </w:r>
    </w:p>
    <w:p w14:paraId="10B1BD05" w14:textId="77777777" w:rsidR="0093010C" w:rsidRPr="00C25498" w:rsidRDefault="0093010C" w:rsidP="006257C4">
      <w:pPr>
        <w:spacing w:after="0" w:line="360" w:lineRule="auto"/>
        <w:ind w:left="360"/>
      </w:pPr>
    </w:p>
    <w:p w14:paraId="6B801E13" w14:textId="48DC888C" w:rsidR="0093010C" w:rsidRPr="00C25498" w:rsidRDefault="001F0517" w:rsidP="006257C4">
      <w:pPr>
        <w:spacing w:after="0" w:line="360" w:lineRule="auto"/>
      </w:pPr>
      <w:r w:rsidRPr="00C25498">
        <w:t>En este tenor, en respuesta el Sujeto Obligado</w:t>
      </w:r>
      <w:r w:rsidRPr="00C25498">
        <w:rPr>
          <w:b/>
        </w:rPr>
        <w:t xml:space="preserve">, </w:t>
      </w:r>
      <w:r w:rsidRPr="00C25498">
        <w:t xml:space="preserve">remitió diversos oficios recibidos y emitidos durante la temporalidad solicitada, en los que testó datos personales y dejó visibles </w:t>
      </w:r>
      <w:r w:rsidR="00660B5D" w:rsidRPr="00C25498">
        <w:t>otros; ante tal circunstancia,</w:t>
      </w:r>
      <w:r w:rsidRPr="00C25498">
        <w:t xml:space="preserve"> la parte </w:t>
      </w:r>
      <w:r w:rsidRPr="00C25498">
        <w:rPr>
          <w:b/>
        </w:rPr>
        <w:t xml:space="preserve">Recurrente </w:t>
      </w:r>
      <w:r w:rsidRPr="00C25498">
        <w:t xml:space="preserve">se inconformó bajo el argumento de la entrega de información incompleta, dado que señaló que faltan oficios y que no se entregó el acuerdo que respalde la versión pública.  Durante la etapa de manifestaciones el </w:t>
      </w:r>
      <w:r w:rsidRPr="00C25498">
        <w:rPr>
          <w:b/>
        </w:rPr>
        <w:t xml:space="preserve">Sujeto Obligado </w:t>
      </w:r>
      <w:r w:rsidRPr="00C25498">
        <w:t xml:space="preserve">ratificó la respuesta inicial, mientras que a parte </w:t>
      </w:r>
      <w:r w:rsidRPr="00C25498">
        <w:rPr>
          <w:b/>
        </w:rPr>
        <w:t xml:space="preserve">Recurrente </w:t>
      </w:r>
      <w:r w:rsidRPr="00C25498">
        <w:t>fue omisa en añadir manifestaciones.</w:t>
      </w:r>
    </w:p>
    <w:p w14:paraId="28CC2BBC" w14:textId="77777777" w:rsidR="0093010C" w:rsidRPr="00C25498" w:rsidRDefault="001F0517" w:rsidP="006257C4">
      <w:pPr>
        <w:tabs>
          <w:tab w:val="left" w:pos="4962"/>
        </w:tabs>
        <w:spacing w:after="0" w:line="360" w:lineRule="auto"/>
      </w:pPr>
      <w:r w:rsidRPr="00C25498">
        <w:t xml:space="preserve">Así pues, de las constancias que integran el expediente, se advierte que en el asunto que nos ocupa se actualiza la causal de procedencia señalada en el artículo 179, fracciones V, de la Ley de la materia; por la entrega de información incompleta. </w:t>
      </w:r>
    </w:p>
    <w:p w14:paraId="3BB68B96" w14:textId="77777777" w:rsidR="0093010C" w:rsidRPr="00C25498" w:rsidRDefault="0093010C" w:rsidP="006257C4">
      <w:pPr>
        <w:tabs>
          <w:tab w:val="left" w:pos="4962"/>
        </w:tabs>
        <w:spacing w:after="0" w:line="360" w:lineRule="auto"/>
      </w:pPr>
    </w:p>
    <w:p w14:paraId="6515CD7C" w14:textId="77777777" w:rsidR="0093010C" w:rsidRPr="00C25498" w:rsidRDefault="001F0517" w:rsidP="006257C4">
      <w:pPr>
        <w:tabs>
          <w:tab w:val="left" w:pos="4962"/>
        </w:tabs>
        <w:spacing w:after="0" w:line="360" w:lineRule="auto"/>
      </w:pPr>
      <w:r w:rsidRPr="00C25498">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078FFA4" w14:textId="77777777" w:rsidR="0093010C" w:rsidRPr="00C25498" w:rsidRDefault="0093010C" w:rsidP="006257C4">
      <w:pPr>
        <w:spacing w:after="0" w:line="360" w:lineRule="auto"/>
      </w:pPr>
    </w:p>
    <w:p w14:paraId="0CF3F825" w14:textId="77777777" w:rsidR="0093010C" w:rsidRPr="00C25498" w:rsidRDefault="001F0517" w:rsidP="006257C4">
      <w:pPr>
        <w:pStyle w:val="Ttulo2"/>
        <w:spacing w:before="0" w:after="0"/>
      </w:pPr>
      <w:bookmarkStart w:id="14" w:name="_Toc210313074"/>
      <w:r w:rsidRPr="00C25498">
        <w:lastRenderedPageBreak/>
        <w:t>CUARTO. Marco normativo aplicable en materia de transparencia y acceso a la información pública</w:t>
      </w:r>
      <w:bookmarkEnd w:id="14"/>
    </w:p>
    <w:p w14:paraId="06835473" w14:textId="77777777" w:rsidR="0093010C" w:rsidRPr="00C25498" w:rsidRDefault="0093010C" w:rsidP="006257C4">
      <w:pPr>
        <w:spacing w:after="0" w:line="360" w:lineRule="auto"/>
      </w:pPr>
    </w:p>
    <w:p w14:paraId="774B6B4F" w14:textId="77777777" w:rsidR="0093010C" w:rsidRPr="00C25498" w:rsidRDefault="001F0517" w:rsidP="006257C4">
      <w:pPr>
        <w:spacing w:after="0" w:line="360" w:lineRule="auto"/>
      </w:pPr>
      <w:r w:rsidRPr="00C2549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360A3FF" w14:textId="77777777" w:rsidR="0093010C" w:rsidRPr="00C25498" w:rsidRDefault="0093010C" w:rsidP="006257C4">
      <w:pPr>
        <w:spacing w:after="0" w:line="360" w:lineRule="auto"/>
      </w:pPr>
    </w:p>
    <w:p w14:paraId="4D802F80" w14:textId="77777777" w:rsidR="0093010C" w:rsidRPr="00C25498" w:rsidRDefault="001F0517" w:rsidP="006257C4">
      <w:pPr>
        <w:spacing w:after="0" w:line="360" w:lineRule="auto"/>
      </w:pPr>
      <w:r w:rsidRPr="00C25498">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55F23F" w14:textId="77777777" w:rsidR="00660B5D" w:rsidRPr="00C25498" w:rsidRDefault="00660B5D" w:rsidP="006257C4">
      <w:pPr>
        <w:spacing w:after="0" w:line="360" w:lineRule="auto"/>
      </w:pPr>
    </w:p>
    <w:p w14:paraId="49AB0E60" w14:textId="77777777" w:rsidR="0093010C" w:rsidRPr="00C25498" w:rsidRDefault="001F0517" w:rsidP="006257C4">
      <w:pPr>
        <w:spacing w:after="0" w:line="360" w:lineRule="auto"/>
      </w:pPr>
      <w:r w:rsidRPr="00C25498">
        <w:t>Por su parte, la Ley de Transparencia y Acceso a la Información Pública del Estado de México y Municipios (Reglamentaria del artículo 5° de la Constitución Local), establece lo siguiente:</w:t>
      </w:r>
    </w:p>
    <w:p w14:paraId="425360A7" w14:textId="77777777" w:rsidR="0093010C" w:rsidRPr="00C25498" w:rsidRDefault="0093010C" w:rsidP="006257C4">
      <w:pPr>
        <w:spacing w:after="0" w:line="360" w:lineRule="auto"/>
      </w:pPr>
    </w:p>
    <w:p w14:paraId="13AFB01A" w14:textId="77777777" w:rsidR="0093010C" w:rsidRPr="00C25498" w:rsidRDefault="001F0517" w:rsidP="006257C4">
      <w:pPr>
        <w:spacing w:after="0" w:line="360" w:lineRule="auto"/>
      </w:pPr>
      <w:r w:rsidRPr="00C25498">
        <w:t>El artículo 12 dice que, quienes generen, recopilen, administren, manejen, procesen, archiven o conserven información pública serán responsables de la misma.</w:t>
      </w:r>
    </w:p>
    <w:p w14:paraId="56038938" w14:textId="77777777" w:rsidR="0093010C" w:rsidRPr="00C25498" w:rsidRDefault="0093010C" w:rsidP="006257C4">
      <w:pPr>
        <w:spacing w:after="0" w:line="360" w:lineRule="auto"/>
      </w:pPr>
    </w:p>
    <w:p w14:paraId="60B416E3" w14:textId="77777777" w:rsidR="0093010C" w:rsidRPr="00C25498" w:rsidRDefault="001F0517" w:rsidP="006257C4">
      <w:pPr>
        <w:spacing w:after="0" w:line="360" w:lineRule="auto"/>
      </w:pPr>
      <w:r w:rsidRPr="00C25498">
        <w:t>El artículo 18, que, los Sujetos Obligados deberán documentar todo acto que derive del ejercicio de sus facultades, competencias o funciones, considerando desde su origen la eventual publicidad y reutilización de la información que generen.</w:t>
      </w:r>
    </w:p>
    <w:p w14:paraId="77DEF1BB" w14:textId="77777777" w:rsidR="0093010C" w:rsidRPr="00C25498" w:rsidRDefault="0093010C" w:rsidP="006257C4">
      <w:pPr>
        <w:spacing w:after="0" w:line="360" w:lineRule="auto"/>
      </w:pPr>
    </w:p>
    <w:p w14:paraId="3EEC8905" w14:textId="77777777" w:rsidR="0093010C" w:rsidRPr="00C25498" w:rsidRDefault="001F0517" w:rsidP="006257C4">
      <w:pPr>
        <w:spacing w:after="0" w:line="360" w:lineRule="auto"/>
      </w:pPr>
      <w:r w:rsidRPr="00C2549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30131E" w14:textId="77777777" w:rsidR="0093010C" w:rsidRPr="00C25498" w:rsidRDefault="001F0517" w:rsidP="006257C4">
      <w:pPr>
        <w:pStyle w:val="Ttulo2"/>
        <w:spacing w:before="0" w:after="0"/>
      </w:pPr>
      <w:bookmarkStart w:id="15" w:name="_Toc210313075"/>
      <w:r w:rsidRPr="00C25498">
        <w:rPr>
          <w:smallCaps/>
        </w:rPr>
        <w:lastRenderedPageBreak/>
        <w:t>QUINTO.</w:t>
      </w:r>
      <w:r w:rsidRPr="00C25498">
        <w:t xml:space="preserve"> Estudio de Fondo</w:t>
      </w:r>
      <w:bookmarkEnd w:id="15"/>
    </w:p>
    <w:p w14:paraId="105A27EA" w14:textId="77777777" w:rsidR="0093010C" w:rsidRPr="00C25498" w:rsidRDefault="0093010C" w:rsidP="006257C4">
      <w:pPr>
        <w:spacing w:after="0" w:line="360" w:lineRule="auto"/>
      </w:pPr>
    </w:p>
    <w:p w14:paraId="6DB9F075" w14:textId="77777777" w:rsidR="0093010C" w:rsidRPr="00C25498" w:rsidRDefault="001F0517" w:rsidP="006257C4">
      <w:pPr>
        <w:spacing w:after="0" w:line="360" w:lineRule="auto"/>
      </w:pPr>
      <w:r w:rsidRPr="00C25498">
        <w:t>Una vez expuesto lo anterior, es menester contextualizar la solicitud de información, la cual se relaciona con oficios emitidos y recibidos por la Dirección General de Desarrollo Económico.</w:t>
      </w:r>
    </w:p>
    <w:p w14:paraId="114A980A" w14:textId="77777777" w:rsidR="0093010C" w:rsidRPr="00C25498" w:rsidRDefault="0093010C" w:rsidP="006257C4">
      <w:pPr>
        <w:spacing w:after="0" w:line="360" w:lineRule="auto"/>
      </w:pPr>
    </w:p>
    <w:p w14:paraId="28850AEF" w14:textId="12F7D11A" w:rsidR="00660B5D" w:rsidRPr="00C25498" w:rsidRDefault="00660B5D" w:rsidP="006257C4">
      <w:pPr>
        <w:spacing w:after="0" w:line="360" w:lineRule="auto"/>
        <w:rPr>
          <w:rFonts w:eastAsia="Calibri" w:cs="Tahoma"/>
          <w:bCs/>
          <w:lang w:val="es-ES"/>
        </w:rPr>
      </w:pPr>
      <w:r w:rsidRPr="00C25498">
        <w:t xml:space="preserve">Sobre el tema, cabe precisar que, de conformidad con los artículos, 5° de la Constitución Política del Estado Libre y Soberano de México y 4° de la Ley de Transparencia y Acceso a la Información Pública del Estado de México y Municipios, </w:t>
      </w:r>
      <w:r w:rsidRPr="00C25498">
        <w:rPr>
          <w:b/>
          <w:bCs/>
        </w:rPr>
        <w:t>toda la información generada, obtenida, adquirida, transformada o en posesión de los sujetos obligados es pública y accesible a cualquier persona.</w:t>
      </w:r>
    </w:p>
    <w:p w14:paraId="13013297" w14:textId="77777777" w:rsidR="00660B5D" w:rsidRPr="00C25498" w:rsidRDefault="00660B5D" w:rsidP="006257C4">
      <w:pPr>
        <w:spacing w:after="0" w:line="360" w:lineRule="auto"/>
        <w:rPr>
          <w:rFonts w:eastAsia="Calibri" w:cs="Tahoma"/>
          <w:bCs/>
          <w:lang w:val="es-ES"/>
        </w:rPr>
      </w:pPr>
    </w:p>
    <w:p w14:paraId="2FFE9470" w14:textId="77777777" w:rsidR="00660B5D" w:rsidRPr="00C25498" w:rsidRDefault="00660B5D" w:rsidP="006257C4">
      <w:pPr>
        <w:spacing w:after="0" w:line="360" w:lineRule="auto"/>
      </w:pPr>
      <w:r w:rsidRPr="00C25498">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4914E66" w14:textId="77777777" w:rsidR="00660B5D" w:rsidRPr="00C25498" w:rsidRDefault="00660B5D" w:rsidP="006257C4">
      <w:pPr>
        <w:spacing w:after="0" w:line="360" w:lineRule="auto"/>
      </w:pPr>
    </w:p>
    <w:p w14:paraId="6579845B" w14:textId="77777777" w:rsidR="00660B5D" w:rsidRPr="00C25498" w:rsidRDefault="00660B5D" w:rsidP="006257C4">
      <w:pPr>
        <w:spacing w:after="0" w:line="360" w:lineRule="auto"/>
      </w:pPr>
      <w:r w:rsidRPr="00C25498">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EBA80BE" w14:textId="77777777" w:rsidR="00660B5D" w:rsidRPr="00C25498" w:rsidRDefault="00660B5D" w:rsidP="006257C4">
      <w:pPr>
        <w:spacing w:after="0" w:line="360" w:lineRule="auto"/>
      </w:pPr>
    </w:p>
    <w:p w14:paraId="5612C19A" w14:textId="5C897228" w:rsidR="00660B5D" w:rsidRPr="00C25498" w:rsidRDefault="00660B5D" w:rsidP="006257C4">
      <w:pPr>
        <w:spacing w:after="0" w:line="360" w:lineRule="auto"/>
      </w:pPr>
      <w:r w:rsidRPr="00C25498">
        <w:t>En ese orden de ideas, el artículo 18 de la Ley de Transparencia y Acceso a la Información Pública del Estado de México y Municipios, prevé que los Sujetos Obligados deberán documentar todo acto que derive del ejercicio de sus facultades.</w:t>
      </w:r>
    </w:p>
    <w:p w14:paraId="75B781E2" w14:textId="2B0088DE" w:rsidR="0093010C" w:rsidRPr="00C25498" w:rsidRDefault="00660B5D" w:rsidP="006257C4">
      <w:pPr>
        <w:spacing w:after="0" w:line="360" w:lineRule="auto"/>
      </w:pPr>
      <w:r w:rsidRPr="00C25498">
        <w:lastRenderedPageBreak/>
        <w:t>Además, el Bando Municipal del Sujeto Obligado vigente al momento de la solicitud, prevé en su artículo 90, fracción I, numeral 11, la existencia de la Dirección General de Desarrollo Económico; y en el artículo 91 fracción XI, del mismo Bando, prevé que dicha Dirección o tiene como atribuciones fundamentales la planeación y ejecución de políticas para fomentar el desarrollo industrial, comercial, empresarial y rural sustentable. Para ello, coordinará programas de promoción económica; fortalecerá micro, pequeñas y medianas empresas, y organizará el servicio municipal de empleo. Impulsará la creación de agroindustrias, ferias comerciales e industriales. Expedirá las licencias y permisos de funcionamiento, así como de celebrar convenios con autoridades y el sector privado para atraer inversiones. Regulará actividades comerciales verificando el cumplimiento de normas sanitarias, así como la supervisión de mercados y tianguis públicos.</w:t>
      </w:r>
    </w:p>
    <w:p w14:paraId="1BFEBB88" w14:textId="77777777" w:rsidR="0093010C" w:rsidRPr="00C25498" w:rsidRDefault="0093010C" w:rsidP="006257C4">
      <w:pPr>
        <w:spacing w:after="0" w:line="360" w:lineRule="auto"/>
      </w:pPr>
    </w:p>
    <w:p w14:paraId="166D10C6" w14:textId="7A2A9434" w:rsidR="0093010C" w:rsidRPr="00C25498" w:rsidRDefault="00660B5D" w:rsidP="006257C4">
      <w:pPr>
        <w:spacing w:after="0" w:line="360" w:lineRule="auto"/>
      </w:pPr>
      <w:r w:rsidRPr="00C25498">
        <w:t>Por lo tanto, se aprecia que el Sujeto Obligado a través persona Titular de la Dirección General de Desarrollo debió documentar el ejercicio de sus funciones y uno de los resultados de ello, es la realización de oficios y guardar aquellos que recibió, por tanto, el Sujeto Obligado resulta competente para conocer de la información solicitada</w:t>
      </w:r>
    </w:p>
    <w:p w14:paraId="71293087" w14:textId="77777777" w:rsidR="0093010C" w:rsidRPr="00C25498" w:rsidRDefault="0093010C" w:rsidP="006257C4">
      <w:pPr>
        <w:spacing w:after="0" w:line="360" w:lineRule="auto"/>
      </w:pPr>
    </w:p>
    <w:p w14:paraId="54379883" w14:textId="77777777" w:rsidR="0093010C" w:rsidRPr="00C25498" w:rsidRDefault="001F0517" w:rsidP="006257C4">
      <w:pPr>
        <w:spacing w:after="0" w:line="360" w:lineRule="auto"/>
      </w:pPr>
      <w:r w:rsidRPr="00C25498">
        <w:t xml:space="preserve">Ante dicha circunstancia, es necesario precisar que de las constancias que obran en el expediente electrónico, se logra advertir que el Sujeto Obligado turnó la solicitud de información a la  Dirección General de Desarrollo por lo que, resulta necesario hacer referencia al </w:t>
      </w:r>
      <w:r w:rsidRPr="00C25498">
        <w:rPr>
          <w:b/>
        </w:rPr>
        <w:t>procedimiento de búsqueda que deben seguir los Sujetos Obligados para localizar la información,</w:t>
      </w:r>
      <w:r w:rsidRPr="00C25498">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D37FB8B" w14:textId="6F4F8ABB" w:rsidR="0093010C" w:rsidRPr="00C25498" w:rsidRDefault="001F0517" w:rsidP="006257C4">
      <w:pPr>
        <w:spacing w:after="0" w:line="360" w:lineRule="auto"/>
      </w:pPr>
      <w:r w:rsidRPr="00C25498">
        <w:lastRenderedPageBreak/>
        <w:t xml:space="preserve">Conforme a lo anterior se logra advertir </w:t>
      </w:r>
      <w:r w:rsidRPr="00C25498">
        <w:rPr>
          <w:b/>
        </w:rPr>
        <w:t xml:space="preserve">que el Sujeto Obligado cumplió con el procedimiento de búsqueda </w:t>
      </w:r>
      <w:r w:rsidRPr="00C25498">
        <w:t xml:space="preserve">previsto en el artículo 162 de la Ley de Transparencia y Acceso a la Información Pública del Estado de México y Municipios, toda vez que turnó la solicitud de información </w:t>
      </w:r>
      <w:r w:rsidR="00660B5D" w:rsidRPr="00C25498">
        <w:t>al</w:t>
      </w:r>
      <w:r w:rsidRPr="00C25498">
        <w:t xml:space="preserve"> área competente para conocer respecto de lo solicitado</w:t>
      </w:r>
      <w:r w:rsidR="00660B5D" w:rsidRPr="00C25498">
        <w:t>; por lo que, se procede analizar la información entregada.</w:t>
      </w:r>
    </w:p>
    <w:p w14:paraId="47B9E308" w14:textId="77777777" w:rsidR="0093010C" w:rsidRPr="00C25498" w:rsidRDefault="0093010C" w:rsidP="006257C4">
      <w:pPr>
        <w:spacing w:after="0" w:line="360" w:lineRule="auto"/>
      </w:pPr>
    </w:p>
    <w:p w14:paraId="41477416" w14:textId="77777777" w:rsidR="0093010C" w:rsidRPr="00C25498" w:rsidRDefault="001F0517" w:rsidP="006257C4">
      <w:pPr>
        <w:numPr>
          <w:ilvl w:val="0"/>
          <w:numId w:val="6"/>
        </w:numPr>
        <w:pBdr>
          <w:top w:val="nil"/>
          <w:left w:val="nil"/>
          <w:bottom w:val="nil"/>
          <w:right w:val="nil"/>
          <w:between w:val="nil"/>
        </w:pBdr>
        <w:spacing w:after="0" w:line="360" w:lineRule="auto"/>
        <w:rPr>
          <w:b/>
          <w:color w:val="000000"/>
        </w:rPr>
      </w:pPr>
      <w:r w:rsidRPr="00C25498">
        <w:rPr>
          <w:b/>
          <w:color w:val="000000"/>
        </w:rPr>
        <w:t>De los oficios recibidos</w:t>
      </w:r>
    </w:p>
    <w:p w14:paraId="6D3D4316" w14:textId="77777777" w:rsidR="0093010C" w:rsidRPr="00C25498" w:rsidRDefault="0093010C" w:rsidP="006257C4">
      <w:pPr>
        <w:pBdr>
          <w:top w:val="nil"/>
          <w:left w:val="nil"/>
          <w:bottom w:val="nil"/>
          <w:right w:val="nil"/>
          <w:between w:val="nil"/>
        </w:pBdr>
        <w:spacing w:after="0" w:line="360" w:lineRule="auto"/>
        <w:ind w:left="720"/>
        <w:rPr>
          <w:b/>
          <w:color w:val="000000"/>
        </w:rPr>
      </w:pPr>
    </w:p>
    <w:p w14:paraId="62438DB0" w14:textId="688C5FDC" w:rsidR="0093010C" w:rsidRPr="00C25498" w:rsidRDefault="00660B5D" w:rsidP="006257C4">
      <w:pPr>
        <w:spacing w:after="0" w:line="360" w:lineRule="auto"/>
      </w:pPr>
      <w:r w:rsidRPr="00C25498">
        <w:t>De la revisión, se aprecia que se entregaron diversos oficios de distintas áreas del Sujeto Obligado y de Particulares dirigidos a la Directora General de Desarrollo Económico, que abordan los meses de enero, febrero, marzo y abril del año en curso; de los cuales se advierte el sello de recibido de la Dirección en mención, sin embargo, no hay forma de determinar si se trata de la totalidad de los oficios recibidos, dado que no existe un número consecutivo; a pesar de ello, se aprecia que abordan la totalidad de temporalidad requerida y por tanto, se tiene por atendido el requerimiento parcialmente, dado que se testaron datos personales confidenciales, tales como el nombre y alguna otra que se desconoce por estar testada; la cual no se acompañó del acuerdo emitido por el Comité de Transparencia.</w:t>
      </w:r>
    </w:p>
    <w:p w14:paraId="549F8BF4" w14:textId="77777777" w:rsidR="0093010C" w:rsidRPr="00C25498" w:rsidRDefault="0093010C" w:rsidP="006257C4">
      <w:pPr>
        <w:spacing w:after="0" w:line="360" w:lineRule="auto"/>
      </w:pPr>
    </w:p>
    <w:p w14:paraId="07C8E284" w14:textId="77777777" w:rsidR="0093010C" w:rsidRPr="00C25498" w:rsidRDefault="001F0517" w:rsidP="006257C4">
      <w:pPr>
        <w:spacing w:after="0" w:line="360" w:lineRule="auto"/>
      </w:pPr>
      <w:r w:rsidRPr="00C25498">
        <w:t>Al respecto es importante señalar que el artículo 6°, Apartado A), fracción I de la Constitución Política de los Estados Unidos Mexicanos, establece que toda la información en posesión de cualquier autoridad, es pública y sólo podrá ser reservada temporalmente por razones de interés público. Entonces, se prevé que la información es pública salvo los casos de excepción que prevén las leyes; al respecto, la Ley de Transparencia y Acceso a la Información Pública del Estado de México y Municipios en materia de clasificación hay dos supuestos, a saber, los siguientes:</w:t>
      </w:r>
    </w:p>
    <w:p w14:paraId="40A69162" w14:textId="77777777" w:rsidR="0093010C" w:rsidRPr="00C25498" w:rsidRDefault="0093010C" w:rsidP="006257C4">
      <w:pPr>
        <w:spacing w:after="0" w:line="360" w:lineRule="auto"/>
      </w:pPr>
    </w:p>
    <w:p w14:paraId="5124359E" w14:textId="77777777" w:rsidR="0093010C" w:rsidRPr="00C25498" w:rsidRDefault="001F0517" w:rsidP="006257C4">
      <w:pPr>
        <w:numPr>
          <w:ilvl w:val="0"/>
          <w:numId w:val="2"/>
        </w:numPr>
        <w:spacing w:after="0" w:line="360" w:lineRule="auto"/>
      </w:pPr>
      <w:r w:rsidRPr="00C25498">
        <w:rPr>
          <w:b/>
        </w:rPr>
        <w:lastRenderedPageBreak/>
        <w:t>Confidencial</w:t>
      </w:r>
      <w:r w:rsidRPr="00C25498">
        <w:t>: Se trata de datos personales o de la vida privada de una persona física o jurídico-colectiva y encuentran su sustento legal en el artículo 143 de la Ley de Transparencia y Acceso a la Información Pública del Estado de México y Municipios</w:t>
      </w:r>
    </w:p>
    <w:p w14:paraId="7529C024" w14:textId="77777777" w:rsidR="0093010C" w:rsidRPr="00C25498" w:rsidRDefault="0093010C" w:rsidP="006257C4">
      <w:pPr>
        <w:spacing w:after="0" w:line="360" w:lineRule="auto"/>
        <w:ind w:left="720"/>
      </w:pPr>
    </w:p>
    <w:p w14:paraId="5DBD2BCC" w14:textId="77777777" w:rsidR="0093010C" w:rsidRPr="00C25498" w:rsidRDefault="001F0517" w:rsidP="006257C4">
      <w:pPr>
        <w:numPr>
          <w:ilvl w:val="0"/>
          <w:numId w:val="2"/>
        </w:numPr>
        <w:spacing w:after="0" w:line="360" w:lineRule="auto"/>
      </w:pPr>
      <w:r w:rsidRPr="00C25498">
        <w:rPr>
          <w:b/>
        </w:rPr>
        <w:t>Reservada:</w:t>
      </w:r>
      <w:r w:rsidRPr="00C25498">
        <w:t xml:space="preserve"> Es información de carácter público, que no puede ser proporcionada al actualizar alguna de las causales establecidas en el artículo 140 de la Ley de Transparencia y Acceso a la Información Pública del Estado de México y Municipios y demás aplicables. </w:t>
      </w:r>
    </w:p>
    <w:p w14:paraId="3D4621BA" w14:textId="77777777" w:rsidR="0093010C" w:rsidRPr="00C25498" w:rsidRDefault="0093010C" w:rsidP="006257C4">
      <w:pPr>
        <w:spacing w:after="0" w:line="360" w:lineRule="auto"/>
      </w:pPr>
    </w:p>
    <w:p w14:paraId="4688B6A2" w14:textId="77777777" w:rsidR="0093010C" w:rsidRPr="00C25498" w:rsidRDefault="001F0517" w:rsidP="006257C4">
      <w:pPr>
        <w:spacing w:after="0" w:line="360" w:lineRule="auto"/>
      </w:pPr>
      <w:r w:rsidRPr="00C25498">
        <w:t>Así pues, existen dos supuestos para la restricción del acceso a la información; que implica que la información solicitada se trate de datos personales confidenciales o que se actualice algún supuesto de reserva.</w:t>
      </w:r>
    </w:p>
    <w:p w14:paraId="05D34B6F" w14:textId="77777777" w:rsidR="0093010C" w:rsidRPr="00C25498" w:rsidRDefault="0093010C" w:rsidP="006257C4">
      <w:pPr>
        <w:spacing w:after="0" w:line="360" w:lineRule="auto"/>
      </w:pPr>
    </w:p>
    <w:p w14:paraId="160187FD" w14:textId="77777777" w:rsidR="0093010C" w:rsidRPr="00C25498" w:rsidRDefault="001F0517" w:rsidP="006257C4">
      <w:pPr>
        <w:spacing w:after="0" w:line="360" w:lineRule="auto"/>
        <w:rPr>
          <w:b/>
        </w:rPr>
      </w:pPr>
      <w:r w:rsidRPr="00C25498">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25498">
        <w:rPr>
          <w:b/>
        </w:rPr>
        <w:t>análisis caso por caso.</w:t>
      </w:r>
    </w:p>
    <w:p w14:paraId="53CAC442" w14:textId="77777777" w:rsidR="0093010C" w:rsidRPr="00C25498" w:rsidRDefault="0093010C" w:rsidP="006257C4">
      <w:pPr>
        <w:spacing w:after="0" w:line="360" w:lineRule="auto"/>
        <w:rPr>
          <w:b/>
        </w:rPr>
      </w:pPr>
    </w:p>
    <w:p w14:paraId="24D7FF88" w14:textId="77777777" w:rsidR="0093010C" w:rsidRPr="00C25498" w:rsidRDefault="001F0517" w:rsidP="006257C4">
      <w:pPr>
        <w:spacing w:after="0" w:line="360" w:lineRule="auto"/>
      </w:pPr>
      <w:r w:rsidRPr="00C25498">
        <w:t xml:space="preserve">Además, el artículo 131 de la Ley referida, así como el Quinto de los Lineamientos Generales, establecen que los sujetos obligados </w:t>
      </w:r>
      <w:r w:rsidRPr="00C25498">
        <w:rPr>
          <w:b/>
        </w:rPr>
        <w:t>deberán fundar y motivar</w:t>
      </w:r>
      <w:r w:rsidRPr="00C25498">
        <w:t xml:space="preserve"> debidamente la clasificación de la información.</w:t>
      </w:r>
    </w:p>
    <w:p w14:paraId="0D72B8EF" w14:textId="77777777" w:rsidR="0093010C" w:rsidRPr="00C25498" w:rsidRDefault="0093010C" w:rsidP="006257C4">
      <w:pPr>
        <w:spacing w:after="0" w:line="360" w:lineRule="auto"/>
        <w:rPr>
          <w:b/>
        </w:rPr>
      </w:pPr>
    </w:p>
    <w:p w14:paraId="052D68F7" w14:textId="77777777" w:rsidR="0093010C" w:rsidRPr="00C25498" w:rsidRDefault="001F0517" w:rsidP="006257C4">
      <w:pPr>
        <w:spacing w:after="0" w:line="360" w:lineRule="auto"/>
      </w:pPr>
      <w:r w:rsidRPr="00C25498">
        <w:t>Al respecto, el Octavo de los Lineamientos Generales, precisa lo siguiente:</w:t>
      </w:r>
    </w:p>
    <w:p w14:paraId="3A2091CA" w14:textId="77777777" w:rsidR="0093010C" w:rsidRPr="00C25498" w:rsidRDefault="0093010C" w:rsidP="006257C4">
      <w:pPr>
        <w:spacing w:after="0" w:line="360" w:lineRule="auto"/>
      </w:pPr>
    </w:p>
    <w:p w14:paraId="0E85C5DB" w14:textId="77777777" w:rsidR="0093010C" w:rsidRPr="00C25498" w:rsidRDefault="001F0517" w:rsidP="006257C4">
      <w:pPr>
        <w:numPr>
          <w:ilvl w:val="0"/>
          <w:numId w:val="3"/>
        </w:numPr>
        <w:spacing w:after="0" w:line="360" w:lineRule="auto"/>
      </w:pPr>
      <w:r w:rsidRPr="00C25498">
        <w:rPr>
          <w:b/>
        </w:rPr>
        <w:lastRenderedPageBreak/>
        <w:t>Para fundar la clasificación</w:t>
      </w:r>
      <w:r w:rsidRPr="00C25498">
        <w:t xml:space="preserve"> de la información se deberán señalar el artículo, fracción, inciso, párrafo o numeral de la Ley aplicable;</w:t>
      </w:r>
    </w:p>
    <w:p w14:paraId="3D04235F" w14:textId="77777777" w:rsidR="0093010C" w:rsidRPr="00C25498" w:rsidRDefault="0093010C" w:rsidP="006257C4">
      <w:pPr>
        <w:spacing w:after="0" w:line="360" w:lineRule="auto"/>
      </w:pPr>
    </w:p>
    <w:p w14:paraId="62CDD1EB" w14:textId="77777777" w:rsidR="0093010C" w:rsidRPr="00C25498" w:rsidRDefault="001F0517" w:rsidP="006257C4">
      <w:pPr>
        <w:numPr>
          <w:ilvl w:val="0"/>
          <w:numId w:val="3"/>
        </w:numPr>
        <w:spacing w:after="0" w:line="360" w:lineRule="auto"/>
      </w:pPr>
      <w:r w:rsidRPr="00C25498">
        <w:rPr>
          <w:b/>
        </w:rPr>
        <w:t>Para motivar la clasificación</w:t>
      </w:r>
      <w:r w:rsidRPr="00C25498">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CFB1F7B" w14:textId="77777777" w:rsidR="0093010C" w:rsidRPr="00C25498" w:rsidRDefault="0093010C" w:rsidP="006257C4">
      <w:pPr>
        <w:spacing w:after="0" w:line="360" w:lineRule="auto"/>
      </w:pPr>
    </w:p>
    <w:p w14:paraId="18F375DF" w14:textId="77777777" w:rsidR="0093010C" w:rsidRPr="00C25498" w:rsidRDefault="001F0517" w:rsidP="006257C4">
      <w:pPr>
        <w:spacing w:after="0" w:line="360" w:lineRule="auto"/>
      </w:pPr>
      <w:r w:rsidRPr="00C25498">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4EFDAABA" w14:textId="77777777" w:rsidR="0093010C" w:rsidRPr="00C25498" w:rsidRDefault="0093010C" w:rsidP="006257C4">
      <w:pPr>
        <w:spacing w:after="0" w:line="360" w:lineRule="auto"/>
      </w:pPr>
    </w:p>
    <w:p w14:paraId="748B7CAE" w14:textId="77777777" w:rsidR="0093010C" w:rsidRPr="00C25498" w:rsidRDefault="001F0517" w:rsidP="006257C4">
      <w:pPr>
        <w:spacing w:after="0" w:line="360" w:lineRule="auto"/>
        <w:ind w:left="567" w:right="567"/>
        <w:rPr>
          <w:i/>
          <w:sz w:val="20"/>
          <w:szCs w:val="20"/>
        </w:rPr>
      </w:pPr>
      <w:r w:rsidRPr="00C25498">
        <w:rPr>
          <w:b/>
          <w:i/>
          <w:sz w:val="20"/>
          <w:szCs w:val="20"/>
        </w:rPr>
        <w:t xml:space="preserve">“FUNDAMENTACION Y MOTIVACION, CONCEPTO DE. </w:t>
      </w:r>
      <w:r w:rsidRPr="00C25498">
        <w:rPr>
          <w:i/>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63B1A9F" w14:textId="77777777" w:rsidR="0093010C" w:rsidRPr="00C25498" w:rsidRDefault="0093010C" w:rsidP="006257C4">
      <w:pPr>
        <w:spacing w:after="0" w:line="360" w:lineRule="auto"/>
      </w:pPr>
    </w:p>
    <w:p w14:paraId="4478FF88" w14:textId="77777777" w:rsidR="0093010C" w:rsidRPr="00C25498" w:rsidRDefault="001F0517" w:rsidP="006257C4">
      <w:pPr>
        <w:spacing w:after="0" w:line="360" w:lineRule="auto"/>
      </w:pPr>
      <w:r w:rsidRPr="00C25498">
        <w:t>Conforme a lo anterior, se advierte lo siguiente:</w:t>
      </w:r>
    </w:p>
    <w:p w14:paraId="70EFDFF7" w14:textId="77777777" w:rsidR="0093010C" w:rsidRPr="00C25498" w:rsidRDefault="0093010C" w:rsidP="006257C4">
      <w:pPr>
        <w:spacing w:after="0" w:line="360" w:lineRule="auto"/>
      </w:pPr>
    </w:p>
    <w:p w14:paraId="3D700596" w14:textId="77777777" w:rsidR="0093010C" w:rsidRPr="00C25498" w:rsidRDefault="001F0517" w:rsidP="006257C4">
      <w:pPr>
        <w:numPr>
          <w:ilvl w:val="0"/>
          <w:numId w:val="4"/>
        </w:numPr>
        <w:spacing w:after="0" w:line="360" w:lineRule="auto"/>
        <w:rPr>
          <w:b/>
        </w:rPr>
      </w:pPr>
      <w:r w:rsidRPr="00C25498">
        <w:rPr>
          <w:b/>
        </w:rPr>
        <w:lastRenderedPageBreak/>
        <w:t xml:space="preserve">Fundamentación: </w:t>
      </w:r>
      <w:r w:rsidRPr="00C25498">
        <w:t>Obligación de la autoridad que emite un acto, para citar los preceptos legales, sustantivos y adjetivos, en que se apoye para la determinación tomada.</w:t>
      </w:r>
    </w:p>
    <w:p w14:paraId="0D9312E7" w14:textId="77777777" w:rsidR="0093010C" w:rsidRPr="00C25498" w:rsidRDefault="0093010C" w:rsidP="006257C4">
      <w:pPr>
        <w:spacing w:after="0" w:line="360" w:lineRule="auto"/>
        <w:rPr>
          <w:b/>
        </w:rPr>
      </w:pPr>
    </w:p>
    <w:p w14:paraId="5E48DF5D" w14:textId="77777777" w:rsidR="0093010C" w:rsidRPr="00C25498" w:rsidRDefault="001F0517" w:rsidP="006257C4">
      <w:pPr>
        <w:numPr>
          <w:ilvl w:val="0"/>
          <w:numId w:val="4"/>
        </w:numPr>
        <w:spacing w:after="0" w:line="360" w:lineRule="auto"/>
        <w:rPr>
          <w:b/>
        </w:rPr>
      </w:pPr>
      <w:r w:rsidRPr="00C25498">
        <w:rPr>
          <w:b/>
        </w:rPr>
        <w:t xml:space="preserve">Motivación: </w:t>
      </w:r>
      <w:r w:rsidRPr="00C25498">
        <w:t>Razonamientos lógico-jurídicos sobre porque se consideró en el caso en concreto, que se ajusta a la hipótesis normativa.</w:t>
      </w:r>
    </w:p>
    <w:p w14:paraId="2CADDC83" w14:textId="77777777" w:rsidR="0093010C" w:rsidRPr="00C25498" w:rsidRDefault="0093010C" w:rsidP="006257C4">
      <w:pPr>
        <w:spacing w:after="0" w:line="360" w:lineRule="auto"/>
      </w:pPr>
    </w:p>
    <w:p w14:paraId="09A61C0D" w14:textId="77777777" w:rsidR="00660B5D" w:rsidRPr="00C25498" w:rsidRDefault="00660B5D" w:rsidP="006257C4">
      <w:pPr>
        <w:spacing w:after="0" w:line="360" w:lineRule="auto"/>
        <w:rPr>
          <w:rFonts w:eastAsia="Calibri" w:cs="Tahoma"/>
          <w:color w:val="000000"/>
          <w:lang w:val="es-ES"/>
        </w:rPr>
      </w:pPr>
      <w:r w:rsidRPr="00C25498">
        <w:rPr>
          <w:rFonts w:eastAsia="Calibri" w:cs="Tahoma"/>
          <w:color w:val="000000"/>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2D4F0BA3" w14:textId="77777777" w:rsidR="00660B5D" w:rsidRPr="00C25498" w:rsidRDefault="00660B5D" w:rsidP="006257C4">
      <w:pPr>
        <w:spacing w:after="0" w:line="360" w:lineRule="auto"/>
        <w:rPr>
          <w:rFonts w:eastAsia="Calibri" w:cs="Tahoma"/>
          <w:color w:val="000000"/>
          <w:lang w:val="es-ES"/>
        </w:rPr>
      </w:pPr>
    </w:p>
    <w:p w14:paraId="0C06297F" w14:textId="0952C916" w:rsidR="00660B5D" w:rsidRPr="00C25498" w:rsidRDefault="00660B5D" w:rsidP="006257C4">
      <w:pPr>
        <w:spacing w:after="0" w:line="360" w:lineRule="auto"/>
        <w:rPr>
          <w:lang w:val="es-ES"/>
        </w:rPr>
      </w:pPr>
      <w:r w:rsidRPr="00C25498">
        <w:rPr>
          <w:rFonts w:eastAsia="Batang" w:cs="Tahoma"/>
          <w:bCs/>
          <w:color w:val="000000"/>
          <w:lang w:val="es-ES"/>
        </w:rPr>
        <w:t>En ese contexto, es de señalar que el Sujeto Obligado no precisó de manera fundada y motivada las razones por las cuales, consideraba que los datos testados eran confidenciales, pues no entregó el acuerdo emitido por el Comité de Transparencia que validara la versión pública, ni señaló que datos clasificó de manera específica y las circunstancias.</w:t>
      </w:r>
    </w:p>
    <w:p w14:paraId="05BFDF13" w14:textId="77777777" w:rsidR="00660B5D" w:rsidRPr="00C25498" w:rsidRDefault="00660B5D" w:rsidP="006257C4">
      <w:pPr>
        <w:spacing w:after="0" w:line="360" w:lineRule="auto"/>
        <w:rPr>
          <w:lang w:val="es-ES"/>
        </w:rPr>
      </w:pPr>
    </w:p>
    <w:p w14:paraId="05038D3D" w14:textId="77777777" w:rsidR="0093010C" w:rsidRPr="00C25498" w:rsidRDefault="001F0517" w:rsidP="006257C4">
      <w:pPr>
        <w:spacing w:after="0" w:line="360" w:lineRule="auto"/>
      </w:pPr>
      <w:r w:rsidRPr="00C25498">
        <w:t xml:space="preserve">Cabe precisar que tanto en los oficios recibidos como emitidos se dejaron visibles datos personales confidenciales por lo que es procedente la vista a la </w:t>
      </w:r>
      <w:r w:rsidRPr="00C25498">
        <w:rPr>
          <w:b/>
        </w:rPr>
        <w:t>Dirección General de Protección de Datos Personales</w:t>
      </w:r>
      <w:r w:rsidRPr="00C25498">
        <w:t>; dado que dejó visibles CURP, RFC, Nombre de particulares, números de teléfono particulares, fechas de nacimiento, correos electrónicos, los cuales son datos personales confidenciales, conforme a las siguientes consideraciones:</w:t>
      </w:r>
    </w:p>
    <w:p w14:paraId="744E0D43" w14:textId="77777777" w:rsidR="0093010C" w:rsidRPr="00C25498" w:rsidRDefault="0093010C" w:rsidP="006257C4">
      <w:pPr>
        <w:spacing w:after="0" w:line="360" w:lineRule="auto"/>
      </w:pPr>
    </w:p>
    <w:p w14:paraId="715FB4B4" w14:textId="77777777" w:rsidR="0093010C" w:rsidRPr="00C25498" w:rsidRDefault="001F0517" w:rsidP="006257C4">
      <w:pPr>
        <w:numPr>
          <w:ilvl w:val="0"/>
          <w:numId w:val="9"/>
        </w:numPr>
        <w:spacing w:after="0" w:line="360" w:lineRule="auto"/>
        <w:rPr>
          <w:b/>
        </w:rPr>
      </w:pPr>
      <w:r w:rsidRPr="00C25498">
        <w:rPr>
          <w:b/>
        </w:rPr>
        <w:t>Clave Única de Registro de Población (CURP).</w:t>
      </w:r>
    </w:p>
    <w:p w14:paraId="7FA456D9" w14:textId="77777777" w:rsidR="0093010C" w:rsidRPr="00C25498" w:rsidRDefault="0093010C" w:rsidP="006257C4">
      <w:pPr>
        <w:spacing w:after="0" w:line="360" w:lineRule="auto"/>
        <w:ind w:left="720"/>
        <w:rPr>
          <w:b/>
        </w:rPr>
      </w:pPr>
    </w:p>
    <w:p w14:paraId="5EA4AD9A" w14:textId="77777777" w:rsidR="0093010C" w:rsidRPr="00C25498" w:rsidRDefault="001F0517" w:rsidP="006257C4">
      <w:pPr>
        <w:spacing w:after="0" w:line="360" w:lineRule="auto"/>
      </w:pPr>
      <w:r w:rsidRPr="00C25498">
        <w:t xml:space="preserve">El artículo 36 de la Constitución Política de los Estados Unidos Mexicanos, dispone la obligación de los ciudadanos de inscribirse en el Registro Nacional de Ciudadanos; además, el diverso 85 </w:t>
      </w:r>
      <w:r w:rsidRPr="00C25498">
        <w:lastRenderedPageBreak/>
        <w:t>de la Ley General de Población, prevé que corresponde a la Secretaría de Gobernación el registro y acreditación de la identidad de todas las personas residentes en el país y de los nacionales que residan en el extranjero.</w:t>
      </w:r>
    </w:p>
    <w:p w14:paraId="6EA4E700" w14:textId="77777777" w:rsidR="0093010C" w:rsidRPr="00C25498" w:rsidRDefault="0093010C" w:rsidP="006257C4">
      <w:pPr>
        <w:spacing w:after="0" w:line="360" w:lineRule="auto"/>
      </w:pPr>
    </w:p>
    <w:p w14:paraId="473EE715" w14:textId="77777777" w:rsidR="0093010C" w:rsidRPr="00C25498" w:rsidRDefault="001F0517" w:rsidP="006257C4">
      <w:pPr>
        <w:spacing w:after="0" w:line="360" w:lineRule="auto"/>
      </w:pPr>
      <w:r w:rsidRPr="00C25498">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33E2AD" w14:textId="77777777" w:rsidR="0093010C" w:rsidRPr="00C25498" w:rsidRDefault="0093010C" w:rsidP="006257C4">
      <w:pPr>
        <w:spacing w:after="0" w:line="360" w:lineRule="auto"/>
      </w:pPr>
    </w:p>
    <w:p w14:paraId="088BDCB8" w14:textId="77777777" w:rsidR="0093010C" w:rsidRPr="00C25498" w:rsidRDefault="001F0517" w:rsidP="006257C4">
      <w:pPr>
        <w:spacing w:after="0" w:line="360" w:lineRule="auto"/>
      </w:pPr>
      <w:r w:rsidRPr="00C25498">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25498">
        <w:rPr>
          <w:b/>
        </w:rPr>
        <w:t>se generan a partir de los datos contenidos en el documento probatorio de la identidad</w:t>
      </w:r>
      <w:r w:rsidRPr="00C25498">
        <w:t xml:space="preserve"> </w:t>
      </w:r>
      <w:r w:rsidRPr="00C25498">
        <w:rPr>
          <w:b/>
        </w:rPr>
        <w:t xml:space="preserve">del interesado </w:t>
      </w:r>
      <w:r w:rsidRPr="00C25498">
        <w:t>(acta de nacimiento, carta de naturalización o documento migratorio) de la siguiente forma:</w:t>
      </w:r>
    </w:p>
    <w:p w14:paraId="789F3876" w14:textId="77777777" w:rsidR="0093010C" w:rsidRPr="00C25498" w:rsidRDefault="0093010C" w:rsidP="006257C4">
      <w:pPr>
        <w:spacing w:after="0" w:line="360" w:lineRule="auto"/>
      </w:pPr>
    </w:p>
    <w:p w14:paraId="0F45FADC" w14:textId="77777777" w:rsidR="0093010C" w:rsidRPr="00C25498" w:rsidRDefault="001F0517" w:rsidP="006257C4">
      <w:pPr>
        <w:numPr>
          <w:ilvl w:val="0"/>
          <w:numId w:val="10"/>
        </w:numPr>
        <w:pBdr>
          <w:top w:val="nil"/>
          <w:left w:val="nil"/>
          <w:bottom w:val="nil"/>
          <w:right w:val="nil"/>
          <w:between w:val="nil"/>
        </w:pBdr>
        <w:spacing w:after="0" w:line="360" w:lineRule="auto"/>
        <w:rPr>
          <w:color w:val="000000"/>
        </w:rPr>
      </w:pPr>
      <w:r w:rsidRPr="00C25498">
        <w:rPr>
          <w:color w:val="000000"/>
        </w:rPr>
        <w:t>El primero y segundo apellidos, así como al nombre de pila;</w:t>
      </w:r>
    </w:p>
    <w:p w14:paraId="0AB5844B" w14:textId="77777777" w:rsidR="0093010C" w:rsidRPr="00C25498" w:rsidRDefault="001F0517" w:rsidP="006257C4">
      <w:pPr>
        <w:numPr>
          <w:ilvl w:val="0"/>
          <w:numId w:val="10"/>
        </w:numPr>
        <w:pBdr>
          <w:top w:val="nil"/>
          <w:left w:val="nil"/>
          <w:bottom w:val="nil"/>
          <w:right w:val="nil"/>
          <w:between w:val="nil"/>
        </w:pBdr>
        <w:spacing w:after="0" w:line="360" w:lineRule="auto"/>
        <w:rPr>
          <w:color w:val="000000"/>
        </w:rPr>
      </w:pPr>
      <w:r w:rsidRPr="00C25498">
        <w:rPr>
          <w:color w:val="000000"/>
        </w:rPr>
        <w:t>La fecha de nacimiento;</w:t>
      </w:r>
    </w:p>
    <w:p w14:paraId="70A0F7D3" w14:textId="77777777" w:rsidR="0093010C" w:rsidRPr="00C25498" w:rsidRDefault="001F0517" w:rsidP="006257C4">
      <w:pPr>
        <w:numPr>
          <w:ilvl w:val="0"/>
          <w:numId w:val="10"/>
        </w:numPr>
        <w:pBdr>
          <w:top w:val="nil"/>
          <w:left w:val="nil"/>
          <w:bottom w:val="nil"/>
          <w:right w:val="nil"/>
          <w:between w:val="nil"/>
        </w:pBdr>
        <w:spacing w:after="0" w:line="360" w:lineRule="auto"/>
        <w:rPr>
          <w:color w:val="000000"/>
        </w:rPr>
      </w:pPr>
      <w:r w:rsidRPr="00C25498">
        <w:rPr>
          <w:color w:val="000000"/>
        </w:rPr>
        <w:t>El sexo, y</w:t>
      </w:r>
    </w:p>
    <w:p w14:paraId="6A505DE6" w14:textId="77777777" w:rsidR="0093010C" w:rsidRPr="00C25498" w:rsidRDefault="001F0517" w:rsidP="006257C4">
      <w:pPr>
        <w:numPr>
          <w:ilvl w:val="0"/>
          <w:numId w:val="10"/>
        </w:numPr>
        <w:pBdr>
          <w:top w:val="nil"/>
          <w:left w:val="nil"/>
          <w:bottom w:val="nil"/>
          <w:right w:val="nil"/>
          <w:between w:val="nil"/>
        </w:pBdr>
        <w:spacing w:after="0" w:line="360" w:lineRule="auto"/>
        <w:rPr>
          <w:color w:val="000000"/>
        </w:rPr>
      </w:pPr>
      <w:r w:rsidRPr="00C25498">
        <w:rPr>
          <w:color w:val="000000"/>
        </w:rPr>
        <w:t>La entidad federativa de nacimiento.</w:t>
      </w:r>
    </w:p>
    <w:p w14:paraId="282F3153" w14:textId="77777777" w:rsidR="0093010C" w:rsidRPr="00C25498" w:rsidRDefault="0093010C" w:rsidP="006257C4">
      <w:pPr>
        <w:spacing w:after="0" w:line="360" w:lineRule="auto"/>
      </w:pPr>
    </w:p>
    <w:p w14:paraId="3583FECA" w14:textId="77777777" w:rsidR="0093010C" w:rsidRPr="00C25498" w:rsidRDefault="001F0517" w:rsidP="006257C4">
      <w:pPr>
        <w:spacing w:after="0" w:line="360" w:lineRule="auto"/>
      </w:pPr>
      <w:r w:rsidRPr="00C25498">
        <w:t xml:space="preserve">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w:t>
      </w:r>
      <w:r w:rsidRPr="00C25498">
        <w:lastRenderedPageBreak/>
        <w:t>laboral de un individuo, simplemente se trata de un trámite administrativo requerido por la autoridad federal para hacer identificables a las personas.</w:t>
      </w:r>
    </w:p>
    <w:p w14:paraId="23D269B8" w14:textId="77777777" w:rsidR="0093010C" w:rsidRPr="00C25498" w:rsidRDefault="0093010C" w:rsidP="006257C4">
      <w:pPr>
        <w:spacing w:after="0" w:line="360" w:lineRule="auto"/>
      </w:pPr>
    </w:p>
    <w:p w14:paraId="5A2E859E" w14:textId="77777777" w:rsidR="0093010C" w:rsidRPr="00C25498" w:rsidRDefault="001F0517" w:rsidP="006257C4">
      <w:pPr>
        <w:spacing w:after="0" w:line="360" w:lineRule="auto"/>
      </w:pPr>
      <w:r w:rsidRPr="00C25498">
        <w:t>Situación que se robustece, con el Criterio 18/17, emitido por el Instituto Nacional de Transparencia, Acceso a la Información y Protección de Datos Personales, que establece lo siguiente:</w:t>
      </w:r>
    </w:p>
    <w:p w14:paraId="45C8ED11" w14:textId="77777777" w:rsidR="0093010C" w:rsidRPr="00C25498" w:rsidRDefault="0093010C" w:rsidP="006257C4">
      <w:pPr>
        <w:spacing w:after="0" w:line="360" w:lineRule="auto"/>
      </w:pPr>
    </w:p>
    <w:p w14:paraId="483B89E1" w14:textId="77777777" w:rsidR="0093010C" w:rsidRPr="00C25498" w:rsidRDefault="001F0517" w:rsidP="006257C4">
      <w:pPr>
        <w:spacing w:after="0" w:line="360" w:lineRule="auto"/>
        <w:ind w:left="567" w:right="539"/>
        <w:rPr>
          <w:i/>
          <w:sz w:val="20"/>
          <w:szCs w:val="20"/>
        </w:rPr>
      </w:pPr>
      <w:r w:rsidRPr="00C25498">
        <w:rPr>
          <w:b/>
          <w:i/>
          <w:sz w:val="20"/>
          <w:szCs w:val="20"/>
        </w:rPr>
        <w:t xml:space="preserve">“Clave Única de Registro de Población (CURP). </w:t>
      </w:r>
      <w:r w:rsidRPr="00C25498">
        <w:rPr>
          <w:i/>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255B60" w14:textId="77777777" w:rsidR="0093010C" w:rsidRPr="00C25498" w:rsidRDefault="0093010C" w:rsidP="006257C4">
      <w:pPr>
        <w:spacing w:after="0" w:line="360" w:lineRule="auto"/>
      </w:pPr>
    </w:p>
    <w:p w14:paraId="472F3529" w14:textId="77777777" w:rsidR="0093010C" w:rsidRPr="00C25498" w:rsidRDefault="001F0517" w:rsidP="006257C4">
      <w:pPr>
        <w:spacing w:after="0" w:line="360" w:lineRule="auto"/>
      </w:pPr>
      <w:r w:rsidRPr="00C25498">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79174414" w14:textId="77777777" w:rsidR="0093010C" w:rsidRPr="00C25498" w:rsidRDefault="0093010C" w:rsidP="006257C4">
      <w:pPr>
        <w:spacing w:after="0" w:line="360" w:lineRule="auto"/>
      </w:pPr>
    </w:p>
    <w:p w14:paraId="0C9B9979" w14:textId="77777777" w:rsidR="0093010C" w:rsidRPr="00C25498" w:rsidRDefault="001F0517" w:rsidP="006257C4">
      <w:pPr>
        <w:numPr>
          <w:ilvl w:val="0"/>
          <w:numId w:val="11"/>
        </w:numPr>
        <w:spacing w:after="0" w:line="360" w:lineRule="auto"/>
      </w:pPr>
      <w:r w:rsidRPr="00C25498">
        <w:rPr>
          <w:b/>
        </w:rPr>
        <w:t xml:space="preserve">Registro Federal de Contribuyentes (RFC) </w:t>
      </w:r>
    </w:p>
    <w:p w14:paraId="485B6124" w14:textId="77777777" w:rsidR="0093010C" w:rsidRPr="00C25498" w:rsidRDefault="0093010C" w:rsidP="006257C4">
      <w:pPr>
        <w:spacing w:after="0" w:line="360" w:lineRule="auto"/>
      </w:pPr>
    </w:p>
    <w:p w14:paraId="74AA8608" w14:textId="77777777" w:rsidR="0093010C" w:rsidRPr="00C25498" w:rsidRDefault="001F0517" w:rsidP="006257C4">
      <w:pPr>
        <w:spacing w:after="0" w:line="360" w:lineRule="auto"/>
      </w:pPr>
      <w:r w:rsidRPr="00C25498">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CE4C695" w14:textId="77777777" w:rsidR="0093010C" w:rsidRPr="00C25498" w:rsidRDefault="0093010C" w:rsidP="006257C4">
      <w:pPr>
        <w:spacing w:after="0" w:line="360" w:lineRule="auto"/>
      </w:pPr>
    </w:p>
    <w:p w14:paraId="7FA32EB2" w14:textId="77777777" w:rsidR="0093010C" w:rsidRPr="00C25498" w:rsidRDefault="001F0517" w:rsidP="006257C4">
      <w:pPr>
        <w:spacing w:after="0" w:line="360" w:lineRule="auto"/>
      </w:pPr>
      <w:r w:rsidRPr="00C25498">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C25498">
        <w:t>homoclave</w:t>
      </w:r>
      <w:proofErr w:type="spellEnd"/>
      <w:r w:rsidRPr="00C25498">
        <w:t xml:space="preserve"> que establece el sistema automático del Servicio de Administración Tributaria.</w:t>
      </w:r>
    </w:p>
    <w:p w14:paraId="32436A6F" w14:textId="77777777" w:rsidR="0093010C" w:rsidRPr="00C25498" w:rsidRDefault="0093010C" w:rsidP="006257C4">
      <w:pPr>
        <w:spacing w:after="0" w:line="360" w:lineRule="auto"/>
      </w:pPr>
    </w:p>
    <w:p w14:paraId="5F570342" w14:textId="77777777" w:rsidR="0093010C" w:rsidRPr="00C25498" w:rsidRDefault="001F0517" w:rsidP="006257C4">
      <w:pPr>
        <w:spacing w:after="0" w:line="360" w:lineRule="auto"/>
      </w:pPr>
      <w:r w:rsidRPr="00C25498">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824DA23" w14:textId="77777777" w:rsidR="0093010C" w:rsidRPr="00C25498" w:rsidRDefault="0093010C" w:rsidP="006257C4">
      <w:pPr>
        <w:spacing w:after="0" w:line="360" w:lineRule="auto"/>
      </w:pPr>
    </w:p>
    <w:p w14:paraId="28D13E6B" w14:textId="77777777" w:rsidR="0093010C" w:rsidRPr="00C25498" w:rsidRDefault="001F0517" w:rsidP="006257C4">
      <w:pPr>
        <w:spacing w:after="0" w:line="360" w:lineRule="auto"/>
      </w:pPr>
      <w:r w:rsidRPr="00C25498">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E545035" w14:textId="77777777" w:rsidR="0093010C" w:rsidRPr="00C25498" w:rsidRDefault="0093010C" w:rsidP="006257C4">
      <w:pPr>
        <w:spacing w:after="0" w:line="360" w:lineRule="auto"/>
      </w:pPr>
    </w:p>
    <w:p w14:paraId="0395EA15" w14:textId="77777777" w:rsidR="0093010C" w:rsidRPr="00C25498" w:rsidRDefault="001F0517" w:rsidP="006257C4">
      <w:pPr>
        <w:spacing w:after="0" w:line="360" w:lineRule="auto"/>
      </w:pPr>
      <w:r w:rsidRPr="00C25498">
        <w:t>Lo anterior, resulta congruente con el Criterio 19/17 emitido por el Instituto Nacional de Transparencia, Acceso a la Información y Protección de Datos Personales, en el cual se señala lo siguiente:</w:t>
      </w:r>
    </w:p>
    <w:p w14:paraId="2941DF9A" w14:textId="77777777" w:rsidR="0093010C" w:rsidRPr="00C25498" w:rsidRDefault="0093010C" w:rsidP="006257C4">
      <w:pPr>
        <w:spacing w:after="0" w:line="360" w:lineRule="auto"/>
      </w:pPr>
    </w:p>
    <w:p w14:paraId="5F2BE4B8" w14:textId="77777777" w:rsidR="0093010C" w:rsidRPr="00C25498" w:rsidRDefault="001F0517" w:rsidP="006257C4">
      <w:pPr>
        <w:spacing w:after="0" w:line="360" w:lineRule="auto"/>
        <w:ind w:left="567" w:right="709"/>
        <w:rPr>
          <w:i/>
          <w:sz w:val="20"/>
          <w:szCs w:val="20"/>
        </w:rPr>
      </w:pPr>
      <w:r w:rsidRPr="00C25498">
        <w:rPr>
          <w:i/>
          <w:sz w:val="20"/>
          <w:szCs w:val="20"/>
        </w:rPr>
        <w:t>“</w:t>
      </w:r>
      <w:r w:rsidRPr="00C25498">
        <w:rPr>
          <w:b/>
          <w:i/>
          <w:sz w:val="20"/>
          <w:szCs w:val="20"/>
        </w:rPr>
        <w:t>Registro Federal de Contribuyentes (RFC) de personas físicas</w:t>
      </w:r>
      <w:r w:rsidRPr="00C25498">
        <w:rPr>
          <w:i/>
          <w:sz w:val="20"/>
          <w:szCs w:val="20"/>
        </w:rPr>
        <w:t>. El RFC es una clave de carácter fiscal, única e irrepetible, que permite identificar al titular, su edad y fecha de nacimiento, por lo que es un dato personal de carácter confidencial.”</w:t>
      </w:r>
    </w:p>
    <w:p w14:paraId="31F25584" w14:textId="77777777" w:rsidR="0093010C" w:rsidRPr="00C25498" w:rsidRDefault="0093010C" w:rsidP="006257C4">
      <w:pPr>
        <w:spacing w:after="0" w:line="360" w:lineRule="auto"/>
        <w:rPr>
          <w:i/>
        </w:rPr>
      </w:pPr>
    </w:p>
    <w:p w14:paraId="38C7674B" w14:textId="77777777" w:rsidR="0093010C" w:rsidRPr="00C25498" w:rsidRDefault="001F0517" w:rsidP="006257C4">
      <w:pPr>
        <w:spacing w:after="0" w:line="360" w:lineRule="auto"/>
      </w:pPr>
      <w:r w:rsidRPr="00C25498">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4D286E1" w14:textId="77777777" w:rsidR="0093010C" w:rsidRPr="00C25498" w:rsidRDefault="0093010C" w:rsidP="006257C4">
      <w:pPr>
        <w:spacing w:after="0" w:line="360" w:lineRule="auto"/>
      </w:pPr>
    </w:p>
    <w:p w14:paraId="76D5C3DE" w14:textId="77777777" w:rsidR="006257C4" w:rsidRPr="00C25498" w:rsidRDefault="006257C4" w:rsidP="006257C4">
      <w:pPr>
        <w:numPr>
          <w:ilvl w:val="0"/>
          <w:numId w:val="19"/>
        </w:numPr>
        <w:spacing w:after="0" w:line="360" w:lineRule="auto"/>
        <w:jc w:val="left"/>
        <w:rPr>
          <w:color w:val="000000"/>
        </w:rPr>
      </w:pPr>
      <w:r w:rsidRPr="00C25498">
        <w:rPr>
          <w:b/>
          <w:color w:val="000000"/>
        </w:rPr>
        <w:t>Fecha de nacimiento</w:t>
      </w:r>
    </w:p>
    <w:p w14:paraId="01C803E1" w14:textId="77777777" w:rsidR="006257C4" w:rsidRPr="00C25498" w:rsidRDefault="006257C4" w:rsidP="006257C4">
      <w:pPr>
        <w:spacing w:after="0" w:line="360" w:lineRule="auto"/>
        <w:rPr>
          <w:color w:val="000000"/>
        </w:rPr>
      </w:pPr>
    </w:p>
    <w:p w14:paraId="71497553" w14:textId="7E3446DD" w:rsidR="006257C4" w:rsidRPr="00C25498" w:rsidRDefault="006257C4" w:rsidP="006257C4">
      <w:pPr>
        <w:spacing w:after="0" w:line="360" w:lineRule="auto"/>
        <w:rPr>
          <w:color w:val="000000"/>
        </w:rPr>
      </w:pPr>
      <w:r w:rsidRPr="00C25498">
        <w:rPr>
          <w:color w:val="000000"/>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2A26DFE6" w14:textId="77777777" w:rsidR="006257C4" w:rsidRPr="00C25498" w:rsidRDefault="006257C4" w:rsidP="006257C4">
      <w:pPr>
        <w:spacing w:after="0" w:line="360" w:lineRule="auto"/>
        <w:rPr>
          <w:color w:val="000000"/>
        </w:rPr>
      </w:pPr>
    </w:p>
    <w:p w14:paraId="306856F1" w14:textId="77777777" w:rsidR="006257C4" w:rsidRPr="00C25498" w:rsidRDefault="006257C4" w:rsidP="006257C4">
      <w:pPr>
        <w:spacing w:after="0" w:line="360" w:lineRule="auto"/>
        <w:rPr>
          <w:color w:val="000000"/>
        </w:rPr>
      </w:pPr>
      <w:r w:rsidRPr="00C25498">
        <w:rPr>
          <w:color w:val="000000"/>
        </w:rPr>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71657B02" w14:textId="77777777" w:rsidR="006257C4" w:rsidRPr="00C25498" w:rsidRDefault="006257C4" w:rsidP="006257C4">
      <w:pPr>
        <w:spacing w:after="0" w:line="360" w:lineRule="auto"/>
        <w:rPr>
          <w:color w:val="000000"/>
        </w:rPr>
      </w:pPr>
    </w:p>
    <w:p w14:paraId="6B55495E" w14:textId="77777777" w:rsidR="00660B5D" w:rsidRPr="00C25498" w:rsidRDefault="00660B5D" w:rsidP="006257C4">
      <w:pPr>
        <w:numPr>
          <w:ilvl w:val="0"/>
          <w:numId w:val="18"/>
        </w:numPr>
        <w:spacing w:after="0" w:line="360" w:lineRule="auto"/>
        <w:rPr>
          <w:b/>
          <w:color w:val="000000"/>
        </w:rPr>
      </w:pPr>
      <w:r w:rsidRPr="00C25498">
        <w:rPr>
          <w:b/>
          <w:color w:val="000000"/>
        </w:rPr>
        <w:t>Nombre de particulares</w:t>
      </w:r>
    </w:p>
    <w:p w14:paraId="41EC94FB" w14:textId="77777777" w:rsidR="00660B5D" w:rsidRPr="00C25498" w:rsidRDefault="00660B5D" w:rsidP="006257C4">
      <w:pPr>
        <w:spacing w:after="0" w:line="360" w:lineRule="auto"/>
        <w:rPr>
          <w:color w:val="FF0000"/>
        </w:rPr>
      </w:pPr>
    </w:p>
    <w:p w14:paraId="2C1C4883" w14:textId="77777777" w:rsidR="00660B5D" w:rsidRPr="00C25498" w:rsidRDefault="00660B5D" w:rsidP="006257C4">
      <w:pPr>
        <w:spacing w:after="0" w:line="360" w:lineRule="auto"/>
      </w:pPr>
      <w:r w:rsidRPr="00C25498">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54168F92" w14:textId="77777777" w:rsidR="00660B5D" w:rsidRPr="00C25498" w:rsidRDefault="00660B5D" w:rsidP="006257C4">
      <w:pPr>
        <w:spacing w:after="0" w:line="360" w:lineRule="auto"/>
      </w:pPr>
    </w:p>
    <w:p w14:paraId="008EC6E9" w14:textId="77777777" w:rsidR="00660B5D" w:rsidRPr="00C25498" w:rsidRDefault="00660B5D" w:rsidP="006257C4">
      <w:pPr>
        <w:spacing w:after="0" w:line="360" w:lineRule="auto"/>
      </w:pPr>
      <w:r w:rsidRPr="00C25498">
        <w:lastRenderedPageBreak/>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00717738" w14:textId="77777777" w:rsidR="00660B5D" w:rsidRPr="00C25498" w:rsidRDefault="00660B5D" w:rsidP="006257C4">
      <w:pPr>
        <w:spacing w:after="0" w:line="360" w:lineRule="auto"/>
      </w:pPr>
    </w:p>
    <w:p w14:paraId="1BF75705" w14:textId="77777777" w:rsidR="00660B5D" w:rsidRPr="00C25498" w:rsidRDefault="00660B5D" w:rsidP="006257C4">
      <w:pPr>
        <w:spacing w:after="0" w:line="360" w:lineRule="auto"/>
        <w:ind w:left="567" w:right="567"/>
        <w:rPr>
          <w:i/>
          <w:color w:val="000000"/>
          <w:sz w:val="20"/>
          <w:szCs w:val="20"/>
        </w:rPr>
      </w:pPr>
      <w:r w:rsidRPr="00C25498">
        <w:rPr>
          <w:b/>
          <w:i/>
          <w:color w:val="000000"/>
          <w:sz w:val="20"/>
          <w:szCs w:val="20"/>
        </w:rPr>
        <w:t>“DERECHO A LA VIDA PRIVADA. SU CONTENIDO GENERAL Y LA IMPORTANCIA DE NO DESCONTEXTUALIZAR LAS REFERENCIAS A LA MISMA.</w:t>
      </w:r>
      <w:r w:rsidRPr="00C25498">
        <w:rPr>
          <w:i/>
          <w:color w:val="000000"/>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w:t>
      </w:r>
      <w:r w:rsidRPr="00C25498">
        <w:rPr>
          <w:i/>
          <w:color w:val="000000"/>
          <w:sz w:val="20"/>
          <w:szCs w:val="20"/>
        </w:rPr>
        <w:lastRenderedPageBreak/>
        <w:t xml:space="preserve">nuestro contexto cultural. </w:t>
      </w:r>
      <w:r w:rsidRPr="00C25498">
        <w:rPr>
          <w:b/>
          <w:i/>
          <w:color w:val="000000"/>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C25498">
        <w:rPr>
          <w:i/>
          <w:color w:val="000000"/>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25498">
        <w:rPr>
          <w:b/>
          <w:i/>
          <w:color w:val="000000"/>
          <w:sz w:val="20"/>
          <w:szCs w:val="20"/>
        </w:rPr>
        <w:t>En un sentido amplio, entonces, la protección constitucional de la vida privada implica poder conducir parte de la vida de uno protegido de la mirada y las injerencias de los demás</w:t>
      </w:r>
      <w:r w:rsidRPr="00C25498">
        <w:rPr>
          <w:i/>
          <w:color w:val="000000"/>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AD21837" w14:textId="77777777" w:rsidR="00660B5D" w:rsidRPr="00C25498" w:rsidRDefault="00660B5D" w:rsidP="006257C4">
      <w:pPr>
        <w:spacing w:after="0" w:line="360" w:lineRule="auto"/>
        <w:rPr>
          <w:color w:val="FF0000"/>
        </w:rPr>
      </w:pPr>
    </w:p>
    <w:p w14:paraId="68F7ECC7" w14:textId="77777777" w:rsidR="00660B5D" w:rsidRPr="00C25498" w:rsidRDefault="00660B5D" w:rsidP="006257C4">
      <w:pPr>
        <w:spacing w:after="0" w:line="360" w:lineRule="auto"/>
        <w:rPr>
          <w:b/>
          <w:u w:val="single"/>
        </w:rPr>
      </w:pPr>
      <w:r w:rsidRPr="00C25498">
        <w:t xml:space="preserve">De conformidad con lo señalado, se colige que </w:t>
      </w:r>
      <w:r w:rsidRPr="00C25498">
        <w:rPr>
          <w:b/>
          <w:u w:val="single"/>
        </w:rPr>
        <w:t xml:space="preserve">las actividades que realicen los particulares, dentro del ámbito privado, o dentro de la esfera particular, es información que debe protegerse. </w:t>
      </w:r>
    </w:p>
    <w:p w14:paraId="0A437B04" w14:textId="77777777" w:rsidR="00660B5D" w:rsidRPr="00C25498" w:rsidRDefault="00660B5D" w:rsidP="006257C4">
      <w:pPr>
        <w:spacing w:after="0" w:line="360" w:lineRule="auto"/>
      </w:pPr>
    </w:p>
    <w:p w14:paraId="59D3116F" w14:textId="77777777" w:rsidR="00660B5D" w:rsidRPr="00C25498" w:rsidRDefault="00660B5D" w:rsidP="006257C4">
      <w:pPr>
        <w:spacing w:after="0" w:line="360" w:lineRule="auto"/>
        <w:rPr>
          <w:color w:val="FF0000"/>
        </w:rPr>
      </w:pPr>
      <w:r w:rsidRPr="00C25498">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3C5BC841" w14:textId="77777777" w:rsidR="0093010C" w:rsidRPr="00C25498" w:rsidRDefault="0093010C" w:rsidP="006257C4">
      <w:pPr>
        <w:spacing w:after="0" w:line="360" w:lineRule="auto"/>
      </w:pPr>
    </w:p>
    <w:p w14:paraId="281E36D6" w14:textId="77777777" w:rsidR="0093010C" w:rsidRPr="00C25498" w:rsidRDefault="001F0517" w:rsidP="006257C4">
      <w:pPr>
        <w:numPr>
          <w:ilvl w:val="0"/>
          <w:numId w:val="13"/>
        </w:numPr>
        <w:spacing w:after="0" w:line="360" w:lineRule="auto"/>
      </w:pPr>
      <w:r w:rsidRPr="00C25498">
        <w:rPr>
          <w:b/>
        </w:rPr>
        <w:t>Correo electrónico particular.</w:t>
      </w:r>
    </w:p>
    <w:p w14:paraId="2A2A85B0" w14:textId="77777777" w:rsidR="0093010C" w:rsidRPr="00C25498" w:rsidRDefault="0093010C" w:rsidP="006257C4">
      <w:pPr>
        <w:spacing w:after="0" w:line="360" w:lineRule="auto"/>
      </w:pPr>
    </w:p>
    <w:p w14:paraId="3C577187" w14:textId="77777777" w:rsidR="0093010C" w:rsidRPr="00C25498" w:rsidRDefault="001F0517" w:rsidP="006257C4">
      <w:pPr>
        <w:spacing w:after="0" w:line="360" w:lineRule="auto"/>
      </w:pPr>
      <w:r w:rsidRPr="00C25498">
        <w:lastRenderedPageBreak/>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01AB118D" w14:textId="77777777" w:rsidR="0093010C" w:rsidRPr="00C25498" w:rsidRDefault="0093010C" w:rsidP="006257C4">
      <w:pPr>
        <w:spacing w:after="0" w:line="360" w:lineRule="auto"/>
      </w:pPr>
    </w:p>
    <w:p w14:paraId="1ACD08F8" w14:textId="77777777" w:rsidR="0093010C" w:rsidRPr="00C25498" w:rsidRDefault="001F0517" w:rsidP="006257C4">
      <w:pPr>
        <w:spacing w:after="0" w:line="360" w:lineRule="auto"/>
      </w:pPr>
      <w:r w:rsidRPr="00C25498">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6DDD528" w14:textId="77777777" w:rsidR="0093010C" w:rsidRPr="00C25498" w:rsidRDefault="0093010C" w:rsidP="006257C4">
      <w:pPr>
        <w:spacing w:after="0" w:line="360" w:lineRule="auto"/>
      </w:pPr>
    </w:p>
    <w:p w14:paraId="47473FD0" w14:textId="77777777" w:rsidR="0093010C" w:rsidRPr="00C25498" w:rsidRDefault="001F0517" w:rsidP="006257C4">
      <w:pPr>
        <w:numPr>
          <w:ilvl w:val="0"/>
          <w:numId w:val="14"/>
        </w:numPr>
        <w:spacing w:after="0" w:line="360" w:lineRule="auto"/>
      </w:pPr>
      <w:r w:rsidRPr="00C25498">
        <w:rPr>
          <w:b/>
        </w:rPr>
        <w:t>Número de teléfono o celular particular.</w:t>
      </w:r>
    </w:p>
    <w:p w14:paraId="1367F811" w14:textId="77777777" w:rsidR="0093010C" w:rsidRPr="00C25498" w:rsidRDefault="0093010C" w:rsidP="006257C4">
      <w:pPr>
        <w:spacing w:after="0" w:line="360" w:lineRule="auto"/>
      </w:pPr>
    </w:p>
    <w:p w14:paraId="16A44E10" w14:textId="77777777" w:rsidR="0093010C" w:rsidRPr="00C25498" w:rsidRDefault="001F0517" w:rsidP="006257C4">
      <w:pPr>
        <w:spacing w:after="0" w:line="360" w:lineRule="auto"/>
      </w:pPr>
      <w:r w:rsidRPr="00C25498">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385383E5" w14:textId="77777777" w:rsidR="0093010C" w:rsidRPr="00C25498" w:rsidRDefault="0093010C" w:rsidP="006257C4">
      <w:pPr>
        <w:spacing w:after="0" w:line="360" w:lineRule="auto"/>
      </w:pPr>
    </w:p>
    <w:p w14:paraId="76F7B7FD" w14:textId="77777777" w:rsidR="0093010C" w:rsidRPr="00C25498" w:rsidRDefault="001F0517" w:rsidP="006257C4">
      <w:pPr>
        <w:spacing w:after="0" w:line="360" w:lineRule="auto"/>
      </w:pPr>
      <w:r w:rsidRPr="00C25498">
        <w:t>En tales consideraciones, dicho dato personal es susceptible de ser clasificado como confidencial, con fundamento en el artículo 143, fracción I de la Ley de Transparencia y Acceso a la Información Pública.</w:t>
      </w:r>
    </w:p>
    <w:p w14:paraId="185A4FE9" w14:textId="77777777" w:rsidR="0093010C" w:rsidRPr="00C25498" w:rsidRDefault="0093010C" w:rsidP="006257C4">
      <w:pPr>
        <w:spacing w:after="0" w:line="360" w:lineRule="auto"/>
      </w:pPr>
    </w:p>
    <w:p w14:paraId="5BB85FCE" w14:textId="77777777" w:rsidR="0093010C" w:rsidRPr="00C25498" w:rsidRDefault="001F0517" w:rsidP="006257C4">
      <w:pPr>
        <w:numPr>
          <w:ilvl w:val="0"/>
          <w:numId w:val="6"/>
        </w:numPr>
        <w:pBdr>
          <w:top w:val="nil"/>
          <w:left w:val="nil"/>
          <w:bottom w:val="nil"/>
          <w:right w:val="nil"/>
          <w:between w:val="nil"/>
        </w:pBdr>
        <w:spacing w:after="0" w:line="360" w:lineRule="auto"/>
        <w:rPr>
          <w:b/>
          <w:color w:val="000000"/>
        </w:rPr>
      </w:pPr>
      <w:r w:rsidRPr="00C25498">
        <w:rPr>
          <w:b/>
          <w:color w:val="000000"/>
        </w:rPr>
        <w:t xml:space="preserve">De los oficios emitidos </w:t>
      </w:r>
    </w:p>
    <w:p w14:paraId="4B404A96" w14:textId="77777777" w:rsidR="0093010C" w:rsidRPr="00C25498" w:rsidRDefault="0093010C" w:rsidP="006257C4">
      <w:pPr>
        <w:spacing w:after="0" w:line="360" w:lineRule="auto"/>
      </w:pPr>
    </w:p>
    <w:p w14:paraId="7C7A33C8" w14:textId="77777777" w:rsidR="0093010C" w:rsidRPr="00C25498" w:rsidRDefault="001F0517" w:rsidP="006257C4">
      <w:pPr>
        <w:spacing w:after="0" w:line="360" w:lineRule="auto"/>
      </w:pPr>
      <w:r w:rsidRPr="00C25498">
        <w:lastRenderedPageBreak/>
        <w:t>Ahora bien, respecto a los oficios emitidos, vale la pena destacar que el Sujeto Obligado remitió oficios suscritos por la Dirección General de Desarrollo Económico de diversas fechas de enero a mayo del año en curso; de los cuales, vale la pena precisar que tal y como en el caso anterior, se testaron datos personales confidenciales como nombres de Particulares, números telefónicos y correos electrónicos de Particulares e información desconocida, por lo que será necesario que entregue el acuerdo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772170F2" w14:textId="77777777" w:rsidR="0093010C" w:rsidRPr="00C25498" w:rsidRDefault="0093010C" w:rsidP="006257C4">
      <w:pPr>
        <w:spacing w:after="0" w:line="360" w:lineRule="auto"/>
      </w:pPr>
    </w:p>
    <w:p w14:paraId="58F6E654" w14:textId="77777777" w:rsidR="0093010C" w:rsidRPr="00C25498" w:rsidRDefault="001F0517" w:rsidP="006257C4">
      <w:pPr>
        <w:spacing w:after="0" w:line="360" w:lineRule="auto"/>
      </w:pPr>
      <w:r w:rsidRPr="00C25498">
        <w:t xml:space="preserve">Aunado a lo anterior, cabe precisar que del análisis del número de oficio consecutivo, se aprecia que los oficios no se entregaron de forma completa dado que faltan los números: 210010000/008/2025, 210010000/013/2025, 210010000/019/2025, 210010000/024/2025, 210010000/025/2025, 210010000/027/2025, 210010000/029/2025, 210010000/030/2025, 210010000/034/2025, 210010000/035/2025, 210010000/038/2025, 210010000/039/2025, 210010000/040/2025, 210010000/043/2025, 210010000/044/2025, 210010000/045/2025, 210010000/049/2025, 210010000/050/2025, 210010000/051/2025, 210010000/052/2025, 210010000/053/2025, 210010000/054/2025, 210010000/066/2025, 210010000/067/2025, 210010000/075/2025, 210010000/076/2025, 210010000/077/2025, del 210010000/079/2025 al 210010000/113/2025, 210010000/115/2025, del 210010000/117/2025 al 210010000/123/2025, 210010000/126/2025, 210010000/128/2025, 210010000/129/2025, 210010000/138/2025, 210010000/144/2025, 210010000/145/2025, 210010000/156/2025, 210010000/163/2025, 210010000/171/2025, 210010000/172/2025, 210010000/173/2025, 210010000/174/2025, 210010000/175/2025, 210010000/178/2025, 210010000/179/2025, 210010000/180/2025, 210010000/182/2025, 210010000/184/2025, 210010000/185/2025, del 210010000/190/2025 al 210010000/195/2025, 210010000/198/2025, 210010000/199/2025, 210010000/200/2025, 210010000/206/2025, 210010000/215/2025, 210010000/220/2025, 210010000/223/2025, del </w:t>
      </w:r>
      <w:r w:rsidRPr="00C25498">
        <w:lastRenderedPageBreak/>
        <w:t>210010000/228/2025 al 210010000/242/2025, 210010000/244/2025, 210010000/245/2025, 210010000/246/2025, del 210010000/249/2025 al 210010000/254/2025, 210010000/258/2025, 210010000/265/2025, 210010000/266/2025, del 210010000/268/2025 al 210010000/275/2025, 210010000/277/2025, 210010000/278/2025, 210010000/282/2025, 210010000/300/2025, 210010000/301/2025, 210010000/304/2025, 210010000/305/2025, 210010000/310/2025, 210010000/317/2025, 210010000/331/2025, 210010000/332/2025, 210010000/336/2025, 210010000/337/2025, 210010000/351/2025, 210010000/359/2025, 210010000/363/2025, 210010000/385/2025, 210010000/419/2025, 210010000/420/2025, 210010000/424/2025, 210010000/425/2025, 210010000/431/2025, 210010000/436/2025, 210010000/437/2025, del 210010000/490/2025 al 210010000/493/2025, 210010000/497/2025, 210010000/503/2025, 210010000/504/2025, 210010000/508/2025, 210010000/509/2025, 210010000/510/2025, 210010000/546/2025, 210010000/547/2025, 21210010000/569/2025, 21210010000/571/2025, 21210010000/572/2025, del 21210010000/610/2025 al 21210010000/622/2025, 21210010000/628/2025, 21210010000/629/2025, 21210010000/630/2025, 21210010000/700/2025, 21210010000/717/2025, 21210010000/728/2025, 21210010000/736/2025, 21210010000/738/2025, 21210010000/740/2025, 21210010000/741/2025, 21210010000/742/2025.</w:t>
      </w:r>
    </w:p>
    <w:p w14:paraId="12EF0C72" w14:textId="77777777" w:rsidR="0093010C" w:rsidRPr="00C25498" w:rsidRDefault="0093010C" w:rsidP="006257C4">
      <w:pPr>
        <w:spacing w:after="0" w:line="360" w:lineRule="auto"/>
      </w:pPr>
    </w:p>
    <w:p w14:paraId="5786BC13" w14:textId="31F0492A" w:rsidR="006257C4" w:rsidRPr="00C25498" w:rsidRDefault="006257C4" w:rsidP="006257C4">
      <w:pPr>
        <w:spacing w:after="0" w:line="360" w:lineRule="auto"/>
        <w:rPr>
          <w:rFonts w:eastAsia="Times New Roman" w:cs="Tahoma"/>
          <w:iCs/>
          <w:lang w:eastAsia="es-ES"/>
        </w:rPr>
      </w:pPr>
      <w:r w:rsidRPr="00C25498">
        <w:rPr>
          <w:rFonts w:eastAsia="Times New Roman" w:cs="Tahoma"/>
          <w:bCs/>
          <w:iCs/>
          <w:lang w:eastAsia="es-ES"/>
        </w:rPr>
        <w:t>Conforme a lo anterior, se logra vislumbrar que el Sujeto Obligado no se pronunció de todos los oficios, pues se encuentran salteados y no refirió en algún momento que estuvieran cancelados; sobre el tema</w:t>
      </w:r>
      <w:r w:rsidRPr="00C25498">
        <w:rPr>
          <w:rFonts w:eastAsia="Times New Roman" w:cs="Tahoma"/>
          <w:iCs/>
          <w:lang w:eastAsia="es-ES"/>
        </w:rPr>
        <w:t>, el artículo 1.8, fracción XIII, del Código Administrativo del Estado de México, establece que para que tenga validez, todo acto administrativo deberá resolver todos los puntos propuestos por los interesados.</w:t>
      </w:r>
    </w:p>
    <w:p w14:paraId="66EA1119" w14:textId="77777777" w:rsidR="006257C4" w:rsidRPr="00C25498" w:rsidRDefault="006257C4" w:rsidP="006257C4">
      <w:pPr>
        <w:spacing w:after="0" w:line="360" w:lineRule="auto"/>
        <w:contextualSpacing/>
        <w:rPr>
          <w:rFonts w:eastAsia="Times New Roman" w:cs="Tahoma"/>
          <w:iCs/>
          <w:lang w:eastAsia="es-ES"/>
        </w:rPr>
      </w:pPr>
    </w:p>
    <w:p w14:paraId="3C9ED103" w14:textId="77777777" w:rsidR="006257C4" w:rsidRPr="00C25498" w:rsidRDefault="006257C4" w:rsidP="006257C4">
      <w:pPr>
        <w:spacing w:after="0" w:line="360" w:lineRule="auto"/>
        <w:contextualSpacing/>
        <w:rPr>
          <w:rFonts w:eastAsia="Times New Roman" w:cs="Tahoma"/>
          <w:iCs/>
          <w:lang w:eastAsia="es-ES"/>
        </w:rPr>
      </w:pPr>
      <w:r w:rsidRPr="00C25498">
        <w:rPr>
          <w:rFonts w:eastAsia="Times New Roman" w:cs="Tahoma"/>
          <w:iCs/>
          <w:lang w:eastAsia="es-ES"/>
        </w:rPr>
        <w:t xml:space="preserve">Situación que se robustece, con el </w:t>
      </w:r>
      <w:r w:rsidRPr="00C25498">
        <w:rPr>
          <w:rFonts w:eastAsia="Times New Roman" w:cs="Tahoma"/>
          <w:bCs/>
          <w:iCs/>
          <w:lang w:val="es-ES" w:eastAsia="es-ES"/>
        </w:rPr>
        <w:t>el Criterio de Interpretación</w:t>
      </w:r>
      <w:r w:rsidRPr="00C25498">
        <w:rPr>
          <w:rFonts w:eastAsia="Times New Roman" w:cs="Tahoma"/>
          <w:bCs/>
          <w:iCs/>
          <w:lang w:val="x-none" w:eastAsia="es-ES"/>
        </w:rPr>
        <w:t xml:space="preserve">, con clave de control </w:t>
      </w:r>
      <w:r w:rsidRPr="00C25498">
        <w:rPr>
          <w:rFonts w:eastAsia="Times New Roman" w:cs="Tahoma"/>
          <w:bCs/>
          <w:iCs/>
          <w:lang w:val="es-ES" w:eastAsia="es-ES"/>
        </w:rPr>
        <w:t xml:space="preserve">SO/002/2017, de la Segunda Época, emitido por el Instituto Nacional de Transparencia, Acceso a la Información y Protección de Datos Personales, que </w:t>
      </w:r>
      <w:r w:rsidRPr="00C25498">
        <w:rPr>
          <w:rFonts w:eastAsia="Times New Roman" w:cs="Tahoma"/>
          <w:iCs/>
          <w:lang w:eastAsia="es-ES"/>
        </w:rPr>
        <w:t xml:space="preserve">establece que todo acto administrativo debe apegarse al </w:t>
      </w:r>
      <w:r w:rsidRPr="00C25498">
        <w:rPr>
          <w:rFonts w:eastAsia="Times New Roman" w:cs="Tahoma"/>
          <w:b/>
          <w:bCs/>
          <w:iCs/>
          <w:lang w:eastAsia="es-ES"/>
        </w:rPr>
        <w:t>principio de exhaustividad</w:t>
      </w:r>
      <w:r w:rsidRPr="00C25498">
        <w:rPr>
          <w:rFonts w:eastAsia="Times New Roman" w:cs="Tahoma"/>
          <w:iCs/>
          <w:lang w:eastAsia="es-ES"/>
        </w:rPr>
        <w:t xml:space="preserve">, entendiendo por éste que se pronuncie expresamente </w:t>
      </w:r>
      <w:r w:rsidRPr="00C25498">
        <w:rPr>
          <w:rFonts w:eastAsia="Times New Roman" w:cs="Tahoma"/>
          <w:iCs/>
          <w:lang w:eastAsia="es-ES"/>
        </w:rPr>
        <w:lastRenderedPageBreak/>
        <w:t>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3C52D44" w14:textId="77777777" w:rsidR="006257C4" w:rsidRPr="00C25498" w:rsidRDefault="006257C4" w:rsidP="006257C4">
      <w:pPr>
        <w:spacing w:after="0" w:line="360" w:lineRule="auto"/>
        <w:contextualSpacing/>
        <w:rPr>
          <w:rFonts w:eastAsia="Times New Roman" w:cs="Tahoma"/>
          <w:bCs/>
          <w:iCs/>
          <w:lang w:eastAsia="es-ES"/>
        </w:rPr>
      </w:pPr>
    </w:p>
    <w:p w14:paraId="760B4C6B" w14:textId="0C39D4D0" w:rsidR="0093010C" w:rsidRPr="00C25498" w:rsidRDefault="006257C4" w:rsidP="006257C4">
      <w:pPr>
        <w:spacing w:after="0" w:line="360" w:lineRule="auto"/>
      </w:pPr>
      <w:r w:rsidRPr="00C25498">
        <w:rPr>
          <w:rFonts w:eastAsia="Times New Roman" w:cs="Tahoma"/>
          <w:iCs/>
          <w:lang w:eastAsia="es-ES"/>
        </w:rPr>
        <w:t xml:space="preserve">En esa tesitura, se concluye que la Dirección de Desarrollo Económico, no atendió de manera completa la solicitud de información, pues omitió pronunciarse sobre si los oficios faltantes, se habían emitido o eran cancelados. </w:t>
      </w:r>
      <w:r w:rsidRPr="00C25498">
        <w:t>En consecuencia, resultan parcialmente</w:t>
      </w:r>
      <w:r w:rsidRPr="00C25498">
        <w:rPr>
          <w:b/>
        </w:rPr>
        <w:t xml:space="preserve"> FUNDADOS</w:t>
      </w:r>
      <w:r w:rsidRPr="00C25498">
        <w:t xml:space="preserve"> los motivos de agravio por lo que resulta procedente ordenar la entrega de lo faltante. Cabe señalar que para el caso de que algunos de los oficios fueran cancelados o no se emitieran, bastará que lo haga del conocimiento de la parte Recurrente de forma clara y precisa, en términos del artículo 19, párrafo segundo, de la Ley de Transparencia y Acceso a la Información Pública del Estado de México y Municipios.</w:t>
      </w:r>
    </w:p>
    <w:p w14:paraId="2A7FA9A5" w14:textId="77777777" w:rsidR="0093010C" w:rsidRPr="00C25498" w:rsidRDefault="0093010C" w:rsidP="006257C4">
      <w:pPr>
        <w:spacing w:after="0" w:line="360" w:lineRule="auto"/>
      </w:pPr>
    </w:p>
    <w:p w14:paraId="7E9BF3AF" w14:textId="77777777" w:rsidR="0093010C" w:rsidRPr="00C25498" w:rsidRDefault="001F0517" w:rsidP="006257C4">
      <w:pPr>
        <w:spacing w:after="0" w:line="360" w:lineRule="auto"/>
      </w:pPr>
      <w:r w:rsidRPr="00C25498">
        <w:t>No se omite mencionar que para el caso de que los oficios cuenten con datos personales, deberá realizar la entrega en versión pública y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374D31DD" w14:textId="77777777" w:rsidR="0093010C" w:rsidRPr="00C25498" w:rsidRDefault="001F0517" w:rsidP="006257C4">
      <w:pPr>
        <w:pStyle w:val="Ttulo2"/>
        <w:spacing w:before="0" w:after="0"/>
        <w:rPr>
          <w:b w:val="0"/>
        </w:rPr>
      </w:pPr>
      <w:bookmarkStart w:id="16" w:name="_Toc210313076"/>
      <w:r w:rsidRPr="00C25498">
        <w:t>CUARTO. Decisión</w:t>
      </w:r>
      <w:bookmarkEnd w:id="16"/>
    </w:p>
    <w:p w14:paraId="277EB4F1" w14:textId="77777777" w:rsidR="0093010C" w:rsidRPr="00C25498" w:rsidRDefault="0093010C" w:rsidP="006257C4">
      <w:pPr>
        <w:spacing w:after="0" w:line="360" w:lineRule="auto"/>
        <w:rPr>
          <w:b/>
        </w:rPr>
      </w:pPr>
    </w:p>
    <w:p w14:paraId="42F04A3B" w14:textId="77777777" w:rsidR="0093010C" w:rsidRPr="00C25498" w:rsidRDefault="001F0517" w:rsidP="006257C4">
      <w:pPr>
        <w:spacing w:after="0" w:line="360" w:lineRule="auto"/>
      </w:pPr>
      <w:r w:rsidRPr="00C25498">
        <w:t xml:space="preserve">Con fundamento en el artículo 186, fracción III, de la Ley de Transparencia y Acceso a la Información Pública del Estado de México y Municipios, este Instituto considera procedente </w:t>
      </w:r>
      <w:r w:rsidRPr="00C25498">
        <w:rPr>
          <w:b/>
        </w:rPr>
        <w:t>MODIFICAR</w:t>
      </w:r>
      <w:r w:rsidRPr="00C25498">
        <w:t xml:space="preserve"> la respuesta otorgada por el Sujeto Obligado a la solicitud de información </w:t>
      </w:r>
      <w:r w:rsidRPr="00C25498">
        <w:rPr>
          <w:b/>
        </w:rPr>
        <w:t>02730/TOLUCA/IP/2025</w:t>
      </w:r>
      <w:r w:rsidRPr="00C25498">
        <w:t xml:space="preserve">, por resultar parcialmente fundadas las razones o motivos de inconformidad hechos valer por la parte Recurrente, en el Recurso de Revisión </w:t>
      </w:r>
      <w:r w:rsidRPr="00C25498">
        <w:rPr>
          <w:bCs/>
        </w:rPr>
        <w:lastRenderedPageBreak/>
        <w:t>07656/INFOEM/IP/RR/2025</w:t>
      </w:r>
      <w:r w:rsidRPr="00C25498">
        <w:t xml:space="preserve">, en consecuencia procede </w:t>
      </w:r>
      <w:r w:rsidRPr="00C25498">
        <w:rPr>
          <w:b/>
        </w:rPr>
        <w:t xml:space="preserve">ORDENAR, </w:t>
      </w:r>
      <w:r w:rsidRPr="00C25498">
        <w:t>la entrega de la información faltante en los términos expuestos.</w:t>
      </w:r>
    </w:p>
    <w:p w14:paraId="45D58565" w14:textId="77777777" w:rsidR="006257C4" w:rsidRPr="00C25498" w:rsidRDefault="006257C4" w:rsidP="006257C4">
      <w:pPr>
        <w:spacing w:after="0" w:line="360" w:lineRule="auto"/>
      </w:pPr>
    </w:p>
    <w:p w14:paraId="175C9A9E" w14:textId="77777777" w:rsidR="0093010C" w:rsidRPr="00C25498" w:rsidRDefault="001F0517" w:rsidP="006257C4">
      <w:pPr>
        <w:pStyle w:val="Ttulo2"/>
        <w:spacing w:before="0" w:after="0"/>
        <w:rPr>
          <w:b w:val="0"/>
        </w:rPr>
      </w:pPr>
      <w:bookmarkStart w:id="17" w:name="_Toc210313077"/>
      <w:r w:rsidRPr="00C25498">
        <w:t>SEXTO. Vista la Dirección General de Protección de Datos Personales</w:t>
      </w:r>
      <w:bookmarkEnd w:id="17"/>
    </w:p>
    <w:p w14:paraId="56A4696D" w14:textId="77777777" w:rsidR="0093010C" w:rsidRPr="00C25498" w:rsidRDefault="0093010C" w:rsidP="006257C4">
      <w:pPr>
        <w:spacing w:after="0" w:line="360" w:lineRule="auto"/>
        <w:rPr>
          <w:b/>
        </w:rPr>
      </w:pPr>
    </w:p>
    <w:p w14:paraId="7C6D661E" w14:textId="77777777" w:rsidR="0093010C" w:rsidRPr="00C25498" w:rsidRDefault="001F0517" w:rsidP="006257C4">
      <w:pPr>
        <w:spacing w:after="0" w:line="360" w:lineRule="auto"/>
      </w:pPr>
      <w:r w:rsidRPr="00C25498">
        <w:t xml:space="preserve">Ahora bien, toda vez que el Sujeto Obligado debió clasificar la CURP, RFC, Nombre de particulares, números de teléfono particulares, fechas de nacimiento, correos electrónicos; que se advierten </w:t>
      </w:r>
      <w:r w:rsidRPr="00C25498">
        <w:rPr>
          <w:u w:val="single"/>
        </w:rPr>
        <w:t>en los archivos remitidos en respuesta</w:t>
      </w:r>
      <w:r w:rsidRPr="00C25498">
        <w:t>,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012EEC0E" w14:textId="77777777" w:rsidR="006257C4" w:rsidRPr="00C25498" w:rsidRDefault="006257C4" w:rsidP="006257C4">
      <w:pPr>
        <w:spacing w:after="0" w:line="360" w:lineRule="auto"/>
      </w:pPr>
    </w:p>
    <w:p w14:paraId="0BF37FD8" w14:textId="77777777" w:rsidR="0093010C" w:rsidRPr="00C25498" w:rsidRDefault="001F0517" w:rsidP="006257C4">
      <w:pPr>
        <w:spacing w:after="0" w:line="360" w:lineRule="auto"/>
      </w:pPr>
      <w:r w:rsidRPr="00C25498">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177C2729" w14:textId="77777777" w:rsidR="0093010C" w:rsidRPr="00C25498" w:rsidRDefault="0093010C" w:rsidP="006257C4">
      <w:pPr>
        <w:spacing w:after="0" w:line="360" w:lineRule="auto"/>
      </w:pPr>
    </w:p>
    <w:p w14:paraId="10F71163" w14:textId="77777777" w:rsidR="0093010C" w:rsidRPr="00C25498" w:rsidRDefault="001F0517" w:rsidP="006257C4">
      <w:pPr>
        <w:spacing w:after="0" w:line="360" w:lineRule="auto"/>
        <w:rPr>
          <w:b/>
          <w:u w:val="single"/>
        </w:rPr>
      </w:pPr>
      <w:r w:rsidRPr="00C25498">
        <w:rPr>
          <w:b/>
          <w:u w:val="single"/>
        </w:rPr>
        <w:t>Términos de la Resolución para la parte Recurrente:</w:t>
      </w:r>
    </w:p>
    <w:p w14:paraId="7162ACFF" w14:textId="77777777" w:rsidR="0093010C" w:rsidRPr="00C25498" w:rsidRDefault="0093010C" w:rsidP="006257C4">
      <w:pPr>
        <w:spacing w:after="0" w:line="360" w:lineRule="auto"/>
      </w:pPr>
    </w:p>
    <w:p w14:paraId="7193AF04" w14:textId="77777777" w:rsidR="0093010C" w:rsidRPr="00C25498" w:rsidRDefault="001F0517" w:rsidP="006257C4">
      <w:pPr>
        <w:spacing w:after="0" w:line="360" w:lineRule="auto"/>
        <w:rPr>
          <w:u w:val="single"/>
        </w:rPr>
      </w:pPr>
      <w:r w:rsidRPr="00C25498">
        <w:rPr>
          <w:u w:val="single"/>
        </w:rPr>
        <w:t xml:space="preserve">Se hace del conocimiento de parte Recurrente que este Organismo Garante determinó concederle la razón, puesto que el Sujeto Obligado no entregó la totalidad de la información, por tanto, se procede a ordenar la entrega de la información faltante. </w:t>
      </w:r>
    </w:p>
    <w:p w14:paraId="49AE1A5F" w14:textId="77777777" w:rsidR="0093010C" w:rsidRPr="00C25498" w:rsidRDefault="0093010C" w:rsidP="006257C4">
      <w:pPr>
        <w:spacing w:after="0" w:line="360" w:lineRule="auto"/>
        <w:rPr>
          <w:u w:val="single"/>
        </w:rPr>
      </w:pPr>
    </w:p>
    <w:p w14:paraId="37369A56" w14:textId="77777777" w:rsidR="0093010C" w:rsidRPr="00C25498" w:rsidRDefault="001F0517" w:rsidP="006257C4">
      <w:pPr>
        <w:spacing w:after="0" w:line="360" w:lineRule="auto"/>
        <w:rPr>
          <w:u w:val="single"/>
        </w:rPr>
      </w:pPr>
      <w:r w:rsidRPr="00C25498">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44CB9754" w14:textId="77777777" w:rsidR="0093010C" w:rsidRPr="00C25498" w:rsidRDefault="0093010C" w:rsidP="006257C4">
      <w:pPr>
        <w:spacing w:after="0" w:line="360" w:lineRule="auto"/>
        <w:rPr>
          <w:u w:val="single"/>
        </w:rPr>
      </w:pPr>
    </w:p>
    <w:p w14:paraId="5179534C" w14:textId="77777777" w:rsidR="0093010C" w:rsidRPr="00C25498" w:rsidRDefault="001F0517" w:rsidP="006257C4">
      <w:pPr>
        <w:spacing w:after="0" w:line="360" w:lineRule="auto"/>
        <w:rPr>
          <w:u w:val="single"/>
        </w:rPr>
      </w:pPr>
      <w:r w:rsidRPr="00C25498">
        <w:rPr>
          <w:u w:val="single"/>
        </w:rPr>
        <w:t>La labor del INFOEM, es apoyar a la población para acceder a la información pública y garantizar la protección de sus datos personales.</w:t>
      </w:r>
    </w:p>
    <w:p w14:paraId="03BFBEBD" w14:textId="77777777" w:rsidR="0093010C" w:rsidRPr="00C25498" w:rsidRDefault="0093010C" w:rsidP="006257C4">
      <w:pPr>
        <w:spacing w:after="0" w:line="360" w:lineRule="auto"/>
        <w:rPr>
          <w:u w:val="single"/>
        </w:rPr>
      </w:pPr>
    </w:p>
    <w:p w14:paraId="6E0501DE" w14:textId="77777777" w:rsidR="0093010C" w:rsidRPr="00C25498" w:rsidRDefault="001F0517" w:rsidP="006257C4">
      <w:pPr>
        <w:pStyle w:val="Ttulo1"/>
        <w:spacing w:before="0" w:after="0"/>
        <w:rPr>
          <w:b w:val="0"/>
          <w:sz w:val="22"/>
          <w:szCs w:val="22"/>
        </w:rPr>
      </w:pPr>
      <w:bookmarkStart w:id="18" w:name="_Toc210313078"/>
      <w:r w:rsidRPr="00C25498">
        <w:rPr>
          <w:sz w:val="22"/>
          <w:szCs w:val="22"/>
        </w:rPr>
        <w:t>R E S U E L V E</w:t>
      </w:r>
      <w:bookmarkEnd w:id="18"/>
    </w:p>
    <w:p w14:paraId="51259E1B" w14:textId="77777777" w:rsidR="0093010C" w:rsidRPr="00C25498" w:rsidRDefault="0093010C" w:rsidP="006257C4">
      <w:pPr>
        <w:spacing w:after="0" w:line="360" w:lineRule="auto"/>
        <w:rPr>
          <w:b/>
        </w:rPr>
      </w:pPr>
    </w:p>
    <w:p w14:paraId="2B2F4069" w14:textId="77777777" w:rsidR="0093010C" w:rsidRPr="00C25498" w:rsidRDefault="001F0517" w:rsidP="006257C4">
      <w:pPr>
        <w:spacing w:after="0" w:line="360" w:lineRule="auto"/>
      </w:pPr>
      <w:r w:rsidRPr="00C25498">
        <w:rPr>
          <w:b/>
        </w:rPr>
        <w:t xml:space="preserve">PRIMERO. </w:t>
      </w:r>
      <w:r w:rsidRPr="00C25498">
        <w:t xml:space="preserve">Se </w:t>
      </w:r>
      <w:r w:rsidRPr="00C25498">
        <w:rPr>
          <w:b/>
        </w:rPr>
        <w:t>MODIFICA</w:t>
      </w:r>
      <w:r w:rsidRPr="00C25498">
        <w:t xml:space="preserve"> la respuesta entregada por el Ayuntamiento de Toluca a la solicitud de información </w:t>
      </w:r>
      <w:r w:rsidRPr="00C25498">
        <w:rPr>
          <w:b/>
        </w:rPr>
        <w:t xml:space="preserve">02730/TOLUCA/IP/2025 </w:t>
      </w:r>
      <w:r w:rsidRPr="00C25498">
        <w:t xml:space="preserve">por resultar </w:t>
      </w:r>
      <w:r w:rsidRPr="00C25498">
        <w:rPr>
          <w:b/>
        </w:rPr>
        <w:t>FUNDADAS</w:t>
      </w:r>
      <w:r w:rsidRPr="00C25498">
        <w:t xml:space="preserve"> las razones o motivos de inconformidad hechos valer por la persona Recurrente en el Recurso de Revisión 07656/INFOEM/IP/RR/2025, en términos de los considerandos QUINTO y SEXTO de la presente Resolución.</w:t>
      </w:r>
    </w:p>
    <w:p w14:paraId="4EC6C460" w14:textId="77777777" w:rsidR="0093010C" w:rsidRPr="00C25498" w:rsidRDefault="0093010C" w:rsidP="006257C4">
      <w:pPr>
        <w:spacing w:after="0" w:line="360" w:lineRule="auto"/>
      </w:pPr>
    </w:p>
    <w:p w14:paraId="5EE2A9DF" w14:textId="24502648" w:rsidR="0093010C" w:rsidRPr="00C25498" w:rsidRDefault="001F0517" w:rsidP="00A57566">
      <w:pPr>
        <w:spacing w:after="0" w:line="360" w:lineRule="auto"/>
        <w:rPr>
          <w:color w:val="000000"/>
        </w:rPr>
      </w:pPr>
      <w:r w:rsidRPr="00C25498">
        <w:rPr>
          <w:b/>
        </w:rPr>
        <w:t xml:space="preserve">SEGUNDO. </w:t>
      </w:r>
      <w:r w:rsidRPr="00C25498">
        <w:t xml:space="preserve">Se </w:t>
      </w:r>
      <w:r w:rsidRPr="00C25498">
        <w:rPr>
          <w:b/>
        </w:rPr>
        <w:t>ORDENA</w:t>
      </w:r>
      <w:r w:rsidRPr="00C25498">
        <w:t xml:space="preserve"> al Sujeto Obligado, a efecto de entregue, previa búsqueda exhaustiva y razonable, a través del SAIMEX, </w:t>
      </w:r>
      <w:r w:rsidR="00A57566" w:rsidRPr="00C25498">
        <w:t xml:space="preserve">respecto a </w:t>
      </w:r>
      <w:r w:rsidRPr="00C25498">
        <w:rPr>
          <w:color w:val="000000"/>
        </w:rPr>
        <w:t>la Dirección General de Desarrollo Económico del 1° de enero al 9 de mayo de 2025, lo siguiente:</w:t>
      </w:r>
    </w:p>
    <w:p w14:paraId="78C4312F" w14:textId="77777777" w:rsidR="00A57566" w:rsidRPr="00C25498" w:rsidRDefault="00A57566" w:rsidP="00A57566">
      <w:pPr>
        <w:spacing w:after="0" w:line="360" w:lineRule="auto"/>
        <w:rPr>
          <w:color w:val="000000"/>
        </w:rPr>
      </w:pPr>
    </w:p>
    <w:p w14:paraId="389BB1B8" w14:textId="77777777" w:rsidR="0093010C" w:rsidRPr="00C25498" w:rsidRDefault="001F0517" w:rsidP="006257C4">
      <w:pPr>
        <w:numPr>
          <w:ilvl w:val="0"/>
          <w:numId w:val="15"/>
        </w:numPr>
        <w:pBdr>
          <w:top w:val="nil"/>
          <w:left w:val="nil"/>
          <w:bottom w:val="nil"/>
          <w:right w:val="nil"/>
          <w:between w:val="nil"/>
        </w:pBdr>
        <w:spacing w:after="0" w:line="360" w:lineRule="auto"/>
        <w:rPr>
          <w:color w:val="000000"/>
        </w:rPr>
      </w:pPr>
      <w:r w:rsidRPr="00C25498">
        <w:rPr>
          <w:color w:val="000000"/>
        </w:rPr>
        <w:t>Oficios emitidos faltantes conforme al considerando QUINTO.</w:t>
      </w:r>
    </w:p>
    <w:p w14:paraId="47FDB44A" w14:textId="77777777" w:rsidR="0093010C" w:rsidRPr="00C25498" w:rsidRDefault="0093010C" w:rsidP="006257C4">
      <w:pPr>
        <w:pBdr>
          <w:top w:val="nil"/>
          <w:left w:val="nil"/>
          <w:bottom w:val="nil"/>
          <w:right w:val="nil"/>
          <w:between w:val="nil"/>
        </w:pBdr>
        <w:spacing w:after="0" w:line="360" w:lineRule="auto"/>
        <w:ind w:left="720"/>
        <w:rPr>
          <w:color w:val="000000"/>
        </w:rPr>
      </w:pPr>
    </w:p>
    <w:p w14:paraId="6AFA498E" w14:textId="4092BD36" w:rsidR="0093010C" w:rsidRPr="00C25498" w:rsidRDefault="00A57566" w:rsidP="00A57566">
      <w:pPr>
        <w:pStyle w:val="Prrafodelista"/>
        <w:numPr>
          <w:ilvl w:val="0"/>
          <w:numId w:val="15"/>
        </w:numPr>
        <w:pBdr>
          <w:top w:val="nil"/>
          <w:left w:val="nil"/>
          <w:bottom w:val="nil"/>
          <w:right w:val="nil"/>
          <w:between w:val="nil"/>
        </w:pBdr>
        <w:spacing w:line="360" w:lineRule="auto"/>
        <w:rPr>
          <w:color w:val="000000"/>
        </w:rPr>
      </w:pPr>
      <w:r w:rsidRPr="00C25498">
        <w:rPr>
          <w:rFonts w:eastAsia="Palatino Linotype"/>
          <w:color w:val="000000"/>
        </w:rPr>
        <w:t xml:space="preserve">Acuerdo de Clasificación donde el Comité de Transparencia, confirme la eliminación de los datos clasificados en los documentos remitidos en respuesta, así como de aquellos que den cuenta del numeral 1, en términos del Considerando QUINTO, de conformidad con los artículos 49, fracciones II y VIII, 132, fracción II, de la Ley de Transparencia y Acceso a la Información Pública del Estado de México y Municipios. </w:t>
      </w:r>
    </w:p>
    <w:p w14:paraId="0D12F8A6" w14:textId="521E46E1" w:rsidR="0093010C" w:rsidRPr="00C25498" w:rsidRDefault="005145BE" w:rsidP="006257C4">
      <w:pPr>
        <w:spacing w:after="0" w:line="360" w:lineRule="auto"/>
      </w:pPr>
      <w:r w:rsidRPr="00C25498">
        <w:lastRenderedPageBreak/>
        <w:t>Respecto al numeral 1, de que algunos de los oficios no obren en los archivos del Sujeto Obligado por haberse cancelado, bastará con que así lo haga del conocimiento de la parte Recurrente, de manera precisa y clara.</w:t>
      </w:r>
    </w:p>
    <w:p w14:paraId="2BD99F6B" w14:textId="77777777" w:rsidR="0093010C" w:rsidRPr="00C25498" w:rsidRDefault="0093010C" w:rsidP="006257C4">
      <w:pPr>
        <w:spacing w:after="0" w:line="360" w:lineRule="auto"/>
      </w:pPr>
    </w:p>
    <w:p w14:paraId="56C59EAA" w14:textId="77777777" w:rsidR="0093010C" w:rsidRPr="00C25498" w:rsidRDefault="001F0517" w:rsidP="006257C4">
      <w:pPr>
        <w:spacing w:after="0" w:line="360" w:lineRule="auto"/>
      </w:pPr>
      <w:r w:rsidRPr="00C25498">
        <w:rPr>
          <w:b/>
        </w:rPr>
        <w:t xml:space="preserve">TERCERO. NOTIFÍQUESE POR SAIMEX </w:t>
      </w:r>
      <w:r w:rsidRPr="00C25498">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64D4F1" w14:textId="77777777" w:rsidR="0093010C" w:rsidRPr="00C25498" w:rsidRDefault="0093010C" w:rsidP="006257C4">
      <w:pPr>
        <w:spacing w:after="0" w:line="360" w:lineRule="auto"/>
      </w:pPr>
    </w:p>
    <w:p w14:paraId="154A250E" w14:textId="77777777" w:rsidR="0093010C" w:rsidRPr="00C25498" w:rsidRDefault="001F0517" w:rsidP="006257C4">
      <w:pPr>
        <w:spacing w:after="0" w:line="360" w:lineRule="auto"/>
      </w:pPr>
      <w:r w:rsidRPr="00C25498">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C352B" w14:textId="77777777" w:rsidR="0093010C" w:rsidRPr="00C25498" w:rsidRDefault="0093010C" w:rsidP="006257C4">
      <w:pPr>
        <w:spacing w:after="0" w:line="360" w:lineRule="auto"/>
      </w:pPr>
    </w:p>
    <w:p w14:paraId="30109D78" w14:textId="77777777" w:rsidR="0093010C" w:rsidRPr="00C25498" w:rsidRDefault="001F0517" w:rsidP="006257C4">
      <w:pPr>
        <w:spacing w:after="0" w:line="360" w:lineRule="auto"/>
      </w:pPr>
      <w:r w:rsidRPr="00C25498">
        <w:rPr>
          <w:b/>
        </w:rPr>
        <w:t>CUARTO. NOTIFÍQUESE</w:t>
      </w:r>
      <w:r w:rsidRPr="00C25498">
        <w:t xml:space="preserve"> </w:t>
      </w:r>
      <w:r w:rsidRPr="00C25498">
        <w:rPr>
          <w:b/>
        </w:rPr>
        <w:t xml:space="preserve">POR SAIMEX </w:t>
      </w:r>
      <w:r w:rsidRPr="00C25498">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875DF30" w14:textId="77777777" w:rsidR="0093010C" w:rsidRPr="00C25498" w:rsidRDefault="0093010C" w:rsidP="006257C4">
      <w:pPr>
        <w:spacing w:after="0" w:line="360" w:lineRule="auto"/>
      </w:pPr>
    </w:p>
    <w:p w14:paraId="2CFFD8B4" w14:textId="77777777" w:rsidR="0093010C" w:rsidRPr="00C25498" w:rsidRDefault="001F0517" w:rsidP="006257C4">
      <w:pPr>
        <w:spacing w:after="0" w:line="360" w:lineRule="auto"/>
        <w:rPr>
          <w:color w:val="000000"/>
        </w:rPr>
      </w:pPr>
      <w:r w:rsidRPr="00C25498">
        <w:rPr>
          <w:b/>
          <w:color w:val="000000"/>
        </w:rPr>
        <w:t>QUINTO</w:t>
      </w:r>
      <w:r w:rsidRPr="00C25498">
        <w:rPr>
          <w:color w:val="000000"/>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w:t>
      </w:r>
      <w:r w:rsidRPr="00C25498">
        <w:rPr>
          <w:color w:val="000000"/>
        </w:rPr>
        <w:lastRenderedPageBreak/>
        <w:t>General de Protección de Datos Personales de este Instituto, en términos de lo dispuesto en el Considerando SEXTO de la presente Resolución.</w:t>
      </w:r>
    </w:p>
    <w:p w14:paraId="6E2947EE" w14:textId="77777777" w:rsidR="0093010C" w:rsidRPr="00C25498" w:rsidRDefault="0093010C" w:rsidP="006257C4">
      <w:pPr>
        <w:spacing w:after="0" w:line="360" w:lineRule="auto"/>
      </w:pPr>
    </w:p>
    <w:p w14:paraId="40B96DCC" w14:textId="1D66E80B" w:rsidR="0093010C" w:rsidRDefault="001F0517" w:rsidP="006257C4">
      <w:pPr>
        <w:spacing w:after="0" w:line="360" w:lineRule="auto"/>
      </w:pPr>
      <w:r w:rsidRPr="00C25498">
        <w:t xml:space="preserve">ASÍ LO RESUELVE, POR </w:t>
      </w:r>
      <w:r w:rsidRPr="00C25498">
        <w:rPr>
          <w:b/>
        </w:rPr>
        <w:t>UNANIMIDAD</w:t>
      </w:r>
      <w:r w:rsidRPr="00C25498">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7336DA" w:rsidRPr="00A16E83">
        <w:t xml:space="preserve">EN LA TRIGÉSIMA </w:t>
      </w:r>
      <w:r w:rsidR="007336DA">
        <w:t>QUINTA</w:t>
      </w:r>
      <w:r w:rsidR="007336DA" w:rsidRPr="00A16E83">
        <w:t xml:space="preserve"> SESIÓN ORDINARIA, CELEBRADA EL PRIMERO DE OCTUBRE DE DOS MIL VEINTICINCO</w:t>
      </w:r>
      <w:r w:rsidRPr="00C25498">
        <w:t>, ANTE EL SECRETARIO TÉCNICO DEL PLENO, ALEXIS TAPIA RAMÍREZ.</w:t>
      </w:r>
    </w:p>
    <w:p w14:paraId="24B5FA29" w14:textId="77777777" w:rsidR="0093010C" w:rsidRDefault="0093010C" w:rsidP="006257C4">
      <w:pPr>
        <w:pStyle w:val="Ttulo2"/>
        <w:spacing w:before="0" w:after="0"/>
        <w:rPr>
          <w:b w:val="0"/>
        </w:rPr>
      </w:pPr>
    </w:p>
    <w:p w14:paraId="744AC292" w14:textId="77777777" w:rsidR="0093010C" w:rsidRDefault="0093010C" w:rsidP="006257C4">
      <w:pPr>
        <w:spacing w:after="0" w:line="360" w:lineRule="auto"/>
      </w:pPr>
    </w:p>
    <w:p w14:paraId="73174669" w14:textId="77777777" w:rsidR="0093010C" w:rsidRDefault="0093010C" w:rsidP="006257C4">
      <w:pPr>
        <w:spacing w:after="0" w:line="360" w:lineRule="auto"/>
      </w:pPr>
    </w:p>
    <w:p w14:paraId="5EF50F39" w14:textId="77777777" w:rsidR="0093010C" w:rsidRDefault="0093010C" w:rsidP="006257C4">
      <w:pPr>
        <w:spacing w:after="0" w:line="360" w:lineRule="auto"/>
      </w:pPr>
    </w:p>
    <w:p w14:paraId="7A55D8E4" w14:textId="77777777" w:rsidR="0093010C" w:rsidRDefault="0093010C" w:rsidP="006257C4">
      <w:pPr>
        <w:spacing w:after="0" w:line="360" w:lineRule="auto"/>
      </w:pPr>
    </w:p>
    <w:p w14:paraId="4A6EA534" w14:textId="77777777" w:rsidR="0093010C" w:rsidRDefault="0093010C" w:rsidP="006257C4">
      <w:pPr>
        <w:spacing w:after="0" w:line="360" w:lineRule="auto"/>
      </w:pPr>
    </w:p>
    <w:p w14:paraId="11C497D5" w14:textId="77777777" w:rsidR="0093010C" w:rsidRDefault="0093010C" w:rsidP="006257C4">
      <w:pPr>
        <w:spacing w:after="0" w:line="360" w:lineRule="auto"/>
      </w:pPr>
    </w:p>
    <w:p w14:paraId="3E0174FC" w14:textId="77777777" w:rsidR="0093010C" w:rsidRDefault="0093010C" w:rsidP="006257C4">
      <w:pPr>
        <w:spacing w:after="0" w:line="360" w:lineRule="auto"/>
      </w:pPr>
    </w:p>
    <w:p w14:paraId="58F1C0A3" w14:textId="77777777" w:rsidR="0093010C" w:rsidRDefault="0093010C" w:rsidP="006257C4">
      <w:pPr>
        <w:spacing w:after="0" w:line="360" w:lineRule="auto"/>
      </w:pPr>
    </w:p>
    <w:p w14:paraId="4D7805EE" w14:textId="77777777" w:rsidR="0093010C" w:rsidRDefault="0093010C" w:rsidP="006257C4">
      <w:pPr>
        <w:spacing w:after="0" w:line="360" w:lineRule="auto"/>
      </w:pPr>
    </w:p>
    <w:p w14:paraId="108857B3" w14:textId="77777777" w:rsidR="0093010C" w:rsidRDefault="0093010C" w:rsidP="006257C4">
      <w:pPr>
        <w:spacing w:after="0" w:line="360" w:lineRule="auto"/>
      </w:pPr>
    </w:p>
    <w:p w14:paraId="59993881" w14:textId="77777777" w:rsidR="0093010C" w:rsidRDefault="0093010C" w:rsidP="006257C4">
      <w:pPr>
        <w:spacing w:after="0" w:line="360" w:lineRule="auto"/>
      </w:pPr>
    </w:p>
    <w:p w14:paraId="66199BD5" w14:textId="77777777" w:rsidR="0093010C" w:rsidRDefault="0093010C" w:rsidP="006257C4">
      <w:pPr>
        <w:spacing w:after="0" w:line="360" w:lineRule="auto"/>
      </w:pPr>
    </w:p>
    <w:p w14:paraId="7F7C1497" w14:textId="77777777" w:rsidR="0093010C" w:rsidRDefault="0093010C" w:rsidP="006257C4">
      <w:pPr>
        <w:spacing w:after="0" w:line="360" w:lineRule="auto"/>
      </w:pPr>
    </w:p>
    <w:p w14:paraId="562ED95E" w14:textId="77777777" w:rsidR="0093010C" w:rsidRDefault="0093010C" w:rsidP="006257C4">
      <w:pPr>
        <w:spacing w:after="0" w:line="360" w:lineRule="auto"/>
      </w:pPr>
    </w:p>
    <w:p w14:paraId="5E55D65F" w14:textId="77777777" w:rsidR="0093010C" w:rsidRDefault="0093010C" w:rsidP="006257C4">
      <w:pPr>
        <w:spacing w:after="0" w:line="360" w:lineRule="auto"/>
      </w:pPr>
    </w:p>
    <w:p w14:paraId="1E0DD195" w14:textId="77777777" w:rsidR="0093010C" w:rsidRDefault="0093010C" w:rsidP="006257C4">
      <w:pPr>
        <w:spacing w:after="0" w:line="360" w:lineRule="auto"/>
      </w:pPr>
    </w:p>
    <w:p w14:paraId="132DF728" w14:textId="77777777" w:rsidR="0093010C" w:rsidRDefault="0093010C" w:rsidP="006257C4">
      <w:pPr>
        <w:spacing w:after="0" w:line="360" w:lineRule="auto"/>
      </w:pPr>
    </w:p>
    <w:p w14:paraId="656F6B95" w14:textId="77777777" w:rsidR="0093010C" w:rsidRDefault="0093010C" w:rsidP="006257C4">
      <w:pPr>
        <w:spacing w:after="0" w:line="360" w:lineRule="auto"/>
      </w:pPr>
    </w:p>
    <w:p w14:paraId="7E7F19DA" w14:textId="77777777" w:rsidR="0093010C" w:rsidRDefault="0093010C" w:rsidP="006257C4">
      <w:pPr>
        <w:spacing w:after="0" w:line="360" w:lineRule="auto"/>
      </w:pPr>
    </w:p>
    <w:p w14:paraId="6D0FC185" w14:textId="77777777" w:rsidR="0093010C" w:rsidRDefault="0093010C" w:rsidP="006257C4">
      <w:pPr>
        <w:spacing w:after="0" w:line="360" w:lineRule="auto"/>
      </w:pPr>
    </w:p>
    <w:p w14:paraId="107FF8F1" w14:textId="77777777" w:rsidR="0093010C" w:rsidRDefault="0093010C" w:rsidP="006257C4">
      <w:pPr>
        <w:spacing w:after="0" w:line="360" w:lineRule="auto"/>
      </w:pPr>
    </w:p>
    <w:p w14:paraId="187DDF24" w14:textId="77777777" w:rsidR="0093010C" w:rsidRDefault="0093010C" w:rsidP="006257C4">
      <w:pPr>
        <w:spacing w:after="0" w:line="360" w:lineRule="auto"/>
      </w:pPr>
    </w:p>
    <w:p w14:paraId="2FE6144A" w14:textId="77777777" w:rsidR="0093010C" w:rsidRDefault="0093010C" w:rsidP="006257C4">
      <w:pPr>
        <w:spacing w:after="0" w:line="360" w:lineRule="auto"/>
      </w:pPr>
    </w:p>
    <w:sectPr w:rsidR="0093010C">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E1B7" w14:textId="77777777" w:rsidR="006250BE" w:rsidRDefault="006250BE">
      <w:pPr>
        <w:spacing w:after="0" w:line="240" w:lineRule="auto"/>
      </w:pPr>
      <w:r>
        <w:separator/>
      </w:r>
    </w:p>
  </w:endnote>
  <w:endnote w:type="continuationSeparator" w:id="0">
    <w:p w14:paraId="63E39A17" w14:textId="77777777" w:rsidR="006250BE" w:rsidRDefault="0062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59D7" w14:textId="77777777" w:rsidR="0093010C" w:rsidRDefault="001F05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E7586">
      <w:rPr>
        <w:b/>
        <w:color w:val="000000"/>
        <w:sz w:val="24"/>
        <w:szCs w:val="24"/>
      </w:rPr>
      <w:fldChar w:fldCharType="separate"/>
    </w:r>
    <w:r w:rsidR="00AE7586">
      <w:rPr>
        <w:b/>
        <w:noProof/>
        <w:color w:val="000000"/>
        <w:sz w:val="24"/>
        <w:szCs w:val="24"/>
      </w:rPr>
      <w:t>31</w:t>
    </w:r>
    <w:r>
      <w:rPr>
        <w:b/>
        <w:color w:val="000000"/>
        <w:sz w:val="24"/>
        <w:szCs w:val="24"/>
      </w:rPr>
      <w:fldChar w:fldCharType="end"/>
    </w:r>
  </w:p>
  <w:p w14:paraId="30D332F2" w14:textId="77777777" w:rsidR="0093010C" w:rsidRDefault="0093010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FAC3" w14:textId="77777777" w:rsidR="0093010C" w:rsidRDefault="001F05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E7586">
      <w:rPr>
        <w:b/>
        <w:noProof/>
        <w:color w:val="000000"/>
        <w:sz w:val="24"/>
        <w:szCs w:val="24"/>
      </w:rPr>
      <w:t>30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E7586">
      <w:rPr>
        <w:b/>
        <w:noProof/>
        <w:color w:val="000000"/>
        <w:sz w:val="24"/>
        <w:szCs w:val="24"/>
      </w:rPr>
      <w:t>31</w:t>
    </w:r>
    <w:r>
      <w:rPr>
        <w:b/>
        <w:color w:val="000000"/>
        <w:sz w:val="24"/>
        <w:szCs w:val="24"/>
      </w:rPr>
      <w:fldChar w:fldCharType="end"/>
    </w:r>
  </w:p>
  <w:p w14:paraId="334FE19C" w14:textId="77777777" w:rsidR="0093010C" w:rsidRDefault="0093010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AE67" w14:textId="77777777" w:rsidR="0093010C" w:rsidRDefault="001F05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E758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E7586">
      <w:rPr>
        <w:b/>
        <w:noProof/>
        <w:color w:val="000000"/>
        <w:sz w:val="24"/>
        <w:szCs w:val="24"/>
      </w:rPr>
      <w:t>31</w:t>
    </w:r>
    <w:r>
      <w:rPr>
        <w:b/>
        <w:color w:val="000000"/>
        <w:sz w:val="24"/>
        <w:szCs w:val="24"/>
      </w:rPr>
      <w:fldChar w:fldCharType="end"/>
    </w:r>
  </w:p>
  <w:p w14:paraId="1ADF8FBE" w14:textId="77777777" w:rsidR="0093010C" w:rsidRDefault="0093010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138BF" w14:textId="77777777" w:rsidR="006250BE" w:rsidRDefault="006250BE">
      <w:pPr>
        <w:spacing w:after="0" w:line="240" w:lineRule="auto"/>
      </w:pPr>
      <w:r>
        <w:separator/>
      </w:r>
    </w:p>
  </w:footnote>
  <w:footnote w:type="continuationSeparator" w:id="0">
    <w:p w14:paraId="3C2659F6" w14:textId="77777777" w:rsidR="006250BE" w:rsidRDefault="00625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A87B" w14:textId="77777777" w:rsidR="0093010C" w:rsidRDefault="0093010C">
    <w:pPr>
      <w:widowControl w:val="0"/>
      <w:pBdr>
        <w:top w:val="nil"/>
        <w:left w:val="nil"/>
        <w:bottom w:val="nil"/>
        <w:right w:val="nil"/>
        <w:between w:val="nil"/>
      </w:pBdr>
      <w:spacing w:after="0" w:line="276" w:lineRule="auto"/>
      <w:jc w:val="left"/>
      <w:rPr>
        <w:color w:val="000000"/>
      </w:rPr>
    </w:pPr>
  </w:p>
  <w:tbl>
    <w:tblPr>
      <w:tblStyle w:val="affffff6"/>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93010C" w14:paraId="6B8A4017" w14:textId="77777777">
      <w:trPr>
        <w:trHeight w:val="141"/>
      </w:trPr>
      <w:tc>
        <w:tcPr>
          <w:tcW w:w="2404" w:type="dxa"/>
        </w:tcPr>
        <w:p w14:paraId="2AD7691A" w14:textId="77777777" w:rsidR="0093010C" w:rsidRDefault="001F0517">
          <w:pPr>
            <w:tabs>
              <w:tab w:val="right" w:pos="8838"/>
            </w:tabs>
            <w:ind w:right="-105"/>
            <w:rPr>
              <w:b/>
            </w:rPr>
          </w:pPr>
          <w:r>
            <w:rPr>
              <w:b/>
            </w:rPr>
            <w:t>Recurso de Revisión:</w:t>
          </w:r>
        </w:p>
      </w:tc>
      <w:tc>
        <w:tcPr>
          <w:tcW w:w="3587" w:type="dxa"/>
        </w:tcPr>
        <w:p w14:paraId="24E7CC02" w14:textId="77777777" w:rsidR="0093010C" w:rsidRDefault="001F0517">
          <w:pPr>
            <w:tabs>
              <w:tab w:val="right" w:pos="8838"/>
            </w:tabs>
            <w:ind w:left="-28" w:right="683"/>
          </w:pPr>
          <w:r>
            <w:t>04196/INFOEM/IP/RR/2020</w:t>
          </w:r>
        </w:p>
      </w:tc>
    </w:tr>
    <w:tr w:rsidR="0093010C" w14:paraId="3091599D" w14:textId="77777777">
      <w:trPr>
        <w:trHeight w:val="276"/>
      </w:trPr>
      <w:tc>
        <w:tcPr>
          <w:tcW w:w="2404" w:type="dxa"/>
        </w:tcPr>
        <w:p w14:paraId="31C9AA9E" w14:textId="77777777" w:rsidR="0093010C" w:rsidRDefault="001F0517">
          <w:pPr>
            <w:tabs>
              <w:tab w:val="right" w:pos="8838"/>
            </w:tabs>
            <w:ind w:right="-105"/>
            <w:rPr>
              <w:b/>
            </w:rPr>
          </w:pPr>
          <w:r>
            <w:rPr>
              <w:b/>
            </w:rPr>
            <w:t>Sujeto Obligado:</w:t>
          </w:r>
        </w:p>
      </w:tc>
      <w:tc>
        <w:tcPr>
          <w:tcW w:w="3587" w:type="dxa"/>
        </w:tcPr>
        <w:p w14:paraId="20A33768" w14:textId="77777777" w:rsidR="0093010C" w:rsidRDefault="001F0517">
          <w:pPr>
            <w:tabs>
              <w:tab w:val="right" w:pos="8838"/>
            </w:tabs>
            <w:ind w:right="116"/>
          </w:pPr>
          <w:r>
            <w:t>Ayuntamiento de Chapultepec</w:t>
          </w:r>
        </w:p>
      </w:tc>
    </w:tr>
    <w:tr w:rsidR="0093010C" w14:paraId="4CB26AAD" w14:textId="77777777">
      <w:trPr>
        <w:trHeight w:val="276"/>
      </w:trPr>
      <w:tc>
        <w:tcPr>
          <w:tcW w:w="2404" w:type="dxa"/>
        </w:tcPr>
        <w:p w14:paraId="5327A4CA" w14:textId="77777777" w:rsidR="0093010C" w:rsidRDefault="001F0517">
          <w:pPr>
            <w:tabs>
              <w:tab w:val="right" w:pos="8838"/>
            </w:tabs>
            <w:ind w:right="-105"/>
            <w:rPr>
              <w:b/>
            </w:rPr>
          </w:pPr>
          <w:r>
            <w:rPr>
              <w:b/>
            </w:rPr>
            <w:t>Comisionado Ponente:</w:t>
          </w:r>
        </w:p>
      </w:tc>
      <w:tc>
        <w:tcPr>
          <w:tcW w:w="3587" w:type="dxa"/>
        </w:tcPr>
        <w:p w14:paraId="32E9C189" w14:textId="77777777" w:rsidR="0093010C" w:rsidRDefault="001F0517">
          <w:pPr>
            <w:tabs>
              <w:tab w:val="right" w:pos="8838"/>
            </w:tabs>
            <w:ind w:right="-32"/>
          </w:pPr>
          <w:r>
            <w:t>Luis Gustavo Parra Noriega</w:t>
          </w:r>
        </w:p>
      </w:tc>
    </w:tr>
  </w:tbl>
  <w:p w14:paraId="73B35ABE" w14:textId="77777777" w:rsidR="0093010C" w:rsidRDefault="006250BE">
    <w:pPr>
      <w:pBdr>
        <w:top w:val="nil"/>
        <w:left w:val="nil"/>
        <w:bottom w:val="nil"/>
        <w:right w:val="nil"/>
        <w:between w:val="nil"/>
      </w:pBdr>
      <w:tabs>
        <w:tab w:val="center" w:pos="4419"/>
        <w:tab w:val="right" w:pos="8838"/>
      </w:tabs>
      <w:spacing w:after="0" w:line="240" w:lineRule="auto"/>
      <w:rPr>
        <w:color w:val="000000"/>
      </w:rPr>
    </w:pPr>
    <w:r>
      <w:rPr>
        <w:color w:val="000000"/>
      </w:rPr>
      <w:pict w14:anchorId="48F13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C3ECA" w14:textId="77777777" w:rsidR="0093010C" w:rsidRDefault="0093010C">
    <w:pPr>
      <w:rPr>
        <w:sz w:val="16"/>
        <w:szCs w:val="16"/>
      </w:rPr>
    </w:pPr>
  </w:p>
  <w:tbl>
    <w:tblPr>
      <w:tblStyle w:val="affffff7"/>
      <w:tblW w:w="6095"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93010C" w14:paraId="66E8CCAC" w14:textId="77777777" w:rsidTr="00660B5D">
      <w:trPr>
        <w:trHeight w:val="141"/>
      </w:trPr>
      <w:tc>
        <w:tcPr>
          <w:tcW w:w="2409" w:type="dxa"/>
        </w:tcPr>
        <w:p w14:paraId="6D6187C6" w14:textId="77777777" w:rsidR="0093010C" w:rsidRDefault="001F0517">
          <w:pPr>
            <w:tabs>
              <w:tab w:val="right" w:pos="8838"/>
            </w:tabs>
            <w:ind w:left="-395" w:right="-105" w:firstLine="395"/>
            <w:rPr>
              <w:b/>
            </w:rPr>
          </w:pPr>
          <w:r>
            <w:rPr>
              <w:b/>
            </w:rPr>
            <w:t>Recurso de Revisión:</w:t>
          </w:r>
        </w:p>
      </w:tc>
      <w:tc>
        <w:tcPr>
          <w:tcW w:w="3686" w:type="dxa"/>
        </w:tcPr>
        <w:p w14:paraId="51A2A034" w14:textId="77777777" w:rsidR="0093010C" w:rsidRPr="00660B5D" w:rsidRDefault="001F0517">
          <w:pPr>
            <w:tabs>
              <w:tab w:val="right" w:pos="8838"/>
            </w:tabs>
            <w:ind w:right="176"/>
            <w:rPr>
              <w:bCs/>
            </w:rPr>
          </w:pPr>
          <w:r w:rsidRPr="00660B5D">
            <w:rPr>
              <w:bCs/>
            </w:rPr>
            <w:t>07656/INFOEM/IP/RR/2025</w:t>
          </w:r>
        </w:p>
      </w:tc>
    </w:tr>
    <w:tr w:rsidR="0093010C" w14:paraId="7A2560BE" w14:textId="77777777" w:rsidTr="00660B5D">
      <w:trPr>
        <w:trHeight w:val="276"/>
      </w:trPr>
      <w:tc>
        <w:tcPr>
          <w:tcW w:w="2409" w:type="dxa"/>
        </w:tcPr>
        <w:p w14:paraId="0C00BDE6" w14:textId="77777777" w:rsidR="0093010C" w:rsidRDefault="001F0517">
          <w:pPr>
            <w:tabs>
              <w:tab w:val="right" w:pos="8838"/>
            </w:tabs>
            <w:ind w:right="-105"/>
            <w:rPr>
              <w:b/>
            </w:rPr>
          </w:pPr>
          <w:r>
            <w:rPr>
              <w:b/>
            </w:rPr>
            <w:t>Sujeto Obligado:</w:t>
          </w:r>
        </w:p>
      </w:tc>
      <w:tc>
        <w:tcPr>
          <w:tcW w:w="3686" w:type="dxa"/>
        </w:tcPr>
        <w:p w14:paraId="1381EB1D" w14:textId="77777777" w:rsidR="0093010C" w:rsidRDefault="001F0517">
          <w:pPr>
            <w:tabs>
              <w:tab w:val="left" w:pos="3158"/>
              <w:tab w:val="left" w:pos="4292"/>
              <w:tab w:val="right" w:pos="8838"/>
            </w:tabs>
            <w:ind w:right="176"/>
          </w:pPr>
          <w:r>
            <w:t>Ayuntamiento de Toluca</w:t>
          </w:r>
        </w:p>
      </w:tc>
    </w:tr>
    <w:tr w:rsidR="0093010C" w14:paraId="7302097C" w14:textId="77777777" w:rsidTr="00660B5D">
      <w:trPr>
        <w:trHeight w:val="276"/>
      </w:trPr>
      <w:tc>
        <w:tcPr>
          <w:tcW w:w="2409" w:type="dxa"/>
        </w:tcPr>
        <w:p w14:paraId="06FD557C" w14:textId="77777777" w:rsidR="0093010C" w:rsidRDefault="001F0517">
          <w:pPr>
            <w:tabs>
              <w:tab w:val="right" w:pos="8838"/>
            </w:tabs>
            <w:ind w:right="-105"/>
            <w:rPr>
              <w:b/>
            </w:rPr>
          </w:pPr>
          <w:r>
            <w:rPr>
              <w:b/>
            </w:rPr>
            <w:t>Comisionado Ponente:</w:t>
          </w:r>
        </w:p>
      </w:tc>
      <w:tc>
        <w:tcPr>
          <w:tcW w:w="3686" w:type="dxa"/>
        </w:tcPr>
        <w:p w14:paraId="3FC51E49" w14:textId="77777777" w:rsidR="0093010C" w:rsidRDefault="001F0517">
          <w:pPr>
            <w:tabs>
              <w:tab w:val="right" w:pos="8838"/>
            </w:tabs>
            <w:ind w:right="176"/>
          </w:pPr>
          <w:r>
            <w:t>Luis Gustavo Parra Noriega</w:t>
          </w:r>
        </w:p>
        <w:p w14:paraId="08279EC1" w14:textId="77777777" w:rsidR="0093010C" w:rsidRDefault="0093010C">
          <w:pPr>
            <w:tabs>
              <w:tab w:val="right" w:pos="8838"/>
            </w:tabs>
            <w:ind w:right="176"/>
          </w:pPr>
        </w:p>
      </w:tc>
    </w:tr>
  </w:tbl>
  <w:p w14:paraId="3032BCCE" w14:textId="77777777" w:rsidR="0093010C" w:rsidRDefault="006250BE">
    <w:pPr>
      <w:pBdr>
        <w:top w:val="nil"/>
        <w:left w:val="nil"/>
        <w:bottom w:val="nil"/>
        <w:right w:val="nil"/>
        <w:between w:val="nil"/>
      </w:pBdr>
      <w:tabs>
        <w:tab w:val="center" w:pos="4419"/>
        <w:tab w:val="right" w:pos="8838"/>
      </w:tabs>
      <w:spacing w:after="0" w:line="240" w:lineRule="auto"/>
      <w:rPr>
        <w:color w:val="000000"/>
      </w:rPr>
    </w:pPr>
    <w:r>
      <w:rPr>
        <w:color w:val="000000"/>
      </w:rPr>
      <w:pict w14:anchorId="6877D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E99F9" w14:textId="77777777" w:rsidR="0093010C" w:rsidRDefault="006250BE">
    <w:pPr>
      <w:widowControl w:val="0"/>
      <w:pBdr>
        <w:top w:val="nil"/>
        <w:left w:val="nil"/>
        <w:bottom w:val="nil"/>
        <w:right w:val="nil"/>
        <w:between w:val="nil"/>
      </w:pBdr>
      <w:spacing w:after="0" w:line="276" w:lineRule="auto"/>
      <w:jc w:val="left"/>
      <w:rPr>
        <w:color w:val="000000"/>
      </w:rPr>
    </w:pPr>
    <w:r>
      <w:rPr>
        <w:color w:val="000000"/>
      </w:rPr>
      <w:pict w14:anchorId="5876B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8"/>
      <w:tblW w:w="9214" w:type="dxa"/>
      <w:tblInd w:w="0" w:type="dxa"/>
      <w:tblLayout w:type="fixed"/>
      <w:tblLook w:val="0400" w:firstRow="0" w:lastRow="0" w:firstColumn="0" w:lastColumn="0" w:noHBand="0" w:noVBand="1"/>
    </w:tblPr>
    <w:tblGrid>
      <w:gridCol w:w="2127"/>
      <w:gridCol w:w="7087"/>
    </w:tblGrid>
    <w:tr w:rsidR="0093010C" w14:paraId="0E794AFD" w14:textId="77777777">
      <w:trPr>
        <w:trHeight w:val="1546"/>
      </w:trPr>
      <w:tc>
        <w:tcPr>
          <w:tcW w:w="2127" w:type="dxa"/>
        </w:tcPr>
        <w:p w14:paraId="5D95CAAF" w14:textId="77777777" w:rsidR="0093010C" w:rsidRDefault="0093010C">
          <w:pPr>
            <w:tabs>
              <w:tab w:val="right" w:pos="4273"/>
            </w:tabs>
            <w:rPr>
              <w:rFonts w:ascii="Garamond" w:eastAsia="Garamond" w:hAnsi="Garamond" w:cs="Garamond"/>
              <w:sz w:val="16"/>
              <w:szCs w:val="16"/>
            </w:rPr>
          </w:pPr>
        </w:p>
      </w:tc>
      <w:tc>
        <w:tcPr>
          <w:tcW w:w="7087" w:type="dxa"/>
        </w:tcPr>
        <w:p w14:paraId="568D84B3" w14:textId="77777777" w:rsidR="0093010C" w:rsidRDefault="0093010C">
          <w:pPr>
            <w:rPr>
              <w:sz w:val="10"/>
              <w:szCs w:val="10"/>
            </w:rPr>
          </w:pPr>
        </w:p>
        <w:tbl>
          <w:tblPr>
            <w:tblStyle w:val="affffff9"/>
            <w:tblW w:w="6525" w:type="dxa"/>
            <w:tblInd w:w="454" w:type="dxa"/>
            <w:tblLayout w:type="fixed"/>
            <w:tblLook w:val="0400" w:firstRow="0" w:lastRow="0" w:firstColumn="0" w:lastColumn="0" w:noHBand="0" w:noVBand="1"/>
          </w:tblPr>
          <w:tblGrid>
            <w:gridCol w:w="2500"/>
            <w:gridCol w:w="4025"/>
          </w:tblGrid>
          <w:tr w:rsidR="0093010C" w14:paraId="4E7A6F83" w14:textId="77777777">
            <w:trPr>
              <w:trHeight w:val="427"/>
            </w:trPr>
            <w:tc>
              <w:tcPr>
                <w:tcW w:w="2500" w:type="dxa"/>
                <w:vAlign w:val="bottom"/>
              </w:tcPr>
              <w:p w14:paraId="0E289ACD" w14:textId="77777777" w:rsidR="0093010C" w:rsidRDefault="001F0517">
                <w:pPr>
                  <w:tabs>
                    <w:tab w:val="right" w:pos="8838"/>
                  </w:tabs>
                  <w:ind w:right="-105"/>
                  <w:rPr>
                    <w:b/>
                  </w:rPr>
                </w:pPr>
                <w:r>
                  <w:rPr>
                    <w:b/>
                  </w:rPr>
                  <w:t>Recurso de Revisión:</w:t>
                </w:r>
              </w:p>
            </w:tc>
            <w:tc>
              <w:tcPr>
                <w:tcW w:w="4025" w:type="dxa"/>
              </w:tcPr>
              <w:p w14:paraId="46C760CC" w14:textId="77777777" w:rsidR="0093010C" w:rsidRDefault="0093010C">
                <w:pPr>
                  <w:tabs>
                    <w:tab w:val="right" w:pos="8838"/>
                  </w:tabs>
                  <w:ind w:left="-28" w:right="-107"/>
                  <w:rPr>
                    <w:b/>
                  </w:rPr>
                </w:pPr>
              </w:p>
              <w:p w14:paraId="69D94008" w14:textId="77777777" w:rsidR="0093010C" w:rsidRDefault="001F0517">
                <w:pPr>
                  <w:tabs>
                    <w:tab w:val="right" w:pos="8838"/>
                  </w:tabs>
                  <w:ind w:left="-28" w:right="-107"/>
                  <w:rPr>
                    <w:b/>
                  </w:rPr>
                </w:pPr>
                <w:r>
                  <w:rPr>
                    <w:b/>
                  </w:rPr>
                  <w:t>07656/INFOEM/IP/RR/2025</w:t>
                </w:r>
              </w:p>
            </w:tc>
          </w:tr>
          <w:tr w:rsidR="0093010C" w14:paraId="1A44516B" w14:textId="77777777">
            <w:trPr>
              <w:trHeight w:val="141"/>
            </w:trPr>
            <w:tc>
              <w:tcPr>
                <w:tcW w:w="2500" w:type="dxa"/>
              </w:tcPr>
              <w:p w14:paraId="4A14D10D" w14:textId="77777777" w:rsidR="0093010C" w:rsidRDefault="001F0517">
                <w:pPr>
                  <w:tabs>
                    <w:tab w:val="right" w:pos="8838"/>
                  </w:tabs>
                  <w:ind w:right="-105"/>
                  <w:rPr>
                    <w:b/>
                  </w:rPr>
                </w:pPr>
                <w:r>
                  <w:rPr>
                    <w:b/>
                  </w:rPr>
                  <w:t>Recurrente:</w:t>
                </w:r>
              </w:p>
            </w:tc>
            <w:tc>
              <w:tcPr>
                <w:tcW w:w="4025" w:type="dxa"/>
              </w:tcPr>
              <w:p w14:paraId="1BA4BF1C" w14:textId="77777777" w:rsidR="0093010C" w:rsidRDefault="0093010C">
                <w:pPr>
                  <w:tabs>
                    <w:tab w:val="right" w:pos="8838"/>
                  </w:tabs>
                  <w:ind w:right="-107"/>
                </w:pPr>
              </w:p>
            </w:tc>
          </w:tr>
          <w:tr w:rsidR="0093010C" w14:paraId="5CF6FE91" w14:textId="77777777">
            <w:trPr>
              <w:trHeight w:val="276"/>
            </w:trPr>
            <w:tc>
              <w:tcPr>
                <w:tcW w:w="2500" w:type="dxa"/>
              </w:tcPr>
              <w:p w14:paraId="49F42AD8" w14:textId="77777777" w:rsidR="0093010C" w:rsidRDefault="001F0517">
                <w:pPr>
                  <w:tabs>
                    <w:tab w:val="right" w:pos="8838"/>
                  </w:tabs>
                  <w:ind w:right="-105"/>
                  <w:rPr>
                    <w:b/>
                  </w:rPr>
                </w:pPr>
                <w:r>
                  <w:rPr>
                    <w:b/>
                  </w:rPr>
                  <w:t>Sujeto Obligado:</w:t>
                </w:r>
              </w:p>
            </w:tc>
            <w:tc>
              <w:tcPr>
                <w:tcW w:w="4025" w:type="dxa"/>
              </w:tcPr>
              <w:p w14:paraId="371C8A6B" w14:textId="77777777" w:rsidR="0093010C" w:rsidRDefault="001F0517">
                <w:pPr>
                  <w:tabs>
                    <w:tab w:val="right" w:pos="8838"/>
                  </w:tabs>
                  <w:ind w:right="33"/>
                </w:pPr>
                <w:r>
                  <w:t>Ayuntamiento de Toluca</w:t>
                </w:r>
              </w:p>
            </w:tc>
          </w:tr>
          <w:tr w:rsidR="0093010C" w14:paraId="7E3ED286" w14:textId="77777777">
            <w:trPr>
              <w:trHeight w:val="276"/>
            </w:trPr>
            <w:tc>
              <w:tcPr>
                <w:tcW w:w="2500" w:type="dxa"/>
              </w:tcPr>
              <w:p w14:paraId="0A90D666" w14:textId="77777777" w:rsidR="0093010C" w:rsidRDefault="001F0517">
                <w:pPr>
                  <w:tabs>
                    <w:tab w:val="right" w:pos="8838"/>
                  </w:tabs>
                  <w:ind w:right="-105"/>
                  <w:rPr>
                    <w:b/>
                  </w:rPr>
                </w:pPr>
                <w:r>
                  <w:rPr>
                    <w:b/>
                  </w:rPr>
                  <w:t>Comisionado Ponente:</w:t>
                </w:r>
              </w:p>
            </w:tc>
            <w:tc>
              <w:tcPr>
                <w:tcW w:w="4025" w:type="dxa"/>
              </w:tcPr>
              <w:p w14:paraId="717DB2BC" w14:textId="77777777" w:rsidR="0093010C" w:rsidRDefault="001F0517">
                <w:pPr>
                  <w:tabs>
                    <w:tab w:val="right" w:pos="8838"/>
                  </w:tabs>
                  <w:ind w:right="-107"/>
                </w:pPr>
                <w:r>
                  <w:t>Luis Gustavo Parra Noriega</w:t>
                </w:r>
              </w:p>
            </w:tc>
          </w:tr>
        </w:tbl>
        <w:p w14:paraId="4B1F652D" w14:textId="77777777" w:rsidR="0093010C" w:rsidRDefault="0093010C">
          <w:pPr>
            <w:tabs>
              <w:tab w:val="right" w:pos="8838"/>
            </w:tabs>
            <w:ind w:left="-28"/>
            <w:rPr>
              <w:rFonts w:ascii="Arial" w:eastAsia="Arial" w:hAnsi="Arial" w:cs="Arial"/>
              <w:b/>
            </w:rPr>
          </w:pPr>
        </w:p>
      </w:tc>
    </w:tr>
  </w:tbl>
  <w:p w14:paraId="5E3E8501" w14:textId="77777777" w:rsidR="0093010C" w:rsidRDefault="0093010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39D"/>
    <w:multiLevelType w:val="multilevel"/>
    <w:tmpl w:val="2A124F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8242D"/>
    <w:multiLevelType w:val="multilevel"/>
    <w:tmpl w:val="036A3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B50A1"/>
    <w:multiLevelType w:val="multilevel"/>
    <w:tmpl w:val="023641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C4481E"/>
    <w:multiLevelType w:val="multilevel"/>
    <w:tmpl w:val="D95A087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125F5D"/>
    <w:multiLevelType w:val="multilevel"/>
    <w:tmpl w:val="6AEC7C2E"/>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9D2A8D"/>
    <w:multiLevelType w:val="multilevel"/>
    <w:tmpl w:val="4C7E14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F95213"/>
    <w:multiLevelType w:val="multilevel"/>
    <w:tmpl w:val="EF7ACC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149E5"/>
    <w:multiLevelType w:val="multilevel"/>
    <w:tmpl w:val="4210E0A4"/>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E04585"/>
    <w:multiLevelType w:val="multilevel"/>
    <w:tmpl w:val="61D45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627842"/>
    <w:multiLevelType w:val="multilevel"/>
    <w:tmpl w:val="8FB0F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1B4E75"/>
    <w:multiLevelType w:val="multilevel"/>
    <w:tmpl w:val="2E1C472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3E7AB8"/>
    <w:multiLevelType w:val="multilevel"/>
    <w:tmpl w:val="67580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B20378"/>
    <w:multiLevelType w:val="multilevel"/>
    <w:tmpl w:val="77906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4A53B4"/>
    <w:multiLevelType w:val="multilevel"/>
    <w:tmpl w:val="AC1C4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286A9B"/>
    <w:multiLevelType w:val="multilevel"/>
    <w:tmpl w:val="2BD28DC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DC7CB5"/>
    <w:multiLevelType w:val="multilevel"/>
    <w:tmpl w:val="0D12C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752F24"/>
    <w:multiLevelType w:val="multilevel"/>
    <w:tmpl w:val="4D762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C30BD0"/>
    <w:multiLevelType w:val="multilevel"/>
    <w:tmpl w:val="BE2AC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12"/>
  </w:num>
  <w:num w:numId="4">
    <w:abstractNumId w:val="16"/>
  </w:num>
  <w:num w:numId="5">
    <w:abstractNumId w:val="14"/>
  </w:num>
  <w:num w:numId="6">
    <w:abstractNumId w:val="7"/>
  </w:num>
  <w:num w:numId="7">
    <w:abstractNumId w:val="0"/>
  </w:num>
  <w:num w:numId="8">
    <w:abstractNumId w:val="1"/>
  </w:num>
  <w:num w:numId="9">
    <w:abstractNumId w:val="9"/>
  </w:num>
  <w:num w:numId="10">
    <w:abstractNumId w:val="15"/>
  </w:num>
  <w:num w:numId="11">
    <w:abstractNumId w:val="17"/>
  </w:num>
  <w:num w:numId="12">
    <w:abstractNumId w:val="6"/>
  </w:num>
  <w:num w:numId="13">
    <w:abstractNumId w:val="10"/>
  </w:num>
  <w:num w:numId="14">
    <w:abstractNumId w:val="13"/>
  </w:num>
  <w:num w:numId="15">
    <w:abstractNumId w:val="8"/>
  </w:num>
  <w:num w:numId="16">
    <w:abstractNumId w:val="2"/>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0C"/>
    <w:rsid w:val="001F0517"/>
    <w:rsid w:val="002C3140"/>
    <w:rsid w:val="005145BE"/>
    <w:rsid w:val="005647A1"/>
    <w:rsid w:val="006250BE"/>
    <w:rsid w:val="006257C4"/>
    <w:rsid w:val="00660B5D"/>
    <w:rsid w:val="007336DA"/>
    <w:rsid w:val="00811B60"/>
    <w:rsid w:val="0093010C"/>
    <w:rsid w:val="00A57566"/>
    <w:rsid w:val="00AE7586"/>
    <w:rsid w:val="00C25498"/>
    <w:rsid w:val="00E63E4A"/>
    <w:rsid w:val="00EB7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396E7"/>
  <w15:docId w15:val="{7A43A5C4-8D0D-46CA-AB38-0D989E0D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3"/>
    <w:pPr>
      <w:spacing w:after="0" w:line="240" w:lineRule="auto"/>
    </w:pPr>
    <w:tblPr>
      <w:tblStyleRowBandSize w:val="1"/>
      <w:tblStyleColBandSize w:val="1"/>
      <w:tblCellMar>
        <w:left w:w="108" w:type="dxa"/>
        <w:right w:w="108" w:type="dxa"/>
      </w:tblCellMar>
    </w:tblPr>
  </w:style>
  <w:style w:type="table" w:customStyle="1" w:styleId="a0">
    <w:basedOn w:val="TableNormalf3"/>
    <w:pPr>
      <w:spacing w:after="0" w:line="240" w:lineRule="auto"/>
    </w:pPr>
    <w:tblPr>
      <w:tblStyleRowBandSize w:val="1"/>
      <w:tblStyleColBandSize w:val="1"/>
      <w:tblCellMar>
        <w:left w:w="108" w:type="dxa"/>
        <w:right w:w="108" w:type="dxa"/>
      </w:tblCellMar>
    </w:tbl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3"/>
    <w:pPr>
      <w:spacing w:after="0" w:line="240" w:lineRule="auto"/>
    </w:pPr>
    <w:tblPr>
      <w:tblStyleRowBandSize w:val="1"/>
      <w:tblStyleColBandSize w:val="1"/>
      <w:tblCellMar>
        <w:left w:w="108" w:type="dxa"/>
        <w:right w:w="108" w:type="dxa"/>
      </w:tblCellMar>
    </w:tblPr>
  </w:style>
  <w:style w:type="table" w:customStyle="1" w:styleId="a4">
    <w:basedOn w:val="TableNormalf3"/>
    <w:pPr>
      <w:spacing w:after="0" w:line="240" w:lineRule="auto"/>
    </w:pPr>
    <w:tblPr>
      <w:tblStyleRowBandSize w:val="1"/>
      <w:tblStyleColBandSize w:val="1"/>
      <w:tblCellMar>
        <w:left w:w="108" w:type="dxa"/>
        <w:right w:w="108" w:type="dxa"/>
      </w:tblCellMar>
    </w:tblPr>
  </w:style>
  <w:style w:type="table" w:customStyle="1" w:styleId="a5">
    <w:basedOn w:val="TableNormalf3"/>
    <w:pPr>
      <w:spacing w:after="0" w:line="240" w:lineRule="auto"/>
    </w:pPr>
    <w:tblPr>
      <w:tblStyleRowBandSize w:val="1"/>
      <w:tblStyleColBandSize w:val="1"/>
      <w:tblCellMar>
        <w:left w:w="108" w:type="dxa"/>
        <w:right w:w="108" w:type="dxa"/>
      </w:tblCellMar>
    </w:tblPr>
  </w:style>
  <w:style w:type="table" w:customStyle="1" w:styleId="a6">
    <w:basedOn w:val="TableNormalf3"/>
    <w:pPr>
      <w:spacing w:after="0" w:line="240" w:lineRule="auto"/>
    </w:pPr>
    <w:tblPr>
      <w:tblStyleRowBandSize w:val="1"/>
      <w:tblStyleColBandSize w:val="1"/>
      <w:tblCellMar>
        <w:left w:w="108" w:type="dxa"/>
        <w:right w:w="108" w:type="dxa"/>
      </w:tblCellMar>
    </w:tblPr>
  </w:style>
  <w:style w:type="table" w:customStyle="1" w:styleId="a7">
    <w:basedOn w:val="TableNormalf2"/>
    <w:pPr>
      <w:spacing w:after="0" w:line="240" w:lineRule="auto"/>
    </w:pPr>
    <w:tblPr>
      <w:tblStyleRowBandSize w:val="1"/>
      <w:tblStyleColBandSize w:val="1"/>
      <w:tblCellMar>
        <w:left w:w="108" w:type="dxa"/>
        <w:right w:w="108" w:type="dxa"/>
      </w:tblCellMar>
    </w:tblPr>
  </w:style>
  <w:style w:type="table" w:customStyle="1" w:styleId="a8">
    <w:basedOn w:val="TableNormalf2"/>
    <w:pPr>
      <w:spacing w:after="0" w:line="240" w:lineRule="auto"/>
    </w:pPr>
    <w:tblPr>
      <w:tblStyleRowBandSize w:val="1"/>
      <w:tblStyleColBandSize w:val="1"/>
      <w:tblCellMar>
        <w:left w:w="108" w:type="dxa"/>
        <w:right w:w="108" w:type="dxa"/>
      </w:tblCellMar>
    </w:tblPr>
  </w:style>
  <w:style w:type="table" w:customStyle="1" w:styleId="a9">
    <w:basedOn w:val="TableNormalf2"/>
    <w:pPr>
      <w:spacing w:after="0" w:line="240" w:lineRule="auto"/>
    </w:pPr>
    <w:tblPr>
      <w:tblStyleRowBandSize w:val="1"/>
      <w:tblStyleColBandSize w:val="1"/>
      <w:tblCellMar>
        <w:left w:w="108" w:type="dxa"/>
        <w:right w:w="108" w:type="dxa"/>
      </w:tblCellMar>
    </w:tblPr>
  </w:style>
  <w:style w:type="table" w:customStyle="1" w:styleId="aa">
    <w:basedOn w:val="TableNormalf2"/>
    <w:pPr>
      <w:spacing w:after="0" w:line="240" w:lineRule="auto"/>
    </w:pPr>
    <w:tblPr>
      <w:tblStyleRowBandSize w:val="1"/>
      <w:tblStyleColBandSize w:val="1"/>
      <w:tblCellMar>
        <w:left w:w="108" w:type="dxa"/>
        <w:right w:w="108" w:type="dxa"/>
      </w:tblCellMar>
    </w:tblPr>
  </w:style>
  <w:style w:type="table" w:customStyle="1" w:styleId="ab">
    <w:basedOn w:val="TableNormalf1"/>
    <w:pPr>
      <w:spacing w:after="0" w:line="240" w:lineRule="auto"/>
    </w:pPr>
    <w:tblPr>
      <w:tblStyleRowBandSize w:val="1"/>
      <w:tblStyleColBandSize w:val="1"/>
      <w:tblCellMar>
        <w:left w:w="108" w:type="dxa"/>
        <w:right w:w="108" w:type="dxa"/>
      </w:tblCellMar>
    </w:tblPr>
  </w:style>
  <w:style w:type="table" w:customStyle="1" w:styleId="ac">
    <w:basedOn w:val="TableNormalf1"/>
    <w:pPr>
      <w:spacing w:after="0" w:line="240" w:lineRule="auto"/>
    </w:pPr>
    <w:tblPr>
      <w:tblStyleRowBandSize w:val="1"/>
      <w:tblStyleColBandSize w:val="1"/>
      <w:tblCellMar>
        <w:left w:w="108" w:type="dxa"/>
        <w:right w:w="108" w:type="dxa"/>
      </w:tblCellMar>
    </w:tblPr>
  </w:style>
  <w:style w:type="table" w:customStyle="1" w:styleId="ad">
    <w:basedOn w:val="TableNormalf1"/>
    <w:pPr>
      <w:spacing w:after="0" w:line="240" w:lineRule="auto"/>
    </w:pPr>
    <w:tblPr>
      <w:tblStyleRowBandSize w:val="1"/>
      <w:tblStyleColBandSize w:val="1"/>
      <w:tblCellMar>
        <w:left w:w="108" w:type="dxa"/>
        <w:right w:w="108" w:type="dxa"/>
      </w:tblCellMar>
    </w:tblPr>
  </w:style>
  <w:style w:type="table" w:customStyle="1" w:styleId="ae">
    <w:basedOn w:val="TableNormalf1"/>
    <w:pPr>
      <w:spacing w:after="0" w:line="240" w:lineRule="auto"/>
    </w:pPr>
    <w:tblPr>
      <w:tblStyleRowBandSize w:val="1"/>
      <w:tblStyleColBandSize w:val="1"/>
      <w:tblCellMar>
        <w:left w:w="108" w:type="dxa"/>
        <w:right w:w="108" w:type="dxa"/>
      </w:tblCellMar>
    </w:tblPr>
  </w:style>
  <w:style w:type="table" w:customStyle="1" w:styleId="af">
    <w:basedOn w:val="TableNormalf0"/>
    <w:pPr>
      <w:spacing w:after="0" w:line="240" w:lineRule="auto"/>
    </w:pPr>
    <w:tblPr>
      <w:tblStyleRowBandSize w:val="1"/>
      <w:tblStyleColBandSize w:val="1"/>
      <w:tblCellMar>
        <w:left w:w="108" w:type="dxa"/>
        <w:right w:w="108" w:type="dxa"/>
      </w:tblCellMar>
    </w:tblPr>
  </w:style>
  <w:style w:type="table" w:customStyle="1" w:styleId="af0">
    <w:basedOn w:val="TableNormalf0"/>
    <w:pPr>
      <w:spacing w:after="0" w:line="240" w:lineRule="auto"/>
    </w:pPr>
    <w:tblPr>
      <w:tblStyleRowBandSize w:val="1"/>
      <w:tblStyleColBandSize w:val="1"/>
      <w:tblCellMar>
        <w:left w:w="108" w:type="dxa"/>
        <w:right w:w="108" w:type="dxa"/>
      </w:tblCellMar>
    </w:tblPr>
  </w:style>
  <w:style w:type="table" w:customStyle="1" w:styleId="af1">
    <w:basedOn w:val="TableNormalf0"/>
    <w:pPr>
      <w:spacing w:after="0" w:line="240" w:lineRule="auto"/>
    </w:pPr>
    <w:tblPr>
      <w:tblStyleRowBandSize w:val="1"/>
      <w:tblStyleColBandSize w:val="1"/>
      <w:tblCellMar>
        <w:left w:w="108" w:type="dxa"/>
        <w:right w:w="108" w:type="dxa"/>
      </w:tblCellMar>
    </w:tblPr>
  </w:style>
  <w:style w:type="table" w:customStyle="1" w:styleId="af2">
    <w:basedOn w:val="TableNormalf0"/>
    <w:pPr>
      <w:spacing w:after="0" w:line="240" w:lineRule="auto"/>
    </w:pPr>
    <w:tblPr>
      <w:tblStyleRowBandSize w:val="1"/>
      <w:tblStyleColBandSize w:val="1"/>
      <w:tblCellMar>
        <w:left w:w="108" w:type="dxa"/>
        <w:right w:w="108" w:type="dxa"/>
      </w:tblCellMar>
    </w:tblPr>
  </w:style>
  <w:style w:type="table" w:customStyle="1" w:styleId="af3">
    <w:basedOn w:val="TableNormalf"/>
    <w:pPr>
      <w:spacing w:after="0" w:line="240" w:lineRule="auto"/>
    </w:pPr>
    <w:tblPr>
      <w:tblStyleRowBandSize w:val="1"/>
      <w:tblStyleColBandSize w:val="1"/>
      <w:tblCellMar>
        <w:left w:w="108" w:type="dxa"/>
        <w:right w:w="108" w:type="dxa"/>
      </w:tblCellMar>
    </w:tblPr>
  </w:style>
  <w:style w:type="table" w:customStyle="1" w:styleId="af4">
    <w:basedOn w:val="TableNormalf"/>
    <w:pPr>
      <w:spacing w:after="0" w:line="240" w:lineRule="auto"/>
    </w:pPr>
    <w:tblPr>
      <w:tblStyleRowBandSize w:val="1"/>
      <w:tblStyleColBandSize w:val="1"/>
      <w:tblCellMar>
        <w:left w:w="108" w:type="dxa"/>
        <w:right w:w="108" w:type="dxa"/>
      </w:tblCellMar>
    </w:tblPr>
  </w:style>
  <w:style w:type="table" w:customStyle="1" w:styleId="af5">
    <w:basedOn w:val="TableNormalf"/>
    <w:pPr>
      <w:spacing w:after="0" w:line="240" w:lineRule="auto"/>
    </w:pPr>
    <w:tblPr>
      <w:tblStyleRowBandSize w:val="1"/>
      <w:tblStyleColBandSize w:val="1"/>
      <w:tblCellMar>
        <w:left w:w="108" w:type="dxa"/>
        <w:right w:w="108" w:type="dxa"/>
      </w:tblCellMar>
    </w:tblPr>
  </w:style>
  <w:style w:type="table" w:customStyle="1" w:styleId="af6">
    <w:basedOn w:val="TableNormalf"/>
    <w:pPr>
      <w:spacing w:after="0" w:line="240" w:lineRule="auto"/>
    </w:pPr>
    <w:tblPr>
      <w:tblStyleRowBandSize w:val="1"/>
      <w:tblStyleColBandSize w:val="1"/>
      <w:tblCellMar>
        <w:left w:w="108" w:type="dxa"/>
        <w:right w:w="108" w:type="dxa"/>
      </w:tblCellMar>
    </w:tblPr>
  </w:style>
  <w:style w:type="table" w:customStyle="1" w:styleId="af7">
    <w:basedOn w:val="TableNormale"/>
    <w:pPr>
      <w:spacing w:after="0" w:line="240" w:lineRule="auto"/>
    </w:pPr>
    <w:tblPr>
      <w:tblStyleRowBandSize w:val="1"/>
      <w:tblStyleColBandSize w:val="1"/>
      <w:tblCellMar>
        <w:left w:w="108" w:type="dxa"/>
        <w:right w:w="108" w:type="dxa"/>
      </w:tblCellMar>
    </w:tblPr>
  </w:style>
  <w:style w:type="table" w:customStyle="1" w:styleId="af8">
    <w:basedOn w:val="TableNormale"/>
    <w:pPr>
      <w:spacing w:after="0" w:line="240" w:lineRule="auto"/>
    </w:pPr>
    <w:tblPr>
      <w:tblStyleRowBandSize w:val="1"/>
      <w:tblStyleColBandSize w:val="1"/>
      <w:tblCellMar>
        <w:left w:w="108" w:type="dxa"/>
        <w:right w:w="108" w:type="dxa"/>
      </w:tblCellMar>
    </w:tblPr>
  </w:style>
  <w:style w:type="table" w:customStyle="1" w:styleId="af9">
    <w:basedOn w:val="TableNormale"/>
    <w:pPr>
      <w:spacing w:after="0" w:line="240" w:lineRule="auto"/>
    </w:pPr>
    <w:tblPr>
      <w:tblStyleRowBandSize w:val="1"/>
      <w:tblStyleColBandSize w:val="1"/>
      <w:tblCellMar>
        <w:left w:w="108" w:type="dxa"/>
        <w:right w:w="108" w:type="dxa"/>
      </w:tblCellMar>
    </w:tblPr>
  </w:style>
  <w:style w:type="table" w:customStyle="1" w:styleId="afa">
    <w:basedOn w:val="TableNormale"/>
    <w:pPr>
      <w:spacing w:after="0" w:line="240" w:lineRule="auto"/>
    </w:pPr>
    <w:tblPr>
      <w:tblStyleRowBandSize w:val="1"/>
      <w:tblStyleColBandSize w:val="1"/>
      <w:tblCellMar>
        <w:left w:w="108" w:type="dxa"/>
        <w:right w:w="108" w:type="dxa"/>
      </w:tblCellMar>
    </w:tblPr>
  </w:style>
  <w:style w:type="table" w:customStyle="1" w:styleId="afb">
    <w:basedOn w:val="TableNormald"/>
    <w:pPr>
      <w:spacing w:after="0" w:line="240" w:lineRule="auto"/>
    </w:pPr>
    <w:tblPr>
      <w:tblStyleRowBandSize w:val="1"/>
      <w:tblStyleColBandSize w:val="1"/>
      <w:tblCellMar>
        <w:left w:w="108" w:type="dxa"/>
        <w:right w:w="108" w:type="dxa"/>
      </w:tblCellMar>
    </w:tblPr>
  </w:style>
  <w:style w:type="table" w:customStyle="1" w:styleId="afc">
    <w:basedOn w:val="TableNormald"/>
    <w:pPr>
      <w:spacing w:after="0" w:line="240" w:lineRule="auto"/>
    </w:pPr>
    <w:tblPr>
      <w:tblStyleRowBandSize w:val="1"/>
      <w:tblStyleColBandSize w:val="1"/>
      <w:tblCellMar>
        <w:left w:w="108" w:type="dxa"/>
        <w:right w:w="108" w:type="dxa"/>
      </w:tblCellMar>
    </w:tblPr>
  </w:style>
  <w:style w:type="table" w:customStyle="1" w:styleId="afd">
    <w:basedOn w:val="TableNormald"/>
    <w:pPr>
      <w:spacing w:after="0" w:line="240" w:lineRule="auto"/>
    </w:pPr>
    <w:tblPr>
      <w:tblStyleRowBandSize w:val="1"/>
      <w:tblStyleColBandSize w:val="1"/>
      <w:tblCellMar>
        <w:left w:w="108" w:type="dxa"/>
        <w:right w:w="108" w:type="dxa"/>
      </w:tblCellMar>
    </w:tblPr>
  </w:style>
  <w:style w:type="table" w:customStyle="1" w:styleId="afe">
    <w:basedOn w:val="TableNormald"/>
    <w:pPr>
      <w:spacing w:after="0" w:line="240" w:lineRule="auto"/>
    </w:pPr>
    <w:tblPr>
      <w:tblStyleRowBandSize w:val="1"/>
      <w:tblStyleColBandSize w:val="1"/>
      <w:tblCellMar>
        <w:left w:w="108" w:type="dxa"/>
        <w:right w:w="108" w:type="dxa"/>
      </w:tblCellMar>
    </w:tblPr>
  </w:style>
  <w:style w:type="table" w:customStyle="1" w:styleId="aff">
    <w:basedOn w:val="TableNormalc"/>
    <w:pPr>
      <w:spacing w:after="0" w:line="240" w:lineRule="auto"/>
    </w:pPr>
    <w:tblPr>
      <w:tblStyleRowBandSize w:val="1"/>
      <w:tblStyleColBandSize w:val="1"/>
      <w:tblCellMar>
        <w:left w:w="108" w:type="dxa"/>
        <w:right w:w="108" w:type="dxa"/>
      </w:tblCellMar>
    </w:tblPr>
  </w:style>
  <w:style w:type="table" w:customStyle="1" w:styleId="aff0">
    <w:basedOn w:val="TableNormalc"/>
    <w:pPr>
      <w:spacing w:after="0" w:line="240" w:lineRule="auto"/>
    </w:pPr>
    <w:tblPr>
      <w:tblStyleRowBandSize w:val="1"/>
      <w:tblStyleColBandSize w:val="1"/>
      <w:tblCellMar>
        <w:left w:w="108" w:type="dxa"/>
        <w:right w:w="108" w:type="dxa"/>
      </w:tblCellMar>
    </w:tblPr>
  </w:style>
  <w:style w:type="table" w:customStyle="1" w:styleId="aff1">
    <w:basedOn w:val="TableNormalc"/>
    <w:pPr>
      <w:spacing w:after="0" w:line="240" w:lineRule="auto"/>
    </w:pPr>
    <w:tblPr>
      <w:tblStyleRowBandSize w:val="1"/>
      <w:tblStyleColBandSize w:val="1"/>
      <w:tblCellMar>
        <w:left w:w="108" w:type="dxa"/>
        <w:right w:w="108" w:type="dxa"/>
      </w:tblCellMar>
    </w:tblPr>
  </w:style>
  <w:style w:type="table" w:customStyle="1" w:styleId="aff2">
    <w:basedOn w:val="TableNormalc"/>
    <w:pPr>
      <w:spacing w:after="0" w:line="240" w:lineRule="auto"/>
    </w:pPr>
    <w:tblPr>
      <w:tblStyleRowBandSize w:val="1"/>
      <w:tblStyleColBandSize w:val="1"/>
      <w:tblCellMar>
        <w:left w:w="108" w:type="dxa"/>
        <w:right w:w="108" w:type="dxa"/>
      </w:tblCellMar>
    </w:tblPr>
  </w:style>
  <w:style w:type="table" w:customStyle="1" w:styleId="aff3">
    <w:basedOn w:val="TableNormalb"/>
    <w:pPr>
      <w:spacing w:after="0" w:line="240" w:lineRule="auto"/>
    </w:pPr>
    <w:tblPr>
      <w:tblStyleRowBandSize w:val="1"/>
      <w:tblStyleColBandSize w:val="1"/>
      <w:tblCellMar>
        <w:left w:w="108" w:type="dxa"/>
        <w:right w:w="108" w:type="dxa"/>
      </w:tblCellMar>
    </w:tblPr>
  </w:style>
  <w:style w:type="table" w:customStyle="1" w:styleId="aff4">
    <w:basedOn w:val="TableNormalb"/>
    <w:pPr>
      <w:spacing w:after="0" w:line="240" w:lineRule="auto"/>
    </w:pPr>
    <w:tblPr>
      <w:tblStyleRowBandSize w:val="1"/>
      <w:tblStyleColBandSize w:val="1"/>
      <w:tblCellMar>
        <w:left w:w="108" w:type="dxa"/>
        <w:right w:w="108" w:type="dxa"/>
      </w:tblCellMar>
    </w:tblPr>
  </w:style>
  <w:style w:type="table" w:customStyle="1" w:styleId="aff5">
    <w:basedOn w:val="TableNormalb"/>
    <w:pPr>
      <w:spacing w:after="0" w:line="240" w:lineRule="auto"/>
    </w:pPr>
    <w:tblPr>
      <w:tblStyleRowBandSize w:val="1"/>
      <w:tblStyleColBandSize w:val="1"/>
      <w:tblCellMar>
        <w:left w:w="108" w:type="dxa"/>
        <w:right w:w="108" w:type="dxa"/>
      </w:tblCellMar>
    </w:tblPr>
  </w:style>
  <w:style w:type="table" w:customStyle="1" w:styleId="aff6">
    <w:basedOn w:val="TableNormalb"/>
    <w:pPr>
      <w:spacing w:after="0" w:line="240" w:lineRule="auto"/>
    </w:pPr>
    <w:tblPr>
      <w:tblStyleRowBandSize w:val="1"/>
      <w:tblStyleColBandSize w:val="1"/>
      <w:tblCellMar>
        <w:left w:w="108" w:type="dxa"/>
        <w:right w:w="108" w:type="dxa"/>
      </w:tblCellMar>
    </w:tblPr>
  </w:style>
  <w:style w:type="table" w:customStyle="1" w:styleId="aff7">
    <w:basedOn w:val="TableNormala"/>
    <w:pPr>
      <w:spacing w:after="0" w:line="240" w:lineRule="auto"/>
    </w:pPr>
    <w:tblPr>
      <w:tblStyleRowBandSize w:val="1"/>
      <w:tblStyleColBandSize w:val="1"/>
      <w:tblCellMar>
        <w:left w:w="108" w:type="dxa"/>
        <w:right w:w="108" w:type="dxa"/>
      </w:tblCellMar>
    </w:tblPr>
  </w:style>
  <w:style w:type="table" w:customStyle="1" w:styleId="aff8">
    <w:basedOn w:val="TableNormala"/>
    <w:pPr>
      <w:spacing w:after="0" w:line="240" w:lineRule="auto"/>
    </w:pPr>
    <w:tblPr>
      <w:tblStyleRowBandSize w:val="1"/>
      <w:tblStyleColBandSize w:val="1"/>
      <w:tblCellMar>
        <w:left w:w="108" w:type="dxa"/>
        <w:right w:w="108" w:type="dxa"/>
      </w:tblCellMar>
    </w:tblPr>
  </w:style>
  <w:style w:type="table" w:customStyle="1" w:styleId="aff9">
    <w:basedOn w:val="TableNormala"/>
    <w:pPr>
      <w:spacing w:after="0" w:line="240" w:lineRule="auto"/>
    </w:pPr>
    <w:tblPr>
      <w:tblStyleRowBandSize w:val="1"/>
      <w:tblStyleColBandSize w:val="1"/>
      <w:tblCellMar>
        <w:left w:w="108" w:type="dxa"/>
        <w:right w:w="108" w:type="dxa"/>
      </w:tblCellMar>
    </w:tblPr>
  </w:style>
  <w:style w:type="table" w:customStyle="1" w:styleId="affa">
    <w:basedOn w:val="TableNormala"/>
    <w:pPr>
      <w:spacing w:after="0" w:line="240" w:lineRule="auto"/>
    </w:pPr>
    <w:tblPr>
      <w:tblStyleRowBandSize w:val="1"/>
      <w:tblStyleColBandSize w:val="1"/>
      <w:tblCellMar>
        <w:left w:w="108" w:type="dxa"/>
        <w:right w:w="108" w:type="dxa"/>
      </w:tblCellMar>
    </w:tblPr>
  </w:style>
  <w:style w:type="table" w:customStyle="1" w:styleId="affb">
    <w:basedOn w:val="TableNormala"/>
    <w:pPr>
      <w:spacing w:after="0" w:line="240" w:lineRule="auto"/>
    </w:pPr>
    <w:tblPr>
      <w:tblStyleRowBandSize w:val="1"/>
      <w:tblStyleColBandSize w:val="1"/>
      <w:tblCellMar>
        <w:left w:w="108" w:type="dxa"/>
        <w:right w:w="108" w:type="dxa"/>
      </w:tblCellMar>
    </w:tblPr>
  </w:style>
  <w:style w:type="table" w:customStyle="1" w:styleId="affc">
    <w:basedOn w:val="TableNormala"/>
    <w:pPr>
      <w:spacing w:after="0" w:line="240" w:lineRule="auto"/>
    </w:pPr>
    <w:tblPr>
      <w:tblStyleRowBandSize w:val="1"/>
      <w:tblStyleColBandSize w:val="1"/>
      <w:tblCellMar>
        <w:left w:w="108" w:type="dxa"/>
        <w:right w:w="108" w:type="dxa"/>
      </w:tblCellMar>
    </w:tblPr>
  </w:style>
  <w:style w:type="table" w:customStyle="1" w:styleId="affd">
    <w:basedOn w:val="TableNormala"/>
    <w:pPr>
      <w:spacing w:after="0" w:line="240" w:lineRule="auto"/>
    </w:pPr>
    <w:tblPr>
      <w:tblStyleRowBandSize w:val="1"/>
      <w:tblStyleColBandSize w:val="1"/>
      <w:tblCellMar>
        <w:left w:w="108" w:type="dxa"/>
        <w:right w:w="108" w:type="dxa"/>
      </w:tblCellMar>
    </w:tblPr>
  </w:style>
  <w:style w:type="table" w:customStyle="1" w:styleId="affe">
    <w:basedOn w:val="TableNormala"/>
    <w:pPr>
      <w:spacing w:after="0" w:line="240" w:lineRule="auto"/>
    </w:pPr>
    <w:tblPr>
      <w:tblStyleRowBandSize w:val="1"/>
      <w:tblStyleColBandSize w:val="1"/>
      <w:tblCellMar>
        <w:left w:w="108" w:type="dxa"/>
        <w:right w:w="108" w:type="dxa"/>
      </w:tblCellMar>
    </w:tblPr>
  </w:style>
  <w:style w:type="table" w:customStyle="1" w:styleId="afff">
    <w:basedOn w:val="TableNormala"/>
    <w:pPr>
      <w:spacing w:after="0" w:line="240" w:lineRule="auto"/>
    </w:pPr>
    <w:tblPr>
      <w:tblStyleRowBandSize w:val="1"/>
      <w:tblStyleColBandSize w:val="1"/>
      <w:tblCellMar>
        <w:left w:w="108" w:type="dxa"/>
        <w:right w:w="108" w:type="dxa"/>
      </w:tblCellMar>
    </w:tblPr>
  </w:style>
  <w:style w:type="table" w:customStyle="1" w:styleId="afff0">
    <w:basedOn w:val="TableNormala"/>
    <w:pPr>
      <w:spacing w:after="0" w:line="240" w:lineRule="auto"/>
    </w:pPr>
    <w:tblPr>
      <w:tblStyleRowBandSize w:val="1"/>
      <w:tblStyleColBandSize w:val="1"/>
      <w:tblCellMar>
        <w:left w:w="108" w:type="dxa"/>
        <w:right w:w="108" w:type="dxa"/>
      </w:tblCellMar>
    </w:tblPr>
  </w:style>
  <w:style w:type="table" w:customStyle="1" w:styleId="afff1">
    <w:basedOn w:val="TableNormala"/>
    <w:pPr>
      <w:spacing w:after="0" w:line="240" w:lineRule="auto"/>
    </w:pPr>
    <w:tblPr>
      <w:tblStyleRowBandSize w:val="1"/>
      <w:tblStyleColBandSize w:val="1"/>
      <w:tblCellMar>
        <w:left w:w="108" w:type="dxa"/>
        <w:right w:w="108" w:type="dxa"/>
      </w:tblCellMar>
    </w:tblPr>
  </w:style>
  <w:style w:type="table" w:customStyle="1" w:styleId="afff2">
    <w:basedOn w:val="TableNormala"/>
    <w:pPr>
      <w:spacing w:after="0" w:line="240" w:lineRule="auto"/>
    </w:pPr>
    <w:tblPr>
      <w:tblStyleRowBandSize w:val="1"/>
      <w:tblStyleColBandSize w:val="1"/>
      <w:tblCellMar>
        <w:left w:w="108" w:type="dxa"/>
        <w:right w:w="108" w:type="dxa"/>
      </w:tblCellMar>
    </w:tblPr>
  </w:style>
  <w:style w:type="table" w:customStyle="1" w:styleId="afff3">
    <w:basedOn w:val="TableNormala"/>
    <w:pPr>
      <w:spacing w:after="0" w:line="240" w:lineRule="auto"/>
    </w:pPr>
    <w:tblPr>
      <w:tblStyleRowBandSize w:val="1"/>
      <w:tblStyleColBandSize w:val="1"/>
      <w:tblCellMar>
        <w:left w:w="108" w:type="dxa"/>
        <w:right w:w="108" w:type="dxa"/>
      </w:tblCellMar>
    </w:tblPr>
  </w:style>
  <w:style w:type="table" w:customStyle="1" w:styleId="afff4">
    <w:basedOn w:val="TableNormala"/>
    <w:pPr>
      <w:spacing w:after="0" w:line="240" w:lineRule="auto"/>
    </w:pPr>
    <w:tblPr>
      <w:tblStyleRowBandSize w:val="1"/>
      <w:tblStyleColBandSize w:val="1"/>
      <w:tblCellMar>
        <w:left w:w="108" w:type="dxa"/>
        <w:right w:w="108" w:type="dxa"/>
      </w:tblCellMar>
    </w:tblPr>
  </w:style>
  <w:style w:type="table" w:customStyle="1" w:styleId="afff5">
    <w:basedOn w:val="TableNormala"/>
    <w:pPr>
      <w:spacing w:after="0" w:line="240" w:lineRule="auto"/>
    </w:pPr>
    <w:tblPr>
      <w:tblStyleRowBandSize w:val="1"/>
      <w:tblStyleColBandSize w:val="1"/>
      <w:tblCellMar>
        <w:left w:w="108" w:type="dxa"/>
        <w:right w:w="108" w:type="dxa"/>
      </w:tblCellMar>
    </w:tblPr>
  </w:style>
  <w:style w:type="table" w:customStyle="1" w:styleId="afff6">
    <w:basedOn w:val="TableNormala"/>
    <w:pPr>
      <w:spacing w:after="0" w:line="240" w:lineRule="auto"/>
    </w:pPr>
    <w:tblPr>
      <w:tblStyleRowBandSize w:val="1"/>
      <w:tblStyleColBandSize w:val="1"/>
      <w:tblCellMar>
        <w:left w:w="108" w:type="dxa"/>
        <w:right w:w="108" w:type="dxa"/>
      </w:tblCellMar>
    </w:tblPr>
  </w:style>
  <w:style w:type="table" w:customStyle="1" w:styleId="afff7">
    <w:basedOn w:val="TableNormala"/>
    <w:pPr>
      <w:spacing w:after="0" w:line="240" w:lineRule="auto"/>
    </w:pPr>
    <w:tblPr>
      <w:tblStyleRowBandSize w:val="1"/>
      <w:tblStyleColBandSize w:val="1"/>
      <w:tblCellMar>
        <w:left w:w="108" w:type="dxa"/>
        <w:right w:w="108" w:type="dxa"/>
      </w:tblCellMar>
    </w:tblPr>
  </w:style>
  <w:style w:type="table" w:customStyle="1" w:styleId="afff8">
    <w:basedOn w:val="TableNormala"/>
    <w:pPr>
      <w:spacing w:after="0" w:line="240" w:lineRule="auto"/>
    </w:pPr>
    <w:tblPr>
      <w:tblStyleRowBandSize w:val="1"/>
      <w:tblStyleColBandSize w:val="1"/>
      <w:tblCellMar>
        <w:left w:w="108" w:type="dxa"/>
        <w:right w:w="108" w:type="dxa"/>
      </w:tblCellMar>
    </w:tblPr>
  </w:style>
  <w:style w:type="table" w:customStyle="1" w:styleId="afff9">
    <w:basedOn w:val="TableNormala"/>
    <w:pPr>
      <w:spacing w:after="0" w:line="240" w:lineRule="auto"/>
    </w:pPr>
    <w:tblPr>
      <w:tblStyleRowBandSize w:val="1"/>
      <w:tblStyleColBandSize w:val="1"/>
      <w:tblCellMar>
        <w:left w:w="108" w:type="dxa"/>
        <w:right w:w="108" w:type="dxa"/>
      </w:tblCellMar>
    </w:tblPr>
  </w:style>
  <w:style w:type="table" w:customStyle="1" w:styleId="afffa">
    <w:basedOn w:val="TableNormala"/>
    <w:pPr>
      <w:spacing w:after="0" w:line="240" w:lineRule="auto"/>
    </w:pPr>
    <w:tblPr>
      <w:tblStyleRowBandSize w:val="1"/>
      <w:tblStyleColBandSize w:val="1"/>
      <w:tblCellMar>
        <w:left w:w="108" w:type="dxa"/>
        <w:right w:w="108" w:type="dxa"/>
      </w:tblCellMar>
    </w:tblPr>
  </w:style>
  <w:style w:type="table" w:customStyle="1" w:styleId="afffb">
    <w:basedOn w:val="TableNormala"/>
    <w:pPr>
      <w:spacing w:after="0" w:line="240" w:lineRule="auto"/>
    </w:pPr>
    <w:tblPr>
      <w:tblStyleRowBandSize w:val="1"/>
      <w:tblStyleColBandSize w:val="1"/>
      <w:tblCellMar>
        <w:left w:w="108" w:type="dxa"/>
        <w:right w:w="108" w:type="dxa"/>
      </w:tblCellMar>
    </w:tblPr>
  </w:style>
  <w:style w:type="table" w:customStyle="1" w:styleId="afffc">
    <w:basedOn w:val="TableNormala"/>
    <w:pPr>
      <w:spacing w:after="0" w:line="240" w:lineRule="auto"/>
    </w:pPr>
    <w:tblPr>
      <w:tblStyleRowBandSize w:val="1"/>
      <w:tblStyleColBandSize w:val="1"/>
      <w:tblCellMar>
        <w:left w:w="108" w:type="dxa"/>
        <w:right w:w="108" w:type="dxa"/>
      </w:tblCellMar>
    </w:tblPr>
  </w:style>
  <w:style w:type="table" w:customStyle="1" w:styleId="afffd">
    <w:basedOn w:val="TableNormal9"/>
    <w:pPr>
      <w:spacing w:after="0" w:line="240" w:lineRule="auto"/>
    </w:pPr>
    <w:tblPr>
      <w:tblStyleRowBandSize w:val="1"/>
      <w:tblStyleColBandSize w:val="1"/>
      <w:tblCellMar>
        <w:left w:w="108" w:type="dxa"/>
        <w:right w:w="108" w:type="dxa"/>
      </w:tblCellMar>
    </w:tblPr>
  </w:style>
  <w:style w:type="table" w:customStyle="1" w:styleId="afffe">
    <w:basedOn w:val="TableNormal9"/>
    <w:pPr>
      <w:spacing w:after="0" w:line="240" w:lineRule="auto"/>
    </w:pPr>
    <w:tblPr>
      <w:tblStyleRowBandSize w:val="1"/>
      <w:tblStyleColBandSize w:val="1"/>
      <w:tblCellMar>
        <w:left w:w="108" w:type="dxa"/>
        <w:right w:w="108" w:type="dxa"/>
      </w:tblCellMar>
    </w:tblPr>
  </w:style>
  <w:style w:type="table" w:customStyle="1" w:styleId="affff">
    <w:basedOn w:val="TableNormal9"/>
    <w:pPr>
      <w:spacing w:after="0" w:line="240" w:lineRule="auto"/>
    </w:pPr>
    <w:tblPr>
      <w:tblStyleRowBandSize w:val="1"/>
      <w:tblStyleColBandSize w:val="1"/>
      <w:tblCellMar>
        <w:left w:w="108" w:type="dxa"/>
        <w:right w:w="108" w:type="dxa"/>
      </w:tblCellMar>
    </w:tblPr>
  </w:style>
  <w:style w:type="table" w:customStyle="1" w:styleId="affff0">
    <w:basedOn w:val="TableNormal9"/>
    <w:pPr>
      <w:spacing w:after="0" w:line="240" w:lineRule="auto"/>
    </w:pPr>
    <w:tblPr>
      <w:tblStyleRowBandSize w:val="1"/>
      <w:tblStyleColBandSize w:val="1"/>
      <w:tblCellMar>
        <w:left w:w="108" w:type="dxa"/>
        <w:right w:w="108" w:type="dxa"/>
      </w:tblCellMar>
    </w:tblPr>
  </w:style>
  <w:style w:type="table" w:customStyle="1" w:styleId="affff1">
    <w:basedOn w:val="TableNormal9"/>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8"/>
    <w:pPr>
      <w:spacing w:after="0" w:line="240" w:lineRule="auto"/>
    </w:pPr>
    <w:tblPr>
      <w:tblStyleRowBandSize w:val="1"/>
      <w:tblStyleColBandSize w:val="1"/>
      <w:tblCellMar>
        <w:left w:w="108" w:type="dxa"/>
        <w:right w:w="108" w:type="dxa"/>
      </w:tblCellMar>
    </w:tblPr>
  </w:style>
  <w:style w:type="table" w:customStyle="1" w:styleId="affff3">
    <w:basedOn w:val="TableNormal8"/>
    <w:pPr>
      <w:spacing w:after="0" w:line="240" w:lineRule="auto"/>
    </w:pPr>
    <w:tblPr>
      <w:tblStyleRowBandSize w:val="1"/>
      <w:tblStyleColBandSize w:val="1"/>
      <w:tblCellMar>
        <w:left w:w="108" w:type="dxa"/>
        <w:right w:w="108" w:type="dxa"/>
      </w:tblCellMar>
    </w:tblPr>
  </w:style>
  <w:style w:type="table" w:customStyle="1" w:styleId="affff4">
    <w:basedOn w:val="TableNormal8"/>
    <w:pPr>
      <w:spacing w:after="0" w:line="240" w:lineRule="auto"/>
    </w:pPr>
    <w:tblPr>
      <w:tblStyleRowBandSize w:val="1"/>
      <w:tblStyleColBandSize w:val="1"/>
      <w:tblCellMar>
        <w:left w:w="108" w:type="dxa"/>
        <w:right w:w="108" w:type="dxa"/>
      </w:tblCellMar>
    </w:tblPr>
  </w:style>
  <w:style w:type="table" w:customStyle="1" w:styleId="affff5">
    <w:basedOn w:val="TableNormal8"/>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7"/>
    <w:pPr>
      <w:spacing w:after="0" w:line="240" w:lineRule="auto"/>
    </w:pPr>
    <w:tblPr>
      <w:tblStyleRowBandSize w:val="1"/>
      <w:tblStyleColBandSize w:val="1"/>
      <w:tblCellMar>
        <w:left w:w="108" w:type="dxa"/>
        <w:right w:w="108" w:type="dxa"/>
      </w:tblCellMar>
    </w:tblPr>
  </w:style>
  <w:style w:type="table" w:customStyle="1" w:styleId="affff7">
    <w:basedOn w:val="TableNormal7"/>
    <w:pPr>
      <w:spacing w:after="0" w:line="240" w:lineRule="auto"/>
    </w:pPr>
    <w:tblPr>
      <w:tblStyleRowBandSize w:val="1"/>
      <w:tblStyleColBandSize w:val="1"/>
      <w:tblCellMar>
        <w:left w:w="108" w:type="dxa"/>
        <w:right w:w="108" w:type="dxa"/>
      </w:tblCellMar>
    </w:tblPr>
  </w:style>
  <w:style w:type="table" w:customStyle="1" w:styleId="affff8">
    <w:basedOn w:val="TableNormal7"/>
    <w:pPr>
      <w:spacing w:after="0" w:line="240" w:lineRule="auto"/>
    </w:pPr>
    <w:tblPr>
      <w:tblStyleRowBandSize w:val="1"/>
      <w:tblStyleColBandSize w:val="1"/>
      <w:tblCellMar>
        <w:left w:w="108" w:type="dxa"/>
        <w:right w:w="108" w:type="dxa"/>
      </w:tblCellMar>
    </w:tblPr>
  </w:style>
  <w:style w:type="table" w:customStyle="1" w:styleId="affff9">
    <w:basedOn w:val="TableNormal7"/>
    <w:pPr>
      <w:spacing w:after="0" w:line="240" w:lineRule="auto"/>
    </w:pPr>
    <w:tblPr>
      <w:tblStyleRowBandSize w:val="1"/>
      <w:tblStyleColBandSize w:val="1"/>
      <w:tblCellMar>
        <w:left w:w="108" w:type="dxa"/>
        <w:right w:w="108" w:type="dxa"/>
      </w:tblCellMar>
    </w:tblPr>
  </w:style>
  <w:style w:type="table" w:customStyle="1" w:styleId="affffa">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6"/>
    <w:pPr>
      <w:spacing w:after="0" w:line="240" w:lineRule="auto"/>
    </w:pPr>
    <w:tblPr>
      <w:tblStyleRowBandSize w:val="1"/>
      <w:tblStyleColBandSize w:val="1"/>
      <w:tblCellMar>
        <w:left w:w="108" w:type="dxa"/>
        <w:right w:w="108" w:type="dxa"/>
      </w:tblCellMar>
    </w:tblPr>
  </w:style>
  <w:style w:type="table" w:customStyle="1" w:styleId="affffc">
    <w:basedOn w:val="TableNormal6"/>
    <w:pPr>
      <w:spacing w:after="0" w:line="240" w:lineRule="auto"/>
    </w:pPr>
    <w:tblPr>
      <w:tblStyleRowBandSize w:val="1"/>
      <w:tblStyleColBandSize w:val="1"/>
      <w:tblCellMar>
        <w:left w:w="108" w:type="dxa"/>
        <w:right w:w="108" w:type="dxa"/>
      </w:tblCellMar>
    </w:tblPr>
  </w:style>
  <w:style w:type="table" w:customStyle="1" w:styleId="affffd">
    <w:basedOn w:val="TableNormal6"/>
    <w:pPr>
      <w:spacing w:after="0" w:line="240" w:lineRule="auto"/>
    </w:pPr>
    <w:tblPr>
      <w:tblStyleRowBandSize w:val="1"/>
      <w:tblStyleColBandSize w:val="1"/>
      <w:tblCellMar>
        <w:left w:w="108" w:type="dxa"/>
        <w:right w:w="108" w:type="dxa"/>
      </w:tblCellMar>
    </w:tblPr>
  </w:style>
  <w:style w:type="table" w:customStyle="1" w:styleId="affffe">
    <w:basedOn w:val="TableNormal6"/>
    <w:pPr>
      <w:spacing w:after="0" w:line="240" w:lineRule="auto"/>
    </w:pPr>
    <w:tblPr>
      <w:tblStyleRowBandSize w:val="1"/>
      <w:tblStyleColBandSize w:val="1"/>
      <w:tblCellMar>
        <w:left w:w="108" w:type="dxa"/>
        <w:right w:w="108" w:type="dxa"/>
      </w:tblCellMar>
    </w:tblPr>
  </w:style>
  <w:style w:type="table" w:customStyle="1" w:styleId="afffff">
    <w:basedOn w:val="TableNormal5"/>
    <w:pPr>
      <w:spacing w:after="0" w:line="240" w:lineRule="auto"/>
    </w:pPr>
    <w:tblPr>
      <w:tblStyleRowBandSize w:val="1"/>
      <w:tblStyleColBandSize w:val="1"/>
      <w:tblCellMar>
        <w:left w:w="108" w:type="dxa"/>
        <w:right w:w="108" w:type="dxa"/>
      </w:tblCellMar>
    </w:tblPr>
  </w:style>
  <w:style w:type="table" w:customStyle="1" w:styleId="afffff0">
    <w:basedOn w:val="TableNormal5"/>
    <w:pPr>
      <w:spacing w:after="0" w:line="240" w:lineRule="auto"/>
    </w:pPr>
    <w:tblPr>
      <w:tblStyleRowBandSize w:val="1"/>
      <w:tblStyleColBandSize w:val="1"/>
      <w:tblCellMar>
        <w:left w:w="108" w:type="dxa"/>
        <w:right w:w="108" w:type="dxa"/>
      </w:tblCellMar>
    </w:tblPr>
  </w:style>
  <w:style w:type="table" w:customStyle="1" w:styleId="afffff1">
    <w:basedOn w:val="TableNormal5"/>
    <w:pPr>
      <w:spacing w:after="0" w:line="240" w:lineRule="auto"/>
    </w:pPr>
    <w:tblPr>
      <w:tblStyleRowBandSize w:val="1"/>
      <w:tblStyleColBandSize w:val="1"/>
      <w:tblCellMar>
        <w:left w:w="108" w:type="dxa"/>
        <w:right w:w="108" w:type="dxa"/>
      </w:tblCellMar>
    </w:tblPr>
  </w:style>
  <w:style w:type="table" w:customStyle="1" w:styleId="afffff2">
    <w:basedOn w:val="TableNormal5"/>
    <w:pPr>
      <w:spacing w:after="0" w:line="240" w:lineRule="auto"/>
    </w:pPr>
    <w:tblPr>
      <w:tblStyleRowBandSize w:val="1"/>
      <w:tblStyleColBandSize w:val="1"/>
      <w:tblCellMar>
        <w:left w:w="108" w:type="dxa"/>
        <w:right w:w="108" w:type="dxa"/>
      </w:tblCellMar>
    </w:tblPr>
  </w:style>
  <w:style w:type="table" w:customStyle="1" w:styleId="afffff3">
    <w:basedOn w:val="TableNormal5"/>
    <w:pPr>
      <w:spacing w:after="0" w:line="240" w:lineRule="auto"/>
    </w:pPr>
    <w:tblPr>
      <w:tblStyleRowBandSize w:val="1"/>
      <w:tblStyleColBandSize w:val="1"/>
      <w:tblCellMar>
        <w:left w:w="108" w:type="dxa"/>
        <w:right w:w="108" w:type="dxa"/>
      </w:tblCellMar>
    </w:tblPr>
  </w:style>
  <w:style w:type="table" w:customStyle="1" w:styleId="afffff4">
    <w:basedOn w:val="TableNormal4"/>
    <w:pPr>
      <w:spacing w:after="0" w:line="240" w:lineRule="auto"/>
    </w:pPr>
    <w:tblPr>
      <w:tblStyleRowBandSize w:val="1"/>
      <w:tblStyleColBandSize w:val="1"/>
      <w:tblCellMar>
        <w:left w:w="108" w:type="dxa"/>
        <w:right w:w="108" w:type="dxa"/>
      </w:tblCellMar>
    </w:tblPr>
  </w:style>
  <w:style w:type="table" w:customStyle="1" w:styleId="afffff5">
    <w:basedOn w:val="TableNormal4"/>
    <w:pPr>
      <w:spacing w:after="0" w:line="240" w:lineRule="auto"/>
    </w:pPr>
    <w:tblPr>
      <w:tblStyleRowBandSize w:val="1"/>
      <w:tblStyleColBandSize w:val="1"/>
      <w:tblCellMar>
        <w:left w:w="108" w:type="dxa"/>
        <w:right w:w="108" w:type="dxa"/>
      </w:tblCellMar>
    </w:tblPr>
  </w:style>
  <w:style w:type="table" w:customStyle="1" w:styleId="afffff6">
    <w:basedOn w:val="TableNormal4"/>
    <w:pPr>
      <w:spacing w:after="0" w:line="240" w:lineRule="auto"/>
    </w:pPr>
    <w:tblPr>
      <w:tblStyleRowBandSize w:val="1"/>
      <w:tblStyleColBandSize w:val="1"/>
      <w:tblCellMar>
        <w:left w:w="108" w:type="dxa"/>
        <w:right w:w="108" w:type="dxa"/>
      </w:tblCellMar>
    </w:tblPr>
  </w:style>
  <w:style w:type="table" w:customStyle="1" w:styleId="afffff7">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table" w:customStyle="1" w:styleId="afffff8">
    <w:basedOn w:val="TableNormal3"/>
    <w:pPr>
      <w:spacing w:after="0" w:line="240" w:lineRule="auto"/>
    </w:pPr>
    <w:tblPr>
      <w:tblStyleRowBandSize w:val="1"/>
      <w:tblStyleColBandSize w:val="1"/>
      <w:tblCellMar>
        <w:left w:w="108" w:type="dxa"/>
        <w:right w:w="108" w:type="dxa"/>
      </w:tblCellMar>
    </w:tblPr>
  </w:style>
  <w:style w:type="table" w:customStyle="1" w:styleId="afffff9">
    <w:basedOn w:val="TableNormal3"/>
    <w:pPr>
      <w:spacing w:after="0" w:line="240" w:lineRule="auto"/>
    </w:pPr>
    <w:tblPr>
      <w:tblStyleRowBandSize w:val="1"/>
      <w:tblStyleColBandSize w:val="1"/>
      <w:tblCellMar>
        <w:left w:w="108" w:type="dxa"/>
        <w:right w:w="108" w:type="dxa"/>
      </w:tblCellMar>
    </w:tblPr>
  </w:style>
  <w:style w:type="table" w:customStyle="1" w:styleId="afffffa">
    <w:basedOn w:val="TableNormal3"/>
    <w:pPr>
      <w:spacing w:after="0" w:line="240" w:lineRule="auto"/>
    </w:pPr>
    <w:tblPr>
      <w:tblStyleRowBandSize w:val="1"/>
      <w:tblStyleColBandSize w:val="1"/>
      <w:tblCellMar>
        <w:left w:w="108" w:type="dxa"/>
        <w:right w:w="108" w:type="dxa"/>
      </w:tblCellMar>
    </w:tblPr>
  </w:style>
  <w:style w:type="table" w:customStyle="1" w:styleId="afffffb">
    <w:basedOn w:val="TableNormal3"/>
    <w:pPr>
      <w:spacing w:after="0" w:line="240" w:lineRule="auto"/>
    </w:pPr>
    <w:tblPr>
      <w:tblStyleRowBandSize w:val="1"/>
      <w:tblStyleColBandSize w:val="1"/>
      <w:tblCellMar>
        <w:left w:w="108" w:type="dxa"/>
        <w:right w:w="108" w:type="dxa"/>
      </w:tblCellMar>
    </w:tblPr>
  </w:style>
  <w:style w:type="table" w:customStyle="1" w:styleId="afffffc">
    <w:basedOn w:val="TableNormal3"/>
    <w:pPr>
      <w:spacing w:after="0" w:line="240" w:lineRule="auto"/>
    </w:pPr>
    <w:tblPr>
      <w:tblStyleRowBandSize w:val="1"/>
      <w:tblStyleColBandSize w:val="1"/>
      <w:tblCellMar>
        <w:left w:w="108" w:type="dxa"/>
        <w:right w:w="108" w:type="dxa"/>
      </w:tblCellMar>
    </w:tblPr>
  </w:style>
  <w:style w:type="table" w:customStyle="1" w:styleId="afffffd">
    <w:basedOn w:val="TableNormal2"/>
    <w:pPr>
      <w:spacing w:after="0" w:line="240" w:lineRule="auto"/>
    </w:pPr>
    <w:tblPr>
      <w:tblStyleRowBandSize w:val="1"/>
      <w:tblStyleColBandSize w:val="1"/>
      <w:tblCellMar>
        <w:left w:w="108" w:type="dxa"/>
        <w:right w:w="108" w:type="dxa"/>
      </w:tblCellMar>
    </w:tblPr>
  </w:style>
  <w:style w:type="table" w:customStyle="1" w:styleId="afffffe">
    <w:basedOn w:val="TableNormal2"/>
    <w:pPr>
      <w:spacing w:after="0" w:line="240" w:lineRule="auto"/>
    </w:pPr>
    <w:tblPr>
      <w:tblStyleRowBandSize w:val="1"/>
      <w:tblStyleColBandSize w:val="1"/>
      <w:tblCellMar>
        <w:left w:w="108" w:type="dxa"/>
        <w:right w:w="108" w:type="dxa"/>
      </w:tblCellMar>
    </w:tblPr>
  </w:style>
  <w:style w:type="table" w:customStyle="1" w:styleId="affffff">
    <w:basedOn w:val="TableNormal2"/>
    <w:pPr>
      <w:spacing w:after="0" w:line="240" w:lineRule="auto"/>
    </w:pPr>
    <w:tblPr>
      <w:tblStyleRowBandSize w:val="1"/>
      <w:tblStyleColBandSize w:val="1"/>
      <w:tblCellMar>
        <w:left w:w="108" w:type="dxa"/>
        <w:right w:w="108" w:type="dxa"/>
      </w:tblCellMar>
    </w:tblPr>
  </w:style>
  <w:style w:type="table" w:customStyle="1" w:styleId="affffff0">
    <w:basedOn w:val="TableNormal2"/>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BF2B20"/>
    <w:rPr>
      <w:color w:val="605E5C"/>
      <w:shd w:val="clear" w:color="auto" w:fill="E1DFDD"/>
    </w:rPr>
  </w:style>
  <w:style w:type="table" w:customStyle="1" w:styleId="affffff1">
    <w:basedOn w:val="TableNormal1"/>
    <w:pPr>
      <w:spacing w:after="0" w:line="240" w:lineRule="auto"/>
    </w:pPr>
    <w:tblPr>
      <w:tblStyleRowBandSize w:val="1"/>
      <w:tblStyleColBandSize w:val="1"/>
      <w:tblCellMar>
        <w:left w:w="108" w:type="dxa"/>
        <w:right w:w="108" w:type="dxa"/>
      </w:tblCellMar>
    </w:tblPr>
  </w:style>
  <w:style w:type="table" w:customStyle="1" w:styleId="affffff2">
    <w:basedOn w:val="TableNormal1"/>
    <w:pPr>
      <w:spacing w:after="0" w:line="240" w:lineRule="auto"/>
    </w:pPr>
    <w:tblPr>
      <w:tblStyleRowBandSize w:val="1"/>
      <w:tblStyleColBandSize w:val="1"/>
      <w:tblCellMar>
        <w:left w:w="108" w:type="dxa"/>
        <w:right w:w="108" w:type="dxa"/>
      </w:tblCellMar>
    </w:tblPr>
  </w:style>
  <w:style w:type="table" w:customStyle="1" w:styleId="affffff3">
    <w:basedOn w:val="TableNormal1"/>
    <w:pPr>
      <w:spacing w:after="0" w:line="240" w:lineRule="auto"/>
    </w:pPr>
    <w:tblPr>
      <w:tblStyleRowBandSize w:val="1"/>
      <w:tblStyleColBandSize w:val="1"/>
      <w:tblCellMar>
        <w:left w:w="108" w:type="dxa"/>
        <w:right w:w="108" w:type="dxa"/>
      </w:tblCellMar>
    </w:tblPr>
  </w:style>
  <w:style w:type="table" w:customStyle="1" w:styleId="affffff4">
    <w:basedOn w:val="TableNormal1"/>
    <w:pPr>
      <w:spacing w:after="0" w:line="240" w:lineRule="auto"/>
    </w:pPr>
    <w:tblPr>
      <w:tblStyleRowBandSize w:val="1"/>
      <w:tblStyleColBandSize w:val="1"/>
      <w:tblCellMar>
        <w:left w:w="108" w:type="dxa"/>
        <w:right w:w="108" w:type="dxa"/>
      </w:tblCellMar>
    </w:tblPr>
  </w:style>
  <w:style w:type="table" w:customStyle="1" w:styleId="affffff5">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9">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6593">
      <w:bodyDiv w:val="1"/>
      <w:marLeft w:val="0"/>
      <w:marRight w:val="0"/>
      <w:marTop w:val="0"/>
      <w:marBottom w:val="0"/>
      <w:divBdr>
        <w:top w:val="none" w:sz="0" w:space="0" w:color="auto"/>
        <w:left w:val="none" w:sz="0" w:space="0" w:color="auto"/>
        <w:bottom w:val="none" w:sz="0" w:space="0" w:color="auto"/>
        <w:right w:val="none" w:sz="0" w:space="0" w:color="auto"/>
      </w:divBdr>
    </w:div>
    <w:div w:id="285628274">
      <w:bodyDiv w:val="1"/>
      <w:marLeft w:val="0"/>
      <w:marRight w:val="0"/>
      <w:marTop w:val="0"/>
      <w:marBottom w:val="0"/>
      <w:divBdr>
        <w:top w:val="none" w:sz="0" w:space="0" w:color="auto"/>
        <w:left w:val="none" w:sz="0" w:space="0" w:color="auto"/>
        <w:bottom w:val="none" w:sz="0" w:space="0" w:color="auto"/>
        <w:right w:val="none" w:sz="0" w:space="0" w:color="auto"/>
      </w:divBdr>
    </w:div>
    <w:div w:id="361977040">
      <w:bodyDiv w:val="1"/>
      <w:marLeft w:val="0"/>
      <w:marRight w:val="0"/>
      <w:marTop w:val="0"/>
      <w:marBottom w:val="0"/>
      <w:divBdr>
        <w:top w:val="none" w:sz="0" w:space="0" w:color="auto"/>
        <w:left w:val="none" w:sz="0" w:space="0" w:color="auto"/>
        <w:bottom w:val="none" w:sz="0" w:space="0" w:color="auto"/>
        <w:right w:val="none" w:sz="0" w:space="0" w:color="auto"/>
      </w:divBdr>
    </w:div>
    <w:div w:id="448668481">
      <w:bodyDiv w:val="1"/>
      <w:marLeft w:val="0"/>
      <w:marRight w:val="0"/>
      <w:marTop w:val="0"/>
      <w:marBottom w:val="0"/>
      <w:divBdr>
        <w:top w:val="none" w:sz="0" w:space="0" w:color="auto"/>
        <w:left w:val="none" w:sz="0" w:space="0" w:color="auto"/>
        <w:bottom w:val="none" w:sz="0" w:space="0" w:color="auto"/>
        <w:right w:val="none" w:sz="0" w:space="0" w:color="auto"/>
      </w:divBdr>
    </w:div>
    <w:div w:id="807212440">
      <w:bodyDiv w:val="1"/>
      <w:marLeft w:val="0"/>
      <w:marRight w:val="0"/>
      <w:marTop w:val="0"/>
      <w:marBottom w:val="0"/>
      <w:divBdr>
        <w:top w:val="none" w:sz="0" w:space="0" w:color="auto"/>
        <w:left w:val="none" w:sz="0" w:space="0" w:color="auto"/>
        <w:bottom w:val="none" w:sz="0" w:space="0" w:color="auto"/>
        <w:right w:val="none" w:sz="0" w:space="0" w:color="auto"/>
      </w:divBdr>
    </w:div>
    <w:div w:id="169280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CUJIBCCWaqx86kPIORt+9NNdA==">CgMxLjAyDmguYmEwYTd0Mmtwenc3MghoLmdqZGd4czIOaC50czRtdmhudm9qd2gyDmguc3UwanNzaWlna3BxMg5oLnMxdjduYTN6MXJwODIOaC54NGdvNXZwcnIxbWMyCWguMmV0OTJwMDIOaC41NzRqd2xlNHZ0bXoyDmguYmxmc29peTF6ZTBiMg5oLmxhOTRudmN6ZmZwczIOaC52dzdvd3k3OTg5aG0yDmguN2NvbG9hZWNnYnQxMg5oLmdtdGd2bHhycGs1djIOaC5haDFvNXd5a2JkaHUyDmguc3IxMGk0ZGZ3enh6Mg5oLmsxcDl3bjR3MXcwNzIOaC5zZnBlczE3MXRoOGwyDmguOThqaDJ5OG4yYmZ0OAByITFCdE4tYzdfZWhmazhQd1N1M1RnSjh1TFhTZGlFNzBK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52E50-99E5-4D68-9993-CAB1FAE9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7937</Words>
  <Characters>43659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2025-10-03T15:54:00Z</cp:lastPrinted>
  <dcterms:created xsi:type="dcterms:W3CDTF">2025-10-03T15:54:00Z</dcterms:created>
  <dcterms:modified xsi:type="dcterms:W3CDTF">2025-10-03T15:54:00Z</dcterms:modified>
</cp:coreProperties>
</file>