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bookmarkStart w:id="0" w:name="_GoBack"/>
      <w:bookmarkEnd w:id="0"/>
      <w:r w:rsidRPr="00D82507">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D82507">
        <w:rPr>
          <w:rFonts w:ascii="Palatino Linotype" w:eastAsia="Palatino Linotype" w:hAnsi="Palatino Linotype" w:cs="Palatino Linotype"/>
          <w:b/>
          <w:color w:val="000000" w:themeColor="text1"/>
        </w:rPr>
        <w:t>de fecha once</w:t>
      </w:r>
      <w:r w:rsidR="005D75A3">
        <w:rPr>
          <w:rFonts w:ascii="Palatino Linotype" w:eastAsia="Palatino Linotype" w:hAnsi="Palatino Linotype" w:cs="Palatino Linotype"/>
          <w:b/>
          <w:color w:val="000000" w:themeColor="text1"/>
        </w:rPr>
        <w:t xml:space="preserve"> (11)</w:t>
      </w:r>
      <w:r w:rsidRPr="00D82507">
        <w:rPr>
          <w:rFonts w:ascii="Palatino Linotype" w:eastAsia="Palatino Linotype" w:hAnsi="Palatino Linotype" w:cs="Palatino Linotype"/>
          <w:b/>
          <w:color w:val="000000" w:themeColor="text1"/>
        </w:rPr>
        <w:t xml:space="preserve"> de</w:t>
      </w:r>
      <w:r w:rsidR="00862342" w:rsidRPr="00D82507">
        <w:rPr>
          <w:rFonts w:ascii="Palatino Linotype" w:eastAsia="Palatino Linotype" w:hAnsi="Palatino Linotype" w:cs="Palatino Linotype"/>
          <w:b/>
          <w:color w:val="000000" w:themeColor="text1"/>
        </w:rPr>
        <w:t xml:space="preserve"> junio de dos mil veinticinco.</w:t>
      </w: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D82507">
        <w:rPr>
          <w:rFonts w:ascii="Palatino Linotype" w:eastAsia="Palatino Linotype" w:hAnsi="Palatino Linotype" w:cs="Palatino Linotype"/>
          <w:b/>
          <w:color w:val="000000" w:themeColor="text1"/>
        </w:rPr>
        <w:t>VISTO</w:t>
      </w:r>
      <w:r w:rsidRPr="00D82507">
        <w:rPr>
          <w:rFonts w:ascii="Palatino Linotype" w:eastAsia="Palatino Linotype" w:hAnsi="Palatino Linotype" w:cs="Palatino Linotype"/>
          <w:color w:val="000000" w:themeColor="text1"/>
        </w:rPr>
        <w:t xml:space="preserve"> los expedientes electrónicos formados con motivo de los Recursos de Revisión </w:t>
      </w:r>
      <w:r w:rsidRPr="00D82507">
        <w:rPr>
          <w:rFonts w:ascii="Palatino Linotype" w:eastAsia="Palatino Linotype" w:hAnsi="Palatino Linotype" w:cs="Palatino Linotype"/>
          <w:b/>
          <w:color w:val="000000" w:themeColor="text1"/>
        </w:rPr>
        <w:t>04853/INFOEM/IP/RR/2025, 04868/INFOEM/IP/RR/2025 y 05089/INFOEM/IP/RR/202</w:t>
      </w:r>
      <w:r w:rsidR="00EC0E31" w:rsidRPr="00D82507">
        <w:rPr>
          <w:rFonts w:ascii="Palatino Linotype" w:eastAsia="Palatino Linotype" w:hAnsi="Palatino Linotype" w:cs="Palatino Linotype"/>
          <w:b/>
          <w:color w:val="000000" w:themeColor="text1"/>
        </w:rPr>
        <w:t>5</w:t>
      </w:r>
      <w:r w:rsidRPr="00D82507">
        <w:rPr>
          <w:rFonts w:ascii="Palatino Linotype" w:eastAsia="Palatino Linotype" w:hAnsi="Palatino Linotype" w:cs="Palatino Linotype"/>
          <w:color w:val="000000" w:themeColor="text1"/>
        </w:rPr>
        <w:t>, promovidos por  </w:t>
      </w:r>
      <w:r w:rsidRPr="00D82507">
        <w:rPr>
          <w:rFonts w:ascii="Palatino Linotype" w:eastAsia="Palatino Linotype" w:hAnsi="Palatino Linotype" w:cs="Palatino Linotype"/>
          <w:b/>
          <w:bCs/>
          <w:color w:val="000000" w:themeColor="text1"/>
        </w:rPr>
        <w:t>una persona que no proporciona datos de identificación</w:t>
      </w:r>
      <w:r w:rsidRPr="00D82507">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D82507">
        <w:rPr>
          <w:rFonts w:ascii="Palatino Linotype" w:eastAsia="Palatino Linotype" w:hAnsi="Palatino Linotype" w:cs="Palatino Linotype"/>
          <w:b/>
          <w:color w:val="000000" w:themeColor="text1"/>
        </w:rPr>
        <w:t>EL RECURRENTE</w:t>
      </w:r>
      <w:r w:rsidRPr="00D82507">
        <w:rPr>
          <w:rFonts w:ascii="Palatino Linotype" w:eastAsia="Palatino Linotype" w:hAnsi="Palatino Linotype" w:cs="Palatino Linotype"/>
          <w:color w:val="000000" w:themeColor="text1"/>
        </w:rPr>
        <w:t xml:space="preserve">, en contra de las respuestas del </w:t>
      </w:r>
      <w:r w:rsidRPr="00D82507">
        <w:rPr>
          <w:rFonts w:ascii="Palatino Linotype" w:eastAsia="Palatino Linotype" w:hAnsi="Palatino Linotype" w:cs="Palatino Linotype"/>
          <w:b/>
          <w:color w:val="000000" w:themeColor="text1"/>
        </w:rPr>
        <w:t>Ayuntamiento de Zinacantepec</w:t>
      </w:r>
      <w:r w:rsidRPr="00D82507">
        <w:rPr>
          <w:rFonts w:ascii="Palatino Linotype" w:eastAsia="Palatino Linotype" w:hAnsi="Palatino Linotype" w:cs="Palatino Linotype"/>
          <w:color w:val="000000" w:themeColor="text1"/>
        </w:rPr>
        <w:t xml:space="preserve">, en adelante </w:t>
      </w:r>
      <w:r w:rsidRPr="00D82507">
        <w:rPr>
          <w:rFonts w:ascii="Palatino Linotype" w:eastAsia="Palatino Linotype" w:hAnsi="Palatino Linotype" w:cs="Palatino Linotype"/>
          <w:b/>
          <w:color w:val="000000" w:themeColor="text1"/>
        </w:rPr>
        <w:t>EL SUJETO OBLIGADO</w:t>
      </w:r>
      <w:r w:rsidRPr="00D82507">
        <w:rPr>
          <w:rFonts w:ascii="Palatino Linotype" w:eastAsia="Palatino Linotype" w:hAnsi="Palatino Linotype" w:cs="Palatino Linotype"/>
          <w:color w:val="000000" w:themeColor="text1"/>
        </w:rPr>
        <w:t>, se procede a dictar la presente resolución, con base en los siguientes:</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pacing w:line="360" w:lineRule="auto"/>
        <w:jc w:val="center"/>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A N T E C E D E N T E S</w:t>
      </w:r>
    </w:p>
    <w:p w:rsidR="00FA1D87" w:rsidRPr="00D82507" w:rsidRDefault="00FA1D87" w:rsidP="00783483">
      <w:pPr>
        <w:spacing w:line="360" w:lineRule="auto"/>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día </w:t>
      </w:r>
      <w:r w:rsidRPr="00D82507">
        <w:rPr>
          <w:rFonts w:ascii="Palatino Linotype" w:eastAsia="Palatino Linotype" w:hAnsi="Palatino Linotype" w:cs="Palatino Linotype"/>
          <w:b/>
          <w:color w:val="000000" w:themeColor="text1"/>
        </w:rPr>
        <w:t xml:space="preserve">veinte y veintiocho de marzo de dos mil veinticinco, </w:t>
      </w:r>
      <w:r w:rsidRPr="00D82507">
        <w:rPr>
          <w:rFonts w:ascii="Palatino Linotype" w:eastAsia="Palatino Linotype" w:hAnsi="Palatino Linotype" w:cs="Palatino Linotype"/>
          <w:color w:val="000000" w:themeColor="text1"/>
        </w:rPr>
        <w:t xml:space="preserve">se presentó ante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vía </w:t>
      </w:r>
      <w:r w:rsidRPr="00D82507">
        <w:rPr>
          <w:rFonts w:ascii="Palatino Linotype" w:eastAsia="Palatino Linotype" w:hAnsi="Palatino Linotype" w:cs="Palatino Linotype"/>
          <w:b/>
          <w:color w:val="000000" w:themeColor="text1"/>
        </w:rPr>
        <w:t>SAIMEX</w:t>
      </w:r>
      <w:r w:rsidRPr="00D82507">
        <w:rPr>
          <w:rFonts w:ascii="Palatino Linotype" w:eastAsia="Palatino Linotype" w:hAnsi="Palatino Linotype" w:cs="Palatino Linotype"/>
          <w:color w:val="000000" w:themeColor="text1"/>
        </w:rPr>
        <w:t>, las solicitudes de información pública registradas con los números</w:t>
      </w:r>
      <w:r w:rsidRPr="00D82507">
        <w:rPr>
          <w:rFonts w:ascii="Palatino Linotype" w:eastAsia="Palatino Linotype" w:hAnsi="Palatino Linotype" w:cs="Palatino Linotype"/>
          <w:b/>
          <w:color w:val="000000" w:themeColor="text1"/>
        </w:rPr>
        <w:t xml:space="preserve">  00076/ZINACANT/IP/2025, 00173/ZINACANT/IP/2025 y 00075/ZINACANT/IP/2025, </w:t>
      </w:r>
      <w:r w:rsidR="005D75A3">
        <w:rPr>
          <w:rFonts w:ascii="Palatino Linotype" w:eastAsia="Palatino Linotype" w:hAnsi="Palatino Linotype" w:cs="Palatino Linotype"/>
          <w:color w:val="000000" w:themeColor="text1"/>
        </w:rPr>
        <w:t>en la que</w:t>
      </w:r>
      <w:r w:rsidRPr="00D82507">
        <w:rPr>
          <w:rFonts w:ascii="Palatino Linotype" w:eastAsia="Palatino Linotype" w:hAnsi="Palatino Linotype" w:cs="Palatino Linotype"/>
          <w:color w:val="000000" w:themeColor="text1"/>
        </w:rPr>
        <w:t xml:space="preserve"> se solicitó la siguiente información:</w:t>
      </w:r>
    </w:p>
    <w:p w:rsidR="00EC0E31" w:rsidRPr="00D82507" w:rsidRDefault="00EC0E31" w:rsidP="00EC0E31">
      <w:pPr>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4389"/>
        <w:gridCol w:w="4390"/>
      </w:tblGrid>
      <w:tr w:rsidR="00783483" w:rsidRPr="00D82507" w:rsidTr="00FA1D87">
        <w:tc>
          <w:tcPr>
            <w:tcW w:w="4389" w:type="dxa"/>
          </w:tcPr>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Solicitud de información </w:t>
            </w:r>
          </w:p>
        </w:tc>
        <w:tc>
          <w:tcPr>
            <w:tcW w:w="4390" w:type="dxa"/>
          </w:tcPr>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Información solicitada </w:t>
            </w:r>
          </w:p>
        </w:tc>
      </w:tr>
      <w:tr w:rsidR="00783483" w:rsidRPr="00D82507" w:rsidTr="00FA1D87">
        <w:tc>
          <w:tcPr>
            <w:tcW w:w="4389" w:type="dxa"/>
          </w:tcPr>
          <w:p w:rsidR="00FA1D87" w:rsidRPr="00D82507" w:rsidRDefault="00FA1D87"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FA1D87" w:rsidRPr="00D82507" w:rsidRDefault="00FA1D87" w:rsidP="00783483">
            <w:pPr>
              <w:jc w:val="both"/>
              <w:rPr>
                <w:rFonts w:ascii="Palatino Linotype" w:eastAsia="Palatino Linotype" w:hAnsi="Palatino Linotype" w:cs="Palatino Linotype"/>
                <w:i/>
                <w:color w:val="000000" w:themeColor="text1"/>
              </w:rPr>
            </w:pPr>
          </w:p>
        </w:tc>
        <w:tc>
          <w:tcPr>
            <w:tcW w:w="4390" w:type="dxa"/>
          </w:tcPr>
          <w:p w:rsidR="00FA1D87" w:rsidRPr="00D82507" w:rsidRDefault="00737A69"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“SOLICITO LAS FACTURA DE PAGO PARA TRAER A "MARÍA JOSÉ", ESTA FERIA DEL TACO”</w:t>
            </w:r>
          </w:p>
        </w:tc>
      </w:tr>
      <w:tr w:rsidR="00783483" w:rsidRPr="00D82507" w:rsidTr="00FA1D87">
        <w:tc>
          <w:tcPr>
            <w:tcW w:w="4389" w:type="dxa"/>
          </w:tcPr>
          <w:p w:rsidR="00FA1D87" w:rsidRPr="00D82507" w:rsidRDefault="00FA1D87"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lastRenderedPageBreak/>
              <w:t>Solicitud 00173/ZINACANT/IP/2025</w:t>
            </w:r>
          </w:p>
          <w:p w:rsidR="00FA1D87" w:rsidRPr="00D82507" w:rsidRDefault="00FA1D87" w:rsidP="00783483">
            <w:pPr>
              <w:jc w:val="both"/>
              <w:rPr>
                <w:rFonts w:ascii="Palatino Linotype" w:eastAsia="Palatino Linotype" w:hAnsi="Palatino Linotype" w:cs="Palatino Linotype"/>
                <w:i/>
                <w:color w:val="000000" w:themeColor="text1"/>
              </w:rPr>
            </w:pPr>
          </w:p>
        </w:tc>
        <w:tc>
          <w:tcPr>
            <w:tcW w:w="4390" w:type="dxa"/>
          </w:tcPr>
          <w:p w:rsidR="00FA1D87" w:rsidRPr="00D82507" w:rsidRDefault="00737A69"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“SOLICITO EL COSTO ASÍ COMO FACTURA DE LOS INFLABLES DE LA 7a FERIA DEL TACO2025”</w:t>
            </w:r>
          </w:p>
        </w:tc>
      </w:tr>
      <w:tr w:rsidR="00FA1D87" w:rsidRPr="00D82507" w:rsidTr="00FA1D87">
        <w:tc>
          <w:tcPr>
            <w:tcW w:w="4389" w:type="dxa"/>
          </w:tcPr>
          <w:p w:rsidR="00FA1D87" w:rsidRPr="00D82507" w:rsidRDefault="00FA1D87"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FA1D87" w:rsidRPr="00D82507" w:rsidRDefault="00FA1D87" w:rsidP="00783483">
            <w:pPr>
              <w:jc w:val="both"/>
              <w:rPr>
                <w:rFonts w:ascii="Palatino Linotype" w:eastAsia="Palatino Linotype" w:hAnsi="Palatino Linotype" w:cs="Palatino Linotype"/>
                <w:i/>
                <w:color w:val="000000" w:themeColor="text1"/>
              </w:rPr>
            </w:pPr>
          </w:p>
        </w:tc>
        <w:tc>
          <w:tcPr>
            <w:tcW w:w="4390" w:type="dxa"/>
          </w:tcPr>
          <w:p w:rsidR="00FA1D87" w:rsidRPr="00D82507" w:rsidRDefault="00737A69"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“SOLICITO LAS FACTURA DE PAGO PARA EL GRUPO "BRONCO", EL COSTO QUE NOS VA COSTAR A LOS ZINACANTEPEQUENSES ASI COMO EL CONTRATO CELEBRADO”</w:t>
            </w:r>
          </w:p>
        </w:tc>
      </w:tr>
    </w:tbl>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jc w:val="both"/>
        <w:rPr>
          <w:rFonts w:ascii="Palatino Linotype" w:eastAsia="Palatino Linotype" w:hAnsi="Palatino Linotype" w:cs="Palatino Linotype"/>
          <w:i/>
          <w:color w:val="000000" w:themeColor="text1"/>
        </w:rPr>
      </w:pPr>
    </w:p>
    <w:p w:rsidR="00FA1D87" w:rsidRPr="00D82507" w:rsidRDefault="00FA1D87" w:rsidP="00783483">
      <w:pPr>
        <w:numPr>
          <w:ilvl w:val="0"/>
          <w:numId w:val="2"/>
        </w:numPr>
        <w:spacing w:line="360" w:lineRule="auto"/>
        <w:ind w:left="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t>Modalidad de entrega</w:t>
      </w:r>
      <w:r w:rsidRPr="00D82507">
        <w:rPr>
          <w:rFonts w:ascii="Palatino Linotype" w:eastAsia="Palatino Linotype" w:hAnsi="Palatino Linotype" w:cs="Palatino Linotype"/>
          <w:color w:val="000000" w:themeColor="text1"/>
        </w:rPr>
        <w:t>: Sistema de Acceso a la Información.</w:t>
      </w:r>
    </w:p>
    <w:p w:rsidR="00FA1D87" w:rsidRPr="00D82507" w:rsidRDefault="00FA1D87" w:rsidP="00783483">
      <w:pPr>
        <w:spacing w:line="360" w:lineRule="auto"/>
        <w:jc w:val="both"/>
        <w:rPr>
          <w:rFonts w:ascii="Palatino Linotype" w:eastAsia="Palatino Linotype" w:hAnsi="Palatino Linotype" w:cs="Palatino Linotype"/>
          <w:i/>
          <w:color w:val="000000" w:themeColor="text1"/>
        </w:rPr>
      </w:pPr>
    </w:p>
    <w:p w:rsidR="001B10C2" w:rsidRPr="00D82507" w:rsidRDefault="001B10C2"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el </w:t>
      </w:r>
      <w:r w:rsidRPr="00D82507">
        <w:rPr>
          <w:rFonts w:ascii="Palatino Linotype" w:eastAsia="Palatino Linotype" w:hAnsi="Palatino Linotype" w:cs="Palatino Linotype"/>
          <w:b/>
          <w:color w:val="000000" w:themeColor="text1"/>
        </w:rPr>
        <w:t xml:space="preserve">veinte y veintiocho de marzo de dos mil veinticinco, </w:t>
      </w:r>
      <w:r w:rsidRPr="00D82507">
        <w:rPr>
          <w:rFonts w:ascii="Palatino Linotype" w:eastAsia="Palatino Linotype" w:hAnsi="Palatino Linotype" w:cs="Palatino Linotype"/>
          <w:color w:val="000000" w:themeColor="text1"/>
        </w:rPr>
        <w:t xml:space="preserve">giro los requerimientos para que fueran atendidas las solicitudes de información </w:t>
      </w:r>
      <w:r w:rsidRPr="00D82507">
        <w:rPr>
          <w:rFonts w:ascii="Palatino Linotype" w:eastAsia="Palatino Linotype" w:hAnsi="Palatino Linotype" w:cs="Palatino Linotype"/>
          <w:b/>
          <w:color w:val="000000" w:themeColor="text1"/>
        </w:rPr>
        <w:t xml:space="preserve">00076/ZINACANT/IP/2025, 00173/ZINACANT/IP/2025 y 00075/ZINACANT/IP/2025. </w:t>
      </w:r>
    </w:p>
    <w:p w:rsidR="001B10C2" w:rsidRPr="00D82507" w:rsidRDefault="001B10C2" w:rsidP="00783483">
      <w:pPr>
        <w:spacing w:line="360" w:lineRule="auto"/>
        <w:jc w:val="both"/>
        <w:rPr>
          <w:rFonts w:ascii="Palatino Linotype" w:eastAsia="Palatino Linotype" w:hAnsi="Palatino Linotype" w:cs="Palatino Linotype"/>
          <w:color w:val="000000" w:themeColor="text1"/>
        </w:rPr>
      </w:pPr>
    </w:p>
    <w:p w:rsidR="001B10C2" w:rsidRPr="00D82507" w:rsidRDefault="001B10C2"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Seguidamente para las solicitudes de información </w:t>
      </w:r>
      <w:r w:rsidR="00EC0E31" w:rsidRPr="00D82507">
        <w:rPr>
          <w:rFonts w:ascii="Palatino Linotype" w:eastAsia="Palatino Linotype" w:hAnsi="Palatino Linotype" w:cs="Palatino Linotype"/>
          <w:b/>
          <w:color w:val="000000" w:themeColor="text1"/>
        </w:rPr>
        <w:t xml:space="preserve">00076/ZINACANT/IP/2025 </w:t>
      </w:r>
      <w:r w:rsidRPr="00D82507">
        <w:rPr>
          <w:rFonts w:ascii="Palatino Linotype" w:eastAsia="Palatino Linotype" w:hAnsi="Palatino Linotype" w:cs="Palatino Linotype"/>
          <w:b/>
          <w:color w:val="000000" w:themeColor="text1"/>
        </w:rPr>
        <w:t xml:space="preserve">y 00075/ZINACANT/IP/2025, </w:t>
      </w:r>
      <w:r w:rsidRPr="00D82507">
        <w:rPr>
          <w:rFonts w:ascii="Palatino Linotype" w:eastAsia="Palatino Linotype" w:hAnsi="Palatino Linotype" w:cs="Palatino Linotype"/>
          <w:color w:val="000000" w:themeColor="text1"/>
        </w:rPr>
        <w:t>se emitió el acuerdo de prórroga para que se atendieran las solicitudes de información.</w:t>
      </w:r>
    </w:p>
    <w:p w:rsidR="001B10C2" w:rsidRPr="00D82507" w:rsidRDefault="001B10C2" w:rsidP="00783483">
      <w:pPr>
        <w:pStyle w:val="Prrafodelista"/>
        <w:ind w:left="0"/>
        <w:rPr>
          <w:rFonts w:ascii="Palatino Linotype" w:eastAsia="Palatino Linotype" w:hAnsi="Palatino Linotype" w:cs="Palatino Linotype"/>
          <w:color w:val="000000" w:themeColor="text1"/>
        </w:rPr>
      </w:pPr>
    </w:p>
    <w:p w:rsidR="00FA1D87" w:rsidRPr="00D82507" w:rsidRDefault="001B10C2"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el </w:t>
      </w:r>
      <w:r w:rsidRPr="00D82507">
        <w:rPr>
          <w:rFonts w:ascii="Palatino Linotype" w:eastAsia="Palatino Linotype" w:hAnsi="Palatino Linotype" w:cs="Palatino Linotype"/>
          <w:b/>
          <w:color w:val="000000" w:themeColor="text1"/>
        </w:rPr>
        <w:t>veinticinco, veintiocho y veintinueve de abril de dos mil veinticinco</w:t>
      </w:r>
      <w:r w:rsidRPr="00D82507">
        <w:rPr>
          <w:rFonts w:ascii="Palatino Linotype" w:eastAsia="Palatino Linotype" w:hAnsi="Palatino Linotype" w:cs="Palatino Linotype"/>
          <w:color w:val="000000" w:themeColor="text1"/>
        </w:rPr>
        <w:t>,</w:t>
      </w:r>
      <w:r w:rsidR="00FA1D87" w:rsidRPr="00D82507">
        <w:rPr>
          <w:rFonts w:ascii="Palatino Linotype" w:eastAsia="Palatino Linotype" w:hAnsi="Palatino Linotype" w:cs="Palatino Linotype"/>
          <w:color w:val="000000" w:themeColor="text1"/>
        </w:rPr>
        <w:t xml:space="preserve"> el </w:t>
      </w:r>
      <w:r w:rsidR="00FA1D87" w:rsidRPr="00D82507">
        <w:rPr>
          <w:rFonts w:ascii="Palatino Linotype" w:eastAsia="Palatino Linotype" w:hAnsi="Palatino Linotype" w:cs="Palatino Linotype"/>
          <w:b/>
          <w:color w:val="000000" w:themeColor="text1"/>
        </w:rPr>
        <w:t xml:space="preserve">SUJETO OBLIGADO </w:t>
      </w:r>
      <w:r w:rsidR="00FA1D87" w:rsidRPr="00D82507">
        <w:rPr>
          <w:rFonts w:ascii="Palatino Linotype" w:eastAsia="Palatino Linotype" w:hAnsi="Palatino Linotype" w:cs="Palatino Linotype"/>
          <w:color w:val="000000" w:themeColor="text1"/>
        </w:rPr>
        <w:t xml:space="preserve">dio respuesta a las solicitudes de información </w:t>
      </w:r>
      <w:r w:rsidR="00FA1D87"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b/>
          <w:color w:val="000000" w:themeColor="text1"/>
        </w:rPr>
        <w:t>00076/ZINACANT/IP/2025, 00173/ZINACANT/IP/2025 y 00075/ZINACANT/IP/2025</w:t>
      </w:r>
      <w:r w:rsidR="00FA1D87" w:rsidRPr="00D82507">
        <w:rPr>
          <w:rFonts w:ascii="Palatino Linotype" w:eastAsia="Palatino Linotype" w:hAnsi="Palatino Linotype" w:cs="Palatino Linotype"/>
          <w:b/>
          <w:color w:val="000000" w:themeColor="text1"/>
        </w:rPr>
        <w:t xml:space="preserve">, </w:t>
      </w:r>
      <w:r w:rsidR="00FA1D87" w:rsidRPr="00D82507">
        <w:rPr>
          <w:rFonts w:ascii="Palatino Linotype" w:eastAsia="Palatino Linotype" w:hAnsi="Palatino Linotype" w:cs="Palatino Linotype"/>
          <w:color w:val="000000" w:themeColor="text1"/>
        </w:rPr>
        <w:t>con los siguientes documentos cuyo contenido</w:t>
      </w:r>
      <w:r w:rsidR="00EC0E31" w:rsidRPr="00D82507">
        <w:rPr>
          <w:rFonts w:ascii="Palatino Linotype" w:eastAsia="Palatino Linotype" w:hAnsi="Palatino Linotype" w:cs="Palatino Linotype"/>
          <w:color w:val="000000" w:themeColor="text1"/>
        </w:rPr>
        <w:t xml:space="preserve"> a</w:t>
      </w:r>
      <w:r w:rsidR="00FA1D87" w:rsidRPr="00D82507">
        <w:rPr>
          <w:rFonts w:ascii="Palatino Linotype" w:eastAsia="Palatino Linotype" w:hAnsi="Palatino Linotype" w:cs="Palatino Linotype"/>
          <w:color w:val="000000" w:themeColor="text1"/>
        </w:rPr>
        <w:t xml:space="preserve"> grosso modo es: </w:t>
      </w:r>
    </w:p>
    <w:p w:rsidR="00EC0E31" w:rsidRPr="00D82507" w:rsidRDefault="00EC0E31" w:rsidP="00EC0E31">
      <w:pPr>
        <w:spacing w:line="360" w:lineRule="auto"/>
        <w:jc w:val="both"/>
        <w:rPr>
          <w:rFonts w:ascii="Palatino Linotype" w:eastAsia="Palatino Linotype" w:hAnsi="Palatino Linotype" w:cs="Palatino Linotype"/>
          <w:color w:val="000000" w:themeColor="text1"/>
        </w:rPr>
      </w:pPr>
    </w:p>
    <w:p w:rsidR="00EC0E31" w:rsidRPr="00D82507" w:rsidRDefault="00EC0E31" w:rsidP="00EC0E31">
      <w:pPr>
        <w:spacing w:line="360" w:lineRule="auto"/>
        <w:jc w:val="both"/>
        <w:rPr>
          <w:rFonts w:ascii="Palatino Linotype" w:eastAsia="Palatino Linotype" w:hAnsi="Palatino Linotype" w:cs="Palatino Linotype"/>
          <w:color w:val="000000" w:themeColor="text1"/>
        </w:rPr>
      </w:pPr>
    </w:p>
    <w:p w:rsidR="00EC0E31" w:rsidRPr="00D82507" w:rsidRDefault="00EC0E31" w:rsidP="00EC0E31">
      <w:pPr>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724"/>
        <w:gridCol w:w="5055"/>
      </w:tblGrid>
      <w:tr w:rsidR="00783483" w:rsidRPr="00D82507" w:rsidTr="001B10C2">
        <w:tc>
          <w:tcPr>
            <w:tcW w:w="3724" w:type="dxa"/>
          </w:tcPr>
          <w:p w:rsidR="001B10C2" w:rsidRPr="00D82507" w:rsidRDefault="001B10C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xml:space="preserve">Solicitud de información </w:t>
            </w:r>
          </w:p>
        </w:tc>
        <w:tc>
          <w:tcPr>
            <w:tcW w:w="5055" w:type="dxa"/>
          </w:tcPr>
          <w:p w:rsidR="001B10C2" w:rsidRPr="00D82507" w:rsidRDefault="001B10C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Respuesta del </w:t>
            </w:r>
            <w:r w:rsidRPr="00D82507">
              <w:rPr>
                <w:rFonts w:ascii="Palatino Linotype" w:eastAsia="Palatino Linotype" w:hAnsi="Palatino Linotype" w:cs="Palatino Linotype"/>
                <w:b/>
                <w:i/>
                <w:color w:val="000000" w:themeColor="text1"/>
              </w:rPr>
              <w:t>SUJETO OBLIGADO</w:t>
            </w:r>
            <w:r w:rsidRPr="00D82507">
              <w:rPr>
                <w:rFonts w:ascii="Palatino Linotype" w:eastAsia="Palatino Linotype" w:hAnsi="Palatino Linotype" w:cs="Palatino Linotype"/>
                <w:i/>
                <w:color w:val="000000" w:themeColor="text1"/>
              </w:rPr>
              <w:t xml:space="preserve"> </w:t>
            </w:r>
          </w:p>
        </w:tc>
      </w:tr>
      <w:tr w:rsidR="00783483" w:rsidRPr="00D82507" w:rsidTr="001B10C2">
        <w:tc>
          <w:tcPr>
            <w:tcW w:w="3724" w:type="dxa"/>
          </w:tcPr>
          <w:p w:rsidR="001B10C2" w:rsidRPr="00D82507" w:rsidRDefault="001B10C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1B10C2" w:rsidRPr="00D82507" w:rsidRDefault="001B10C2" w:rsidP="00783483">
            <w:pPr>
              <w:jc w:val="both"/>
              <w:rPr>
                <w:rFonts w:ascii="Palatino Linotype" w:eastAsia="Palatino Linotype" w:hAnsi="Palatino Linotype" w:cs="Palatino Linotype"/>
                <w:i/>
                <w:color w:val="000000" w:themeColor="text1"/>
              </w:rPr>
            </w:pPr>
          </w:p>
        </w:tc>
        <w:tc>
          <w:tcPr>
            <w:tcW w:w="5055" w:type="dxa"/>
          </w:tcPr>
          <w:p w:rsidR="001B10C2" w:rsidRPr="00D82507" w:rsidRDefault="001B10C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Oficio 0452 Solicitud 00076.pdf: </w:t>
            </w:r>
            <w:r w:rsidR="00752214" w:rsidRPr="00D82507">
              <w:rPr>
                <w:rFonts w:ascii="Palatino Linotype" w:eastAsia="Palatino Linotype" w:hAnsi="Palatino Linotype" w:cs="Palatino Linotype"/>
                <w:i/>
                <w:color w:val="000000" w:themeColor="text1"/>
              </w:rPr>
              <w:t>oficio del Tesorero Municipal,  mediante el cual informa que después de una búsqueda razonable y exhaustiva dentro de la documentación que se encuentra a mi resguardo no existe documental que refiera el concepto pago para "MARÍA JOSÉ";</w:t>
            </w:r>
          </w:p>
          <w:p w:rsidR="001B10C2" w:rsidRPr="00D82507" w:rsidRDefault="001B10C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RESPUESTA SOLICITUD 076.pdf</w:t>
            </w:r>
            <w:r w:rsidR="00752214" w:rsidRPr="00D82507">
              <w:rPr>
                <w:rFonts w:ascii="Palatino Linotype" w:eastAsia="Palatino Linotype" w:hAnsi="Palatino Linotype" w:cs="Palatino Linotype"/>
                <w:b/>
                <w:i/>
                <w:color w:val="000000" w:themeColor="text1"/>
              </w:rPr>
              <w:t xml:space="preserve">: </w:t>
            </w:r>
            <w:r w:rsidR="00752214" w:rsidRPr="00D82507">
              <w:rPr>
                <w:rFonts w:ascii="Palatino Linotype" w:eastAsia="Palatino Linotype" w:hAnsi="Palatino Linotype" w:cs="Palatino Linotype"/>
                <w:i/>
                <w:color w:val="000000" w:themeColor="text1"/>
              </w:rPr>
              <w:t xml:space="preserve">oficio del Titular de la Unidad de Transparencia, mediante el cual informa que remite la respuesta proporcionada por el área competente. </w:t>
            </w:r>
          </w:p>
        </w:tc>
      </w:tr>
      <w:tr w:rsidR="00783483" w:rsidRPr="00D82507" w:rsidTr="001B10C2">
        <w:tc>
          <w:tcPr>
            <w:tcW w:w="3724" w:type="dxa"/>
          </w:tcPr>
          <w:p w:rsidR="001B10C2" w:rsidRPr="00D82507" w:rsidRDefault="001B10C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00173/ZINACANT/IP/2025</w:t>
            </w:r>
          </w:p>
          <w:p w:rsidR="001B10C2" w:rsidRPr="00D82507" w:rsidRDefault="001B10C2" w:rsidP="00783483">
            <w:pPr>
              <w:jc w:val="both"/>
              <w:rPr>
                <w:rFonts w:ascii="Palatino Linotype" w:eastAsia="Palatino Linotype" w:hAnsi="Palatino Linotype" w:cs="Palatino Linotype"/>
                <w:i/>
                <w:color w:val="000000" w:themeColor="text1"/>
              </w:rPr>
            </w:pPr>
          </w:p>
        </w:tc>
        <w:tc>
          <w:tcPr>
            <w:tcW w:w="5055" w:type="dxa"/>
          </w:tcPr>
          <w:p w:rsidR="00752214" w:rsidRPr="00D82507" w:rsidRDefault="00752214"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Oficio 0466 Solicitud 0173.pdf: </w:t>
            </w:r>
            <w:r w:rsidRPr="00D82507">
              <w:rPr>
                <w:rFonts w:ascii="Palatino Linotype" w:eastAsia="Palatino Linotype" w:hAnsi="Palatino Linotype" w:cs="Palatino Linotype"/>
                <w:i/>
                <w:color w:val="000000" w:themeColor="text1"/>
              </w:rPr>
              <w:t xml:space="preserve">oficio del Tesorero Municipal, mediante el cual informa que después de una búsqueda razonable y exhaustiva dentro de la documentación que se encuentra bajo mi resguardo no existe documental que refiera el concepto pago de inflables para la 7ª feria del taco. </w:t>
            </w:r>
          </w:p>
          <w:p w:rsidR="001B10C2" w:rsidRPr="00D82507" w:rsidRDefault="00752214"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RESPUESTA SOLICITUD 173.pdf: </w:t>
            </w:r>
            <w:r w:rsidRPr="00D82507">
              <w:rPr>
                <w:rFonts w:ascii="Palatino Linotype" w:eastAsia="Palatino Linotype" w:hAnsi="Palatino Linotype" w:cs="Palatino Linotype"/>
                <w:i/>
                <w:color w:val="000000" w:themeColor="text1"/>
              </w:rPr>
              <w:t>oficio del Titular de la Unidad de Transparencia, mediante el cual informa que remite la respuesta proporcionada por el área competente.</w:t>
            </w:r>
          </w:p>
        </w:tc>
      </w:tr>
      <w:tr w:rsidR="00783483" w:rsidRPr="00D82507" w:rsidTr="001B10C2">
        <w:tc>
          <w:tcPr>
            <w:tcW w:w="3724" w:type="dxa"/>
          </w:tcPr>
          <w:p w:rsidR="001B10C2" w:rsidRPr="00D82507" w:rsidRDefault="001B10C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1B10C2" w:rsidRPr="00D82507" w:rsidRDefault="001B10C2" w:rsidP="00783483">
            <w:pPr>
              <w:jc w:val="both"/>
              <w:rPr>
                <w:rFonts w:ascii="Palatino Linotype" w:eastAsia="Palatino Linotype" w:hAnsi="Palatino Linotype" w:cs="Palatino Linotype"/>
                <w:i/>
                <w:color w:val="000000" w:themeColor="text1"/>
              </w:rPr>
            </w:pPr>
          </w:p>
        </w:tc>
        <w:tc>
          <w:tcPr>
            <w:tcW w:w="5055" w:type="dxa"/>
          </w:tcPr>
          <w:p w:rsidR="00752214" w:rsidRPr="00D82507" w:rsidRDefault="00752214"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Oficio 0451 Solicitud 00075.pdf: </w:t>
            </w:r>
            <w:r w:rsidRPr="00D82507">
              <w:rPr>
                <w:rFonts w:ascii="Palatino Linotype" w:eastAsia="Palatino Linotype" w:hAnsi="Palatino Linotype" w:cs="Palatino Linotype"/>
                <w:i/>
                <w:color w:val="000000" w:themeColor="text1"/>
              </w:rPr>
              <w:t>oficio del Tesorero Municipal, mediante el cual informa que después de una búsqueda razonable y exhaustiva dentro de la documentación que se encuentra a mi resguardo no existe documental que</w:t>
            </w:r>
          </w:p>
          <w:p w:rsidR="001B10C2" w:rsidRPr="00D82507" w:rsidRDefault="00752214"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0075.pdf: </w:t>
            </w:r>
            <w:r w:rsidRPr="00D82507">
              <w:rPr>
                <w:rFonts w:ascii="Palatino Linotype" w:eastAsia="Palatino Linotype" w:hAnsi="Palatino Linotype" w:cs="Palatino Linotype"/>
                <w:i/>
                <w:color w:val="000000" w:themeColor="text1"/>
              </w:rPr>
              <w:t>oficio del Titular de la Unidad de Transparencia, mediante el cual informa que remite la respuesta proporcionada por el área competente.</w:t>
            </w:r>
          </w:p>
        </w:tc>
      </w:tr>
    </w:tbl>
    <w:p w:rsidR="00FA1D87" w:rsidRPr="00D82507" w:rsidRDefault="00FA1D87" w:rsidP="00783483">
      <w:pPr>
        <w:jc w:val="both"/>
        <w:rPr>
          <w:rFonts w:ascii="Palatino Linotype" w:eastAsia="Palatino Linotype" w:hAnsi="Palatino Linotype" w:cs="Palatino Linotype"/>
          <w:color w:val="000000" w:themeColor="text1"/>
        </w:rPr>
      </w:pPr>
    </w:p>
    <w:p w:rsidR="00EC0E31" w:rsidRPr="00D82507" w:rsidRDefault="00EC0E31" w:rsidP="00783483">
      <w:pPr>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w:t>
      </w:r>
      <w:r w:rsidR="006F4DAE" w:rsidRPr="00D82507">
        <w:rPr>
          <w:rFonts w:ascii="Palatino Linotype" w:eastAsia="Palatino Linotype" w:hAnsi="Palatino Linotype" w:cs="Palatino Linotype"/>
          <w:b/>
          <w:color w:val="000000" w:themeColor="text1"/>
        </w:rPr>
        <w:t>veintiocho de abril y seis de mayo de dos mil veinticinco</w:t>
      </w:r>
      <w:r w:rsidRPr="00D82507">
        <w:rPr>
          <w:rFonts w:ascii="Palatino Linotype" w:eastAsia="Palatino Linotype" w:hAnsi="Palatino Linotype" w:cs="Palatino Linotype"/>
          <w:color w:val="000000" w:themeColor="text1"/>
        </w:rPr>
        <w:t xml:space="preserve">, el solicitante interpuso recurso de revisión en las solicitudes de información </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b/>
          <w:color w:val="000000" w:themeColor="text1"/>
        </w:rPr>
        <w:lastRenderedPageBreak/>
        <w:t>00076/ZINACANT/IP/2025</w:t>
      </w:r>
      <w:r w:rsidR="00EC0E31" w:rsidRPr="00D82507">
        <w:rPr>
          <w:rFonts w:ascii="Palatino Linotype" w:eastAsia="Palatino Linotype" w:hAnsi="Palatino Linotype" w:cs="Palatino Linotype"/>
          <w:b/>
          <w:color w:val="000000" w:themeColor="text1"/>
        </w:rPr>
        <w:t>,</w:t>
      </w:r>
      <w:r w:rsidRPr="00D82507">
        <w:rPr>
          <w:rFonts w:ascii="Palatino Linotype" w:eastAsia="Palatino Linotype" w:hAnsi="Palatino Linotype" w:cs="Palatino Linotype"/>
          <w:b/>
          <w:color w:val="000000" w:themeColor="text1"/>
        </w:rPr>
        <w:t xml:space="preserve"> 00173/ZINACANT/IP/2025 </w:t>
      </w:r>
      <w:r w:rsidR="006F4DAE" w:rsidRPr="00D82507">
        <w:rPr>
          <w:rFonts w:ascii="Palatino Linotype" w:eastAsia="Palatino Linotype" w:hAnsi="Palatino Linotype" w:cs="Palatino Linotype"/>
          <w:b/>
          <w:color w:val="000000" w:themeColor="text1"/>
        </w:rPr>
        <w:t>y 00075/ZINACANT/IP/2025</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 xml:space="preserve">en contra de las respuestas emitidas a las por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señalando las siguientes razones o motivos de inconformidad:</w:t>
      </w:r>
    </w:p>
    <w:p w:rsidR="00EC0E31" w:rsidRPr="00D82507" w:rsidRDefault="00EC0E31" w:rsidP="00EC0E31">
      <w:pPr>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838"/>
        <w:gridCol w:w="4941"/>
      </w:tblGrid>
      <w:tr w:rsidR="00783483" w:rsidRPr="00D82507" w:rsidTr="006F4DAE">
        <w:tc>
          <w:tcPr>
            <w:tcW w:w="3838"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Recurso de revisión  </w:t>
            </w:r>
          </w:p>
        </w:tc>
        <w:tc>
          <w:tcPr>
            <w:tcW w:w="4941"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Acto Impugnado y Razones o Motivos de Inconformidad </w:t>
            </w:r>
          </w:p>
        </w:tc>
      </w:tr>
      <w:tr w:rsidR="00783483" w:rsidRPr="00D82507" w:rsidTr="006F4DAE">
        <w:tc>
          <w:tcPr>
            <w:tcW w:w="3838"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bCs/>
                <w:i/>
                <w:color w:val="000000" w:themeColor="text1"/>
              </w:rPr>
              <w:t>04853/INFOEM/IP/RR/2025</w:t>
            </w:r>
          </w:p>
        </w:tc>
        <w:tc>
          <w:tcPr>
            <w:tcW w:w="4941"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Acto Impugnado: </w:t>
            </w:r>
            <w:r w:rsidR="009D6176" w:rsidRPr="00D82507">
              <w:rPr>
                <w:rFonts w:ascii="Palatino Linotype" w:eastAsia="Palatino Linotype" w:hAnsi="Palatino Linotype" w:cs="Palatino Linotype"/>
                <w:i/>
                <w:color w:val="000000" w:themeColor="text1"/>
              </w:rPr>
              <w:t>“NO ENTREGA INFORMACION”</w:t>
            </w:r>
          </w:p>
          <w:p w:rsidR="006F4DAE" w:rsidRPr="00D82507" w:rsidRDefault="006F4DAE" w:rsidP="00783483">
            <w:pPr>
              <w:jc w:val="both"/>
              <w:rPr>
                <w:rFonts w:ascii="Palatino Linotype" w:eastAsia="Palatino Linotype" w:hAnsi="Palatino Linotype" w:cs="Palatino Linotype"/>
                <w:b/>
                <w:i/>
                <w:color w:val="000000" w:themeColor="text1"/>
              </w:rPr>
            </w:pP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Razones o Motivos de Inconformidad:</w:t>
            </w:r>
            <w:r w:rsidR="009D6176" w:rsidRPr="00D82507">
              <w:rPr>
                <w:rFonts w:ascii="Palatino Linotype" w:eastAsia="Palatino Linotype" w:hAnsi="Palatino Linotype" w:cs="Palatino Linotype"/>
                <w:i/>
                <w:color w:val="000000" w:themeColor="text1"/>
              </w:rPr>
              <w:t xml:space="preserve"> “NO ENTREGA INFORMACION”</w:t>
            </w:r>
          </w:p>
        </w:tc>
      </w:tr>
      <w:tr w:rsidR="00783483" w:rsidRPr="00D82507" w:rsidTr="006F4DAE">
        <w:tc>
          <w:tcPr>
            <w:tcW w:w="3838"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00173/ZINACANT/IP/2025</w:t>
            </w: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6F4DAE" w:rsidRPr="00D82507" w:rsidRDefault="006F4DAE"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bCs/>
                <w:i/>
                <w:color w:val="000000" w:themeColor="text1"/>
              </w:rPr>
              <w:t>04868/INFOEM/IP/RR/2025</w:t>
            </w:r>
          </w:p>
        </w:tc>
        <w:tc>
          <w:tcPr>
            <w:tcW w:w="4941" w:type="dxa"/>
          </w:tcPr>
          <w:p w:rsidR="009D6176" w:rsidRPr="00D82507" w:rsidRDefault="009D617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Acto Impugnado: </w:t>
            </w:r>
            <w:r w:rsidRPr="00D82507">
              <w:rPr>
                <w:rFonts w:ascii="Palatino Linotype" w:eastAsia="Palatino Linotype" w:hAnsi="Palatino Linotype" w:cs="Palatino Linotype"/>
                <w:i/>
                <w:color w:val="000000" w:themeColor="text1"/>
              </w:rPr>
              <w:t>“NO ENTREGA INFORMACION”</w:t>
            </w:r>
          </w:p>
          <w:p w:rsidR="009D6176" w:rsidRPr="00D82507" w:rsidRDefault="009D6176" w:rsidP="00783483">
            <w:pPr>
              <w:jc w:val="both"/>
              <w:rPr>
                <w:rFonts w:ascii="Palatino Linotype" w:eastAsia="Palatino Linotype" w:hAnsi="Palatino Linotype" w:cs="Palatino Linotype"/>
                <w:b/>
                <w:i/>
                <w:color w:val="000000" w:themeColor="text1"/>
              </w:rPr>
            </w:pPr>
          </w:p>
          <w:p w:rsidR="006F4DAE" w:rsidRPr="00D82507" w:rsidRDefault="009D617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Razones o Motivos de Inconformidad:</w:t>
            </w:r>
            <w:r w:rsidRPr="00D82507">
              <w:rPr>
                <w:rFonts w:ascii="Palatino Linotype" w:eastAsia="Palatino Linotype" w:hAnsi="Palatino Linotype" w:cs="Palatino Linotype"/>
                <w:i/>
                <w:color w:val="000000" w:themeColor="text1"/>
              </w:rPr>
              <w:t xml:space="preserve"> “NO ENTREGA INFORMACION”</w:t>
            </w:r>
          </w:p>
        </w:tc>
      </w:tr>
      <w:tr w:rsidR="00783483" w:rsidRPr="00D82507" w:rsidTr="006F4DAE">
        <w:tc>
          <w:tcPr>
            <w:tcW w:w="3838" w:type="dxa"/>
          </w:tcPr>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6F4DAE" w:rsidRPr="00D82507" w:rsidRDefault="006F4DAE"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bCs/>
                <w:i/>
                <w:color w:val="000000" w:themeColor="text1"/>
              </w:rPr>
              <w:t>05089/INFOEM/IP/RR/2025</w:t>
            </w:r>
          </w:p>
          <w:p w:rsidR="006F4DAE" w:rsidRPr="00D82507" w:rsidRDefault="006F4DAE" w:rsidP="00783483">
            <w:pPr>
              <w:jc w:val="both"/>
              <w:rPr>
                <w:rFonts w:ascii="Palatino Linotype" w:eastAsia="Palatino Linotype" w:hAnsi="Palatino Linotype" w:cs="Palatino Linotype"/>
                <w:i/>
                <w:color w:val="000000" w:themeColor="text1"/>
              </w:rPr>
            </w:pPr>
          </w:p>
        </w:tc>
        <w:tc>
          <w:tcPr>
            <w:tcW w:w="4941" w:type="dxa"/>
          </w:tcPr>
          <w:p w:rsidR="009D6176" w:rsidRPr="00D82507" w:rsidRDefault="009D617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Acto Impugnado: </w:t>
            </w:r>
            <w:r w:rsidRPr="00D82507">
              <w:rPr>
                <w:rFonts w:ascii="Palatino Linotype" w:eastAsia="Palatino Linotype" w:hAnsi="Palatino Linotype" w:cs="Palatino Linotype"/>
                <w:i/>
                <w:color w:val="000000" w:themeColor="text1"/>
              </w:rPr>
              <w:t>“NO ENTREGA INFORMACION”</w:t>
            </w:r>
          </w:p>
          <w:p w:rsidR="009D6176" w:rsidRPr="00D82507" w:rsidRDefault="009D6176" w:rsidP="00783483">
            <w:pPr>
              <w:jc w:val="both"/>
              <w:rPr>
                <w:rFonts w:ascii="Palatino Linotype" w:eastAsia="Palatino Linotype" w:hAnsi="Palatino Linotype" w:cs="Palatino Linotype"/>
                <w:b/>
                <w:i/>
                <w:color w:val="000000" w:themeColor="text1"/>
              </w:rPr>
            </w:pPr>
          </w:p>
          <w:p w:rsidR="006F4DAE" w:rsidRPr="00D82507" w:rsidRDefault="009D617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Razones o Motivos de Inconformidad:</w:t>
            </w:r>
            <w:r w:rsidRPr="00D82507">
              <w:rPr>
                <w:rFonts w:ascii="Palatino Linotype" w:eastAsia="Palatino Linotype" w:hAnsi="Palatino Linotype" w:cs="Palatino Linotype"/>
                <w:i/>
                <w:color w:val="000000" w:themeColor="text1"/>
              </w:rPr>
              <w:t xml:space="preserve"> “NO ENTREGA INFORMACION”</w:t>
            </w:r>
          </w:p>
        </w:tc>
      </w:tr>
    </w:tbl>
    <w:p w:rsidR="00FA1D87" w:rsidRPr="00D82507" w:rsidRDefault="00FA1D87" w:rsidP="00783483">
      <w:pPr>
        <w:spacing w:line="360" w:lineRule="auto"/>
        <w:jc w:val="both"/>
        <w:rPr>
          <w:rFonts w:ascii="Palatino Linotype" w:eastAsia="Palatino Linotype" w:hAnsi="Palatino Linotype" w:cs="Palatino Linotype"/>
          <w:b/>
          <w:i/>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Consecutivamente</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color w:val="000000" w:themeColor="text1"/>
        </w:rPr>
        <w:t>con fundamento en lo dispuesto por el artículo 185 fracción I de la Ley de Transparencia y Acceso a la Información Pública del Estado de México y Municipios, los recursos de referencia, fueron turnados</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a las Comisionadas</w:t>
      </w:r>
      <w:r w:rsidRPr="00D82507">
        <w:rPr>
          <w:rFonts w:ascii="Palatino Linotype" w:eastAsia="Palatino Linotype" w:hAnsi="Palatino Linotype" w:cs="Palatino Linotype"/>
          <w:b/>
          <w:color w:val="000000" w:themeColor="text1"/>
        </w:rPr>
        <w:t xml:space="preserve"> María del Rosario Mejía Ayala y Guadalupe Ramírez Peña</w:t>
      </w:r>
      <w:r w:rsidR="005D75A3">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color w:val="000000" w:themeColor="text1"/>
        </w:rPr>
        <w:t>respectivamente,</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 xml:space="preserve">para su análisis. </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5D75A3"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Las Comisionada</w:t>
      </w:r>
      <w:r w:rsidR="00FA1D87" w:rsidRPr="00D82507">
        <w:rPr>
          <w:rFonts w:ascii="Palatino Linotype" w:eastAsia="Palatino Linotype" w:hAnsi="Palatino Linotype" w:cs="Palatino Linotype"/>
          <w:color w:val="000000" w:themeColor="text1"/>
        </w:rPr>
        <w:t xml:space="preserve">s Ponentes de origen con fundamento en lo dispuesto por el artículo 185 fracción II de la ley de la materia, a través de los </w:t>
      </w:r>
      <w:r w:rsidR="00FA1D87" w:rsidRPr="00D82507">
        <w:rPr>
          <w:rFonts w:ascii="Palatino Linotype" w:eastAsia="Palatino Linotype" w:hAnsi="Palatino Linotype" w:cs="Palatino Linotype"/>
          <w:b/>
          <w:color w:val="000000" w:themeColor="text1"/>
        </w:rPr>
        <w:t xml:space="preserve">acuerdos de admisión </w:t>
      </w:r>
      <w:r w:rsidR="00FA1D87" w:rsidRPr="00D82507">
        <w:rPr>
          <w:rFonts w:ascii="Palatino Linotype" w:eastAsia="Palatino Linotype" w:hAnsi="Palatino Linotype" w:cs="Palatino Linotype"/>
          <w:color w:val="000000" w:themeColor="text1"/>
        </w:rPr>
        <w:t xml:space="preserve">de </w:t>
      </w:r>
      <w:r w:rsidR="00FA1D87" w:rsidRPr="00D82507">
        <w:rPr>
          <w:rFonts w:ascii="Palatino Linotype" w:eastAsia="Palatino Linotype" w:hAnsi="Palatino Linotype" w:cs="Palatino Linotype"/>
          <w:color w:val="000000" w:themeColor="text1"/>
        </w:rPr>
        <w:lastRenderedPageBreak/>
        <w:t xml:space="preserve">fecha </w:t>
      </w:r>
      <w:r w:rsidR="00B90407" w:rsidRPr="00D82507">
        <w:rPr>
          <w:rFonts w:ascii="Palatino Linotype" w:eastAsia="Palatino Linotype" w:hAnsi="Palatino Linotype" w:cs="Palatino Linotype"/>
          <w:b/>
          <w:color w:val="000000" w:themeColor="text1"/>
        </w:rPr>
        <w:t>treinta de abril, seis y nueve de mayo de dos mil veinticinco</w:t>
      </w:r>
      <w:r w:rsidR="00FA1D87" w:rsidRPr="00D82507">
        <w:rPr>
          <w:rFonts w:ascii="Palatino Linotype" w:eastAsia="Palatino Linotype" w:hAnsi="Palatino Linotype" w:cs="Palatino Linotype"/>
          <w:color w:val="000000" w:themeColor="text1"/>
        </w:rPr>
        <w:t xml:space="preserve">, pusieron a disposición de las partes el expediente electrónico vía SAIMEX a efecto de que en un plazo máximo de siete días manifestara lo que a su derecho conviniera, ofreciera pruebas y alegatos según corresponda al caso concreto, de esta forma para que el </w:t>
      </w:r>
      <w:r w:rsidR="00FA1D87" w:rsidRPr="00D82507">
        <w:rPr>
          <w:rFonts w:ascii="Palatino Linotype" w:eastAsia="Palatino Linotype" w:hAnsi="Palatino Linotype" w:cs="Palatino Linotype"/>
          <w:b/>
          <w:color w:val="000000" w:themeColor="text1"/>
        </w:rPr>
        <w:t xml:space="preserve">SUJETO OBLIGADO </w:t>
      </w:r>
      <w:r w:rsidR="00FA1D87" w:rsidRPr="00D82507">
        <w:rPr>
          <w:rFonts w:ascii="Palatino Linotype" w:eastAsia="Palatino Linotype" w:hAnsi="Palatino Linotype" w:cs="Palatino Linotype"/>
          <w:color w:val="000000" w:themeColor="text1"/>
        </w:rPr>
        <w:t>presentará el Informe Justificado procedente.</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Posteriormente el Pleno de este Órgano Autónomo, en la</w:t>
      </w:r>
      <w:r w:rsidRPr="00D82507">
        <w:rPr>
          <w:rFonts w:ascii="Palatino Linotype" w:eastAsia="Palatino Linotype" w:hAnsi="Palatino Linotype" w:cs="Palatino Linotype"/>
          <w:b/>
          <w:color w:val="000000" w:themeColor="text1"/>
        </w:rPr>
        <w:t xml:space="preserve"> Décima </w:t>
      </w:r>
      <w:r w:rsidR="0024134C" w:rsidRPr="00D82507">
        <w:rPr>
          <w:rFonts w:ascii="Palatino Linotype" w:eastAsia="Palatino Linotype" w:hAnsi="Palatino Linotype" w:cs="Palatino Linotype"/>
          <w:b/>
          <w:color w:val="000000" w:themeColor="text1"/>
        </w:rPr>
        <w:t xml:space="preserve">Séptima sesión ordinaria </w:t>
      </w:r>
      <w:r w:rsidRPr="00D82507">
        <w:rPr>
          <w:rFonts w:ascii="Palatino Linotype" w:eastAsia="Palatino Linotype" w:hAnsi="Palatino Linotype" w:cs="Palatino Linotype"/>
          <w:color w:val="000000" w:themeColor="text1"/>
        </w:rPr>
        <w:t>de fecha</w:t>
      </w:r>
      <w:r w:rsidRPr="00D82507">
        <w:rPr>
          <w:rFonts w:ascii="Palatino Linotype" w:eastAsia="Palatino Linotype" w:hAnsi="Palatino Linotype" w:cs="Palatino Linotype"/>
          <w:b/>
          <w:color w:val="000000" w:themeColor="text1"/>
        </w:rPr>
        <w:t xml:space="preserve"> </w:t>
      </w:r>
      <w:r w:rsidR="0024134C" w:rsidRPr="00D82507">
        <w:rPr>
          <w:rFonts w:ascii="Palatino Linotype" w:eastAsia="Palatino Linotype" w:hAnsi="Palatino Linotype" w:cs="Palatino Linotype"/>
          <w:b/>
          <w:color w:val="000000" w:themeColor="text1"/>
        </w:rPr>
        <w:t>catorce de mayo de dos mil veinticinco</w:t>
      </w:r>
      <w:r w:rsidRPr="00D82507">
        <w:rPr>
          <w:rFonts w:ascii="Palatino Linotype" w:eastAsia="Palatino Linotype" w:hAnsi="Palatino Linotype" w:cs="Palatino Linotype"/>
          <w:color w:val="000000" w:themeColor="text1"/>
        </w:rPr>
        <w:t xml:space="preserve">; se ordenó la acumulación de los recursos de revisión de mérito, a efecto de que la Ponencia de la </w:t>
      </w:r>
      <w:r w:rsidRPr="00D82507">
        <w:rPr>
          <w:rFonts w:ascii="Palatino Linotype" w:eastAsia="Palatino Linotype" w:hAnsi="Palatino Linotype" w:cs="Palatino Linotype"/>
          <w:b/>
          <w:color w:val="000000" w:themeColor="text1"/>
        </w:rPr>
        <w:t xml:space="preserve">Comisionada María del Rosario Mejía Ayala </w:t>
      </w:r>
      <w:r w:rsidRPr="00D82507">
        <w:rPr>
          <w:rFonts w:ascii="Palatino Linotype" w:eastAsia="Palatino Linotype" w:hAnsi="Palatino Linotype" w:cs="Palatino Linotype"/>
          <w:color w:val="000000" w:themeColor="text1"/>
        </w:rPr>
        <w:t>formulará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D82507">
        <w:rPr>
          <w:rFonts w:ascii="Palatino Linotype" w:eastAsia="Palatino Linotype" w:hAnsi="Palatino Linotype" w:cs="Palatino Linotype"/>
          <w:i/>
          <w:color w:val="000000" w:themeColor="text1"/>
          <w:vertAlign w:val="superscript"/>
        </w:rPr>
        <w:footnoteReference w:id="1"/>
      </w:r>
      <w:r w:rsidRPr="00D82507">
        <w:rPr>
          <w:rFonts w:ascii="Palatino Linotype" w:eastAsia="Palatino Linotype" w:hAnsi="Palatino Linotype" w:cs="Palatino Linotype"/>
          <w:color w:val="000000" w:themeColor="text1"/>
        </w:rPr>
        <w:t>, que señala:</w:t>
      </w:r>
    </w:p>
    <w:p w:rsidR="00FA1D87" w:rsidRPr="00D82507" w:rsidRDefault="00FA1D87" w:rsidP="00783483">
      <w:pPr>
        <w:tabs>
          <w:tab w:val="left" w:pos="0"/>
          <w:tab w:val="left" w:pos="1134"/>
          <w:tab w:val="left" w:pos="7938"/>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“ONCE.</w:t>
      </w:r>
      <w:r w:rsidRPr="00D82507">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rsidR="00FA1D87" w:rsidRPr="00D82507" w:rsidRDefault="00FA1D87" w:rsidP="00783483">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i/>
          <w:color w:val="000000" w:themeColor="text1"/>
        </w:rPr>
        <w:tab/>
      </w:r>
    </w:p>
    <w:p w:rsidR="00FA1D87" w:rsidRPr="00D82507" w:rsidRDefault="00FA1D87" w:rsidP="00783483">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b) Las partes o los actos impugnados sean iguales</w:t>
      </w:r>
    </w:p>
    <w:p w:rsidR="00FA1D87" w:rsidRPr="00D82507" w:rsidRDefault="00FA1D87" w:rsidP="00783483">
      <w:pPr>
        <w:tabs>
          <w:tab w:val="left" w:pos="0"/>
          <w:tab w:val="left" w:pos="7938"/>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c) Cuando se trate del mismo solicitante, el mismo SUJETO OBLIGADO, aunque se trate de solicitudes diversas;</w:t>
      </w:r>
    </w:p>
    <w:p w:rsidR="00FA1D87" w:rsidRPr="00D82507" w:rsidRDefault="00FA1D87" w:rsidP="00783483">
      <w:pPr>
        <w:tabs>
          <w:tab w:val="left" w:pos="0"/>
          <w:tab w:val="left" w:pos="426"/>
          <w:tab w:val="left" w:pos="7938"/>
        </w:tabs>
        <w:ind w:firstLine="567"/>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FA1D87" w:rsidRPr="00D82507" w:rsidRDefault="00FA1D87" w:rsidP="00783483">
      <w:pPr>
        <w:tabs>
          <w:tab w:val="left" w:pos="0"/>
          <w:tab w:val="left" w:pos="426"/>
        </w:tabs>
        <w:ind w:firstLine="567"/>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(Énfasis añadido)</w:t>
      </w:r>
    </w:p>
    <w:p w:rsidR="00FA1D87" w:rsidRPr="00D82507" w:rsidRDefault="00FA1D87" w:rsidP="00783483">
      <w:pPr>
        <w:tabs>
          <w:tab w:val="left" w:pos="0"/>
          <w:tab w:val="left" w:pos="426"/>
        </w:tabs>
        <w:ind w:firstLine="567"/>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Es así que,</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color w:val="000000" w:themeColor="text1"/>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FA1D87" w:rsidRPr="00D82507" w:rsidRDefault="00FA1D87"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Código de Procedimientos Administrativos del Estado de México.</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18.-</w:t>
      </w:r>
      <w:r w:rsidRPr="00D82507">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FA1D87" w:rsidRPr="00D82507" w:rsidRDefault="00FA1D87"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Ley de Transparencia y Acceso a la Información Pública del Estado de México y Municipios</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195.</w:t>
      </w:r>
      <w:r w:rsidRPr="00D82507">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(Énfasis añadido)</w:t>
      </w:r>
    </w:p>
    <w:p w:rsidR="00FA1D87" w:rsidRPr="00D82507" w:rsidRDefault="00FA1D87" w:rsidP="00783483">
      <w:pPr>
        <w:ind w:firstLine="360"/>
        <w:rPr>
          <w:rFonts w:ascii="Palatino Linotype" w:hAnsi="Palatino Linotype"/>
          <w:i/>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el </w:t>
      </w:r>
      <w:r w:rsidRPr="00D82507">
        <w:rPr>
          <w:rFonts w:ascii="Palatino Linotype" w:eastAsia="Palatino Linotype" w:hAnsi="Palatino Linotype" w:cs="Palatino Linotype"/>
          <w:b/>
          <w:color w:val="000000" w:themeColor="text1"/>
        </w:rPr>
        <w:t xml:space="preserve">SUJETO OBLIGADO </w:t>
      </w:r>
      <w:r w:rsidRPr="00D82507">
        <w:rPr>
          <w:rFonts w:ascii="Palatino Linotype" w:eastAsia="Palatino Linotype" w:hAnsi="Palatino Linotype" w:cs="Palatino Linotype"/>
          <w:color w:val="000000" w:themeColor="text1"/>
        </w:rPr>
        <w:t xml:space="preserve">realizó en cada recurso de revisión sus respectivos informes justificados, mediante la descripción de la siguiente información. </w:t>
      </w:r>
    </w:p>
    <w:tbl>
      <w:tblPr>
        <w:tblStyle w:val="Tablaconcuadrcula"/>
        <w:tblW w:w="0" w:type="auto"/>
        <w:tblLook w:val="04A0" w:firstRow="1" w:lastRow="0" w:firstColumn="1" w:lastColumn="0" w:noHBand="0" w:noVBand="1"/>
      </w:tblPr>
      <w:tblGrid>
        <w:gridCol w:w="3838"/>
        <w:gridCol w:w="4941"/>
      </w:tblGrid>
      <w:tr w:rsidR="00783483" w:rsidRPr="00D82507" w:rsidTr="003F0A7D">
        <w:tc>
          <w:tcPr>
            <w:tcW w:w="3838" w:type="dxa"/>
          </w:tcPr>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Recurso de revisión  </w:t>
            </w:r>
          </w:p>
        </w:tc>
        <w:tc>
          <w:tcPr>
            <w:tcW w:w="4941" w:type="dxa"/>
          </w:tcPr>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Información entregada  </w:t>
            </w:r>
          </w:p>
        </w:tc>
      </w:tr>
      <w:tr w:rsidR="00783483" w:rsidRPr="00D82507" w:rsidTr="003F0A7D">
        <w:tc>
          <w:tcPr>
            <w:tcW w:w="3838" w:type="dxa"/>
          </w:tcPr>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EC0E31" w:rsidRPr="00D82507" w:rsidRDefault="00EC0E31" w:rsidP="00783483">
            <w:pPr>
              <w:jc w:val="both"/>
              <w:rPr>
                <w:rFonts w:ascii="Palatino Linotype" w:eastAsia="Palatino Linotype" w:hAnsi="Palatino Linotype" w:cs="Palatino Linotype"/>
                <w:b/>
                <w:i/>
                <w:color w:val="000000" w:themeColor="text1"/>
              </w:rPr>
            </w:pPr>
          </w:p>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bCs/>
                <w:i/>
                <w:color w:val="000000" w:themeColor="text1"/>
              </w:rPr>
              <w:t>04853/INFOEM/IP/RR/2025</w:t>
            </w:r>
          </w:p>
        </w:tc>
        <w:tc>
          <w:tcPr>
            <w:tcW w:w="4941" w:type="dxa"/>
          </w:tcPr>
          <w:p w:rsidR="004F3D82" w:rsidRPr="00D82507" w:rsidRDefault="00E75201"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IJ 4853 2025..pdf: </w:t>
            </w:r>
            <w:r w:rsidRPr="00D82507">
              <w:rPr>
                <w:rFonts w:ascii="Palatino Linotype" w:eastAsia="Palatino Linotype" w:hAnsi="Palatino Linotype" w:cs="Palatino Linotype"/>
                <w:i/>
                <w:color w:val="000000" w:themeColor="text1"/>
              </w:rPr>
              <w:t>informe justificado mediante la cual la Titular de la Unidad de Transparencia, ratifico la respuesta inicial.</w:t>
            </w:r>
          </w:p>
          <w:p w:rsidR="00E75201" w:rsidRPr="00D82507" w:rsidRDefault="00E75201"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SOL 76 TESORERIA.pdf: </w:t>
            </w:r>
            <w:r w:rsidRPr="00D82507">
              <w:rPr>
                <w:rFonts w:ascii="Palatino Linotype" w:eastAsia="Palatino Linotype" w:hAnsi="Palatino Linotype" w:cs="Palatino Linotype"/>
                <w:i/>
                <w:color w:val="000000" w:themeColor="text1"/>
              </w:rPr>
              <w:t xml:space="preserve">oficio del Tesorero Municipal mediante el cual ratifica su respuesta inicial. </w:t>
            </w:r>
          </w:p>
        </w:tc>
      </w:tr>
      <w:tr w:rsidR="00783483" w:rsidRPr="00D82507" w:rsidTr="003F0A7D">
        <w:tc>
          <w:tcPr>
            <w:tcW w:w="3838" w:type="dxa"/>
          </w:tcPr>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lastRenderedPageBreak/>
              <w:t>Solicitud 00173/ZINACANT/IP/2025</w:t>
            </w:r>
          </w:p>
          <w:p w:rsidR="00EC0E31" w:rsidRPr="00D82507" w:rsidRDefault="00EC0E31" w:rsidP="00783483">
            <w:pPr>
              <w:jc w:val="both"/>
              <w:rPr>
                <w:rFonts w:ascii="Palatino Linotype" w:eastAsia="Palatino Linotype" w:hAnsi="Palatino Linotype" w:cs="Palatino Linotype"/>
                <w:b/>
                <w:i/>
                <w:color w:val="000000" w:themeColor="text1"/>
              </w:rPr>
            </w:pPr>
          </w:p>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4F3D82" w:rsidRPr="00D82507" w:rsidRDefault="004F3D8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bCs/>
                <w:i/>
                <w:color w:val="000000" w:themeColor="text1"/>
              </w:rPr>
              <w:t>04868/INFOEM/IP/RR/2025</w:t>
            </w:r>
          </w:p>
        </w:tc>
        <w:tc>
          <w:tcPr>
            <w:tcW w:w="4941" w:type="dxa"/>
          </w:tcPr>
          <w:p w:rsidR="004F3D82" w:rsidRPr="00D82507" w:rsidRDefault="00E75201"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IJ 4868 2025..pdf:</w:t>
            </w:r>
            <w:r w:rsidRPr="00D82507">
              <w:rPr>
                <w:rFonts w:ascii="Palatino Linotype" w:eastAsia="Palatino Linotype" w:hAnsi="Palatino Linotype" w:cs="Palatino Linotype"/>
                <w:i/>
                <w:color w:val="000000" w:themeColor="text1"/>
              </w:rPr>
              <w:t xml:space="preserve"> informe justificado mediante la cual la Titular de la Unidad de Transparencia, ratifico la respuesta inicial.</w:t>
            </w:r>
          </w:p>
          <w:p w:rsidR="00E75201" w:rsidRPr="00D82507" w:rsidRDefault="00E75201"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TESORERIA 173.pdf: </w:t>
            </w:r>
            <w:r w:rsidRPr="00D82507">
              <w:rPr>
                <w:rFonts w:ascii="Palatino Linotype" w:eastAsia="Palatino Linotype" w:hAnsi="Palatino Linotype" w:cs="Palatino Linotype"/>
                <w:i/>
                <w:color w:val="000000" w:themeColor="text1"/>
              </w:rPr>
              <w:t>oficio del Tesorero Municipal mediante el cual ratifica su respuesta inicial.</w:t>
            </w:r>
          </w:p>
        </w:tc>
      </w:tr>
      <w:tr w:rsidR="00783483" w:rsidRPr="00D82507" w:rsidTr="003F0A7D">
        <w:tc>
          <w:tcPr>
            <w:tcW w:w="3838" w:type="dxa"/>
          </w:tcPr>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EC0E31" w:rsidRPr="00D82507" w:rsidRDefault="00EC0E31" w:rsidP="00783483">
            <w:pPr>
              <w:jc w:val="both"/>
              <w:rPr>
                <w:rFonts w:ascii="Palatino Linotype" w:eastAsia="Palatino Linotype" w:hAnsi="Palatino Linotype" w:cs="Palatino Linotype"/>
                <w:b/>
                <w:i/>
                <w:color w:val="000000" w:themeColor="text1"/>
              </w:rPr>
            </w:pPr>
          </w:p>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Recurso de revisión</w:t>
            </w:r>
          </w:p>
          <w:p w:rsidR="004F3D82" w:rsidRPr="00D82507" w:rsidRDefault="004F3D8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bCs/>
                <w:i/>
                <w:color w:val="000000" w:themeColor="text1"/>
              </w:rPr>
              <w:t>05089/INFOEM/IP/RR/2025</w:t>
            </w:r>
          </w:p>
          <w:p w:rsidR="004F3D82" w:rsidRPr="00D82507" w:rsidRDefault="004F3D82" w:rsidP="00783483">
            <w:pPr>
              <w:jc w:val="both"/>
              <w:rPr>
                <w:rFonts w:ascii="Palatino Linotype" w:eastAsia="Palatino Linotype" w:hAnsi="Palatino Linotype" w:cs="Palatino Linotype"/>
                <w:i/>
                <w:color w:val="000000" w:themeColor="text1"/>
              </w:rPr>
            </w:pPr>
          </w:p>
        </w:tc>
        <w:tc>
          <w:tcPr>
            <w:tcW w:w="4941" w:type="dxa"/>
          </w:tcPr>
          <w:p w:rsidR="004F3D82" w:rsidRPr="00D82507" w:rsidRDefault="00C10B4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IJ 5089 2025..pdf: </w:t>
            </w:r>
            <w:r w:rsidRPr="00D82507">
              <w:rPr>
                <w:rFonts w:ascii="Palatino Linotype" w:eastAsia="Palatino Linotype" w:hAnsi="Palatino Linotype" w:cs="Palatino Linotype"/>
                <w:i/>
                <w:color w:val="000000" w:themeColor="text1"/>
              </w:rPr>
              <w:t>informe justificado mediante la cual la Titular de la Unidad de Transparencia, ratifico la respuesta inicial.</w:t>
            </w:r>
          </w:p>
          <w:p w:rsidR="00C10B4C" w:rsidRPr="00D82507" w:rsidRDefault="00C10B4C"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SOL 75 TESORERIA MUNICIPAL.pdf: </w:t>
            </w:r>
            <w:r w:rsidRPr="00D82507">
              <w:rPr>
                <w:rFonts w:ascii="Palatino Linotype" w:eastAsia="Palatino Linotype" w:hAnsi="Palatino Linotype" w:cs="Palatino Linotype"/>
                <w:i/>
                <w:color w:val="000000" w:themeColor="text1"/>
              </w:rPr>
              <w:t>oficio del Tesorero Municipal mediante el cual ratifica su respuesta inicial</w:t>
            </w:r>
          </w:p>
          <w:p w:rsidR="00C10B4C" w:rsidRPr="00D82507" w:rsidRDefault="00C10B4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SOL 75 RECURSOS MATERIALES.pdf: </w:t>
            </w:r>
            <w:r w:rsidRPr="00D82507">
              <w:rPr>
                <w:rFonts w:ascii="Palatino Linotype" w:eastAsia="Palatino Linotype" w:hAnsi="Palatino Linotype" w:cs="Palatino Linotype"/>
                <w:i/>
                <w:color w:val="000000" w:themeColor="text1"/>
              </w:rPr>
              <w:t xml:space="preserve">oficio del Subdirector de Recursos Materiales, mediante el cual confirma la respuesta inicial del Tesorero Municipal. </w:t>
            </w:r>
          </w:p>
        </w:tc>
      </w:tr>
    </w:tbl>
    <w:p w:rsidR="00FA1D87" w:rsidRPr="00D82507" w:rsidRDefault="00FA1D87" w:rsidP="00783483">
      <w:pPr>
        <w:tabs>
          <w:tab w:val="left" w:pos="1279"/>
          <w:tab w:val="left" w:pos="8647"/>
        </w:tabs>
        <w:jc w:val="both"/>
        <w:rPr>
          <w:rFonts w:ascii="Palatino Linotype" w:eastAsia="Palatino Linotype" w:hAnsi="Palatino Linotype" w:cs="Palatino Linotype"/>
          <w:i/>
          <w:color w:val="000000" w:themeColor="text1"/>
        </w:rPr>
      </w:pPr>
    </w:p>
    <w:p w:rsidR="00D933C7" w:rsidRPr="00D82507" w:rsidRDefault="00D933C7" w:rsidP="00783483">
      <w:pPr>
        <w:numPr>
          <w:ilvl w:val="0"/>
          <w:numId w:val="3"/>
        </w:numPr>
        <w:spacing w:line="360" w:lineRule="auto"/>
        <w:ind w:left="0" w:firstLine="0"/>
        <w:jc w:val="both"/>
        <w:rPr>
          <w:rFonts w:ascii="Palatino Linotype" w:eastAsia="Palatino Linotype" w:hAnsi="Palatino Linotype" w:cs="Palatino Linotype"/>
          <w:b/>
          <w:color w:val="000000" w:themeColor="text1"/>
        </w:rPr>
      </w:pPr>
      <w:bookmarkStart w:id="2" w:name="_heading=h.3znysh7" w:colFirst="0" w:colLast="0"/>
      <w:bookmarkEnd w:id="2"/>
      <w:r w:rsidRPr="00D82507">
        <w:rPr>
          <w:rFonts w:ascii="Palatino Linotype" w:eastAsia="Palatino Linotype" w:hAnsi="Palatino Linotype" w:cs="Palatino Linotype"/>
          <w:color w:val="000000" w:themeColor="text1"/>
        </w:rPr>
        <w:t>Finalmente, la Comisionada Ponente mediante acuerdo de fecha</w:t>
      </w:r>
      <w:r w:rsidRPr="00D82507">
        <w:rPr>
          <w:rFonts w:ascii="Palatino Linotype" w:eastAsia="Palatino Linotype" w:hAnsi="Palatino Linotype" w:cs="Palatino Linotype"/>
          <w:b/>
          <w:color w:val="000000" w:themeColor="text1"/>
        </w:rPr>
        <w:t xml:space="preserve"> once de junio de dos mil veinticinco</w:t>
      </w:r>
      <w:r w:rsidRPr="00D82507">
        <w:rPr>
          <w:rFonts w:ascii="Palatino Linotype" w:eastAsia="Palatino Linotype" w:hAnsi="Palatino Linotype" w:cs="Palatino Linotype"/>
          <w:color w:val="000000" w:themeColor="text1"/>
        </w:rPr>
        <w:t xml:space="preserve">, decretó el cierre de instrucción de los expedientes, por lo que no habiendo más que hacer constar, y </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pacing w:line="360" w:lineRule="auto"/>
        <w:jc w:val="center"/>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C O N S I D E R A N D O</w:t>
      </w:r>
    </w:p>
    <w:p w:rsidR="00FA1D87" w:rsidRPr="00D82507" w:rsidRDefault="00FA1D87" w:rsidP="00783483">
      <w:pPr>
        <w:spacing w:line="360" w:lineRule="auto"/>
        <w:jc w:val="center"/>
        <w:rPr>
          <w:rFonts w:ascii="Palatino Linotype" w:eastAsia="Palatino Linotype" w:hAnsi="Palatino Linotype" w:cs="Palatino Linotype"/>
          <w:b/>
          <w:color w:val="000000" w:themeColor="text1"/>
        </w:rPr>
      </w:pPr>
    </w:p>
    <w:p w:rsidR="00FA1D87" w:rsidRPr="00D82507" w:rsidRDefault="00FA1D87" w:rsidP="00783483">
      <w:pPr>
        <w:keepNext/>
        <w:keepLines/>
        <w:spacing w:line="360" w:lineRule="auto"/>
        <w:rPr>
          <w:rFonts w:ascii="Palatino Linotype" w:eastAsia="Palatino Linotype" w:hAnsi="Palatino Linotype" w:cs="Palatino Linotype"/>
          <w:b/>
          <w:color w:val="000000" w:themeColor="text1"/>
        </w:rPr>
      </w:pPr>
      <w:bookmarkStart w:id="3" w:name="_heading=h.2et92p0" w:colFirst="0" w:colLast="0"/>
      <w:bookmarkEnd w:id="3"/>
      <w:r w:rsidRPr="00D82507">
        <w:rPr>
          <w:rFonts w:ascii="Palatino Linotype" w:eastAsia="Palatino Linotype" w:hAnsi="Palatino Linotype" w:cs="Palatino Linotype"/>
          <w:b/>
          <w:color w:val="000000" w:themeColor="text1"/>
        </w:rPr>
        <w:t>PRIMERO. De la competencia</w:t>
      </w:r>
    </w:p>
    <w:p w:rsidR="00FA1D87"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bookmarkStart w:id="4" w:name="_heading=h.tyjcwt" w:colFirst="0" w:colLast="0"/>
      <w:bookmarkEnd w:id="4"/>
      <w:r w:rsidRPr="00D82507">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w:t>
      </w:r>
      <w:r w:rsidRPr="00D82507">
        <w:rPr>
          <w:rFonts w:ascii="Palatino Linotype" w:eastAsia="Palatino Linotype" w:hAnsi="Palatino Linotype" w:cs="Palatino Linotype"/>
          <w:color w:val="000000" w:themeColor="text1"/>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FA1D87" w:rsidRPr="00D82507">
        <w:rPr>
          <w:rFonts w:ascii="Palatino Linotype" w:eastAsia="Palatino Linotype" w:hAnsi="Palatino Linotype" w:cs="Palatino Linotype"/>
          <w:color w:val="000000" w:themeColor="text1"/>
        </w:rPr>
        <w:t>.</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tabs>
          <w:tab w:val="left" w:pos="426"/>
        </w:tabs>
        <w:spacing w:line="360" w:lineRule="auto"/>
        <w:jc w:val="both"/>
        <w:rPr>
          <w:rFonts w:ascii="Palatino Linotype" w:eastAsia="Palatino Linotype" w:hAnsi="Palatino Linotype" w:cs="Palatino Linotype"/>
          <w:b/>
          <w:color w:val="000000" w:themeColor="text1"/>
        </w:rPr>
      </w:pPr>
      <w:bookmarkStart w:id="5" w:name="_heading=h.3dy6vkm" w:colFirst="0" w:colLast="0"/>
      <w:bookmarkEnd w:id="5"/>
      <w:r w:rsidRPr="00D82507">
        <w:rPr>
          <w:rFonts w:ascii="Palatino Linotype" w:eastAsia="Palatino Linotype" w:hAnsi="Palatino Linotype" w:cs="Palatino Linotype"/>
          <w:b/>
          <w:color w:val="000000" w:themeColor="text1"/>
        </w:rPr>
        <w:t>SEGUNDO. De la oportunidad y procedencia.</w:t>
      </w: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bookmarkStart w:id="6" w:name="_heading=h.1t3h5sf" w:colFirst="0" w:colLast="0"/>
      <w:bookmarkEnd w:id="6"/>
      <w:r w:rsidRPr="00D82507">
        <w:rPr>
          <w:rFonts w:ascii="Palatino Linotype" w:eastAsia="Palatino Linotype" w:hAnsi="Palatino Linotype" w:cs="Palatino Linotype"/>
          <w:color w:val="000000" w:themeColor="text1"/>
        </w:rPr>
        <w:t xml:space="preserve">Los medios de impugnación fueron presentados a través del </w:t>
      </w:r>
      <w:r w:rsidRPr="00D82507">
        <w:rPr>
          <w:rFonts w:ascii="Palatino Linotype" w:eastAsia="Palatino Linotype" w:hAnsi="Palatino Linotype" w:cs="Palatino Linotype"/>
          <w:b/>
          <w:color w:val="000000" w:themeColor="text1"/>
        </w:rPr>
        <w:t>SAIMEX,</w:t>
      </w:r>
      <w:r w:rsidRPr="00D8250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entregó sus respuestas el </w:t>
      </w:r>
      <w:r w:rsidR="00860F27" w:rsidRPr="00D82507">
        <w:rPr>
          <w:rFonts w:ascii="Palatino Linotype" w:eastAsia="Palatino Linotype" w:hAnsi="Palatino Linotype" w:cs="Palatino Linotype"/>
          <w:b/>
          <w:color w:val="000000" w:themeColor="text1"/>
        </w:rPr>
        <w:t>veinticinco, veintiocho y veintinueve de abril de dos mil veinticinco</w:t>
      </w:r>
      <w:r w:rsidRPr="00D82507">
        <w:rPr>
          <w:rFonts w:ascii="Palatino Linotype" w:eastAsia="Palatino Linotype" w:hAnsi="Palatino Linotype" w:cs="Palatino Linotype"/>
          <w:color w:val="000000" w:themeColor="text1"/>
        </w:rPr>
        <w:t xml:space="preserve">, de tal forma que el plazo para interponer el recurso de revisión transcurrió del </w:t>
      </w:r>
      <w:r w:rsidR="00740042" w:rsidRPr="00D82507">
        <w:rPr>
          <w:rFonts w:ascii="Palatino Linotype" w:eastAsia="Palatino Linotype" w:hAnsi="Palatino Linotype" w:cs="Palatino Linotype"/>
          <w:b/>
          <w:color w:val="000000" w:themeColor="text1"/>
        </w:rPr>
        <w:t>veintiocho de abril al veinte de mayo, del veintinueve de abril al veinte de mayo y del treinta de abril al veintidós de mayo de dos mil veinticinco</w:t>
      </w:r>
      <w:r w:rsidRPr="00D82507">
        <w:rPr>
          <w:rFonts w:ascii="Palatino Linotype" w:eastAsia="Palatino Linotype" w:hAnsi="Palatino Linotype" w:cs="Palatino Linotype"/>
          <w:color w:val="000000" w:themeColor="text1"/>
        </w:rPr>
        <w:t xml:space="preserve">; en consecuencia, el ahora </w:t>
      </w:r>
      <w:r w:rsidRPr="00D82507">
        <w:rPr>
          <w:rFonts w:ascii="Palatino Linotype" w:eastAsia="Palatino Linotype" w:hAnsi="Palatino Linotype" w:cs="Palatino Linotype"/>
          <w:b/>
          <w:color w:val="000000" w:themeColor="text1"/>
        </w:rPr>
        <w:t>RECURRENTE</w:t>
      </w:r>
      <w:r w:rsidRPr="00D82507">
        <w:rPr>
          <w:rFonts w:ascii="Palatino Linotype" w:eastAsia="Palatino Linotype" w:hAnsi="Palatino Linotype" w:cs="Palatino Linotype"/>
          <w:color w:val="000000" w:themeColor="text1"/>
        </w:rPr>
        <w:t xml:space="preserve"> presentó sus inconformidades el </w:t>
      </w:r>
      <w:r w:rsidR="00660DD9" w:rsidRPr="00D82507">
        <w:rPr>
          <w:rFonts w:ascii="Palatino Linotype" w:eastAsia="Palatino Linotype" w:hAnsi="Palatino Linotype" w:cs="Palatino Linotype"/>
          <w:b/>
          <w:color w:val="000000" w:themeColor="text1"/>
        </w:rPr>
        <w:t>veintiocho de abril y seis de mayo de dos mil veinticinco</w:t>
      </w:r>
      <w:r w:rsidRPr="00D82507">
        <w:rPr>
          <w:rFonts w:ascii="Palatino Linotype" w:eastAsia="Palatino Linotype" w:hAnsi="Palatino Linotype" w:cs="Palatino Linotype"/>
          <w:color w:val="000000" w:themeColor="text1"/>
        </w:rPr>
        <w:t>; es decir dentro del lapso legalmente establecido para tal efecto.</w:t>
      </w:r>
    </w:p>
    <w:p w:rsidR="00FA1D87" w:rsidRPr="00D82507" w:rsidRDefault="00FA1D87" w:rsidP="00783483">
      <w:pPr>
        <w:jc w:val="both"/>
        <w:rPr>
          <w:rFonts w:ascii="Palatino Linotype" w:eastAsia="Palatino Linotype" w:hAnsi="Palatino Linotype" w:cs="Palatino Linotype"/>
          <w:i/>
          <w:color w:val="000000" w:themeColor="text1"/>
        </w:rPr>
      </w:pPr>
    </w:p>
    <w:p w:rsidR="00EE1CD1" w:rsidRPr="00D82507" w:rsidRDefault="00EE1CD1" w:rsidP="00783483">
      <w:pPr>
        <w:numPr>
          <w:ilvl w:val="0"/>
          <w:numId w:val="3"/>
        </w:numPr>
        <w:spacing w:line="360" w:lineRule="auto"/>
        <w:ind w:left="0" w:firstLine="0"/>
        <w:jc w:val="both"/>
        <w:rPr>
          <w:rFonts w:ascii="Palatino Linotype" w:hAnsi="Palatino Linotype" w:cs="Arial"/>
          <w:bCs/>
          <w:color w:val="000000" w:themeColor="text1"/>
        </w:rPr>
      </w:pPr>
      <w:r w:rsidRPr="00D82507">
        <w:rPr>
          <w:rFonts w:ascii="Palatino Linotype" w:eastAsia="Palatino Linotype" w:hAnsi="Palatino Linotype" w:cs="Palatino Linotype"/>
          <w:color w:val="000000" w:themeColor="text1"/>
        </w:rPr>
        <w:t>Al</w:t>
      </w:r>
      <w:r w:rsidRPr="00D82507">
        <w:rPr>
          <w:rFonts w:ascii="Palatino Linotype" w:hAnsi="Palatino Linotype" w:cs="Arial"/>
          <w:color w:val="000000" w:themeColor="text1"/>
        </w:rPr>
        <w:t xml:space="preserve"> </w:t>
      </w:r>
      <w:r w:rsidRPr="00D82507">
        <w:rPr>
          <w:rFonts w:ascii="Palatino Linotype" w:eastAsia="Calibri" w:hAnsi="Palatino Linotype" w:cs="Arial"/>
          <w:color w:val="000000" w:themeColor="text1"/>
        </w:rPr>
        <w:t xml:space="preserve">respecto, para el recurso de revisión </w:t>
      </w:r>
      <w:r w:rsidRPr="00D82507">
        <w:rPr>
          <w:rFonts w:ascii="Palatino Linotype" w:eastAsia="Calibri" w:hAnsi="Palatino Linotype" w:cs="Arial"/>
          <w:b/>
          <w:color w:val="000000" w:themeColor="text1"/>
        </w:rPr>
        <w:t>04853/INFOEM/IP/RR/2025</w:t>
      </w:r>
      <w:r w:rsidRPr="00D82507">
        <w:rPr>
          <w:rFonts w:ascii="Palatino Linotype" w:hAnsi="Palatino Linotype" w:cs="Arial"/>
          <w:color w:val="000000" w:themeColor="text1"/>
        </w:rPr>
        <w:t xml:space="preserve"> </w:t>
      </w:r>
      <w:r w:rsidRPr="00D82507">
        <w:rPr>
          <w:rFonts w:ascii="Palatino Linotype" w:hAnsi="Palatino Linotype" w:cs="Arial"/>
          <w:bCs/>
          <w:color w:val="000000" w:themeColor="text1"/>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w:t>
      </w:r>
      <w:r w:rsidRPr="00D82507">
        <w:rPr>
          <w:rFonts w:ascii="Palatino Linotype" w:hAnsi="Palatino Linotype" w:cs="Arial"/>
          <w:bCs/>
          <w:color w:val="000000" w:themeColor="text1"/>
        </w:rPr>
        <w:lastRenderedPageBreak/>
        <w:t>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EE1CD1" w:rsidRPr="00D82507" w:rsidRDefault="00EE1CD1" w:rsidP="00783483">
      <w:pPr>
        <w:spacing w:line="360" w:lineRule="auto"/>
        <w:ind w:hanging="360"/>
        <w:contextualSpacing/>
        <w:rPr>
          <w:rFonts w:ascii="Palatino Linotype" w:hAnsi="Palatino Linotype" w:cs="Arial"/>
          <w:color w:val="000000" w:themeColor="text1"/>
        </w:rPr>
      </w:pPr>
    </w:p>
    <w:p w:rsidR="00EE1CD1" w:rsidRPr="00D82507" w:rsidRDefault="00EE1CD1" w:rsidP="00783483">
      <w:pPr>
        <w:numPr>
          <w:ilvl w:val="0"/>
          <w:numId w:val="3"/>
        </w:numPr>
        <w:spacing w:line="360" w:lineRule="auto"/>
        <w:ind w:left="0" w:firstLine="0"/>
        <w:jc w:val="both"/>
        <w:rPr>
          <w:rFonts w:ascii="Palatino Linotype" w:hAnsi="Palatino Linotype" w:cs="Arial"/>
          <w:bCs/>
          <w:color w:val="000000" w:themeColor="text1"/>
        </w:rPr>
      </w:pPr>
      <w:r w:rsidRPr="00D82507">
        <w:rPr>
          <w:rFonts w:ascii="Palatino Linotype" w:hAnsi="Palatino Linotype" w:cs="Arial"/>
          <w:color w:val="000000" w:themeColor="text1"/>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E1CD1" w:rsidRPr="00D82507" w:rsidRDefault="00EE1CD1" w:rsidP="00783483">
      <w:pPr>
        <w:contextualSpacing/>
        <w:jc w:val="both"/>
        <w:rPr>
          <w:rFonts w:ascii="Palatino Linotype" w:hAnsi="Palatino Linotype" w:cs="Arial"/>
          <w:i/>
          <w:color w:val="000000" w:themeColor="text1"/>
        </w:rPr>
      </w:pPr>
      <w:r w:rsidRPr="00D82507">
        <w:rPr>
          <w:rFonts w:ascii="Palatino Linotype" w:hAnsi="Palatino Linotype" w:cs="Arial"/>
          <w:b/>
          <w:i/>
          <w:color w:val="000000" w:themeColor="text1"/>
        </w:rPr>
        <w:t>“RECURSO DE RECLAMACIÓN. SU INTERPOSICIÓN NO ES EXTEMPORÁNEA SI SE REALIZA ANTES DE QUE INICIE EL PLAZO PARA HACERLO</w:t>
      </w:r>
      <w:r w:rsidRPr="00D82507">
        <w:rPr>
          <w:rFonts w:ascii="Palatino Linotype" w:hAnsi="Palatino Linotype" w:cs="Arial"/>
          <w:i/>
          <w:color w:val="000000" w:themeColor="text1"/>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E1CD1" w:rsidRPr="00D82507" w:rsidRDefault="00EE1CD1" w:rsidP="00783483">
      <w:pPr>
        <w:spacing w:line="360" w:lineRule="auto"/>
        <w:contextualSpacing/>
        <w:jc w:val="both"/>
        <w:rPr>
          <w:rFonts w:ascii="Palatino Linotype" w:hAnsi="Palatino Linotype" w:cs="Arial"/>
          <w:i/>
          <w:color w:val="000000" w:themeColor="text1"/>
        </w:rPr>
      </w:pPr>
    </w:p>
    <w:p w:rsidR="00EE1CD1" w:rsidRPr="00D82507" w:rsidRDefault="00EE1CD1" w:rsidP="00783483">
      <w:pPr>
        <w:numPr>
          <w:ilvl w:val="0"/>
          <w:numId w:val="3"/>
        </w:numPr>
        <w:spacing w:line="360" w:lineRule="auto"/>
        <w:ind w:left="0" w:firstLine="0"/>
        <w:jc w:val="both"/>
        <w:rPr>
          <w:rFonts w:ascii="Palatino Linotype" w:hAnsi="Palatino Linotype" w:cs="Arial"/>
          <w:i/>
          <w:color w:val="000000" w:themeColor="text1"/>
        </w:rPr>
      </w:pPr>
      <w:r w:rsidRPr="00D82507">
        <w:rPr>
          <w:rFonts w:ascii="Palatino Linotype" w:hAnsi="Palatino Linotype" w:cs="Arial"/>
          <w:color w:val="000000" w:themeColor="text1"/>
        </w:rPr>
        <w:t>Esto</w:t>
      </w:r>
      <w:r w:rsidRPr="00D82507">
        <w:rPr>
          <w:rFonts w:ascii="Palatino Linotype" w:hAnsi="Palatino Linotype"/>
          <w:color w:val="000000" w:themeColor="text1"/>
        </w:rPr>
        <w:t xml:space="preserve"> es así porque en primer lugar es necesario que </w:t>
      </w:r>
      <w:r w:rsidRPr="00D82507">
        <w:rPr>
          <w:rFonts w:ascii="Palatino Linotype" w:hAnsi="Palatino Linotype"/>
          <w:b/>
          <w:color w:val="000000" w:themeColor="text1"/>
        </w:rPr>
        <w:t>EL RECURRENTE</w:t>
      </w:r>
      <w:r w:rsidRPr="00D82507">
        <w:rPr>
          <w:rFonts w:ascii="Palatino Linotype" w:hAnsi="Palatino Linotype"/>
          <w:color w:val="000000" w:themeColor="text1"/>
        </w:rPr>
        <w:t xml:space="preserve"> conozca el acto que le provoca agravio y a partir de ahí formular su recurso de revisión </w:t>
      </w:r>
      <w:r w:rsidRPr="00D82507">
        <w:rPr>
          <w:rFonts w:ascii="Palatino Linotype" w:hAnsi="Palatino Linotype" w:cs="Arial"/>
          <w:color w:val="000000" w:themeColor="text1"/>
        </w:rPr>
        <w:t>señalando</w:t>
      </w:r>
      <w:r w:rsidRPr="00D82507">
        <w:rPr>
          <w:rFonts w:ascii="Palatino Linotype" w:hAnsi="Palatino Linotype"/>
          <w:color w:val="000000" w:themeColor="text1"/>
        </w:rPr>
        <w:t xml:space="preserve"> </w:t>
      </w:r>
      <w:r w:rsidRPr="00D82507">
        <w:rPr>
          <w:rFonts w:ascii="Palatino Linotype" w:hAnsi="Palatino Linotype" w:cs="Arial"/>
          <w:color w:val="000000" w:themeColor="text1"/>
        </w:rPr>
        <w:t>tanto</w:t>
      </w:r>
      <w:r w:rsidRPr="00D82507">
        <w:rPr>
          <w:rFonts w:ascii="Palatino Linotype" w:hAnsi="Palatino Linotype"/>
          <w:color w:val="000000" w:themeColor="text1"/>
        </w:rPr>
        <w:t xml:space="preserve"> el acto impugnado como el motivo de inconformidad. Y si bien la ley señala que el plazo corre un día después de haber sido notificada la respuesta, en nada se afecta al proceso que el mismo día de </w:t>
      </w:r>
      <w:r w:rsidRPr="00D82507">
        <w:rPr>
          <w:rFonts w:ascii="Palatino Linotype" w:hAnsi="Palatino Linotype"/>
          <w:b/>
          <w:color w:val="000000" w:themeColor="text1"/>
        </w:rPr>
        <w:t>notificada EL RECURRENTE</w:t>
      </w:r>
      <w:r w:rsidRPr="00D82507">
        <w:rPr>
          <w:rFonts w:ascii="Palatino Linotype" w:hAnsi="Palatino Linotype"/>
          <w:color w:val="000000" w:themeColor="text1"/>
        </w:rPr>
        <w:t xml:space="preserve"> actúe, ya que al contrario lo que demuestra es el interés del mismo para ejercer su derecho bajo el principio constitucional de justicia expedita.</w:t>
      </w:r>
    </w:p>
    <w:p w:rsidR="00EE1CD1" w:rsidRPr="00D82507" w:rsidRDefault="00EE1CD1" w:rsidP="00783483">
      <w:pPr>
        <w:numPr>
          <w:ilvl w:val="0"/>
          <w:numId w:val="3"/>
        </w:numPr>
        <w:spacing w:line="360" w:lineRule="auto"/>
        <w:ind w:left="0" w:firstLine="0"/>
        <w:jc w:val="both"/>
        <w:rPr>
          <w:rFonts w:ascii="Palatino Linotype" w:hAnsi="Palatino Linotype" w:cs="Arial"/>
          <w:i/>
          <w:color w:val="000000" w:themeColor="text1"/>
        </w:rPr>
      </w:pPr>
      <w:r w:rsidRPr="00D82507">
        <w:rPr>
          <w:rFonts w:ascii="Palatino Linotype" w:hAnsi="Palatino Linotype"/>
          <w:color w:val="000000" w:themeColor="text1"/>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EE1CD1" w:rsidRPr="00D82507" w:rsidRDefault="00EE1CD1" w:rsidP="00783483">
      <w:pPr>
        <w:spacing w:line="360" w:lineRule="auto"/>
        <w:ind w:hanging="360"/>
        <w:contextualSpacing/>
        <w:rPr>
          <w:rFonts w:ascii="Palatino Linotype" w:hAnsi="Palatino Linotype"/>
          <w:color w:val="000000" w:themeColor="text1"/>
        </w:rPr>
      </w:pPr>
    </w:p>
    <w:p w:rsidR="0002185D"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Las solicitudes anónimas</w:t>
      </w:r>
      <w:r w:rsidRPr="00D82507">
        <w:rPr>
          <w:rFonts w:ascii="Palatino Linotype" w:eastAsia="Palatino Linotype" w:hAnsi="Palatino Linotype" w:cs="Palatino Linotype"/>
          <w:i/>
          <w:color w:val="000000" w:themeColor="text1"/>
        </w:rPr>
        <w:t xml:space="preserve">, con nombre incompleto o seudónimo </w:t>
      </w:r>
      <w:r w:rsidRPr="00D82507">
        <w:rPr>
          <w:rFonts w:ascii="Palatino Linotype" w:eastAsia="Palatino Linotype" w:hAnsi="Palatino Linotype" w:cs="Palatino Linotype"/>
          <w:b/>
          <w:i/>
          <w:color w:val="000000" w:themeColor="text1"/>
        </w:rPr>
        <w:t>serán procedentes para su trámite por parte del sujeto obligado ante quien se presente</w:t>
      </w:r>
      <w:r w:rsidRPr="00D82507">
        <w:rPr>
          <w:rFonts w:ascii="Palatino Linotype" w:eastAsia="Palatino Linotype" w:hAnsi="Palatino Linotype" w:cs="Palatino Linotype"/>
          <w:i/>
          <w:color w:val="000000" w:themeColor="text1"/>
        </w:rPr>
        <w:t>. No podrá requerirse información adicional con motivo del nombre proporcionado por el solicitante."</w:t>
      </w:r>
    </w:p>
    <w:p w:rsidR="0002185D" w:rsidRPr="00D82507" w:rsidRDefault="0002185D" w:rsidP="00783483">
      <w:pPr>
        <w:spacing w:line="360" w:lineRule="auto"/>
        <w:jc w:val="both"/>
        <w:rPr>
          <w:rFonts w:ascii="Palatino Linotype" w:eastAsia="Palatino Linotype" w:hAnsi="Palatino Linotype" w:cs="Palatino Linotype"/>
          <w:color w:val="000000" w:themeColor="text1"/>
        </w:rPr>
      </w:pPr>
    </w:p>
    <w:p w:rsidR="0002185D"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Artículo 6.-</w:t>
      </w:r>
      <w:r w:rsidRPr="00D82507">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Para efectos de lo dispuesto en el presente artículo se observará lo siguiente:</w:t>
      </w:r>
    </w:p>
    <w:p w:rsidR="0002185D" w:rsidRPr="00D82507" w:rsidRDefault="0002185D" w:rsidP="00783483">
      <w:pPr>
        <w:jc w:val="both"/>
        <w:rPr>
          <w:rFonts w:ascii="Palatino Linotype" w:eastAsia="Palatino Linotype" w:hAnsi="Palatino Linotype" w:cs="Palatino Linotype"/>
          <w:i/>
          <w:color w:val="000000" w:themeColor="text1"/>
        </w:rPr>
      </w:pP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xml:space="preserve">III. Toda persona, sin necesidad de acreditar interés alguno o justificar su utilización, tendrá acceso gratuito a la información pública, a sus datos personales o a la rectificación de éstos.” </w:t>
      </w:r>
      <w:r w:rsidRPr="00D82507">
        <w:rPr>
          <w:rFonts w:ascii="Palatino Linotype" w:eastAsia="Palatino Linotype" w:hAnsi="Palatino Linotype" w:cs="Palatino Linotype"/>
          <w:color w:val="000000" w:themeColor="text1"/>
        </w:rPr>
        <w:t>(Sic)</w:t>
      </w:r>
    </w:p>
    <w:p w:rsidR="0002185D" w:rsidRPr="00D82507" w:rsidRDefault="0002185D" w:rsidP="00783483">
      <w:pPr>
        <w:jc w:val="both"/>
        <w:rPr>
          <w:rFonts w:ascii="Palatino Linotype" w:eastAsia="Palatino Linotype" w:hAnsi="Palatino Linotype" w:cs="Palatino Linotype"/>
          <w:i/>
          <w:color w:val="000000" w:themeColor="text1"/>
        </w:rPr>
      </w:pPr>
    </w:p>
    <w:p w:rsidR="0002185D"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Artículo 5.-</w:t>
      </w:r>
      <w:r w:rsidRPr="00D82507">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82507">
        <w:rPr>
          <w:rFonts w:ascii="Palatino Linotype" w:eastAsia="Palatino Linotype" w:hAnsi="Palatino Linotype" w:cs="Palatino Linotype"/>
          <w:color w:val="000000" w:themeColor="text1"/>
        </w:rPr>
        <w:t>(Sic)</w:t>
      </w:r>
    </w:p>
    <w:p w:rsidR="0002185D" w:rsidRPr="00D82507" w:rsidRDefault="0002185D" w:rsidP="00783483">
      <w:pPr>
        <w:spacing w:line="360" w:lineRule="auto"/>
        <w:jc w:val="both"/>
        <w:rPr>
          <w:rFonts w:ascii="Palatino Linotype" w:eastAsia="Palatino Linotype" w:hAnsi="Palatino Linotype" w:cs="Palatino Linotype"/>
          <w:i/>
          <w:color w:val="000000" w:themeColor="text1"/>
        </w:rPr>
      </w:pPr>
    </w:p>
    <w:p w:rsidR="0002185D"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Por otra parte, del contenido del artículo 1 de la Constitución Política de los Estados Unidos mexicanos, se destaca lo siguiente:</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Artículo 1</w:t>
      </w:r>
      <w:r w:rsidRPr="00D82507">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02185D" w:rsidRPr="00D82507" w:rsidRDefault="0002185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2185D" w:rsidRPr="00D82507" w:rsidRDefault="0002185D" w:rsidP="00783483">
      <w:pPr>
        <w:spacing w:line="360" w:lineRule="auto"/>
        <w:jc w:val="both"/>
        <w:rPr>
          <w:rFonts w:ascii="Palatino Linotype" w:eastAsia="Palatino Linotype" w:hAnsi="Palatino Linotype" w:cs="Palatino Linotype"/>
          <w:i/>
          <w:color w:val="000000" w:themeColor="text1"/>
        </w:rPr>
      </w:pPr>
    </w:p>
    <w:p w:rsidR="0002185D" w:rsidRPr="00D82507" w:rsidRDefault="0002185D"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D82507">
        <w:rPr>
          <w:rFonts w:ascii="Palatino Linotype" w:eastAsia="Palatino Linotype" w:hAnsi="Palatino Linotype" w:cs="Palatino Linotype"/>
          <w:i/>
          <w:color w:val="000000" w:themeColor="text1"/>
        </w:rPr>
        <w:t>derecho fundamental exime a quien lo ejerce</w:t>
      </w:r>
      <w:r w:rsidRPr="00D82507">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2185D" w:rsidRPr="00D82507" w:rsidRDefault="0002185D" w:rsidP="00783483">
      <w:pPr>
        <w:spacing w:line="360" w:lineRule="auto"/>
        <w:jc w:val="both"/>
        <w:rPr>
          <w:rFonts w:ascii="Palatino Linotype" w:eastAsia="Palatino Linotype" w:hAnsi="Palatino Linotype" w:cs="Palatino Linotype"/>
          <w:color w:val="000000" w:themeColor="text1"/>
        </w:rPr>
      </w:pPr>
    </w:p>
    <w:p w:rsidR="0002185D" w:rsidRPr="00D82507" w:rsidRDefault="0002185D"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D82507">
        <w:rPr>
          <w:rFonts w:ascii="Palatino Linotype" w:eastAsia="Palatino Linotype" w:hAnsi="Palatino Linotype" w:cs="Palatino Linotype"/>
          <w:b/>
          <w:color w:val="000000" w:themeColor="text1"/>
        </w:rPr>
        <w:t>RECURRENTE</w:t>
      </w:r>
      <w:r w:rsidRPr="00D82507">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w:t>
      </w:r>
      <w:r w:rsidRPr="00D82507">
        <w:rPr>
          <w:rFonts w:ascii="Palatino Linotype" w:eastAsia="Palatino Linotype" w:hAnsi="Palatino Linotype" w:cs="Palatino Linotype"/>
          <w:color w:val="000000" w:themeColor="text1"/>
        </w:rPr>
        <w:lastRenderedPageBreak/>
        <w:t xml:space="preserve">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w:t>
      </w:r>
    </w:p>
    <w:p w:rsidR="00EE1CD1" w:rsidRPr="00D82507" w:rsidRDefault="00EE1CD1" w:rsidP="00783483">
      <w:pPr>
        <w:spacing w:line="360" w:lineRule="auto"/>
        <w:jc w:val="both"/>
        <w:rPr>
          <w:rFonts w:ascii="Palatino Linotype" w:hAnsi="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A1D87" w:rsidRPr="00D82507" w:rsidRDefault="00FA1D87" w:rsidP="00783483">
      <w:pPr>
        <w:spacing w:line="360" w:lineRule="auto"/>
        <w:rPr>
          <w:rFonts w:ascii="Palatino Linotype" w:eastAsia="Palatino Linotype" w:hAnsi="Palatino Linotype" w:cs="Palatino Linotype"/>
          <w:color w:val="000000" w:themeColor="text1"/>
        </w:rPr>
      </w:pPr>
    </w:p>
    <w:p w:rsidR="00FA1D87" w:rsidRPr="00D82507" w:rsidRDefault="00FA1D87" w:rsidP="00783483">
      <w:pPr>
        <w:keepNext/>
        <w:keepLines/>
        <w:spacing w:line="360" w:lineRule="auto"/>
        <w:rPr>
          <w:rFonts w:ascii="Palatino Linotype" w:eastAsia="Palatino Linotype" w:hAnsi="Palatino Linotype" w:cs="Palatino Linotype"/>
          <w:b/>
          <w:color w:val="000000" w:themeColor="text1"/>
        </w:rPr>
      </w:pPr>
      <w:bookmarkStart w:id="7" w:name="_heading=h.4d34og8" w:colFirst="0" w:colLast="0"/>
      <w:bookmarkEnd w:id="7"/>
      <w:r w:rsidRPr="00D82507">
        <w:rPr>
          <w:rFonts w:ascii="Palatino Linotype" w:eastAsia="Palatino Linotype" w:hAnsi="Palatino Linotype" w:cs="Palatino Linotype"/>
          <w:b/>
          <w:color w:val="000000" w:themeColor="text1"/>
        </w:rPr>
        <w:t xml:space="preserve">TERCERO. Del planteamiento de la </w:t>
      </w:r>
      <w:r w:rsidRPr="00D82507">
        <w:rPr>
          <w:rFonts w:ascii="Palatino Linotype" w:eastAsia="Palatino Linotype" w:hAnsi="Palatino Linotype" w:cs="Palatino Linotype"/>
          <w:b/>
          <w:i/>
          <w:color w:val="000000" w:themeColor="text1"/>
        </w:rPr>
        <w:t>Litis</w:t>
      </w:r>
      <w:r w:rsidRPr="00D82507">
        <w:rPr>
          <w:rFonts w:ascii="Palatino Linotype" w:eastAsia="Palatino Linotype" w:hAnsi="Palatino Linotype" w:cs="Palatino Linotype"/>
          <w:b/>
          <w:color w:val="000000" w:themeColor="text1"/>
        </w:rPr>
        <w:t>.</w:t>
      </w: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tbl>
      <w:tblPr>
        <w:tblStyle w:val="Tablaconcuadrcula"/>
        <w:tblW w:w="0" w:type="auto"/>
        <w:tblLook w:val="04A0" w:firstRow="1" w:lastRow="0" w:firstColumn="1" w:lastColumn="0" w:noHBand="0" w:noVBand="1"/>
      </w:tblPr>
      <w:tblGrid>
        <w:gridCol w:w="4389"/>
        <w:gridCol w:w="4390"/>
      </w:tblGrid>
      <w:tr w:rsidR="00783483" w:rsidRPr="00D82507" w:rsidTr="003F0A7D">
        <w:tc>
          <w:tcPr>
            <w:tcW w:w="4389" w:type="dxa"/>
          </w:tcPr>
          <w:p w:rsidR="009D14D2" w:rsidRPr="00D82507" w:rsidRDefault="009D14D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Solicitud de información </w:t>
            </w:r>
          </w:p>
        </w:tc>
        <w:tc>
          <w:tcPr>
            <w:tcW w:w="4390" w:type="dxa"/>
          </w:tcPr>
          <w:p w:rsidR="009D14D2" w:rsidRPr="00D82507" w:rsidRDefault="009D14D2"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Información solicitada </w:t>
            </w:r>
          </w:p>
        </w:tc>
      </w:tr>
      <w:tr w:rsidR="00783483" w:rsidRPr="00D82507" w:rsidTr="003F0A7D">
        <w:tc>
          <w:tcPr>
            <w:tcW w:w="4389" w:type="dxa"/>
          </w:tcPr>
          <w:p w:rsidR="003F0A7D" w:rsidRPr="00D82507" w:rsidRDefault="003F0A7D" w:rsidP="00783483">
            <w:pPr>
              <w:jc w:val="both"/>
              <w:rPr>
                <w:rFonts w:ascii="Palatino Linotype" w:eastAsia="Palatino Linotype" w:hAnsi="Palatino Linotype" w:cs="Palatino Linotype"/>
                <w:b/>
                <w:i/>
                <w:color w:val="000000" w:themeColor="text1"/>
              </w:rPr>
            </w:pPr>
          </w:p>
        </w:tc>
        <w:tc>
          <w:tcPr>
            <w:tcW w:w="4390" w:type="dxa"/>
          </w:tcPr>
          <w:p w:rsidR="003F0A7D" w:rsidRPr="00D82507" w:rsidRDefault="003F0A7D" w:rsidP="00783483">
            <w:pPr>
              <w:jc w:val="both"/>
              <w:rPr>
                <w:rFonts w:ascii="Palatino Linotype" w:eastAsia="Palatino Linotype" w:hAnsi="Palatino Linotype" w:cs="Palatino Linotype"/>
                <w:i/>
                <w:color w:val="000000" w:themeColor="text1"/>
              </w:rPr>
            </w:pPr>
          </w:p>
        </w:tc>
      </w:tr>
      <w:tr w:rsidR="00783483" w:rsidRPr="00D82507" w:rsidTr="003F0A7D">
        <w:tc>
          <w:tcPr>
            <w:tcW w:w="4389" w:type="dxa"/>
          </w:tcPr>
          <w:p w:rsidR="009D14D2" w:rsidRPr="00D82507" w:rsidRDefault="009D14D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9D14D2" w:rsidRPr="00D82507" w:rsidRDefault="009D14D2" w:rsidP="00783483">
            <w:pPr>
              <w:jc w:val="both"/>
              <w:rPr>
                <w:rFonts w:ascii="Palatino Linotype" w:eastAsia="Palatino Linotype" w:hAnsi="Palatino Linotype" w:cs="Palatino Linotype"/>
                <w:i/>
                <w:color w:val="000000" w:themeColor="text1"/>
              </w:rPr>
            </w:pPr>
          </w:p>
        </w:tc>
        <w:tc>
          <w:tcPr>
            <w:tcW w:w="4390" w:type="dxa"/>
          </w:tcPr>
          <w:p w:rsidR="009D14D2" w:rsidRPr="00D82507" w:rsidRDefault="00CD4CBB"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Factura de pago para traer a "María José, para la Feria del Taco </w:t>
            </w:r>
          </w:p>
        </w:tc>
      </w:tr>
      <w:tr w:rsidR="00783483" w:rsidRPr="00D82507" w:rsidTr="003F0A7D">
        <w:tc>
          <w:tcPr>
            <w:tcW w:w="4389" w:type="dxa"/>
          </w:tcPr>
          <w:p w:rsidR="009D14D2" w:rsidRPr="00D82507" w:rsidRDefault="009D14D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00173/ZINACANT/IP/2025</w:t>
            </w:r>
          </w:p>
          <w:p w:rsidR="009D14D2" w:rsidRPr="00D82507" w:rsidRDefault="009D14D2" w:rsidP="00783483">
            <w:pPr>
              <w:jc w:val="both"/>
              <w:rPr>
                <w:rFonts w:ascii="Palatino Linotype" w:eastAsia="Palatino Linotype" w:hAnsi="Palatino Linotype" w:cs="Palatino Linotype"/>
                <w:i/>
                <w:color w:val="000000" w:themeColor="text1"/>
              </w:rPr>
            </w:pPr>
          </w:p>
        </w:tc>
        <w:tc>
          <w:tcPr>
            <w:tcW w:w="4390" w:type="dxa"/>
          </w:tcPr>
          <w:p w:rsidR="009D14D2" w:rsidRPr="00D82507" w:rsidRDefault="00CD4CBB"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Factura y costo de los inflables de la séptima feria del taco2025</w:t>
            </w:r>
          </w:p>
        </w:tc>
      </w:tr>
      <w:tr w:rsidR="009D14D2" w:rsidRPr="00D82507" w:rsidTr="003F0A7D">
        <w:tc>
          <w:tcPr>
            <w:tcW w:w="4389" w:type="dxa"/>
          </w:tcPr>
          <w:p w:rsidR="009D14D2" w:rsidRPr="00D82507" w:rsidRDefault="009D14D2"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9D14D2" w:rsidRPr="00D82507" w:rsidRDefault="009D14D2" w:rsidP="00783483">
            <w:pPr>
              <w:jc w:val="both"/>
              <w:rPr>
                <w:rFonts w:ascii="Palatino Linotype" w:eastAsia="Palatino Linotype" w:hAnsi="Palatino Linotype" w:cs="Palatino Linotype"/>
                <w:i/>
                <w:color w:val="000000" w:themeColor="text1"/>
              </w:rPr>
            </w:pPr>
          </w:p>
        </w:tc>
        <w:tc>
          <w:tcPr>
            <w:tcW w:w="4390" w:type="dxa"/>
          </w:tcPr>
          <w:p w:rsidR="00265399" w:rsidRPr="00D82507" w:rsidRDefault="00265399"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Factura y Contrato de pago para el grupo "Bronco"</w:t>
            </w:r>
          </w:p>
          <w:p w:rsidR="009D14D2" w:rsidRPr="00D82507" w:rsidRDefault="009D14D2" w:rsidP="00783483">
            <w:pPr>
              <w:jc w:val="both"/>
              <w:rPr>
                <w:rFonts w:ascii="Palatino Linotype" w:eastAsia="Palatino Linotype" w:hAnsi="Palatino Linotype" w:cs="Palatino Linotype"/>
                <w:i/>
                <w:color w:val="000000" w:themeColor="text1"/>
              </w:rPr>
            </w:pPr>
          </w:p>
        </w:tc>
      </w:tr>
    </w:tbl>
    <w:p w:rsidR="00FA1D87" w:rsidRPr="00D82507" w:rsidRDefault="00FA1D87" w:rsidP="00783483">
      <w:pPr>
        <w:pStyle w:val="Prrafodelista"/>
        <w:spacing w:line="360" w:lineRule="auto"/>
        <w:ind w:left="0"/>
        <w:jc w:val="both"/>
        <w:rPr>
          <w:rFonts w:ascii="Palatino Linotype" w:eastAsia="Palatino Linotype" w:hAnsi="Palatino Linotype" w:cs="Palatino Linotype"/>
          <w:b/>
          <w:i/>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 xml:space="preserve">En respuesta, el </w:t>
      </w:r>
      <w:r w:rsidRPr="00D82507">
        <w:rPr>
          <w:rFonts w:ascii="Palatino Linotype" w:eastAsia="Palatino Linotype" w:hAnsi="Palatino Linotype" w:cs="Palatino Linotype"/>
          <w:b/>
          <w:color w:val="000000" w:themeColor="text1"/>
        </w:rPr>
        <w:t xml:space="preserve">SUJETO OBLIGADO </w:t>
      </w:r>
      <w:r w:rsidRPr="00D82507">
        <w:rPr>
          <w:rFonts w:ascii="Palatino Linotype" w:eastAsia="Palatino Linotype" w:hAnsi="Palatino Linotype" w:cs="Palatino Linotype"/>
          <w:color w:val="000000" w:themeColor="text1"/>
        </w:rPr>
        <w:t xml:space="preserve">remitió </w:t>
      </w:r>
      <w:r w:rsidR="00CD4CBB" w:rsidRPr="00D82507">
        <w:rPr>
          <w:rFonts w:ascii="Palatino Linotype" w:eastAsia="Palatino Linotype" w:hAnsi="Palatino Linotype" w:cs="Palatino Linotype"/>
          <w:color w:val="000000" w:themeColor="text1"/>
        </w:rPr>
        <w:t>la información descrita en el párrafo cuatro de la presente resolución.</w:t>
      </w:r>
      <w:r w:rsidRPr="00D82507">
        <w:rPr>
          <w:rFonts w:ascii="Palatino Linotype" w:eastAsia="Palatino Linotype" w:hAnsi="Palatino Linotype" w:cs="Palatino Linotype"/>
          <w:color w:val="000000" w:themeColor="text1"/>
        </w:rPr>
        <w:t xml:space="preserve"> </w:t>
      </w:r>
    </w:p>
    <w:p w:rsidR="00FA1D87" w:rsidRPr="00D82507" w:rsidRDefault="00FA1D87" w:rsidP="00783483">
      <w:pPr>
        <w:tabs>
          <w:tab w:val="left" w:pos="1225"/>
        </w:tabs>
        <w:spacing w:line="360" w:lineRule="auto"/>
        <w:jc w:val="both"/>
        <w:rPr>
          <w:rFonts w:ascii="Palatino Linotype" w:eastAsia="Palatino Linotype" w:hAnsi="Palatino Linotype" w:cs="Palatino Linotype"/>
          <w:b/>
          <w:i/>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En dichas condiciones, la </w:t>
      </w:r>
      <w:r w:rsidRPr="00D82507">
        <w:rPr>
          <w:rFonts w:ascii="Palatino Linotype" w:eastAsia="Palatino Linotype" w:hAnsi="Palatino Linotype" w:cs="Palatino Linotype"/>
          <w:i/>
          <w:color w:val="000000" w:themeColor="text1"/>
        </w:rPr>
        <w:t>Litis</w:t>
      </w:r>
      <w:r w:rsidRPr="00D82507">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D82507">
        <w:rPr>
          <w:rFonts w:ascii="Palatino Linotype" w:eastAsia="Palatino Linotype" w:hAnsi="Palatino Linotype" w:cs="Palatino Linotype"/>
          <w:b/>
          <w:color w:val="000000" w:themeColor="text1"/>
        </w:rPr>
        <w:t xml:space="preserve">fracción I </w:t>
      </w:r>
      <w:r w:rsidRPr="00D82507">
        <w:rPr>
          <w:rFonts w:ascii="Palatino Linotype" w:eastAsia="Palatino Linotype" w:hAnsi="Palatino Linotype" w:cs="Palatino Linotype"/>
          <w:color w:val="000000" w:themeColor="text1"/>
        </w:rPr>
        <w:t>de la Ley</w:t>
      </w:r>
      <w:r w:rsidRPr="00D82507">
        <w:rPr>
          <w:rFonts w:ascii="Palatino Linotype" w:eastAsia="Palatino Linotype" w:hAnsi="Palatino Linotype" w:cs="Palatino Linotype"/>
          <w:b/>
          <w:color w:val="000000" w:themeColor="text1"/>
        </w:rPr>
        <w:t xml:space="preserve"> de Transparencia y Acceso a la Información Pública del Estado de </w:t>
      </w:r>
      <w:r w:rsidRPr="00D82507">
        <w:rPr>
          <w:rFonts w:ascii="Palatino Linotype" w:eastAsia="Palatino Linotype" w:hAnsi="Palatino Linotype" w:cs="Palatino Linotype"/>
          <w:color w:val="000000" w:themeColor="text1"/>
        </w:rPr>
        <w:t>México</w:t>
      </w:r>
      <w:r w:rsidRPr="00D82507">
        <w:rPr>
          <w:rFonts w:ascii="Palatino Linotype" w:eastAsia="Palatino Linotype" w:hAnsi="Palatino Linotype" w:cs="Palatino Linotype"/>
          <w:b/>
          <w:color w:val="000000" w:themeColor="text1"/>
        </w:rPr>
        <w:t xml:space="preserve"> y Municipios</w:t>
      </w:r>
      <w:r w:rsidRPr="00D82507">
        <w:rPr>
          <w:rFonts w:ascii="Palatino Linotype" w:eastAsia="Palatino Linotype" w:hAnsi="Palatino Linotype" w:cs="Palatino Linotype"/>
          <w:color w:val="000000" w:themeColor="text1"/>
        </w:rPr>
        <w:t xml:space="preserve">; fracciones que determinan las hipótesis jurídica relativa a la negativa de información solicitada; contexto del cual se dolió </w:t>
      </w:r>
      <w:r w:rsidRPr="00D82507">
        <w:rPr>
          <w:rFonts w:ascii="Palatino Linotype" w:eastAsia="Palatino Linotype" w:hAnsi="Palatino Linotype" w:cs="Palatino Linotype"/>
          <w:b/>
          <w:color w:val="000000" w:themeColor="text1"/>
        </w:rPr>
        <w:t xml:space="preserve">EL RECURRENTE </w:t>
      </w:r>
      <w:r w:rsidRPr="00D82507">
        <w:rPr>
          <w:rFonts w:ascii="Palatino Linotype" w:eastAsia="Palatino Linotype" w:hAnsi="Palatino Linotype" w:cs="Palatino Linotype"/>
          <w:color w:val="000000" w:themeColor="text1"/>
        </w:rPr>
        <w:t>al momento de interponer su inconformidad.</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modo tal que los recursos de revisión se abocaran en determinar si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con sus respuestas ciertamente actualiza la causal de procedencia</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FA1D87" w:rsidRPr="00D82507" w:rsidRDefault="00FA1D87" w:rsidP="00783483">
      <w:pPr>
        <w:spacing w:line="360" w:lineRule="auto"/>
        <w:rPr>
          <w:rFonts w:ascii="Palatino Linotype" w:eastAsia="Palatino Linotype" w:hAnsi="Palatino Linotype" w:cs="Palatino Linotype"/>
          <w:color w:val="000000" w:themeColor="text1"/>
        </w:rPr>
      </w:pPr>
    </w:p>
    <w:p w:rsidR="00FA1D87" w:rsidRPr="00D82507" w:rsidRDefault="00FA1D87" w:rsidP="00783483">
      <w:pPr>
        <w:keepNext/>
        <w:keepLines/>
        <w:spacing w:line="360" w:lineRule="auto"/>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CUARTO. Del estudio y resolución del asunto</w:t>
      </w:r>
    </w:p>
    <w:p w:rsidR="00FA1D87" w:rsidRPr="00D82507" w:rsidRDefault="00FA1D87" w:rsidP="00783483">
      <w:pPr>
        <w:keepNext/>
        <w:keepLines/>
        <w:numPr>
          <w:ilvl w:val="0"/>
          <w:numId w:val="1"/>
        </w:numPr>
        <w:spacing w:after="240" w:line="360" w:lineRule="auto"/>
        <w:ind w:left="0"/>
        <w:rPr>
          <w:rFonts w:ascii="Palatino Linotype" w:eastAsia="Palatino Linotype" w:hAnsi="Palatino Linotype" w:cs="Palatino Linotype"/>
          <w:b/>
          <w:color w:val="000000" w:themeColor="text1"/>
        </w:rPr>
      </w:pPr>
      <w:bookmarkStart w:id="8" w:name="_heading=h.2s8eyo1" w:colFirst="0" w:colLast="0"/>
      <w:bookmarkEnd w:id="8"/>
      <w:r w:rsidRPr="00D82507">
        <w:rPr>
          <w:rFonts w:ascii="Palatino Linotype" w:eastAsia="Palatino Linotype" w:hAnsi="Palatino Linotype" w:cs="Palatino Linotype"/>
          <w:b/>
          <w:color w:val="000000" w:themeColor="text1"/>
        </w:rPr>
        <w:t>Del derecho de acceso a la información.</w:t>
      </w:r>
    </w:p>
    <w:p w:rsidR="00FA1D87" w:rsidRPr="00D82507" w:rsidRDefault="00FA1D87" w:rsidP="007834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w:t>
      </w:r>
      <w:r w:rsidRPr="00D82507">
        <w:rPr>
          <w:rFonts w:ascii="Palatino Linotype" w:eastAsia="Palatino Linotype" w:hAnsi="Palatino Linotype" w:cs="Palatino Linotype"/>
          <w:color w:val="000000" w:themeColor="text1"/>
        </w:rPr>
        <w:lastRenderedPageBreak/>
        <w:t xml:space="preserve">de la Constitución Política de los Estados Unidos Mexicanos y en el artículo quinto de la Particular del Estado de México. </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Definiendo el Derecho de Acceso a la Información Pública como: </w:t>
      </w:r>
      <w:r w:rsidRPr="00D82507">
        <w:rPr>
          <w:rFonts w:ascii="Palatino Linotype" w:eastAsia="Palatino Linotype" w:hAnsi="Palatino Linotype" w:cs="Palatino Linotype"/>
          <w:i/>
          <w:color w:val="000000" w:themeColor="text1"/>
        </w:rPr>
        <w:t>La igualdad de oportunidades para recibir, buscar e impartir información</w:t>
      </w:r>
      <w:r w:rsidRPr="00D82507">
        <w:rPr>
          <w:rFonts w:ascii="Palatino Linotype" w:eastAsia="Palatino Linotype" w:hAnsi="Palatino Linotype" w:cs="Palatino Linotype"/>
          <w:i/>
          <w:color w:val="000000" w:themeColor="text1"/>
          <w:vertAlign w:val="superscript"/>
        </w:rPr>
        <w:footnoteReference w:id="2"/>
      </w:r>
      <w:r w:rsidRPr="00D82507">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2507">
        <w:rPr>
          <w:rFonts w:ascii="Palatino Linotype" w:eastAsia="Palatino Linotype" w:hAnsi="Palatino Linotype" w:cs="Palatino Linotype"/>
          <w:i/>
          <w:color w:val="000000" w:themeColor="text1"/>
          <w:vertAlign w:val="superscript"/>
        </w:rPr>
        <w:footnoteReference w:id="3"/>
      </w:r>
      <w:r w:rsidRPr="00D82507">
        <w:rPr>
          <w:rFonts w:ascii="Palatino Linotype" w:eastAsia="Palatino Linotype" w:hAnsi="Palatino Linotype" w:cs="Palatino Linotype"/>
          <w:color w:val="000000" w:themeColor="text1"/>
        </w:rPr>
        <w:t>que se constituye como una herramienta fundamental para ejercer</w:t>
      </w:r>
      <w:r w:rsidRPr="00D82507">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D82507">
        <w:rPr>
          <w:rFonts w:ascii="Palatino Linotype" w:eastAsia="Palatino Linotype" w:hAnsi="Palatino Linotype" w:cs="Palatino Linotype"/>
          <w:i/>
          <w:color w:val="000000" w:themeColor="text1"/>
          <w:vertAlign w:val="superscript"/>
        </w:rPr>
        <w:footnoteReference w:id="4"/>
      </w:r>
      <w:r w:rsidRPr="00D82507">
        <w:rPr>
          <w:rFonts w:ascii="Palatino Linotype" w:eastAsia="Palatino Linotype" w:hAnsi="Palatino Linotype" w:cs="Palatino Linotype"/>
          <w:color w:val="000000" w:themeColor="text1"/>
        </w:rPr>
        <w:t>fomentando</w:t>
      </w:r>
      <w:r w:rsidRPr="00D82507">
        <w:rPr>
          <w:rFonts w:ascii="Palatino Linotype" w:eastAsia="Palatino Linotype" w:hAnsi="Palatino Linotype" w:cs="Palatino Linotype"/>
          <w:i/>
          <w:color w:val="000000" w:themeColor="text1"/>
        </w:rPr>
        <w:t xml:space="preserve"> la transparencia de las actividades estatales y </w:t>
      </w:r>
      <w:r w:rsidRPr="00D82507">
        <w:rPr>
          <w:rFonts w:ascii="Palatino Linotype" w:eastAsia="Palatino Linotype" w:hAnsi="Palatino Linotype" w:cs="Palatino Linotype"/>
          <w:color w:val="000000" w:themeColor="text1"/>
        </w:rPr>
        <w:t>promoviendo</w:t>
      </w:r>
      <w:r w:rsidRPr="00D82507">
        <w:rPr>
          <w:rFonts w:ascii="Palatino Linotype" w:eastAsia="Palatino Linotype" w:hAnsi="Palatino Linotype" w:cs="Palatino Linotype"/>
          <w:i/>
          <w:color w:val="000000" w:themeColor="text1"/>
        </w:rPr>
        <w:t xml:space="preserve"> la responsabilidad de los funcionarios sobre su gestión pública,</w:t>
      </w:r>
      <w:r w:rsidRPr="00D82507">
        <w:rPr>
          <w:rFonts w:ascii="Palatino Linotype" w:eastAsia="Palatino Linotype" w:hAnsi="Palatino Linotype" w:cs="Palatino Linotype"/>
          <w:i/>
          <w:color w:val="000000" w:themeColor="text1"/>
          <w:vertAlign w:val="superscript"/>
        </w:rPr>
        <w:footnoteReference w:id="5"/>
      </w:r>
      <w:r w:rsidRPr="00D82507">
        <w:rPr>
          <w:rFonts w:ascii="Palatino Linotype" w:eastAsia="Palatino Linotype" w:hAnsi="Palatino Linotype" w:cs="Palatino Linotype"/>
          <w:color w:val="000000" w:themeColor="text1"/>
        </w:rPr>
        <w:t>que permite</w:t>
      </w:r>
      <w:r w:rsidRPr="00D82507">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Artículo 1.-</w:t>
      </w:r>
      <w:r w:rsidRPr="00D82507">
        <w:rPr>
          <w:rFonts w:ascii="Palatino Linotype" w:eastAsia="Palatino Linotype" w:hAnsi="Palatino Linotype" w:cs="Palatino Linotype"/>
          <w:i/>
          <w:color w:val="000000" w:themeColor="text1"/>
        </w:rPr>
        <w:t xml:space="preserve"> </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FA1D87" w:rsidRPr="00D82507" w:rsidRDefault="00FA1D87"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Todas las</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A1D87" w:rsidRPr="00D82507" w:rsidRDefault="00FA1D87" w:rsidP="00783483">
      <w:pPr>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color w:val="000000" w:themeColor="text1"/>
        </w:rPr>
        <w:t>”.</w:t>
      </w:r>
    </w:p>
    <w:p w:rsidR="00FA1D87" w:rsidRPr="00D82507" w:rsidRDefault="00FA1D87" w:rsidP="00783483">
      <w:pPr>
        <w:jc w:val="both"/>
        <w:rPr>
          <w:rFonts w:ascii="Palatino Linotype" w:eastAsia="Palatino Linotype" w:hAnsi="Palatino Linotype" w:cs="Palatino Linotype"/>
          <w:b/>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FA1D87" w:rsidRPr="00D82507" w:rsidRDefault="00FA1D87" w:rsidP="00783483">
      <w:pPr>
        <w:tabs>
          <w:tab w:val="left" w:pos="7938"/>
        </w:tabs>
        <w:spacing w:after="24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Constitución Política de los Estados Unidos Mexicanos</w:t>
      </w:r>
    </w:p>
    <w:p w:rsidR="00FA1D87" w:rsidRPr="00D82507" w:rsidRDefault="00FA1D87" w:rsidP="00783483">
      <w:pPr>
        <w:tabs>
          <w:tab w:val="left" w:pos="7938"/>
        </w:tabs>
        <w:spacing w:before="240" w:after="24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“Artículo 6.</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Para efectos de lo dispuesto en el presente artículo se observará lo siguiente:</w:t>
      </w:r>
    </w:p>
    <w:p w:rsidR="00FA1D87" w:rsidRPr="00D82507" w:rsidRDefault="00FA1D87" w:rsidP="00783483">
      <w:pPr>
        <w:tabs>
          <w:tab w:val="left" w:pos="7938"/>
        </w:tabs>
        <w:spacing w:before="240" w:after="24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A</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Para el ejercicio del derecho de acceso a la información</w:t>
      </w:r>
      <w:r w:rsidRPr="00D82507">
        <w:rPr>
          <w:rFonts w:ascii="Palatino Linotype" w:eastAsia="Palatino Linotype" w:hAnsi="Palatino Linotype" w:cs="Palatino Linotype"/>
          <w:i/>
          <w:color w:val="000000" w:themeColor="text1"/>
        </w:rPr>
        <w:t xml:space="preserve">, la Federación y </w:t>
      </w:r>
      <w:r w:rsidRPr="00D82507">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lastRenderedPageBreak/>
        <w:t>I. Toda la información en posesión de cualquier</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autoridad</w:t>
      </w:r>
      <w:r w:rsidRPr="00D82507">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82507">
        <w:rPr>
          <w:rFonts w:ascii="Palatino Linotype" w:eastAsia="Palatino Linotype" w:hAnsi="Palatino Linotype" w:cs="Palatino Linotype"/>
          <w:b/>
          <w:i/>
          <w:color w:val="000000" w:themeColor="text1"/>
        </w:rPr>
        <w:t>municipal</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es pública</w:t>
      </w:r>
      <w:r w:rsidRPr="00D82507">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D82507">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D8250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FA1D87" w:rsidRPr="00D82507" w:rsidRDefault="00FA1D87" w:rsidP="00783483">
      <w:pPr>
        <w:tabs>
          <w:tab w:val="left" w:pos="567"/>
          <w:tab w:val="left" w:pos="7938"/>
        </w:tabs>
        <w:spacing w:before="240"/>
        <w:jc w:val="both"/>
        <w:rPr>
          <w:rFonts w:ascii="Palatino Linotype" w:eastAsia="Palatino Linotype" w:hAnsi="Palatino Linotype" w:cs="Palatino Linotype"/>
          <w:b/>
          <w:i/>
          <w:color w:val="000000" w:themeColor="text1"/>
        </w:rPr>
      </w:pPr>
    </w:p>
    <w:p w:rsidR="00FA1D87" w:rsidRPr="00D82507" w:rsidRDefault="00FA1D87" w:rsidP="00783483">
      <w:pPr>
        <w:tabs>
          <w:tab w:val="left" w:pos="7938"/>
        </w:tabs>
        <w:spacing w:after="24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Constitución Política del Estado Libre y Soberano de México</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5</w:t>
      </w:r>
      <w:r w:rsidRPr="00D82507">
        <w:rPr>
          <w:rFonts w:ascii="Palatino Linotype" w:eastAsia="Palatino Linotype" w:hAnsi="Palatino Linotype" w:cs="Palatino Linotype"/>
          <w:i/>
          <w:color w:val="000000" w:themeColor="text1"/>
        </w:rPr>
        <w:t xml:space="preserve">.- </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D82507">
        <w:rPr>
          <w:rFonts w:ascii="Palatino Linotype" w:eastAsia="Palatino Linotype" w:hAnsi="Palatino Linotype" w:cs="Palatino Linotype"/>
          <w:i/>
          <w:color w:val="000000" w:themeColor="text1"/>
        </w:rPr>
        <w:t>.</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Este derecho se regirá por los principios y bases siguientes</w:t>
      </w:r>
      <w:r w:rsidRPr="00D82507">
        <w:rPr>
          <w:rFonts w:ascii="Palatino Linotype" w:eastAsia="Palatino Linotype" w:hAnsi="Palatino Linotype" w:cs="Palatino Linotype"/>
          <w:i/>
          <w:color w:val="000000" w:themeColor="text1"/>
        </w:rPr>
        <w:t>:</w:t>
      </w:r>
    </w:p>
    <w:p w:rsidR="00FA1D87" w:rsidRPr="00D82507" w:rsidRDefault="00FA1D87" w:rsidP="00783483">
      <w:pPr>
        <w:tabs>
          <w:tab w:val="left" w:pos="7938"/>
        </w:tabs>
        <w:spacing w:before="240" w:after="24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I. Toda la información en posesión de cualquier autoridad, entidad, órgano y organismos de los</w:t>
      </w:r>
      <w:r w:rsidRPr="00D82507">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D82507">
        <w:rPr>
          <w:rFonts w:ascii="Palatino Linotype" w:eastAsia="Palatino Linotype" w:hAnsi="Palatino Linotype" w:cs="Palatino Linotype"/>
          <w:b/>
          <w:i/>
          <w:color w:val="000000" w:themeColor="text1"/>
        </w:rPr>
        <w:t>municipales</w:t>
      </w:r>
      <w:r w:rsidRPr="00D82507">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82507">
        <w:rPr>
          <w:rFonts w:ascii="Palatino Linotype" w:eastAsia="Palatino Linotype" w:hAnsi="Palatino Linotype" w:cs="Palatino Linotype"/>
          <w:b/>
          <w:i/>
          <w:color w:val="000000" w:themeColor="text1"/>
        </w:rPr>
        <w:t>es pública</w:t>
      </w:r>
      <w:r w:rsidRPr="00D82507">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D82507">
        <w:rPr>
          <w:rFonts w:ascii="Palatino Linotype" w:eastAsia="Palatino Linotype" w:hAnsi="Palatino Linotype" w:cs="Palatino Linotype"/>
          <w:b/>
          <w:i/>
          <w:color w:val="000000" w:themeColor="text1"/>
        </w:rPr>
        <w:t>En la interpretación de este derecho deberá prevalecer el principio de máxima publicidad</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 xml:space="preserve">Los </w:t>
      </w:r>
      <w:r w:rsidRPr="00D82507">
        <w:rPr>
          <w:rFonts w:ascii="Palatino Linotype" w:eastAsia="Palatino Linotype" w:hAnsi="Palatino Linotype" w:cs="Palatino Linotype"/>
          <w:b/>
          <w:i/>
          <w:color w:val="000000" w:themeColor="text1"/>
        </w:rPr>
        <w:lastRenderedPageBreak/>
        <w:t>sujetos obligados deberán documentar todo acto que derive del ejercicio de sus facultades, competencias o funciones</w:t>
      </w:r>
      <w:r w:rsidRPr="00D8250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FA1D87" w:rsidRPr="00D82507" w:rsidRDefault="00FA1D87" w:rsidP="00783483">
      <w:pPr>
        <w:tabs>
          <w:tab w:val="left" w:pos="567"/>
        </w:tabs>
        <w:spacing w:before="240" w:after="240"/>
        <w:jc w:val="both"/>
        <w:rPr>
          <w:rFonts w:ascii="Palatino Linotype" w:eastAsia="Palatino Linotype" w:hAnsi="Palatino Linotype" w:cs="Palatino Linotype"/>
          <w:b/>
          <w:i/>
          <w:color w:val="000000" w:themeColor="text1"/>
        </w:rPr>
      </w:pPr>
    </w:p>
    <w:p w:rsidR="00FA1D87" w:rsidRPr="00D82507" w:rsidRDefault="00FA1D87" w:rsidP="00783483">
      <w:pPr>
        <w:numPr>
          <w:ilvl w:val="0"/>
          <w:numId w:val="3"/>
        </w:numPr>
        <w:spacing w:before="240"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D82507">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D82507">
        <w:rPr>
          <w:rFonts w:ascii="Palatino Linotype" w:eastAsia="Palatino Linotype" w:hAnsi="Palatino Linotype" w:cs="Palatino Linotype"/>
          <w:color w:val="000000" w:themeColor="text1"/>
        </w:rPr>
        <w:t>, contemplando el derecho de las personas con discapacidad y hablantes de lengua indígena.</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D82507">
        <w:rPr>
          <w:rFonts w:ascii="Palatino Linotype" w:eastAsia="Palatino Linotype" w:hAnsi="Palatino Linotype" w:cs="Palatino Linotype"/>
          <w:i/>
          <w:color w:val="000000" w:themeColor="text1"/>
        </w:rPr>
        <w:t>solicitudes de acceso a la información</w:t>
      </w:r>
      <w:r w:rsidRPr="00D82507">
        <w:rPr>
          <w:rFonts w:ascii="Palatino Linotype" w:eastAsia="Palatino Linotype" w:hAnsi="Palatino Linotype" w:cs="Palatino Linotype"/>
          <w:color w:val="000000" w:themeColor="text1"/>
        </w:rPr>
        <w:t>.</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bookmarkStart w:id="9" w:name="_heading=h.17dp8vu" w:colFirst="0" w:colLast="0"/>
      <w:bookmarkEnd w:id="9"/>
      <w:r w:rsidRPr="00D82507">
        <w:rPr>
          <w:rFonts w:ascii="Palatino Linotype" w:eastAsia="Palatino Linotype" w:hAnsi="Palatino Linotype" w:cs="Palatino Linotype"/>
          <w:color w:val="000000" w:themeColor="text1"/>
        </w:rPr>
        <w:t xml:space="preserve">Así entonces, se procede analizar, en primer lugar, si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keepNext/>
        <w:keepLines/>
        <w:spacing w:after="240" w:line="360" w:lineRule="auto"/>
        <w:rPr>
          <w:rFonts w:ascii="Palatino Linotype" w:eastAsia="Palatino Linotype" w:hAnsi="Palatino Linotype" w:cs="Palatino Linotype"/>
          <w:b/>
          <w:color w:val="000000" w:themeColor="text1"/>
        </w:rPr>
      </w:pPr>
      <w:bookmarkStart w:id="10" w:name="_heading=h.3rdcrjn" w:colFirst="0" w:colLast="0"/>
      <w:bookmarkEnd w:id="10"/>
      <w:r w:rsidRPr="00D82507">
        <w:rPr>
          <w:rFonts w:ascii="Palatino Linotype" w:eastAsia="Palatino Linotype" w:hAnsi="Palatino Linotype" w:cs="Palatino Linotype"/>
          <w:b/>
          <w:color w:val="000000" w:themeColor="text1"/>
        </w:rPr>
        <w:t>II. De la información solicitada y la respuesta del SUJETO OBLIGADO</w:t>
      </w: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Ahora bien, la información solicitada consiste en obtener la siguiente información: </w:t>
      </w:r>
    </w:p>
    <w:tbl>
      <w:tblPr>
        <w:tblStyle w:val="Tablaconcuadrcula"/>
        <w:tblW w:w="0" w:type="auto"/>
        <w:tblLook w:val="04A0" w:firstRow="1" w:lastRow="0" w:firstColumn="1" w:lastColumn="0" w:noHBand="0" w:noVBand="1"/>
      </w:tblPr>
      <w:tblGrid>
        <w:gridCol w:w="4389"/>
        <w:gridCol w:w="4390"/>
      </w:tblGrid>
      <w:tr w:rsidR="00783483" w:rsidRPr="00D82507" w:rsidTr="003F0A7D">
        <w:tc>
          <w:tcPr>
            <w:tcW w:w="4389" w:type="dxa"/>
          </w:tcPr>
          <w:p w:rsidR="003F0A7D" w:rsidRPr="00D82507" w:rsidRDefault="003F0A7D"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lastRenderedPageBreak/>
              <w:t xml:space="preserve">Solicitud de información </w:t>
            </w:r>
          </w:p>
        </w:tc>
        <w:tc>
          <w:tcPr>
            <w:tcW w:w="4390" w:type="dxa"/>
          </w:tcPr>
          <w:p w:rsidR="003F0A7D" w:rsidRPr="00D82507" w:rsidRDefault="003F0A7D"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Información solicitada </w:t>
            </w:r>
          </w:p>
        </w:tc>
      </w:tr>
      <w:tr w:rsidR="00783483" w:rsidRPr="00D82507" w:rsidTr="003F0A7D">
        <w:tc>
          <w:tcPr>
            <w:tcW w:w="4389" w:type="dxa"/>
          </w:tcPr>
          <w:p w:rsidR="003F0A7D" w:rsidRPr="00D82507" w:rsidRDefault="003F0A7D"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00076/ZINACANT/IP/2025</w:t>
            </w:r>
          </w:p>
          <w:p w:rsidR="003F0A7D" w:rsidRPr="00D82507" w:rsidRDefault="003F0A7D" w:rsidP="00783483">
            <w:pPr>
              <w:jc w:val="both"/>
              <w:rPr>
                <w:rFonts w:ascii="Palatino Linotype" w:eastAsia="Palatino Linotype" w:hAnsi="Palatino Linotype" w:cs="Palatino Linotype"/>
                <w:i/>
                <w:color w:val="000000" w:themeColor="text1"/>
              </w:rPr>
            </w:pPr>
          </w:p>
        </w:tc>
        <w:tc>
          <w:tcPr>
            <w:tcW w:w="4390" w:type="dxa"/>
          </w:tcPr>
          <w:p w:rsidR="003F0A7D" w:rsidRPr="00D82507" w:rsidRDefault="003F0A7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Factura de pago para traer a "María José, para la Feria del Taco </w:t>
            </w:r>
          </w:p>
        </w:tc>
      </w:tr>
      <w:tr w:rsidR="00783483" w:rsidRPr="00D82507" w:rsidTr="003F0A7D">
        <w:tc>
          <w:tcPr>
            <w:tcW w:w="4389" w:type="dxa"/>
          </w:tcPr>
          <w:p w:rsidR="003F0A7D" w:rsidRPr="00D82507" w:rsidRDefault="003F0A7D"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00173/ZINACANT/IP/2025</w:t>
            </w:r>
          </w:p>
          <w:p w:rsidR="003F0A7D" w:rsidRPr="00D82507" w:rsidRDefault="003F0A7D" w:rsidP="00783483">
            <w:pPr>
              <w:jc w:val="both"/>
              <w:rPr>
                <w:rFonts w:ascii="Palatino Linotype" w:eastAsia="Palatino Linotype" w:hAnsi="Palatino Linotype" w:cs="Palatino Linotype"/>
                <w:i/>
                <w:color w:val="000000" w:themeColor="text1"/>
              </w:rPr>
            </w:pPr>
          </w:p>
        </w:tc>
        <w:tc>
          <w:tcPr>
            <w:tcW w:w="4390" w:type="dxa"/>
          </w:tcPr>
          <w:p w:rsidR="003F0A7D" w:rsidRPr="00D82507" w:rsidRDefault="003F0A7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Factura y costo de los inflables de la séptima feria del taco2025</w:t>
            </w:r>
          </w:p>
        </w:tc>
      </w:tr>
      <w:tr w:rsidR="003F0A7D" w:rsidRPr="00D82507" w:rsidTr="003F0A7D">
        <w:tc>
          <w:tcPr>
            <w:tcW w:w="4389" w:type="dxa"/>
          </w:tcPr>
          <w:p w:rsidR="003F0A7D" w:rsidRPr="00D82507" w:rsidRDefault="003F0A7D"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Solicitud 00075/ZINACANT/IP/2025</w:t>
            </w:r>
          </w:p>
          <w:p w:rsidR="003F0A7D" w:rsidRPr="00D82507" w:rsidRDefault="003F0A7D" w:rsidP="00783483">
            <w:pPr>
              <w:jc w:val="both"/>
              <w:rPr>
                <w:rFonts w:ascii="Palatino Linotype" w:eastAsia="Palatino Linotype" w:hAnsi="Palatino Linotype" w:cs="Palatino Linotype"/>
                <w:i/>
                <w:color w:val="000000" w:themeColor="text1"/>
              </w:rPr>
            </w:pPr>
          </w:p>
        </w:tc>
        <w:tc>
          <w:tcPr>
            <w:tcW w:w="4390" w:type="dxa"/>
          </w:tcPr>
          <w:p w:rsidR="003F0A7D" w:rsidRPr="00D82507" w:rsidRDefault="003F0A7D"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Factura y Contrato de pago para el grupo "Bronco"</w:t>
            </w:r>
          </w:p>
          <w:p w:rsidR="003F0A7D" w:rsidRPr="00D82507" w:rsidRDefault="003F0A7D" w:rsidP="00783483">
            <w:pPr>
              <w:jc w:val="both"/>
              <w:rPr>
                <w:rFonts w:ascii="Palatino Linotype" w:eastAsia="Palatino Linotype" w:hAnsi="Palatino Linotype" w:cs="Palatino Linotype"/>
                <w:i/>
                <w:color w:val="000000" w:themeColor="text1"/>
              </w:rPr>
            </w:pPr>
          </w:p>
        </w:tc>
      </w:tr>
    </w:tbl>
    <w:p w:rsidR="00FA1D87" w:rsidRPr="00D82507" w:rsidRDefault="00FA1D87" w:rsidP="00783483">
      <w:pPr>
        <w:jc w:val="both"/>
        <w:rPr>
          <w:rFonts w:ascii="Palatino Linotype" w:eastAsia="Palatino Linotype" w:hAnsi="Palatino Linotype" w:cs="Palatino Linotype"/>
          <w:i/>
          <w:color w:val="000000" w:themeColor="text1"/>
        </w:rPr>
      </w:pPr>
    </w:p>
    <w:p w:rsidR="00EC0E31" w:rsidRPr="00D82507" w:rsidRDefault="00EC0E31" w:rsidP="00783483">
      <w:pPr>
        <w:jc w:val="both"/>
        <w:rPr>
          <w:rFonts w:ascii="Palatino Linotype" w:eastAsia="Palatino Linotype" w:hAnsi="Palatino Linotype" w:cs="Palatino Linotype"/>
          <w:i/>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las respuestas recibidas el entonces solicitante, interpuso los recursos de revisión, manifestando que no se entregó la información solicitada. </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9504D0" w:rsidRPr="00D82507" w:rsidRDefault="009504D0"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se debe de precisar que en todas las respuestas del </w:t>
      </w:r>
      <w:r w:rsidRPr="00D82507">
        <w:rPr>
          <w:rFonts w:ascii="Palatino Linotype" w:eastAsia="Palatino Linotype" w:hAnsi="Palatino Linotype" w:cs="Palatino Linotype"/>
          <w:b/>
          <w:color w:val="000000" w:themeColor="text1"/>
        </w:rPr>
        <w:t xml:space="preserve">SUJETO OBLIGADO </w:t>
      </w:r>
      <w:r w:rsidRPr="00D82507">
        <w:rPr>
          <w:rFonts w:ascii="Palatino Linotype" w:eastAsia="Palatino Linotype" w:hAnsi="Palatino Linotype" w:cs="Palatino Linotype"/>
          <w:color w:val="000000" w:themeColor="text1"/>
        </w:rPr>
        <w:t xml:space="preserve">manifestó que no contaba con la información, solicitada, sin embargo de una búsqueda realizada, se localizó que la cantante María José y el grupo Bronco se presentaron en la Feria del Taco del Ayuntamiento de Zinacantepec, de la misma manera también se localizó información de que dentro de las actividades hubo inflables. </w:t>
      </w:r>
    </w:p>
    <w:p w:rsidR="009504D0" w:rsidRPr="00D82507" w:rsidRDefault="009504D0" w:rsidP="00783483">
      <w:pPr>
        <w:pStyle w:val="Prrafodelista"/>
        <w:ind w:left="0"/>
        <w:jc w:val="center"/>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noProof/>
          <w:color w:val="000000" w:themeColor="text1"/>
        </w:rPr>
        <w:drawing>
          <wp:inline distT="0" distB="0" distL="0" distR="0" wp14:anchorId="63194709" wp14:editId="70AA420E">
            <wp:extent cx="3143994" cy="1303529"/>
            <wp:effectExtent l="152400" t="152400" r="361315" b="3543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994" cy="1303529"/>
                    </a:xfrm>
                    <a:prstGeom prst="rect">
                      <a:avLst/>
                    </a:prstGeom>
                    <a:ln>
                      <a:noFill/>
                    </a:ln>
                    <a:effectLst>
                      <a:outerShdw blurRad="292100" dist="139700" dir="2700000" algn="tl" rotWithShape="0">
                        <a:srgbClr val="333333">
                          <a:alpha val="65000"/>
                        </a:srgbClr>
                      </a:outerShdw>
                    </a:effectLst>
                  </pic:spPr>
                </pic:pic>
              </a:graphicData>
            </a:graphic>
          </wp:inline>
        </w:drawing>
      </w:r>
    </w:p>
    <w:p w:rsidR="009504D0" w:rsidRPr="00D82507" w:rsidRDefault="009504D0" w:rsidP="00783483">
      <w:pPr>
        <w:pStyle w:val="Prrafodelista"/>
        <w:ind w:left="0"/>
        <w:jc w:val="center"/>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noProof/>
          <w:color w:val="000000" w:themeColor="text1"/>
        </w:rPr>
        <w:lastRenderedPageBreak/>
        <w:drawing>
          <wp:inline distT="0" distB="0" distL="0" distR="0" wp14:anchorId="75097666" wp14:editId="0481F03E">
            <wp:extent cx="3330185" cy="1364053"/>
            <wp:effectExtent l="152400" t="152400" r="365760" b="3695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6281" cy="1366550"/>
                    </a:xfrm>
                    <a:prstGeom prst="rect">
                      <a:avLst/>
                    </a:prstGeom>
                    <a:ln>
                      <a:noFill/>
                    </a:ln>
                    <a:effectLst>
                      <a:outerShdw blurRad="292100" dist="139700" dir="2700000" algn="tl" rotWithShape="0">
                        <a:srgbClr val="333333">
                          <a:alpha val="65000"/>
                        </a:srgbClr>
                      </a:outerShdw>
                    </a:effectLst>
                  </pic:spPr>
                </pic:pic>
              </a:graphicData>
            </a:graphic>
          </wp:inline>
        </w:drawing>
      </w:r>
    </w:p>
    <w:p w:rsidR="009504D0" w:rsidRPr="00D82507" w:rsidRDefault="009504D0" w:rsidP="00783483">
      <w:pPr>
        <w:pStyle w:val="Prrafodelista"/>
        <w:ind w:left="0"/>
        <w:jc w:val="center"/>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noProof/>
          <w:color w:val="000000" w:themeColor="text1"/>
        </w:rPr>
        <w:drawing>
          <wp:inline distT="0" distB="0" distL="0" distR="0" wp14:anchorId="20E4DC0E" wp14:editId="0E53EB81">
            <wp:extent cx="2878146" cy="1836460"/>
            <wp:effectExtent l="152400" t="152400" r="360680" b="3543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9124" cy="1843465"/>
                    </a:xfrm>
                    <a:prstGeom prst="rect">
                      <a:avLst/>
                    </a:prstGeom>
                    <a:ln>
                      <a:noFill/>
                    </a:ln>
                    <a:effectLst>
                      <a:outerShdw blurRad="292100" dist="139700" dir="2700000" algn="tl" rotWithShape="0">
                        <a:srgbClr val="333333">
                          <a:alpha val="65000"/>
                        </a:srgbClr>
                      </a:outerShdw>
                    </a:effectLst>
                  </pic:spPr>
                </pic:pic>
              </a:graphicData>
            </a:graphic>
          </wp:inline>
        </w:drawing>
      </w:r>
    </w:p>
    <w:p w:rsidR="00D47DA4" w:rsidRPr="00D82507" w:rsidRDefault="00D47DA4"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se determina que existen hechos notorios de que el Ayuntamiento de Zinacantepec, realizo contrataciones por las presentación de la Artista María José y el Grupo Bronco, así como de uso de inflables, situación por la </w:t>
      </w:r>
      <w:r w:rsidR="00EC0E31" w:rsidRPr="00D82507">
        <w:rPr>
          <w:rFonts w:ascii="Palatino Linotype" w:eastAsia="Palatino Linotype" w:hAnsi="Palatino Linotype" w:cs="Palatino Linotype"/>
          <w:color w:val="000000" w:themeColor="text1"/>
        </w:rPr>
        <w:t>cual es aplicable lo siguiente:</w:t>
      </w:r>
    </w:p>
    <w:p w:rsidR="00C21EBE" w:rsidRPr="00D82507" w:rsidRDefault="00C21EBE" w:rsidP="00783483">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color w:val="000000" w:themeColor="text1"/>
        </w:rPr>
        <w:t>”</w:t>
      </w:r>
      <w:r w:rsidRPr="00D82507">
        <w:rPr>
          <w:rFonts w:ascii="Palatino Linotype" w:eastAsia="Palatino Linotype" w:hAnsi="Palatino Linotype" w:cs="Palatino Linotype"/>
          <w:b/>
          <w:i/>
          <w:color w:val="000000" w:themeColor="text1"/>
        </w:rPr>
        <w:t>HECHOS NOTORIOS. CONCEPTOS GENERAL Y JURÍDICO</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Conforme al artículo </w:t>
      </w:r>
      <w:hyperlink r:id="rId10">
        <w:r w:rsidRPr="00D82507">
          <w:rPr>
            <w:rFonts w:ascii="Palatino Linotype" w:eastAsia="Palatino Linotype" w:hAnsi="Palatino Linotype" w:cs="Palatino Linotype"/>
            <w:i/>
            <w:color w:val="000000" w:themeColor="text1"/>
          </w:rPr>
          <w:t>88 del Código Federal de Procedimientos Civiles</w:t>
        </w:r>
      </w:hyperlink>
      <w:r w:rsidRPr="00D82507">
        <w:rPr>
          <w:rFonts w:ascii="Palatino Linotype" w:eastAsia="Palatino Linotype" w:hAnsi="Palatino Linotype" w:cs="Palatino Linotype"/>
          <w:i/>
          <w:color w:val="000000" w:themeColor="text1"/>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w:t>
      </w:r>
      <w:r w:rsidRPr="00D82507">
        <w:rPr>
          <w:rFonts w:ascii="Palatino Linotype" w:eastAsia="Palatino Linotype" w:hAnsi="Palatino Linotype" w:cs="Palatino Linotype"/>
          <w:i/>
          <w:color w:val="000000" w:themeColor="text1"/>
        </w:rPr>
        <w:lastRenderedPageBreak/>
        <w:t>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Controversia constitucional 24/2005. Cámara de Diputados del Congreso de la Unión. 9 de marzo de 2006. Once votos. Ponente: José Ramón Cossío Díaz. Secretarios: Raúl Manuel Mejía Garza y Laura Patricia Rojas Zamudio.</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El Tribunal Pleno, el dieciséis de mayo en curso, aprobó, con el número 74/2006, la tesis jurisprudencial que antecede. México, Distrito Federal, a dieciséis de mayo de dos mil seis.</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Nota: Esta tesis fue objeto de la denuncia relativa a la contradicción de tesis 91/2014, desechada por notoriamente improcedente, mediante acuerdo de 24 de marzo de 2014.”</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PÁGINAS WEB O ELECTRÓNICAS. SU CONTENIDO ES UN HECHO NOTORIO Y SUSCEPTIBLE DE SER VALORADO EN UNA DECISIÓN JUDICIAL.</w:t>
      </w:r>
      <w:r w:rsidRPr="00D82507">
        <w:rPr>
          <w:rFonts w:ascii="Palatino Linotype" w:eastAsia="Palatino Linotype" w:hAnsi="Palatino Linotype" w:cs="Palatino Linotype"/>
          <w:i/>
          <w:color w:val="000000" w:themeColor="text1"/>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C21EBE" w:rsidRPr="00D82507" w:rsidRDefault="00C21EBE" w:rsidP="00783483">
      <w:pPr>
        <w:pStyle w:val="Prrafodelista"/>
        <w:ind w:left="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TERCER TRIBUNAL COLEGIADO EN MATERIA CIVIL DEL PRIMER CIRCUITO. Amparo en revisión 365/2012. Mardygras, S.A. de C.V. 7 de diciembre de 2012. Unanimidad de votos. Ponente: Neófito López Ramos. Secretaria: Ana Lilia Osorno Arroyo. </w:t>
      </w:r>
    </w:p>
    <w:p w:rsidR="00D47DA4" w:rsidRPr="00D82507" w:rsidRDefault="00D47DA4" w:rsidP="00783483">
      <w:pPr>
        <w:spacing w:line="360" w:lineRule="auto"/>
        <w:jc w:val="both"/>
        <w:rPr>
          <w:rFonts w:ascii="Palatino Linotype" w:eastAsia="Palatino Linotype" w:hAnsi="Palatino Linotype" w:cs="Palatino Linotype"/>
          <w:color w:val="000000" w:themeColor="text1"/>
        </w:rPr>
      </w:pPr>
    </w:p>
    <w:p w:rsidR="00C21EBE" w:rsidRPr="00D82507" w:rsidRDefault="00C21EBE"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 xml:space="preserve">Ahora bien, se debe de fijar si la solicitud de información fue turnada a las áreas habilitadas, toda vez que </w:t>
      </w:r>
      <w:r w:rsidR="00054679" w:rsidRPr="00D82507">
        <w:rPr>
          <w:rFonts w:ascii="Palatino Linotype" w:eastAsia="Palatino Linotype" w:hAnsi="Palatino Linotype" w:cs="Palatino Linotype"/>
          <w:color w:val="000000" w:themeColor="text1"/>
        </w:rPr>
        <w:t xml:space="preserve">para las solicitudes de información </w:t>
      </w:r>
      <w:r w:rsidR="00054679" w:rsidRPr="00D82507">
        <w:rPr>
          <w:rFonts w:ascii="Palatino Linotype" w:eastAsia="Palatino Linotype" w:hAnsi="Palatino Linotype" w:cs="Palatino Linotype"/>
          <w:b/>
          <w:i/>
          <w:color w:val="000000" w:themeColor="text1"/>
        </w:rPr>
        <w:t>00076/ZINACANT/IP/2025 y 00173/ZINACANT/IP/2025</w:t>
      </w:r>
      <w:r w:rsidR="00054679" w:rsidRPr="00D82507">
        <w:rPr>
          <w:rFonts w:ascii="Palatino Linotype" w:eastAsia="Palatino Linotype" w:hAnsi="Palatino Linotype" w:cs="Palatino Linotype"/>
          <w:color w:val="000000" w:themeColor="text1"/>
        </w:rPr>
        <w:t xml:space="preserve"> se pronunció la Tesorería Municipal y para la solicitud de información </w:t>
      </w:r>
      <w:r w:rsidR="00054679" w:rsidRPr="00D82507">
        <w:rPr>
          <w:rFonts w:ascii="Palatino Linotype" w:eastAsia="Palatino Linotype" w:hAnsi="Palatino Linotype" w:cs="Palatino Linotype"/>
          <w:b/>
          <w:i/>
          <w:color w:val="000000" w:themeColor="text1"/>
        </w:rPr>
        <w:t xml:space="preserve">00075/ZINACANT/IP/2025 </w:t>
      </w:r>
      <w:r w:rsidR="00054679" w:rsidRPr="00D82507">
        <w:rPr>
          <w:rFonts w:ascii="Palatino Linotype" w:eastAsia="Palatino Linotype" w:hAnsi="Palatino Linotype" w:cs="Palatino Linotype"/>
          <w:color w:val="000000" w:themeColor="text1"/>
        </w:rPr>
        <w:t>se pronunci</w:t>
      </w:r>
      <w:r w:rsidR="00701447" w:rsidRPr="00D82507">
        <w:rPr>
          <w:rFonts w:ascii="Palatino Linotype" w:eastAsia="Palatino Linotype" w:hAnsi="Palatino Linotype" w:cs="Palatino Linotype"/>
          <w:color w:val="000000" w:themeColor="text1"/>
        </w:rPr>
        <w:t xml:space="preserve">ó el Subdirector de Recursos Materiales y la Tesorería Municipal. </w:t>
      </w:r>
    </w:p>
    <w:p w:rsidR="00701447" w:rsidRPr="00D82507" w:rsidRDefault="00701447" w:rsidP="00783483">
      <w:pPr>
        <w:spacing w:line="360" w:lineRule="auto"/>
        <w:jc w:val="both"/>
        <w:rPr>
          <w:rFonts w:ascii="Palatino Linotype" w:eastAsia="Palatino Linotype" w:hAnsi="Palatino Linotype" w:cs="Palatino Linotype"/>
          <w:color w:val="000000" w:themeColor="text1"/>
        </w:rPr>
      </w:pPr>
    </w:p>
    <w:p w:rsidR="00701447" w:rsidRPr="00D82507" w:rsidRDefault="0070144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En esa línea, de acuerdo con el Bando Municipal el Ayuntamiento de  Zinacantepec, se integra de la siguiente manera. </w:t>
      </w:r>
    </w:p>
    <w:p w:rsidR="00701447" w:rsidRPr="00D82507" w:rsidRDefault="00701447" w:rsidP="00783483">
      <w:pPr>
        <w:pStyle w:val="Prrafodelista"/>
        <w:ind w:left="0"/>
        <w:rPr>
          <w:rFonts w:ascii="Palatino Linotype" w:eastAsia="Palatino Linotype" w:hAnsi="Palatino Linotype" w:cs="Palatino Linotype"/>
          <w:color w:val="000000" w:themeColor="text1"/>
        </w:rPr>
      </w:pPr>
    </w:p>
    <w:p w:rsidR="00701447" w:rsidRPr="00D82507" w:rsidRDefault="00701447" w:rsidP="00783483">
      <w:pPr>
        <w:spacing w:line="360" w:lineRule="auto"/>
        <w:jc w:val="center"/>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noProof/>
          <w:color w:val="000000" w:themeColor="text1"/>
        </w:rPr>
        <w:drawing>
          <wp:inline distT="0" distB="0" distL="0" distR="0" wp14:anchorId="108BA9C3" wp14:editId="3433182C">
            <wp:extent cx="2325244" cy="1881527"/>
            <wp:effectExtent l="152400" t="152400" r="361315" b="3663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436" cy="1893820"/>
                    </a:xfrm>
                    <a:prstGeom prst="rect">
                      <a:avLst/>
                    </a:prstGeom>
                    <a:ln>
                      <a:noFill/>
                    </a:ln>
                    <a:effectLst>
                      <a:outerShdw blurRad="292100" dist="139700" dir="2700000" algn="tl" rotWithShape="0">
                        <a:srgbClr val="333333">
                          <a:alpha val="65000"/>
                        </a:srgbClr>
                      </a:outerShdw>
                    </a:effectLst>
                  </pic:spPr>
                </pic:pic>
              </a:graphicData>
            </a:graphic>
          </wp:inline>
        </w:drawing>
      </w:r>
    </w:p>
    <w:p w:rsidR="00701447" w:rsidRPr="00D82507" w:rsidRDefault="00DC205C"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En esa línea de acuerdo con el Manual de Organización General del Ayuntamiento de Zinacantepec, se observa que la Tesorería Municipal </w:t>
      </w:r>
      <w:r w:rsidR="00EC0E31" w:rsidRPr="00D82507">
        <w:rPr>
          <w:rFonts w:ascii="Palatino Linotype" w:eastAsia="Palatino Linotype" w:hAnsi="Palatino Linotype" w:cs="Palatino Linotype"/>
          <w:color w:val="000000" w:themeColor="text1"/>
        </w:rPr>
        <w:t>tiene las siguientes funciones:</w:t>
      </w:r>
    </w:p>
    <w:p w:rsidR="00DC205C" w:rsidRPr="00D82507" w:rsidRDefault="00DC205C"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IX. 3. TESORERÍA MUNICIPAL </w:t>
      </w:r>
    </w:p>
    <w:p w:rsidR="00A25878"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Objetivo:</w:t>
      </w:r>
      <w:r w:rsidRPr="00D82507">
        <w:rPr>
          <w:rFonts w:ascii="Palatino Linotype" w:eastAsia="Palatino Linotype" w:hAnsi="Palatino Linotype" w:cs="Palatino Linotype"/>
          <w:i/>
          <w:color w:val="000000" w:themeColor="text1"/>
        </w:rPr>
        <w:t xml:space="preserve"> </w:t>
      </w:r>
    </w:p>
    <w:p w:rsidR="00A25878"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Planear, dirigir y controlar las acciones encaminadas a la recaudación de los ingresos municipales, derivados de la coordinación hacendaria e ingresos provenientes de financiamiento, </w:t>
      </w:r>
      <w:r w:rsidRPr="00D82507">
        <w:rPr>
          <w:rFonts w:ascii="Palatino Linotype" w:eastAsia="Palatino Linotype" w:hAnsi="Palatino Linotype" w:cs="Palatino Linotype"/>
          <w:i/>
          <w:color w:val="000000" w:themeColor="text1"/>
        </w:rPr>
        <w:lastRenderedPageBreak/>
        <w:t xml:space="preserve">así como realizar las erogaciones a través de una disciplina financiera con la adecuada aplicación del presupuesto de egresos para logar los objetivos del ayuntamiento.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Funciones:</w:t>
      </w:r>
      <w:r w:rsidRPr="00D82507">
        <w:rPr>
          <w:rFonts w:ascii="Palatino Linotype" w:eastAsia="Palatino Linotype" w:hAnsi="Palatino Linotype" w:cs="Palatino Linotype"/>
          <w:i/>
          <w:color w:val="000000" w:themeColor="text1"/>
        </w:rPr>
        <w:t xml:space="preserve">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Integrar en coordinación con la Subdirección de Ingresos y la Subdirección de Egresos, así como en coordinación con las dependencias de la Administración Pública Municipal los informes mensuales y la cuenta Pública Municipal que se remite al Órgano Superior de Fiscalización del Estado de México.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Integrar y revisar en coordinación con las dependencias de la Administración Pública Municipal, el presupuesto de ingresos y egresos del ejercicio inmediato posterior, presentándolo al Cabildo para su aprobación dentro de los plazos señalados en las normas aplicables, y sugerir las modificaciones en caso necesario.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Revisar que las áreas de ingresos cumplan con los servicios relacionados con la recaudación, concentración, administración y custodia de fondos y valores, así como la realización de los depósitos bancarios a las instituciones bancarias correspondientes.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Autorizar la distribución de las formas numeradas y valoradas que se utilicen para la recaudación de los ingresos públicos y para el pago de las obligaciones a cargo de la Hacienda Pública Municipal. </w:t>
      </w:r>
    </w:p>
    <w:p w:rsidR="00DC205C" w:rsidRPr="00D82507" w:rsidRDefault="00DC205C" w:rsidP="00783483">
      <w:pPr>
        <w:jc w:val="both"/>
        <w:rPr>
          <w:rFonts w:ascii="Palatino Linotype" w:hAnsi="Palatino Linotype"/>
          <w:b/>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Liberar los recursos financieros de conformidad en los montos establecidos en el presupuesto de egresos, estipulando los requisitos mediante reglas de carácter general que deberán cumplir las dependencias de la Administración Pública Municipal.</w:t>
      </w:r>
      <w:r w:rsidRPr="00D82507">
        <w:rPr>
          <w:rFonts w:ascii="Palatino Linotype" w:hAnsi="Palatino Linotype"/>
          <w:b/>
          <w:i/>
          <w:color w:val="000000" w:themeColor="text1"/>
        </w:rPr>
        <w:t xml:space="preserve">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Auxiliarse de las instituciones que integran el sistema bancario para la presentación de los servicios inherentes.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Expedir los certificados de las constancias de no adeudo del impuesto Predial, pago de Traslado de Dominio, así como certificar documentos que se tengan en resguardo, determinando los requisitos y lineamientos que debe reunir el contribuyente para su expedición, así como cubrir el pago de derechos que corresponda.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Implementar los procedimientos Administrativos comunes, en términos del Código de Procedimientos Administrativos del Estado de México, cuando con motivo de las peticiones de los contribuyentes, se generen controversias sobre la responsabilidad directa en el cumplimiento de las obligaciones fiscales.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Autorizar la dispensa en la entrega de la garantía del interés fiscal, cuando el o los contribuyentes se encuentran en el supuesto contemplado en el último párrafo del artículo 38 del Código Financiero del Estado de México y Municipios, posterior al análisis que realice a situación particular del caso, pudiendo solicitar los elementos que considere pertinentes a los interesados, </w:t>
      </w:r>
      <w:r w:rsidRPr="00D82507">
        <w:rPr>
          <w:rFonts w:ascii="Palatino Linotype" w:eastAsia="Palatino Linotype" w:hAnsi="Palatino Linotype" w:cs="Palatino Linotype"/>
          <w:i/>
          <w:color w:val="000000" w:themeColor="text1"/>
        </w:rPr>
        <w:lastRenderedPageBreak/>
        <w:t xml:space="preserve">involucrados u otra autoridad administrativa. Lo anterior en base a lo estipulado en los artículos 32 fracción III y 38 último párrafo del Código Financiero del Estado de México y Municipios.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Implementar los procedimientos Administrativos Especiales, para el cobro de los créditos fiscales, en términos del Código de Procedimientos Administrativos del Estado de México, en relación con el Código Financiero del Estado de México y Municipio vigente. </w:t>
      </w:r>
    </w:p>
    <w:p w:rsidR="00DC205C" w:rsidRPr="00D82507" w:rsidRDefault="00DC205C"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sym w:font="Symbol" w:char="F0B7"/>
      </w:r>
      <w:r w:rsidRPr="00D82507">
        <w:rPr>
          <w:rFonts w:ascii="Palatino Linotype" w:eastAsia="Palatino Linotype" w:hAnsi="Palatino Linotype" w:cs="Palatino Linotype"/>
          <w:b/>
          <w:i/>
          <w:color w:val="000000" w:themeColor="text1"/>
        </w:rPr>
        <w:t xml:space="preserve"> Revisar los movimientos contables, financieros, administrativos de los ingresos y egresos de la administración pública municipal.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Revisar la integración y actualización del padrón catastral.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Revisar la actualización y/o modificación de tablas de valores unitarios de suelo y construcción, de conformidad con la normatividad establecida para su propuesta y presentación ante el Ayuntamiento. </w:t>
      </w:r>
    </w:p>
    <w:p w:rsidR="00DC205C" w:rsidRPr="00D82507" w:rsidRDefault="00DC205C" w:rsidP="00783483">
      <w:pPr>
        <w:jc w:val="both"/>
        <w:rPr>
          <w:rFonts w:ascii="Palatino Linotype" w:hAnsi="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Vigilar que se mantenga actualizada la información catastral del territorio municipal conforme a las disposiciones legales y reglamentarias aplicables en dicha materia.</w:t>
      </w:r>
      <w:r w:rsidRPr="00D82507">
        <w:rPr>
          <w:rFonts w:ascii="Palatino Linotype" w:hAnsi="Palatino Linotype"/>
          <w:i/>
          <w:color w:val="000000" w:themeColor="text1"/>
        </w:rPr>
        <w:t xml:space="preserve">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Autorizar y verificar la reasignación de los recursos presupuestarios, mediante el dictamen correspondiente y verificar su integración en los informes mensuales; y </w:t>
      </w:r>
    </w:p>
    <w:p w:rsidR="00DC205C" w:rsidRPr="00D82507" w:rsidRDefault="00DC205C"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Desarrollar las demás funciones inherentes al ámbito de su competencia</w:t>
      </w:r>
    </w:p>
    <w:p w:rsidR="00A25878" w:rsidRPr="00D82507" w:rsidRDefault="00A25878" w:rsidP="00783483">
      <w:pPr>
        <w:jc w:val="both"/>
        <w:rPr>
          <w:rFonts w:ascii="Palatino Linotype" w:eastAsia="Palatino Linotype" w:hAnsi="Palatino Linotype" w:cs="Palatino Linotype"/>
          <w:i/>
          <w:color w:val="000000" w:themeColor="text1"/>
        </w:rPr>
      </w:pPr>
    </w:p>
    <w:p w:rsidR="00A25878" w:rsidRPr="00D82507" w:rsidRDefault="00A25878"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se colige que la Tesorería Municipal es el área encargada del Ayuntamiento de Zinacantepec de liberar los recursos para la realización de pagos, en este caso de la presentación de la cantante María José y el Grupo Bronco, así como de los juegos inflables. </w:t>
      </w:r>
    </w:p>
    <w:p w:rsidR="00A25878" w:rsidRPr="00D82507" w:rsidRDefault="00A25878" w:rsidP="00783483">
      <w:pPr>
        <w:spacing w:line="360" w:lineRule="auto"/>
        <w:jc w:val="both"/>
        <w:rPr>
          <w:rFonts w:ascii="Palatino Linotype" w:eastAsia="Palatino Linotype" w:hAnsi="Palatino Linotype" w:cs="Palatino Linotype"/>
          <w:color w:val="000000" w:themeColor="text1"/>
        </w:rPr>
      </w:pPr>
    </w:p>
    <w:p w:rsidR="00A25878" w:rsidRPr="00D82507" w:rsidRDefault="00A25878"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Por cuanto hace a la Dirección de Administración de conformidad con el Manual General de Organización, </w:t>
      </w:r>
      <w:r w:rsidR="00EC0E31" w:rsidRPr="00D82507">
        <w:rPr>
          <w:rFonts w:ascii="Palatino Linotype" w:eastAsia="Palatino Linotype" w:hAnsi="Palatino Linotype" w:cs="Palatino Linotype"/>
          <w:color w:val="000000" w:themeColor="text1"/>
        </w:rPr>
        <w:t>tiene las siguientes funciones:</w:t>
      </w:r>
    </w:p>
    <w:p w:rsidR="00A25878" w:rsidRPr="00D82507" w:rsidRDefault="00A25878"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XVI. 10. DIRECCIÓN DE ADMINISTRACIÓN </w:t>
      </w:r>
    </w:p>
    <w:p w:rsidR="00A25878" w:rsidRPr="00D82507" w:rsidRDefault="00A25878"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Objetivo: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Brindar apoyo administrativo, técnico y humano, a los servidores públicos que conforman la Administración Pública Municipal, a fin de proporcionarles un espacio digno de trabajo y optimizar las funciones de cada Unidad Administrativa, en beneficio de la ciudadanía. </w:t>
      </w:r>
    </w:p>
    <w:p w:rsidR="00A25878" w:rsidRPr="00D82507" w:rsidRDefault="00A25878"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Funciones: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sym w:font="Symbol" w:char="F0B7"/>
      </w:r>
      <w:r w:rsidRPr="00D82507">
        <w:rPr>
          <w:rFonts w:ascii="Palatino Linotype" w:eastAsia="Palatino Linotype" w:hAnsi="Palatino Linotype" w:cs="Palatino Linotype"/>
          <w:i/>
          <w:color w:val="000000" w:themeColor="text1"/>
        </w:rPr>
        <w:t xml:space="preserve"> Promover y vigilar el cumplimiento de los lineamientos sobre los procesos de reclutamiento y selección de personal, así como en la selección, adquisición y mantenimiento de equipo y recursos materiales.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Supervisar el control e inventario de bienes muebles municipales.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Vigilar, promover y coordinar acciones de capacitación para los servidores públicos municipales.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Promover la implantación a los sistemas y procedimientos administrativos en la Dirección de Administración. </w:t>
      </w:r>
    </w:p>
    <w:p w:rsidR="00A25878" w:rsidRPr="00D82507" w:rsidRDefault="00A25878"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 xml:space="preserve">Vigilar el cumplimiento de la normatividad en el proceso adquisitivo de bienes y servicios municipales.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Establecer políticas y estrategias para contribuir a conservar y mejorar el ambiente laboral.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Desarrollar un registro para el control de asistencias, nombramientos, remociones, renuncias, licencias, cambios de adscripción, promociones, incapacidades, vacaciones, días no laborables, y demás días de inconsistencia en los Servidores Públicos Municipales.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Supervisar que se proporcionen los servicios generales que requieran las distintas áreas que conforman la Administración Pública Municipal.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Diseñar políticas para el mantenimiento de los recursos materiales de las diferentes áreas de la Administración Pública Municipal.</w:t>
      </w:r>
      <w:r w:rsidRPr="00D82507">
        <w:rPr>
          <w:rFonts w:ascii="Palatino Linotype" w:hAnsi="Palatino Linotype"/>
          <w:i/>
          <w:color w:val="000000" w:themeColor="text1"/>
        </w:rPr>
        <w:t xml:space="preserve"> </w:t>
      </w:r>
      <w:r w:rsidRPr="00D82507">
        <w:rPr>
          <w:rFonts w:ascii="Palatino Linotype" w:eastAsia="Palatino Linotype" w:hAnsi="Palatino Linotype" w:cs="Palatino Linotype"/>
          <w:i/>
          <w:color w:val="000000" w:themeColor="text1"/>
        </w:rPr>
        <w:t xml:space="preserve">Implementar estrategias y políticas en los programas de profesionalización de los Servidores Públicos Municipales.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Eficientar los recursos materiales del Municipio.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Emitir los gafetes que acrediten a los servidores públicos de la Administración Municipal.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Participar en las negociaciones socioeconómicas con el Sindicato Único de los Trabajadores de los Poderes, Municipios e Instituciones Descentralizadas del Estado de México (S.U.T.E.Y.M.); y </w:t>
      </w:r>
    </w:p>
    <w:p w:rsidR="00A25878" w:rsidRPr="00D82507" w:rsidRDefault="00A25878"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sym w:font="Symbol" w:char="F0B7"/>
      </w:r>
      <w:r w:rsidRPr="00D82507">
        <w:rPr>
          <w:rFonts w:ascii="Palatino Linotype" w:eastAsia="Palatino Linotype" w:hAnsi="Palatino Linotype" w:cs="Palatino Linotype"/>
          <w:i/>
          <w:color w:val="000000" w:themeColor="text1"/>
        </w:rPr>
        <w:t xml:space="preserve"> Las demás que señalan las leyes, reglamentos y disposiciones jurídicas aplicables, o las que señale el Presidente Municipal.</w:t>
      </w:r>
    </w:p>
    <w:p w:rsidR="00A25878" w:rsidRPr="00D82507" w:rsidRDefault="00A25878" w:rsidP="00783483">
      <w:pPr>
        <w:pStyle w:val="Prrafodelista"/>
        <w:ind w:left="0"/>
        <w:rPr>
          <w:rFonts w:ascii="Palatino Linotype" w:eastAsia="Palatino Linotype" w:hAnsi="Palatino Linotype" w:cs="Palatino Linotype"/>
          <w:color w:val="000000" w:themeColor="text1"/>
        </w:rPr>
      </w:pPr>
    </w:p>
    <w:p w:rsidR="00A25878" w:rsidRPr="00D82507" w:rsidRDefault="00A25878"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se colige que la Dirección de Administración es el área encargada del Ayuntamiento de Zinacantepec de vigilar los procesos adquisitivos de bienes y servicios, que en el caso de los recursos de revisión aplican las dos. </w:t>
      </w:r>
    </w:p>
    <w:p w:rsidR="00A25878" w:rsidRPr="00D82507" w:rsidRDefault="00A25878" w:rsidP="00783483">
      <w:pP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lastRenderedPageBreak/>
        <w:t xml:space="preserve">Ahora bien, como la información de solicitud de información recae en temas de adquisiciones de bienes es que se analiza lo siguiente. </w:t>
      </w:r>
    </w:p>
    <w:p w:rsidR="00A028E6" w:rsidRPr="00D82507" w:rsidRDefault="00A028E6" w:rsidP="00783483">
      <w:pPr>
        <w:pBdr>
          <w:top w:val="nil"/>
          <w:left w:val="nil"/>
          <w:bottom w:val="nil"/>
          <w:right w:val="nil"/>
          <w:between w:val="nil"/>
        </w:pBdr>
        <w:rPr>
          <w:rFonts w:ascii="Palatino Linotype" w:hAnsi="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Una vez que se señaló la fuente obligacional y los hechos notorios del porque el </w:t>
      </w:r>
      <w:r w:rsidRPr="00D82507">
        <w:rPr>
          <w:rFonts w:ascii="Palatino Linotype" w:eastAsia="Palatino Linotype" w:hAnsi="Palatino Linotype" w:cs="Palatino Linotype"/>
          <w:b/>
          <w:color w:val="000000" w:themeColor="text1"/>
        </w:rPr>
        <w:t xml:space="preserve">SUJETO OBLIGADO </w:t>
      </w:r>
      <w:r w:rsidRPr="00D82507">
        <w:rPr>
          <w:rFonts w:ascii="Palatino Linotype" w:eastAsia="Palatino Linotype" w:hAnsi="Palatino Linotype" w:cs="Palatino Linotype"/>
          <w:color w:val="000000" w:themeColor="text1"/>
        </w:rPr>
        <w:t xml:space="preserve">debe de contar con la información solicitada, también se debe de referir  que lo solicitado tiene carácter de información pública de oficio de acuerdo con el artículo 92 de la Ley de Transparencia y Acceso a la Información Pública del Estado de México y Municipios.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 a) De licitaciones públicas o procedimientos de invitación restringida: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 La convocatoria o invitación emitida, así como los fundamentos legales aplicados para llevarla a cabo;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2) Los nombres de los participantes o invitados;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3) El nombre del ganador y las razones que lo justifican;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4) El área solicitante y la responsable de su ejecución;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5) Las convocatorias e invitaciones emitidas;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6) Los dictámenes y fallo de adjudicación;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7) El contrato y, en su caso, sus anexos;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9) La partida presupuestal, de conformidad con el clasificador por objeto del gasto, en el caso de ser aplicable;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xml:space="preserve">10) Origen de los recursos especificando si son federales, estatales o municipales, así como el tipo de fondo de participación o aportación respectiva; 11) Los convenios modificatorios que, en su caso, sean firmados, precisando el objeto y la fecha de celebración;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12) Los informes de avance físico y financiero sobre las obras o servicios contratados;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13) El convenio de terminación; y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14) El finiquito.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b) De las adjudicaciones directas</w:t>
      </w:r>
      <w:r w:rsidRPr="00D82507">
        <w:rPr>
          <w:rFonts w:ascii="Palatino Linotype" w:eastAsia="Palatino Linotype" w:hAnsi="Palatino Linotype" w:cs="Palatino Linotype"/>
          <w:i/>
          <w:color w:val="000000" w:themeColor="text1"/>
        </w:rPr>
        <w:t xml:space="preserve">: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 La propuesta enviada por el participante;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2) Los motivos y fundamentos legales aplicados para llevarla a cabo;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3) La autorización del ejercicio de la opción;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4) En su caso, las cotizaciones consideradas, especificando los nombres de los proveedores y sus montos;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5) El nombre de la persona física o jurídica colectiva adjudicada;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6) La unidad administrativa solicitante y la responsable de su ejecución;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7) El número, fecha, el monto del contrato y el plazo de entrega o de ejecución de los servicios u obra</w:t>
      </w:r>
      <w:r w:rsidRPr="00D82507">
        <w:rPr>
          <w:rFonts w:ascii="Palatino Linotype" w:eastAsia="Palatino Linotype" w:hAnsi="Palatino Linotype" w:cs="Palatino Linotype"/>
          <w:i/>
          <w:color w:val="000000" w:themeColor="text1"/>
        </w:rPr>
        <w:t xml:space="preserve">;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9) Los informes de avance sobre las obras o servicios contratados;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10) El convenio de terminación; y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11) El finiquito.</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XXXIV. Las estadísticas que generen en cumplimiento de sus facultades, competencias o funciones con la mayor desagregación posible;</w:t>
      </w:r>
    </w:p>
    <w:p w:rsidR="00457E14" w:rsidRPr="00D82507" w:rsidRDefault="00457E14" w:rsidP="00783483">
      <w:pP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En esa línea de estudio, es necesario analizar que los procedimientos de adquisiciones pueden realizarse por medio de adquisiciones y licitaciones mismas que se analizan a continuación. </w:t>
      </w:r>
    </w:p>
    <w:p w:rsidR="00A028E6" w:rsidRPr="00D82507" w:rsidRDefault="00A028E6" w:rsidP="00783483">
      <w:pPr>
        <w:pBdr>
          <w:top w:val="nil"/>
          <w:left w:val="nil"/>
          <w:bottom w:val="nil"/>
          <w:right w:val="nil"/>
          <w:between w:val="nil"/>
        </w:pBd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En ese sentido, la Ley de la  Contratación Pública del Estado de México y Municipios, tiene por objeto regular los actos relativos a la planeación, programación, presupuestación, ejecución y control de las obras públicas de los  Ayuntamientos del </w:t>
      </w:r>
      <w:r w:rsidRPr="00D82507">
        <w:rPr>
          <w:rFonts w:ascii="Palatino Linotype" w:eastAsia="Palatino Linotype" w:hAnsi="Palatino Linotype" w:cs="Palatino Linotype"/>
          <w:color w:val="000000" w:themeColor="text1"/>
        </w:rPr>
        <w:lastRenderedPageBreak/>
        <w:t xml:space="preserve">Estado; los cuales </w:t>
      </w:r>
      <w:r w:rsidRPr="00D82507">
        <w:rPr>
          <w:rFonts w:ascii="Palatino Linotype" w:eastAsia="Palatino Linotype" w:hAnsi="Palatino Linotype" w:cs="Palatino Linotype"/>
          <w:b/>
          <w:color w:val="000000" w:themeColor="text1"/>
        </w:rPr>
        <w:t>se adjudicará a través de licitaciones públicas, invitación restringida o adjudicación directa</w:t>
      </w:r>
      <w:r w:rsidRPr="00D82507">
        <w:rPr>
          <w:rFonts w:ascii="Palatino Linotype" w:eastAsia="Palatino Linotype" w:hAnsi="Palatino Linotype" w:cs="Palatino Linotype"/>
          <w:color w:val="000000" w:themeColor="text1"/>
        </w:rPr>
        <w:t>, mediante convocatoria pública, tal y como lo establecen los artículos 4, 26 y 27 de dicha Ley, los cuales son del tenor siguiente:</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Artículo 4.-</w:t>
      </w:r>
      <w:r w:rsidRPr="00D82507">
        <w:rPr>
          <w:rFonts w:ascii="Palatino Linotype" w:eastAsia="Palatino Linotype" w:hAnsi="Palatino Linotype" w:cs="Palatino Linotype"/>
          <w:i/>
          <w:color w:val="000000" w:themeColor="text1"/>
        </w:rPr>
        <w:t xml:space="preserve"> Para los efectos de esta Ley, en las adquisiciones, enajenaciones, arrendamientos y servicios, quedan comprendidos: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 La adquisición de bienes muebles.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 La adquisición de bienes inmuebles, a través de compraventa.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III. La enajenación de bienes muebles e inmuebles.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IV. El arrendamiento de bienes muebles e inmuebles.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 La contratación de los servicios, relacionados con bienes muebles que se encuentran incorporados o adheridos a bienes inmuebles, cuya instalación o mantenimiento no implique modificación al bien inmueble. </w:t>
      </w:r>
    </w:p>
    <w:p w:rsidR="00A028E6" w:rsidRPr="00D82507" w:rsidRDefault="00A028E6" w:rsidP="00783483">
      <w:pPr>
        <w:jc w:val="both"/>
        <w:rPr>
          <w:rFonts w:ascii="Palatino Linotype" w:eastAsia="Palatino Linotype" w:hAnsi="Palatino Linotype" w:cs="Palatino Linotype"/>
          <w:b/>
          <w:i/>
          <w:color w:val="000000" w:themeColor="text1"/>
          <w:u w:val="single"/>
        </w:rPr>
      </w:pPr>
      <w:r w:rsidRPr="00D82507">
        <w:rPr>
          <w:rFonts w:ascii="Palatino Linotype" w:eastAsia="Palatino Linotype" w:hAnsi="Palatino Linotype" w:cs="Palatino Linotype"/>
          <w:b/>
          <w:i/>
          <w:color w:val="000000" w:themeColor="text1"/>
          <w:u w:val="single"/>
        </w:rPr>
        <w:t xml:space="preserve">VI. La contratación de los servicios de reconstrucción y mantenimiento de bienes muebles.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u w:val="single"/>
        </w:rPr>
        <w:t xml:space="preserve">VII. La contratación de los servicios </w:t>
      </w:r>
      <w:r w:rsidRPr="00D82507">
        <w:rPr>
          <w:rFonts w:ascii="Palatino Linotype" w:eastAsia="Palatino Linotype" w:hAnsi="Palatino Linotype" w:cs="Palatino Linotype"/>
          <w:i/>
          <w:color w:val="000000" w:themeColor="text1"/>
        </w:rPr>
        <w:t>de maquila, seguros y transportación, así como de los de limpieza y vigilancia de bienes inmuebles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VIII. La prestación de servicios profesionales, la contratación de consultorías, asesorías y estudios e investigaciones, excepto la contratación de servicios personales de personas físicas bajo el régimen de honorarios. </w:t>
      </w:r>
    </w:p>
    <w:p w:rsidR="00A028E6" w:rsidRPr="00D82507" w:rsidRDefault="00A028E6" w:rsidP="00783483">
      <w:pPr>
        <w:jc w:val="both"/>
        <w:rPr>
          <w:rFonts w:ascii="Palatino Linotype" w:eastAsia="Palatino Linotype" w:hAnsi="Palatino Linotype" w:cs="Palatino Linotype"/>
          <w:b/>
          <w:i/>
          <w:color w:val="000000" w:themeColor="text1"/>
          <w:u w:val="single"/>
        </w:rPr>
      </w:pPr>
      <w:r w:rsidRPr="00D82507">
        <w:rPr>
          <w:rFonts w:ascii="Palatino Linotype" w:eastAsia="Palatino Linotype" w:hAnsi="Palatino Linotype" w:cs="Palatino Linotype"/>
          <w:b/>
          <w:i/>
          <w:color w:val="000000" w:themeColor="text1"/>
          <w:u w:val="single"/>
        </w:rPr>
        <w:t>En general, otros actos que impliquen la contratación de servicios de cualquier naturaleza.</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Artículo 26.- Las adquisiciones, arrendamientos y servicios se adjudicarán a través de licitaciones públicas, mediante convocatoria pública.</w:t>
      </w:r>
    </w:p>
    <w:p w:rsidR="00A028E6" w:rsidRPr="00D82507" w:rsidRDefault="00A028E6" w:rsidP="00783483">
      <w:pPr>
        <w:jc w:val="both"/>
        <w:rPr>
          <w:rFonts w:ascii="Palatino Linotype" w:eastAsia="Palatino Linotype" w:hAnsi="Palatino Linotype" w:cs="Palatino Linotype"/>
          <w:b/>
          <w:i/>
          <w:color w:val="000000" w:themeColor="text1"/>
        </w:rPr>
      </w:pP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Artículo 27.- </w:t>
      </w:r>
      <w:r w:rsidRPr="00D82507">
        <w:rPr>
          <w:rFonts w:ascii="Palatino Linotype" w:eastAsia="Palatino Linotype" w:hAnsi="Palatino Linotype" w:cs="Palatino Linotype"/>
          <w:i/>
          <w:color w:val="000000" w:themeColor="text1"/>
        </w:rPr>
        <w:t>La Oficialía Mayor, las entidades, los tribunales administrativos y los ayuntamientos podrán adjudicar adquisiciones, arrendamientos y servicios, mediante las excepciones al procedimiento de licitación que a continuación se señalan:</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I. Invitación restringida. </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II. Adjudicación directa.”</w:t>
      </w:r>
    </w:p>
    <w:p w:rsidR="00A028E6" w:rsidRPr="00D82507" w:rsidRDefault="00A028E6" w:rsidP="00783483">
      <w:pPr>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(Énfasis añadido)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lastRenderedPageBreak/>
        <w:t xml:space="preserve">Ahora bien, el artículo 48 de la Ley de Contratación Pública del Estado de México y Municipios, contempla las siguientes etapas para la </w:t>
      </w:r>
      <w:r w:rsidRPr="00D82507">
        <w:rPr>
          <w:rFonts w:ascii="Palatino Linotype" w:eastAsia="Palatino Linotype" w:hAnsi="Palatino Linotype" w:cs="Palatino Linotype"/>
          <w:b/>
          <w:color w:val="000000" w:themeColor="text1"/>
        </w:rPr>
        <w:t xml:space="preserve">adjudicación directa. </w:t>
      </w:r>
    </w:p>
    <w:p w:rsidR="00A028E6" w:rsidRPr="00D82507" w:rsidRDefault="00A028E6" w:rsidP="00783483">
      <w:pP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48.-</w:t>
      </w:r>
      <w:r w:rsidRPr="00D82507">
        <w:rPr>
          <w:rFonts w:ascii="Palatino Linotype" w:eastAsia="Palatino Linotype" w:hAnsi="Palatino Linotype" w:cs="Palatino Linotype"/>
          <w:i/>
          <w:color w:val="000000" w:themeColor="text1"/>
        </w:rPr>
        <w:t xml:space="preserve"> La Oficialía Mayor, las entidades, los tribunales administrativos y </w:t>
      </w:r>
      <w:r w:rsidRPr="00D82507">
        <w:rPr>
          <w:rFonts w:ascii="Palatino Linotype" w:eastAsia="Palatino Linotype" w:hAnsi="Palatino Linotype" w:cs="Palatino Linotype"/>
          <w:b/>
          <w:i/>
          <w:color w:val="000000" w:themeColor="text1"/>
        </w:rPr>
        <w:t>los ayuntamientos</w:t>
      </w:r>
      <w:r w:rsidRPr="00D82507">
        <w:rPr>
          <w:rFonts w:ascii="Palatino Linotype" w:eastAsia="Palatino Linotype" w:hAnsi="Palatino Linotype" w:cs="Palatino Linotype"/>
          <w:i/>
          <w:color w:val="000000" w:themeColor="text1"/>
        </w:rPr>
        <w:t xml:space="preserve"> podrán adquirir bienes, arrendar bienes muebles e inmuebles y contratar servicios, mediante adjudicación directa, cuando: </w:t>
      </w:r>
    </w:p>
    <w:p w:rsidR="00A028E6" w:rsidRPr="00D82507" w:rsidRDefault="00A028E6" w:rsidP="00783483">
      <w:pPr>
        <w:numPr>
          <w:ilvl w:val="1"/>
          <w:numId w:val="19"/>
        </w:numPr>
        <w:pBdr>
          <w:top w:val="nil"/>
          <w:left w:val="nil"/>
          <w:bottom w:val="nil"/>
          <w:right w:val="nil"/>
          <w:between w:val="nil"/>
        </w:pBdr>
        <w:tabs>
          <w:tab w:val="left" w:pos="284"/>
        </w:tabs>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La adquisición o el servicio sólo puedan realizarse con una determinada persona, por tratarse de obras de arte, titularidad de patentes, registros, marcas específicas, derechos de autor u otros derechos exclusivos.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 Existan circunstancias que puedan provocar pérdidas o costos adicionales importantes al erario.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 Pueda comprometerse información de naturaleza confidencial para el Estado o municipios, por razones de seguridad pública.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VII. Existan circunstancias extraordinarias o imprevisibles derivadas de riesgo o desastre. En este supuesto, la adquisición, arrendamiento y servicio deberá limitarse a lo estrictamente necesario para enfrentar tal eventualidad.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IX. Se hubiere declarado desierto un procedimiento de invitación restringida.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A028E6" w:rsidRPr="00D82507" w:rsidRDefault="00A028E6" w:rsidP="00783483">
      <w:pPr>
        <w:pBdr>
          <w:top w:val="nil"/>
          <w:left w:val="nil"/>
          <w:bottom w:val="nil"/>
          <w:right w:val="nil"/>
          <w:between w:val="nil"/>
        </w:pBdr>
        <w:tabs>
          <w:tab w:val="left" w:pos="284"/>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49.-</w:t>
      </w:r>
      <w:r w:rsidRPr="00D82507">
        <w:rPr>
          <w:rFonts w:ascii="Palatino Linotype" w:eastAsia="Palatino Linotype" w:hAnsi="Palatino Linotype" w:cs="Palatino Linotype"/>
          <w:i/>
          <w:color w:val="000000" w:themeColor="text1"/>
        </w:rPr>
        <w:t xml:space="preserve"> El procedimiento de adjudicación directa se substanciará con arreglo a el reglamento de esta Ley. </w:t>
      </w:r>
    </w:p>
    <w:p w:rsidR="00A028E6" w:rsidRPr="00D82507" w:rsidRDefault="00A028E6" w:rsidP="00783483">
      <w:pPr>
        <w:tabs>
          <w:tab w:val="left" w:pos="284"/>
        </w:tabs>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En esa línea de estudio, de conformidad con el Reglamento de la Ley de Contratación Pública del Estado de México y Municipios, regula que por Adjudicación Directa se entiende lo siguiente.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Artículo 2.- Para los efectos de este Reglamento, se entenderá por: </w:t>
      </w:r>
    </w:p>
    <w:p w:rsidR="00A028E6" w:rsidRPr="00D82507" w:rsidRDefault="00A028E6" w:rsidP="00783483">
      <w:pPr>
        <w:numPr>
          <w:ilvl w:val="0"/>
          <w:numId w:val="20"/>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Adjudicación directa:</w:t>
      </w:r>
      <w:r w:rsidRPr="00D82507">
        <w:rPr>
          <w:rFonts w:ascii="Palatino Linotype" w:eastAsia="Palatino Linotype" w:hAnsi="Palatino Linotype" w:cs="Palatino Linotype"/>
          <w:i/>
          <w:color w:val="000000" w:themeColor="text1"/>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De lo anterior, se colige que el área convocante es quien designa al proveedor de bienes, arrendador, comprador o prestador del servicio con base en las mejores condiciones en cuanto a precio, calidad y financiamiento.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lastRenderedPageBreak/>
        <w:t xml:space="preserve">Seguidamente el artículo 93 del Reglamento de la Ley de Contratación Pública del Estado de México y Municipios, regula que los municipios solicitarán al Comité de Adquisiciones el dictamen de procedencia del procedimiento de adjudicación, en el que se acredite previamente lo siguiente.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Artículo 93.- </w:t>
      </w:r>
      <w:r w:rsidRPr="00D82507">
        <w:rPr>
          <w:rFonts w:ascii="Palatino Linotype" w:eastAsia="Palatino Linotype" w:hAnsi="Palatino Linotype" w:cs="Palatino Linotype"/>
          <w:i/>
          <w:color w:val="000000" w:themeColor="text1"/>
        </w:rPr>
        <w:t xml:space="preserve">La Secretaría, organismos auxiliares, tribunales administrativos y municipios, solicitarán al comité el dictamen de procedencia del procedimiento de adjudicación directa, acreditando previamente: </w:t>
      </w:r>
    </w:p>
    <w:p w:rsidR="00A028E6" w:rsidRPr="00D82507" w:rsidRDefault="00A028E6" w:rsidP="00783483">
      <w:pPr>
        <w:numPr>
          <w:ilvl w:val="0"/>
          <w:numId w:val="21"/>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La descripción general de los bienes a adquirir o el servicio a contratar;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 La justificación o conveniencia de llevar a cabo la adjudicación directa; y </w:t>
      </w:r>
    </w:p>
    <w:p w:rsidR="00A028E6" w:rsidRPr="00D82507" w:rsidRDefault="00A028E6" w:rsidP="00783483">
      <w:pPr>
        <w:jc w:val="both"/>
        <w:rPr>
          <w:rFonts w:ascii="Palatino Linotype" w:hAnsi="Palatino Linotype"/>
          <w:i/>
          <w:color w:val="000000" w:themeColor="text1"/>
        </w:rPr>
      </w:pPr>
      <w:r w:rsidRPr="00D82507">
        <w:rPr>
          <w:rFonts w:ascii="Palatino Linotype" w:eastAsia="Palatino Linotype" w:hAnsi="Palatino Linotype" w:cs="Palatino Linotype"/>
          <w:i/>
          <w:color w:val="000000" w:themeColor="text1"/>
        </w:rPr>
        <w:t>III. Certificación de suficiencia presupuestaria.</w:t>
      </w:r>
      <w:r w:rsidRPr="00D82507">
        <w:rPr>
          <w:rFonts w:ascii="Palatino Linotype" w:hAnsi="Palatino Linotype"/>
          <w:i/>
          <w:color w:val="000000" w:themeColor="text1"/>
        </w:rPr>
        <w:t xml:space="preserve"> </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i/>
          <w:color w:val="000000" w:themeColor="text1"/>
        </w:rPr>
        <w:t xml:space="preserve">El oficio justificatorio a que se refiere la fracción II, </w:t>
      </w:r>
      <w:r w:rsidRPr="00D82507">
        <w:rPr>
          <w:rFonts w:ascii="Palatino Linotype" w:eastAsia="Palatino Linotype" w:hAnsi="Palatino Linotype" w:cs="Palatino Linotype"/>
          <w:b/>
          <w:i/>
          <w:color w:val="000000" w:themeColor="text1"/>
        </w:rPr>
        <w:t xml:space="preserve">deberá formularse por el titular de la unidad administrativa interesada en la adquisición de los bienes, la contratación de servicios o el arrendamiento. </w:t>
      </w:r>
    </w:p>
    <w:p w:rsidR="00A028E6" w:rsidRPr="00D82507" w:rsidRDefault="00A028E6" w:rsidP="00783483">
      <w:pPr>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De lo anterior, se contempla que dentro de la información que se encuentra en el expediente aperturado por el procedimiento de adjudicación directa se encuentra las descripción general de los </w:t>
      </w:r>
      <w:r w:rsidRPr="00D82507">
        <w:rPr>
          <w:rFonts w:ascii="Palatino Linotype" w:eastAsia="Palatino Linotype" w:hAnsi="Palatino Linotype" w:cs="Palatino Linotype"/>
          <w:b/>
          <w:color w:val="000000" w:themeColor="text1"/>
        </w:rPr>
        <w:t>bienes a adquirir o servicios a contratar</w:t>
      </w:r>
      <w:r w:rsidRPr="00D82507">
        <w:rPr>
          <w:rFonts w:ascii="Palatino Linotype" w:eastAsia="Palatino Linotype" w:hAnsi="Palatino Linotype" w:cs="Palatino Linotype"/>
          <w:color w:val="000000" w:themeColor="text1"/>
        </w:rPr>
        <w:t xml:space="preserve">, la justificación o conveniencia de llevar a cabo la adjudicación directa, la certificación de suficiencia presupuestaria y el oficio justificatorio que debe de formular el titular de la unidad administrativa interesada en la adquisiciones de los bienes, de servicios o arrendamientos.  </w:t>
      </w:r>
    </w:p>
    <w:p w:rsidR="00A028E6" w:rsidRPr="00D82507" w:rsidRDefault="00A028E6" w:rsidP="00783483">
      <w:pP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Seguidamente tal y como se precisó en párrafos anteriores  la información solicitada es considerada información pública que debe encontrarse en la página del IPOMEX del </w:t>
      </w:r>
      <w:r w:rsidRPr="00D82507">
        <w:rPr>
          <w:rFonts w:ascii="Palatino Linotype" w:eastAsia="Palatino Linotype" w:hAnsi="Palatino Linotype" w:cs="Palatino Linotype"/>
          <w:b/>
          <w:color w:val="000000" w:themeColor="text1"/>
        </w:rPr>
        <w:t xml:space="preserve">SUJETO OBLIGADO, situación por la cual se señala en particular que de acuerdo con la Ley De Transparencia y Acceso a la Información Pública del Estado </w:t>
      </w:r>
      <w:r w:rsidRPr="00D82507">
        <w:rPr>
          <w:rFonts w:ascii="Palatino Linotype" w:eastAsia="Palatino Linotype" w:hAnsi="Palatino Linotype" w:cs="Palatino Linotype"/>
          <w:b/>
          <w:color w:val="000000" w:themeColor="text1"/>
        </w:rPr>
        <w:lastRenderedPageBreak/>
        <w:t xml:space="preserve">de México y Municipios los documentos que integran al procedimiento de adjudicación directa son los siguientes.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92.</w:t>
      </w:r>
      <w:r w:rsidRPr="00D82507">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1) La propuesta enviada por el participante;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2) Los motivos y fundamentos legales aplicados para llevarla a cabo;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3) La autorización del ejercicio de la opción;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4) En su caso, las cotizaciones consideradas, especificando los nombres de los proveedores y sus montos;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5) El nombre de la persona física o jurídica colectiva adjudicada;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6) La unidad administrativa solicitante y la responsable de su ejecución;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7) El número, fecha, el monto del contrato y el plazo de entrega o de ejecución de los servicios u obra;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8) Los mecanismos de vigilancia y supervisión, incluyendo, en su caso, los estudios de impacto urbano y ambiental, según corresponda;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9) Los informes de avance sobre las obras o servicios contratados;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10) El convenio de terminación; y </w:t>
      </w:r>
    </w:p>
    <w:p w:rsidR="00A028E6" w:rsidRPr="00D82507" w:rsidRDefault="00A028E6" w:rsidP="0078348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11) El finiquito.</w:t>
      </w:r>
    </w:p>
    <w:p w:rsidR="00A028E6" w:rsidRPr="00D82507" w:rsidRDefault="00A028E6" w:rsidP="00783483">
      <w:pPr>
        <w:spacing w:line="360" w:lineRule="auto"/>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Ahora bien, respecto al procedimiento de </w:t>
      </w:r>
      <w:r w:rsidRPr="00D82507">
        <w:rPr>
          <w:rFonts w:ascii="Palatino Linotype" w:eastAsia="Palatino Linotype" w:hAnsi="Palatino Linotype" w:cs="Palatino Linotype"/>
          <w:b/>
          <w:i/>
          <w:color w:val="000000" w:themeColor="text1"/>
          <w:u w:val="single"/>
        </w:rPr>
        <w:t>licitación pública</w:t>
      </w:r>
      <w:r w:rsidRPr="00D82507">
        <w:rPr>
          <w:rFonts w:ascii="Palatino Linotype" w:eastAsia="Palatino Linotype" w:hAnsi="Palatino Linotype" w:cs="Palatino Linotype"/>
          <w:color w:val="000000" w:themeColor="text1"/>
        </w:rPr>
        <w:t xml:space="preserve">, es de mencionar que de acuerdo con el Banco Interamericano de Desarrollo, la licitación es un procedimiento formal y competitivo de adquisiciones, mediante el cual se solicitan, reciben y evalúan ofertas para la adquisición de </w:t>
      </w:r>
      <w:r w:rsidRPr="00D82507">
        <w:rPr>
          <w:rFonts w:ascii="Palatino Linotype" w:eastAsia="Palatino Linotype" w:hAnsi="Palatino Linotype" w:cs="Palatino Linotype"/>
          <w:b/>
          <w:i/>
          <w:color w:val="000000" w:themeColor="text1"/>
          <w:u w:val="single"/>
        </w:rPr>
        <w:t>bienes</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i/>
          <w:color w:val="000000" w:themeColor="text1"/>
          <w:u w:val="single"/>
        </w:rPr>
        <w:t>obras o servicios</w:t>
      </w:r>
      <w:r w:rsidRPr="00D82507">
        <w:rPr>
          <w:rFonts w:ascii="Palatino Linotype" w:eastAsia="Palatino Linotype" w:hAnsi="Palatino Linotype" w:cs="Palatino Linotype"/>
          <w:color w:val="000000" w:themeColor="text1"/>
        </w:rPr>
        <w:t xml:space="preserve"> y se adjudica el contrato correspondiente al licitador que ofrezca la propuesta más ventajosa. (Desarrollo, 1995)</w:t>
      </w:r>
    </w:p>
    <w:p w:rsidR="00A028E6" w:rsidRPr="00D82507" w:rsidRDefault="00A028E6" w:rsidP="00783483">
      <w:pPr>
        <w:rPr>
          <w:rFonts w:ascii="Palatino Linotype" w:eastAsia="Palatino Linotype" w:hAnsi="Palatino Linotype" w:cs="Palatino Linotype"/>
          <w:color w:val="000000" w:themeColor="text1"/>
        </w:rPr>
      </w:pPr>
    </w:p>
    <w:p w:rsidR="00A028E6" w:rsidRPr="00D82507" w:rsidRDefault="00A028E6" w:rsidP="00783483">
      <w:pP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lastRenderedPageBreak/>
        <w:t xml:space="preserve">El artículo 23 de la Ley de Contratación Pública del Estado de México y Municipios, establece que los Comités de Adquisiciones y Servicios, tendrán las siguientes funciones.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Artículo 23.- Los comités de adquisiciones y de servicios tendrán las funciones siguientes: </w:t>
      </w:r>
    </w:p>
    <w:p w:rsidR="00A028E6" w:rsidRPr="00D82507" w:rsidRDefault="00A028E6" w:rsidP="00783483">
      <w:pPr>
        <w:numPr>
          <w:ilvl w:val="0"/>
          <w:numId w:val="22"/>
        </w:numPr>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Dictaminar sobre la procedencia de los casos de excepción al procedimiento de licitación pública. </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II. Participar en los procedimientos de licitación, invitación restringida y adjudicación directa, hasta dejarlos en estado de dictar el fallo correspondiente, incluidos los que tengan que desahogarse bajo la modalidad de subasta inversa.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III. Emitir los dictámenes de adjudicación.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IV. Las demás que establezca el reglamento de esta Ley.</w:t>
      </w:r>
    </w:p>
    <w:p w:rsidR="00A028E6" w:rsidRPr="00D82507" w:rsidRDefault="00A028E6" w:rsidP="00783483">
      <w:pPr>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En esa línea de estudio, el artículo 35 de la Ley de Contratación Pública del Estado de México y Municipios, establece que el procedimiento que sigue la licitación pública es el siguiente.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Artículo 35.-</w:t>
      </w:r>
      <w:r w:rsidRPr="00D82507">
        <w:rPr>
          <w:rFonts w:ascii="Palatino Linotype" w:eastAsia="Palatino Linotype" w:hAnsi="Palatino Linotype" w:cs="Palatino Linotype"/>
          <w:i/>
          <w:color w:val="000000" w:themeColor="text1"/>
        </w:rPr>
        <w:t xml:space="preserve"> En los procedimientos de licitación pública se observará lo siguiente: </w:t>
      </w:r>
    </w:p>
    <w:p w:rsidR="00A028E6" w:rsidRPr="00D82507" w:rsidRDefault="00A028E6" w:rsidP="00783483">
      <w:pPr>
        <w:numPr>
          <w:ilvl w:val="0"/>
          <w:numId w:val="17"/>
        </w:numPr>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El acto de presentación y apertura de propuestas se llevará a cabo por el servidor público que designe la convocante, conforme al procedimiento que se establezca en el reglamento de esta Ley.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 Las modificaciones no podrán limitar el número de licitantes, sustituir o variar sustancialmente los bienes o servicios convocados originalmente, ni adicionar otros distintos.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VI. Las modificaciones a la convocatoria o a las bases se harán del conocimiento de los interesados hasta tres días hábiles antes de la fecha señalada para el acto de presentación y apertura de propuestas.</w:t>
      </w:r>
      <w:r w:rsidRPr="00D82507">
        <w:rPr>
          <w:rFonts w:ascii="Palatino Linotype" w:eastAsia="Calibri" w:hAnsi="Palatino Linotype" w:cs="Calibri"/>
          <w:i/>
          <w:color w:val="000000" w:themeColor="text1"/>
        </w:rPr>
        <w:t xml:space="preserv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VII. Se emitirá el fallo dentro de los 15 días hábiles siguientes a la publicación de la convocatoria.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VIII. Los licitantes se podrán registrar hasta el día y la hora fijados para el acto de presentación y apertura de propuestas.</w:t>
      </w:r>
    </w:p>
    <w:p w:rsidR="00A028E6" w:rsidRPr="00D82507" w:rsidRDefault="00A028E6" w:rsidP="00783483">
      <w:pPr>
        <w:spacing w:line="360" w:lineRule="auto"/>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Seguidamente el artículo 39 de la Ley de Contratación Pública del Estado de México y Municipios, regula que cada uno de los actos del procedimiento adquisitivo se levantará el acta respectiva, la cual será firmada por los participantes. </w:t>
      </w:r>
    </w:p>
    <w:p w:rsidR="00A028E6" w:rsidRPr="00D82507" w:rsidRDefault="00A028E6" w:rsidP="00783483">
      <w:pPr>
        <w:spacing w:line="360" w:lineRule="auto"/>
        <w:jc w:val="cente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Ahora bien, como se mencionó en párrafos anteriores la información solicitada por el </w:t>
      </w:r>
      <w:r w:rsidRPr="00D82507">
        <w:rPr>
          <w:rFonts w:ascii="Palatino Linotype" w:eastAsia="Palatino Linotype" w:hAnsi="Palatino Linotype" w:cs="Palatino Linotype"/>
          <w:b/>
          <w:color w:val="000000" w:themeColor="text1"/>
        </w:rPr>
        <w:t xml:space="preserve">RECURRENTE </w:t>
      </w:r>
      <w:r w:rsidRPr="00D82507">
        <w:rPr>
          <w:rFonts w:ascii="Palatino Linotype" w:eastAsia="Palatino Linotype" w:hAnsi="Palatino Linotype" w:cs="Palatino Linotype"/>
          <w:color w:val="000000" w:themeColor="text1"/>
        </w:rPr>
        <w:t xml:space="preserve">forma parte de las obligaciones de transparencia común, situación por la cual de conformidad con el artículo 92 de la Ley de Transparencia y Acceso a la Información Pública del Estado de México,  establece que los documentos de consulta de las licitaciones públicas e invitación restringida son los siguientes. </w:t>
      </w:r>
    </w:p>
    <w:p w:rsidR="00A028E6" w:rsidRPr="00D82507" w:rsidRDefault="00A028E6" w:rsidP="00783483">
      <w:pPr>
        <w:jc w:val="both"/>
        <w:rPr>
          <w:rFonts w:ascii="Palatino Linotype" w:eastAsia="Calibri" w:hAnsi="Palatino Linotype" w:cs="Calibri"/>
          <w:color w:val="000000" w:themeColor="text1"/>
        </w:rPr>
      </w:pPr>
      <w:r w:rsidRPr="00D82507">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D82507">
        <w:rPr>
          <w:rFonts w:ascii="Palatino Linotype" w:eastAsia="Calibri" w:hAnsi="Palatino Linotype" w:cs="Calibri"/>
          <w:color w:val="000000" w:themeColor="text1"/>
        </w:rPr>
        <w:t xml:space="preserv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XXIX. La </w:t>
      </w:r>
      <w:r w:rsidRPr="00D82507">
        <w:rPr>
          <w:rFonts w:ascii="Palatino Linotype" w:eastAsia="Palatino Linotype" w:hAnsi="Palatino Linotype" w:cs="Palatino Linotype"/>
          <w:b/>
          <w:i/>
          <w:color w:val="000000" w:themeColor="text1"/>
        </w:rPr>
        <w:t>información sobre los procesos y resultados sobre procedimientos de adjudicación directa, invitación restringida y licitación de cualquier naturaleza</w:t>
      </w:r>
      <w:r w:rsidRPr="00D82507">
        <w:rPr>
          <w:rFonts w:ascii="Palatino Linotype" w:eastAsia="Palatino Linotype" w:hAnsi="Palatino Linotype" w:cs="Palatino Linotype"/>
          <w:i/>
          <w:color w:val="000000" w:themeColor="text1"/>
        </w:rPr>
        <w:t xml:space="preserve">, incluyendo la versión pública del expediente respectivo y de los contratos celebrados, que deberán contener, por los menos, lo siguiente: </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a) De licitaciones públicas o procedimientos de invitación restringida:</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 1) La convocatoria o invitación emitida, así como los fundamentos legales aplicados para llevarla a cabo;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2) Los nombres de los participantes o invitados;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3) El nombre del ganador y las razones que lo justifican;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4) El área solicitante y la responsable de su ejecución;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xml:space="preserve">5) Las convocatorias e invitaciones emitidas;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6) Los dictámenes y fallo de adjudicación; 7</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 El contrato y, en su caso, sus anexos;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8) Los mecanismos de vigilancia y supervisión, incluyendo en su caso, los estudios de impacto urbano y ambiental, según corresponda;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9) La partida presupuestal, de conformidad con el clasificador por objeto del gasto, en el caso de ser aplicable;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10) Origen de los recursos especificando si son federales, estatales o municipales, así como el tipo de fondo de participación o aportación respectiva;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11) Los convenios modificatorios que, en su caso, sean firmados, precisando el objeto y la fecha de celebración;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12) Los informes de avance físico y financiero sobre las obras o servicios contratados;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13) El convenio de terminación; y </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14) El finiquito. </w:t>
      </w:r>
    </w:p>
    <w:p w:rsidR="00A028E6" w:rsidRPr="00D82507" w:rsidRDefault="00A028E6" w:rsidP="00783483">
      <w:pPr>
        <w:spacing w:line="360" w:lineRule="auto"/>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Siguiendo esa línea de estudio, la Ley de Contratación Pública del Estado de México y Municipios, establece que las licitaciones podrán ser de la siguiente manera. </w:t>
      </w:r>
    </w:p>
    <w:p w:rsidR="00A028E6" w:rsidRPr="00D82507" w:rsidRDefault="00A028E6" w:rsidP="00783483">
      <w:pPr>
        <w:tabs>
          <w:tab w:val="left" w:pos="284"/>
        </w:tabs>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Artículo 29.-</w:t>
      </w:r>
      <w:r w:rsidRPr="00D82507">
        <w:rPr>
          <w:rFonts w:ascii="Palatino Linotype" w:eastAsia="Palatino Linotype" w:hAnsi="Palatino Linotype" w:cs="Palatino Linotype"/>
          <w:i/>
          <w:color w:val="000000" w:themeColor="text1"/>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D82507">
        <w:rPr>
          <w:rFonts w:ascii="Palatino Linotype" w:eastAsia="Palatino Linotype" w:hAnsi="Palatino Linotype" w:cs="Palatino Linotype"/>
          <w:b/>
          <w:i/>
          <w:color w:val="000000" w:themeColor="text1"/>
        </w:rPr>
        <w:t>los ayuntamientos proporcionarán a los interesados igual acceso a la información relacionada con la licitación, a fin de evitar favorecer a algún participante.</w:t>
      </w:r>
    </w:p>
    <w:p w:rsidR="00A028E6" w:rsidRPr="00D82507" w:rsidRDefault="00A028E6" w:rsidP="00783483">
      <w:pPr>
        <w:tabs>
          <w:tab w:val="left" w:pos="284"/>
        </w:tabs>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i/>
          <w:color w:val="000000" w:themeColor="text1"/>
        </w:rPr>
        <w:t xml:space="preserve">Artículo 30.- </w:t>
      </w:r>
      <w:r w:rsidRPr="00D82507">
        <w:rPr>
          <w:rFonts w:ascii="Palatino Linotype" w:eastAsia="Palatino Linotype" w:hAnsi="Palatino Linotype" w:cs="Palatino Linotype"/>
          <w:b/>
          <w:i/>
          <w:color w:val="000000" w:themeColor="text1"/>
        </w:rPr>
        <w:t xml:space="preserve">Las licitaciones públicas podrán ser: </w:t>
      </w:r>
    </w:p>
    <w:p w:rsidR="00A028E6" w:rsidRPr="00D82507" w:rsidRDefault="00A028E6" w:rsidP="00783483">
      <w:pPr>
        <w:numPr>
          <w:ilvl w:val="0"/>
          <w:numId w:val="18"/>
        </w:numPr>
        <w:pBdr>
          <w:top w:val="nil"/>
          <w:left w:val="nil"/>
          <w:bottom w:val="nil"/>
          <w:right w:val="nil"/>
          <w:between w:val="nil"/>
        </w:pBdr>
        <w:tabs>
          <w:tab w:val="left" w:pos="284"/>
        </w:tabs>
        <w:ind w:left="0" w:firstLine="0"/>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 xml:space="preserve">Nacionales, cuando únicamente puedan participar personas de nacionalidad mexicana. </w:t>
      </w:r>
    </w:p>
    <w:p w:rsidR="00A028E6" w:rsidRPr="00D82507" w:rsidRDefault="00A028E6" w:rsidP="00783483">
      <w:pPr>
        <w:numPr>
          <w:ilvl w:val="0"/>
          <w:numId w:val="18"/>
        </w:numPr>
        <w:pBdr>
          <w:top w:val="nil"/>
          <w:left w:val="nil"/>
          <w:bottom w:val="nil"/>
          <w:right w:val="nil"/>
          <w:between w:val="nil"/>
        </w:pBdr>
        <w:tabs>
          <w:tab w:val="left" w:pos="284"/>
        </w:tabs>
        <w:ind w:left="0" w:firstLine="0"/>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Internacionales, cuando puedan participar tanto personas de nacionalidad mexicana como extranjera.</w:t>
      </w:r>
    </w:p>
    <w:p w:rsidR="00A028E6" w:rsidRPr="00D82507" w:rsidRDefault="00A028E6" w:rsidP="00783483">
      <w:pPr>
        <w:pBdr>
          <w:top w:val="nil"/>
          <w:left w:val="nil"/>
          <w:bottom w:val="nil"/>
          <w:right w:val="nil"/>
          <w:between w:val="nil"/>
        </w:pBd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De lo anterior, se refiere que la información solicitada de los contratos, facturas y el expediente en su totalidad, es información que se encuentra en los archivos del </w:t>
      </w:r>
      <w:r w:rsidRPr="00D82507">
        <w:rPr>
          <w:rFonts w:ascii="Palatino Linotype" w:eastAsia="Palatino Linotype" w:hAnsi="Palatino Linotype" w:cs="Palatino Linotype"/>
          <w:b/>
          <w:color w:val="000000" w:themeColor="text1"/>
        </w:rPr>
        <w:lastRenderedPageBreak/>
        <w:t xml:space="preserve">SUJETO OBLIGADO </w:t>
      </w:r>
      <w:r w:rsidRPr="00D82507">
        <w:rPr>
          <w:rFonts w:ascii="Palatino Linotype" w:eastAsia="Palatino Linotype" w:hAnsi="Palatino Linotype" w:cs="Palatino Linotype"/>
          <w:color w:val="000000" w:themeColor="text1"/>
        </w:rPr>
        <w:t>y que al ser información que forma parte de las obligaciones de transparencia común es que procede su entrega en versión pública</w:t>
      </w:r>
      <w:r w:rsidRPr="00D82507">
        <w:rPr>
          <w:rFonts w:ascii="Palatino Linotype" w:eastAsia="Palatino Linotype" w:hAnsi="Palatino Linotype" w:cs="Palatino Linotype"/>
          <w:b/>
          <w:color w:val="000000" w:themeColor="text1"/>
        </w:rPr>
        <w:t xml:space="preserve">.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Ahora bien, respecto de los c</w:t>
      </w:r>
      <w:r w:rsidRPr="00D82507">
        <w:rPr>
          <w:rFonts w:ascii="Palatino Linotype" w:eastAsia="Palatino Linotype" w:hAnsi="Palatino Linotype" w:cs="Palatino Linotype"/>
          <w:b/>
          <w:color w:val="000000" w:themeColor="text1"/>
        </w:rPr>
        <w:t>ontratos</w:t>
      </w:r>
      <w:r w:rsidRPr="00D82507">
        <w:rPr>
          <w:rFonts w:ascii="Palatino Linotype" w:eastAsia="Palatino Linotype" w:hAnsi="Palatino Linotype" w:cs="Palatino Linotype"/>
          <w:color w:val="000000" w:themeColor="text1"/>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rsidR="00A028E6" w:rsidRPr="00D82507" w:rsidRDefault="00A028E6" w:rsidP="00783483">
      <w:pPr>
        <w:spacing w:before="240" w:after="160"/>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Dentro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por lo que hace </w:t>
      </w:r>
      <w:r w:rsidRPr="00D82507">
        <w:rPr>
          <w:rFonts w:ascii="Palatino Linotype" w:eastAsia="Palatino Linotype" w:hAnsi="Palatino Linotype" w:cs="Palatino Linotype"/>
          <w:b/>
          <w:color w:val="000000" w:themeColor="text1"/>
        </w:rPr>
        <w:t xml:space="preserve">al nombre del servidor público, nombre, denominación o razón social del proveedor, nombre del apoderado o representante legal, domicilio fiscal, teléfono empresarial o institucional, firmas, y RFC se consideran datos personales públicos. </w:t>
      </w:r>
    </w:p>
    <w:p w:rsidR="00A028E6" w:rsidRPr="00D82507" w:rsidRDefault="00A028E6" w:rsidP="00783483">
      <w:pPr>
        <w:pBdr>
          <w:top w:val="nil"/>
          <w:left w:val="nil"/>
          <w:bottom w:val="nil"/>
          <w:right w:val="nil"/>
          <w:between w:val="nil"/>
        </w:pBd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Cobra sustento lo anterior, con el criterio 01/19 reiterado vigente del INAI, que refiere lo siguiente:</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Datos de identificación del representante o apoderado legal.</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 xml:space="preserve">Naturaleza jurídica. </w:t>
      </w:r>
      <w:r w:rsidRPr="00D82507">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A028E6" w:rsidRPr="00D82507" w:rsidRDefault="00A028E6" w:rsidP="00783483">
      <w:pPr>
        <w:jc w:val="both"/>
        <w:rPr>
          <w:rFonts w:ascii="Palatino Linotype" w:eastAsia="Palatino Linotype" w:hAnsi="Palatino Linotype" w:cs="Palatino Linotype"/>
          <w:i/>
          <w:color w:val="000000" w:themeColor="text1"/>
        </w:rPr>
      </w:pP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lastRenderedPageBreak/>
        <w:t>Precedentes: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Acceso a la información pública. RRA 3104/16. Sesión del 01 de noviembre del 2016. Votación por unanimidad. Sin votos disidentes o particulares. Secretaría de la Defensa Nacional. Comisionado Ponente Oscar Mauricio Guerra Ford.</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A028E6" w:rsidRPr="00D82507" w:rsidRDefault="00A028E6" w:rsidP="00783483">
      <w:pPr>
        <w:tabs>
          <w:tab w:val="left" w:pos="7371"/>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A028E6" w:rsidRPr="00D82507" w:rsidRDefault="00A028E6" w:rsidP="00783483">
      <w:pPr>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Seguidamente, como se solicita la información de las facturas es que se debe de precisar lo siguiente.</w:t>
      </w:r>
    </w:p>
    <w:p w:rsidR="00A028E6" w:rsidRPr="00D82507" w:rsidRDefault="00A028E6" w:rsidP="0078348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Ahora bien, de las </w:t>
      </w:r>
      <w:r w:rsidRPr="00D82507">
        <w:rPr>
          <w:rFonts w:ascii="Palatino Linotype" w:eastAsia="Palatino Linotype" w:hAnsi="Palatino Linotype" w:cs="Palatino Linotype"/>
          <w:b/>
          <w:color w:val="000000" w:themeColor="text1"/>
        </w:rPr>
        <w:t>facturas</w:t>
      </w:r>
      <w:r w:rsidRPr="00D82507">
        <w:rPr>
          <w:rFonts w:ascii="Palatino Linotype" w:eastAsia="Palatino Linotype" w:hAnsi="Palatino Linotype" w:cs="Palatino Linotype"/>
          <w:color w:val="000000" w:themeColor="text1"/>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2">
        <w:r w:rsidRPr="00D82507">
          <w:rPr>
            <w:rFonts w:ascii="Palatino Linotype" w:eastAsia="Palatino Linotype" w:hAnsi="Palatino Linotype" w:cs="Palatino Linotype"/>
            <w:color w:val="000000" w:themeColor="text1"/>
          </w:rPr>
          <w:t>http://omawww.sat.gob.mx/ /Paginas/solicita_requisitos.htm</w:t>
        </w:r>
      </w:hyperlink>
      <w:r w:rsidRPr="00D82507">
        <w:rPr>
          <w:rFonts w:ascii="Palatino Linotype" w:eastAsia="Palatino Linotype" w:hAnsi="Palatino Linotype" w:cs="Palatino Linotype"/>
          <w:color w:val="000000" w:themeColor="text1"/>
        </w:rPr>
        <w:t>, de conformidad con lo siguiente:</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Requisitos que deben reunir las facturas que recibas</w:t>
      </w:r>
      <w:r w:rsidRPr="00D82507">
        <w:rPr>
          <w:rFonts w:ascii="Palatino Linotype" w:eastAsia="Palatino Linotype" w:hAnsi="Palatino Linotype" w:cs="Palatino Linotype"/>
          <w:i/>
          <w:color w:val="000000" w:themeColor="text1"/>
        </w:rPr>
        <w:t>:</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u w:val="single"/>
        </w:rPr>
        <w:t>Clave del Registro Federal de Contribuyentes de quien los expida</w:t>
      </w:r>
      <w:r w:rsidRPr="00D82507">
        <w:rPr>
          <w:rFonts w:ascii="Palatino Linotype" w:eastAsia="Palatino Linotype" w:hAnsi="Palatino Linotype" w:cs="Palatino Linotype"/>
          <w:i/>
          <w:color w:val="000000" w:themeColor="text1"/>
        </w:rPr>
        <w:t>.</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Régimen Fiscal en que tributen conforme a la Ley del ISR.</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Sí se tiene más de un local o establecimiento, se deberá señalar el domicilio del local o establecimiento en el que se expidan las Facturas.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Contener el número de folio asignado por el SAT y el sello digital del SAT.</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u w:val="single"/>
        </w:rPr>
        <w:t>Sello digital del contribuyente que lo expide</w:t>
      </w:r>
      <w:r w:rsidRPr="00D82507">
        <w:rPr>
          <w:rFonts w:ascii="Palatino Linotype" w:eastAsia="Palatino Linotype" w:hAnsi="Palatino Linotype" w:cs="Palatino Linotype"/>
          <w:i/>
          <w:color w:val="000000" w:themeColor="text1"/>
        </w:rPr>
        <w:t>.</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Lugar y fecha de expedición.</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Clave del Registro Federal de Contribuyentes de la persona a favor de quien se expida.</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lastRenderedPageBreak/>
        <w:t>  Cantidad, unidad de medida y clase de los bienes, mercancías o descripción del servicio o del uso o goce que amparen.</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Valor unitario consignado en número.</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Importe total señalado en número o en letra.</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Señalamiento expreso cuando la prestación se pague en una sola exhibición o en parcialidades.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Cuando proceda, se indicará el monto de los impuestos trasladados, desglosados por tasa de impuesto y, en su caso, el monto de los impuestos retenidos.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Forma en que se realizó el pago (efectivo, transferencia electrónica de fondos, cheque nominativos o tarjeta de débito, de crédito, de servicio o la denominada monedero electrónico que autorice el Servicio de Administración Tributaria).</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  Número y fecha del documento aduanero, tratándose de ventas de primera mano de mercancías de importación.</w:t>
      </w:r>
    </w:p>
    <w:p w:rsidR="00A028E6" w:rsidRPr="00D82507" w:rsidRDefault="00A028E6" w:rsidP="00783483">
      <w:pPr>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br/>
      </w:r>
      <w:r w:rsidRPr="00D82507">
        <w:rPr>
          <w:rFonts w:ascii="Palatino Linotype" w:eastAsia="Palatino Linotype" w:hAnsi="Palatino Linotype" w:cs="Palatino Linotype"/>
          <w:b/>
          <w:i/>
          <w:color w:val="000000" w:themeColor="text1"/>
        </w:rPr>
        <w:t>Además, debe contener los siguientes datos:</w:t>
      </w:r>
      <w:r w:rsidRPr="00D82507">
        <w:rPr>
          <w:rFonts w:ascii="Palatino Linotype" w:eastAsia="Palatino Linotype" w:hAnsi="Palatino Linotype" w:cs="Palatino Linotype"/>
          <w:b/>
          <w:i/>
          <w:color w:val="000000" w:themeColor="text1"/>
        </w:rPr>
        <w:br/>
        <w:t>a) Fecha y hora de certificación.</w:t>
      </w:r>
      <w:r w:rsidRPr="00D82507">
        <w:rPr>
          <w:rFonts w:ascii="Palatino Linotype" w:eastAsia="Palatino Linotype" w:hAnsi="Palatino Linotype" w:cs="Palatino Linotype"/>
          <w:b/>
          <w:i/>
          <w:color w:val="000000" w:themeColor="text1"/>
        </w:rPr>
        <w:br/>
        <w:t>b) Número de serie del certificado digital del SAT con el que se realizó el sellado</w:t>
      </w:r>
      <w:r w:rsidRPr="00D82507">
        <w:rPr>
          <w:rFonts w:ascii="Palatino Linotype" w:eastAsia="Palatino Linotype" w:hAnsi="Palatino Linotype" w:cs="Palatino Linotype"/>
          <w:i/>
          <w:color w:val="000000" w:themeColor="text1"/>
        </w:rPr>
        <w:t>.</w:t>
      </w:r>
    </w:p>
    <w:p w:rsidR="00A028E6" w:rsidRPr="00D82507" w:rsidRDefault="00A028E6" w:rsidP="00783483">
      <w:pPr>
        <w:rPr>
          <w:rFonts w:ascii="Palatino Linotype" w:eastAsia="Palatino Linotype" w:hAnsi="Palatino Linotype" w:cs="Palatino Linotype"/>
          <w:color w:val="000000" w:themeColor="text1"/>
        </w:rPr>
      </w:pPr>
    </w:p>
    <w:p w:rsidR="00A567CA" w:rsidRPr="00D82507" w:rsidRDefault="00A567CA"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Por otro lado, es necesario precisar que al ser entrega de las facturas se entregara el costo de los inflables, situación por la cual en los resolutivos de ordenará solo la factura que es el documento que da cuenta de lo solicitado en cuanto al costo. </w:t>
      </w:r>
    </w:p>
    <w:p w:rsidR="00A567CA" w:rsidRPr="00D82507" w:rsidRDefault="00A567CA" w:rsidP="00783483">
      <w:pPr>
        <w:spacing w:line="360" w:lineRule="auto"/>
        <w:jc w:val="both"/>
        <w:rPr>
          <w:rFonts w:ascii="Palatino Linotype" w:hAnsi="Palatino Linotype"/>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Ahora bien, se debe de referir que de los datos de las facturas pueden obrar datos personales susceptibles de clasificarse como lo son, la clave de elector, </w:t>
      </w:r>
      <w:r w:rsidRPr="00D82507">
        <w:rPr>
          <w:rFonts w:ascii="Palatino Linotype" w:eastAsia="Palatino Linotype" w:hAnsi="Palatino Linotype" w:cs="Palatino Linotype"/>
          <w:b/>
          <w:color w:val="000000" w:themeColor="text1"/>
        </w:rPr>
        <w:t>teléfono particular</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 xml:space="preserve">correo electrónico personal, </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Clave Única de Registro de Población (CURP</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número de pasaporte</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cuenta bancaria del proveedor</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banco y sucursal del proveedor</w:t>
      </w:r>
      <w:r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b/>
          <w:color w:val="000000" w:themeColor="text1"/>
        </w:rPr>
        <w:t>clave interbancaria del proveedor</w:t>
      </w:r>
      <w:r w:rsidRPr="00D82507">
        <w:rPr>
          <w:rFonts w:ascii="Palatino Linotype" w:eastAsia="Palatino Linotype" w:hAnsi="Palatino Linotype" w:cs="Palatino Linotype"/>
          <w:color w:val="000000" w:themeColor="text1"/>
        </w:rPr>
        <w:t xml:space="preserve">, es así que, por lo que hace al nombre del servidor público, nombre, denominación o razón social del proveedor, nombre del apoderado o representante legal, domicilio fiscal, </w:t>
      </w:r>
      <w:r w:rsidRPr="00D82507">
        <w:rPr>
          <w:rFonts w:ascii="Palatino Linotype" w:eastAsia="Palatino Linotype" w:hAnsi="Palatino Linotype" w:cs="Palatino Linotype"/>
          <w:b/>
          <w:color w:val="000000" w:themeColor="text1"/>
        </w:rPr>
        <w:t>teléfono empresarial o institucional,</w:t>
      </w:r>
      <w:r w:rsidRPr="00D82507">
        <w:rPr>
          <w:rFonts w:ascii="Palatino Linotype" w:eastAsia="Palatino Linotype" w:hAnsi="Palatino Linotype" w:cs="Palatino Linotype"/>
          <w:color w:val="000000" w:themeColor="text1"/>
        </w:rPr>
        <w:t xml:space="preserve"> firmas, y RFC se consideran datos personales públicos. </w:t>
      </w: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lastRenderedPageBreak/>
        <w:t>Cobra sustento lo anterior, con el criterio 01/19 reiterado vigente del INAI, que refiere lo siguiente:</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Datos de identificación del representante o apoderado legal.</w:t>
      </w:r>
      <w:r w:rsidRPr="00D82507">
        <w:rPr>
          <w:rFonts w:ascii="Palatino Linotype" w:eastAsia="Palatino Linotype" w:hAnsi="Palatino Linotype" w:cs="Palatino Linotype"/>
          <w:i/>
          <w:color w:val="000000" w:themeColor="text1"/>
        </w:rPr>
        <w:t xml:space="preserve"> </w:t>
      </w:r>
      <w:r w:rsidRPr="00D82507">
        <w:rPr>
          <w:rFonts w:ascii="Palatino Linotype" w:eastAsia="Palatino Linotype" w:hAnsi="Palatino Linotype" w:cs="Palatino Linotype"/>
          <w:b/>
          <w:i/>
          <w:color w:val="000000" w:themeColor="text1"/>
        </w:rPr>
        <w:t xml:space="preserve">Naturaleza jurídica. </w:t>
      </w:r>
      <w:r w:rsidRPr="00D82507">
        <w:rPr>
          <w:rFonts w:ascii="Palatino Linotype" w:eastAsia="Palatino Linotype" w:hAnsi="Palatino Linotype" w:cs="Palatino Linotype"/>
          <w:i/>
          <w:color w:val="000000" w:themeColor="text1"/>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A028E6" w:rsidRPr="00D82507" w:rsidRDefault="00A028E6" w:rsidP="00783483">
      <w:pPr>
        <w:jc w:val="both"/>
        <w:rPr>
          <w:rFonts w:ascii="Palatino Linotype" w:eastAsia="Palatino Linotype" w:hAnsi="Palatino Linotype" w:cs="Palatino Linotype"/>
          <w:i/>
          <w:color w:val="000000" w:themeColor="text1"/>
        </w:rPr>
      </w:pP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b/>
          <w:i/>
          <w:color w:val="000000" w:themeColor="text1"/>
        </w:rPr>
        <w:t>Precedentes:</w:t>
      </w:r>
    </w:p>
    <w:p w:rsidR="00A028E6" w:rsidRPr="00D82507" w:rsidRDefault="00A028E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Acceso a la información pública. RRA 3104/16. Sesión del 01 de noviembre del 2016. Votación por unanimidad. Sin votos disidentes o particulares. Secretaría de la Defensa Nacional. Comisionado Ponente Oscar Mauricio Guerra Ford.</w:t>
      </w:r>
    </w:p>
    <w:p w:rsidR="00A028E6" w:rsidRPr="00D82507" w:rsidRDefault="00A028E6" w:rsidP="00783483">
      <w:pPr>
        <w:jc w:val="both"/>
        <w:rPr>
          <w:rFonts w:ascii="Palatino Linotype" w:eastAsia="Palatino Linotype" w:hAnsi="Palatino Linotype" w:cs="Palatino Linotype"/>
          <w:b/>
          <w:i/>
          <w:color w:val="000000" w:themeColor="text1"/>
        </w:rPr>
      </w:pPr>
      <w:r w:rsidRPr="00D82507">
        <w:rPr>
          <w:rFonts w:ascii="Palatino Linotype" w:eastAsia="Palatino Linotype" w:hAnsi="Palatino Linotype" w:cs="Palatino Linotype"/>
          <w:i/>
          <w:color w:val="000000" w:themeColor="text1"/>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A028E6" w:rsidRPr="00D82507" w:rsidRDefault="00A028E6" w:rsidP="00783483">
      <w:pPr>
        <w:tabs>
          <w:tab w:val="left" w:pos="7371"/>
        </w:tabs>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A028E6" w:rsidRPr="00D82507" w:rsidRDefault="00A028E6" w:rsidP="00783483">
      <w:pPr>
        <w:tabs>
          <w:tab w:val="left" w:pos="7371"/>
        </w:tabs>
        <w:jc w:val="both"/>
        <w:rPr>
          <w:rFonts w:ascii="Palatino Linotype" w:eastAsia="Palatino Linotype" w:hAnsi="Palatino Linotype" w:cs="Palatino Linotype"/>
          <w:i/>
          <w:color w:val="000000" w:themeColor="text1"/>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Del Folio fiscal, Número de serie CSD del emisor, Sello digital del contribuyente emisor, Número de serie del CSD del SAT, Sello digital del SA y Cadena original de complemento de certificación digital SAT. </w:t>
      </w:r>
    </w:p>
    <w:p w:rsidR="00A028E6" w:rsidRPr="00D82507" w:rsidRDefault="00A028E6" w:rsidP="00783483">
      <w:pPr>
        <w:spacing w:line="360" w:lineRule="auto"/>
        <w:jc w:val="both"/>
        <w:rPr>
          <w:rFonts w:ascii="Palatino Linotype" w:eastAsia="Palatino Linotype" w:hAnsi="Palatino Linotype" w:cs="Palatino Linotype"/>
          <w:b/>
          <w:i/>
          <w:color w:val="000000" w:themeColor="text1"/>
          <w:u w:val="single"/>
        </w:rPr>
      </w:pPr>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11" w:name="_heading=h.2z9jwqn7dp2n" w:colFirst="0" w:colLast="0"/>
      <w:bookmarkEnd w:id="11"/>
      <w:r w:rsidRPr="00D82507">
        <w:rPr>
          <w:rFonts w:ascii="Palatino Linotype" w:eastAsia="Palatino Linotype" w:hAnsi="Palatino Linotype" w:cs="Palatino Linotype"/>
          <w:color w:val="000000" w:themeColor="text1"/>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rsidR="00A028E6" w:rsidRPr="00D82507" w:rsidRDefault="00A028E6" w:rsidP="00783483">
      <w:pPr>
        <w:jc w:val="both"/>
        <w:rPr>
          <w:rFonts w:ascii="Palatino Linotype" w:eastAsia="Palatino Linotype" w:hAnsi="Palatino Linotype" w:cs="Palatino Linotype"/>
          <w:i/>
          <w:color w:val="000000" w:themeColor="text1"/>
        </w:rPr>
      </w:pPr>
      <w:bookmarkStart w:id="12" w:name="_heading=h.jn7wityzmbc9" w:colFirst="0" w:colLast="0"/>
      <w:bookmarkEnd w:id="12"/>
      <w:r w:rsidRPr="00D82507">
        <w:rPr>
          <w:rFonts w:ascii="Palatino Linotype" w:eastAsia="Palatino Linotype" w:hAnsi="Palatino Linotype" w:cs="Palatino Linotype"/>
          <w:i/>
          <w:color w:val="000000" w:themeColor="text1"/>
        </w:rPr>
        <w:lastRenderedPageBreak/>
        <w:t>“I. Código de barras generado conforme a la especificación técnica que se establece en el rubro I.D del Anexo 20 o el número de folio fiscal del comprobante.</w:t>
      </w:r>
    </w:p>
    <w:p w:rsidR="00A028E6" w:rsidRPr="00D82507" w:rsidRDefault="00A028E6" w:rsidP="00783483">
      <w:pPr>
        <w:jc w:val="both"/>
        <w:rPr>
          <w:rFonts w:ascii="Palatino Linotype" w:eastAsia="Palatino Linotype" w:hAnsi="Palatino Linotype" w:cs="Palatino Linotype"/>
          <w:i/>
          <w:color w:val="000000" w:themeColor="text1"/>
        </w:rPr>
      </w:pPr>
      <w:bookmarkStart w:id="13" w:name="_heading=h.t35j6so4838j" w:colFirst="0" w:colLast="0"/>
      <w:bookmarkEnd w:id="13"/>
      <w:r w:rsidRPr="00D82507">
        <w:rPr>
          <w:rFonts w:ascii="Palatino Linotype" w:eastAsia="Palatino Linotype" w:hAnsi="Palatino Linotype" w:cs="Palatino Linotype"/>
          <w:i/>
          <w:color w:val="000000" w:themeColor="text1"/>
        </w:rPr>
        <w:t xml:space="preserve">II. Número de serie del CSD del emisor y del SAT, que establecen los rubros I.A y III.B del Anexo 20. </w:t>
      </w:r>
    </w:p>
    <w:p w:rsidR="00A028E6" w:rsidRPr="00D82507" w:rsidRDefault="00A028E6" w:rsidP="00783483">
      <w:pPr>
        <w:jc w:val="both"/>
        <w:rPr>
          <w:rFonts w:ascii="Palatino Linotype" w:eastAsia="Palatino Linotype" w:hAnsi="Palatino Linotype" w:cs="Palatino Linotype"/>
          <w:i/>
          <w:color w:val="000000" w:themeColor="text1"/>
        </w:rPr>
      </w:pPr>
      <w:bookmarkStart w:id="14" w:name="_heading=h.ofsgmw2ltcti" w:colFirst="0" w:colLast="0"/>
      <w:bookmarkEnd w:id="14"/>
      <w:r w:rsidRPr="00D82507">
        <w:rPr>
          <w:rFonts w:ascii="Palatino Linotype" w:eastAsia="Palatino Linotype" w:hAnsi="Palatino Linotype" w:cs="Palatino Linotype"/>
          <w:i/>
          <w:color w:val="000000" w:themeColor="text1"/>
        </w:rPr>
        <w:t xml:space="preserve">III. La leyenda: “Este documento es una representación impresa de un CFDI” </w:t>
      </w:r>
    </w:p>
    <w:p w:rsidR="00A028E6" w:rsidRPr="00D82507" w:rsidRDefault="00A028E6" w:rsidP="00783483">
      <w:pPr>
        <w:jc w:val="both"/>
        <w:rPr>
          <w:rFonts w:ascii="Palatino Linotype" w:eastAsia="Palatino Linotype" w:hAnsi="Palatino Linotype" w:cs="Palatino Linotype"/>
          <w:i/>
          <w:color w:val="000000" w:themeColor="text1"/>
        </w:rPr>
      </w:pPr>
      <w:bookmarkStart w:id="15" w:name="_heading=h.6md85qnj95ht" w:colFirst="0" w:colLast="0"/>
      <w:bookmarkEnd w:id="15"/>
      <w:r w:rsidRPr="00D82507">
        <w:rPr>
          <w:rFonts w:ascii="Palatino Linotype" w:eastAsia="Palatino Linotype" w:hAnsi="Palatino Linotype" w:cs="Palatino Linotype"/>
          <w:i/>
          <w:color w:val="000000" w:themeColor="text1"/>
        </w:rPr>
        <w:t xml:space="preserve">IV. Fecha y hora de emisión y de certificación del CFDI en adición a lo señalado en el artículo 29- A, fracción III del CFF. </w:t>
      </w:r>
    </w:p>
    <w:p w:rsidR="00A028E6" w:rsidRPr="00D82507" w:rsidRDefault="00A028E6" w:rsidP="00783483">
      <w:pPr>
        <w:jc w:val="both"/>
        <w:rPr>
          <w:rFonts w:ascii="Palatino Linotype" w:eastAsia="Palatino Linotype" w:hAnsi="Palatino Linotype" w:cs="Palatino Linotype"/>
          <w:i/>
          <w:color w:val="000000" w:themeColor="text1"/>
        </w:rPr>
      </w:pPr>
      <w:bookmarkStart w:id="16" w:name="_heading=h.gkcdl3o797mw" w:colFirst="0" w:colLast="0"/>
      <w:bookmarkEnd w:id="16"/>
      <w:r w:rsidRPr="00D82507">
        <w:rPr>
          <w:rFonts w:ascii="Palatino Linotype" w:eastAsia="Palatino Linotype" w:hAnsi="Palatino Linotype" w:cs="Palatino Linotype"/>
          <w:i/>
          <w:color w:val="000000" w:themeColor="text1"/>
        </w:rPr>
        <w:t xml:space="preserve">V. Cadena original del complemento de certificación digital del SAT. </w:t>
      </w:r>
    </w:p>
    <w:p w:rsidR="00A028E6" w:rsidRPr="00D82507" w:rsidRDefault="00A028E6" w:rsidP="00783483">
      <w:pPr>
        <w:jc w:val="both"/>
        <w:rPr>
          <w:rFonts w:ascii="Palatino Linotype" w:eastAsia="Palatino Linotype" w:hAnsi="Palatino Linotype" w:cs="Palatino Linotype"/>
          <w:i/>
          <w:color w:val="000000" w:themeColor="text1"/>
        </w:rPr>
      </w:pPr>
      <w:bookmarkStart w:id="17" w:name="_heading=h.obomck3iidb7" w:colFirst="0" w:colLast="0"/>
      <w:bookmarkEnd w:id="17"/>
      <w:r w:rsidRPr="00D82507">
        <w:rPr>
          <w:rFonts w:ascii="Palatino Linotype" w:eastAsia="Palatino Linotype" w:hAnsi="Palatino Linotype" w:cs="Palatino Linotype"/>
          <w:i/>
          <w:color w:val="000000" w:themeColor="text1"/>
        </w:rPr>
        <w:t xml:space="preserve">VI. Tratándose de las representaciones impresas del CFDI que amparen retenciones e información de pagos emitidos conforme a lo dispuesto en la regla 2.7.5.4., adicional a lo anteriormente señalado deberán incluir: </w:t>
      </w:r>
    </w:p>
    <w:p w:rsidR="00A028E6" w:rsidRPr="00D82507" w:rsidRDefault="00A028E6" w:rsidP="00783483">
      <w:pPr>
        <w:jc w:val="both"/>
        <w:rPr>
          <w:rFonts w:ascii="Palatino Linotype" w:eastAsia="Palatino Linotype" w:hAnsi="Palatino Linotype" w:cs="Palatino Linotype"/>
          <w:i/>
          <w:color w:val="000000" w:themeColor="text1"/>
        </w:rPr>
      </w:pPr>
      <w:bookmarkStart w:id="18" w:name="_heading=h.n6ygx4z7u7iu" w:colFirst="0" w:colLast="0"/>
      <w:bookmarkEnd w:id="18"/>
      <w:r w:rsidRPr="00D82507">
        <w:rPr>
          <w:rFonts w:ascii="Palatino Linotype" w:eastAsia="Palatino Linotype" w:hAnsi="Palatino Linotype" w:cs="Palatino Linotype"/>
          <w:i/>
          <w:color w:val="000000" w:themeColor="text1"/>
        </w:rPr>
        <w:t xml:space="preserve">a) Los datos que establece el Anexo 20, apartado II.A., así como los correspondientes a los complementos que incorpore. </w:t>
      </w:r>
    </w:p>
    <w:p w:rsidR="00A028E6" w:rsidRPr="00D82507" w:rsidRDefault="00A028E6" w:rsidP="00783483">
      <w:pPr>
        <w:jc w:val="both"/>
        <w:rPr>
          <w:rFonts w:ascii="Palatino Linotype" w:eastAsia="Palatino Linotype" w:hAnsi="Palatino Linotype" w:cs="Palatino Linotype"/>
          <w:i/>
          <w:color w:val="000000" w:themeColor="text1"/>
        </w:rPr>
      </w:pPr>
      <w:bookmarkStart w:id="19" w:name="_heading=h.htfse3mfod91" w:colFirst="0" w:colLast="0"/>
      <w:bookmarkEnd w:id="19"/>
      <w:r w:rsidRPr="00D82507">
        <w:rPr>
          <w:rFonts w:ascii="Palatino Linotype" w:eastAsia="Palatino Linotype" w:hAnsi="Palatino Linotype" w:cs="Palatino Linotype"/>
          <w:i/>
          <w:color w:val="000000" w:themeColor="text1"/>
        </w:rPr>
        <w:t xml:space="preserve">b) El código de barras generado conforme a la especificación técnica establecida en el Anexo 20, rubro II.D. </w:t>
      </w:r>
    </w:p>
    <w:p w:rsidR="00A028E6" w:rsidRPr="00D82507" w:rsidRDefault="00A028E6" w:rsidP="00783483">
      <w:pPr>
        <w:jc w:val="both"/>
        <w:rPr>
          <w:rFonts w:ascii="Palatino Linotype" w:eastAsia="Palatino Linotype" w:hAnsi="Palatino Linotype" w:cs="Palatino Linotype"/>
          <w:i/>
          <w:color w:val="000000" w:themeColor="text1"/>
        </w:rPr>
      </w:pPr>
      <w:bookmarkStart w:id="20" w:name="_heading=h.18yejeg468ga" w:colFirst="0" w:colLast="0"/>
      <w:bookmarkEnd w:id="20"/>
      <w:r w:rsidRPr="00D82507">
        <w:rPr>
          <w:rFonts w:ascii="Palatino Linotype" w:eastAsia="Palatino Linotype" w:hAnsi="Palatino Linotype" w:cs="Palatino Linotype"/>
          <w:i/>
          <w:color w:val="000000" w:themeColor="text1"/>
        </w:rPr>
        <w:t xml:space="preserve">VII. Tratándose de las representaciones impresas de un CFDI emitidas conforme a lo dispuesto en la regla 2.7.2.14., y la Sección 2.7.3., se deberá estar a lo siguiente: </w:t>
      </w:r>
    </w:p>
    <w:p w:rsidR="00A028E6" w:rsidRPr="00D82507" w:rsidRDefault="00A028E6" w:rsidP="00783483">
      <w:pPr>
        <w:jc w:val="both"/>
        <w:rPr>
          <w:rFonts w:ascii="Palatino Linotype" w:eastAsia="Palatino Linotype" w:hAnsi="Palatino Linotype" w:cs="Palatino Linotype"/>
          <w:i/>
          <w:color w:val="000000" w:themeColor="text1"/>
        </w:rPr>
      </w:pPr>
      <w:bookmarkStart w:id="21" w:name="_heading=h.5bnr4t7cvb3w" w:colFirst="0" w:colLast="0"/>
      <w:bookmarkEnd w:id="21"/>
      <w:r w:rsidRPr="00D82507">
        <w:rPr>
          <w:rFonts w:ascii="Palatino Linotype" w:eastAsia="Palatino Linotype" w:hAnsi="Palatino Linotype" w:cs="Palatino Linotype"/>
          <w:i/>
          <w:color w:val="000000" w:themeColor="text1"/>
        </w:rPr>
        <w:t xml:space="preserve">a) Espacio para registrar la firma autógrafa de la persona que emite el CFDI. </w:t>
      </w:r>
    </w:p>
    <w:p w:rsidR="00A028E6" w:rsidRPr="00D82507" w:rsidRDefault="00A028E6" w:rsidP="00783483">
      <w:pPr>
        <w:jc w:val="both"/>
        <w:rPr>
          <w:rFonts w:ascii="Palatino Linotype" w:eastAsia="Palatino Linotype" w:hAnsi="Palatino Linotype" w:cs="Palatino Linotype"/>
          <w:i/>
          <w:color w:val="000000" w:themeColor="text1"/>
        </w:rPr>
      </w:pPr>
      <w:bookmarkStart w:id="22" w:name="_heading=h.dn2nmuiczm76" w:colFirst="0" w:colLast="0"/>
      <w:bookmarkEnd w:id="22"/>
      <w:r w:rsidRPr="00D82507">
        <w:rPr>
          <w:rFonts w:ascii="Palatino Linotype" w:eastAsia="Palatino Linotype" w:hAnsi="Palatino Linotype" w:cs="Palatino Linotype"/>
          <w:i/>
          <w:color w:val="000000" w:themeColor="text1"/>
        </w:rPr>
        <w:t xml:space="preserve">b) Respecto a lo señalado en la fracción II de esta regla, se incluirá el número de serie de CESD del proveedor de certificación de CFDI o del SAT según corresponda en sustitución del número de CSD del emisor. </w:t>
      </w:r>
    </w:p>
    <w:p w:rsidR="00A028E6" w:rsidRPr="00D82507" w:rsidRDefault="00A028E6" w:rsidP="00783483">
      <w:pPr>
        <w:jc w:val="both"/>
        <w:rPr>
          <w:rFonts w:ascii="Palatino Linotype" w:eastAsia="Palatino Linotype" w:hAnsi="Palatino Linotype" w:cs="Palatino Linotype"/>
          <w:i/>
          <w:color w:val="000000" w:themeColor="text1"/>
        </w:rPr>
      </w:pPr>
      <w:bookmarkStart w:id="23" w:name="_heading=h.f44lrhhpmkjn" w:colFirst="0" w:colLast="0"/>
      <w:bookmarkEnd w:id="23"/>
      <w:r w:rsidRPr="00D82507">
        <w:rPr>
          <w:rFonts w:ascii="Palatino Linotype" w:eastAsia="Palatino Linotype" w:hAnsi="Palatino Linotype" w:cs="Palatino Linotype"/>
          <w:i/>
          <w:color w:val="000000" w:themeColor="text1"/>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rsidR="00A028E6" w:rsidRPr="00D82507" w:rsidRDefault="00A028E6" w:rsidP="00783483">
      <w:pPr>
        <w:jc w:val="both"/>
        <w:rPr>
          <w:rFonts w:ascii="Palatino Linotype" w:eastAsia="Palatino Linotype" w:hAnsi="Palatino Linotype" w:cs="Palatino Linotype"/>
          <w:color w:val="000000" w:themeColor="text1"/>
        </w:rPr>
      </w:pPr>
      <w:bookmarkStart w:id="24" w:name="_heading=h.oo2mmabwdpzm" w:colFirst="0" w:colLast="0"/>
      <w:bookmarkEnd w:id="24"/>
      <w:r w:rsidRPr="00D82507">
        <w:rPr>
          <w:rFonts w:ascii="Palatino Linotype" w:eastAsia="Palatino Linotype" w:hAnsi="Palatino Linotype" w:cs="Palatino Linotype"/>
          <w:i/>
          <w:color w:val="000000" w:themeColor="text1"/>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D82507">
        <w:rPr>
          <w:rFonts w:ascii="Palatino Linotype" w:eastAsia="Palatino Linotype" w:hAnsi="Palatino Linotype" w:cs="Palatino Linotype"/>
          <w:color w:val="000000" w:themeColor="text1"/>
        </w:rPr>
        <w:t>.</w:t>
      </w:r>
    </w:p>
    <w:p w:rsidR="00A028E6" w:rsidRPr="00D82507" w:rsidRDefault="00A028E6" w:rsidP="00783483">
      <w:pPr>
        <w:jc w:val="both"/>
        <w:rPr>
          <w:rFonts w:ascii="Palatino Linotype" w:eastAsia="Palatino Linotype" w:hAnsi="Palatino Linotype" w:cs="Palatino Linotype"/>
          <w:i/>
          <w:color w:val="000000" w:themeColor="text1"/>
        </w:rPr>
      </w:pPr>
      <w:bookmarkStart w:id="25" w:name="_heading=h.t1mp8qivtptx" w:colFirst="0" w:colLast="0"/>
      <w:bookmarkEnd w:id="25"/>
      <w:r w:rsidRPr="00D82507">
        <w:rPr>
          <w:rFonts w:ascii="Palatino Linotype" w:eastAsia="Palatino Linotype" w:hAnsi="Palatino Linotype" w:cs="Palatino Linotype"/>
          <w:i/>
          <w:color w:val="000000" w:themeColor="text1"/>
        </w:rPr>
        <w:t>(Énfasis añadido)</w:t>
      </w:r>
    </w:p>
    <w:p w:rsidR="00A028E6" w:rsidRPr="00D82507" w:rsidRDefault="00A028E6" w:rsidP="00783483">
      <w:pPr>
        <w:jc w:val="both"/>
        <w:rPr>
          <w:rFonts w:ascii="Palatino Linotype" w:eastAsia="Palatino Linotype" w:hAnsi="Palatino Linotype" w:cs="Palatino Linotype"/>
          <w:color w:val="000000" w:themeColor="text1"/>
        </w:rPr>
      </w:pPr>
      <w:bookmarkStart w:id="26" w:name="_heading=h.8sifv2td4no" w:colFirst="0" w:colLast="0"/>
      <w:bookmarkEnd w:id="26"/>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27" w:name="_heading=h.oh2brxaow78o" w:colFirst="0" w:colLast="0"/>
      <w:bookmarkEnd w:id="27"/>
      <w:r w:rsidRPr="00D82507">
        <w:rPr>
          <w:rFonts w:ascii="Palatino Linotype" w:eastAsia="Palatino Linotype" w:hAnsi="Palatino Linotype" w:cs="Palatino Linotype"/>
          <w:color w:val="000000" w:themeColor="text1"/>
        </w:rPr>
        <w:t xml:space="preserve">Asimismo,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w:t>
      </w:r>
      <w:r w:rsidRPr="00D82507">
        <w:rPr>
          <w:rFonts w:ascii="Palatino Linotype" w:eastAsia="Palatino Linotype" w:hAnsi="Palatino Linotype" w:cs="Palatino Linotype"/>
          <w:color w:val="000000" w:themeColor="text1"/>
        </w:rPr>
        <w:lastRenderedPageBreak/>
        <w:t>clave pública para firma electrónica avanzada, y las especificaciones de conversión de la firma avanzada a base 64.</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28" w:name="_heading=h.987we07n3kwj" w:colFirst="0" w:colLast="0"/>
      <w:bookmarkEnd w:id="28"/>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29" w:name="_heading=h.e4w0o6ue8sc6" w:colFirst="0" w:colLast="0"/>
      <w:bookmarkEnd w:id="29"/>
      <w:r w:rsidRPr="00D82507">
        <w:rPr>
          <w:rFonts w:ascii="Palatino Linotype" w:eastAsia="Palatino Linotype" w:hAnsi="Palatino Linotype" w:cs="Palatino Linotype"/>
          <w:color w:val="000000" w:themeColor="text1"/>
        </w:rPr>
        <w:t xml:space="preserve">Para la generación de sellos digitales se utiliza </w:t>
      </w:r>
      <w:r w:rsidRPr="00D82507">
        <w:rPr>
          <w:rFonts w:ascii="Palatino Linotype" w:eastAsia="Palatino Linotype" w:hAnsi="Palatino Linotype" w:cs="Palatino Linotype"/>
          <w:b/>
          <w:color w:val="000000" w:themeColor="text1"/>
        </w:rPr>
        <w:t>criptografía</w:t>
      </w:r>
      <w:r w:rsidRPr="00D82507">
        <w:rPr>
          <w:rFonts w:ascii="Palatino Linotype" w:eastAsia="Palatino Linotype" w:hAnsi="Palatino Linotype" w:cs="Palatino Linotype"/>
          <w:color w:val="000000" w:themeColor="text1"/>
        </w:rPr>
        <w:t xml:space="preserve"> de clave pública aplicada a una cadena original, que se basa en la generación de una pareja de números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desencripción correspondiente tomando como clave de desencripción al otro número de la pareja.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0" w:name="_heading=h.rtb9e44i85ua" w:colFirst="0" w:colLast="0"/>
      <w:bookmarkEnd w:id="30"/>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31" w:name="_heading=h.mt7q496zmklq" w:colFirst="0" w:colLast="0"/>
      <w:bookmarkEnd w:id="31"/>
      <w:r w:rsidRPr="00D82507">
        <w:rPr>
          <w:rFonts w:ascii="Palatino Linotype" w:eastAsia="Palatino Linotype" w:hAnsi="Palatino Linotype" w:cs="Palatino Linotype"/>
          <w:color w:val="000000" w:themeColor="text1"/>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A028E6" w:rsidRPr="00D82507" w:rsidRDefault="00A028E6" w:rsidP="0078348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32" w:name="_heading=h.n30l5xfevj1m" w:colFirst="0" w:colLast="0"/>
      <w:bookmarkEnd w:id="32"/>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33" w:name="_heading=h.xyl92zx2yn72" w:colFirst="0" w:colLast="0"/>
      <w:bookmarkEnd w:id="33"/>
      <w:r w:rsidRPr="00D82507">
        <w:rPr>
          <w:rFonts w:ascii="Palatino Linotype" w:eastAsia="Palatino Linotype" w:hAnsi="Palatino Linotype" w:cs="Palatino Linotype"/>
          <w:color w:val="000000" w:themeColor="text1"/>
        </w:rPr>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w:t>
      </w:r>
      <w:r w:rsidRPr="00D82507">
        <w:rPr>
          <w:rFonts w:ascii="Palatino Linotype" w:eastAsia="Palatino Linotype" w:hAnsi="Palatino Linotype" w:cs="Palatino Linotype"/>
          <w:color w:val="000000" w:themeColor="text1"/>
        </w:rPr>
        <w:lastRenderedPageBreak/>
        <w:t xml:space="preserve">observable de un mensaje, verificable por cualquiera con acceso al certificado digital del emisor, que sirve para implementar servicios de seguridad para garantizar: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4" w:name="_heading=h.dnnzpvh7eleo" w:colFirst="0" w:colLast="0"/>
      <w:bookmarkEnd w:id="34"/>
      <w:r w:rsidRPr="00D82507">
        <w:rPr>
          <w:rFonts w:ascii="Palatino Linotype" w:eastAsia="Palatino Linotype" w:hAnsi="Palatino Linotype" w:cs="Palatino Linotype"/>
          <w:color w:val="000000" w:themeColor="text1"/>
        </w:rPr>
        <w:t xml:space="preserve">• La integridad (facilidad para detectar si un mensaje firmado ha sido alterado),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5" w:name="_heading=h.7nd46camfpd3" w:colFirst="0" w:colLast="0"/>
      <w:bookmarkEnd w:id="35"/>
      <w:r w:rsidRPr="00D82507">
        <w:rPr>
          <w:rFonts w:ascii="Palatino Linotype" w:eastAsia="Palatino Linotype" w:hAnsi="Palatino Linotype" w:cs="Palatino Linotype"/>
          <w:color w:val="000000" w:themeColor="text1"/>
        </w:rPr>
        <w:t xml:space="preserve">• La autenticidad,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6" w:name="_heading=h.ioxfoskdka44" w:colFirst="0" w:colLast="0"/>
      <w:bookmarkEnd w:id="36"/>
      <w:r w:rsidRPr="00D82507">
        <w:rPr>
          <w:rFonts w:ascii="Palatino Linotype" w:eastAsia="Palatino Linotype" w:hAnsi="Palatino Linotype" w:cs="Palatino Linotype"/>
          <w:color w:val="000000" w:themeColor="text1"/>
        </w:rPr>
        <w:t xml:space="preserve">• Certidumbre de origen (facilidad para determinar qué persona es el autor de la firma que valida el contenido del mensaje) y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7" w:name="_heading=h.71wzdzlnc3xt" w:colFirst="0" w:colLast="0"/>
      <w:bookmarkEnd w:id="37"/>
      <w:r w:rsidRPr="00D82507">
        <w:rPr>
          <w:rFonts w:ascii="Palatino Linotype" w:eastAsia="Palatino Linotype" w:hAnsi="Palatino Linotype" w:cs="Palatino Linotype"/>
          <w:color w:val="000000" w:themeColor="text1"/>
        </w:rPr>
        <w:t xml:space="preserve">• No repudiación del mensaje firmado (capacidad de impedir que el autor de la firma niegue haber firmado el mensaje).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38" w:name="_heading=h.ynzdidt3os8l" w:colFirst="0" w:colLast="0"/>
      <w:bookmarkEnd w:id="38"/>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39" w:name="_heading=h.qdfdf3outred" w:colFirst="0" w:colLast="0"/>
      <w:bookmarkEnd w:id="39"/>
      <w:r w:rsidRPr="00D82507">
        <w:rPr>
          <w:rFonts w:ascii="Palatino Linotype" w:eastAsia="Palatino Linotype" w:hAnsi="Palatino Linotype" w:cs="Palatino Linotype"/>
          <w:color w:val="000000" w:themeColor="text1"/>
        </w:rPr>
        <w:t xml:space="preserve">Estos servicios de seguridad proporcionan las siguientes características a un mensaje con firma electrónica avanzada: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0" w:name="_heading=h.xp0jh26h3b7o" w:colFirst="0" w:colLast="0"/>
      <w:bookmarkEnd w:id="40"/>
      <w:r w:rsidRPr="00D82507">
        <w:rPr>
          <w:rFonts w:ascii="Palatino Linotype" w:eastAsia="Palatino Linotype" w:hAnsi="Palatino Linotype" w:cs="Palatino Linotype"/>
          <w:color w:val="000000" w:themeColor="text1"/>
        </w:rPr>
        <w:t xml:space="preserve">• Es infalsificable.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1" w:name="_heading=h.d7sfqbwj4lax" w:colFirst="0" w:colLast="0"/>
      <w:bookmarkEnd w:id="41"/>
      <w:r w:rsidRPr="00D82507">
        <w:rPr>
          <w:rFonts w:ascii="Palatino Linotype" w:eastAsia="Palatino Linotype" w:hAnsi="Palatino Linotype" w:cs="Palatino Linotype"/>
          <w:color w:val="000000" w:themeColor="text1"/>
        </w:rPr>
        <w:t xml:space="preserve">• La firma electrónica avanzada no es reciclable (es única por mensaje).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2" w:name="_heading=h.4umuus4we8wo" w:colFirst="0" w:colLast="0"/>
      <w:bookmarkEnd w:id="42"/>
      <w:r w:rsidRPr="00D82507">
        <w:rPr>
          <w:rFonts w:ascii="Palatino Linotype" w:eastAsia="Palatino Linotype" w:hAnsi="Palatino Linotype" w:cs="Palatino Linotype"/>
          <w:color w:val="000000" w:themeColor="text1"/>
        </w:rPr>
        <w:t xml:space="preserve">• Un mensaje con firma electrónica avanzada alterado, es detectable.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3" w:name="_heading=h.bhowd0rv38c7" w:colFirst="0" w:colLast="0"/>
      <w:bookmarkEnd w:id="43"/>
      <w:r w:rsidRPr="00D82507">
        <w:rPr>
          <w:rFonts w:ascii="Palatino Linotype" w:eastAsia="Palatino Linotype" w:hAnsi="Palatino Linotype" w:cs="Palatino Linotype"/>
          <w:color w:val="000000" w:themeColor="text1"/>
        </w:rPr>
        <w:t xml:space="preserve">• Un mensaje con firma electrónica avanzada, no puede ser repudiado.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4" w:name="_heading=h.ejn2v55f60s6" w:colFirst="0" w:colLast="0"/>
      <w:bookmarkEnd w:id="44"/>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45" w:name="_heading=h.msnldj4dqkon" w:colFirst="0" w:colLast="0"/>
      <w:bookmarkEnd w:id="45"/>
      <w:r w:rsidRPr="00D82507">
        <w:rPr>
          <w:rFonts w:ascii="Palatino Linotype" w:eastAsia="Palatino Linotype" w:hAnsi="Palatino Linotype" w:cs="Palatino Linotype"/>
          <w:color w:val="000000" w:themeColor="text1"/>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digital del emisor.</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bookmarkStart w:id="46" w:name="_heading=h.d2rygb40n1qi" w:colFirst="0" w:colLast="0"/>
      <w:bookmarkEnd w:id="46"/>
    </w:p>
    <w:p w:rsidR="00A028E6" w:rsidRPr="00D82507" w:rsidRDefault="00A028E6" w:rsidP="00783483">
      <w:pPr>
        <w:numPr>
          <w:ilvl w:val="0"/>
          <w:numId w:val="3"/>
        </w:numPr>
        <w:spacing w:line="360" w:lineRule="auto"/>
        <w:ind w:left="0" w:firstLine="0"/>
        <w:jc w:val="both"/>
        <w:rPr>
          <w:rFonts w:ascii="Palatino Linotype" w:hAnsi="Palatino Linotype"/>
          <w:color w:val="000000" w:themeColor="text1"/>
        </w:rPr>
      </w:pPr>
      <w:bookmarkStart w:id="47" w:name="_heading=h.gssdfypy39it" w:colFirst="0" w:colLast="0"/>
      <w:bookmarkEnd w:id="47"/>
      <w:r w:rsidRPr="00D82507">
        <w:rPr>
          <w:rFonts w:ascii="Palatino Linotype" w:eastAsia="Palatino Linotype" w:hAnsi="Palatino Linotype" w:cs="Palatino Linotype"/>
          <w:color w:val="000000" w:themeColor="text1"/>
        </w:rPr>
        <w:lastRenderedPageBreak/>
        <w:t xml:space="preserve">Asimismo,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rsidR="00A028E6" w:rsidRPr="00D82507" w:rsidRDefault="00A028E6" w:rsidP="00783483">
      <w:pPr>
        <w:spacing w:line="360" w:lineRule="auto"/>
        <w:jc w:val="both"/>
        <w:rPr>
          <w:rFonts w:ascii="Palatino Linotype" w:eastAsia="Palatino Linotype" w:hAnsi="Palatino Linotype" w:cs="Palatino Linotype"/>
          <w:color w:val="000000" w:themeColor="text1"/>
        </w:rPr>
      </w:pPr>
    </w:p>
    <w:p w:rsidR="006B5EC6" w:rsidRPr="00D82507" w:rsidRDefault="00A028E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eastAsia="Palatino Linotype" w:hAnsi="Palatino Linotype" w:cs="Palatino Linotype"/>
          <w:color w:val="000000" w:themeColor="text1"/>
        </w:rPr>
        <w:t xml:space="preserve">Así bien, con base en lo expuesto, no todos los datos señalados pueden ser considerados como confidenciales, en virtud de que el Folio fiscal, Número de serie CSD del emisor, Sello digital del contribuyente emisor, Número de serie del CSD del SAT, Sello digital del SAT y Cadena original de complemento de certificación digital SAT, así como el número de empleado cuando no se relacione con el uso de diversos servicios, no tienen el carácter de confidenciales. </w:t>
      </w:r>
    </w:p>
    <w:p w:rsidR="006B5EC6" w:rsidRPr="00D82507" w:rsidRDefault="006B5EC6" w:rsidP="00783483">
      <w:pPr>
        <w:pStyle w:val="Prrafodelista"/>
        <w:ind w:left="0"/>
        <w:rPr>
          <w:rFonts w:ascii="Palatino Linotype" w:hAnsi="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hAnsi="Palatino Linotype"/>
          <w:color w:val="000000" w:themeColor="text1"/>
        </w:rPr>
        <w:t xml:space="preserve">De lo anteriormente expuesto, se determina que el </w:t>
      </w:r>
      <w:r w:rsidRPr="00D82507">
        <w:rPr>
          <w:rFonts w:ascii="Palatino Linotype" w:hAnsi="Palatino Linotype"/>
          <w:b/>
          <w:color w:val="000000" w:themeColor="text1"/>
        </w:rPr>
        <w:t xml:space="preserve">SUJETO OBLIGADO </w:t>
      </w:r>
      <w:r w:rsidRPr="00D82507">
        <w:rPr>
          <w:rFonts w:ascii="Palatino Linotype" w:hAnsi="Palatino Linotype"/>
          <w:color w:val="000000" w:themeColor="text1"/>
        </w:rPr>
        <w:t xml:space="preserve">debe de contar con las facturas y el contrato solicitado, toda vez que los artistas y la actividad </w:t>
      </w:r>
      <w:r w:rsidRPr="00D82507">
        <w:rPr>
          <w:rFonts w:ascii="Palatino Linotype" w:hAnsi="Palatino Linotype"/>
          <w:color w:val="000000" w:themeColor="text1"/>
        </w:rPr>
        <w:lastRenderedPageBreak/>
        <w:t>referida en la solicitud de información si fueron realizada y presentados en la Séptima edición de la Feria del Taco del Ayuntamiento de Zinacantepec.</w:t>
      </w:r>
    </w:p>
    <w:p w:rsidR="006B5EC6" w:rsidRPr="00D82507" w:rsidRDefault="006B5EC6" w:rsidP="00783483">
      <w:pPr>
        <w:pStyle w:val="Prrafodelista"/>
        <w:ind w:left="0"/>
        <w:rPr>
          <w:rFonts w:ascii="Palatino Linotype" w:hAnsi="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hAnsi="Palatino Linotype"/>
          <w:color w:val="000000" w:themeColor="text1"/>
        </w:rPr>
      </w:pPr>
      <w:r w:rsidRPr="00D82507">
        <w:rPr>
          <w:rFonts w:ascii="Palatino Linotype" w:hAnsi="Palatino Linotype"/>
          <w:color w:val="000000" w:themeColor="text1"/>
        </w:rPr>
        <w:t>Ahora bien, se debe de referir que de acuerdo con los documentos a entregar se pueden encontrar datos que deban de ser clasificados como confidenciales, los cuales de manera enunciativa más no limitativa son los siguientes.</w:t>
      </w:r>
    </w:p>
    <w:p w:rsidR="006B5EC6" w:rsidRPr="00D82507" w:rsidRDefault="006B5EC6" w:rsidP="00783483">
      <w:pPr>
        <w:pStyle w:val="Prrafodelista"/>
        <w:ind w:left="0"/>
        <w:rPr>
          <w:rFonts w:ascii="Palatino Linotype" w:hAnsi="Palatino Linotype"/>
          <w:color w:val="000000" w:themeColor="text1"/>
        </w:rPr>
      </w:pP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t>Registro Federal de Contribuyentes</w:t>
      </w:r>
      <w:r w:rsidRPr="00D82507">
        <w:rPr>
          <w:rFonts w:ascii="Palatino Linotype" w:eastAsia="Palatino Linotype" w:hAnsi="Palatino Linotype" w:cs="Palatino Linotype"/>
          <w:color w:val="000000" w:themeColor="text1"/>
        </w:rPr>
        <w:t xml:space="preserve"> (RFC)</w:t>
      </w: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w:t>
      </w:r>
      <w:r w:rsidRPr="00D82507">
        <w:rPr>
          <w:rFonts w:ascii="Palatino Linotype" w:eastAsia="Palatino Linotype" w:hAnsi="Palatino Linotype" w:cs="Palatino Linotype"/>
          <w:color w:val="000000" w:themeColor="text1"/>
        </w:rPr>
        <w:lastRenderedPageBreak/>
        <w:t>único propósito de realizar mediante esa clave de identificación, operaciones o actividades de naturaleza fiscal.</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rsidR="006B5EC6" w:rsidRPr="00D82507" w:rsidRDefault="006B5EC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i/>
          <w:color w:val="000000" w:themeColor="text1"/>
        </w:rPr>
        <w:t>“</w:t>
      </w:r>
      <w:r w:rsidRPr="00D82507">
        <w:rPr>
          <w:rFonts w:ascii="Palatino Linotype" w:eastAsia="Palatino Linotype" w:hAnsi="Palatino Linotype" w:cs="Palatino Linotype"/>
          <w:b/>
          <w:i/>
          <w:color w:val="000000" w:themeColor="text1"/>
        </w:rPr>
        <w:t>Registro Federal de Contribuyentes (RFC) de personas físicas</w:t>
      </w:r>
      <w:r w:rsidRPr="00D82507">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6B5EC6" w:rsidRPr="00D82507" w:rsidRDefault="006B5EC6" w:rsidP="00783483">
      <w:pPr>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6B5EC6" w:rsidRDefault="006B5EC6" w:rsidP="00783483">
      <w:pPr>
        <w:spacing w:line="360" w:lineRule="auto"/>
        <w:jc w:val="both"/>
        <w:rPr>
          <w:rFonts w:ascii="Palatino Linotype" w:eastAsia="Palatino Linotype" w:hAnsi="Palatino Linotype" w:cs="Palatino Linotype"/>
          <w:color w:val="000000" w:themeColor="text1"/>
        </w:rPr>
      </w:pPr>
    </w:p>
    <w:p w:rsidR="005D75A3" w:rsidRDefault="005D75A3" w:rsidP="00783483">
      <w:pPr>
        <w:spacing w:line="360" w:lineRule="auto"/>
        <w:jc w:val="both"/>
        <w:rPr>
          <w:rFonts w:ascii="Palatino Linotype" w:eastAsia="Palatino Linotype" w:hAnsi="Palatino Linotype" w:cs="Palatino Linotype"/>
          <w:color w:val="000000" w:themeColor="text1"/>
        </w:rPr>
      </w:pPr>
    </w:p>
    <w:p w:rsidR="005D75A3" w:rsidRPr="00D82507" w:rsidRDefault="005D75A3"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spacing w:line="360" w:lineRule="auto"/>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lastRenderedPageBreak/>
        <w:t>Clave única de Registro de Población –CURP-.</w:t>
      </w: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6B5EC6" w:rsidRPr="00D82507" w:rsidRDefault="006B5EC6" w:rsidP="00783483">
      <w:pPr>
        <w:spacing w:line="360" w:lineRule="auto"/>
        <w:jc w:val="both"/>
        <w:rPr>
          <w:rFonts w:ascii="Palatino Linotype" w:eastAsia="Palatino Linotype" w:hAnsi="Palatino Linotype" w:cs="Palatino Linotype"/>
          <w:b/>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3">
        <w:r w:rsidRPr="00D82507">
          <w:rPr>
            <w:rFonts w:ascii="Palatino Linotype" w:eastAsia="Palatino Linotype" w:hAnsi="Palatino Linotype" w:cs="Palatino Linotype"/>
            <w:color w:val="000000" w:themeColor="text1"/>
            <w:u w:val="single"/>
          </w:rPr>
          <w:t>https://consultas.curp.gob.mx/CurpSP/html/informacionecurpPS.html</w:t>
        </w:r>
      </w:hyperlink>
      <w:r w:rsidRPr="00D82507">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82507">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D82507">
        <w:rPr>
          <w:rFonts w:ascii="Palatino Linotype" w:eastAsia="Palatino Linotype" w:hAnsi="Palatino Linotype" w:cs="Palatino Linotype"/>
          <w:color w:val="000000" w:themeColor="text1"/>
        </w:rPr>
        <w:t>(acta de nacimiento, carta de naturalización o documento migratorio) de la siguiente forma:</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 xml:space="preserve"> • El primero y segundo apellidos, así como al nombre de pila.</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 • La fecha de nacimiento.</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 • El sexo.</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 • La entidad federativa de nacimiento.</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Resulta aplicable en la especie, como argumento orientador, el Criterio 3/10, emitido por el INAI.</w:t>
      </w:r>
    </w:p>
    <w:p w:rsidR="006B5EC6" w:rsidRPr="00D82507" w:rsidRDefault="006B5EC6" w:rsidP="00783483">
      <w:pPr>
        <w:jc w:val="both"/>
        <w:rPr>
          <w:rFonts w:ascii="Palatino Linotype" w:eastAsia="Palatino Linotype" w:hAnsi="Palatino Linotype" w:cs="Palatino Linotype"/>
          <w:i/>
          <w:color w:val="000000" w:themeColor="text1"/>
        </w:rPr>
      </w:pPr>
      <w:r w:rsidRPr="00D82507">
        <w:rPr>
          <w:rFonts w:ascii="Palatino Linotype" w:eastAsia="Palatino Linotype" w:hAnsi="Palatino Linotype" w:cs="Palatino Linotype"/>
          <w:b/>
          <w:i/>
          <w:color w:val="000000" w:themeColor="text1"/>
        </w:rPr>
        <w:t xml:space="preserve">Clave Única de Registro de Población (CURP) es un dato personal confidencial. </w:t>
      </w:r>
      <w:r w:rsidRPr="00D82507">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6B5EC6" w:rsidRPr="00D82507" w:rsidRDefault="006B5EC6" w:rsidP="00783483">
      <w:pPr>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De acuerdo con lo anterior, se la clave CURP, es un dato personal confidencial, en términos del artículo 143, fracción I, de la Ley de Transparencia y Acceso a la Información Pública del Estado de México y Municipios.</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spacing w:line="360" w:lineRule="auto"/>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Nombre de persona física, Domicilio</w:t>
      </w: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82507">
        <w:rPr>
          <w:rFonts w:ascii="Palatino Linotype" w:eastAsia="Palatino Linotype" w:hAnsi="Palatino Linotype" w:cs="Palatino Linotype"/>
          <w:i/>
          <w:color w:val="000000" w:themeColor="text1"/>
        </w:rPr>
        <w:t>perse</w:t>
      </w:r>
      <w:r w:rsidRPr="00D82507">
        <w:rPr>
          <w:rFonts w:ascii="Palatino Linotype" w:eastAsia="Palatino Linotype" w:hAnsi="Palatino Linotype" w:cs="Palatino Linotype"/>
          <w:color w:val="000000" w:themeColor="text1"/>
        </w:rPr>
        <w:t xml:space="preserve"> es un elemento que hace a una persona física identificada o identificable, por lo que, se considera un dato personal.</w:t>
      </w:r>
    </w:p>
    <w:p w:rsidR="006B5EC6" w:rsidRPr="00D82507" w:rsidRDefault="006B5EC6" w:rsidP="00783483">
      <w:pPr>
        <w:spacing w:line="360" w:lineRule="auto"/>
        <w:jc w:val="both"/>
        <w:rPr>
          <w:rFonts w:ascii="Palatino Linotype" w:eastAsia="Palatino Linotype" w:hAnsi="Palatino Linotype" w:cs="Palatino Linotype"/>
          <w:b/>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D82507">
        <w:rPr>
          <w:rFonts w:ascii="Palatino Linotype" w:eastAsia="Palatino Linotype" w:hAnsi="Palatino Linotype" w:cs="Palatino Linotype"/>
          <w:b/>
          <w:color w:val="000000" w:themeColor="text1"/>
        </w:rPr>
        <w:t>el domicilio particular</w:t>
      </w:r>
      <w:r w:rsidRPr="00D82507">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rsidR="006B5EC6" w:rsidRPr="00D82507" w:rsidRDefault="006B5EC6" w:rsidP="00783483">
      <w:pPr>
        <w:spacing w:line="360" w:lineRule="auto"/>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lastRenderedPageBreak/>
        <w:t>Estado civil.</w:t>
      </w: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6B5EC6" w:rsidRPr="00D82507" w:rsidRDefault="006B5EC6" w:rsidP="00783483">
      <w:pPr>
        <w:pBdr>
          <w:top w:val="nil"/>
          <w:left w:val="nil"/>
          <w:bottom w:val="nil"/>
          <w:right w:val="nil"/>
          <w:between w:val="nil"/>
        </w:pBdr>
        <w:rPr>
          <w:rFonts w:ascii="Palatino Linotype" w:eastAsia="Palatino Linotype" w:hAnsi="Palatino Linotype" w:cs="Palatino Linotype"/>
          <w:color w:val="000000" w:themeColor="text1"/>
        </w:rPr>
      </w:pP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t>Teléfono y celular particular.</w:t>
      </w: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número asignado a un teléfono particular o celular permite localizar a una persona física identificada o identificable, ya sea a través de un dispositivo móvil o bien, en un lugar como el domicilio. </w:t>
      </w:r>
    </w:p>
    <w:p w:rsidR="006B5EC6" w:rsidRPr="00D82507" w:rsidRDefault="006B5EC6" w:rsidP="00783483">
      <w:pPr>
        <w:spacing w:line="360" w:lineRule="auto"/>
        <w:jc w:val="both"/>
        <w:rPr>
          <w:rFonts w:ascii="Palatino Linotype" w:eastAsia="Palatino Linotype" w:hAnsi="Palatino Linotype" w:cs="Palatino Linotype"/>
          <w:color w:val="000000" w:themeColor="text1"/>
        </w:rPr>
      </w:pPr>
    </w:p>
    <w:p w:rsidR="006B5EC6" w:rsidRPr="00D82507" w:rsidRDefault="006B5EC6"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En tales consideraciones, dicho dato personal es susceptible de ser clasificado como confidencial, con fundamento en el artículo 143, fracción I de la Ley de Transparencia y Acceso a la Información Pública.</w:t>
      </w:r>
    </w:p>
    <w:p w:rsidR="00A567CA" w:rsidRPr="00D82507" w:rsidRDefault="00A567CA" w:rsidP="00783483">
      <w:pPr>
        <w:pStyle w:val="Prrafodelista"/>
        <w:ind w:left="0"/>
        <w:rPr>
          <w:rFonts w:ascii="Palatino Linotype" w:eastAsia="Palatino Linotype" w:hAnsi="Palatino Linotype" w:cs="Palatino Linotype"/>
          <w:color w:val="000000" w:themeColor="text1"/>
        </w:rPr>
      </w:pPr>
    </w:p>
    <w:p w:rsidR="00A567CA" w:rsidRPr="00D82507" w:rsidRDefault="00A567CA"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Por </w:t>
      </w:r>
      <w:r w:rsidR="00E525F0" w:rsidRPr="00D82507">
        <w:rPr>
          <w:rFonts w:ascii="Palatino Linotype" w:eastAsia="Palatino Linotype" w:hAnsi="Palatino Linotype" w:cs="Palatino Linotype"/>
          <w:color w:val="000000" w:themeColor="text1"/>
        </w:rPr>
        <w:t>último</w:t>
      </w:r>
      <w:r w:rsidRPr="00D82507">
        <w:rPr>
          <w:rFonts w:ascii="Palatino Linotype" w:eastAsia="Palatino Linotype" w:hAnsi="Palatino Linotype" w:cs="Palatino Linotype"/>
          <w:color w:val="000000" w:themeColor="text1"/>
        </w:rPr>
        <w:t xml:space="preserve">, en cuanto a </w:t>
      </w:r>
      <w:r w:rsidRPr="00D82507">
        <w:rPr>
          <w:rFonts w:ascii="Palatino Linotype" w:eastAsia="Palatino Linotype" w:hAnsi="Palatino Linotype" w:cs="Palatino Linotype"/>
          <w:b/>
          <w:color w:val="000000" w:themeColor="text1"/>
        </w:rPr>
        <w:t xml:space="preserve">“EL COSTO QUE NOS VA COSTAR A LOS ZINACANTEPEQUENSES”, </w:t>
      </w:r>
      <w:r w:rsidRPr="00D82507">
        <w:rPr>
          <w:rFonts w:ascii="Palatino Linotype" w:eastAsia="Palatino Linotype" w:hAnsi="Palatino Linotype" w:cs="Palatino Linotype"/>
          <w:color w:val="000000" w:themeColor="text1"/>
        </w:rPr>
        <w:t xml:space="preserve">que es parte de la solicitud de información </w:t>
      </w:r>
      <w:r w:rsidRPr="00D82507">
        <w:rPr>
          <w:rFonts w:ascii="Palatino Linotype" w:eastAsia="Palatino Linotype" w:hAnsi="Palatino Linotype" w:cs="Palatino Linotype"/>
          <w:b/>
          <w:color w:val="000000" w:themeColor="text1"/>
        </w:rPr>
        <w:lastRenderedPageBreak/>
        <w:t xml:space="preserve">05089/INFOEM/IP/RR/2025, </w:t>
      </w:r>
      <w:r w:rsidRPr="00D82507">
        <w:rPr>
          <w:rFonts w:ascii="Palatino Linotype" w:eastAsia="Palatino Linotype" w:hAnsi="Palatino Linotype" w:cs="Palatino Linotype"/>
          <w:color w:val="000000" w:themeColor="text1"/>
        </w:rPr>
        <w:t>se debe de mencionar que dicho punto de lo solicitado debe de tomarse como manifestaciones subjetivas, toda vez que el pago a realizar por las presentaciones y la actividades de los inflables es pagada por el Ayuntamiento de Zinacantepec.</w:t>
      </w:r>
    </w:p>
    <w:p w:rsidR="00A567CA" w:rsidRPr="00D82507" w:rsidRDefault="00A567CA"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keepNext/>
        <w:keepLines/>
        <w:spacing w:after="160" w:line="360" w:lineRule="auto"/>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QUINTO. De la versión pública.</w:t>
      </w:r>
    </w:p>
    <w:p w:rsidR="00FA1D87" w:rsidRPr="00D82507" w:rsidRDefault="00FA1D87" w:rsidP="00783483">
      <w:pPr>
        <w:keepNext/>
        <w:keepLines/>
        <w:numPr>
          <w:ilvl w:val="0"/>
          <w:numId w:val="12"/>
        </w:numPr>
        <w:tabs>
          <w:tab w:val="left" w:pos="284"/>
        </w:tabs>
        <w:spacing w:after="160" w:line="360" w:lineRule="auto"/>
        <w:ind w:left="0" w:firstLine="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 xml:space="preserve">Nociones generales. </w:t>
      </w: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Debe destacarse, que debido a la información solicitada por el </w:t>
      </w:r>
      <w:r w:rsidRPr="00D82507">
        <w:rPr>
          <w:rFonts w:ascii="Palatino Linotype" w:eastAsia="Palatino Linotype" w:hAnsi="Palatino Linotype" w:cs="Palatino Linotype"/>
          <w:b/>
          <w:color w:val="000000" w:themeColor="text1"/>
        </w:rPr>
        <w:t xml:space="preserve">RECURRENTE, pueden obrar </w:t>
      </w:r>
      <w:r w:rsidRPr="00D82507">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  por lo que el </w:t>
      </w:r>
      <w:r w:rsidRPr="00D82507">
        <w:rPr>
          <w:rFonts w:ascii="Palatino Linotype" w:eastAsia="Palatino Linotype" w:hAnsi="Palatino Linotype" w:cs="Palatino Linotype"/>
          <w:b/>
          <w:color w:val="000000" w:themeColor="text1"/>
        </w:rPr>
        <w:t xml:space="preserve">SUJETO OBLIGADO </w:t>
      </w:r>
      <w:r w:rsidRPr="00D82507">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FA1D87" w:rsidRPr="00D82507" w:rsidRDefault="00FA1D87" w:rsidP="00783483">
      <w:pPr>
        <w:tabs>
          <w:tab w:val="left" w:pos="0"/>
          <w:tab w:val="left" w:pos="284"/>
        </w:tabs>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No pasa desapercibido para este Órgano Garante que los sujetos obligados</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783483" w:rsidRPr="00D82507" w:rsidTr="00FA1D87">
        <w:tc>
          <w:tcPr>
            <w:tcW w:w="2689" w:type="dxa"/>
          </w:tcPr>
          <w:p w:rsidR="00FA1D87" w:rsidRPr="00D82507" w:rsidRDefault="00FA1D87" w:rsidP="00783483">
            <w:pPr>
              <w:tabs>
                <w:tab w:val="left" w:pos="284"/>
              </w:tabs>
              <w:spacing w:line="360" w:lineRule="auto"/>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 Requisitos previos.</w:t>
            </w:r>
          </w:p>
        </w:tc>
        <w:tc>
          <w:tcPr>
            <w:tcW w:w="6520"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w:t>
            </w:r>
            <w:r w:rsidRPr="00D82507">
              <w:rPr>
                <w:rFonts w:ascii="Palatino Linotype" w:eastAsia="Palatino Linotype" w:hAnsi="Palatino Linotype" w:cs="Palatino Linotype"/>
                <w:color w:val="000000" w:themeColor="text1"/>
              </w:rPr>
              <w:lastRenderedPageBreak/>
              <w:t xml:space="preserve">supuestos de clasificación, es deber de los titulares de las áreas proponer su clasificación y no del Comité de Transparencia. </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D8250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D8250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783483" w:rsidRPr="00D82507" w:rsidTr="00FA1D87">
        <w:tc>
          <w:tcPr>
            <w:tcW w:w="2689" w:type="dxa"/>
          </w:tcPr>
          <w:p w:rsidR="00FA1D87" w:rsidRPr="00D82507" w:rsidRDefault="00FA1D87" w:rsidP="00783483">
            <w:pPr>
              <w:tabs>
                <w:tab w:val="left" w:pos="284"/>
              </w:tabs>
              <w:spacing w:line="360" w:lineRule="auto"/>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b) Supuestos de clasificación.</w:t>
            </w:r>
          </w:p>
        </w:tc>
        <w:tc>
          <w:tcPr>
            <w:tcW w:w="6520"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w:t>
            </w:r>
            <w:r w:rsidRPr="00D82507">
              <w:rPr>
                <w:rFonts w:ascii="Palatino Linotype" w:eastAsia="Palatino Linotype" w:hAnsi="Palatino Linotype" w:cs="Palatino Linotype"/>
                <w:color w:val="000000" w:themeColor="text1"/>
              </w:rPr>
              <w:lastRenderedPageBreak/>
              <w:t>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83483" w:rsidRPr="00D82507" w:rsidTr="00FA1D87">
        <w:tc>
          <w:tcPr>
            <w:tcW w:w="2689" w:type="dxa"/>
          </w:tcPr>
          <w:p w:rsidR="00FA1D87" w:rsidRPr="00D82507" w:rsidRDefault="00FA1D87" w:rsidP="00783483">
            <w:pPr>
              <w:tabs>
                <w:tab w:val="left" w:pos="284"/>
              </w:tabs>
              <w:spacing w:line="360" w:lineRule="auto"/>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c) Formalidades para emitir el acuerdo de clasificación.</w:t>
            </w:r>
          </w:p>
        </w:tc>
        <w:tc>
          <w:tcPr>
            <w:tcW w:w="6520"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Es necesario que </w:t>
            </w:r>
            <w:r w:rsidRPr="00D82507">
              <w:rPr>
                <w:rFonts w:ascii="Palatino Linotype" w:eastAsia="Palatino Linotype" w:hAnsi="Palatino Linotype" w:cs="Palatino Linotype"/>
                <w:b/>
                <w:color w:val="000000" w:themeColor="text1"/>
                <w:u w:val="single"/>
              </w:rPr>
              <w:t>el acto reúna con los requisitos elementales</w:t>
            </w:r>
            <w:r w:rsidRPr="00D82507">
              <w:rPr>
                <w:rFonts w:ascii="Palatino Linotype" w:eastAsia="Palatino Linotype" w:hAnsi="Palatino Linotype" w:cs="Palatino Linotype"/>
                <w:color w:val="000000" w:themeColor="text1"/>
              </w:rPr>
              <w:t>, entre ellos, que la autoridad que va a emitir el acto de autoridad sea la legalmente facultada para ello.</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w:t>
            </w:r>
            <w:r w:rsidRPr="00D82507">
              <w:rPr>
                <w:rFonts w:ascii="Palatino Linotype" w:eastAsia="Palatino Linotype" w:hAnsi="Palatino Linotype" w:cs="Palatino Linotype"/>
                <w:color w:val="000000" w:themeColor="text1"/>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83483" w:rsidRPr="00D82507" w:rsidTr="00FA1D87">
        <w:tc>
          <w:tcPr>
            <w:tcW w:w="2689" w:type="dxa"/>
          </w:tcPr>
          <w:p w:rsidR="00FA1D87" w:rsidRPr="00D82507" w:rsidRDefault="00FA1D87" w:rsidP="00783483">
            <w:pPr>
              <w:tabs>
                <w:tab w:val="left" w:pos="284"/>
              </w:tabs>
              <w:spacing w:line="360" w:lineRule="auto"/>
              <w:rPr>
                <w:rFonts w:ascii="Palatino Linotype" w:eastAsia="Palatino Linotype" w:hAnsi="Palatino Linotype" w:cs="Palatino Linotype"/>
                <w:color w:val="000000" w:themeColor="text1"/>
              </w:rPr>
            </w:pP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 Requisitos de fondo del acuerdo de clasificación. </w:t>
            </w:r>
          </w:p>
        </w:tc>
        <w:tc>
          <w:tcPr>
            <w:tcW w:w="6520"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82507">
              <w:rPr>
                <w:rFonts w:ascii="Palatino Linotype" w:eastAsia="Palatino Linotype" w:hAnsi="Palatino Linotype" w:cs="Palatino Linotype"/>
                <w:b/>
                <w:color w:val="000000" w:themeColor="text1"/>
              </w:rPr>
              <w:t>Sujetos Obligados</w:t>
            </w:r>
            <w:r w:rsidRPr="00D82507">
              <w:rPr>
                <w:rFonts w:ascii="Palatino Linotype" w:eastAsia="Palatino Linotype" w:hAnsi="Palatino Linotype" w:cs="Palatino Linotype"/>
                <w:color w:val="000000" w:themeColor="text1"/>
              </w:rPr>
              <w:t xml:space="preserve">, por lo que deberán fundar y motivar debidamente la clasificación. </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De lo anterior, se desprende que para una correcta </w:t>
            </w:r>
            <w:r w:rsidRPr="00D82507">
              <w:rPr>
                <w:rFonts w:ascii="Palatino Linotype" w:eastAsia="Palatino Linotype" w:hAnsi="Palatino Linotype" w:cs="Palatino Linotype"/>
                <w:b/>
                <w:color w:val="000000" w:themeColor="text1"/>
              </w:rPr>
              <w:t>clasificación total o parcial</w:t>
            </w:r>
            <w:r w:rsidRPr="00D82507">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Ahora bien, </w:t>
            </w:r>
            <w:r w:rsidRPr="00D82507">
              <w:rPr>
                <w:rFonts w:ascii="Palatino Linotype" w:eastAsia="Palatino Linotype" w:hAnsi="Palatino Linotype" w:cs="Palatino Linotype"/>
                <w:b/>
                <w:color w:val="000000" w:themeColor="text1"/>
                <w:u w:val="single"/>
              </w:rPr>
              <w:t>para cada caso además de fundar y motivar</w:t>
            </w:r>
            <w:r w:rsidRPr="00D82507">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1D87" w:rsidRPr="00D82507" w:rsidTr="00FA1D87">
        <w:tc>
          <w:tcPr>
            <w:tcW w:w="2689"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 Condiciones especiales de la </w:t>
            </w:r>
            <w:r w:rsidRPr="00D82507">
              <w:rPr>
                <w:rFonts w:ascii="Palatino Linotype" w:eastAsia="Palatino Linotype" w:hAnsi="Palatino Linotype" w:cs="Palatino Linotype"/>
                <w:color w:val="000000" w:themeColor="text1"/>
              </w:rPr>
              <w:lastRenderedPageBreak/>
              <w:t xml:space="preserve">clasificación de la información como confidencial. </w:t>
            </w:r>
          </w:p>
        </w:tc>
        <w:tc>
          <w:tcPr>
            <w:tcW w:w="6520" w:type="dxa"/>
          </w:tcPr>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lastRenderedPageBreak/>
              <w:t xml:space="preserve">Los artículos 148 y 120 de la Ley Estatal y de la Ley General, respectivamente, establecen que aun tratándose de datos </w:t>
            </w:r>
            <w:r w:rsidRPr="00D82507">
              <w:rPr>
                <w:rFonts w:ascii="Palatino Linotype" w:eastAsia="Palatino Linotype" w:hAnsi="Palatino Linotype" w:cs="Palatino Linotype"/>
                <w:color w:val="000000" w:themeColor="text1"/>
              </w:rPr>
              <w:lastRenderedPageBreak/>
              <w:t xml:space="preserve">personales, se podrán proporcionar, incluso sin solicitar el consentimiento de su titular. </w:t>
            </w:r>
          </w:p>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A1D87" w:rsidRPr="00D82507" w:rsidRDefault="00FA1D87" w:rsidP="00783483">
            <w:pPr>
              <w:tabs>
                <w:tab w:val="left" w:pos="284"/>
              </w:tabs>
              <w:spacing w:line="360" w:lineRule="auto"/>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A1D87" w:rsidRPr="00D82507" w:rsidRDefault="00FA1D87" w:rsidP="00783483">
      <w:pPr>
        <w:tabs>
          <w:tab w:val="left" w:pos="284"/>
        </w:tabs>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rsidR="00FA1D87" w:rsidRPr="00D82507" w:rsidRDefault="00FA1D87" w:rsidP="00783483">
      <w:pPr>
        <w:pBdr>
          <w:top w:val="nil"/>
          <w:left w:val="nil"/>
          <w:bottom w:val="nil"/>
          <w:right w:val="nil"/>
          <w:between w:val="nil"/>
        </w:pBdr>
        <w:rPr>
          <w:rFonts w:ascii="Palatino Linotype" w:eastAsia="Palatino Linotype" w:hAnsi="Palatino Linotype" w:cs="Palatino Linotype"/>
          <w:color w:val="000000" w:themeColor="text1"/>
        </w:rPr>
      </w:pPr>
    </w:p>
    <w:p w:rsidR="00FA1D87" w:rsidRPr="00D82507" w:rsidRDefault="00FA1D87" w:rsidP="0078348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 xml:space="preserve">Por lo anteriormente expuesto y fundado, este </w:t>
      </w:r>
      <w:r w:rsidRPr="00D82507">
        <w:rPr>
          <w:rFonts w:ascii="Palatino Linotype" w:eastAsia="Palatino Linotype" w:hAnsi="Palatino Linotype" w:cs="Palatino Linotype"/>
          <w:b/>
          <w:color w:val="000000" w:themeColor="text1"/>
        </w:rPr>
        <w:t>ÓRGANO GARANTE</w:t>
      </w:r>
      <w:r w:rsidRPr="00D82507">
        <w:rPr>
          <w:rFonts w:ascii="Palatino Linotype" w:eastAsia="Palatino Linotype" w:hAnsi="Palatino Linotype" w:cs="Palatino Linotype"/>
          <w:color w:val="000000" w:themeColor="text1"/>
        </w:rPr>
        <w:t xml:space="preserve"> emite los siguientes:</w:t>
      </w:r>
    </w:p>
    <w:p w:rsidR="00FA1D87" w:rsidRPr="00D82507" w:rsidRDefault="00FA1D87" w:rsidP="00783483">
      <w:pPr>
        <w:pBdr>
          <w:top w:val="nil"/>
          <w:left w:val="nil"/>
          <w:bottom w:val="nil"/>
          <w:right w:val="nil"/>
          <w:between w:val="nil"/>
        </w:pBdr>
        <w:rPr>
          <w:rFonts w:ascii="Palatino Linotype" w:eastAsia="Palatino Linotype" w:hAnsi="Palatino Linotype" w:cs="Palatino Linotype"/>
          <w:color w:val="000000" w:themeColor="text1"/>
        </w:rPr>
      </w:pPr>
    </w:p>
    <w:p w:rsidR="00FA1D87" w:rsidRPr="00D82507" w:rsidRDefault="00FA1D87" w:rsidP="0078348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keepNext/>
        <w:keepLines/>
        <w:spacing w:line="360" w:lineRule="auto"/>
        <w:jc w:val="center"/>
        <w:rPr>
          <w:rFonts w:ascii="Palatino Linotype" w:eastAsia="Palatino Linotype" w:hAnsi="Palatino Linotype" w:cs="Palatino Linotype"/>
          <w:b/>
          <w:color w:val="000000" w:themeColor="text1"/>
        </w:rPr>
      </w:pPr>
      <w:bookmarkStart w:id="48" w:name="_heading=h.35nkun2" w:colFirst="0" w:colLast="0"/>
      <w:bookmarkEnd w:id="48"/>
      <w:r w:rsidRPr="00D82507">
        <w:rPr>
          <w:rFonts w:ascii="Palatino Linotype" w:eastAsia="Palatino Linotype" w:hAnsi="Palatino Linotype" w:cs="Palatino Linotype"/>
          <w:b/>
          <w:color w:val="000000" w:themeColor="text1"/>
        </w:rPr>
        <w:lastRenderedPageBreak/>
        <w:t xml:space="preserve">R E S O L U T I V O S </w:t>
      </w:r>
    </w:p>
    <w:p w:rsidR="00FA1D87" w:rsidRPr="00D82507" w:rsidRDefault="00FA1D87" w:rsidP="00783483">
      <w:pPr>
        <w:spacing w:line="360" w:lineRule="auto"/>
        <w:rPr>
          <w:rFonts w:ascii="Palatino Linotype" w:eastAsia="Palatino Linotype" w:hAnsi="Palatino Linotype" w:cs="Palatino Linotype"/>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PRIMERO</w:t>
      </w:r>
      <w:r w:rsidRPr="00D82507">
        <w:rPr>
          <w:rFonts w:ascii="Palatino Linotype" w:eastAsia="Palatino Linotype" w:hAnsi="Palatino Linotype" w:cs="Palatino Linotype"/>
          <w:color w:val="000000" w:themeColor="text1"/>
        </w:rPr>
        <w:t>. Resultan fundadas las razones o motivos de inconformidad hechos valer en l</w:t>
      </w:r>
      <w:r w:rsidR="00A01C92" w:rsidRPr="00D82507">
        <w:rPr>
          <w:rFonts w:ascii="Palatino Linotype" w:eastAsia="Palatino Linotype" w:hAnsi="Palatino Linotype" w:cs="Palatino Linotype"/>
          <w:color w:val="000000" w:themeColor="text1"/>
        </w:rPr>
        <w:t>os</w:t>
      </w:r>
      <w:r w:rsidRPr="00D82507">
        <w:rPr>
          <w:rFonts w:ascii="Palatino Linotype" w:eastAsia="Palatino Linotype" w:hAnsi="Palatino Linotype" w:cs="Palatino Linotype"/>
          <w:color w:val="000000" w:themeColor="text1"/>
        </w:rPr>
        <w:t xml:space="preserve"> Recursos de Revisión </w:t>
      </w:r>
      <w:r w:rsidRPr="00D82507">
        <w:rPr>
          <w:rFonts w:ascii="Palatino Linotype" w:eastAsia="Palatino Linotype" w:hAnsi="Palatino Linotype" w:cs="Palatino Linotype"/>
          <w:b/>
          <w:color w:val="000000" w:themeColor="text1"/>
        </w:rPr>
        <w:t>04853/INFOEM/IP/RR/2025, 04868/INFOEM/IP/RR/2025 y 05089/INFOEM/IP/RR/202</w:t>
      </w:r>
      <w:r w:rsidR="00A01C92" w:rsidRPr="00D82507">
        <w:rPr>
          <w:rFonts w:ascii="Palatino Linotype" w:eastAsia="Palatino Linotype" w:hAnsi="Palatino Linotype" w:cs="Palatino Linotype"/>
          <w:b/>
          <w:color w:val="000000" w:themeColor="text1"/>
        </w:rPr>
        <w:t>5</w:t>
      </w:r>
      <w:r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 xml:space="preserve">en términos de los Considerandos </w:t>
      </w:r>
      <w:r w:rsidRPr="00D82507">
        <w:rPr>
          <w:rFonts w:ascii="Palatino Linotype" w:eastAsia="Palatino Linotype" w:hAnsi="Palatino Linotype" w:cs="Palatino Linotype"/>
          <w:b/>
          <w:color w:val="000000" w:themeColor="text1"/>
        </w:rPr>
        <w:t xml:space="preserve">Cuarto y Quinto </w:t>
      </w:r>
      <w:r w:rsidRPr="00D82507">
        <w:rPr>
          <w:rFonts w:ascii="Palatino Linotype" w:eastAsia="Palatino Linotype" w:hAnsi="Palatino Linotype" w:cs="Palatino Linotype"/>
          <w:color w:val="000000" w:themeColor="text1"/>
        </w:rPr>
        <w:t xml:space="preserve">de la presente resolución. </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bookmarkStart w:id="49" w:name="_heading=h.26in1rg" w:colFirst="0" w:colLast="0"/>
      <w:bookmarkEnd w:id="49"/>
      <w:r w:rsidRPr="00D82507">
        <w:rPr>
          <w:rFonts w:ascii="Palatino Linotype" w:eastAsia="Palatino Linotype" w:hAnsi="Palatino Linotype" w:cs="Palatino Linotype"/>
          <w:b/>
          <w:color w:val="000000" w:themeColor="text1"/>
        </w:rPr>
        <w:t xml:space="preserve">SEGUNDO. </w:t>
      </w:r>
      <w:r w:rsidRPr="00D82507">
        <w:rPr>
          <w:rFonts w:ascii="Palatino Linotype" w:eastAsia="Palatino Linotype" w:hAnsi="Palatino Linotype" w:cs="Palatino Linotype"/>
          <w:color w:val="000000" w:themeColor="text1"/>
        </w:rPr>
        <w:t xml:space="preserve">Se </w:t>
      </w:r>
      <w:r w:rsidRPr="00D82507">
        <w:rPr>
          <w:rFonts w:ascii="Palatino Linotype" w:eastAsia="Palatino Linotype" w:hAnsi="Palatino Linotype" w:cs="Palatino Linotype"/>
          <w:b/>
          <w:color w:val="000000" w:themeColor="text1"/>
        </w:rPr>
        <w:t xml:space="preserve">REVOCAN  </w:t>
      </w:r>
      <w:r w:rsidRPr="00D82507">
        <w:rPr>
          <w:rFonts w:ascii="Palatino Linotype" w:eastAsia="Palatino Linotype" w:hAnsi="Palatino Linotype" w:cs="Palatino Linotype"/>
          <w:color w:val="000000" w:themeColor="text1"/>
        </w:rPr>
        <w:t>la</w:t>
      </w:r>
      <w:r w:rsidR="00A01C92" w:rsidRPr="00D82507">
        <w:rPr>
          <w:rFonts w:ascii="Palatino Linotype" w:eastAsia="Palatino Linotype" w:hAnsi="Palatino Linotype" w:cs="Palatino Linotype"/>
          <w:color w:val="000000" w:themeColor="text1"/>
        </w:rPr>
        <w:t>s</w:t>
      </w:r>
      <w:r w:rsidRPr="00D82507">
        <w:rPr>
          <w:rFonts w:ascii="Palatino Linotype" w:eastAsia="Palatino Linotype" w:hAnsi="Palatino Linotype" w:cs="Palatino Linotype"/>
          <w:color w:val="000000" w:themeColor="text1"/>
        </w:rPr>
        <w:t xml:space="preserve"> respuesta</w:t>
      </w:r>
      <w:r w:rsidR="00A01C92" w:rsidRPr="00D82507">
        <w:rPr>
          <w:rFonts w:ascii="Palatino Linotype" w:eastAsia="Palatino Linotype" w:hAnsi="Palatino Linotype" w:cs="Palatino Linotype"/>
          <w:color w:val="000000" w:themeColor="text1"/>
        </w:rPr>
        <w:t>s</w:t>
      </w:r>
      <w:r w:rsidRPr="00D82507">
        <w:rPr>
          <w:rFonts w:ascii="Palatino Linotype" w:eastAsia="Palatino Linotype" w:hAnsi="Palatino Linotype" w:cs="Palatino Linotype"/>
          <w:color w:val="000000" w:themeColor="text1"/>
        </w:rPr>
        <w:t xml:space="preserve"> emitida</w:t>
      </w:r>
      <w:r w:rsidR="00A01C92" w:rsidRPr="00D82507">
        <w:rPr>
          <w:rFonts w:ascii="Palatino Linotype" w:eastAsia="Palatino Linotype" w:hAnsi="Palatino Linotype" w:cs="Palatino Linotype"/>
          <w:color w:val="000000" w:themeColor="text1"/>
        </w:rPr>
        <w:t>s</w:t>
      </w:r>
      <w:r w:rsidRPr="00D82507">
        <w:rPr>
          <w:rFonts w:ascii="Palatino Linotype" w:eastAsia="Palatino Linotype" w:hAnsi="Palatino Linotype" w:cs="Palatino Linotype"/>
          <w:color w:val="000000" w:themeColor="text1"/>
        </w:rPr>
        <w:t xml:space="preserve"> por el </w:t>
      </w:r>
      <w:r w:rsidRPr="00D82507">
        <w:rPr>
          <w:rFonts w:ascii="Palatino Linotype" w:eastAsia="Palatino Linotype" w:hAnsi="Palatino Linotype" w:cs="Palatino Linotype"/>
          <w:b/>
          <w:color w:val="000000" w:themeColor="text1"/>
        </w:rPr>
        <w:t>Ayuntamiento de Zinacantepec</w:t>
      </w:r>
      <w:r w:rsidR="0013037C" w:rsidRPr="00D82507">
        <w:rPr>
          <w:rFonts w:ascii="Palatino Linotype" w:eastAsia="Palatino Linotype" w:hAnsi="Palatino Linotype" w:cs="Palatino Linotype"/>
          <w:b/>
          <w:color w:val="000000" w:themeColor="text1"/>
        </w:rPr>
        <w:t xml:space="preserve"> </w:t>
      </w:r>
      <w:r w:rsidRPr="00D82507">
        <w:rPr>
          <w:rFonts w:ascii="Palatino Linotype" w:eastAsia="Palatino Linotype" w:hAnsi="Palatino Linotype" w:cs="Palatino Linotype"/>
          <w:color w:val="000000" w:themeColor="text1"/>
        </w:rPr>
        <w:t xml:space="preserve">y se </w:t>
      </w:r>
      <w:r w:rsidRPr="00D82507">
        <w:rPr>
          <w:rFonts w:ascii="Palatino Linotype" w:eastAsia="Palatino Linotype" w:hAnsi="Palatino Linotype" w:cs="Palatino Linotype"/>
          <w:b/>
          <w:color w:val="000000" w:themeColor="text1"/>
        </w:rPr>
        <w:t>ORDENA</w:t>
      </w:r>
      <w:r w:rsidRPr="00D82507">
        <w:rPr>
          <w:rFonts w:ascii="Palatino Linotype" w:eastAsia="Palatino Linotype" w:hAnsi="Palatino Linotype" w:cs="Palatino Linotype"/>
          <w:color w:val="000000" w:themeColor="text1"/>
        </w:rPr>
        <w:t xml:space="preserve"> entregar vía Sistema de Acceso a la Información Mexiquense </w:t>
      </w:r>
      <w:r w:rsidRPr="00D82507">
        <w:rPr>
          <w:rFonts w:ascii="Palatino Linotype" w:eastAsia="Palatino Linotype" w:hAnsi="Palatino Linotype" w:cs="Palatino Linotype"/>
          <w:b/>
          <w:color w:val="000000" w:themeColor="text1"/>
        </w:rPr>
        <w:t>(SAIMEX)</w:t>
      </w:r>
      <w:r w:rsidRPr="00D82507">
        <w:rPr>
          <w:rFonts w:ascii="Palatino Linotype" w:eastAsia="Palatino Linotype" w:hAnsi="Palatino Linotype" w:cs="Palatino Linotype"/>
          <w:color w:val="000000" w:themeColor="text1"/>
        </w:rPr>
        <w:t>, la siguiente i</w:t>
      </w:r>
      <w:r w:rsidR="00A01C92" w:rsidRPr="00D82507">
        <w:rPr>
          <w:rFonts w:ascii="Palatino Linotype" w:eastAsia="Palatino Linotype" w:hAnsi="Palatino Linotype" w:cs="Palatino Linotype"/>
          <w:color w:val="000000" w:themeColor="text1"/>
        </w:rPr>
        <w:t>nformación, en versión pública:</w:t>
      </w: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p>
    <w:p w:rsidR="00473347" w:rsidRPr="00D82507" w:rsidRDefault="00473347" w:rsidP="00783483">
      <w:pPr>
        <w:pStyle w:val="Prrafodelista"/>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Solicitud  00076/ZINACANT/IP/2025</w:t>
      </w:r>
    </w:p>
    <w:p w:rsidR="00473347" w:rsidRPr="00D82507" w:rsidRDefault="00473347" w:rsidP="00783483">
      <w:pPr>
        <w:pStyle w:val="Prrafodelista"/>
        <w:ind w:left="0"/>
        <w:rPr>
          <w:rFonts w:ascii="Palatino Linotype" w:eastAsia="Palatino Linotype" w:hAnsi="Palatino Linotype" w:cs="Palatino Linotype"/>
          <w:b/>
          <w:color w:val="000000" w:themeColor="text1"/>
        </w:rPr>
      </w:pPr>
    </w:p>
    <w:p w:rsidR="00473347" w:rsidRPr="00D82507" w:rsidRDefault="00473347" w:rsidP="00783483">
      <w:pPr>
        <w:pStyle w:val="Prrafodelista"/>
        <w:numPr>
          <w:ilvl w:val="0"/>
          <w:numId w:val="23"/>
        </w:numPr>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Factura por la presentación en la Feria del Taco,  de la cantante referida en la solicitud de información, al doce de marzo de dos mil veinticinco.</w:t>
      </w:r>
    </w:p>
    <w:p w:rsidR="00473347" w:rsidRPr="00D82507" w:rsidRDefault="00473347" w:rsidP="00783483">
      <w:pPr>
        <w:pStyle w:val="Prrafodelista"/>
        <w:ind w:left="0"/>
        <w:rPr>
          <w:rFonts w:ascii="Palatino Linotype" w:eastAsia="Palatino Linotype" w:hAnsi="Palatino Linotype" w:cs="Palatino Linotype"/>
          <w:b/>
          <w:color w:val="000000" w:themeColor="text1"/>
        </w:rPr>
      </w:pPr>
    </w:p>
    <w:p w:rsidR="00A01C92" w:rsidRPr="00D82507" w:rsidRDefault="00A01C92" w:rsidP="00783483">
      <w:pPr>
        <w:pStyle w:val="Prrafodelista"/>
        <w:ind w:left="0"/>
        <w:rPr>
          <w:rFonts w:ascii="Palatino Linotype" w:eastAsia="Palatino Linotype" w:hAnsi="Palatino Linotype" w:cs="Palatino Linotype"/>
          <w:b/>
          <w:color w:val="000000" w:themeColor="text1"/>
        </w:rPr>
      </w:pPr>
    </w:p>
    <w:p w:rsidR="00473347" w:rsidRPr="00D82507" w:rsidRDefault="00473347" w:rsidP="00783483">
      <w:pPr>
        <w:pStyle w:val="Prrafodelista"/>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Solicitud 00173/ZINACANT/IP/2025</w:t>
      </w:r>
    </w:p>
    <w:p w:rsidR="00473347" w:rsidRPr="00D82507" w:rsidRDefault="00473347" w:rsidP="00783483">
      <w:pPr>
        <w:pStyle w:val="Prrafodelista"/>
        <w:ind w:left="0"/>
        <w:rPr>
          <w:rFonts w:ascii="Palatino Linotype" w:eastAsia="Palatino Linotype" w:hAnsi="Palatino Linotype" w:cs="Palatino Linotype"/>
          <w:b/>
          <w:color w:val="000000" w:themeColor="text1"/>
        </w:rPr>
      </w:pPr>
    </w:p>
    <w:p w:rsidR="00473347" w:rsidRPr="00D82507" w:rsidRDefault="00473347" w:rsidP="00783483">
      <w:pPr>
        <w:pStyle w:val="Prrafodelista"/>
        <w:numPr>
          <w:ilvl w:val="0"/>
          <w:numId w:val="23"/>
        </w:numPr>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 xml:space="preserve">Factura por el uso de inflables en la Séptima edición de Feria del Taco, al veintiocho de marzo de dos mil veinticinco. </w:t>
      </w:r>
    </w:p>
    <w:p w:rsidR="00473347" w:rsidRPr="00D82507" w:rsidRDefault="00473347" w:rsidP="00783483">
      <w:pPr>
        <w:pStyle w:val="Prrafodelista"/>
        <w:ind w:left="0"/>
        <w:rPr>
          <w:rFonts w:ascii="Palatino Linotype" w:eastAsia="Palatino Linotype" w:hAnsi="Palatino Linotype" w:cs="Palatino Linotype"/>
          <w:b/>
          <w:color w:val="000000" w:themeColor="text1"/>
        </w:rPr>
      </w:pPr>
    </w:p>
    <w:p w:rsidR="00A01C92" w:rsidRPr="00D82507" w:rsidRDefault="00A01C92" w:rsidP="00783483">
      <w:pPr>
        <w:pStyle w:val="Prrafodelista"/>
        <w:ind w:left="0"/>
        <w:rPr>
          <w:rFonts w:ascii="Palatino Linotype" w:eastAsia="Palatino Linotype" w:hAnsi="Palatino Linotype" w:cs="Palatino Linotype"/>
          <w:b/>
          <w:color w:val="000000" w:themeColor="text1"/>
        </w:rPr>
      </w:pPr>
    </w:p>
    <w:p w:rsidR="00473347" w:rsidRPr="00D82507" w:rsidRDefault="00473347" w:rsidP="00783483">
      <w:pPr>
        <w:pStyle w:val="Prrafodelista"/>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Solicitud 00075/ZINACANT/IP/2025</w:t>
      </w:r>
    </w:p>
    <w:p w:rsidR="00473347" w:rsidRPr="00D82507" w:rsidRDefault="00473347" w:rsidP="00783483">
      <w:pPr>
        <w:pStyle w:val="Prrafodelista"/>
        <w:ind w:left="0"/>
        <w:rPr>
          <w:rFonts w:ascii="Palatino Linotype" w:eastAsia="Palatino Linotype" w:hAnsi="Palatino Linotype" w:cs="Palatino Linotype"/>
          <w:b/>
          <w:color w:val="000000" w:themeColor="text1"/>
        </w:rPr>
      </w:pPr>
    </w:p>
    <w:p w:rsidR="00473347" w:rsidRPr="00D82507" w:rsidRDefault="00473347" w:rsidP="00783483">
      <w:pPr>
        <w:pStyle w:val="Prrafodelista"/>
        <w:numPr>
          <w:ilvl w:val="0"/>
          <w:numId w:val="23"/>
        </w:numPr>
        <w:ind w:left="0"/>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 xml:space="preserve">Factura y Contrato por la presentación en la Feria del Taco del grupo referido en la solicitud de información, al veinte de marzo de dos mil veinticinco. </w:t>
      </w:r>
    </w:p>
    <w:p w:rsidR="00FA1D87" w:rsidRPr="00D82507" w:rsidRDefault="00FA1D87" w:rsidP="00783483">
      <w:pPr>
        <w:pStyle w:val="Prrafodelista"/>
        <w:ind w:left="0"/>
        <w:rPr>
          <w:rFonts w:ascii="Palatino Linotype" w:eastAsia="Palatino Linotype" w:hAnsi="Palatino Linotype" w:cs="Palatino Linotype"/>
          <w:b/>
          <w:color w:val="000000" w:themeColor="text1"/>
        </w:rPr>
      </w:pPr>
    </w:p>
    <w:p w:rsidR="00FA1D87" w:rsidRPr="00D82507" w:rsidRDefault="00FA1D87" w:rsidP="0078348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FA1D87" w:rsidRPr="00D82507" w:rsidRDefault="00FA1D87" w:rsidP="00783483">
      <w:pPr>
        <w:tabs>
          <w:tab w:val="left" w:pos="8080"/>
        </w:tabs>
        <w:spacing w:line="360" w:lineRule="auto"/>
        <w:jc w:val="both"/>
        <w:rPr>
          <w:rFonts w:ascii="Palatino Linotype" w:eastAsia="Calibri" w:hAnsi="Palatino Linotype" w:cs="Arial"/>
          <w:b/>
          <w:color w:val="000000" w:themeColor="text1"/>
        </w:rPr>
      </w:pPr>
      <w:r w:rsidRPr="00D82507">
        <w:rPr>
          <w:rFonts w:ascii="Palatino Linotype" w:eastAsia="Calibri" w:hAnsi="Palatino Linotype" w:cs="Arial"/>
          <w:color w:val="000000" w:themeColor="text1"/>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82507">
        <w:rPr>
          <w:rFonts w:ascii="Palatino Linotype" w:eastAsia="Calibri" w:hAnsi="Palatino Linotype" w:cs="Arial"/>
          <w:b/>
          <w:color w:val="000000" w:themeColor="text1"/>
        </w:rPr>
        <w:t>RECURRENTE.</w:t>
      </w:r>
    </w:p>
    <w:p w:rsidR="00FA1D87" w:rsidRPr="00D82507" w:rsidRDefault="00FA1D87" w:rsidP="00783483">
      <w:pPr>
        <w:tabs>
          <w:tab w:val="left" w:pos="8080"/>
        </w:tabs>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r w:rsidRPr="00D82507">
        <w:rPr>
          <w:rFonts w:ascii="Palatino Linotype" w:eastAsia="Palatino Linotype" w:hAnsi="Palatino Linotype" w:cs="Palatino Linotype"/>
          <w:b/>
          <w:color w:val="000000" w:themeColor="text1"/>
        </w:rPr>
        <w:t xml:space="preserve">TERCERO. NOTIFÍQUESE </w:t>
      </w:r>
      <w:r w:rsidRPr="00D82507">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82507">
        <w:rPr>
          <w:rFonts w:ascii="Palatino Linotype" w:eastAsia="Palatino Linotype" w:hAnsi="Palatino Linotype" w:cs="Palatino Linotype"/>
          <w:b/>
          <w:color w:val="000000" w:themeColor="text1"/>
        </w:rPr>
        <w:t>dé cumplimiento a lo ordenado dentro del plazo de diez días hábiles,</w:t>
      </w:r>
      <w:r w:rsidRPr="00D82507">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FA1D87" w:rsidRPr="00D82507" w:rsidRDefault="00FA1D87" w:rsidP="00783483">
      <w:pPr>
        <w:spacing w:line="360" w:lineRule="auto"/>
        <w:jc w:val="both"/>
        <w:rPr>
          <w:rFonts w:ascii="Palatino Linotype" w:eastAsia="Palatino Linotype" w:hAnsi="Palatino Linotype" w:cs="Palatino Linotype"/>
          <w:b/>
          <w:color w:val="000000" w:themeColor="text1"/>
        </w:rPr>
      </w:pP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t xml:space="preserve">CUARTO. </w:t>
      </w:r>
      <w:r w:rsidRPr="00D82507">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D82507">
        <w:rPr>
          <w:rFonts w:ascii="Palatino Linotype" w:eastAsia="Palatino Linotype" w:hAnsi="Palatino Linotype" w:cs="Palatino Linotype"/>
          <w:b/>
          <w:color w:val="000000" w:themeColor="text1"/>
        </w:rPr>
        <w:t>SUJETO OBLIGADO</w:t>
      </w:r>
      <w:r w:rsidRPr="00D82507">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FA1D87" w:rsidRPr="00D82507" w:rsidRDefault="00FA1D87" w:rsidP="00783483">
      <w:pPr>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tabs>
          <w:tab w:val="left" w:pos="8080"/>
        </w:tabs>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lastRenderedPageBreak/>
        <w:t xml:space="preserve">QUINTO. Notifíquese </w:t>
      </w:r>
      <w:r w:rsidRPr="00D82507">
        <w:rPr>
          <w:rFonts w:ascii="Palatino Linotype" w:eastAsia="Palatino Linotype" w:hAnsi="Palatino Linotype" w:cs="Palatino Linotype"/>
          <w:color w:val="000000" w:themeColor="text1"/>
        </w:rPr>
        <w:t xml:space="preserve">a </w:t>
      </w:r>
      <w:r w:rsidRPr="00D82507">
        <w:rPr>
          <w:rFonts w:ascii="Palatino Linotype" w:eastAsia="Palatino Linotype" w:hAnsi="Palatino Linotype" w:cs="Palatino Linotype"/>
          <w:b/>
          <w:color w:val="000000" w:themeColor="text1"/>
        </w:rPr>
        <w:t>EL RECURRENTE</w:t>
      </w:r>
      <w:r w:rsidRPr="00D82507">
        <w:rPr>
          <w:rFonts w:ascii="Palatino Linotype" w:eastAsia="Palatino Linotype" w:hAnsi="Palatino Linotype" w:cs="Palatino Linotype"/>
          <w:color w:val="000000" w:themeColor="text1"/>
        </w:rPr>
        <w:t xml:space="preserve"> la presente resolución, vía SAIMEX.</w:t>
      </w:r>
    </w:p>
    <w:p w:rsidR="00FA1D87" w:rsidRPr="00D82507" w:rsidRDefault="00FA1D87" w:rsidP="00783483">
      <w:pPr>
        <w:tabs>
          <w:tab w:val="left" w:pos="8080"/>
        </w:tabs>
        <w:spacing w:line="360" w:lineRule="auto"/>
        <w:jc w:val="both"/>
        <w:rPr>
          <w:rFonts w:ascii="Palatino Linotype" w:eastAsia="Palatino Linotype" w:hAnsi="Palatino Linotype" w:cs="Palatino Linotype"/>
          <w:color w:val="000000" w:themeColor="text1"/>
        </w:rPr>
      </w:pPr>
    </w:p>
    <w:p w:rsidR="00FA1D87" w:rsidRPr="00D82507" w:rsidRDefault="00FA1D87" w:rsidP="00783483">
      <w:pPr>
        <w:shd w:val="clear" w:color="auto" w:fill="FFFFFF"/>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b/>
          <w:color w:val="000000" w:themeColor="text1"/>
        </w:rPr>
        <w:t>SEXTO.</w:t>
      </w:r>
      <w:r w:rsidRPr="00D82507">
        <w:rPr>
          <w:rFonts w:ascii="Palatino Linotype" w:eastAsia="Palatino Linotype" w:hAnsi="Palatino Linotype" w:cs="Palatino Linotype"/>
          <w:color w:val="000000" w:themeColor="text1"/>
        </w:rPr>
        <w:t xml:space="preserve"> Se hace del conocimiento</w:t>
      </w:r>
      <w:r w:rsidR="00A01C92" w:rsidRPr="00D82507">
        <w:rPr>
          <w:rFonts w:ascii="Palatino Linotype" w:eastAsia="Palatino Linotype" w:hAnsi="Palatino Linotype" w:cs="Palatino Linotype"/>
          <w:color w:val="000000" w:themeColor="text1"/>
        </w:rPr>
        <w:t xml:space="preserve"> </w:t>
      </w:r>
      <w:r w:rsidRPr="00D82507">
        <w:rPr>
          <w:rFonts w:ascii="Palatino Linotype" w:eastAsia="Palatino Linotype" w:hAnsi="Palatino Linotype" w:cs="Palatino Linotype"/>
          <w:color w:val="000000" w:themeColor="text1"/>
        </w:rPr>
        <w:t xml:space="preserve">de </w:t>
      </w:r>
      <w:r w:rsidRPr="00D82507">
        <w:rPr>
          <w:rFonts w:ascii="Palatino Linotype" w:eastAsia="Palatino Linotype" w:hAnsi="Palatino Linotype" w:cs="Palatino Linotype"/>
          <w:b/>
          <w:color w:val="000000" w:themeColor="text1"/>
        </w:rPr>
        <w:t>EL RECURRENTE</w:t>
      </w:r>
      <w:r w:rsidRPr="00D8250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01C92" w:rsidRPr="00D82507" w:rsidRDefault="00A01C92" w:rsidP="00783483">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rsidR="00FA1D87" w:rsidRPr="00783483" w:rsidRDefault="00D82507" w:rsidP="00783483">
      <w:pPr>
        <w:spacing w:line="360" w:lineRule="auto"/>
        <w:jc w:val="both"/>
        <w:rPr>
          <w:rFonts w:ascii="Palatino Linotype" w:eastAsia="Palatino Linotype" w:hAnsi="Palatino Linotype" w:cs="Palatino Linotype"/>
          <w:color w:val="000000" w:themeColor="text1"/>
        </w:rPr>
      </w:pPr>
      <w:r w:rsidRPr="00D82507">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(11) DE JUNIO DE DOS MIL VEINTICINCO, ANTE EL SECRETARIO TÉCNICO DEL PLENO ALEXIS TAPIA RAMÍREZ.</w:t>
      </w:r>
    </w:p>
    <w:p w:rsidR="00FA1D87" w:rsidRPr="00783483" w:rsidRDefault="00FA1D87" w:rsidP="00783483">
      <w:pPr>
        <w:spacing w:line="360" w:lineRule="auto"/>
        <w:jc w:val="both"/>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p w:rsidR="00FA1D87" w:rsidRPr="00783483" w:rsidRDefault="00FA1D87" w:rsidP="00783483">
      <w:pPr>
        <w:spacing w:line="360" w:lineRule="auto"/>
        <w:rPr>
          <w:rFonts w:ascii="Palatino Linotype" w:eastAsia="Palatino Linotype" w:hAnsi="Palatino Linotype" w:cs="Palatino Linotype"/>
          <w:color w:val="000000" w:themeColor="text1"/>
        </w:rPr>
      </w:pPr>
    </w:p>
    <w:sectPr w:rsidR="00FA1D87" w:rsidRPr="00783483" w:rsidSect="00783483">
      <w:headerReference w:type="default" r:id="rId14"/>
      <w:footerReference w:type="default" r:id="rId15"/>
      <w:headerReference w:type="first" r:id="rId16"/>
      <w:footerReference w:type="first" r:id="rId17"/>
      <w:pgSz w:w="12240" w:h="15840"/>
      <w:pgMar w:top="2410"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C71" w:rsidRDefault="00D15C71" w:rsidP="00FA1D87">
      <w:r>
        <w:separator/>
      </w:r>
    </w:p>
  </w:endnote>
  <w:endnote w:type="continuationSeparator" w:id="0">
    <w:p w:rsidR="00D15C71" w:rsidRDefault="00D15C71" w:rsidP="00FA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42" w:rsidRDefault="008623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D75A3">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D75A3">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862342" w:rsidRDefault="00862342">
    <w:pPr>
      <w:pBdr>
        <w:top w:val="nil"/>
        <w:left w:val="nil"/>
        <w:bottom w:val="nil"/>
        <w:right w:val="nil"/>
        <w:between w:val="nil"/>
      </w:pBdr>
      <w:tabs>
        <w:tab w:val="center" w:pos="4252"/>
        <w:tab w:val="right" w:pos="8504"/>
      </w:tabs>
      <w:rPr>
        <w:color w:val="000000"/>
      </w:rPr>
    </w:pPr>
  </w:p>
  <w:p w:rsidR="00862342" w:rsidRDefault="008623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42" w:rsidRDefault="008623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D75A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D75A3">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862342" w:rsidRDefault="008623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C71" w:rsidRDefault="00D15C71" w:rsidP="00FA1D87">
      <w:r>
        <w:separator/>
      </w:r>
    </w:p>
  </w:footnote>
  <w:footnote w:type="continuationSeparator" w:id="0">
    <w:p w:rsidR="00D15C71" w:rsidRDefault="00D15C71" w:rsidP="00FA1D87">
      <w:r>
        <w:continuationSeparator/>
      </w:r>
    </w:p>
  </w:footnote>
  <w:footnote w:id="1">
    <w:p w:rsidR="00862342" w:rsidRDefault="00862342" w:rsidP="00FA1D8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862342" w:rsidRDefault="00862342" w:rsidP="00FA1D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rsidR="00862342" w:rsidRDefault="00862342" w:rsidP="00FA1D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rsidR="00862342" w:rsidRDefault="00862342" w:rsidP="00FA1D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rsidR="00862342" w:rsidRDefault="00862342" w:rsidP="00FA1D8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694" w:type="dxa"/>
      <w:tblLayout w:type="fixed"/>
      <w:tblLook w:val="0400" w:firstRow="0" w:lastRow="0" w:firstColumn="0" w:lastColumn="0" w:noHBand="0" w:noVBand="1"/>
    </w:tblPr>
    <w:tblGrid>
      <w:gridCol w:w="2693"/>
      <w:gridCol w:w="5103"/>
    </w:tblGrid>
    <w:tr w:rsidR="00862342" w:rsidRPr="00783483" w:rsidTr="00783483">
      <w:tc>
        <w:tcPr>
          <w:tcW w:w="2693"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Recurso de Revisión:</w:t>
          </w:r>
        </w:p>
      </w:tc>
      <w:tc>
        <w:tcPr>
          <w:tcW w:w="5103" w:type="dxa"/>
          <w:vAlign w:val="center"/>
        </w:tcPr>
        <w:p w:rsidR="00862342" w:rsidRPr="00783483" w:rsidRDefault="00862342" w:rsidP="00783483">
          <w:pPr>
            <w:ind w:right="34"/>
            <w:rPr>
              <w:rFonts w:ascii="Palatino Linotype" w:eastAsia="Palatino Linotype" w:hAnsi="Palatino Linotype" w:cs="Palatino Linotype"/>
            </w:rPr>
          </w:pPr>
          <w:r w:rsidRPr="00783483">
            <w:rPr>
              <w:rFonts w:ascii="Palatino Linotype" w:eastAsia="Palatino Linotype" w:hAnsi="Palatino Linotype" w:cs="Palatino Linotype"/>
            </w:rPr>
            <w:t>04853/INFOEM/IP/RR/2025 y acumulados</w:t>
          </w:r>
        </w:p>
      </w:tc>
    </w:tr>
    <w:tr w:rsidR="00862342" w:rsidRPr="00783483" w:rsidTr="00783483">
      <w:trPr>
        <w:trHeight w:val="228"/>
      </w:trPr>
      <w:tc>
        <w:tcPr>
          <w:tcW w:w="2693"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Sujeto Obligado:</w:t>
          </w:r>
        </w:p>
      </w:tc>
      <w:tc>
        <w:tcPr>
          <w:tcW w:w="5103" w:type="dxa"/>
          <w:vAlign w:val="center"/>
        </w:tcPr>
        <w:p w:rsidR="00862342" w:rsidRPr="00783483" w:rsidRDefault="00862342" w:rsidP="00783483">
          <w:pPr>
            <w:ind w:right="34"/>
            <w:rPr>
              <w:rFonts w:ascii="Palatino Linotype" w:eastAsia="Palatino Linotype" w:hAnsi="Palatino Linotype" w:cs="Palatino Linotype"/>
            </w:rPr>
          </w:pPr>
          <w:r w:rsidRPr="00783483">
            <w:rPr>
              <w:rFonts w:ascii="Palatino Linotype" w:eastAsia="Palatino Linotype" w:hAnsi="Palatino Linotype" w:cs="Palatino Linotype"/>
              <w:color w:val="000000"/>
            </w:rPr>
            <w:t>Ayuntamiento de Zinacantepec</w:t>
          </w:r>
        </w:p>
      </w:tc>
    </w:tr>
    <w:tr w:rsidR="00862342" w:rsidRPr="00783483" w:rsidTr="00783483">
      <w:tc>
        <w:tcPr>
          <w:tcW w:w="2693"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Comisionada Ponente:</w:t>
          </w:r>
        </w:p>
      </w:tc>
      <w:tc>
        <w:tcPr>
          <w:tcW w:w="5103" w:type="dxa"/>
          <w:vAlign w:val="center"/>
        </w:tcPr>
        <w:p w:rsidR="00862342" w:rsidRPr="00783483" w:rsidRDefault="00862342" w:rsidP="00783483">
          <w:pPr>
            <w:ind w:right="34"/>
            <w:rPr>
              <w:rFonts w:ascii="Palatino Linotype" w:eastAsia="Palatino Linotype" w:hAnsi="Palatino Linotype" w:cs="Palatino Linotype"/>
            </w:rPr>
          </w:pPr>
          <w:r w:rsidRPr="00783483">
            <w:rPr>
              <w:rFonts w:ascii="Palatino Linotype" w:eastAsia="Palatino Linotype" w:hAnsi="Palatino Linotype" w:cs="Palatino Linotype"/>
            </w:rPr>
            <w:t>María del Rosario Mejía Ayala</w:t>
          </w:r>
        </w:p>
      </w:tc>
    </w:tr>
  </w:tbl>
  <w:p w:rsidR="00862342" w:rsidRDefault="005D75A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1312" behindDoc="1" locked="0" layoutInCell="1" hidden="0" allowOverlap="1" wp14:anchorId="506ED05E" wp14:editId="463C84A2">
          <wp:simplePos x="0" y="0"/>
          <wp:positionH relativeFrom="margin">
            <wp:posOffset>-974389</wp:posOffset>
          </wp:positionH>
          <wp:positionV relativeFrom="paragraph">
            <wp:posOffset>-1183868</wp:posOffset>
          </wp:positionV>
          <wp:extent cx="7813085" cy="10170000"/>
          <wp:effectExtent l="0" t="0" r="0" b="317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862342">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835" w:type="dxa"/>
      <w:tblLayout w:type="fixed"/>
      <w:tblLook w:val="0400" w:firstRow="0" w:lastRow="0" w:firstColumn="0" w:lastColumn="0" w:noHBand="0" w:noVBand="1"/>
    </w:tblPr>
    <w:tblGrid>
      <w:gridCol w:w="2694"/>
      <w:gridCol w:w="4677"/>
    </w:tblGrid>
    <w:tr w:rsidR="00862342" w:rsidRPr="00783483" w:rsidTr="00783483">
      <w:tc>
        <w:tcPr>
          <w:tcW w:w="2694"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Recurso de Revisión:</w:t>
          </w:r>
        </w:p>
      </w:tc>
      <w:tc>
        <w:tcPr>
          <w:tcW w:w="4677" w:type="dxa"/>
          <w:vAlign w:val="center"/>
        </w:tcPr>
        <w:p w:rsidR="00862342" w:rsidRPr="00783483" w:rsidRDefault="00862342" w:rsidP="00783483">
          <w:pPr>
            <w:rPr>
              <w:rFonts w:ascii="Palatino Linotype" w:eastAsia="Palatino Linotype" w:hAnsi="Palatino Linotype" w:cs="Palatino Linotype"/>
            </w:rPr>
          </w:pPr>
          <w:r w:rsidRPr="00783483">
            <w:rPr>
              <w:rFonts w:ascii="Palatino Linotype" w:eastAsia="Palatino Linotype" w:hAnsi="Palatino Linotype" w:cs="Palatino Linotype"/>
            </w:rPr>
            <w:t>04853/INFOEM/IP/RR/2025 y acumulados</w:t>
          </w:r>
        </w:p>
      </w:tc>
    </w:tr>
    <w:tr w:rsidR="00862342" w:rsidRPr="00783483" w:rsidTr="00783483">
      <w:tc>
        <w:tcPr>
          <w:tcW w:w="2694" w:type="dxa"/>
          <w:vAlign w:val="center"/>
        </w:tcPr>
        <w:p w:rsidR="00862342" w:rsidRPr="00783483" w:rsidRDefault="00862342" w:rsidP="00783483">
          <w:pPr>
            <w:ind w:left="35" w:hanging="35"/>
            <w:jc w:val="right"/>
            <w:rPr>
              <w:rFonts w:ascii="Palatino Linotype" w:eastAsia="Palatino Linotype" w:hAnsi="Palatino Linotype" w:cs="Palatino Linotype"/>
              <w:b/>
            </w:rPr>
          </w:pPr>
          <w:r w:rsidRPr="00783483">
            <w:rPr>
              <w:rFonts w:ascii="Palatino Linotype" w:eastAsia="Palatino Linotype" w:hAnsi="Palatino Linotype" w:cs="Palatino Linotype"/>
              <w:b/>
            </w:rPr>
            <w:t>Recurrente:</w:t>
          </w:r>
        </w:p>
      </w:tc>
      <w:tc>
        <w:tcPr>
          <w:tcW w:w="4677" w:type="dxa"/>
          <w:vAlign w:val="center"/>
        </w:tcPr>
        <w:p w:rsidR="00862342" w:rsidRPr="00783483" w:rsidRDefault="00862342" w:rsidP="00783483">
          <w:pPr>
            <w:rPr>
              <w:rFonts w:ascii="Palatino Linotype" w:eastAsia="Palatino Linotype" w:hAnsi="Palatino Linotype" w:cs="Palatino Linotype"/>
            </w:rPr>
          </w:pPr>
        </w:p>
      </w:tc>
    </w:tr>
    <w:tr w:rsidR="00862342" w:rsidRPr="00783483" w:rsidTr="00783483">
      <w:trPr>
        <w:trHeight w:val="228"/>
      </w:trPr>
      <w:tc>
        <w:tcPr>
          <w:tcW w:w="2694"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Sujeto Obligado:</w:t>
          </w:r>
        </w:p>
      </w:tc>
      <w:tc>
        <w:tcPr>
          <w:tcW w:w="4677" w:type="dxa"/>
          <w:vAlign w:val="center"/>
        </w:tcPr>
        <w:p w:rsidR="00862342" w:rsidRPr="00783483" w:rsidRDefault="00862342" w:rsidP="00783483">
          <w:pPr>
            <w:ind w:left="35" w:hanging="35"/>
            <w:rPr>
              <w:rFonts w:ascii="Palatino Linotype" w:eastAsia="Palatino Linotype" w:hAnsi="Palatino Linotype" w:cs="Palatino Linotype"/>
            </w:rPr>
          </w:pPr>
          <w:r w:rsidRPr="00783483">
            <w:rPr>
              <w:rFonts w:ascii="Palatino Linotype" w:eastAsia="Palatino Linotype" w:hAnsi="Palatino Linotype" w:cs="Palatino Linotype"/>
              <w:color w:val="000000"/>
            </w:rPr>
            <w:t xml:space="preserve">Ayuntamiento de Zinacantepec </w:t>
          </w:r>
        </w:p>
      </w:tc>
    </w:tr>
    <w:tr w:rsidR="00862342" w:rsidRPr="00783483" w:rsidTr="00783483">
      <w:tc>
        <w:tcPr>
          <w:tcW w:w="2694" w:type="dxa"/>
          <w:vAlign w:val="center"/>
        </w:tcPr>
        <w:p w:rsidR="00862342" w:rsidRPr="00783483" w:rsidRDefault="00862342" w:rsidP="00783483">
          <w:pPr>
            <w:jc w:val="right"/>
            <w:rPr>
              <w:rFonts w:ascii="Palatino Linotype" w:eastAsia="Palatino Linotype" w:hAnsi="Palatino Linotype" w:cs="Palatino Linotype"/>
              <w:b/>
            </w:rPr>
          </w:pPr>
          <w:r w:rsidRPr="00783483">
            <w:rPr>
              <w:rFonts w:ascii="Palatino Linotype" w:eastAsia="Palatino Linotype" w:hAnsi="Palatino Linotype" w:cs="Palatino Linotype"/>
              <w:b/>
            </w:rPr>
            <w:t>Comisionada Ponente:</w:t>
          </w:r>
        </w:p>
      </w:tc>
      <w:tc>
        <w:tcPr>
          <w:tcW w:w="4677" w:type="dxa"/>
          <w:vAlign w:val="center"/>
        </w:tcPr>
        <w:p w:rsidR="00862342" w:rsidRPr="00783483" w:rsidRDefault="00862342" w:rsidP="00783483">
          <w:pPr>
            <w:rPr>
              <w:rFonts w:ascii="Palatino Linotype" w:eastAsia="Palatino Linotype" w:hAnsi="Palatino Linotype" w:cs="Palatino Linotype"/>
            </w:rPr>
          </w:pPr>
          <w:r w:rsidRPr="00783483">
            <w:rPr>
              <w:rFonts w:ascii="Palatino Linotype" w:eastAsia="Palatino Linotype" w:hAnsi="Palatino Linotype" w:cs="Palatino Linotype"/>
            </w:rPr>
            <w:t>María del Rosario Mejía Ayala</w:t>
          </w:r>
        </w:p>
      </w:tc>
    </w:tr>
  </w:tbl>
  <w:p w:rsidR="00862342" w:rsidRDefault="005D75A3">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1F8B5F29" wp14:editId="40CE7213">
          <wp:simplePos x="0" y="0"/>
          <wp:positionH relativeFrom="page">
            <wp:posOffset>-112766</wp:posOffset>
          </wp:positionH>
          <wp:positionV relativeFrom="paragraph">
            <wp:posOffset>-1207135</wp:posOffset>
          </wp:positionV>
          <wp:extent cx="7813085" cy="10170000"/>
          <wp:effectExtent l="0" t="0" r="0" b="317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B7F5A"/>
    <w:multiLevelType w:val="multilevel"/>
    <w:tmpl w:val="0A20EC0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118669D2"/>
    <w:multiLevelType w:val="hybridMultilevel"/>
    <w:tmpl w:val="0B7C1916"/>
    <w:lvl w:ilvl="0" w:tplc="CBC8443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17500F61"/>
    <w:multiLevelType w:val="multilevel"/>
    <w:tmpl w:val="5F56EFD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17944C16"/>
    <w:multiLevelType w:val="multilevel"/>
    <w:tmpl w:val="46523B26"/>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22D613A9"/>
    <w:multiLevelType w:val="multilevel"/>
    <w:tmpl w:val="EEFE3B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5E0808"/>
    <w:multiLevelType w:val="multilevel"/>
    <w:tmpl w:val="72AA69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7A066F"/>
    <w:multiLevelType w:val="multilevel"/>
    <w:tmpl w:val="F0FCB9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51950A19"/>
    <w:multiLevelType w:val="multilevel"/>
    <w:tmpl w:val="22440B1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3" w15:restartNumberingAfterBreak="0">
    <w:nsid w:val="56F2507B"/>
    <w:multiLevelType w:val="hybridMultilevel"/>
    <w:tmpl w:val="3F029E80"/>
    <w:lvl w:ilvl="0" w:tplc="0C3EE97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58127F18"/>
    <w:multiLevelType w:val="multilevel"/>
    <w:tmpl w:val="13305B2A"/>
    <w:lvl w:ilvl="0">
      <w:start w:val="1"/>
      <w:numFmt w:val="lowerLetter"/>
      <w:lvlText w:val="%1)"/>
      <w:lvlJc w:val="left"/>
      <w:pPr>
        <w:ind w:left="778" w:hanging="360"/>
      </w:pPr>
      <w:rPr>
        <w:rFonts w:ascii="Palatino Linotype" w:eastAsia="Palatino Linotype" w:hAnsi="Palatino Linotype" w:cs="Palatino Linotype"/>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5"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6" w15:restartNumberingAfterBreak="0">
    <w:nsid w:val="5C200618"/>
    <w:multiLevelType w:val="multilevel"/>
    <w:tmpl w:val="DCEA810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321368"/>
    <w:multiLevelType w:val="hybridMultilevel"/>
    <w:tmpl w:val="2CBC6C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EFA5D27"/>
    <w:multiLevelType w:val="hybridMultilevel"/>
    <w:tmpl w:val="3D7E6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CE1337"/>
    <w:multiLevelType w:val="multilevel"/>
    <w:tmpl w:val="BF64D8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0" w15:restartNumberingAfterBreak="0">
    <w:nsid w:val="708620EB"/>
    <w:multiLevelType w:val="multilevel"/>
    <w:tmpl w:val="F97835B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15:restartNumberingAfterBreak="0">
    <w:nsid w:val="70B633ED"/>
    <w:multiLevelType w:val="multilevel"/>
    <w:tmpl w:val="9190CF8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2" w15:restartNumberingAfterBreak="0">
    <w:nsid w:val="76BF500A"/>
    <w:multiLevelType w:val="multilevel"/>
    <w:tmpl w:val="BD40DCA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4"/>
  </w:num>
  <w:num w:numId="2">
    <w:abstractNumId w:val="19"/>
  </w:num>
  <w:num w:numId="3">
    <w:abstractNumId w:val="8"/>
  </w:num>
  <w:num w:numId="4">
    <w:abstractNumId w:val="9"/>
  </w:num>
  <w:num w:numId="5">
    <w:abstractNumId w:val="12"/>
  </w:num>
  <w:num w:numId="6">
    <w:abstractNumId w:val="0"/>
  </w:num>
  <w:num w:numId="7">
    <w:abstractNumId w:val="18"/>
  </w:num>
  <w:num w:numId="8">
    <w:abstractNumId w:val="13"/>
  </w:num>
  <w:num w:numId="9">
    <w:abstractNumId w:val="1"/>
  </w:num>
  <w:num w:numId="10">
    <w:abstractNumId w:val="15"/>
  </w:num>
  <w:num w:numId="11">
    <w:abstractNumId w:val="2"/>
  </w:num>
  <w:num w:numId="12">
    <w:abstractNumId w:val="6"/>
  </w:num>
  <w:num w:numId="13">
    <w:abstractNumId w:val="14"/>
  </w:num>
  <w:num w:numId="14">
    <w:abstractNumId w:val="10"/>
  </w:num>
  <w:num w:numId="15">
    <w:abstractNumId w:val="7"/>
  </w:num>
  <w:num w:numId="16">
    <w:abstractNumId w:val="3"/>
  </w:num>
  <w:num w:numId="17">
    <w:abstractNumId w:val="21"/>
  </w:num>
  <w:num w:numId="18">
    <w:abstractNumId w:val="22"/>
  </w:num>
  <w:num w:numId="19">
    <w:abstractNumId w:val="16"/>
  </w:num>
  <w:num w:numId="20">
    <w:abstractNumId w:val="5"/>
  </w:num>
  <w:num w:numId="21">
    <w:abstractNumId w:val="11"/>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D87"/>
    <w:rsid w:val="00015AC2"/>
    <w:rsid w:val="0002185D"/>
    <w:rsid w:val="00054679"/>
    <w:rsid w:val="000C7F75"/>
    <w:rsid w:val="0013037C"/>
    <w:rsid w:val="001503AD"/>
    <w:rsid w:val="00183B1C"/>
    <w:rsid w:val="001B10C2"/>
    <w:rsid w:val="0024134C"/>
    <w:rsid w:val="00265399"/>
    <w:rsid w:val="002C0CD8"/>
    <w:rsid w:val="003F0A7D"/>
    <w:rsid w:val="00457E14"/>
    <w:rsid w:val="00473347"/>
    <w:rsid w:val="004742A6"/>
    <w:rsid w:val="004D41EB"/>
    <w:rsid w:val="004F3D82"/>
    <w:rsid w:val="005D75A3"/>
    <w:rsid w:val="00647768"/>
    <w:rsid w:val="00660DD9"/>
    <w:rsid w:val="00687E18"/>
    <w:rsid w:val="006B5EC6"/>
    <w:rsid w:val="006F4DAE"/>
    <w:rsid w:val="00701447"/>
    <w:rsid w:val="00737A69"/>
    <w:rsid w:val="00740042"/>
    <w:rsid w:val="00752214"/>
    <w:rsid w:val="00783483"/>
    <w:rsid w:val="007A05E4"/>
    <w:rsid w:val="007B6DF0"/>
    <w:rsid w:val="00860F27"/>
    <w:rsid w:val="00862342"/>
    <w:rsid w:val="0093275E"/>
    <w:rsid w:val="009504D0"/>
    <w:rsid w:val="009D14D2"/>
    <w:rsid w:val="009D6176"/>
    <w:rsid w:val="009F7697"/>
    <w:rsid w:val="00A01C92"/>
    <w:rsid w:val="00A028E6"/>
    <w:rsid w:val="00A25878"/>
    <w:rsid w:val="00A567CA"/>
    <w:rsid w:val="00B02E89"/>
    <w:rsid w:val="00B50EEE"/>
    <w:rsid w:val="00B708C5"/>
    <w:rsid w:val="00B90407"/>
    <w:rsid w:val="00C10B4C"/>
    <w:rsid w:val="00C21EBE"/>
    <w:rsid w:val="00CD4CBB"/>
    <w:rsid w:val="00D15C71"/>
    <w:rsid w:val="00D47DA4"/>
    <w:rsid w:val="00D82507"/>
    <w:rsid w:val="00D933C7"/>
    <w:rsid w:val="00D93A4D"/>
    <w:rsid w:val="00DC205C"/>
    <w:rsid w:val="00E525F0"/>
    <w:rsid w:val="00E75201"/>
    <w:rsid w:val="00EC0E31"/>
    <w:rsid w:val="00EE1CD1"/>
    <w:rsid w:val="00EF496F"/>
    <w:rsid w:val="00FA1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A5E5CE-2610-4ACD-942B-20EC9315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D8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1D87"/>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1D87"/>
    <w:pPr>
      <w:ind w:left="720"/>
      <w:contextualSpacing/>
    </w:pPr>
  </w:style>
  <w:style w:type="table" w:styleId="Tablaconcuadrcula">
    <w:name w:val="Table Grid"/>
    <w:basedOn w:val="Tablanormal"/>
    <w:uiPriority w:val="39"/>
    <w:rsid w:val="00FA1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A1D87"/>
    <w:pPr>
      <w:tabs>
        <w:tab w:val="center" w:pos="4419"/>
        <w:tab w:val="right" w:pos="8838"/>
      </w:tabs>
    </w:pPr>
  </w:style>
  <w:style w:type="character" w:customStyle="1" w:styleId="EncabezadoCar">
    <w:name w:val="Encabezado Car"/>
    <w:basedOn w:val="Fuentedeprrafopredeter"/>
    <w:link w:val="Encabezado"/>
    <w:uiPriority w:val="99"/>
    <w:rsid w:val="00FA1D8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A1D87"/>
    <w:pPr>
      <w:tabs>
        <w:tab w:val="center" w:pos="4419"/>
        <w:tab w:val="right" w:pos="8838"/>
      </w:tabs>
    </w:pPr>
  </w:style>
  <w:style w:type="character" w:customStyle="1" w:styleId="PiedepginaCar">
    <w:name w:val="Pie de página Car"/>
    <w:basedOn w:val="Fuentedeprrafopredeter"/>
    <w:link w:val="Piedepgina"/>
    <w:uiPriority w:val="99"/>
    <w:rsid w:val="00FA1D87"/>
    <w:rPr>
      <w:rFonts w:ascii="Times New Roman" w:eastAsia="Times New Roman" w:hAnsi="Times New Roman" w:cs="Times New Roman"/>
      <w:sz w:val="24"/>
      <w:szCs w:val="24"/>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A028E6"/>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236">
      <w:bodyDiv w:val="1"/>
      <w:marLeft w:val="0"/>
      <w:marRight w:val="0"/>
      <w:marTop w:val="0"/>
      <w:marBottom w:val="0"/>
      <w:divBdr>
        <w:top w:val="none" w:sz="0" w:space="0" w:color="auto"/>
        <w:left w:val="none" w:sz="0" w:space="0" w:color="auto"/>
        <w:bottom w:val="none" w:sz="0" w:space="0" w:color="auto"/>
        <w:right w:val="none" w:sz="0" w:space="0" w:color="auto"/>
      </w:divBdr>
    </w:div>
    <w:div w:id="768354858">
      <w:bodyDiv w:val="1"/>
      <w:marLeft w:val="0"/>
      <w:marRight w:val="0"/>
      <w:marTop w:val="0"/>
      <w:marBottom w:val="0"/>
      <w:divBdr>
        <w:top w:val="none" w:sz="0" w:space="0" w:color="auto"/>
        <w:left w:val="none" w:sz="0" w:space="0" w:color="auto"/>
        <w:bottom w:val="none" w:sz="0" w:space="0" w:color="auto"/>
        <w:right w:val="none" w:sz="0" w:space="0" w:color="auto"/>
      </w:divBdr>
    </w:div>
    <w:div w:id="1403791161">
      <w:bodyDiv w:val="1"/>
      <w:marLeft w:val="0"/>
      <w:marRight w:val="0"/>
      <w:marTop w:val="0"/>
      <w:marBottom w:val="0"/>
      <w:divBdr>
        <w:top w:val="none" w:sz="0" w:space="0" w:color="auto"/>
        <w:left w:val="none" w:sz="0" w:space="0" w:color="auto"/>
        <w:bottom w:val="none" w:sz="0" w:space="0" w:color="auto"/>
        <w:right w:val="none" w:sz="0" w:space="0" w:color="auto"/>
      </w:divBdr>
      <w:divsChild>
        <w:div w:id="1964380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mawww.sat.gob.mx/factura/Paginas/solicita_requisitos.ht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59</Pages>
  <Words>14715</Words>
  <Characters>80936</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2025-06-13T16:41:00Z</cp:lastPrinted>
  <dcterms:created xsi:type="dcterms:W3CDTF">2025-06-09T19:37:00Z</dcterms:created>
  <dcterms:modified xsi:type="dcterms:W3CDTF">2025-06-20T18:00:00Z</dcterms:modified>
</cp:coreProperties>
</file>