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78A" w:rsidRPr="00D06747" w:rsidRDefault="0011578A" w:rsidP="0011578A">
      <w:pPr>
        <w:tabs>
          <w:tab w:val="left" w:pos="3465"/>
        </w:tabs>
        <w:spacing w:line="360" w:lineRule="auto"/>
        <w:jc w:val="both"/>
        <w:rPr>
          <w:rFonts w:ascii="Palatino Linotype" w:hAnsi="Palatino Linotype"/>
          <w:color w:val="000000" w:themeColor="text1"/>
        </w:rPr>
      </w:pPr>
      <w:r w:rsidRPr="00D06747">
        <w:rPr>
          <w:rFonts w:ascii="Palatino Linotype" w:hAnsi="Palatino Linotype"/>
          <w:color w:val="000000" w:themeColor="text1"/>
        </w:rPr>
        <w:t>Resolución del Pleno del Instituto de Transparencia, Acceso a la Información Pública y Protección de Datos Personales del Estado de México y Municipios, con domicilio en Metepec, Estado de México; de fecha nueve de abril de dos mil veinticinco.</w:t>
      </w:r>
    </w:p>
    <w:p w:rsidR="0011578A" w:rsidRPr="00D06747" w:rsidRDefault="0011578A" w:rsidP="0011578A">
      <w:pPr>
        <w:tabs>
          <w:tab w:val="left" w:pos="3465"/>
        </w:tabs>
        <w:spacing w:line="360" w:lineRule="auto"/>
        <w:jc w:val="both"/>
        <w:rPr>
          <w:rFonts w:ascii="Palatino Linotype" w:hAnsi="Palatino Linotype"/>
          <w:color w:val="000000" w:themeColor="text1"/>
        </w:rPr>
      </w:pPr>
    </w:p>
    <w:p w:rsidR="0011578A" w:rsidRPr="00D06747" w:rsidRDefault="0011578A" w:rsidP="0011578A">
      <w:pPr>
        <w:tabs>
          <w:tab w:val="left" w:pos="3969"/>
        </w:tabs>
        <w:spacing w:line="360" w:lineRule="auto"/>
        <w:jc w:val="both"/>
        <w:rPr>
          <w:rFonts w:ascii="Palatino Linotype" w:hAnsi="Palatino Linotype"/>
          <w:color w:val="000000" w:themeColor="text1"/>
        </w:rPr>
      </w:pPr>
      <w:r w:rsidRPr="00D06747">
        <w:rPr>
          <w:rFonts w:ascii="Palatino Linotype" w:hAnsi="Palatino Linotype"/>
          <w:b/>
          <w:color w:val="000000" w:themeColor="text1"/>
        </w:rPr>
        <w:t>VISTO</w:t>
      </w:r>
      <w:r w:rsidRPr="00D06747">
        <w:rPr>
          <w:rFonts w:ascii="Palatino Linotype" w:hAnsi="Palatino Linotype"/>
          <w:color w:val="000000" w:themeColor="text1"/>
        </w:rPr>
        <w:t xml:space="preserve"> el expediente electrónico formado con motivo del recurso de revisión </w:t>
      </w:r>
      <w:r w:rsidRPr="00D06747">
        <w:rPr>
          <w:rFonts w:ascii="Palatino Linotype" w:hAnsi="Palatino Linotype"/>
          <w:b/>
          <w:color w:val="000000" w:themeColor="text1"/>
        </w:rPr>
        <w:t>03073/INFOEM/IP/RR/2025</w:t>
      </w:r>
      <w:r w:rsidRPr="00D06747">
        <w:rPr>
          <w:rFonts w:ascii="Palatino Linotype" w:hAnsi="Palatino Linotype"/>
          <w:color w:val="000000" w:themeColor="text1"/>
        </w:rPr>
        <w:t>,</w:t>
      </w:r>
      <w:r w:rsidRPr="00D06747">
        <w:rPr>
          <w:rFonts w:ascii="Palatino Linotype" w:hAnsi="Palatino Linotype" w:cs="Arial"/>
          <w:b/>
          <w:bCs/>
          <w:color w:val="000000" w:themeColor="text1"/>
        </w:rPr>
        <w:t xml:space="preserve"> </w:t>
      </w:r>
      <w:r w:rsidRPr="00D06747">
        <w:rPr>
          <w:rFonts w:ascii="Palatino Linotype" w:hAnsi="Palatino Linotype"/>
          <w:color w:val="000000" w:themeColor="text1"/>
        </w:rPr>
        <w:t xml:space="preserve">promovido por </w:t>
      </w:r>
      <w:r w:rsidRPr="00D06747">
        <w:rPr>
          <w:rFonts w:ascii="Palatino Linotype" w:hAnsi="Palatino Linotype"/>
          <w:b/>
          <w:bCs/>
          <w:color w:val="000000" w:themeColor="text1"/>
        </w:rPr>
        <w:t> </w:t>
      </w:r>
      <w:r w:rsidR="00784594">
        <w:rPr>
          <w:rFonts w:ascii="Palatino Linotype" w:hAnsi="Palatino Linotype"/>
          <w:b/>
          <w:bCs/>
          <w:color w:val="000000" w:themeColor="text1"/>
        </w:rPr>
        <w:t>XXXX</w:t>
      </w:r>
      <w:r w:rsidRPr="00D06747">
        <w:rPr>
          <w:rFonts w:ascii="Palatino Linotype" w:hAnsi="Palatino Linotype"/>
          <w:color w:val="000000" w:themeColor="text1"/>
        </w:rPr>
        <w:t xml:space="preserve">, a quien en lo sucesivo se le identificará como </w:t>
      </w:r>
      <w:r w:rsidRPr="00D06747">
        <w:rPr>
          <w:rFonts w:ascii="Palatino Linotype" w:hAnsi="Palatino Linotype"/>
          <w:b/>
          <w:color w:val="000000" w:themeColor="text1"/>
        </w:rPr>
        <w:t>L</w:t>
      </w:r>
      <w:r w:rsidR="005272D6" w:rsidRPr="00D06747">
        <w:rPr>
          <w:rFonts w:ascii="Palatino Linotype" w:hAnsi="Palatino Linotype"/>
          <w:b/>
          <w:color w:val="000000" w:themeColor="text1"/>
        </w:rPr>
        <w:t>A</w:t>
      </w:r>
      <w:r w:rsidRPr="00D06747">
        <w:rPr>
          <w:rFonts w:ascii="Palatino Linotype" w:hAnsi="Palatino Linotype"/>
          <w:b/>
          <w:color w:val="000000" w:themeColor="text1"/>
        </w:rPr>
        <w:t xml:space="preserve"> RECURRENTE</w:t>
      </w:r>
      <w:r w:rsidRPr="00D06747">
        <w:rPr>
          <w:rFonts w:ascii="Palatino Linotype" w:hAnsi="Palatino Linotype" w:cs="Arial"/>
          <w:color w:val="000000" w:themeColor="text1"/>
        </w:rPr>
        <w:t xml:space="preserve">, en contra de la respuesta del </w:t>
      </w:r>
      <w:r w:rsidRPr="00D06747">
        <w:rPr>
          <w:rFonts w:ascii="Palatino Linotype" w:hAnsi="Palatino Linotype" w:cs="Arial"/>
          <w:b/>
          <w:color w:val="000000" w:themeColor="text1"/>
        </w:rPr>
        <w:t>Ayuntamiento de Mexicaltzingo,</w:t>
      </w:r>
      <w:r w:rsidRPr="00D06747">
        <w:rPr>
          <w:rFonts w:ascii="Palatino Linotype" w:hAnsi="Palatino Linotype"/>
          <w:b/>
          <w:color w:val="000000" w:themeColor="text1"/>
        </w:rPr>
        <w:t xml:space="preserve"> </w:t>
      </w:r>
      <w:r w:rsidRPr="00D06747">
        <w:rPr>
          <w:rFonts w:ascii="Palatino Linotype" w:hAnsi="Palatino Linotype"/>
          <w:color w:val="000000" w:themeColor="text1"/>
        </w:rPr>
        <w:t>en lo sucesivo el</w:t>
      </w:r>
      <w:r w:rsidRPr="00D06747">
        <w:rPr>
          <w:rFonts w:ascii="Palatino Linotype" w:hAnsi="Palatino Linotype"/>
          <w:b/>
          <w:color w:val="000000" w:themeColor="text1"/>
        </w:rPr>
        <w:t xml:space="preserve"> SUJETO OBLIGADO</w:t>
      </w:r>
      <w:r w:rsidRPr="00D06747">
        <w:rPr>
          <w:rFonts w:ascii="Palatino Linotype" w:hAnsi="Palatino Linotype"/>
          <w:color w:val="000000" w:themeColor="text1"/>
        </w:rPr>
        <w:t>, se procede a dictar la presente resolución, con base en los siguientes:</w:t>
      </w:r>
    </w:p>
    <w:p w:rsidR="0011578A" w:rsidRPr="00D06747" w:rsidRDefault="0011578A" w:rsidP="0011578A">
      <w:pPr>
        <w:spacing w:line="360" w:lineRule="auto"/>
        <w:jc w:val="both"/>
        <w:rPr>
          <w:rFonts w:ascii="Palatino Linotype" w:hAnsi="Palatino Linotype"/>
          <w:b/>
          <w:color w:val="000000" w:themeColor="text1"/>
        </w:rPr>
      </w:pPr>
    </w:p>
    <w:p w:rsidR="0011578A" w:rsidRPr="00D06747" w:rsidRDefault="0011578A" w:rsidP="0011578A">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D06747">
        <w:rPr>
          <w:rFonts w:ascii="Palatino Linotype" w:hAnsi="Palatino Linotype"/>
          <w:b/>
          <w:color w:val="000000" w:themeColor="text1"/>
          <w:sz w:val="24"/>
          <w:szCs w:val="24"/>
        </w:rPr>
        <w:t>A</w:t>
      </w:r>
      <w:r w:rsidR="005272D6" w:rsidRPr="00D06747">
        <w:rPr>
          <w:rFonts w:ascii="Palatino Linotype" w:hAnsi="Palatino Linotype"/>
          <w:b/>
          <w:color w:val="000000" w:themeColor="text1"/>
          <w:sz w:val="24"/>
          <w:szCs w:val="24"/>
        </w:rPr>
        <w:t xml:space="preserve"> </w:t>
      </w:r>
      <w:r w:rsidRPr="00D06747">
        <w:rPr>
          <w:rFonts w:ascii="Palatino Linotype" w:hAnsi="Palatino Linotype"/>
          <w:b/>
          <w:color w:val="000000" w:themeColor="text1"/>
          <w:sz w:val="24"/>
          <w:szCs w:val="24"/>
        </w:rPr>
        <w:t>N</w:t>
      </w:r>
      <w:r w:rsidR="005272D6" w:rsidRPr="00D06747">
        <w:rPr>
          <w:rFonts w:ascii="Palatino Linotype" w:hAnsi="Palatino Linotype"/>
          <w:b/>
          <w:color w:val="000000" w:themeColor="text1"/>
          <w:sz w:val="24"/>
          <w:szCs w:val="24"/>
        </w:rPr>
        <w:t xml:space="preserve"> </w:t>
      </w:r>
      <w:r w:rsidRPr="00D06747">
        <w:rPr>
          <w:rFonts w:ascii="Palatino Linotype" w:hAnsi="Palatino Linotype"/>
          <w:b/>
          <w:color w:val="000000" w:themeColor="text1"/>
          <w:sz w:val="24"/>
          <w:szCs w:val="24"/>
        </w:rPr>
        <w:t>T</w:t>
      </w:r>
      <w:r w:rsidR="005272D6" w:rsidRPr="00D06747">
        <w:rPr>
          <w:rFonts w:ascii="Palatino Linotype" w:hAnsi="Palatino Linotype"/>
          <w:b/>
          <w:color w:val="000000" w:themeColor="text1"/>
          <w:sz w:val="24"/>
          <w:szCs w:val="24"/>
        </w:rPr>
        <w:t xml:space="preserve"> </w:t>
      </w:r>
      <w:r w:rsidRPr="00D06747">
        <w:rPr>
          <w:rFonts w:ascii="Palatino Linotype" w:hAnsi="Palatino Linotype"/>
          <w:b/>
          <w:color w:val="000000" w:themeColor="text1"/>
          <w:sz w:val="24"/>
          <w:szCs w:val="24"/>
        </w:rPr>
        <w:t>E</w:t>
      </w:r>
      <w:r w:rsidR="005272D6" w:rsidRPr="00D06747">
        <w:rPr>
          <w:rFonts w:ascii="Palatino Linotype" w:hAnsi="Palatino Linotype"/>
          <w:b/>
          <w:color w:val="000000" w:themeColor="text1"/>
          <w:sz w:val="24"/>
          <w:szCs w:val="24"/>
        </w:rPr>
        <w:t xml:space="preserve"> </w:t>
      </w:r>
      <w:r w:rsidRPr="00D06747">
        <w:rPr>
          <w:rFonts w:ascii="Palatino Linotype" w:hAnsi="Palatino Linotype"/>
          <w:b/>
          <w:color w:val="000000" w:themeColor="text1"/>
          <w:sz w:val="24"/>
          <w:szCs w:val="24"/>
        </w:rPr>
        <w:t>C</w:t>
      </w:r>
      <w:r w:rsidR="005272D6" w:rsidRPr="00D06747">
        <w:rPr>
          <w:rFonts w:ascii="Palatino Linotype" w:hAnsi="Palatino Linotype"/>
          <w:b/>
          <w:color w:val="000000" w:themeColor="text1"/>
          <w:sz w:val="24"/>
          <w:szCs w:val="24"/>
        </w:rPr>
        <w:t xml:space="preserve"> </w:t>
      </w:r>
      <w:r w:rsidRPr="00D06747">
        <w:rPr>
          <w:rFonts w:ascii="Palatino Linotype" w:hAnsi="Palatino Linotype"/>
          <w:b/>
          <w:color w:val="000000" w:themeColor="text1"/>
          <w:sz w:val="24"/>
          <w:szCs w:val="24"/>
        </w:rPr>
        <w:t>E</w:t>
      </w:r>
      <w:r w:rsidR="005272D6" w:rsidRPr="00D06747">
        <w:rPr>
          <w:rFonts w:ascii="Palatino Linotype" w:hAnsi="Palatino Linotype"/>
          <w:b/>
          <w:color w:val="000000" w:themeColor="text1"/>
          <w:sz w:val="24"/>
          <w:szCs w:val="24"/>
        </w:rPr>
        <w:t xml:space="preserve"> </w:t>
      </w:r>
      <w:r w:rsidRPr="00D06747">
        <w:rPr>
          <w:rFonts w:ascii="Palatino Linotype" w:hAnsi="Palatino Linotype"/>
          <w:b/>
          <w:color w:val="000000" w:themeColor="text1"/>
          <w:sz w:val="24"/>
          <w:szCs w:val="24"/>
        </w:rPr>
        <w:t>D</w:t>
      </w:r>
      <w:r w:rsidR="005272D6" w:rsidRPr="00D06747">
        <w:rPr>
          <w:rFonts w:ascii="Palatino Linotype" w:hAnsi="Palatino Linotype"/>
          <w:b/>
          <w:color w:val="000000" w:themeColor="text1"/>
          <w:sz w:val="24"/>
          <w:szCs w:val="24"/>
        </w:rPr>
        <w:t xml:space="preserve"> </w:t>
      </w:r>
      <w:r w:rsidRPr="00D06747">
        <w:rPr>
          <w:rFonts w:ascii="Palatino Linotype" w:hAnsi="Palatino Linotype"/>
          <w:b/>
          <w:color w:val="000000" w:themeColor="text1"/>
          <w:sz w:val="24"/>
          <w:szCs w:val="24"/>
        </w:rPr>
        <w:t>E</w:t>
      </w:r>
      <w:r w:rsidR="005272D6" w:rsidRPr="00D06747">
        <w:rPr>
          <w:rFonts w:ascii="Palatino Linotype" w:hAnsi="Palatino Linotype"/>
          <w:b/>
          <w:color w:val="000000" w:themeColor="text1"/>
          <w:sz w:val="24"/>
          <w:szCs w:val="24"/>
        </w:rPr>
        <w:t xml:space="preserve"> </w:t>
      </w:r>
      <w:r w:rsidRPr="00D06747">
        <w:rPr>
          <w:rFonts w:ascii="Palatino Linotype" w:hAnsi="Palatino Linotype"/>
          <w:b/>
          <w:color w:val="000000" w:themeColor="text1"/>
          <w:sz w:val="24"/>
          <w:szCs w:val="24"/>
        </w:rPr>
        <w:t>N</w:t>
      </w:r>
      <w:r w:rsidR="005272D6" w:rsidRPr="00D06747">
        <w:rPr>
          <w:rFonts w:ascii="Palatino Linotype" w:hAnsi="Palatino Linotype"/>
          <w:b/>
          <w:color w:val="000000" w:themeColor="text1"/>
          <w:sz w:val="24"/>
          <w:szCs w:val="24"/>
        </w:rPr>
        <w:t xml:space="preserve"> </w:t>
      </w:r>
      <w:r w:rsidRPr="00D06747">
        <w:rPr>
          <w:rFonts w:ascii="Palatino Linotype" w:hAnsi="Palatino Linotype"/>
          <w:b/>
          <w:color w:val="000000" w:themeColor="text1"/>
          <w:sz w:val="24"/>
          <w:szCs w:val="24"/>
        </w:rPr>
        <w:t>T</w:t>
      </w:r>
      <w:r w:rsidR="005272D6" w:rsidRPr="00D06747">
        <w:rPr>
          <w:rFonts w:ascii="Palatino Linotype" w:hAnsi="Palatino Linotype"/>
          <w:b/>
          <w:color w:val="000000" w:themeColor="text1"/>
          <w:sz w:val="24"/>
          <w:szCs w:val="24"/>
        </w:rPr>
        <w:t xml:space="preserve"> </w:t>
      </w:r>
      <w:r w:rsidRPr="00D06747">
        <w:rPr>
          <w:rFonts w:ascii="Palatino Linotype" w:hAnsi="Palatino Linotype"/>
          <w:b/>
          <w:color w:val="000000" w:themeColor="text1"/>
          <w:sz w:val="24"/>
          <w:szCs w:val="24"/>
        </w:rPr>
        <w:t>E</w:t>
      </w:r>
      <w:r w:rsidR="005272D6" w:rsidRPr="00D06747">
        <w:rPr>
          <w:rFonts w:ascii="Palatino Linotype" w:hAnsi="Palatino Linotype"/>
          <w:b/>
          <w:color w:val="000000" w:themeColor="text1"/>
          <w:sz w:val="24"/>
          <w:szCs w:val="24"/>
        </w:rPr>
        <w:t xml:space="preserve"> </w:t>
      </w:r>
      <w:r w:rsidRPr="00D06747">
        <w:rPr>
          <w:rFonts w:ascii="Palatino Linotype" w:hAnsi="Palatino Linotype"/>
          <w:b/>
          <w:color w:val="000000" w:themeColor="text1"/>
          <w:sz w:val="24"/>
          <w:szCs w:val="24"/>
        </w:rPr>
        <w:t>S</w:t>
      </w:r>
      <w:bookmarkEnd w:id="0"/>
      <w:bookmarkEnd w:id="1"/>
      <w:bookmarkEnd w:id="2"/>
    </w:p>
    <w:p w:rsidR="0011578A" w:rsidRPr="00D06747" w:rsidRDefault="0011578A" w:rsidP="0011578A">
      <w:pPr>
        <w:jc w:val="both"/>
        <w:rPr>
          <w:rFonts w:ascii="Palatino Linotype" w:hAnsi="Palatino Linotype"/>
          <w:color w:val="000000" w:themeColor="text1"/>
        </w:rPr>
      </w:pPr>
    </w:p>
    <w:p w:rsidR="0011578A" w:rsidRPr="00D06747" w:rsidRDefault="0011578A" w:rsidP="0011578A">
      <w:pPr>
        <w:pStyle w:val="Prrafodelista"/>
        <w:numPr>
          <w:ilvl w:val="0"/>
          <w:numId w:val="1"/>
        </w:numPr>
        <w:spacing w:line="360" w:lineRule="auto"/>
        <w:ind w:left="0" w:firstLine="0"/>
        <w:jc w:val="both"/>
        <w:rPr>
          <w:rFonts w:ascii="Palatino Linotype" w:eastAsia="Calibri" w:hAnsi="Palatino Linotype" w:cs="Arial"/>
          <w:color w:val="000000" w:themeColor="text1"/>
          <w:lang w:val="es-ES"/>
        </w:rPr>
      </w:pPr>
      <w:r w:rsidRPr="00D06747">
        <w:rPr>
          <w:rFonts w:ascii="Palatino Linotype" w:eastAsia="Calibri" w:hAnsi="Palatino Linotype" w:cs="Arial"/>
          <w:color w:val="000000" w:themeColor="text1"/>
          <w:lang w:val="es-ES"/>
        </w:rPr>
        <w:t xml:space="preserve">El día </w:t>
      </w:r>
      <w:r w:rsidRPr="00D06747">
        <w:rPr>
          <w:rFonts w:ascii="Palatino Linotype" w:eastAsia="Calibri" w:hAnsi="Palatino Linotype" w:cs="Arial"/>
          <w:b/>
          <w:color w:val="000000" w:themeColor="text1"/>
          <w:lang w:val="es-ES"/>
        </w:rPr>
        <w:t>seis de febrero de dos mil veinticinco</w:t>
      </w:r>
      <w:r w:rsidRPr="00D06747">
        <w:rPr>
          <w:rFonts w:ascii="Palatino Linotype" w:hAnsi="Palatino Linotype"/>
          <w:b/>
          <w:color w:val="000000" w:themeColor="text1"/>
        </w:rPr>
        <w:t xml:space="preserve">, </w:t>
      </w:r>
      <w:r w:rsidRPr="00D06747">
        <w:rPr>
          <w:rFonts w:ascii="Palatino Linotype" w:eastAsia="Calibri" w:hAnsi="Palatino Linotype" w:cs="Arial"/>
          <w:color w:val="000000" w:themeColor="text1"/>
          <w:lang w:val="es-ES"/>
        </w:rPr>
        <w:t xml:space="preserve">se presentó ante el </w:t>
      </w:r>
      <w:r w:rsidRPr="00D06747">
        <w:rPr>
          <w:rFonts w:ascii="Palatino Linotype" w:eastAsia="Calibri" w:hAnsi="Palatino Linotype" w:cs="Arial"/>
          <w:b/>
          <w:color w:val="000000" w:themeColor="text1"/>
          <w:lang w:val="es-ES"/>
        </w:rPr>
        <w:t>SUJETO OBLIGADO</w:t>
      </w:r>
      <w:r w:rsidRPr="00D06747">
        <w:rPr>
          <w:rFonts w:ascii="Palatino Linotype" w:eastAsia="Calibri" w:hAnsi="Palatino Linotype" w:cs="Arial"/>
          <w:color w:val="000000" w:themeColor="text1"/>
        </w:rPr>
        <w:t xml:space="preserve"> vía </w:t>
      </w:r>
      <w:r w:rsidRPr="00D06747">
        <w:rPr>
          <w:rFonts w:ascii="Palatino Linotype" w:eastAsia="Calibri" w:hAnsi="Palatino Linotype" w:cs="Arial"/>
          <w:color w:val="000000" w:themeColor="text1"/>
          <w:lang w:val="es-ES"/>
        </w:rPr>
        <w:t>Sistema de Acceso a la Información, la solicitud de información pública registrada con el número</w:t>
      </w:r>
      <w:r w:rsidRPr="00D06747">
        <w:rPr>
          <w:rFonts w:ascii="Palatino Linotype" w:hAnsi="Palatino Linotype"/>
          <w:b/>
          <w:bCs/>
          <w:color w:val="000000" w:themeColor="text1"/>
        </w:rPr>
        <w:t xml:space="preserve"> 00071/MEXICAL/IP/2025; </w:t>
      </w:r>
      <w:r w:rsidRPr="00D06747">
        <w:rPr>
          <w:rFonts w:ascii="Palatino Linotype" w:eastAsia="Calibri" w:hAnsi="Palatino Linotype" w:cs="Arial"/>
          <w:color w:val="000000" w:themeColor="text1"/>
          <w:lang w:val="es-ES"/>
        </w:rPr>
        <w:t>mediante la cual se solicitó la siguiente información:</w:t>
      </w:r>
    </w:p>
    <w:p w:rsidR="0011578A" w:rsidRPr="00D06747" w:rsidRDefault="0011578A" w:rsidP="0011578A">
      <w:pPr>
        <w:pStyle w:val="Prrafodelista"/>
        <w:spacing w:line="360" w:lineRule="auto"/>
        <w:ind w:left="0"/>
        <w:jc w:val="both"/>
        <w:rPr>
          <w:rFonts w:ascii="Palatino Linotype" w:eastAsia="Calibri" w:hAnsi="Palatino Linotype" w:cs="Arial"/>
          <w:color w:val="000000" w:themeColor="text1"/>
          <w:lang w:val="es-ES"/>
        </w:rPr>
      </w:pPr>
      <w:bookmarkStart w:id="3" w:name="_GoBack"/>
      <w:bookmarkEnd w:id="3"/>
    </w:p>
    <w:p w:rsidR="0011578A" w:rsidRPr="00D06747" w:rsidRDefault="0011578A" w:rsidP="0011578A">
      <w:pPr>
        <w:pStyle w:val="Prrafodelista"/>
        <w:ind w:left="1134" w:right="900"/>
        <w:jc w:val="both"/>
        <w:rPr>
          <w:rFonts w:ascii="Palatino Linotype" w:hAnsi="Palatino Linotype"/>
          <w:color w:val="000000" w:themeColor="text1"/>
        </w:rPr>
      </w:pPr>
      <w:r w:rsidRPr="00D06747">
        <w:rPr>
          <w:rFonts w:ascii="Palatino Linotype" w:hAnsi="Palatino Linotype"/>
          <w:i/>
          <w:color w:val="000000" w:themeColor="text1"/>
        </w:rPr>
        <w:t>“Documento en pdf de presupuesto de ingresos h egresos para el 2025”</w:t>
      </w:r>
    </w:p>
    <w:p w:rsidR="0011578A" w:rsidRPr="00D06747" w:rsidRDefault="0011578A" w:rsidP="0011578A">
      <w:pPr>
        <w:pStyle w:val="Prrafodelista"/>
        <w:spacing w:line="360" w:lineRule="auto"/>
        <w:ind w:left="851" w:right="34"/>
        <w:jc w:val="both"/>
        <w:rPr>
          <w:rFonts w:ascii="Palatino Linotype" w:hAnsi="Palatino Linotype"/>
          <w:color w:val="000000" w:themeColor="text1"/>
        </w:rPr>
      </w:pPr>
    </w:p>
    <w:p w:rsidR="0011578A" w:rsidRPr="00D06747" w:rsidRDefault="0011578A" w:rsidP="0011578A">
      <w:pPr>
        <w:pStyle w:val="Prrafodelista"/>
        <w:numPr>
          <w:ilvl w:val="0"/>
          <w:numId w:val="2"/>
        </w:numPr>
        <w:spacing w:line="360" w:lineRule="auto"/>
        <w:ind w:left="851" w:right="474"/>
        <w:jc w:val="both"/>
        <w:rPr>
          <w:rFonts w:ascii="Palatino Linotype" w:hAnsi="Palatino Linotype"/>
          <w:color w:val="000000" w:themeColor="text1"/>
        </w:rPr>
      </w:pPr>
      <w:r w:rsidRPr="00D06747">
        <w:rPr>
          <w:rFonts w:ascii="Palatino Linotype" w:hAnsi="Palatino Linotype" w:cs="Arial"/>
          <w:color w:val="000000" w:themeColor="text1"/>
          <w:lang w:val="es-ES"/>
        </w:rPr>
        <w:t>Se eligió como modalidad de entrega de la información</w:t>
      </w:r>
      <w:r w:rsidRPr="00D06747">
        <w:rPr>
          <w:rFonts w:ascii="Palatino Linotype" w:hAnsi="Palatino Linotype"/>
          <w:color w:val="000000" w:themeColor="text1"/>
        </w:rPr>
        <w:t xml:space="preserve">: A través del </w:t>
      </w:r>
      <w:r w:rsidRPr="00D06747">
        <w:rPr>
          <w:rFonts w:ascii="Palatino Linotype" w:hAnsi="Palatino Linotype"/>
          <w:b/>
          <w:color w:val="000000" w:themeColor="text1"/>
        </w:rPr>
        <w:t>Sistema de Acceso a la Información.</w:t>
      </w:r>
    </w:p>
    <w:p w:rsidR="0011578A" w:rsidRPr="00D06747" w:rsidRDefault="0011578A" w:rsidP="0011578A">
      <w:pPr>
        <w:pStyle w:val="Prrafodelista"/>
        <w:spacing w:line="360" w:lineRule="auto"/>
        <w:ind w:left="0"/>
        <w:jc w:val="both"/>
        <w:rPr>
          <w:rFonts w:ascii="Palatino Linotype" w:eastAsia="Calibri" w:hAnsi="Palatino Linotype" w:cs="Arial"/>
          <w:color w:val="000000" w:themeColor="text1"/>
          <w:lang w:val="es-ES"/>
        </w:rPr>
      </w:pPr>
    </w:p>
    <w:p w:rsidR="0011578A" w:rsidRPr="00D06747" w:rsidRDefault="0011578A" w:rsidP="0011578A">
      <w:pPr>
        <w:pStyle w:val="Prrafodelista"/>
        <w:numPr>
          <w:ilvl w:val="0"/>
          <w:numId w:val="1"/>
        </w:numPr>
        <w:spacing w:line="360" w:lineRule="auto"/>
        <w:ind w:left="0" w:firstLine="0"/>
        <w:jc w:val="both"/>
        <w:rPr>
          <w:rFonts w:ascii="Palatino Linotype" w:eastAsia="Calibri" w:hAnsi="Palatino Linotype" w:cs="Arial"/>
          <w:i/>
          <w:color w:val="000000" w:themeColor="text1"/>
          <w:lang w:val="es-ES"/>
        </w:rPr>
      </w:pPr>
      <w:r w:rsidRPr="00D06747">
        <w:rPr>
          <w:rFonts w:ascii="Palatino Linotype" w:eastAsia="Calibri" w:hAnsi="Palatino Linotype" w:cs="Arial"/>
          <w:color w:val="000000" w:themeColor="text1"/>
          <w:lang w:val="es-ES"/>
        </w:rPr>
        <w:lastRenderedPageBreak/>
        <w:t xml:space="preserve">El </w:t>
      </w:r>
      <w:r w:rsidRPr="00D06747">
        <w:rPr>
          <w:rFonts w:ascii="Palatino Linotype" w:eastAsia="Calibri" w:hAnsi="Palatino Linotype" w:cs="Arial"/>
          <w:b/>
          <w:color w:val="000000" w:themeColor="text1"/>
          <w:lang w:val="es-ES"/>
        </w:rPr>
        <w:t xml:space="preserve">ocho de febrero de dos mil veinticinco, </w:t>
      </w:r>
      <w:r w:rsidRPr="00D06747">
        <w:rPr>
          <w:rFonts w:ascii="Palatino Linotype" w:eastAsia="Calibri" w:hAnsi="Palatino Linotype" w:cs="Arial"/>
          <w:color w:val="000000" w:themeColor="text1"/>
          <w:lang w:val="es-ES"/>
        </w:rPr>
        <w:t xml:space="preserve">el </w:t>
      </w:r>
      <w:r w:rsidRPr="00D06747">
        <w:rPr>
          <w:rFonts w:ascii="Palatino Linotype" w:eastAsia="Calibri" w:hAnsi="Palatino Linotype" w:cs="Arial"/>
          <w:b/>
          <w:color w:val="000000" w:themeColor="text1"/>
          <w:lang w:val="es-ES"/>
        </w:rPr>
        <w:t xml:space="preserve">SUJETO OBLIGADO </w:t>
      </w:r>
      <w:r w:rsidRPr="00D06747">
        <w:rPr>
          <w:rFonts w:ascii="Palatino Linotype" w:eastAsia="Calibri" w:hAnsi="Palatino Linotype" w:cs="Arial"/>
          <w:color w:val="000000" w:themeColor="text1"/>
          <w:lang w:val="es-ES"/>
        </w:rPr>
        <w:t xml:space="preserve">giro el requerimiento de información para fuera atendida la solicitud de información </w:t>
      </w:r>
      <w:r w:rsidRPr="00D06747">
        <w:rPr>
          <w:rFonts w:ascii="Palatino Linotype" w:eastAsia="Calibri" w:hAnsi="Palatino Linotype" w:cs="Arial"/>
          <w:b/>
          <w:bCs/>
          <w:color w:val="000000" w:themeColor="text1"/>
        </w:rPr>
        <w:t xml:space="preserve">00071/MEXICAL/IP/2025. </w:t>
      </w:r>
    </w:p>
    <w:p w:rsidR="0011578A" w:rsidRPr="00D06747" w:rsidRDefault="0011578A" w:rsidP="0011578A">
      <w:pPr>
        <w:pStyle w:val="Prrafodelista"/>
        <w:spacing w:line="360" w:lineRule="auto"/>
        <w:ind w:left="0"/>
        <w:jc w:val="both"/>
        <w:rPr>
          <w:rFonts w:ascii="Palatino Linotype" w:eastAsia="Calibri" w:hAnsi="Palatino Linotype" w:cs="Arial"/>
          <w:i/>
          <w:color w:val="000000" w:themeColor="text1"/>
          <w:lang w:val="es-ES"/>
        </w:rPr>
      </w:pPr>
    </w:p>
    <w:p w:rsidR="0011578A" w:rsidRPr="00D06747" w:rsidRDefault="0011578A" w:rsidP="0011578A">
      <w:pPr>
        <w:pStyle w:val="Prrafodelista"/>
        <w:numPr>
          <w:ilvl w:val="0"/>
          <w:numId w:val="1"/>
        </w:numPr>
        <w:spacing w:line="360" w:lineRule="auto"/>
        <w:ind w:left="0" w:firstLine="0"/>
        <w:jc w:val="both"/>
        <w:rPr>
          <w:rFonts w:ascii="Palatino Linotype" w:eastAsia="Calibri" w:hAnsi="Palatino Linotype" w:cs="Arial"/>
          <w:i/>
          <w:color w:val="000000" w:themeColor="text1"/>
          <w:lang w:val="es-ES"/>
        </w:rPr>
      </w:pPr>
      <w:r w:rsidRPr="00D06747">
        <w:rPr>
          <w:rFonts w:ascii="Palatino Linotype" w:hAnsi="Palatino Linotype" w:cs="Arial"/>
          <w:color w:val="000000" w:themeColor="text1"/>
          <w:lang w:val="es-ES"/>
        </w:rPr>
        <w:t xml:space="preserve">En fecha </w:t>
      </w:r>
      <w:r w:rsidRPr="00D06747">
        <w:rPr>
          <w:rFonts w:ascii="Palatino Linotype" w:hAnsi="Palatino Linotype" w:cs="Arial"/>
          <w:b/>
          <w:bCs/>
          <w:color w:val="000000" w:themeColor="text1"/>
          <w:lang w:val="es-ES"/>
        </w:rPr>
        <w:t>veintiséis de febrero de dos mil veinticinco</w:t>
      </w:r>
      <w:r w:rsidRPr="00D06747">
        <w:rPr>
          <w:rFonts w:ascii="Palatino Linotype" w:hAnsi="Palatino Linotype" w:cs="Arial"/>
          <w:color w:val="000000" w:themeColor="text1"/>
          <w:lang w:val="es-ES"/>
        </w:rPr>
        <w:t xml:space="preserve">, el </w:t>
      </w:r>
      <w:r w:rsidRPr="00D06747">
        <w:rPr>
          <w:rFonts w:ascii="Palatino Linotype" w:hAnsi="Palatino Linotype" w:cs="Arial"/>
          <w:b/>
          <w:color w:val="000000" w:themeColor="text1"/>
          <w:lang w:val="es-ES"/>
        </w:rPr>
        <w:t>SUJETO OBLIGADO</w:t>
      </w:r>
      <w:r w:rsidRPr="00D06747">
        <w:rPr>
          <w:rFonts w:ascii="Palatino Linotype" w:hAnsi="Palatino Linotype" w:cs="Arial"/>
          <w:color w:val="000000" w:themeColor="text1"/>
          <w:lang w:val="es-ES"/>
        </w:rPr>
        <w:t xml:space="preserve"> por medio del Sistema de Acceso a la Información, refirió lo siguiente. </w:t>
      </w:r>
    </w:p>
    <w:p w:rsidR="0011578A" w:rsidRPr="00D06747" w:rsidRDefault="0011578A" w:rsidP="0011578A">
      <w:pPr>
        <w:pStyle w:val="Prrafodelista"/>
        <w:spacing w:line="360" w:lineRule="auto"/>
        <w:ind w:left="0"/>
        <w:jc w:val="both"/>
        <w:rPr>
          <w:rFonts w:ascii="Palatino Linotype" w:eastAsia="Calibri" w:hAnsi="Palatino Linotype" w:cs="Arial"/>
          <w:i/>
          <w:color w:val="000000" w:themeColor="text1"/>
          <w:lang w:val="es-ES"/>
        </w:rPr>
      </w:pPr>
    </w:p>
    <w:tbl>
      <w:tblPr>
        <w:tblW w:w="10348" w:type="dxa"/>
        <w:jc w:val="center"/>
        <w:tblCellSpacing w:w="0" w:type="dxa"/>
        <w:tblLayout w:type="fixed"/>
        <w:tblCellMar>
          <w:left w:w="0" w:type="dxa"/>
          <w:right w:w="0" w:type="dxa"/>
        </w:tblCellMar>
        <w:tblLook w:val="04A0" w:firstRow="1" w:lastRow="0" w:firstColumn="1" w:lastColumn="0" w:noHBand="0" w:noVBand="1"/>
      </w:tblPr>
      <w:tblGrid>
        <w:gridCol w:w="10348"/>
      </w:tblGrid>
      <w:tr w:rsidR="007800FB" w:rsidRPr="00D06747" w:rsidTr="007800FB">
        <w:trPr>
          <w:trHeight w:val="284"/>
          <w:tblCellSpacing w:w="0" w:type="dxa"/>
          <w:jc w:val="center"/>
        </w:trPr>
        <w:tc>
          <w:tcPr>
            <w:tcW w:w="10348" w:type="dxa"/>
            <w:vAlign w:val="center"/>
            <w:hideMark/>
          </w:tcPr>
          <w:p w:rsidR="0011578A" w:rsidRPr="00D06747" w:rsidRDefault="0011578A" w:rsidP="0011578A">
            <w:pPr>
              <w:jc w:val="right"/>
              <w:rPr>
                <w:rFonts w:ascii="Palatino Linotype" w:eastAsia="Times New Roman" w:hAnsi="Palatino Linotype" w:cs="Times New Roman"/>
                <w:color w:val="000000" w:themeColor="text1"/>
                <w:lang w:val="es-MX" w:eastAsia="es-MX"/>
              </w:rPr>
            </w:pPr>
            <w:r w:rsidRPr="00D06747">
              <w:rPr>
                <w:rFonts w:ascii="Palatino Linotype" w:eastAsia="Times New Roman" w:hAnsi="Palatino Linotype" w:cs="Times New Roman"/>
                <w:color w:val="000000" w:themeColor="text1"/>
                <w:lang w:val="es-MX" w:eastAsia="es-MX"/>
              </w:rPr>
              <w:t>Mexicaltzingo, México a 26 de Febrero de 2025</w:t>
            </w:r>
          </w:p>
        </w:tc>
      </w:tr>
      <w:tr w:rsidR="007800FB" w:rsidRPr="00D06747" w:rsidTr="007800FB">
        <w:trPr>
          <w:trHeight w:val="284"/>
          <w:tblCellSpacing w:w="0" w:type="dxa"/>
          <w:jc w:val="center"/>
        </w:trPr>
        <w:tc>
          <w:tcPr>
            <w:tcW w:w="10348" w:type="dxa"/>
            <w:vAlign w:val="center"/>
            <w:hideMark/>
          </w:tcPr>
          <w:p w:rsidR="0011578A" w:rsidRPr="00D06747" w:rsidRDefault="0011578A" w:rsidP="0011578A">
            <w:pPr>
              <w:jc w:val="right"/>
              <w:rPr>
                <w:rFonts w:ascii="Palatino Linotype" w:eastAsia="Times New Roman" w:hAnsi="Palatino Linotype" w:cs="Times New Roman"/>
                <w:color w:val="000000" w:themeColor="text1"/>
                <w:lang w:val="es-MX" w:eastAsia="es-MX"/>
              </w:rPr>
            </w:pPr>
            <w:r w:rsidRPr="00D06747">
              <w:rPr>
                <w:rFonts w:ascii="Palatino Linotype" w:eastAsia="Times New Roman" w:hAnsi="Palatino Linotype" w:cs="Times New Roman"/>
                <w:color w:val="000000" w:themeColor="text1"/>
                <w:lang w:val="es-MX" w:eastAsia="es-MX"/>
              </w:rPr>
              <w:t>Nombre del solicitante: C. Solicitante</w:t>
            </w:r>
          </w:p>
        </w:tc>
      </w:tr>
      <w:tr w:rsidR="007800FB" w:rsidRPr="00D06747" w:rsidTr="007800FB">
        <w:trPr>
          <w:trHeight w:val="284"/>
          <w:tblCellSpacing w:w="0" w:type="dxa"/>
          <w:jc w:val="center"/>
        </w:trPr>
        <w:tc>
          <w:tcPr>
            <w:tcW w:w="10348" w:type="dxa"/>
            <w:vAlign w:val="center"/>
            <w:hideMark/>
          </w:tcPr>
          <w:p w:rsidR="0011578A" w:rsidRPr="00D06747" w:rsidRDefault="0011578A" w:rsidP="0011578A">
            <w:pPr>
              <w:jc w:val="right"/>
              <w:rPr>
                <w:rFonts w:ascii="Palatino Linotype" w:eastAsia="Times New Roman" w:hAnsi="Palatino Linotype" w:cs="Times New Roman"/>
                <w:color w:val="000000" w:themeColor="text1"/>
                <w:lang w:val="es-MX" w:eastAsia="es-MX"/>
              </w:rPr>
            </w:pPr>
            <w:r w:rsidRPr="00D06747">
              <w:rPr>
                <w:rFonts w:ascii="Palatino Linotype" w:eastAsia="Times New Roman" w:hAnsi="Palatino Linotype" w:cs="Times New Roman"/>
                <w:color w:val="000000" w:themeColor="text1"/>
                <w:lang w:val="es-MX" w:eastAsia="es-MX"/>
              </w:rPr>
              <w:t>Folio de la solicitud: 00071/MEXICAL/IP/2025</w:t>
            </w:r>
          </w:p>
        </w:tc>
      </w:tr>
      <w:tr w:rsidR="007800FB" w:rsidRPr="00D06747" w:rsidTr="007800FB">
        <w:trPr>
          <w:trHeight w:val="426"/>
          <w:tblCellSpacing w:w="0" w:type="dxa"/>
          <w:jc w:val="center"/>
        </w:trPr>
        <w:tc>
          <w:tcPr>
            <w:tcW w:w="10348" w:type="dxa"/>
            <w:vAlign w:val="center"/>
            <w:hideMark/>
          </w:tcPr>
          <w:p w:rsidR="0011578A" w:rsidRPr="00D06747" w:rsidRDefault="0011578A" w:rsidP="0011578A">
            <w:pPr>
              <w:jc w:val="right"/>
              <w:rPr>
                <w:rFonts w:ascii="Palatino Linotype" w:eastAsia="Times New Roman" w:hAnsi="Palatino Linotype" w:cs="Times New Roman"/>
                <w:color w:val="000000" w:themeColor="text1"/>
                <w:lang w:val="es-MX" w:eastAsia="es-MX"/>
              </w:rPr>
            </w:pPr>
          </w:p>
        </w:tc>
      </w:tr>
      <w:tr w:rsidR="007800FB" w:rsidRPr="00D06747" w:rsidTr="007800FB">
        <w:trPr>
          <w:trHeight w:val="142"/>
          <w:tblCellSpacing w:w="0" w:type="dxa"/>
          <w:jc w:val="center"/>
        </w:trPr>
        <w:tc>
          <w:tcPr>
            <w:tcW w:w="10348" w:type="dxa"/>
            <w:vAlign w:val="center"/>
            <w:hideMark/>
          </w:tcPr>
          <w:p w:rsidR="0011578A" w:rsidRPr="00D06747" w:rsidRDefault="0011578A" w:rsidP="0011578A">
            <w:pPr>
              <w:rPr>
                <w:rFonts w:ascii="Palatino Linotype" w:eastAsia="Times New Roman" w:hAnsi="Palatino Linotype" w:cs="Times New Roman"/>
                <w:color w:val="000000" w:themeColor="text1"/>
                <w:lang w:val="es-MX" w:eastAsia="es-MX"/>
              </w:rPr>
            </w:pPr>
            <w:r w:rsidRPr="00D06747">
              <w:rPr>
                <w:rFonts w:ascii="Palatino Linotype" w:eastAsia="Times New Roman" w:hAnsi="Palatino Linotype" w:cs="Times New Roman"/>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7800FB" w:rsidRPr="00D06747" w:rsidTr="007800FB">
        <w:trPr>
          <w:trHeight w:val="355"/>
          <w:tblCellSpacing w:w="0" w:type="dxa"/>
          <w:jc w:val="center"/>
        </w:trPr>
        <w:tc>
          <w:tcPr>
            <w:tcW w:w="10348" w:type="dxa"/>
            <w:vAlign w:val="center"/>
            <w:hideMark/>
          </w:tcPr>
          <w:p w:rsidR="0011578A" w:rsidRPr="00D06747" w:rsidRDefault="0011578A" w:rsidP="0011578A">
            <w:pPr>
              <w:rPr>
                <w:rFonts w:ascii="Palatino Linotype" w:eastAsia="Times New Roman" w:hAnsi="Palatino Linotype" w:cs="Times New Roman"/>
                <w:color w:val="000000" w:themeColor="text1"/>
                <w:lang w:val="es-MX" w:eastAsia="es-MX"/>
              </w:rPr>
            </w:pPr>
          </w:p>
        </w:tc>
      </w:tr>
      <w:tr w:rsidR="007800FB" w:rsidRPr="00D06747" w:rsidTr="007800FB">
        <w:trPr>
          <w:trHeight w:val="142"/>
          <w:tblCellSpacing w:w="0" w:type="dxa"/>
          <w:jc w:val="center"/>
        </w:trPr>
        <w:tc>
          <w:tcPr>
            <w:tcW w:w="10348" w:type="dxa"/>
            <w:vAlign w:val="center"/>
            <w:hideMark/>
          </w:tcPr>
          <w:p w:rsidR="0011578A" w:rsidRPr="00D06747" w:rsidRDefault="0011578A" w:rsidP="0011578A">
            <w:pPr>
              <w:rPr>
                <w:rFonts w:ascii="Palatino Linotype" w:eastAsia="Times New Roman" w:hAnsi="Palatino Linotype" w:cs="Times New Roman"/>
                <w:color w:val="000000" w:themeColor="text1"/>
                <w:lang w:val="es-MX" w:eastAsia="es-MX"/>
              </w:rPr>
            </w:pPr>
            <w:r w:rsidRPr="00D06747">
              <w:rPr>
                <w:rFonts w:ascii="Palatino Linotype" w:eastAsia="Times New Roman" w:hAnsi="Palatino Linotype" w:cs="Times New Roman"/>
                <w:color w:val="000000" w:themeColor="text1"/>
                <w:lang w:val="es-MX" w:eastAsia="es-MX"/>
              </w:rPr>
              <w:t xml:space="preserve">Comparto liga de acceso a la página del Periódico Oficial "Gaceta del Gobierno", misma donde se publicaron las Caratulas de Presupuesto de Ingresos y Egresos para el ejercicio 2025 del Municipio de Mexicaltzingo. </w:t>
            </w:r>
            <w:hyperlink r:id="rId7" w:history="1">
              <w:r w:rsidRPr="00D06747">
                <w:rPr>
                  <w:rStyle w:val="Hipervnculo"/>
                  <w:rFonts w:ascii="Palatino Linotype" w:eastAsia="Times New Roman" w:hAnsi="Palatino Linotype" w:cs="Times New Roman"/>
                  <w:color w:val="000000" w:themeColor="text1"/>
                  <w:lang w:val="es-MX" w:eastAsia="es-MX"/>
                </w:rPr>
                <w:t>https://legislacion.edomex.gob.mx/sites/legislacion.edomex.gob.mx/files/files/pdf/gct/2025/febrero/feb251/feb251g.pdf</w:t>
              </w:r>
            </w:hyperlink>
            <w:r w:rsidRPr="00D06747">
              <w:rPr>
                <w:rFonts w:ascii="Palatino Linotype" w:eastAsia="Times New Roman" w:hAnsi="Palatino Linotype" w:cs="Times New Roman"/>
                <w:color w:val="000000" w:themeColor="text1"/>
                <w:lang w:val="es-MX" w:eastAsia="es-MX"/>
              </w:rPr>
              <w:t xml:space="preserve"> </w:t>
            </w:r>
          </w:p>
        </w:tc>
      </w:tr>
      <w:tr w:rsidR="007800FB" w:rsidRPr="00D06747" w:rsidTr="007800FB">
        <w:trPr>
          <w:trHeight w:val="355"/>
          <w:tblCellSpacing w:w="0" w:type="dxa"/>
          <w:jc w:val="center"/>
        </w:trPr>
        <w:tc>
          <w:tcPr>
            <w:tcW w:w="10348" w:type="dxa"/>
            <w:vAlign w:val="center"/>
            <w:hideMark/>
          </w:tcPr>
          <w:p w:rsidR="0011578A" w:rsidRPr="00D06747" w:rsidRDefault="0011578A" w:rsidP="0011578A">
            <w:pPr>
              <w:rPr>
                <w:rFonts w:ascii="Palatino Linotype" w:eastAsia="Times New Roman" w:hAnsi="Palatino Linotype" w:cs="Times New Roman"/>
                <w:color w:val="000000" w:themeColor="text1"/>
                <w:lang w:val="es-MX" w:eastAsia="es-MX"/>
              </w:rPr>
            </w:pPr>
          </w:p>
        </w:tc>
      </w:tr>
      <w:tr w:rsidR="007800FB" w:rsidRPr="00D06747" w:rsidTr="007800FB">
        <w:trPr>
          <w:trHeight w:val="142"/>
          <w:tblCellSpacing w:w="0" w:type="dxa"/>
          <w:jc w:val="center"/>
        </w:trPr>
        <w:tc>
          <w:tcPr>
            <w:tcW w:w="10348" w:type="dxa"/>
            <w:vAlign w:val="center"/>
            <w:hideMark/>
          </w:tcPr>
          <w:p w:rsidR="0011578A" w:rsidRPr="00D06747" w:rsidRDefault="0011578A" w:rsidP="0011578A">
            <w:pPr>
              <w:jc w:val="center"/>
              <w:rPr>
                <w:rFonts w:ascii="Palatino Linotype" w:eastAsia="Times New Roman" w:hAnsi="Palatino Linotype" w:cs="Times New Roman"/>
                <w:color w:val="000000" w:themeColor="text1"/>
                <w:lang w:val="es-MX" w:eastAsia="es-MX"/>
              </w:rPr>
            </w:pPr>
          </w:p>
        </w:tc>
      </w:tr>
      <w:tr w:rsidR="007800FB" w:rsidRPr="00D06747" w:rsidTr="007800FB">
        <w:trPr>
          <w:trHeight w:val="142"/>
          <w:tblCellSpacing w:w="0" w:type="dxa"/>
          <w:jc w:val="center"/>
        </w:trPr>
        <w:tc>
          <w:tcPr>
            <w:tcW w:w="10348" w:type="dxa"/>
            <w:vAlign w:val="center"/>
            <w:hideMark/>
          </w:tcPr>
          <w:p w:rsidR="0011578A" w:rsidRPr="00D06747" w:rsidRDefault="0011578A" w:rsidP="0011578A">
            <w:pPr>
              <w:rPr>
                <w:rFonts w:ascii="Palatino Linotype" w:eastAsia="Times New Roman" w:hAnsi="Palatino Linotype" w:cs="Times New Roman"/>
                <w:color w:val="000000" w:themeColor="text1"/>
                <w:lang w:val="es-MX" w:eastAsia="es-MX"/>
              </w:rPr>
            </w:pPr>
          </w:p>
        </w:tc>
      </w:tr>
      <w:tr w:rsidR="007800FB" w:rsidRPr="00D06747" w:rsidTr="007800FB">
        <w:trPr>
          <w:trHeight w:val="142"/>
          <w:tblCellSpacing w:w="0" w:type="dxa"/>
          <w:jc w:val="center"/>
        </w:trPr>
        <w:tc>
          <w:tcPr>
            <w:tcW w:w="10348" w:type="dxa"/>
            <w:vAlign w:val="center"/>
            <w:hideMark/>
          </w:tcPr>
          <w:p w:rsidR="0011578A" w:rsidRPr="00D06747" w:rsidRDefault="0011578A" w:rsidP="0011578A">
            <w:pPr>
              <w:rPr>
                <w:rFonts w:ascii="Palatino Linotype" w:eastAsia="Times New Roman" w:hAnsi="Palatino Linotype" w:cs="Times New Roman"/>
                <w:color w:val="000000" w:themeColor="text1"/>
                <w:lang w:val="es-MX" w:eastAsia="es-MX"/>
              </w:rPr>
            </w:pPr>
            <w:r w:rsidRPr="00D06747">
              <w:rPr>
                <w:rFonts w:ascii="Palatino Linotype" w:eastAsia="Times New Roman" w:hAnsi="Palatino Linotype" w:cs="Times New Roman"/>
                <w:color w:val="000000" w:themeColor="text1"/>
                <w:lang w:val="es-MX" w:eastAsia="es-MX"/>
              </w:rPr>
              <w:t>ATENTAMENTE</w:t>
            </w:r>
          </w:p>
        </w:tc>
      </w:tr>
      <w:tr w:rsidR="007800FB" w:rsidRPr="00D06747" w:rsidTr="007800FB">
        <w:trPr>
          <w:trHeight w:val="213"/>
          <w:tblCellSpacing w:w="0" w:type="dxa"/>
          <w:jc w:val="center"/>
        </w:trPr>
        <w:tc>
          <w:tcPr>
            <w:tcW w:w="10348" w:type="dxa"/>
            <w:vAlign w:val="center"/>
            <w:hideMark/>
          </w:tcPr>
          <w:p w:rsidR="0011578A" w:rsidRPr="00D06747" w:rsidRDefault="0011578A" w:rsidP="0011578A">
            <w:pPr>
              <w:rPr>
                <w:rFonts w:ascii="Palatino Linotype" w:eastAsia="Times New Roman" w:hAnsi="Palatino Linotype" w:cs="Times New Roman"/>
                <w:color w:val="000000" w:themeColor="text1"/>
                <w:lang w:val="es-MX" w:eastAsia="es-MX"/>
              </w:rPr>
            </w:pPr>
          </w:p>
        </w:tc>
      </w:tr>
      <w:tr w:rsidR="007800FB" w:rsidRPr="00D06747" w:rsidTr="007800FB">
        <w:trPr>
          <w:trHeight w:val="142"/>
          <w:tblCellSpacing w:w="0" w:type="dxa"/>
          <w:jc w:val="center"/>
        </w:trPr>
        <w:tc>
          <w:tcPr>
            <w:tcW w:w="10348" w:type="dxa"/>
            <w:vAlign w:val="center"/>
            <w:hideMark/>
          </w:tcPr>
          <w:p w:rsidR="0011578A" w:rsidRPr="00D06747" w:rsidRDefault="0011578A" w:rsidP="0011578A">
            <w:pPr>
              <w:rPr>
                <w:rFonts w:ascii="Palatino Linotype" w:eastAsia="Times New Roman" w:hAnsi="Palatino Linotype" w:cs="Times New Roman"/>
                <w:color w:val="000000" w:themeColor="text1"/>
                <w:lang w:val="es-MX" w:eastAsia="es-MX"/>
              </w:rPr>
            </w:pPr>
            <w:r w:rsidRPr="00D06747">
              <w:rPr>
                <w:rFonts w:ascii="Palatino Linotype" w:eastAsia="Times New Roman" w:hAnsi="Palatino Linotype" w:cs="Times New Roman"/>
                <w:color w:val="000000" w:themeColor="text1"/>
                <w:lang w:val="es-MX" w:eastAsia="es-MX"/>
              </w:rPr>
              <w:t>C. Bertha López Sánchez</w:t>
            </w:r>
          </w:p>
        </w:tc>
      </w:tr>
    </w:tbl>
    <w:p w:rsidR="0011578A" w:rsidRPr="00D06747" w:rsidRDefault="0011578A" w:rsidP="0011578A">
      <w:pPr>
        <w:pStyle w:val="Prrafodelista"/>
        <w:tabs>
          <w:tab w:val="left" w:pos="0"/>
        </w:tabs>
        <w:spacing w:line="360" w:lineRule="auto"/>
        <w:ind w:left="360" w:right="49"/>
        <w:jc w:val="both"/>
        <w:rPr>
          <w:rFonts w:ascii="Palatino Linotype" w:hAnsi="Palatino Linotype" w:cs="Arial"/>
          <w:color w:val="000000" w:themeColor="text1"/>
          <w:lang w:val="es-ES"/>
        </w:rPr>
      </w:pPr>
    </w:p>
    <w:p w:rsidR="0011578A" w:rsidRPr="00D06747" w:rsidRDefault="0011578A" w:rsidP="0011578A">
      <w:pPr>
        <w:pStyle w:val="Prrafodelista"/>
        <w:numPr>
          <w:ilvl w:val="0"/>
          <w:numId w:val="1"/>
        </w:numPr>
        <w:spacing w:line="360" w:lineRule="auto"/>
        <w:ind w:left="0" w:firstLine="0"/>
        <w:jc w:val="both"/>
        <w:rPr>
          <w:rFonts w:ascii="Palatino Linotype" w:hAnsi="Palatino Linotype" w:cs="Arial"/>
          <w:i/>
          <w:color w:val="000000" w:themeColor="text1"/>
        </w:rPr>
      </w:pPr>
      <w:r w:rsidRPr="00D06747">
        <w:rPr>
          <w:rFonts w:ascii="Palatino Linotype" w:hAnsi="Palatino Linotype" w:cs="Arial"/>
          <w:color w:val="000000" w:themeColor="text1"/>
          <w:lang w:val="es-ES"/>
        </w:rPr>
        <w:t xml:space="preserve">De la respuesta emitida por el </w:t>
      </w:r>
      <w:r w:rsidRPr="00D06747">
        <w:rPr>
          <w:rFonts w:ascii="Palatino Linotype" w:hAnsi="Palatino Linotype" w:cs="Arial"/>
          <w:b/>
          <w:color w:val="000000" w:themeColor="text1"/>
          <w:lang w:val="es-ES"/>
        </w:rPr>
        <w:t xml:space="preserve"> SUJETO OBLIGADO, </w:t>
      </w:r>
      <w:r w:rsidRPr="00D06747">
        <w:rPr>
          <w:rFonts w:ascii="Palatino Linotype" w:hAnsi="Palatino Linotype" w:cs="Arial"/>
          <w:color w:val="000000" w:themeColor="text1"/>
          <w:lang w:val="es-ES"/>
        </w:rPr>
        <w:t xml:space="preserve">en fecha </w:t>
      </w:r>
      <w:r w:rsidRPr="00D06747">
        <w:rPr>
          <w:rFonts w:ascii="Palatino Linotype" w:hAnsi="Palatino Linotype" w:cs="Arial"/>
          <w:b/>
          <w:color w:val="000000" w:themeColor="text1"/>
          <w:lang w:val="es-ES"/>
        </w:rPr>
        <w:t>dieciséis de marzo de dos mil veinticinco</w:t>
      </w:r>
      <w:r w:rsidRPr="00D06747">
        <w:rPr>
          <w:rFonts w:ascii="Palatino Linotype" w:hAnsi="Palatino Linotype" w:cs="Arial"/>
          <w:color w:val="000000" w:themeColor="text1"/>
          <w:lang w:val="es-ES"/>
        </w:rPr>
        <w:t>, el particular interpuso el recurso de revisión en contra de la respuesta, manifestando las siguientes razones o motivos de inconformidad:</w:t>
      </w:r>
    </w:p>
    <w:p w:rsidR="0011578A" w:rsidRPr="00D06747" w:rsidRDefault="0011578A" w:rsidP="0011578A">
      <w:pPr>
        <w:pStyle w:val="Prrafodelista"/>
        <w:tabs>
          <w:tab w:val="left" w:pos="0"/>
        </w:tabs>
        <w:spacing w:line="360" w:lineRule="auto"/>
        <w:ind w:left="0" w:right="49"/>
        <w:jc w:val="both"/>
        <w:rPr>
          <w:rFonts w:ascii="Palatino Linotype" w:hAnsi="Palatino Linotype" w:cs="Arial"/>
          <w:i/>
          <w:color w:val="000000" w:themeColor="text1"/>
        </w:rPr>
      </w:pPr>
    </w:p>
    <w:p w:rsidR="0011578A" w:rsidRPr="00D06747" w:rsidRDefault="0011578A" w:rsidP="0011578A">
      <w:pPr>
        <w:pStyle w:val="Prrafodelista"/>
        <w:numPr>
          <w:ilvl w:val="0"/>
          <w:numId w:val="2"/>
        </w:numPr>
        <w:spacing w:line="360" w:lineRule="auto"/>
        <w:ind w:left="993"/>
        <w:jc w:val="both"/>
        <w:rPr>
          <w:rStyle w:val="Ttulo2Car"/>
          <w:rFonts w:ascii="Palatino Linotype" w:hAnsi="Palatino Linotype"/>
          <w:i/>
          <w:color w:val="000000" w:themeColor="text1"/>
          <w:sz w:val="24"/>
          <w:szCs w:val="24"/>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D06747">
        <w:rPr>
          <w:rStyle w:val="Ttulo2Car"/>
          <w:rFonts w:ascii="Palatino Linotype" w:hAnsi="Palatino Linotype"/>
          <w:b/>
          <w:color w:val="000000" w:themeColor="text1"/>
          <w:sz w:val="24"/>
          <w:szCs w:val="24"/>
        </w:rPr>
        <w:lastRenderedPageBreak/>
        <w:t>Acto impugnado</w:t>
      </w:r>
      <w:bookmarkEnd w:id="4"/>
      <w:r w:rsidRPr="00D06747">
        <w:rPr>
          <w:rStyle w:val="Ttulo2Car"/>
          <w:rFonts w:ascii="Palatino Linotype" w:hAnsi="Palatino Linotype"/>
          <w:b/>
          <w:color w:val="000000" w:themeColor="text1"/>
          <w:sz w:val="24"/>
          <w:szCs w:val="24"/>
        </w:rPr>
        <w:t xml:space="preserve">: </w:t>
      </w:r>
      <w:r w:rsidRPr="00D06747">
        <w:rPr>
          <w:rStyle w:val="Ttulo2Car"/>
          <w:rFonts w:ascii="Palatino Linotype" w:hAnsi="Palatino Linotype"/>
          <w:i/>
          <w:color w:val="000000" w:themeColor="text1"/>
          <w:sz w:val="24"/>
          <w:szCs w:val="24"/>
        </w:rPr>
        <w:t>“</w:t>
      </w:r>
      <w:bookmarkEnd w:id="5"/>
      <w:bookmarkEnd w:id="6"/>
      <w:bookmarkEnd w:id="7"/>
      <w:bookmarkEnd w:id="8"/>
      <w:bookmarkEnd w:id="9"/>
      <w:bookmarkEnd w:id="10"/>
      <w:bookmarkEnd w:id="11"/>
      <w:r w:rsidRPr="00D06747">
        <w:rPr>
          <w:rFonts w:ascii="Palatino Linotype" w:eastAsiaTheme="majorEastAsia" w:hAnsi="Palatino Linotype" w:cstheme="majorBidi"/>
          <w:i/>
          <w:color w:val="000000" w:themeColor="text1"/>
        </w:rPr>
        <w:t>OCULTAN LA INFORMACION VERDADERA.</w:t>
      </w:r>
      <w:r w:rsidRPr="00D06747">
        <w:rPr>
          <w:rStyle w:val="Ttulo2Car"/>
          <w:rFonts w:ascii="Palatino Linotype" w:hAnsi="Palatino Linotype"/>
          <w:i/>
          <w:color w:val="000000" w:themeColor="text1"/>
          <w:sz w:val="24"/>
          <w:szCs w:val="24"/>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11578A" w:rsidRPr="00D06747" w:rsidRDefault="0011578A" w:rsidP="0011578A">
      <w:pPr>
        <w:pStyle w:val="Prrafodelista"/>
        <w:spacing w:line="360" w:lineRule="auto"/>
        <w:ind w:left="1134"/>
        <w:jc w:val="both"/>
        <w:rPr>
          <w:rStyle w:val="Ttulo2Car"/>
          <w:rFonts w:ascii="Palatino Linotype" w:hAnsi="Palatino Linotype"/>
          <w:i/>
          <w:color w:val="000000" w:themeColor="text1"/>
          <w:sz w:val="24"/>
          <w:szCs w:val="24"/>
        </w:rPr>
      </w:pPr>
    </w:p>
    <w:p w:rsidR="0011578A" w:rsidRPr="00D06747" w:rsidRDefault="0011578A" w:rsidP="0011578A">
      <w:pPr>
        <w:pStyle w:val="Prrafodelista"/>
        <w:numPr>
          <w:ilvl w:val="0"/>
          <w:numId w:val="2"/>
        </w:numPr>
        <w:spacing w:line="360" w:lineRule="auto"/>
        <w:ind w:left="993"/>
        <w:jc w:val="both"/>
        <w:rPr>
          <w:rFonts w:ascii="Palatino Linotype" w:hAnsi="Palatino Linotype"/>
          <w:i/>
          <w:color w:val="000000" w:themeColor="text1"/>
        </w:rPr>
      </w:pPr>
      <w:bookmarkStart w:id="128" w:name="_Toc53584977"/>
      <w:bookmarkStart w:id="129" w:name="_Toc60925404"/>
      <w:bookmarkStart w:id="130" w:name="_Toc81364834"/>
      <w:bookmarkStart w:id="131" w:name="_Toc81390611"/>
      <w:bookmarkStart w:id="132" w:name="_Toc82611034"/>
      <w:bookmarkStart w:id="133" w:name="_Toc83128577"/>
      <w:r w:rsidRPr="00D06747">
        <w:rPr>
          <w:rStyle w:val="Ttulo2Car"/>
          <w:rFonts w:ascii="Palatino Linotype" w:hAnsi="Palatino Linotype"/>
          <w:b/>
          <w:color w:val="000000" w:themeColor="text1"/>
          <w:sz w:val="24"/>
          <w:szCs w:val="24"/>
        </w:rPr>
        <w:t>Razones o Motivos de inconformidad:</w:t>
      </w:r>
      <w:bookmarkEnd w:id="69"/>
      <w:bookmarkEnd w:id="128"/>
      <w:bookmarkEnd w:id="129"/>
      <w:bookmarkEnd w:id="130"/>
      <w:bookmarkEnd w:id="131"/>
      <w:bookmarkEnd w:id="132"/>
      <w:bookmarkEnd w:id="133"/>
      <w:r w:rsidRPr="00D06747">
        <w:rPr>
          <w:rFonts w:ascii="Palatino Linotype" w:hAnsi="Palatino Linotype"/>
          <w:b/>
          <w:color w:val="000000" w:themeColor="text1"/>
        </w:rPr>
        <w:t xml:space="preserve"> </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D06747">
        <w:rPr>
          <w:rFonts w:ascii="Palatino Linotype" w:hAnsi="Palatino Linotype"/>
          <w:b/>
          <w:color w:val="000000" w:themeColor="text1"/>
        </w:rPr>
        <w:t>“</w:t>
      </w:r>
      <w:r w:rsidRPr="00D06747">
        <w:rPr>
          <w:rFonts w:ascii="Palatino Linotype" w:hAnsi="Palatino Linotype"/>
          <w:i/>
          <w:color w:val="000000" w:themeColor="text1"/>
        </w:rPr>
        <w:t>OCULTAN LA INFORMACION VERDADERA.”</w:t>
      </w:r>
    </w:p>
    <w:p w:rsidR="0011578A" w:rsidRPr="00D06747" w:rsidRDefault="0011578A" w:rsidP="0011578A">
      <w:pPr>
        <w:spacing w:line="360" w:lineRule="auto"/>
        <w:ind w:right="900"/>
        <w:jc w:val="both"/>
        <w:rPr>
          <w:rFonts w:ascii="Palatino Linotype" w:hAnsi="Palatino Linotype"/>
          <w:i/>
          <w:color w:val="000000" w:themeColor="text1"/>
        </w:rPr>
      </w:pPr>
    </w:p>
    <w:p w:rsidR="0011578A" w:rsidRPr="00D06747" w:rsidRDefault="0011578A" w:rsidP="0011578A">
      <w:pPr>
        <w:pStyle w:val="Prrafodelista"/>
        <w:numPr>
          <w:ilvl w:val="0"/>
          <w:numId w:val="1"/>
        </w:numPr>
        <w:spacing w:line="360" w:lineRule="auto"/>
        <w:ind w:left="0" w:firstLine="0"/>
        <w:jc w:val="both"/>
        <w:rPr>
          <w:rFonts w:ascii="Palatino Linotype" w:hAnsi="Palatino Linotype"/>
          <w:i/>
          <w:color w:val="000000" w:themeColor="text1"/>
        </w:rPr>
      </w:pPr>
      <w:r w:rsidRPr="00D06747">
        <w:rPr>
          <w:rFonts w:ascii="Palatino Linotype" w:eastAsia="Calibri" w:hAnsi="Palatino Linotype" w:cs="Arial"/>
          <w:color w:val="000000" w:themeColor="text1"/>
          <w:lang w:val="es-ES"/>
        </w:rPr>
        <w:t xml:space="preserve">La Comisionada Ponente con fundamento en lo dispuesto por el artículo 185 fracción II de la ley de la materia, a través del acuerdo de admisión de fecha </w:t>
      </w:r>
      <w:r w:rsidRPr="00D06747">
        <w:rPr>
          <w:rFonts w:ascii="Palatino Linotype" w:eastAsia="Calibri" w:hAnsi="Palatino Linotype" w:cs="Arial"/>
          <w:b/>
          <w:color w:val="000000" w:themeColor="text1"/>
          <w:lang w:val="es-ES"/>
        </w:rPr>
        <w:t>diecinueve de marzo de dos mil veinticinco</w:t>
      </w:r>
      <w:r w:rsidRPr="00D06747">
        <w:rPr>
          <w:rFonts w:ascii="Palatino Linotype" w:eastAsia="Calibri" w:hAnsi="Palatino Linotype" w:cs="Arial"/>
          <w:color w:val="000000" w:themeColor="text1"/>
          <w:lang w:val="es-ES"/>
        </w:rPr>
        <w:t xml:space="preserve">, puso a disposición de las partes el expediente electrónico </w:t>
      </w:r>
      <w:r w:rsidRPr="00D06747">
        <w:rPr>
          <w:rFonts w:ascii="Palatino Linotype" w:eastAsia="Calibri" w:hAnsi="Palatino Linotype" w:cs="Arial"/>
          <w:color w:val="000000" w:themeColor="text1"/>
        </w:rPr>
        <w:t xml:space="preserve">vía </w:t>
      </w:r>
      <w:r w:rsidRPr="00D06747">
        <w:rPr>
          <w:rFonts w:ascii="Palatino Linotype" w:eastAsia="Calibri" w:hAnsi="Palatino Linotype" w:cs="Arial"/>
          <w:b/>
          <w:color w:val="000000" w:themeColor="text1"/>
          <w:lang w:val="es-ES"/>
        </w:rPr>
        <w:t xml:space="preserve">SAIMEX </w:t>
      </w:r>
      <w:r w:rsidRPr="00D06747">
        <w:rPr>
          <w:rFonts w:ascii="Palatino Linotype" w:eastAsia="Calibri" w:hAnsi="Palatino Linotype" w:cs="Arial"/>
          <w:color w:val="000000" w:themeColor="text1"/>
          <w:lang w:val="es-ES"/>
        </w:rPr>
        <w:t xml:space="preserve">a efecto de que en un plazo máximo de siete días manifestaran lo que a su derecho conviniera, ofrecieran pruebas y alegatos según corresponda a los casos concretos, y el </w:t>
      </w:r>
      <w:r w:rsidRPr="00D06747">
        <w:rPr>
          <w:rFonts w:ascii="Palatino Linotype" w:eastAsia="Calibri" w:hAnsi="Palatino Linotype" w:cs="Arial"/>
          <w:b/>
          <w:color w:val="000000" w:themeColor="text1"/>
          <w:lang w:val="es-ES"/>
        </w:rPr>
        <w:t>SUJETO OBLIGADO</w:t>
      </w:r>
      <w:r w:rsidRPr="00D06747">
        <w:rPr>
          <w:rFonts w:ascii="Palatino Linotype" w:eastAsia="Calibri" w:hAnsi="Palatino Linotype" w:cs="Arial"/>
          <w:color w:val="000000" w:themeColor="text1"/>
          <w:lang w:val="es-ES"/>
        </w:rPr>
        <w:t xml:space="preserve"> presentará el Informe Justificado procedente.</w:t>
      </w:r>
    </w:p>
    <w:p w:rsidR="0011578A" w:rsidRPr="00D06747" w:rsidRDefault="0011578A" w:rsidP="0011578A">
      <w:pPr>
        <w:pStyle w:val="Prrafodelista"/>
        <w:spacing w:line="360" w:lineRule="auto"/>
        <w:ind w:left="0"/>
        <w:jc w:val="both"/>
        <w:rPr>
          <w:rFonts w:ascii="Palatino Linotype" w:hAnsi="Palatino Linotype"/>
          <w:i/>
          <w:color w:val="000000" w:themeColor="text1"/>
        </w:rPr>
      </w:pPr>
    </w:p>
    <w:p w:rsidR="0011578A" w:rsidRPr="00D06747" w:rsidRDefault="0011578A" w:rsidP="0011578A">
      <w:pPr>
        <w:pStyle w:val="Prrafodelista"/>
        <w:numPr>
          <w:ilvl w:val="0"/>
          <w:numId w:val="1"/>
        </w:numPr>
        <w:spacing w:line="360" w:lineRule="auto"/>
        <w:ind w:left="0" w:firstLine="0"/>
        <w:jc w:val="both"/>
        <w:rPr>
          <w:rFonts w:ascii="Palatino Linotype" w:hAnsi="Palatino Linotype"/>
          <w:color w:val="000000" w:themeColor="text1"/>
        </w:rPr>
      </w:pPr>
      <w:r w:rsidRPr="00D06747">
        <w:rPr>
          <w:rFonts w:ascii="Palatino Linotype" w:hAnsi="Palatino Linotype"/>
          <w:color w:val="000000" w:themeColor="text1"/>
        </w:rPr>
        <w:t xml:space="preserve">De lo anterior, en fecha </w:t>
      </w:r>
      <w:r w:rsidRPr="00D06747">
        <w:rPr>
          <w:rFonts w:ascii="Palatino Linotype" w:hAnsi="Palatino Linotype"/>
          <w:b/>
          <w:color w:val="000000" w:themeColor="text1"/>
        </w:rPr>
        <w:t xml:space="preserve">veintiséis de marzo de dos mil veinticinco, </w:t>
      </w:r>
      <w:r w:rsidRPr="00D06747">
        <w:rPr>
          <w:rFonts w:ascii="Palatino Linotype" w:hAnsi="Palatino Linotype"/>
          <w:color w:val="000000" w:themeColor="text1"/>
        </w:rPr>
        <w:t xml:space="preserve">el </w:t>
      </w:r>
      <w:r w:rsidRPr="00D06747">
        <w:rPr>
          <w:rFonts w:ascii="Palatino Linotype" w:hAnsi="Palatino Linotype"/>
          <w:b/>
          <w:color w:val="000000" w:themeColor="text1"/>
        </w:rPr>
        <w:t>SUJETO OBLIGADO</w:t>
      </w:r>
      <w:r w:rsidRPr="00D06747">
        <w:rPr>
          <w:rFonts w:ascii="Palatino Linotype" w:hAnsi="Palatino Linotype"/>
          <w:color w:val="000000" w:themeColor="text1"/>
        </w:rPr>
        <w:t xml:space="preserve"> rindió su informe justificado mediante un archivo electrónico en formato pdf, cuyo contenido grosso modo es el siguiente: </w:t>
      </w:r>
    </w:p>
    <w:p w:rsidR="0011578A" w:rsidRPr="00D06747" w:rsidRDefault="0011578A" w:rsidP="0011578A">
      <w:pPr>
        <w:pStyle w:val="Prrafodelista"/>
        <w:jc w:val="both"/>
        <w:rPr>
          <w:rFonts w:ascii="Palatino Linotype" w:hAnsi="Palatino Linotype"/>
          <w:i/>
          <w:color w:val="000000" w:themeColor="text1"/>
        </w:rPr>
      </w:pPr>
      <w:r w:rsidRPr="00D06747">
        <w:rPr>
          <w:rFonts w:ascii="Palatino Linotype" w:hAnsi="Palatino Linotype"/>
          <w:b/>
          <w:i/>
          <w:color w:val="000000" w:themeColor="text1"/>
        </w:rPr>
        <w:t xml:space="preserve">Ingresos y Egresos 2025 RR 03073-INFOEM-IP-RR-2025.pdf: </w:t>
      </w:r>
      <w:r w:rsidRPr="00D06747">
        <w:rPr>
          <w:rFonts w:ascii="Palatino Linotype" w:hAnsi="Palatino Linotype"/>
          <w:i/>
          <w:color w:val="000000" w:themeColor="text1"/>
        </w:rPr>
        <w:t>caratulas del presupuesto de egreso e ingresos del Ayuntamiento de Mexicaltzingo para el año 2025.</w:t>
      </w:r>
    </w:p>
    <w:p w:rsidR="0011578A" w:rsidRPr="00D06747" w:rsidRDefault="0011578A" w:rsidP="0011578A">
      <w:pPr>
        <w:pStyle w:val="Prrafodelista"/>
        <w:ind w:left="1134" w:right="900"/>
        <w:jc w:val="both"/>
        <w:rPr>
          <w:rFonts w:ascii="Palatino Linotype" w:hAnsi="Palatino Linotype"/>
          <w:b/>
          <w:color w:val="000000" w:themeColor="text1"/>
        </w:rPr>
      </w:pPr>
    </w:p>
    <w:p w:rsidR="0011578A" w:rsidRPr="00D06747" w:rsidRDefault="0011578A" w:rsidP="0011578A">
      <w:pPr>
        <w:pStyle w:val="Prrafodelista"/>
        <w:numPr>
          <w:ilvl w:val="0"/>
          <w:numId w:val="1"/>
        </w:numPr>
        <w:spacing w:line="360" w:lineRule="auto"/>
        <w:ind w:left="0" w:firstLine="0"/>
        <w:jc w:val="both"/>
        <w:rPr>
          <w:rFonts w:ascii="Palatino Linotype" w:hAnsi="Palatino Linotype"/>
          <w:color w:val="000000" w:themeColor="text1"/>
        </w:rPr>
      </w:pPr>
      <w:r w:rsidRPr="00D06747">
        <w:rPr>
          <w:rFonts w:ascii="Palatino Linotype" w:hAnsi="Palatino Linotype"/>
          <w:color w:val="000000" w:themeColor="text1"/>
        </w:rPr>
        <w:t xml:space="preserve">Por su parte </w:t>
      </w:r>
      <w:r w:rsidR="005272D6" w:rsidRPr="00D06747">
        <w:rPr>
          <w:rFonts w:ascii="Palatino Linotype" w:hAnsi="Palatino Linotype"/>
          <w:b/>
          <w:color w:val="000000" w:themeColor="text1"/>
        </w:rPr>
        <w:t>LA</w:t>
      </w:r>
      <w:r w:rsidRPr="00D06747">
        <w:rPr>
          <w:rFonts w:ascii="Palatino Linotype" w:hAnsi="Palatino Linotype"/>
          <w:b/>
          <w:color w:val="000000" w:themeColor="text1"/>
        </w:rPr>
        <w:t xml:space="preserve"> RECURRENTE </w:t>
      </w:r>
      <w:r w:rsidRPr="00D06747">
        <w:rPr>
          <w:rFonts w:ascii="Palatino Linotype" w:hAnsi="Palatino Linotype"/>
          <w:color w:val="000000" w:themeColor="text1"/>
        </w:rPr>
        <w:t xml:space="preserve">dejo de realizar </w:t>
      </w:r>
      <w:r w:rsidRPr="00D06747">
        <w:rPr>
          <w:rFonts w:ascii="Palatino Linotype" w:eastAsia="Calibri" w:hAnsi="Palatino Linotype" w:cs="Arial"/>
          <w:color w:val="000000" w:themeColor="text1"/>
          <w:lang w:val="es-ES"/>
        </w:rPr>
        <w:t>manifestaciones</w:t>
      </w:r>
      <w:r w:rsidRPr="00D06747">
        <w:rPr>
          <w:rFonts w:ascii="Palatino Linotype" w:hAnsi="Palatino Linotype"/>
          <w:color w:val="000000" w:themeColor="text1"/>
        </w:rPr>
        <w:t xml:space="preserve"> que a su derecho conviniera y asistiera.</w:t>
      </w:r>
    </w:p>
    <w:p w:rsidR="0011578A" w:rsidRPr="00D06747" w:rsidRDefault="0011578A" w:rsidP="0011578A">
      <w:pPr>
        <w:pStyle w:val="Prrafodelista"/>
        <w:spacing w:line="360" w:lineRule="auto"/>
        <w:jc w:val="both"/>
        <w:rPr>
          <w:rFonts w:ascii="Palatino Linotype" w:hAnsi="Palatino Linotype"/>
          <w:color w:val="000000" w:themeColor="text1"/>
        </w:rPr>
      </w:pPr>
    </w:p>
    <w:p w:rsidR="0011578A" w:rsidRPr="00D06747" w:rsidRDefault="0011578A" w:rsidP="0011578A">
      <w:pPr>
        <w:pStyle w:val="Prrafodelista"/>
        <w:numPr>
          <w:ilvl w:val="0"/>
          <w:numId w:val="1"/>
        </w:numPr>
        <w:spacing w:line="360" w:lineRule="auto"/>
        <w:ind w:left="0" w:firstLine="0"/>
        <w:jc w:val="both"/>
        <w:rPr>
          <w:rFonts w:ascii="Palatino Linotype" w:hAnsi="Palatino Linotype"/>
          <w:b/>
          <w:color w:val="000000" w:themeColor="text1"/>
        </w:rPr>
      </w:pPr>
      <w:r w:rsidRPr="00D06747">
        <w:rPr>
          <w:rFonts w:ascii="Palatino Linotype" w:hAnsi="Palatino Linotype"/>
          <w:color w:val="000000" w:themeColor="text1"/>
        </w:rPr>
        <w:lastRenderedPageBreak/>
        <w:t xml:space="preserve">Seguidamente, mediante acuerdo de fecha </w:t>
      </w:r>
      <w:r w:rsidRPr="00D06747">
        <w:rPr>
          <w:rFonts w:ascii="Palatino Linotype" w:hAnsi="Palatino Linotype"/>
          <w:b/>
          <w:bCs/>
          <w:color w:val="000000" w:themeColor="text1"/>
        </w:rPr>
        <w:t>nueve de abril de dos mil veinticinco,</w:t>
      </w:r>
      <w:r w:rsidRPr="00D06747">
        <w:rPr>
          <w:rFonts w:ascii="Palatino Linotype" w:hAnsi="Palatino Linotype"/>
          <w:color w:val="000000" w:themeColor="text1"/>
        </w:rPr>
        <w:t xml:space="preserve"> se  decretó el cierre de instrucción, </w:t>
      </w:r>
      <w:r w:rsidRPr="00D06747">
        <w:rPr>
          <w:rFonts w:ascii="Palatino Linotype" w:hAnsi="Palatino Linotype" w:cs="Arial"/>
          <w:color w:val="000000" w:themeColor="text1"/>
        </w:rPr>
        <w:t>por lo que no ha</w:t>
      </w:r>
      <w:bookmarkStart w:id="134" w:name="_Toc491791302"/>
      <w:bookmarkStart w:id="135" w:name="_Toc83128578"/>
      <w:r w:rsidRPr="00D06747">
        <w:rPr>
          <w:rFonts w:ascii="Palatino Linotype" w:hAnsi="Palatino Linotype" w:cs="Arial"/>
          <w:color w:val="000000" w:themeColor="text1"/>
        </w:rPr>
        <w:t>biendo más que hacer constar, y-----------------------------------------------------------------------------------------.</w:t>
      </w:r>
    </w:p>
    <w:p w:rsidR="0011578A" w:rsidRPr="00D06747" w:rsidRDefault="0011578A" w:rsidP="0011578A">
      <w:pPr>
        <w:pStyle w:val="Prrafodelista"/>
        <w:spacing w:line="360" w:lineRule="auto"/>
        <w:ind w:left="0"/>
        <w:jc w:val="center"/>
        <w:rPr>
          <w:rFonts w:ascii="Palatino Linotype" w:hAnsi="Palatino Linotype"/>
          <w:b/>
          <w:color w:val="000000" w:themeColor="text1"/>
        </w:rPr>
      </w:pPr>
    </w:p>
    <w:p w:rsidR="0011578A" w:rsidRPr="00D06747" w:rsidRDefault="0011578A" w:rsidP="0011578A">
      <w:pPr>
        <w:pStyle w:val="Prrafodelista"/>
        <w:spacing w:line="360" w:lineRule="auto"/>
        <w:ind w:left="0"/>
        <w:jc w:val="center"/>
        <w:rPr>
          <w:rFonts w:ascii="Palatino Linotype" w:hAnsi="Palatino Linotype"/>
          <w:b/>
          <w:color w:val="000000" w:themeColor="text1"/>
        </w:rPr>
      </w:pPr>
      <w:r w:rsidRPr="00D06747">
        <w:rPr>
          <w:rFonts w:ascii="Palatino Linotype" w:hAnsi="Palatino Linotype"/>
          <w:b/>
          <w:color w:val="000000" w:themeColor="text1"/>
        </w:rPr>
        <w:t>C</w:t>
      </w:r>
      <w:r w:rsidR="005272D6" w:rsidRPr="00D06747">
        <w:rPr>
          <w:rFonts w:ascii="Palatino Linotype" w:hAnsi="Palatino Linotype"/>
          <w:b/>
          <w:color w:val="000000" w:themeColor="text1"/>
        </w:rPr>
        <w:t xml:space="preserve"> </w:t>
      </w:r>
      <w:r w:rsidRPr="00D06747">
        <w:rPr>
          <w:rFonts w:ascii="Palatino Linotype" w:hAnsi="Palatino Linotype"/>
          <w:b/>
          <w:color w:val="000000" w:themeColor="text1"/>
        </w:rPr>
        <w:t>O</w:t>
      </w:r>
      <w:r w:rsidR="005272D6" w:rsidRPr="00D06747">
        <w:rPr>
          <w:rFonts w:ascii="Palatino Linotype" w:hAnsi="Palatino Linotype"/>
          <w:b/>
          <w:color w:val="000000" w:themeColor="text1"/>
        </w:rPr>
        <w:t xml:space="preserve"> </w:t>
      </w:r>
      <w:r w:rsidRPr="00D06747">
        <w:rPr>
          <w:rFonts w:ascii="Palatino Linotype" w:hAnsi="Palatino Linotype"/>
          <w:b/>
          <w:color w:val="000000" w:themeColor="text1"/>
        </w:rPr>
        <w:t>N</w:t>
      </w:r>
      <w:r w:rsidR="005272D6" w:rsidRPr="00D06747">
        <w:rPr>
          <w:rFonts w:ascii="Palatino Linotype" w:hAnsi="Palatino Linotype"/>
          <w:b/>
          <w:color w:val="000000" w:themeColor="text1"/>
        </w:rPr>
        <w:t xml:space="preserve"> </w:t>
      </w:r>
      <w:r w:rsidRPr="00D06747">
        <w:rPr>
          <w:rFonts w:ascii="Palatino Linotype" w:hAnsi="Palatino Linotype"/>
          <w:b/>
          <w:color w:val="000000" w:themeColor="text1"/>
        </w:rPr>
        <w:t>S</w:t>
      </w:r>
      <w:r w:rsidR="005272D6" w:rsidRPr="00D06747">
        <w:rPr>
          <w:rFonts w:ascii="Palatino Linotype" w:hAnsi="Palatino Linotype"/>
          <w:b/>
          <w:color w:val="000000" w:themeColor="text1"/>
        </w:rPr>
        <w:t xml:space="preserve"> </w:t>
      </w:r>
      <w:r w:rsidRPr="00D06747">
        <w:rPr>
          <w:rFonts w:ascii="Palatino Linotype" w:hAnsi="Palatino Linotype"/>
          <w:b/>
          <w:color w:val="000000" w:themeColor="text1"/>
        </w:rPr>
        <w:t>I</w:t>
      </w:r>
      <w:r w:rsidR="005272D6" w:rsidRPr="00D06747">
        <w:rPr>
          <w:rFonts w:ascii="Palatino Linotype" w:hAnsi="Palatino Linotype"/>
          <w:b/>
          <w:color w:val="000000" w:themeColor="text1"/>
        </w:rPr>
        <w:t xml:space="preserve"> </w:t>
      </w:r>
      <w:r w:rsidRPr="00D06747">
        <w:rPr>
          <w:rFonts w:ascii="Palatino Linotype" w:hAnsi="Palatino Linotype"/>
          <w:b/>
          <w:color w:val="000000" w:themeColor="text1"/>
        </w:rPr>
        <w:t>D</w:t>
      </w:r>
      <w:r w:rsidR="005272D6" w:rsidRPr="00D06747">
        <w:rPr>
          <w:rFonts w:ascii="Palatino Linotype" w:hAnsi="Palatino Linotype"/>
          <w:b/>
          <w:color w:val="000000" w:themeColor="text1"/>
        </w:rPr>
        <w:t xml:space="preserve"> </w:t>
      </w:r>
      <w:r w:rsidRPr="00D06747">
        <w:rPr>
          <w:rFonts w:ascii="Palatino Linotype" w:hAnsi="Palatino Linotype"/>
          <w:b/>
          <w:color w:val="000000" w:themeColor="text1"/>
        </w:rPr>
        <w:t>E</w:t>
      </w:r>
      <w:r w:rsidR="005272D6" w:rsidRPr="00D06747">
        <w:rPr>
          <w:rFonts w:ascii="Palatino Linotype" w:hAnsi="Palatino Linotype"/>
          <w:b/>
          <w:color w:val="000000" w:themeColor="text1"/>
        </w:rPr>
        <w:t xml:space="preserve"> </w:t>
      </w:r>
      <w:r w:rsidRPr="00D06747">
        <w:rPr>
          <w:rFonts w:ascii="Palatino Linotype" w:hAnsi="Palatino Linotype"/>
          <w:b/>
          <w:color w:val="000000" w:themeColor="text1"/>
        </w:rPr>
        <w:t>R</w:t>
      </w:r>
      <w:r w:rsidR="005272D6" w:rsidRPr="00D06747">
        <w:rPr>
          <w:rFonts w:ascii="Palatino Linotype" w:hAnsi="Palatino Linotype"/>
          <w:b/>
          <w:color w:val="000000" w:themeColor="text1"/>
        </w:rPr>
        <w:t xml:space="preserve"> </w:t>
      </w:r>
      <w:r w:rsidRPr="00D06747">
        <w:rPr>
          <w:rFonts w:ascii="Palatino Linotype" w:hAnsi="Palatino Linotype"/>
          <w:b/>
          <w:color w:val="000000" w:themeColor="text1"/>
        </w:rPr>
        <w:t>A</w:t>
      </w:r>
      <w:r w:rsidR="005272D6" w:rsidRPr="00D06747">
        <w:rPr>
          <w:rFonts w:ascii="Palatino Linotype" w:hAnsi="Palatino Linotype"/>
          <w:b/>
          <w:color w:val="000000" w:themeColor="text1"/>
        </w:rPr>
        <w:t xml:space="preserve"> </w:t>
      </w:r>
      <w:r w:rsidRPr="00D06747">
        <w:rPr>
          <w:rFonts w:ascii="Palatino Linotype" w:hAnsi="Palatino Linotype"/>
          <w:b/>
          <w:color w:val="000000" w:themeColor="text1"/>
        </w:rPr>
        <w:t>N</w:t>
      </w:r>
      <w:r w:rsidR="005272D6" w:rsidRPr="00D06747">
        <w:rPr>
          <w:rFonts w:ascii="Palatino Linotype" w:hAnsi="Palatino Linotype"/>
          <w:b/>
          <w:color w:val="000000" w:themeColor="text1"/>
        </w:rPr>
        <w:t xml:space="preserve"> </w:t>
      </w:r>
      <w:r w:rsidRPr="00D06747">
        <w:rPr>
          <w:rFonts w:ascii="Palatino Linotype" w:hAnsi="Palatino Linotype"/>
          <w:b/>
          <w:color w:val="000000" w:themeColor="text1"/>
        </w:rPr>
        <w:t>D</w:t>
      </w:r>
      <w:r w:rsidR="005272D6" w:rsidRPr="00D06747">
        <w:rPr>
          <w:rFonts w:ascii="Palatino Linotype" w:hAnsi="Palatino Linotype"/>
          <w:b/>
          <w:color w:val="000000" w:themeColor="text1"/>
        </w:rPr>
        <w:t xml:space="preserve"> </w:t>
      </w:r>
      <w:r w:rsidRPr="00D06747">
        <w:rPr>
          <w:rFonts w:ascii="Palatino Linotype" w:hAnsi="Palatino Linotype"/>
          <w:b/>
          <w:color w:val="000000" w:themeColor="text1"/>
        </w:rPr>
        <w:t>O</w:t>
      </w:r>
      <w:bookmarkEnd w:id="134"/>
      <w:bookmarkEnd w:id="135"/>
      <w:r w:rsidR="005272D6" w:rsidRPr="00D06747">
        <w:rPr>
          <w:rFonts w:ascii="Palatino Linotype" w:hAnsi="Palatino Linotype"/>
          <w:b/>
          <w:color w:val="000000" w:themeColor="text1"/>
        </w:rPr>
        <w:t xml:space="preserve"> S</w:t>
      </w:r>
    </w:p>
    <w:p w:rsidR="0011578A" w:rsidRPr="00D06747" w:rsidRDefault="0011578A" w:rsidP="0011578A">
      <w:pPr>
        <w:pStyle w:val="Prrafodelista"/>
        <w:spacing w:line="360" w:lineRule="auto"/>
        <w:ind w:left="0"/>
        <w:jc w:val="both"/>
        <w:rPr>
          <w:rFonts w:ascii="Palatino Linotype" w:hAnsi="Palatino Linotype"/>
          <w:b/>
          <w:color w:val="000000" w:themeColor="text1"/>
        </w:rPr>
      </w:pPr>
    </w:p>
    <w:p w:rsidR="0011578A" w:rsidRPr="00D06747" w:rsidRDefault="0011578A" w:rsidP="0011578A">
      <w:pPr>
        <w:pStyle w:val="Ttulo2"/>
        <w:spacing w:before="0" w:line="360" w:lineRule="auto"/>
        <w:jc w:val="both"/>
        <w:rPr>
          <w:rFonts w:ascii="Palatino Linotype" w:hAnsi="Palatino Linotype"/>
          <w:b/>
          <w:color w:val="000000" w:themeColor="text1"/>
          <w:sz w:val="24"/>
          <w:szCs w:val="24"/>
        </w:rPr>
      </w:pPr>
      <w:bookmarkStart w:id="136" w:name="_Toc491791303"/>
      <w:bookmarkStart w:id="137" w:name="_Toc83128579"/>
      <w:r w:rsidRPr="00D06747">
        <w:rPr>
          <w:rFonts w:ascii="Palatino Linotype" w:hAnsi="Palatino Linotype"/>
          <w:b/>
          <w:color w:val="000000" w:themeColor="text1"/>
          <w:sz w:val="24"/>
          <w:szCs w:val="24"/>
        </w:rPr>
        <w:t>PRIMERO. De la competencia</w:t>
      </w:r>
      <w:bookmarkEnd w:id="136"/>
      <w:bookmarkEnd w:id="137"/>
    </w:p>
    <w:p w:rsidR="0011578A" w:rsidRPr="00D06747" w:rsidRDefault="0011578A" w:rsidP="0011578A">
      <w:pPr>
        <w:jc w:val="both"/>
        <w:rPr>
          <w:rFonts w:ascii="Palatino Linotype" w:hAnsi="Palatino Linotype"/>
          <w:color w:val="000000" w:themeColor="text1"/>
        </w:rPr>
      </w:pPr>
    </w:p>
    <w:p w:rsidR="0011578A" w:rsidRPr="00D06747" w:rsidRDefault="0011578A" w:rsidP="0011578A">
      <w:pPr>
        <w:pStyle w:val="Prrafodelista"/>
        <w:numPr>
          <w:ilvl w:val="0"/>
          <w:numId w:val="1"/>
        </w:numPr>
        <w:spacing w:line="360" w:lineRule="auto"/>
        <w:ind w:left="0" w:firstLine="0"/>
        <w:jc w:val="both"/>
        <w:rPr>
          <w:rFonts w:ascii="Palatino Linotype" w:hAnsi="Palatino Linotype"/>
          <w:color w:val="000000" w:themeColor="text1"/>
        </w:rPr>
      </w:pPr>
      <w:r w:rsidRPr="00D06747">
        <w:rPr>
          <w:rFonts w:ascii="Palatino Linotype" w:hAnsi="Palatino Linotype"/>
          <w:color w:val="000000" w:themeColor="text1"/>
        </w:rPr>
        <w:t xml:space="preserve">Este </w:t>
      </w:r>
      <w:r w:rsidRPr="00D06747">
        <w:rPr>
          <w:rFonts w:ascii="Palatino Linotype" w:eastAsia="Calibri" w:hAnsi="Palatino Linotype" w:cs="Arial"/>
          <w:color w:val="000000" w:themeColor="text1"/>
        </w:rPr>
        <w:t>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11578A" w:rsidRPr="00D06747" w:rsidRDefault="0011578A" w:rsidP="0011578A">
      <w:pPr>
        <w:pStyle w:val="Prrafodelista"/>
        <w:spacing w:line="360" w:lineRule="auto"/>
        <w:ind w:left="0"/>
        <w:jc w:val="both"/>
        <w:rPr>
          <w:rFonts w:ascii="Palatino Linotype" w:hAnsi="Palatino Linotype"/>
          <w:color w:val="000000" w:themeColor="text1"/>
        </w:rPr>
      </w:pPr>
    </w:p>
    <w:p w:rsidR="0011578A" w:rsidRPr="00D06747" w:rsidRDefault="0011578A" w:rsidP="0011578A">
      <w:pPr>
        <w:pStyle w:val="Ttulo2"/>
        <w:spacing w:before="0" w:line="360" w:lineRule="auto"/>
        <w:jc w:val="both"/>
        <w:rPr>
          <w:rFonts w:ascii="Palatino Linotype" w:hAnsi="Palatino Linotype"/>
          <w:b/>
          <w:color w:val="000000" w:themeColor="text1"/>
          <w:sz w:val="24"/>
          <w:szCs w:val="24"/>
        </w:rPr>
      </w:pPr>
      <w:bookmarkStart w:id="138" w:name="_Toc491791304"/>
      <w:bookmarkStart w:id="139" w:name="_Toc83128580"/>
      <w:r w:rsidRPr="00D06747">
        <w:rPr>
          <w:rFonts w:ascii="Palatino Linotype" w:hAnsi="Palatino Linotype"/>
          <w:b/>
          <w:color w:val="000000" w:themeColor="text1"/>
          <w:sz w:val="24"/>
          <w:szCs w:val="24"/>
        </w:rPr>
        <w:t>SEGUNDO. De la oportunidad y procedencia.</w:t>
      </w:r>
      <w:bookmarkEnd w:id="138"/>
      <w:bookmarkEnd w:id="139"/>
    </w:p>
    <w:p w:rsidR="0011578A" w:rsidRPr="00D06747" w:rsidRDefault="0011578A" w:rsidP="0011578A">
      <w:pPr>
        <w:jc w:val="both"/>
        <w:rPr>
          <w:rFonts w:ascii="Palatino Linotype" w:hAnsi="Palatino Linotype"/>
          <w:color w:val="000000" w:themeColor="text1"/>
        </w:rPr>
      </w:pPr>
    </w:p>
    <w:p w:rsidR="0011578A" w:rsidRPr="00D06747" w:rsidRDefault="0011578A" w:rsidP="0011578A">
      <w:pPr>
        <w:pStyle w:val="Prrafodelista"/>
        <w:numPr>
          <w:ilvl w:val="0"/>
          <w:numId w:val="1"/>
        </w:numPr>
        <w:spacing w:line="360" w:lineRule="auto"/>
        <w:ind w:left="0" w:firstLine="0"/>
        <w:jc w:val="both"/>
        <w:rPr>
          <w:rFonts w:ascii="Palatino Linotype" w:hAnsi="Palatino Linotype"/>
          <w:color w:val="000000" w:themeColor="text1"/>
        </w:rPr>
      </w:pPr>
      <w:r w:rsidRPr="00D06747">
        <w:rPr>
          <w:rFonts w:ascii="Palatino Linotype" w:eastAsia="Calibri" w:hAnsi="Palatino Linotype" w:cs="Arial"/>
          <w:color w:val="000000" w:themeColor="text1"/>
        </w:rPr>
        <w:t xml:space="preserve">El medio de impugnación fue presentado a través del </w:t>
      </w:r>
      <w:r w:rsidRPr="00D06747">
        <w:rPr>
          <w:rFonts w:ascii="Palatino Linotype" w:eastAsia="Calibri" w:hAnsi="Palatino Linotype" w:cs="Arial"/>
          <w:b/>
          <w:color w:val="000000" w:themeColor="text1"/>
        </w:rPr>
        <w:t>Sistema de Acceso a la Información,</w:t>
      </w:r>
      <w:r w:rsidRPr="00D06747">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que </w:t>
      </w:r>
      <w:r w:rsidRPr="00D06747">
        <w:rPr>
          <w:rFonts w:ascii="Palatino Linotype" w:eastAsia="Calibri" w:hAnsi="Palatino Linotype" w:cs="Arial"/>
          <w:color w:val="000000" w:themeColor="text1"/>
        </w:rPr>
        <w:lastRenderedPageBreak/>
        <w:t xml:space="preserve">el </w:t>
      </w:r>
      <w:r w:rsidRPr="00D06747">
        <w:rPr>
          <w:rFonts w:ascii="Palatino Linotype" w:eastAsia="Calibri" w:hAnsi="Palatino Linotype" w:cs="Arial"/>
          <w:b/>
          <w:color w:val="000000" w:themeColor="text1"/>
        </w:rPr>
        <w:t>SUJETO OBLIGADO</w:t>
      </w:r>
      <w:r w:rsidRPr="00D06747">
        <w:rPr>
          <w:rFonts w:ascii="Palatino Linotype" w:eastAsia="Calibri" w:hAnsi="Palatino Linotype" w:cs="Arial"/>
          <w:color w:val="000000" w:themeColor="text1"/>
        </w:rPr>
        <w:t xml:space="preserve"> entregó su respuesta el </w:t>
      </w:r>
      <w:r w:rsidRPr="00D06747">
        <w:rPr>
          <w:rFonts w:ascii="Palatino Linotype" w:eastAsia="Calibri" w:hAnsi="Palatino Linotype" w:cs="Arial"/>
          <w:b/>
          <w:bCs/>
          <w:color w:val="000000" w:themeColor="text1"/>
        </w:rPr>
        <w:t>veintiséis de febrero de dos mil veinticinco</w:t>
      </w:r>
      <w:r w:rsidRPr="00D06747">
        <w:rPr>
          <w:rFonts w:ascii="Palatino Linotype" w:eastAsia="Calibri" w:hAnsi="Palatino Linotype" w:cs="Arial"/>
          <w:color w:val="000000" w:themeColor="text1"/>
        </w:rPr>
        <w:t xml:space="preserve">, </w:t>
      </w:r>
      <w:r w:rsidRPr="00D06747">
        <w:rPr>
          <w:rFonts w:ascii="Palatino Linotype" w:hAnsi="Palatino Linotype" w:cs="Arial"/>
          <w:color w:val="000000" w:themeColor="text1"/>
        </w:rPr>
        <w:t xml:space="preserve">de tal forma que el plazo para interponer el recurso de revisión transcurrió del día </w:t>
      </w:r>
      <w:r w:rsidR="00CA5608" w:rsidRPr="00D06747">
        <w:rPr>
          <w:rFonts w:ascii="Palatino Linotype" w:hAnsi="Palatino Linotype" w:cs="Arial"/>
          <w:b/>
          <w:bCs/>
          <w:color w:val="000000" w:themeColor="text1"/>
        </w:rPr>
        <w:t xml:space="preserve">veintisiete </w:t>
      </w:r>
      <w:r w:rsidRPr="00D06747">
        <w:rPr>
          <w:rFonts w:ascii="Palatino Linotype" w:hAnsi="Palatino Linotype" w:cs="Arial"/>
          <w:b/>
          <w:bCs/>
          <w:color w:val="000000" w:themeColor="text1"/>
        </w:rPr>
        <w:t xml:space="preserve">de febrero al </w:t>
      </w:r>
      <w:r w:rsidR="00CA5608" w:rsidRPr="00D06747">
        <w:rPr>
          <w:rFonts w:ascii="Palatino Linotype" w:hAnsi="Palatino Linotype" w:cs="Arial"/>
          <w:b/>
          <w:bCs/>
          <w:color w:val="000000" w:themeColor="text1"/>
        </w:rPr>
        <w:t xml:space="preserve">veintiuno </w:t>
      </w:r>
      <w:r w:rsidRPr="00D06747">
        <w:rPr>
          <w:rFonts w:ascii="Palatino Linotype" w:hAnsi="Palatino Linotype" w:cs="Arial"/>
          <w:b/>
          <w:bCs/>
          <w:color w:val="000000" w:themeColor="text1"/>
        </w:rPr>
        <w:t>de marzo de dos mil veinticinco</w:t>
      </w:r>
      <w:r w:rsidR="005272D6" w:rsidRPr="00D06747">
        <w:rPr>
          <w:rFonts w:ascii="Palatino Linotype" w:hAnsi="Palatino Linotype" w:cs="Arial"/>
          <w:color w:val="000000" w:themeColor="text1"/>
        </w:rPr>
        <w:t xml:space="preserve">; en consecuencia, </w:t>
      </w:r>
      <w:r w:rsidRPr="00D06747">
        <w:rPr>
          <w:rFonts w:ascii="Palatino Linotype" w:hAnsi="Palatino Linotype" w:cs="Arial"/>
          <w:color w:val="000000" w:themeColor="text1"/>
        </w:rPr>
        <w:t>l</w:t>
      </w:r>
      <w:r w:rsidR="005272D6" w:rsidRPr="00D06747">
        <w:rPr>
          <w:rFonts w:ascii="Palatino Linotype" w:hAnsi="Palatino Linotype" w:cs="Arial"/>
          <w:color w:val="000000" w:themeColor="text1"/>
        </w:rPr>
        <w:t>a</w:t>
      </w:r>
      <w:r w:rsidRPr="00D06747">
        <w:rPr>
          <w:rFonts w:ascii="Palatino Linotype" w:hAnsi="Palatino Linotype" w:cs="Arial"/>
          <w:color w:val="000000" w:themeColor="text1"/>
        </w:rPr>
        <w:t xml:space="preserve"> ahora </w:t>
      </w:r>
      <w:r w:rsidRPr="00D06747">
        <w:rPr>
          <w:rFonts w:ascii="Palatino Linotype" w:hAnsi="Palatino Linotype" w:cs="Arial"/>
          <w:b/>
          <w:color w:val="000000" w:themeColor="text1"/>
        </w:rPr>
        <w:t>RECURRENTE</w:t>
      </w:r>
      <w:r w:rsidRPr="00D06747">
        <w:rPr>
          <w:rFonts w:ascii="Palatino Linotype" w:hAnsi="Palatino Linotype" w:cs="Arial"/>
          <w:color w:val="000000" w:themeColor="text1"/>
        </w:rPr>
        <w:t xml:space="preserve"> presentó su inconformidad el día </w:t>
      </w:r>
      <w:r w:rsidR="00CA5608" w:rsidRPr="00D06747">
        <w:rPr>
          <w:rFonts w:ascii="Palatino Linotype" w:hAnsi="Palatino Linotype" w:cs="Arial"/>
          <w:b/>
          <w:bCs/>
          <w:color w:val="000000" w:themeColor="text1"/>
        </w:rPr>
        <w:t xml:space="preserve">dieciséis de marzo </w:t>
      </w:r>
      <w:r w:rsidRPr="00D06747">
        <w:rPr>
          <w:rFonts w:ascii="Palatino Linotype" w:hAnsi="Palatino Linotype" w:cs="Arial"/>
          <w:b/>
          <w:bCs/>
          <w:color w:val="000000" w:themeColor="text1"/>
        </w:rPr>
        <w:t>de dos mil veinticinco</w:t>
      </w:r>
      <w:r w:rsidRPr="00D06747">
        <w:rPr>
          <w:rFonts w:ascii="Palatino Linotype" w:hAnsi="Palatino Linotype" w:cs="Arial"/>
          <w:color w:val="000000" w:themeColor="text1"/>
        </w:rPr>
        <w:t>; por lo que se estima que la inconformidad se presentó dentro del lapso legalmente establecido para tal efecto.</w:t>
      </w:r>
    </w:p>
    <w:p w:rsidR="0011578A" w:rsidRPr="00D06747" w:rsidRDefault="0011578A" w:rsidP="0011578A">
      <w:pPr>
        <w:spacing w:line="360" w:lineRule="auto"/>
        <w:jc w:val="both"/>
        <w:rPr>
          <w:rFonts w:ascii="Palatino Linotype" w:hAnsi="Palatino Linotype"/>
          <w:color w:val="000000" w:themeColor="text1"/>
        </w:rPr>
      </w:pPr>
    </w:p>
    <w:p w:rsidR="0011578A" w:rsidRPr="00D06747" w:rsidRDefault="0011578A" w:rsidP="0011578A">
      <w:pPr>
        <w:pStyle w:val="Prrafodelista"/>
        <w:jc w:val="both"/>
        <w:rPr>
          <w:rFonts w:ascii="Palatino Linotype" w:eastAsia="Palatino Linotype" w:hAnsi="Palatino Linotype" w:cs="Palatino Linotype"/>
          <w:color w:val="000000" w:themeColor="text1"/>
        </w:rPr>
      </w:pPr>
    </w:p>
    <w:p w:rsidR="0011578A" w:rsidRPr="00D06747" w:rsidRDefault="0011578A" w:rsidP="0011578A">
      <w:pPr>
        <w:pStyle w:val="Prrafodelista"/>
        <w:numPr>
          <w:ilvl w:val="0"/>
          <w:numId w:val="1"/>
        </w:numPr>
        <w:spacing w:line="360" w:lineRule="auto"/>
        <w:ind w:left="0" w:firstLine="0"/>
        <w:jc w:val="both"/>
        <w:rPr>
          <w:rFonts w:ascii="Palatino Linotype" w:hAnsi="Palatino Linotype"/>
          <w:color w:val="000000" w:themeColor="text1"/>
        </w:rPr>
      </w:pPr>
      <w:r w:rsidRPr="00D06747">
        <w:rPr>
          <w:rFonts w:ascii="Palatino Linotype" w:eastAsia="Calibri" w:hAnsi="Palatino Linotype" w:cs="Arial"/>
          <w:color w:val="000000" w:themeColor="text1"/>
        </w:rPr>
        <w:t>Asimismo</w:t>
      </w:r>
      <w:r w:rsidRPr="00D06747">
        <w:rPr>
          <w:rFonts w:ascii="Palatino Linotype" w:eastAsia="Palatino Linotype" w:hAnsi="Palatino Linotype" w:cs="Palatino Linotype"/>
          <w:color w:val="000000" w:themeColor="text1"/>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11578A" w:rsidRPr="00D06747" w:rsidRDefault="0011578A" w:rsidP="0011578A">
      <w:pPr>
        <w:pStyle w:val="Prrafodelista"/>
        <w:spacing w:line="360" w:lineRule="auto"/>
        <w:ind w:left="0"/>
        <w:jc w:val="both"/>
        <w:rPr>
          <w:rFonts w:ascii="Palatino Linotype" w:hAnsi="Palatino Linotype"/>
          <w:color w:val="000000" w:themeColor="text1"/>
        </w:rPr>
      </w:pPr>
    </w:p>
    <w:p w:rsidR="0011578A" w:rsidRPr="00D06747" w:rsidRDefault="0011578A" w:rsidP="0011578A">
      <w:pPr>
        <w:pStyle w:val="Ttulo1"/>
        <w:spacing w:before="0" w:line="360" w:lineRule="auto"/>
        <w:rPr>
          <w:rFonts w:ascii="Palatino Linotype" w:hAnsi="Palatino Linotype"/>
          <w:b/>
          <w:color w:val="000000" w:themeColor="text1"/>
          <w:sz w:val="24"/>
          <w:szCs w:val="24"/>
        </w:rPr>
      </w:pPr>
      <w:bookmarkStart w:id="140" w:name="_Toc34246179"/>
      <w:bookmarkStart w:id="141" w:name="_Toc50033991"/>
      <w:bookmarkStart w:id="142" w:name="_Toc51259588"/>
      <w:bookmarkStart w:id="143" w:name="_Toc83128581"/>
      <w:r w:rsidRPr="00D06747">
        <w:rPr>
          <w:rFonts w:ascii="Palatino Linotype" w:hAnsi="Palatino Linotype"/>
          <w:b/>
          <w:color w:val="000000" w:themeColor="text1"/>
          <w:sz w:val="24"/>
          <w:szCs w:val="24"/>
        </w:rPr>
        <w:t xml:space="preserve">TERCERO. </w:t>
      </w:r>
      <w:bookmarkStart w:id="144" w:name="_Toc501021589"/>
      <w:r w:rsidRPr="00D06747">
        <w:rPr>
          <w:rFonts w:ascii="Palatino Linotype" w:hAnsi="Palatino Linotype"/>
          <w:b/>
          <w:color w:val="000000" w:themeColor="text1"/>
          <w:sz w:val="24"/>
          <w:szCs w:val="24"/>
        </w:rPr>
        <w:t>De las causales de sobreseimiento.</w:t>
      </w:r>
      <w:bookmarkEnd w:id="140"/>
      <w:bookmarkEnd w:id="141"/>
      <w:bookmarkEnd w:id="142"/>
      <w:bookmarkEnd w:id="143"/>
      <w:bookmarkEnd w:id="144"/>
    </w:p>
    <w:p w:rsidR="0011578A" w:rsidRPr="00D06747" w:rsidRDefault="0011578A" w:rsidP="0011578A">
      <w:pPr>
        <w:rPr>
          <w:rFonts w:ascii="Palatino Linotype" w:hAnsi="Palatino Linotype"/>
          <w:color w:val="000000" w:themeColor="text1"/>
        </w:rPr>
      </w:pPr>
    </w:p>
    <w:p w:rsidR="00CA5608" w:rsidRPr="00D06747" w:rsidRDefault="00CA5608" w:rsidP="00CA5608">
      <w:pPr>
        <w:pStyle w:val="Prrafodelista"/>
        <w:numPr>
          <w:ilvl w:val="0"/>
          <w:numId w:val="1"/>
        </w:numPr>
        <w:tabs>
          <w:tab w:val="left" w:pos="0"/>
        </w:tabs>
        <w:spacing w:line="360" w:lineRule="auto"/>
        <w:ind w:left="0" w:firstLine="0"/>
        <w:jc w:val="both"/>
        <w:rPr>
          <w:rFonts w:ascii="Palatino Linotype" w:eastAsia="Calibri" w:hAnsi="Palatino Linotype" w:cs="Tahoma"/>
          <w:iCs/>
          <w:color w:val="000000" w:themeColor="text1"/>
          <w:lang w:val="es-ES" w:eastAsia="es-ES_tradnl"/>
        </w:rPr>
      </w:pPr>
      <w:r w:rsidRPr="00D06747">
        <w:rPr>
          <w:rFonts w:ascii="Palatino Linotype" w:eastAsia="Calibri" w:hAnsi="Palatino Linotype" w:cs="Tahoma"/>
          <w:iCs/>
          <w:color w:val="000000" w:themeColor="text1"/>
          <w:lang w:val="es-ES" w:eastAsia="es-ES_tradnl"/>
        </w:rPr>
        <w:t xml:space="preserve">El </w:t>
      </w:r>
      <w:r w:rsidRPr="00D06747">
        <w:rPr>
          <w:rFonts w:ascii="Palatino Linotype" w:hAnsi="Palatino Linotype" w:cs="Arial"/>
          <w:color w:val="000000" w:themeColor="text1"/>
        </w:rPr>
        <w:t xml:space="preserve">recurso revisión tiene como finalidad reparar cualquier posible afectación al Derecho de Acceso a la Información Pública en términos del Título Octavo de la Ley de </w:t>
      </w:r>
      <w:r w:rsidRPr="00D06747">
        <w:rPr>
          <w:rFonts w:ascii="Palatino Linotype" w:eastAsia="Calibri" w:hAnsi="Palatino Linotype" w:cs="Arial"/>
          <w:color w:val="000000" w:themeColor="text1"/>
        </w:rPr>
        <w:t>Transparencia, Acceso a la Información Pública del Estado de México y Municipios</w:t>
      </w:r>
      <w:r w:rsidRPr="00D06747">
        <w:rPr>
          <w:rFonts w:ascii="Palatino Linotype" w:hAnsi="Palatino Linotype" w:cs="Arial"/>
          <w:color w:val="000000" w:themeColor="text1"/>
        </w:rPr>
        <w:t xml:space="preserve">, y determinar la confirmación; revocación o modificación; desechamiento o </w:t>
      </w:r>
      <w:r w:rsidRPr="00D06747">
        <w:rPr>
          <w:rFonts w:ascii="Palatino Linotype" w:hAnsi="Palatino Linotype" w:cs="Arial"/>
          <w:b/>
          <w:color w:val="000000" w:themeColor="text1"/>
          <w:u w:val="single"/>
        </w:rPr>
        <w:t>sobreseimiento</w:t>
      </w:r>
      <w:r w:rsidRPr="00D06747">
        <w:rPr>
          <w:rFonts w:ascii="Palatino Linotype" w:hAnsi="Palatino Linotype" w:cs="Arial"/>
          <w:color w:val="000000" w:themeColor="text1"/>
        </w:rPr>
        <w:t xml:space="preserve">; y, en su caso, ordenar la entrega de la información respecto a la falta de respuesta por parte del </w:t>
      </w:r>
      <w:r w:rsidRPr="00D06747">
        <w:rPr>
          <w:rFonts w:ascii="Palatino Linotype" w:hAnsi="Palatino Linotype" w:cs="Arial"/>
          <w:b/>
          <w:color w:val="000000" w:themeColor="text1"/>
        </w:rPr>
        <w:t>SUJETO</w:t>
      </w:r>
      <w:r w:rsidRPr="00D06747">
        <w:rPr>
          <w:rFonts w:ascii="Palatino Linotype" w:hAnsi="Palatino Linotype" w:cs="Arial"/>
          <w:color w:val="000000" w:themeColor="text1"/>
        </w:rPr>
        <w:t xml:space="preserve"> </w:t>
      </w:r>
      <w:r w:rsidRPr="00D06747">
        <w:rPr>
          <w:rFonts w:ascii="Palatino Linotype" w:hAnsi="Palatino Linotype" w:cs="Arial"/>
          <w:b/>
          <w:color w:val="000000" w:themeColor="text1"/>
        </w:rPr>
        <w:t>OBLIGADO</w:t>
      </w:r>
      <w:r w:rsidRPr="00D06747">
        <w:rPr>
          <w:rFonts w:ascii="Palatino Linotype" w:hAnsi="Palatino Linotype" w:cs="Arial"/>
          <w:color w:val="000000" w:themeColor="text1"/>
        </w:rPr>
        <w:t>.</w:t>
      </w:r>
    </w:p>
    <w:p w:rsidR="00CA5608" w:rsidRPr="00D06747" w:rsidRDefault="00CA5608" w:rsidP="00CA5608">
      <w:pPr>
        <w:pStyle w:val="Prrafodelista"/>
        <w:tabs>
          <w:tab w:val="left" w:pos="0"/>
        </w:tabs>
        <w:spacing w:line="360" w:lineRule="auto"/>
        <w:ind w:left="0"/>
        <w:jc w:val="both"/>
        <w:rPr>
          <w:rFonts w:ascii="Palatino Linotype" w:eastAsia="Calibri" w:hAnsi="Palatino Linotype" w:cs="Tahoma"/>
          <w:iCs/>
          <w:color w:val="000000" w:themeColor="text1"/>
          <w:lang w:val="es-ES" w:eastAsia="es-ES_tradnl"/>
        </w:rPr>
      </w:pPr>
    </w:p>
    <w:p w:rsidR="00CA5608" w:rsidRPr="00D06747" w:rsidRDefault="00CA5608" w:rsidP="00CA5608">
      <w:pPr>
        <w:pStyle w:val="Prrafodelista"/>
        <w:numPr>
          <w:ilvl w:val="0"/>
          <w:numId w:val="1"/>
        </w:numPr>
        <w:tabs>
          <w:tab w:val="left" w:pos="0"/>
        </w:tabs>
        <w:spacing w:line="360" w:lineRule="auto"/>
        <w:ind w:left="0" w:firstLine="0"/>
        <w:jc w:val="both"/>
        <w:rPr>
          <w:rFonts w:ascii="Palatino Linotype" w:eastAsia="Calibri" w:hAnsi="Palatino Linotype" w:cs="Tahoma"/>
          <w:color w:val="000000" w:themeColor="text1"/>
          <w:lang w:val="es-ES" w:eastAsia="es-ES_tradnl"/>
        </w:rPr>
      </w:pPr>
      <w:r w:rsidRPr="00D06747">
        <w:rPr>
          <w:rFonts w:ascii="Palatino Linotype" w:eastAsia="Calibri" w:hAnsi="Palatino Linotype" w:cs="Tahoma"/>
          <w:iCs/>
          <w:color w:val="000000" w:themeColor="text1"/>
          <w:lang w:val="es-ES" w:eastAsia="es-ES_tradnl"/>
        </w:rPr>
        <w:t xml:space="preserve">De </w:t>
      </w:r>
      <w:r w:rsidRPr="00D06747">
        <w:rPr>
          <w:rFonts w:ascii="Palatino Linotype" w:eastAsia="Calibri" w:hAnsi="Palatino Linotype"/>
          <w:color w:val="000000" w:themeColor="text1"/>
        </w:rPr>
        <w:t xml:space="preserve">acuerdo con el precepto legal contenido en la fracción IV del artículo 192 de la </w:t>
      </w:r>
      <w:r w:rsidRPr="00D06747">
        <w:rPr>
          <w:rFonts w:ascii="Palatino Linotype" w:eastAsia="Calibri" w:hAnsi="Palatino Linotype"/>
          <w:b/>
          <w:color w:val="000000" w:themeColor="text1"/>
        </w:rPr>
        <w:t xml:space="preserve">Ley de Transparencia y Acceso a la Información Pública del Estado de </w:t>
      </w:r>
      <w:r w:rsidRPr="00D06747">
        <w:rPr>
          <w:rFonts w:ascii="Palatino Linotype" w:eastAsia="Calibri" w:hAnsi="Palatino Linotype"/>
          <w:b/>
          <w:color w:val="000000" w:themeColor="text1"/>
        </w:rPr>
        <w:lastRenderedPageBreak/>
        <w:t>México y Municipios</w:t>
      </w:r>
      <w:r w:rsidRPr="00D06747">
        <w:rPr>
          <w:rFonts w:ascii="Palatino Linotype" w:eastAsia="Calibri" w:hAnsi="Palatino Linotype"/>
          <w:color w:val="000000" w:themeColor="text1"/>
        </w:rPr>
        <w:t>, el recurso será sobreseído, cuando una vez admitido, aparezca alguna causal de improcedencia en términos de la misma Ley.</w:t>
      </w:r>
    </w:p>
    <w:p w:rsidR="00CA5608" w:rsidRPr="00D06747" w:rsidRDefault="00CA5608" w:rsidP="00CA5608">
      <w:pPr>
        <w:spacing w:line="360" w:lineRule="auto"/>
        <w:ind w:right="49"/>
        <w:contextualSpacing/>
        <w:jc w:val="both"/>
        <w:rPr>
          <w:rFonts w:ascii="Palatino Linotype" w:hAnsi="Palatino Linotype"/>
          <w:color w:val="000000" w:themeColor="text1"/>
        </w:rPr>
      </w:pPr>
    </w:p>
    <w:p w:rsidR="00CA5608" w:rsidRPr="00D06747" w:rsidRDefault="00CA5608" w:rsidP="00CA5608">
      <w:pPr>
        <w:numPr>
          <w:ilvl w:val="0"/>
          <w:numId w:val="1"/>
        </w:numPr>
        <w:spacing w:line="360" w:lineRule="auto"/>
        <w:ind w:left="0" w:right="49" w:firstLine="0"/>
        <w:contextualSpacing/>
        <w:jc w:val="both"/>
        <w:rPr>
          <w:rFonts w:ascii="Palatino Linotype" w:hAnsi="Palatino Linotype"/>
          <w:b/>
          <w:bCs/>
          <w:color w:val="000000" w:themeColor="text1"/>
        </w:rPr>
      </w:pPr>
      <w:r w:rsidRPr="00D06747">
        <w:rPr>
          <w:rFonts w:ascii="Palatino Linotype" w:hAnsi="Palatino Linotype"/>
          <w:color w:val="000000" w:themeColor="text1"/>
        </w:rPr>
        <w:t>Ahora</w:t>
      </w:r>
      <w:r w:rsidR="005272D6" w:rsidRPr="00D06747">
        <w:rPr>
          <w:rFonts w:ascii="Palatino Linotype" w:hAnsi="Palatino Linotype"/>
          <w:color w:val="000000" w:themeColor="text1"/>
        </w:rPr>
        <w:t xml:space="preserve"> bien, como ya se ha señalado, </w:t>
      </w:r>
      <w:r w:rsidRPr="00D06747">
        <w:rPr>
          <w:rFonts w:ascii="Palatino Linotype" w:hAnsi="Palatino Linotype"/>
          <w:color w:val="000000" w:themeColor="text1"/>
        </w:rPr>
        <w:t>l</w:t>
      </w:r>
      <w:r w:rsidR="005272D6" w:rsidRPr="00D06747">
        <w:rPr>
          <w:rFonts w:ascii="Palatino Linotype" w:hAnsi="Palatino Linotype"/>
          <w:color w:val="000000" w:themeColor="text1"/>
        </w:rPr>
        <w:t>a</w:t>
      </w:r>
      <w:r w:rsidRPr="00D06747">
        <w:rPr>
          <w:rFonts w:ascii="Palatino Linotype" w:hAnsi="Palatino Linotype"/>
          <w:color w:val="000000" w:themeColor="text1"/>
        </w:rPr>
        <w:t xml:space="preserve"> </w:t>
      </w:r>
      <w:r w:rsidRPr="00D06747">
        <w:rPr>
          <w:rFonts w:ascii="Palatino Linotype" w:hAnsi="Palatino Linotype"/>
          <w:b/>
          <w:bCs/>
          <w:color w:val="000000" w:themeColor="text1"/>
        </w:rPr>
        <w:t xml:space="preserve">RECURRENTE </w:t>
      </w:r>
      <w:r w:rsidRPr="00D06747">
        <w:rPr>
          <w:rFonts w:ascii="Palatino Linotype" w:hAnsi="Palatino Linotype"/>
          <w:color w:val="000000" w:themeColor="text1"/>
        </w:rPr>
        <w:t xml:space="preserve">requirió </w:t>
      </w:r>
      <w:r w:rsidRPr="00D06747">
        <w:rPr>
          <w:rFonts w:ascii="Palatino Linotype" w:hAnsi="Palatino Linotype"/>
          <w:bCs/>
          <w:color w:val="000000" w:themeColor="text1"/>
        </w:rPr>
        <w:t xml:space="preserve">el documento que diera cuenta del presupuesto de egresos e ingresos del año 2025 para el Ayuntamiento de Mexicaltzingo. </w:t>
      </w:r>
    </w:p>
    <w:p w:rsidR="00CA5608" w:rsidRPr="00D06747" w:rsidRDefault="00CA5608" w:rsidP="00CA5608">
      <w:pPr>
        <w:spacing w:line="360" w:lineRule="auto"/>
        <w:ind w:right="49"/>
        <w:contextualSpacing/>
        <w:jc w:val="both"/>
        <w:rPr>
          <w:rFonts w:ascii="Palatino Linotype" w:hAnsi="Palatino Linotype"/>
          <w:i/>
          <w:iCs/>
          <w:color w:val="000000" w:themeColor="text1"/>
        </w:rPr>
      </w:pPr>
    </w:p>
    <w:p w:rsidR="00CA5608" w:rsidRPr="00D06747" w:rsidRDefault="00CA5608" w:rsidP="00CA5608">
      <w:pPr>
        <w:numPr>
          <w:ilvl w:val="0"/>
          <w:numId w:val="1"/>
        </w:numPr>
        <w:spacing w:line="360" w:lineRule="auto"/>
        <w:ind w:left="0" w:right="49" w:firstLine="0"/>
        <w:contextualSpacing/>
        <w:jc w:val="both"/>
        <w:rPr>
          <w:rFonts w:ascii="Palatino Linotype" w:eastAsia="Calibri" w:hAnsi="Palatino Linotype" w:cs="Tahoma"/>
          <w:color w:val="000000" w:themeColor="text1"/>
          <w:lang w:val="es-ES"/>
        </w:rPr>
      </w:pPr>
      <w:r w:rsidRPr="00D06747">
        <w:rPr>
          <w:rFonts w:ascii="Palatino Linotype" w:eastAsia="Calibri" w:hAnsi="Palatino Linotype" w:cs="Tahoma"/>
          <w:color w:val="000000" w:themeColor="text1"/>
          <w:lang w:val="es-ES"/>
        </w:rPr>
        <w:t xml:space="preserve">En respuesta, el </w:t>
      </w:r>
      <w:r w:rsidRPr="00D06747">
        <w:rPr>
          <w:rFonts w:ascii="Palatino Linotype" w:eastAsia="Calibri" w:hAnsi="Palatino Linotype" w:cs="Tahoma"/>
          <w:b/>
          <w:bCs/>
          <w:color w:val="000000" w:themeColor="text1"/>
          <w:lang w:val="es-ES"/>
        </w:rPr>
        <w:t>SUJETO OBLIGADO</w:t>
      </w:r>
      <w:r w:rsidRPr="00D06747">
        <w:rPr>
          <w:rFonts w:ascii="Palatino Linotype" w:eastAsia="Calibri" w:hAnsi="Palatino Linotype" w:cs="Tahoma"/>
          <w:color w:val="000000" w:themeColor="text1"/>
          <w:lang w:val="es-ES"/>
        </w:rPr>
        <w:t xml:space="preserve"> </w:t>
      </w:r>
      <w:r w:rsidRPr="00D06747">
        <w:rPr>
          <w:rFonts w:ascii="Palatino Linotype" w:hAnsi="Palatino Linotype"/>
          <w:color w:val="000000" w:themeColor="text1"/>
        </w:rPr>
        <w:t xml:space="preserve">entrego el link </w:t>
      </w:r>
      <w:hyperlink r:id="rId8" w:history="1">
        <w:r w:rsidRPr="00D06747">
          <w:rPr>
            <w:rStyle w:val="Hipervnculo"/>
            <w:rFonts w:ascii="Palatino Linotype" w:hAnsi="Palatino Linotype"/>
            <w:color w:val="000000" w:themeColor="text1"/>
          </w:rPr>
          <w:t>https://legislacion.edomex.gob.mx/sites/legislacion.edomex.gob.mx/files/files/pdf/gct/2025/febrero/feb251/feb251g.pdf</w:t>
        </w:r>
      </w:hyperlink>
      <w:r w:rsidRPr="00D06747">
        <w:rPr>
          <w:rFonts w:ascii="Palatino Linotype" w:hAnsi="Palatino Linotype"/>
          <w:color w:val="000000" w:themeColor="text1"/>
        </w:rPr>
        <w:t xml:space="preserve">, en formato abierto, mismo que al consultarlo contiene las caratulas del presupuesto de egresos e ingresos para todo el año fiscal 2025, tal y como se muestra en las siguientes capturas de pantalla. </w:t>
      </w:r>
    </w:p>
    <w:p w:rsidR="00CA5608" w:rsidRPr="00D06747" w:rsidRDefault="00CA5608" w:rsidP="00CA5608">
      <w:pPr>
        <w:pStyle w:val="Prrafodelista"/>
        <w:rPr>
          <w:rFonts w:ascii="Palatino Linotype" w:eastAsia="Calibri" w:hAnsi="Palatino Linotype" w:cs="Tahoma"/>
          <w:color w:val="000000" w:themeColor="text1"/>
          <w:lang w:val="es-ES"/>
        </w:rPr>
      </w:pPr>
    </w:p>
    <w:p w:rsidR="00CA5608" w:rsidRPr="00D06747" w:rsidRDefault="00CA5608" w:rsidP="00CA5608">
      <w:pPr>
        <w:spacing w:line="360" w:lineRule="auto"/>
        <w:ind w:right="49"/>
        <w:contextualSpacing/>
        <w:jc w:val="center"/>
        <w:rPr>
          <w:rFonts w:ascii="Palatino Linotype" w:eastAsia="Calibri" w:hAnsi="Palatino Linotype" w:cs="Tahoma"/>
          <w:color w:val="000000" w:themeColor="text1"/>
          <w:lang w:val="es-ES"/>
        </w:rPr>
      </w:pPr>
      <w:r w:rsidRPr="00D06747">
        <w:rPr>
          <w:rFonts w:ascii="Palatino Linotype" w:eastAsia="Calibri" w:hAnsi="Palatino Linotype" w:cs="Tahoma"/>
          <w:noProof/>
          <w:color w:val="000000" w:themeColor="text1"/>
          <w:lang w:val="es-MX" w:eastAsia="es-MX"/>
        </w:rPr>
        <w:drawing>
          <wp:inline distT="0" distB="0" distL="0" distR="0" wp14:anchorId="7708EE44" wp14:editId="5064DBD2">
            <wp:extent cx="3848431" cy="2953164"/>
            <wp:effectExtent l="152400" t="152400" r="361950" b="3619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52187" cy="2956046"/>
                    </a:xfrm>
                    <a:prstGeom prst="rect">
                      <a:avLst/>
                    </a:prstGeom>
                    <a:ln>
                      <a:noFill/>
                    </a:ln>
                    <a:effectLst>
                      <a:outerShdw blurRad="292100" dist="139700" dir="2700000" algn="tl" rotWithShape="0">
                        <a:srgbClr val="333333">
                          <a:alpha val="65000"/>
                        </a:srgbClr>
                      </a:outerShdw>
                    </a:effectLst>
                  </pic:spPr>
                </pic:pic>
              </a:graphicData>
            </a:graphic>
          </wp:inline>
        </w:drawing>
      </w:r>
    </w:p>
    <w:p w:rsidR="00CA5608" w:rsidRPr="00D06747" w:rsidRDefault="00CA5608" w:rsidP="00CA5608">
      <w:pPr>
        <w:spacing w:line="360" w:lineRule="auto"/>
        <w:ind w:right="49"/>
        <w:contextualSpacing/>
        <w:jc w:val="center"/>
        <w:rPr>
          <w:rFonts w:ascii="Palatino Linotype" w:eastAsia="Calibri" w:hAnsi="Palatino Linotype" w:cs="Tahoma"/>
          <w:color w:val="000000" w:themeColor="text1"/>
          <w:lang w:val="es-ES"/>
        </w:rPr>
      </w:pPr>
      <w:r w:rsidRPr="00D06747">
        <w:rPr>
          <w:rFonts w:ascii="Palatino Linotype" w:eastAsia="Calibri" w:hAnsi="Palatino Linotype" w:cs="Tahoma"/>
          <w:noProof/>
          <w:color w:val="000000" w:themeColor="text1"/>
          <w:lang w:val="es-MX" w:eastAsia="es-MX"/>
        </w:rPr>
        <w:lastRenderedPageBreak/>
        <w:drawing>
          <wp:inline distT="0" distB="0" distL="0" distR="0" wp14:anchorId="02B3E462" wp14:editId="609B1641">
            <wp:extent cx="3912042" cy="2839086"/>
            <wp:effectExtent l="152400" t="152400" r="355600" b="3613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21975" cy="2846295"/>
                    </a:xfrm>
                    <a:prstGeom prst="rect">
                      <a:avLst/>
                    </a:prstGeom>
                    <a:ln>
                      <a:noFill/>
                    </a:ln>
                    <a:effectLst>
                      <a:outerShdw blurRad="292100" dist="139700" dir="2700000" algn="tl" rotWithShape="0">
                        <a:srgbClr val="333333">
                          <a:alpha val="65000"/>
                        </a:srgbClr>
                      </a:outerShdw>
                    </a:effectLst>
                  </pic:spPr>
                </pic:pic>
              </a:graphicData>
            </a:graphic>
          </wp:inline>
        </w:drawing>
      </w:r>
    </w:p>
    <w:p w:rsidR="00CA5608" w:rsidRPr="00D06747" w:rsidRDefault="005272D6" w:rsidP="00CA5608">
      <w:pPr>
        <w:numPr>
          <w:ilvl w:val="0"/>
          <w:numId w:val="1"/>
        </w:numPr>
        <w:spacing w:line="360" w:lineRule="auto"/>
        <w:ind w:left="0" w:right="49" w:firstLine="0"/>
        <w:contextualSpacing/>
        <w:jc w:val="both"/>
        <w:rPr>
          <w:rFonts w:ascii="Palatino Linotype" w:eastAsia="Calibri" w:hAnsi="Palatino Linotype" w:cs="Tahoma"/>
          <w:color w:val="000000" w:themeColor="text1"/>
          <w:u w:val="single"/>
          <w:lang w:val="es-ES"/>
        </w:rPr>
      </w:pPr>
      <w:r w:rsidRPr="00D06747">
        <w:rPr>
          <w:rFonts w:ascii="Palatino Linotype" w:eastAsia="Calibri" w:hAnsi="Palatino Linotype" w:cs="Tahoma"/>
          <w:color w:val="000000" w:themeColor="text1"/>
          <w:lang w:val="es-ES"/>
        </w:rPr>
        <w:t xml:space="preserve">Inconforme con la respuesta, </w:t>
      </w:r>
      <w:r w:rsidR="00CA5608" w:rsidRPr="00D06747">
        <w:rPr>
          <w:rFonts w:ascii="Palatino Linotype" w:eastAsia="Calibri" w:hAnsi="Palatino Linotype" w:cs="Tahoma"/>
          <w:color w:val="000000" w:themeColor="text1"/>
          <w:lang w:val="es-ES"/>
        </w:rPr>
        <w:t>l</w:t>
      </w:r>
      <w:r w:rsidRPr="00D06747">
        <w:rPr>
          <w:rFonts w:ascii="Palatino Linotype" w:eastAsia="Calibri" w:hAnsi="Palatino Linotype" w:cs="Tahoma"/>
          <w:color w:val="000000" w:themeColor="text1"/>
          <w:lang w:val="es-ES"/>
        </w:rPr>
        <w:t>a</w:t>
      </w:r>
      <w:r w:rsidR="00CA5608" w:rsidRPr="00D06747">
        <w:rPr>
          <w:rFonts w:ascii="Palatino Linotype" w:eastAsia="Calibri" w:hAnsi="Palatino Linotype" w:cs="Tahoma"/>
          <w:color w:val="000000" w:themeColor="text1"/>
          <w:lang w:val="es-ES"/>
        </w:rPr>
        <w:t xml:space="preserve"> </w:t>
      </w:r>
      <w:r w:rsidR="00CA5608" w:rsidRPr="00D06747">
        <w:rPr>
          <w:rFonts w:ascii="Palatino Linotype" w:eastAsia="Calibri" w:hAnsi="Palatino Linotype" w:cs="Tahoma"/>
          <w:b/>
          <w:bCs/>
          <w:color w:val="000000" w:themeColor="text1"/>
          <w:lang w:val="es-ES"/>
        </w:rPr>
        <w:t>RECURRENTE</w:t>
      </w:r>
      <w:r w:rsidR="00CA5608" w:rsidRPr="00D06747">
        <w:rPr>
          <w:rFonts w:ascii="Palatino Linotype" w:eastAsia="Calibri" w:hAnsi="Palatino Linotype" w:cs="Tahoma"/>
          <w:color w:val="000000" w:themeColor="text1"/>
          <w:lang w:val="es-ES"/>
        </w:rPr>
        <w:t xml:space="preserve"> interpuso el recurso de revisión, por medio del cual, refirió como razones o motivos de inconformidad, lo siguiente: </w:t>
      </w:r>
      <w:r w:rsidR="00CA5608" w:rsidRPr="00D06747">
        <w:rPr>
          <w:rFonts w:ascii="Palatino Linotype" w:hAnsi="Palatino Linotype"/>
          <w:b/>
          <w:i/>
          <w:iCs/>
          <w:color w:val="000000" w:themeColor="text1"/>
          <w:u w:val="single"/>
        </w:rPr>
        <w:t>“O</w:t>
      </w:r>
      <w:r w:rsidR="00CA5608" w:rsidRPr="00D06747">
        <w:rPr>
          <w:rFonts w:ascii="Palatino Linotype" w:hAnsi="Palatino Linotype"/>
          <w:b/>
          <w:i/>
          <w:color w:val="000000" w:themeColor="text1"/>
          <w:u w:val="single"/>
        </w:rPr>
        <w:t>CULTAN LA INFORMACION VERDADERA</w:t>
      </w:r>
      <w:r w:rsidR="00CA5608" w:rsidRPr="00D06747">
        <w:rPr>
          <w:rFonts w:ascii="Palatino Linotype" w:hAnsi="Palatino Linotype"/>
          <w:b/>
          <w:i/>
          <w:iCs/>
          <w:color w:val="000000" w:themeColor="text1"/>
          <w:u w:val="single"/>
        </w:rPr>
        <w:t>" (Sic).</w:t>
      </w:r>
    </w:p>
    <w:p w:rsidR="00CA5608" w:rsidRPr="00D06747" w:rsidRDefault="00CA5608" w:rsidP="00CA5608">
      <w:pPr>
        <w:spacing w:line="360" w:lineRule="auto"/>
        <w:ind w:right="49"/>
        <w:contextualSpacing/>
        <w:jc w:val="both"/>
        <w:rPr>
          <w:rFonts w:ascii="Palatino Linotype" w:eastAsia="Calibri" w:hAnsi="Palatino Linotype" w:cs="Tahoma"/>
          <w:color w:val="000000" w:themeColor="text1"/>
          <w:lang w:val="es-ES"/>
        </w:rPr>
      </w:pPr>
    </w:p>
    <w:p w:rsidR="00CA5608" w:rsidRPr="00D06747" w:rsidRDefault="00CA5608" w:rsidP="00CA5608">
      <w:pPr>
        <w:numPr>
          <w:ilvl w:val="0"/>
          <w:numId w:val="1"/>
        </w:numPr>
        <w:spacing w:line="360" w:lineRule="auto"/>
        <w:ind w:left="0" w:right="49" w:firstLine="0"/>
        <w:contextualSpacing/>
        <w:jc w:val="both"/>
        <w:rPr>
          <w:rFonts w:ascii="Palatino Linotype" w:eastAsia="Calibri" w:hAnsi="Palatino Linotype" w:cs="Tahoma"/>
          <w:color w:val="000000" w:themeColor="text1"/>
          <w:lang w:val="es-ES"/>
        </w:rPr>
      </w:pPr>
      <w:r w:rsidRPr="00D06747">
        <w:rPr>
          <w:rFonts w:ascii="Palatino Linotype" w:eastAsia="Calibri" w:hAnsi="Palatino Linotype" w:cs="Tahoma"/>
          <w:color w:val="000000" w:themeColor="text1"/>
          <w:lang w:val="es-ES"/>
        </w:rPr>
        <w:t xml:space="preserve">Expuesto lo anterior y del análisis realizado a las documentales que integran el expediente electrónico </w:t>
      </w:r>
      <w:r w:rsidRPr="00D06747">
        <w:rPr>
          <w:rFonts w:ascii="Palatino Linotype" w:eastAsia="Calibri" w:hAnsi="Palatino Linotype" w:cs="Tahoma"/>
          <w:b/>
          <w:bCs/>
          <w:color w:val="000000" w:themeColor="text1"/>
          <w:lang w:val="es-ES"/>
        </w:rPr>
        <w:t>SAIMEX</w:t>
      </w:r>
      <w:r w:rsidRPr="00D06747">
        <w:rPr>
          <w:rFonts w:ascii="Palatino Linotype" w:eastAsia="Calibri" w:hAnsi="Palatino Linotype" w:cs="Tahoma"/>
          <w:color w:val="000000" w:themeColor="text1"/>
          <w:lang w:val="es-ES"/>
        </w:rPr>
        <w:t xml:space="preserve">, se presume que el </w:t>
      </w:r>
      <w:r w:rsidRPr="00D06747">
        <w:rPr>
          <w:rFonts w:ascii="Palatino Linotype" w:eastAsia="Calibri" w:hAnsi="Palatino Linotype" w:cs="Tahoma"/>
          <w:b/>
          <w:bCs/>
          <w:color w:val="000000" w:themeColor="text1"/>
          <w:lang w:val="es-ES"/>
        </w:rPr>
        <w:t>SUJETO OBLIGADO</w:t>
      </w:r>
      <w:r w:rsidRPr="00D06747">
        <w:rPr>
          <w:rFonts w:ascii="Palatino Linotype" w:eastAsia="Calibri" w:hAnsi="Palatino Linotype" w:cs="Tahoma"/>
          <w:color w:val="000000" w:themeColor="text1"/>
          <w:lang w:val="es-ES"/>
        </w:rPr>
        <w:t xml:space="preserve"> hizo entrega de la información solicitada.</w:t>
      </w:r>
    </w:p>
    <w:p w:rsidR="00CA5608" w:rsidRPr="00D06747" w:rsidRDefault="00CA5608" w:rsidP="00CA5608">
      <w:pPr>
        <w:ind w:right="539"/>
        <w:contextualSpacing/>
        <w:jc w:val="both"/>
        <w:rPr>
          <w:rFonts w:ascii="Palatino Linotype" w:eastAsia="Calibri" w:hAnsi="Palatino Linotype" w:cs="Tahoma"/>
          <w:i/>
          <w:iCs/>
          <w:color w:val="000000" w:themeColor="text1"/>
          <w:lang w:val="es-ES"/>
        </w:rPr>
      </w:pPr>
    </w:p>
    <w:p w:rsidR="00CA5608" w:rsidRPr="00D06747" w:rsidRDefault="00CA5608" w:rsidP="00CA5608">
      <w:pPr>
        <w:numPr>
          <w:ilvl w:val="0"/>
          <w:numId w:val="1"/>
        </w:numPr>
        <w:spacing w:line="360" w:lineRule="auto"/>
        <w:ind w:left="0" w:right="49" w:firstLine="0"/>
        <w:contextualSpacing/>
        <w:jc w:val="both"/>
        <w:rPr>
          <w:rFonts w:ascii="Palatino Linotype" w:eastAsia="Calibri" w:hAnsi="Palatino Linotype" w:cs="Tahoma"/>
          <w:color w:val="000000" w:themeColor="text1"/>
          <w:lang w:val="es-ES"/>
        </w:rPr>
      </w:pPr>
      <w:r w:rsidRPr="00D06747">
        <w:rPr>
          <w:rFonts w:ascii="Palatino Linotype" w:eastAsia="Calibri" w:hAnsi="Palatino Linotype" w:cs="Tahoma"/>
          <w:color w:val="000000" w:themeColor="text1"/>
          <w:lang w:val="es-ES"/>
        </w:rPr>
        <w:t xml:space="preserve">En consecuencia, este Órgano Garante advierte que en ningún momento el </w:t>
      </w:r>
      <w:r w:rsidRPr="00D06747">
        <w:rPr>
          <w:rFonts w:ascii="Palatino Linotype" w:eastAsia="Calibri" w:hAnsi="Palatino Linotype" w:cs="Tahoma"/>
          <w:b/>
          <w:color w:val="000000" w:themeColor="text1"/>
          <w:lang w:val="es-ES"/>
        </w:rPr>
        <w:t xml:space="preserve">SUJETO OBLIGADO </w:t>
      </w:r>
      <w:r w:rsidRPr="00D06747">
        <w:rPr>
          <w:rFonts w:ascii="Palatino Linotype" w:eastAsia="Calibri" w:hAnsi="Palatino Linotype" w:cs="Tahoma"/>
          <w:color w:val="000000" w:themeColor="text1"/>
          <w:lang w:val="es-ES"/>
        </w:rPr>
        <w:t>negó el acceso a la información solicitada, por el contrario, hizo entrega de diversas documentales que obran en sus archivos y que dan cuenta de lo requerido.</w:t>
      </w:r>
    </w:p>
    <w:p w:rsidR="00CA5608" w:rsidRPr="00D06747" w:rsidRDefault="00CA5608" w:rsidP="00CA5608">
      <w:pPr>
        <w:spacing w:line="360" w:lineRule="auto"/>
        <w:ind w:right="49"/>
        <w:contextualSpacing/>
        <w:jc w:val="both"/>
        <w:rPr>
          <w:rFonts w:ascii="Palatino Linotype" w:eastAsia="Calibri" w:hAnsi="Palatino Linotype" w:cs="Tahoma"/>
          <w:color w:val="000000" w:themeColor="text1"/>
          <w:lang w:val="es-ES"/>
        </w:rPr>
      </w:pPr>
    </w:p>
    <w:p w:rsidR="00CA5608" w:rsidRPr="00D06747" w:rsidRDefault="00CA5608" w:rsidP="00CA5608">
      <w:pPr>
        <w:numPr>
          <w:ilvl w:val="0"/>
          <w:numId w:val="1"/>
        </w:numPr>
        <w:spacing w:line="360" w:lineRule="auto"/>
        <w:ind w:left="0" w:right="49" w:firstLine="0"/>
        <w:contextualSpacing/>
        <w:jc w:val="both"/>
        <w:rPr>
          <w:rFonts w:ascii="Palatino Linotype" w:eastAsia="Calibri" w:hAnsi="Palatino Linotype" w:cs="Tahoma"/>
          <w:color w:val="000000" w:themeColor="text1"/>
          <w:lang w:val="es-ES"/>
        </w:rPr>
      </w:pPr>
      <w:r w:rsidRPr="00D06747">
        <w:rPr>
          <w:rFonts w:ascii="Palatino Linotype" w:eastAsia="Calibri" w:hAnsi="Palatino Linotype" w:cs="Tahoma"/>
          <w:color w:val="000000" w:themeColor="text1"/>
          <w:lang w:val="es-ES"/>
        </w:rPr>
        <w:lastRenderedPageBreak/>
        <w:t xml:space="preserve">En este sentido, en necesario </w:t>
      </w:r>
      <w:r w:rsidRPr="00D06747">
        <w:rPr>
          <w:rFonts w:ascii="Palatino Linotype" w:hAnsi="Palatino Linotype"/>
          <w:color w:val="000000" w:themeColor="text1"/>
        </w:rPr>
        <w:t xml:space="preserve">referir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Pr="00D06747">
        <w:rPr>
          <w:rFonts w:ascii="Palatino Linotype" w:hAnsi="Palatino Linotype"/>
          <w:b/>
          <w:bCs/>
          <w:color w:val="000000" w:themeColor="text1"/>
        </w:rPr>
        <w:t>SAIMEX.</w:t>
      </w:r>
    </w:p>
    <w:p w:rsidR="00CA5608" w:rsidRPr="00D06747" w:rsidRDefault="00CA5608" w:rsidP="00CA5608">
      <w:pPr>
        <w:rPr>
          <w:rFonts w:ascii="Palatino Linotype" w:eastAsia="Calibri" w:hAnsi="Palatino Linotype" w:cs="Tahoma"/>
          <w:color w:val="000000" w:themeColor="text1"/>
          <w:lang w:val="es-ES"/>
        </w:rPr>
      </w:pPr>
    </w:p>
    <w:p w:rsidR="00CA5608" w:rsidRPr="00D06747" w:rsidRDefault="00CA5608" w:rsidP="00CA5608">
      <w:pPr>
        <w:pStyle w:val="Prrafodelista"/>
        <w:numPr>
          <w:ilvl w:val="0"/>
          <w:numId w:val="1"/>
        </w:numPr>
        <w:suppressAutoHyphens/>
        <w:spacing w:line="360" w:lineRule="auto"/>
        <w:ind w:left="0" w:firstLine="0"/>
        <w:jc w:val="both"/>
        <w:rPr>
          <w:rFonts w:ascii="Palatino Linotype" w:hAnsi="Palatino Linotype"/>
          <w:color w:val="000000" w:themeColor="text1"/>
        </w:rPr>
      </w:pPr>
      <w:r w:rsidRPr="00D06747">
        <w:rPr>
          <w:rFonts w:ascii="Palatino Linotype" w:hAnsi="Palatino Linotype" w:cs="Arial"/>
          <w:color w:val="000000" w:themeColor="text1"/>
          <w:lang w:val="es-ES"/>
        </w:rPr>
        <w:t xml:space="preserve">Por otro lado, es necesario precisar que conforme a lo establecido en los artículos </w:t>
      </w:r>
      <w:r w:rsidRPr="00D06747">
        <w:rPr>
          <w:rFonts w:ascii="Palatino Linotype" w:hAnsi="Palatino Linotype" w:cs="Arial"/>
          <w:color w:val="000000" w:themeColor="text1"/>
        </w:rPr>
        <w:t xml:space="preserve">176 y 179 de la Ley de Transparencia y Acceso a la Información Pública del Estado de México y Municipios, el </w:t>
      </w:r>
      <w:r w:rsidRPr="00D06747">
        <w:rPr>
          <w:rFonts w:ascii="Palatino Linotype" w:hAnsi="Palatino Linotype" w:cs="Arial"/>
          <w:color w:val="000000" w:themeColor="text1"/>
          <w:lang w:val="es-ES"/>
        </w:rPr>
        <w:t>Recurso de Revisión</w:t>
      </w:r>
      <w:r w:rsidRPr="00D06747">
        <w:rPr>
          <w:rFonts w:ascii="Palatino Linotype" w:hAnsi="Palatino Linotype" w:cs="Arial"/>
          <w:color w:val="000000" w:themeColor="text1"/>
        </w:rPr>
        <w:t xml:space="preserve"> es la garantía secundaria que la Ley otorga a los Particulares para reparar cualquier posible afectación a su derecho de Acceso a la Información Pública; siendo éste el medio a través del cual, este Órgano Garante después de realizar el</w:t>
      </w:r>
      <w:r w:rsidRPr="00D06747">
        <w:rPr>
          <w:rFonts w:ascii="Palatino Linotype" w:hAnsi="Palatino Linotype"/>
          <w:color w:val="000000" w:themeColor="text1"/>
        </w:rPr>
        <w:t xml:space="preserve"> análisis al procedimiento de Acceso a la Información, podrá determinar la posible afectación y de ser el caso ordenar la reparación a la violación del derecho en cuestión.</w:t>
      </w:r>
    </w:p>
    <w:p w:rsidR="00CA5608" w:rsidRPr="00D06747" w:rsidRDefault="00CA5608" w:rsidP="00CA5608">
      <w:pPr>
        <w:pStyle w:val="Prrafodelista"/>
        <w:suppressAutoHyphens/>
        <w:spacing w:line="360" w:lineRule="auto"/>
        <w:ind w:left="0"/>
        <w:jc w:val="both"/>
        <w:rPr>
          <w:rFonts w:ascii="Palatino Linotype" w:hAnsi="Palatino Linotype"/>
          <w:color w:val="000000" w:themeColor="text1"/>
        </w:rPr>
      </w:pPr>
    </w:p>
    <w:p w:rsidR="00CA5608" w:rsidRPr="00D06747" w:rsidRDefault="00CA5608" w:rsidP="00CA5608">
      <w:pPr>
        <w:numPr>
          <w:ilvl w:val="0"/>
          <w:numId w:val="1"/>
        </w:numPr>
        <w:spacing w:line="360" w:lineRule="auto"/>
        <w:ind w:left="0" w:right="-28" w:firstLine="0"/>
        <w:contextualSpacing/>
        <w:jc w:val="both"/>
        <w:rPr>
          <w:rFonts w:ascii="Palatino Linotype" w:eastAsia="Calibri" w:hAnsi="Palatino Linotype" w:cs="Tahoma"/>
          <w:color w:val="000000" w:themeColor="text1"/>
          <w:lang w:val="es-ES"/>
        </w:rPr>
      </w:pPr>
      <w:r w:rsidRPr="00D06747">
        <w:rPr>
          <w:rFonts w:ascii="Palatino Linotype" w:eastAsia="Calibri" w:hAnsi="Palatino Linotype" w:cs="Tahoma"/>
          <w:color w:val="000000" w:themeColor="text1"/>
          <w:lang w:val="es-ES"/>
        </w:rPr>
        <w:t xml:space="preserve">Es </w:t>
      </w:r>
      <w:r w:rsidRPr="00D06747">
        <w:rPr>
          <w:rFonts w:ascii="Palatino Linotype" w:hAnsi="Palatino Linotype"/>
          <w:bCs/>
          <w:color w:val="000000" w:themeColor="text1"/>
        </w:rPr>
        <w:t>así que, la legislación adjetiva establece medios de impugnación o recursos a través de los cuales los particulares o las personas que se consideren afectados en la emisión de un acto de autoridad, cuentan con la posibilidad de impugnar aquél, con el objeto de que la misma autoridad que emitió el acto, o bien, un órgano superior, realice un nuevo análisis del asunto a efecto de determinar la legalidad o ilegalidad del acto que se combate.</w:t>
      </w:r>
    </w:p>
    <w:p w:rsidR="00CA5608" w:rsidRPr="00D06747" w:rsidRDefault="00CA5608" w:rsidP="00CA5608">
      <w:pPr>
        <w:spacing w:line="360" w:lineRule="auto"/>
        <w:ind w:right="-28"/>
        <w:contextualSpacing/>
        <w:jc w:val="both"/>
        <w:rPr>
          <w:rFonts w:ascii="Palatino Linotype" w:eastAsia="Calibri" w:hAnsi="Palatino Linotype" w:cs="Tahoma"/>
          <w:color w:val="000000" w:themeColor="text1"/>
          <w:lang w:val="es-ES"/>
        </w:rPr>
      </w:pPr>
    </w:p>
    <w:p w:rsidR="00CA5608" w:rsidRPr="00D06747" w:rsidRDefault="00CA5608" w:rsidP="00CA5608">
      <w:pPr>
        <w:pStyle w:val="Prrafodelista"/>
        <w:numPr>
          <w:ilvl w:val="0"/>
          <w:numId w:val="1"/>
        </w:numPr>
        <w:spacing w:line="360" w:lineRule="auto"/>
        <w:ind w:left="0" w:right="-28" w:firstLine="0"/>
        <w:jc w:val="both"/>
        <w:rPr>
          <w:rFonts w:ascii="Palatino Linotype" w:hAnsi="Palatino Linotype"/>
          <w:bCs/>
          <w:color w:val="000000" w:themeColor="text1"/>
        </w:rPr>
      </w:pPr>
      <w:r w:rsidRPr="00D06747">
        <w:rPr>
          <w:rFonts w:ascii="Palatino Linotype" w:hAnsi="Palatino Linotype"/>
          <w:bCs/>
          <w:color w:val="000000" w:themeColor="text1"/>
        </w:rPr>
        <w:lastRenderedPageBreak/>
        <w:t>También, es necesario precisar que los medios de impugnación constituyen recursos legales a través de los cuales se corrigen los errores cometidos tanto en el curso del procedimiento, como en el dictado de la resolución.</w:t>
      </w:r>
    </w:p>
    <w:p w:rsidR="00CA5608" w:rsidRPr="00D06747" w:rsidRDefault="00CA5608" w:rsidP="00CA5608">
      <w:pPr>
        <w:spacing w:line="360" w:lineRule="auto"/>
        <w:ind w:right="-28"/>
        <w:jc w:val="both"/>
        <w:rPr>
          <w:rFonts w:ascii="Palatino Linotype" w:hAnsi="Palatino Linotype"/>
          <w:bCs/>
          <w:color w:val="000000" w:themeColor="text1"/>
        </w:rPr>
      </w:pPr>
    </w:p>
    <w:p w:rsidR="00CA5608" w:rsidRPr="00D06747" w:rsidRDefault="00CA5608" w:rsidP="00CA5608">
      <w:pPr>
        <w:pStyle w:val="Prrafodelista"/>
        <w:numPr>
          <w:ilvl w:val="0"/>
          <w:numId w:val="1"/>
        </w:numPr>
        <w:spacing w:line="360" w:lineRule="auto"/>
        <w:ind w:left="0" w:right="-28" w:firstLine="0"/>
        <w:jc w:val="both"/>
        <w:rPr>
          <w:rFonts w:ascii="Palatino Linotype" w:hAnsi="Palatino Linotype"/>
          <w:bCs/>
          <w:color w:val="000000" w:themeColor="text1"/>
        </w:rPr>
      </w:pPr>
      <w:r w:rsidRPr="00D06747">
        <w:rPr>
          <w:rFonts w:ascii="Palatino Linotype" w:hAnsi="Palatino Linotype"/>
          <w:bCs/>
          <w:color w:val="000000" w:themeColor="text1"/>
        </w:rPr>
        <w:t xml:space="preserve">Conforme a los argumentos anteriormente expuestos, se afirma que la finalidad de un recurso o medio de impugnación consiste en que ya sea la misma autoridad que emite el acto, un superior o distinta autoridad, estudie la legalidad de la resolución que se impugna con el objeto confirmar, revocar o modificar éste; por ende, para lograr este objetivo es indispensable que </w:t>
      </w:r>
      <w:r w:rsidRPr="00D06747">
        <w:rPr>
          <w:rFonts w:ascii="Palatino Linotype" w:hAnsi="Palatino Linotype"/>
          <w:b/>
          <w:color w:val="000000" w:themeColor="text1"/>
        </w:rPr>
        <w:t>L</w:t>
      </w:r>
      <w:r w:rsidR="005272D6" w:rsidRPr="00D06747">
        <w:rPr>
          <w:rFonts w:ascii="Palatino Linotype" w:hAnsi="Palatino Linotype"/>
          <w:b/>
          <w:color w:val="000000" w:themeColor="text1"/>
        </w:rPr>
        <w:t>A</w:t>
      </w:r>
      <w:r w:rsidRPr="00D06747">
        <w:rPr>
          <w:rFonts w:ascii="Palatino Linotype" w:hAnsi="Palatino Linotype"/>
          <w:b/>
          <w:color w:val="000000" w:themeColor="text1"/>
        </w:rPr>
        <w:t xml:space="preserve"> RECURRENTE</w:t>
      </w:r>
      <w:r w:rsidRPr="00D06747">
        <w:rPr>
          <w:rFonts w:ascii="Palatino Linotype" w:hAnsi="Palatino Linotype"/>
          <w:bCs/>
          <w:color w:val="000000" w:themeColor="text1"/>
        </w:rPr>
        <w:t>, señale la causa, motivo o circunstancia por la que considera que el acto que impugna le causa perjuicio o lesión a sus intereses.</w:t>
      </w:r>
    </w:p>
    <w:p w:rsidR="00CA5608" w:rsidRPr="00D06747" w:rsidRDefault="00CA5608" w:rsidP="00CA5608">
      <w:pPr>
        <w:spacing w:line="360" w:lineRule="auto"/>
        <w:ind w:right="-28"/>
        <w:jc w:val="both"/>
        <w:rPr>
          <w:rFonts w:ascii="Palatino Linotype" w:hAnsi="Palatino Linotype"/>
          <w:bCs/>
          <w:color w:val="000000" w:themeColor="text1"/>
        </w:rPr>
      </w:pPr>
    </w:p>
    <w:p w:rsidR="00CA5608" w:rsidRPr="00D06747" w:rsidRDefault="00CA5608" w:rsidP="00CA5608">
      <w:pPr>
        <w:pStyle w:val="Prrafodelista"/>
        <w:numPr>
          <w:ilvl w:val="0"/>
          <w:numId w:val="1"/>
        </w:numPr>
        <w:spacing w:line="360" w:lineRule="auto"/>
        <w:ind w:left="0" w:right="-28" w:firstLine="0"/>
        <w:jc w:val="both"/>
        <w:rPr>
          <w:rFonts w:ascii="Palatino Linotype" w:hAnsi="Palatino Linotype"/>
          <w:b/>
          <w:bCs/>
          <w:color w:val="000000" w:themeColor="text1"/>
        </w:rPr>
      </w:pPr>
      <w:r w:rsidRPr="00D06747">
        <w:rPr>
          <w:rFonts w:ascii="Palatino Linotype" w:hAnsi="Palatino Linotype"/>
          <w:bCs/>
          <w:color w:val="000000" w:themeColor="text1"/>
        </w:rPr>
        <w:t xml:space="preserve">Asimismo, es importante destacar que los motivos de inconformidad o agravios expresados en un Recurso de Revisión deben tener por objeto combatir los argumentos sustentados en la respuesta impugnada, lo que implica que el límite de un recurso es el estudio efectuado a los motivos de inconformidad que </w:t>
      </w:r>
      <w:r w:rsidRPr="00D06747">
        <w:rPr>
          <w:rFonts w:ascii="Palatino Linotype" w:hAnsi="Palatino Linotype"/>
          <w:b/>
          <w:bCs/>
          <w:color w:val="000000" w:themeColor="text1"/>
        </w:rPr>
        <w:t>deben necesariamente tener relación directa con la materia del acto combatido.</w:t>
      </w:r>
    </w:p>
    <w:p w:rsidR="00CA5608" w:rsidRPr="00D06747" w:rsidRDefault="00CA5608" w:rsidP="00CA5608">
      <w:pPr>
        <w:pStyle w:val="Prrafodelista"/>
        <w:rPr>
          <w:rFonts w:ascii="Palatino Linotype" w:hAnsi="Palatino Linotype"/>
          <w:b/>
          <w:bCs/>
          <w:color w:val="000000" w:themeColor="text1"/>
        </w:rPr>
      </w:pPr>
    </w:p>
    <w:p w:rsidR="00CA5608" w:rsidRPr="00D06747" w:rsidRDefault="00CA5608" w:rsidP="00CA5608">
      <w:pPr>
        <w:pStyle w:val="Prrafodelista"/>
        <w:spacing w:line="360" w:lineRule="auto"/>
        <w:ind w:left="0" w:right="-28"/>
        <w:jc w:val="both"/>
        <w:rPr>
          <w:rFonts w:ascii="Palatino Linotype" w:hAnsi="Palatino Linotype"/>
          <w:b/>
          <w:bCs/>
          <w:color w:val="000000" w:themeColor="text1"/>
        </w:rPr>
      </w:pPr>
    </w:p>
    <w:p w:rsidR="00CA5608" w:rsidRPr="00D06747" w:rsidRDefault="00CA5608" w:rsidP="00CA5608">
      <w:pPr>
        <w:pStyle w:val="Prrafodelista"/>
        <w:numPr>
          <w:ilvl w:val="0"/>
          <w:numId w:val="1"/>
        </w:numPr>
        <w:spacing w:line="360" w:lineRule="auto"/>
        <w:ind w:left="0" w:right="-28" w:firstLine="0"/>
        <w:jc w:val="both"/>
        <w:rPr>
          <w:rFonts w:ascii="Palatino Linotype" w:hAnsi="Palatino Linotype"/>
          <w:bCs/>
          <w:color w:val="000000" w:themeColor="text1"/>
        </w:rPr>
      </w:pPr>
      <w:r w:rsidRPr="00D06747">
        <w:rPr>
          <w:rFonts w:ascii="Palatino Linotype" w:hAnsi="Palatino Linotype"/>
          <w:bCs/>
          <w:color w:val="000000" w:themeColor="text1"/>
        </w:rPr>
        <w:t>Lo anterior es así, en atención a que como se ha expuesto, las manif</w:t>
      </w:r>
      <w:r w:rsidR="005272D6" w:rsidRPr="00D06747">
        <w:rPr>
          <w:rFonts w:ascii="Palatino Linotype" w:hAnsi="Palatino Linotype"/>
          <w:bCs/>
          <w:color w:val="000000" w:themeColor="text1"/>
        </w:rPr>
        <w:t xml:space="preserve">estaciones de las que se duele </w:t>
      </w:r>
      <w:r w:rsidRPr="00D06747">
        <w:rPr>
          <w:rFonts w:ascii="Palatino Linotype" w:hAnsi="Palatino Linotype"/>
          <w:bCs/>
          <w:color w:val="000000" w:themeColor="text1"/>
        </w:rPr>
        <w:t>l</w:t>
      </w:r>
      <w:r w:rsidR="005272D6" w:rsidRPr="00D06747">
        <w:rPr>
          <w:rFonts w:ascii="Palatino Linotype" w:hAnsi="Palatino Linotype"/>
          <w:bCs/>
          <w:color w:val="000000" w:themeColor="text1"/>
        </w:rPr>
        <w:t>a</w:t>
      </w:r>
      <w:r w:rsidRPr="00D06747">
        <w:rPr>
          <w:rFonts w:ascii="Palatino Linotype" w:hAnsi="Palatino Linotype"/>
          <w:bCs/>
          <w:color w:val="000000" w:themeColor="text1"/>
        </w:rPr>
        <w:t xml:space="preserve"> </w:t>
      </w:r>
      <w:r w:rsidRPr="00D06747">
        <w:rPr>
          <w:rFonts w:ascii="Palatino Linotype" w:hAnsi="Palatino Linotype"/>
          <w:b/>
          <w:color w:val="000000" w:themeColor="text1"/>
        </w:rPr>
        <w:t>RECURRENTE</w:t>
      </w:r>
      <w:r w:rsidRPr="00D06747">
        <w:rPr>
          <w:rFonts w:ascii="Palatino Linotype" w:hAnsi="Palatino Linotype"/>
          <w:bCs/>
          <w:color w:val="000000" w:themeColor="text1"/>
        </w:rPr>
        <w:t xml:space="preserve"> deben llevar un perjuicio o motivo de inconformidad, que constituya una la lesión, menoscabo o afectación que una persona sufre en sus derechos en virtud de la emisión de un acto de autoridad. </w:t>
      </w:r>
    </w:p>
    <w:p w:rsidR="00CA5608" w:rsidRPr="00D06747" w:rsidRDefault="00CA5608" w:rsidP="00CA5608">
      <w:pPr>
        <w:spacing w:line="360" w:lineRule="auto"/>
        <w:jc w:val="both"/>
        <w:rPr>
          <w:rFonts w:ascii="Palatino Linotype" w:hAnsi="Palatino Linotype"/>
          <w:bCs/>
          <w:color w:val="000000" w:themeColor="text1"/>
        </w:rPr>
      </w:pPr>
    </w:p>
    <w:p w:rsidR="00CA5608" w:rsidRPr="00D06747" w:rsidRDefault="00CA5608" w:rsidP="00CA5608">
      <w:pPr>
        <w:pStyle w:val="Prrafodelista"/>
        <w:numPr>
          <w:ilvl w:val="0"/>
          <w:numId w:val="1"/>
        </w:numPr>
        <w:spacing w:line="360" w:lineRule="auto"/>
        <w:ind w:left="0" w:firstLine="0"/>
        <w:jc w:val="both"/>
        <w:rPr>
          <w:rFonts w:ascii="Palatino Linotype" w:hAnsi="Palatino Linotype" w:cs="Arial"/>
          <w:color w:val="000000" w:themeColor="text1"/>
        </w:rPr>
      </w:pPr>
      <w:r w:rsidRPr="00D06747">
        <w:rPr>
          <w:rFonts w:ascii="Palatino Linotype" w:hAnsi="Palatino Linotype" w:cs="Arial"/>
          <w:color w:val="000000" w:themeColor="text1"/>
        </w:rPr>
        <w:lastRenderedPageBreak/>
        <w:t xml:space="preserve">Por lo que, del análisis realizado a las manifestaciones vertidas por el particular como acto impugnado; así como razones o motivos de inconformidad, donde manifestó textualmente </w:t>
      </w:r>
      <w:r w:rsidRPr="00D06747">
        <w:rPr>
          <w:rFonts w:ascii="Palatino Linotype" w:hAnsi="Palatino Linotype"/>
          <w:b/>
          <w:i/>
          <w:iCs/>
          <w:color w:val="000000" w:themeColor="text1"/>
          <w:u w:val="single"/>
        </w:rPr>
        <w:t>“O</w:t>
      </w:r>
      <w:r w:rsidRPr="00D06747">
        <w:rPr>
          <w:rFonts w:ascii="Palatino Linotype" w:hAnsi="Palatino Linotype"/>
          <w:b/>
          <w:i/>
          <w:color w:val="000000" w:themeColor="text1"/>
          <w:u w:val="single"/>
        </w:rPr>
        <w:t>CULTAN LA INFORMACION VERDADERA</w:t>
      </w:r>
      <w:r w:rsidRPr="00D06747">
        <w:rPr>
          <w:rFonts w:ascii="Palatino Linotype" w:hAnsi="Palatino Linotype"/>
          <w:b/>
          <w:i/>
          <w:iCs/>
          <w:color w:val="000000" w:themeColor="text1"/>
          <w:u w:val="single"/>
        </w:rPr>
        <w:t>"</w:t>
      </w:r>
      <w:r w:rsidRPr="00D06747">
        <w:rPr>
          <w:rFonts w:ascii="Palatino Linotype" w:hAnsi="Palatino Linotype"/>
          <w:b/>
          <w:i/>
          <w:iCs/>
          <w:color w:val="000000" w:themeColor="text1"/>
        </w:rPr>
        <w:t xml:space="preserve"> (Sic)</w:t>
      </w:r>
      <w:r w:rsidRPr="00D06747">
        <w:rPr>
          <w:rFonts w:ascii="Palatino Linotype" w:hAnsi="Palatino Linotype" w:cs="Arial"/>
          <w:color w:val="000000" w:themeColor="text1"/>
        </w:rPr>
        <w:t xml:space="preserve">, este Órgano Garante advierte que </w:t>
      </w:r>
      <w:r w:rsidRPr="00D06747">
        <w:rPr>
          <w:rFonts w:ascii="Palatino Linotype" w:hAnsi="Palatino Linotype" w:cs="Arial"/>
          <w:b/>
          <w:bCs/>
          <w:color w:val="000000" w:themeColor="text1"/>
        </w:rPr>
        <w:t>impugna la veracidad de la información proporcionada</w:t>
      </w:r>
      <w:r w:rsidRPr="00D06747">
        <w:rPr>
          <w:rFonts w:ascii="Palatino Linotype" w:eastAsia="Arial Unicode MS" w:hAnsi="Palatino Linotype" w:cs="Arial"/>
          <w:color w:val="000000" w:themeColor="text1"/>
        </w:rPr>
        <w:t xml:space="preserve">, situación que actualiza las causales de improcedencia establecida en el artículo 191, fracción V, de la </w:t>
      </w:r>
      <w:r w:rsidRPr="00D06747">
        <w:rPr>
          <w:rFonts w:ascii="Palatino Linotype" w:hAnsi="Palatino Linotype" w:cs="Arial"/>
          <w:color w:val="000000" w:themeColor="text1"/>
        </w:rPr>
        <w:t>Ley de Transparencia y Acceso a la Información Pública del Estado de México y Municipios; que a la letra dice:</w:t>
      </w:r>
    </w:p>
    <w:p w:rsidR="00CA5608" w:rsidRPr="00D06747" w:rsidRDefault="00CA5608" w:rsidP="00CA5608">
      <w:pPr>
        <w:spacing w:line="360" w:lineRule="auto"/>
        <w:jc w:val="both"/>
        <w:rPr>
          <w:rFonts w:ascii="Palatino Linotype" w:hAnsi="Palatino Linotype" w:cs="Arial"/>
          <w:color w:val="000000" w:themeColor="text1"/>
        </w:rPr>
      </w:pPr>
    </w:p>
    <w:p w:rsidR="00CA5608" w:rsidRPr="00D06747" w:rsidRDefault="00CA5608" w:rsidP="00CA5608">
      <w:pPr>
        <w:ind w:left="567" w:right="539"/>
        <w:jc w:val="both"/>
        <w:rPr>
          <w:rFonts w:ascii="Palatino Linotype" w:hAnsi="Palatino Linotype" w:cs="Arial"/>
          <w:i/>
          <w:color w:val="000000" w:themeColor="text1"/>
        </w:rPr>
      </w:pPr>
      <w:r w:rsidRPr="00D06747">
        <w:rPr>
          <w:rFonts w:ascii="Palatino Linotype" w:hAnsi="Palatino Linotype" w:cs="Arial"/>
          <w:i/>
          <w:color w:val="000000" w:themeColor="text1"/>
        </w:rPr>
        <w:t>“</w:t>
      </w:r>
      <w:r w:rsidRPr="00D06747">
        <w:rPr>
          <w:rFonts w:ascii="Palatino Linotype" w:hAnsi="Palatino Linotype" w:cs="Arial"/>
          <w:b/>
          <w:i/>
          <w:color w:val="000000" w:themeColor="text1"/>
        </w:rPr>
        <w:t xml:space="preserve">Artículo 191. </w:t>
      </w:r>
      <w:r w:rsidRPr="00D06747">
        <w:rPr>
          <w:rFonts w:ascii="Palatino Linotype" w:hAnsi="Palatino Linotype" w:cs="Arial"/>
          <w:i/>
          <w:color w:val="000000" w:themeColor="text1"/>
        </w:rPr>
        <w:t>El recurso será desechado por improcedente cuando:</w:t>
      </w:r>
    </w:p>
    <w:p w:rsidR="00CA5608" w:rsidRPr="00D06747" w:rsidRDefault="00CA5608" w:rsidP="00CA5608">
      <w:pPr>
        <w:ind w:left="567" w:right="539"/>
        <w:jc w:val="both"/>
        <w:rPr>
          <w:rFonts w:ascii="Palatino Linotype" w:hAnsi="Palatino Linotype" w:cs="Arial"/>
          <w:i/>
          <w:color w:val="000000" w:themeColor="text1"/>
        </w:rPr>
      </w:pPr>
      <w:r w:rsidRPr="00D06747">
        <w:rPr>
          <w:rFonts w:ascii="Palatino Linotype" w:hAnsi="Palatino Linotype" w:cs="Arial"/>
          <w:i/>
          <w:color w:val="000000" w:themeColor="text1"/>
        </w:rPr>
        <w:t>(…)</w:t>
      </w:r>
    </w:p>
    <w:p w:rsidR="00CA5608" w:rsidRPr="00D06747" w:rsidRDefault="00CA5608" w:rsidP="00CA5608">
      <w:pPr>
        <w:ind w:left="567" w:right="539"/>
        <w:jc w:val="both"/>
        <w:rPr>
          <w:rFonts w:ascii="Palatino Linotype" w:hAnsi="Palatino Linotype" w:cs="Arial"/>
          <w:b/>
          <w:i/>
          <w:color w:val="000000" w:themeColor="text1"/>
        </w:rPr>
      </w:pPr>
      <w:r w:rsidRPr="00D06747">
        <w:rPr>
          <w:rFonts w:ascii="Palatino Linotype" w:hAnsi="Palatino Linotype" w:cs="Arial"/>
          <w:b/>
          <w:i/>
          <w:color w:val="000000" w:themeColor="text1"/>
        </w:rPr>
        <w:t>V. Se impugne la veracidad de la información proporcionada;</w:t>
      </w:r>
    </w:p>
    <w:p w:rsidR="00CA5608" w:rsidRPr="00D06747" w:rsidRDefault="00CA5608" w:rsidP="00CA5608">
      <w:pPr>
        <w:ind w:left="567" w:right="539"/>
        <w:jc w:val="both"/>
        <w:rPr>
          <w:rFonts w:ascii="Palatino Linotype" w:hAnsi="Palatino Linotype" w:cs="Arial"/>
          <w:b/>
          <w:i/>
          <w:color w:val="000000" w:themeColor="text1"/>
        </w:rPr>
      </w:pPr>
    </w:p>
    <w:p w:rsidR="00CA5608" w:rsidRPr="00D06747" w:rsidRDefault="00CA5608" w:rsidP="00CA5608">
      <w:pPr>
        <w:ind w:left="567" w:right="539"/>
        <w:jc w:val="both"/>
        <w:rPr>
          <w:rFonts w:ascii="Palatino Linotype" w:hAnsi="Palatino Linotype" w:cs="Arial"/>
          <w:b/>
          <w:i/>
          <w:color w:val="000000" w:themeColor="text1"/>
        </w:rPr>
      </w:pPr>
      <w:r w:rsidRPr="00D06747">
        <w:rPr>
          <w:rFonts w:ascii="Palatino Linotype" w:hAnsi="Palatino Linotype" w:cs="Arial"/>
          <w:i/>
          <w:color w:val="000000" w:themeColor="text1"/>
        </w:rPr>
        <w:t>(…)”</w:t>
      </w:r>
    </w:p>
    <w:p w:rsidR="00CA5608" w:rsidRPr="00D06747" w:rsidRDefault="00CA5608" w:rsidP="00CA5608">
      <w:pPr>
        <w:spacing w:line="360" w:lineRule="auto"/>
        <w:jc w:val="both"/>
        <w:rPr>
          <w:rFonts w:ascii="Palatino Linotype" w:hAnsi="Palatino Linotype" w:cs="Arial"/>
          <w:color w:val="000000" w:themeColor="text1"/>
        </w:rPr>
      </w:pPr>
    </w:p>
    <w:p w:rsidR="00CA5608" w:rsidRPr="00D06747" w:rsidRDefault="00CA5608" w:rsidP="00CA5608">
      <w:pPr>
        <w:pStyle w:val="Prrafodelista"/>
        <w:numPr>
          <w:ilvl w:val="0"/>
          <w:numId w:val="1"/>
        </w:numPr>
        <w:spacing w:line="360" w:lineRule="auto"/>
        <w:ind w:left="0" w:firstLine="0"/>
        <w:jc w:val="both"/>
        <w:rPr>
          <w:rFonts w:ascii="Palatino Linotype" w:hAnsi="Palatino Linotype"/>
          <w:b/>
          <w:color w:val="000000" w:themeColor="text1"/>
        </w:rPr>
      </w:pPr>
      <w:r w:rsidRPr="00D06747">
        <w:rPr>
          <w:rFonts w:ascii="Palatino Linotype" w:hAnsi="Palatino Linotype"/>
          <w:bCs/>
          <w:color w:val="000000" w:themeColor="text1"/>
        </w:rPr>
        <w:t>Es así que, no debe perderse de vista que la materia del Recurso de Revisión versa sobre los motivos de i</w:t>
      </w:r>
      <w:r w:rsidR="005272D6" w:rsidRPr="00D06747">
        <w:rPr>
          <w:rFonts w:ascii="Palatino Linotype" w:hAnsi="Palatino Linotype"/>
          <w:bCs/>
          <w:color w:val="000000" w:themeColor="text1"/>
        </w:rPr>
        <w:t xml:space="preserve">nconformidad que ha de señalar </w:t>
      </w:r>
      <w:r w:rsidRPr="00D06747">
        <w:rPr>
          <w:rFonts w:ascii="Palatino Linotype" w:hAnsi="Palatino Linotype"/>
          <w:bCs/>
          <w:color w:val="000000" w:themeColor="text1"/>
        </w:rPr>
        <w:t>l</w:t>
      </w:r>
      <w:r w:rsidR="005272D6" w:rsidRPr="00D06747">
        <w:rPr>
          <w:rFonts w:ascii="Palatino Linotype" w:hAnsi="Palatino Linotype"/>
          <w:bCs/>
          <w:color w:val="000000" w:themeColor="text1"/>
        </w:rPr>
        <w:t>a</w:t>
      </w:r>
      <w:r w:rsidRPr="00D06747">
        <w:rPr>
          <w:rFonts w:ascii="Palatino Linotype" w:hAnsi="Palatino Linotype"/>
          <w:b/>
          <w:color w:val="000000" w:themeColor="text1"/>
        </w:rPr>
        <w:t xml:space="preserve"> RECURRENTE</w:t>
      </w:r>
      <w:r w:rsidRPr="00D06747">
        <w:rPr>
          <w:rFonts w:ascii="Palatino Linotype" w:hAnsi="Palatino Linotype"/>
          <w:bCs/>
          <w:color w:val="000000" w:themeColor="text1"/>
        </w:rPr>
        <w:t>, los cuales tendrán por objeto desvirtuar o demostrar la ilegalidad de la respuesta impugnada; situación que en el presente caso no aconteció, toda vez que l</w:t>
      </w:r>
      <w:r w:rsidR="005272D6" w:rsidRPr="00D06747">
        <w:rPr>
          <w:rFonts w:ascii="Palatino Linotype" w:hAnsi="Palatino Linotype"/>
          <w:bCs/>
          <w:color w:val="000000" w:themeColor="text1"/>
        </w:rPr>
        <w:t>a</w:t>
      </w:r>
      <w:r w:rsidRPr="00D06747">
        <w:rPr>
          <w:rFonts w:ascii="Palatino Linotype" w:hAnsi="Palatino Linotype"/>
          <w:b/>
          <w:color w:val="000000" w:themeColor="text1"/>
        </w:rPr>
        <w:t xml:space="preserve"> RECURRENTE</w:t>
      </w:r>
      <w:r w:rsidRPr="00D06747">
        <w:rPr>
          <w:rFonts w:ascii="Palatino Linotype" w:hAnsi="Palatino Linotype"/>
          <w:bCs/>
          <w:color w:val="000000" w:themeColor="text1"/>
        </w:rPr>
        <w:t xml:space="preserve"> impugnó la veracidad de la información proporcionada por el</w:t>
      </w:r>
      <w:r w:rsidRPr="00D06747">
        <w:rPr>
          <w:rFonts w:ascii="Palatino Linotype" w:hAnsi="Palatino Linotype"/>
          <w:b/>
          <w:color w:val="000000" w:themeColor="text1"/>
        </w:rPr>
        <w:t xml:space="preserve"> SUJETO OBLIGADO. </w:t>
      </w:r>
    </w:p>
    <w:p w:rsidR="00CA5608" w:rsidRPr="00D06747" w:rsidRDefault="00CA5608" w:rsidP="00CA5608">
      <w:pPr>
        <w:pStyle w:val="Prrafodelista"/>
        <w:spacing w:line="360" w:lineRule="auto"/>
        <w:ind w:left="0"/>
        <w:jc w:val="both"/>
        <w:rPr>
          <w:rFonts w:ascii="Palatino Linotype" w:hAnsi="Palatino Linotype"/>
          <w:b/>
          <w:color w:val="000000" w:themeColor="text1"/>
        </w:rPr>
      </w:pPr>
    </w:p>
    <w:p w:rsidR="00CA5608" w:rsidRPr="00D06747" w:rsidRDefault="00CA5608" w:rsidP="00CA5608">
      <w:pPr>
        <w:pStyle w:val="Prrafodelista"/>
        <w:numPr>
          <w:ilvl w:val="0"/>
          <w:numId w:val="1"/>
        </w:numPr>
        <w:spacing w:line="360" w:lineRule="auto"/>
        <w:ind w:left="0" w:firstLine="0"/>
        <w:jc w:val="both"/>
        <w:rPr>
          <w:rFonts w:ascii="Palatino Linotype" w:hAnsi="Palatino Linotype" w:cs="Arial"/>
          <w:color w:val="000000" w:themeColor="text1"/>
        </w:rPr>
      </w:pPr>
      <w:r w:rsidRPr="00D06747">
        <w:rPr>
          <w:rFonts w:ascii="Palatino Linotype" w:hAnsi="Palatino Linotype" w:cs="Arial"/>
          <w:color w:val="000000" w:themeColor="text1"/>
        </w:rPr>
        <w:t>Derivado de lo anterior, es importante traer a contexto lo dispuesto en los artículos 186 y 192 de la Ley de Transparencia y Acceso a la Información Pública del Estado de México y Municipios, los cuales disponen lo siguiente:</w:t>
      </w:r>
    </w:p>
    <w:p w:rsidR="00CA5608" w:rsidRPr="00D06747" w:rsidRDefault="00CA5608" w:rsidP="00CA5608">
      <w:pPr>
        <w:autoSpaceDE w:val="0"/>
        <w:autoSpaceDN w:val="0"/>
        <w:adjustRightInd w:val="0"/>
        <w:ind w:left="567" w:right="539"/>
        <w:jc w:val="both"/>
        <w:rPr>
          <w:rFonts w:ascii="Palatino Linotype" w:hAnsi="Palatino Linotype" w:cs="Bookman Old Style"/>
          <w:i/>
          <w:color w:val="000000" w:themeColor="text1"/>
        </w:rPr>
      </w:pPr>
      <w:r w:rsidRPr="00D06747">
        <w:rPr>
          <w:rFonts w:ascii="Palatino Linotype" w:hAnsi="Palatino Linotype" w:cs="Bookman Old Style,Bold"/>
          <w:b/>
          <w:bCs/>
          <w:i/>
          <w:color w:val="000000" w:themeColor="text1"/>
        </w:rPr>
        <w:t xml:space="preserve">“Artículo 186. </w:t>
      </w:r>
      <w:r w:rsidRPr="00D06747">
        <w:rPr>
          <w:rFonts w:ascii="Palatino Linotype" w:hAnsi="Palatino Linotype" w:cs="Bookman Old Style"/>
          <w:i/>
          <w:color w:val="000000" w:themeColor="text1"/>
        </w:rPr>
        <w:t>Las resoluciones del Instituto podrán:</w:t>
      </w:r>
    </w:p>
    <w:p w:rsidR="00CA5608" w:rsidRPr="00D06747" w:rsidRDefault="00CA5608" w:rsidP="00CA5608">
      <w:pPr>
        <w:autoSpaceDE w:val="0"/>
        <w:autoSpaceDN w:val="0"/>
        <w:adjustRightInd w:val="0"/>
        <w:ind w:left="567" w:right="539"/>
        <w:jc w:val="both"/>
        <w:rPr>
          <w:rFonts w:ascii="Palatino Linotype" w:hAnsi="Palatino Linotype" w:cs="Bookman Old Style"/>
          <w:i/>
          <w:color w:val="000000" w:themeColor="text1"/>
        </w:rPr>
      </w:pPr>
      <w:r w:rsidRPr="00D06747">
        <w:rPr>
          <w:rFonts w:ascii="Palatino Linotype" w:hAnsi="Palatino Linotype" w:cs="Bookman Old Style,Bold"/>
          <w:b/>
          <w:bCs/>
          <w:i/>
          <w:color w:val="000000" w:themeColor="text1"/>
        </w:rPr>
        <w:t xml:space="preserve">I. </w:t>
      </w:r>
      <w:r w:rsidRPr="00D06747">
        <w:rPr>
          <w:rFonts w:ascii="Palatino Linotype" w:hAnsi="Palatino Linotype" w:cs="Bookman Old Style"/>
          <w:i/>
          <w:color w:val="000000" w:themeColor="text1"/>
        </w:rPr>
        <w:t>Desechar o sobreseer el recurso;</w:t>
      </w:r>
    </w:p>
    <w:p w:rsidR="00CA5608" w:rsidRPr="00D06747" w:rsidRDefault="00CA5608" w:rsidP="00CA5608">
      <w:pPr>
        <w:autoSpaceDE w:val="0"/>
        <w:autoSpaceDN w:val="0"/>
        <w:adjustRightInd w:val="0"/>
        <w:ind w:left="567" w:right="539"/>
        <w:jc w:val="both"/>
        <w:rPr>
          <w:rFonts w:ascii="Palatino Linotype" w:hAnsi="Palatino Linotype" w:cs="Bookman Old Style"/>
          <w:i/>
          <w:color w:val="000000" w:themeColor="text1"/>
        </w:rPr>
      </w:pPr>
      <w:r w:rsidRPr="00D06747">
        <w:rPr>
          <w:rFonts w:ascii="Palatino Linotype" w:hAnsi="Palatino Linotype" w:cs="Bookman Old Style,Bold"/>
          <w:b/>
          <w:bCs/>
          <w:i/>
          <w:color w:val="000000" w:themeColor="text1"/>
        </w:rPr>
        <w:lastRenderedPageBreak/>
        <w:t xml:space="preserve">II. </w:t>
      </w:r>
      <w:r w:rsidRPr="00D06747">
        <w:rPr>
          <w:rFonts w:ascii="Palatino Linotype" w:hAnsi="Palatino Linotype" w:cs="Bookman Old Style"/>
          <w:i/>
          <w:color w:val="000000" w:themeColor="text1"/>
        </w:rPr>
        <w:t>Confirmar la respuesta del sujeto obligado;</w:t>
      </w:r>
    </w:p>
    <w:p w:rsidR="00CA5608" w:rsidRPr="00D06747" w:rsidRDefault="00CA5608" w:rsidP="00CA5608">
      <w:pPr>
        <w:autoSpaceDE w:val="0"/>
        <w:autoSpaceDN w:val="0"/>
        <w:adjustRightInd w:val="0"/>
        <w:ind w:left="567" w:right="539"/>
        <w:jc w:val="both"/>
        <w:rPr>
          <w:rFonts w:ascii="Palatino Linotype" w:hAnsi="Palatino Linotype" w:cs="Bookman Old Style"/>
          <w:i/>
          <w:color w:val="000000" w:themeColor="text1"/>
        </w:rPr>
      </w:pPr>
      <w:r w:rsidRPr="00D06747">
        <w:rPr>
          <w:rFonts w:ascii="Palatino Linotype" w:hAnsi="Palatino Linotype" w:cs="Bookman Old Style,Bold"/>
          <w:b/>
          <w:bCs/>
          <w:i/>
          <w:color w:val="000000" w:themeColor="text1"/>
        </w:rPr>
        <w:t xml:space="preserve">III. </w:t>
      </w:r>
      <w:r w:rsidRPr="00D06747">
        <w:rPr>
          <w:rFonts w:ascii="Palatino Linotype" w:hAnsi="Palatino Linotype" w:cs="Bookman Old Style"/>
          <w:i/>
          <w:color w:val="000000" w:themeColor="text1"/>
        </w:rPr>
        <w:t>Revocar o modificar la respuesta del sujeto obligado; y</w:t>
      </w:r>
    </w:p>
    <w:p w:rsidR="00CA5608" w:rsidRPr="00D06747" w:rsidRDefault="00CA5608" w:rsidP="00CA5608">
      <w:pPr>
        <w:ind w:left="567" w:right="539"/>
        <w:jc w:val="both"/>
        <w:rPr>
          <w:rFonts w:ascii="Palatino Linotype" w:hAnsi="Palatino Linotype" w:cs="Bookman Old Style"/>
          <w:i/>
          <w:color w:val="000000" w:themeColor="text1"/>
        </w:rPr>
      </w:pPr>
      <w:r w:rsidRPr="00D06747">
        <w:rPr>
          <w:rFonts w:ascii="Palatino Linotype" w:hAnsi="Palatino Linotype" w:cs="Bookman Old Style,Bold"/>
          <w:b/>
          <w:bCs/>
          <w:i/>
          <w:color w:val="000000" w:themeColor="text1"/>
        </w:rPr>
        <w:t xml:space="preserve">IV. </w:t>
      </w:r>
      <w:r w:rsidRPr="00D06747">
        <w:rPr>
          <w:rFonts w:ascii="Palatino Linotype" w:hAnsi="Palatino Linotype" w:cs="Bookman Old Style"/>
          <w:i/>
          <w:color w:val="000000" w:themeColor="text1"/>
        </w:rPr>
        <w:t>Ordenar la entrega de la información</w:t>
      </w:r>
    </w:p>
    <w:p w:rsidR="00CA5608" w:rsidRPr="00D06747" w:rsidRDefault="00CA5608" w:rsidP="00CA5608">
      <w:pPr>
        <w:ind w:left="567" w:right="539"/>
        <w:jc w:val="both"/>
        <w:rPr>
          <w:rFonts w:ascii="Palatino Linotype" w:hAnsi="Palatino Linotype" w:cs="Bookman Old Style"/>
          <w:i/>
          <w:color w:val="000000" w:themeColor="text1"/>
        </w:rPr>
      </w:pPr>
      <w:r w:rsidRPr="00D06747">
        <w:rPr>
          <w:rFonts w:ascii="Palatino Linotype" w:hAnsi="Palatino Linotype" w:cs="Bookman Old Style,Bold"/>
          <w:b/>
          <w:bCs/>
          <w:i/>
          <w:color w:val="000000" w:themeColor="text1"/>
        </w:rPr>
        <w:t>(…)</w:t>
      </w:r>
    </w:p>
    <w:p w:rsidR="00CA5608" w:rsidRPr="00D06747" w:rsidRDefault="00CA5608" w:rsidP="00CA5608">
      <w:pPr>
        <w:autoSpaceDE w:val="0"/>
        <w:autoSpaceDN w:val="0"/>
        <w:adjustRightInd w:val="0"/>
        <w:ind w:left="567" w:right="539"/>
        <w:jc w:val="both"/>
        <w:rPr>
          <w:rFonts w:ascii="Palatino Linotype" w:hAnsi="Palatino Linotype" w:cs="Bookman Old Style"/>
          <w:i/>
          <w:color w:val="000000" w:themeColor="text1"/>
        </w:rPr>
      </w:pPr>
    </w:p>
    <w:p w:rsidR="00CA5608" w:rsidRPr="00D06747" w:rsidRDefault="00CA5608" w:rsidP="00CA5608">
      <w:pPr>
        <w:autoSpaceDE w:val="0"/>
        <w:autoSpaceDN w:val="0"/>
        <w:adjustRightInd w:val="0"/>
        <w:ind w:left="567" w:right="539"/>
        <w:jc w:val="both"/>
        <w:rPr>
          <w:rFonts w:ascii="Palatino Linotype" w:hAnsi="Palatino Linotype" w:cs="Bookman Old Style"/>
          <w:i/>
          <w:color w:val="000000" w:themeColor="text1"/>
        </w:rPr>
      </w:pPr>
      <w:r w:rsidRPr="00D06747">
        <w:rPr>
          <w:rFonts w:ascii="Palatino Linotype" w:hAnsi="Palatino Linotype" w:cs="Bookman Old Style,Bold"/>
          <w:b/>
          <w:bCs/>
          <w:i/>
          <w:color w:val="000000" w:themeColor="text1"/>
        </w:rPr>
        <w:t xml:space="preserve">Artículo 192. </w:t>
      </w:r>
      <w:r w:rsidRPr="00D06747">
        <w:rPr>
          <w:rFonts w:ascii="Palatino Linotype" w:hAnsi="Palatino Linotype" w:cs="Bookman Old Style"/>
          <w:i/>
          <w:color w:val="000000" w:themeColor="text1"/>
        </w:rPr>
        <w:t>El recurso será sobreseído, en todo o en parte, cuando una vez admitido, se actualicen alguno de los siguientes supuestos:</w:t>
      </w:r>
    </w:p>
    <w:p w:rsidR="00CA5608" w:rsidRPr="00D06747" w:rsidRDefault="00CA5608" w:rsidP="00CA5608">
      <w:pPr>
        <w:autoSpaceDE w:val="0"/>
        <w:autoSpaceDN w:val="0"/>
        <w:adjustRightInd w:val="0"/>
        <w:ind w:left="567" w:right="539"/>
        <w:jc w:val="both"/>
        <w:rPr>
          <w:rFonts w:ascii="Palatino Linotype" w:hAnsi="Palatino Linotype" w:cs="Bookman Old Style"/>
          <w:i/>
          <w:color w:val="000000" w:themeColor="text1"/>
        </w:rPr>
      </w:pPr>
      <w:r w:rsidRPr="00D06747">
        <w:rPr>
          <w:rFonts w:ascii="Palatino Linotype" w:hAnsi="Palatino Linotype" w:cs="Bookman Old Style,Bold"/>
          <w:b/>
          <w:bCs/>
          <w:i/>
          <w:color w:val="000000" w:themeColor="text1"/>
        </w:rPr>
        <w:t>(…)</w:t>
      </w:r>
    </w:p>
    <w:p w:rsidR="00CA5608" w:rsidRPr="00D06747" w:rsidRDefault="00CA5608" w:rsidP="00CA5608">
      <w:pPr>
        <w:autoSpaceDE w:val="0"/>
        <w:autoSpaceDN w:val="0"/>
        <w:adjustRightInd w:val="0"/>
        <w:ind w:left="567" w:right="539"/>
        <w:jc w:val="both"/>
        <w:rPr>
          <w:rFonts w:ascii="Palatino Linotype" w:hAnsi="Palatino Linotype" w:cs="Bookman Old Style"/>
          <w:b/>
          <w:i/>
          <w:color w:val="000000" w:themeColor="text1"/>
        </w:rPr>
      </w:pPr>
      <w:r w:rsidRPr="00D06747">
        <w:rPr>
          <w:rFonts w:ascii="Palatino Linotype" w:hAnsi="Palatino Linotype" w:cs="Bookman Old Style,Bold"/>
          <w:b/>
          <w:bCs/>
          <w:i/>
          <w:color w:val="000000" w:themeColor="text1"/>
        </w:rPr>
        <w:t xml:space="preserve">IV. </w:t>
      </w:r>
      <w:r w:rsidRPr="00D06747">
        <w:rPr>
          <w:rFonts w:ascii="Palatino Linotype" w:hAnsi="Palatino Linotype" w:cs="Bookman Old Style"/>
          <w:b/>
          <w:i/>
          <w:color w:val="000000" w:themeColor="text1"/>
        </w:rPr>
        <w:t>Admitido el Recurso de Revisión, aparezca alguna causal de improcedencia en los términos de la presente Ley; y</w:t>
      </w:r>
    </w:p>
    <w:p w:rsidR="00CA5608" w:rsidRPr="00D06747" w:rsidRDefault="00CA5608" w:rsidP="00CA5608">
      <w:pPr>
        <w:autoSpaceDE w:val="0"/>
        <w:autoSpaceDN w:val="0"/>
        <w:adjustRightInd w:val="0"/>
        <w:ind w:left="567" w:right="539"/>
        <w:jc w:val="both"/>
        <w:rPr>
          <w:rFonts w:ascii="Palatino Linotype" w:hAnsi="Palatino Linotype" w:cs="Bookman Old Style,Bold"/>
          <w:b/>
          <w:bCs/>
          <w:i/>
          <w:color w:val="000000" w:themeColor="text1"/>
        </w:rPr>
      </w:pPr>
      <w:r w:rsidRPr="00D06747">
        <w:rPr>
          <w:rFonts w:ascii="Palatino Linotype" w:hAnsi="Palatino Linotype" w:cs="Bookman Old Style,Bold"/>
          <w:b/>
          <w:bCs/>
          <w:i/>
          <w:color w:val="000000" w:themeColor="text1"/>
        </w:rPr>
        <w:t xml:space="preserve">(…)” </w:t>
      </w:r>
    </w:p>
    <w:p w:rsidR="00CA5608" w:rsidRPr="00D06747" w:rsidRDefault="00CA5608" w:rsidP="00CA5608">
      <w:pPr>
        <w:autoSpaceDE w:val="0"/>
        <w:autoSpaceDN w:val="0"/>
        <w:adjustRightInd w:val="0"/>
        <w:ind w:right="539"/>
        <w:jc w:val="both"/>
        <w:rPr>
          <w:rFonts w:ascii="Palatino Linotype" w:hAnsi="Palatino Linotype" w:cs="Bookman Old Style,Bold"/>
          <w:b/>
          <w:bCs/>
          <w:i/>
          <w:color w:val="000000" w:themeColor="text1"/>
        </w:rPr>
      </w:pPr>
    </w:p>
    <w:p w:rsidR="00CA5608" w:rsidRPr="00D06747" w:rsidRDefault="00CA5608" w:rsidP="00CA5608">
      <w:pPr>
        <w:pStyle w:val="Prrafodelista"/>
        <w:numPr>
          <w:ilvl w:val="0"/>
          <w:numId w:val="1"/>
        </w:numPr>
        <w:spacing w:line="360" w:lineRule="auto"/>
        <w:ind w:left="0" w:right="-28" w:firstLine="0"/>
        <w:jc w:val="both"/>
        <w:rPr>
          <w:rFonts w:ascii="Palatino Linotype" w:hAnsi="Palatino Linotype" w:cs="Arial"/>
          <w:color w:val="000000" w:themeColor="text1"/>
        </w:rPr>
      </w:pPr>
      <w:r w:rsidRPr="00D06747">
        <w:rPr>
          <w:rFonts w:ascii="Palatino Linotype" w:hAnsi="Palatino Linotype" w:cs="Arial"/>
          <w:color w:val="000000" w:themeColor="text1"/>
        </w:rPr>
        <w:t>Por lo que al analizar el contenido de los numerales citados previamente, podemos señalar que la Ley de Transparencia y Acceso a la Información Pública del Estado de México y Municipios,  contempla la posibilidad de desechar el Recurso de Revisión en el momento procesal en que también se puede admitir, por alguna de las causales transcritas, artículo que tiene un momento de aplicabilidad previo a la admisión del Recurso de Revisión por no reunir los requisitos de procedibilidad previstos en el artículo 179 de la Ley en la Materia.</w:t>
      </w:r>
    </w:p>
    <w:p w:rsidR="00CA5608" w:rsidRPr="00D06747" w:rsidRDefault="00CA5608" w:rsidP="00CA5608">
      <w:pPr>
        <w:pStyle w:val="Prrafodelista"/>
        <w:spacing w:line="360" w:lineRule="auto"/>
        <w:ind w:left="0" w:right="-28"/>
        <w:jc w:val="both"/>
        <w:rPr>
          <w:rFonts w:ascii="Palatino Linotype" w:hAnsi="Palatino Linotype"/>
          <w:b/>
          <w:color w:val="000000" w:themeColor="text1"/>
        </w:rPr>
      </w:pPr>
    </w:p>
    <w:p w:rsidR="00CA5608" w:rsidRPr="00D06747" w:rsidRDefault="00CA5608" w:rsidP="00CA5608">
      <w:pPr>
        <w:pStyle w:val="Prrafodelista"/>
        <w:numPr>
          <w:ilvl w:val="0"/>
          <w:numId w:val="1"/>
        </w:numPr>
        <w:spacing w:line="360" w:lineRule="auto"/>
        <w:ind w:left="0" w:right="-28" w:firstLine="0"/>
        <w:jc w:val="both"/>
        <w:rPr>
          <w:rFonts w:ascii="Palatino Linotype" w:hAnsi="Palatino Linotype" w:cs="Arial"/>
          <w:color w:val="000000" w:themeColor="text1"/>
        </w:rPr>
      </w:pPr>
      <w:r w:rsidRPr="00D06747">
        <w:rPr>
          <w:rFonts w:ascii="Palatino Linotype" w:hAnsi="Palatino Linotype" w:cs="Arial"/>
          <w:color w:val="000000" w:themeColor="text1"/>
        </w:rPr>
        <w:t xml:space="preserve">Cobrando aplicación lo previsto en el artículo 192 fracción IV de la Ley de Transparencia y Acceso a la Información Pública del Estado de México y Municipios, que señala las posibilidades en el que el Recurso de Revisión será sobreseído, actualizándose para el caso en concreto una causal de improcedencia en los términos de la presente ley. </w:t>
      </w:r>
    </w:p>
    <w:p w:rsidR="00CA5608" w:rsidRPr="00D06747" w:rsidRDefault="00CA5608" w:rsidP="00CA5608">
      <w:pPr>
        <w:spacing w:line="360" w:lineRule="auto"/>
        <w:ind w:right="49"/>
        <w:jc w:val="both"/>
        <w:rPr>
          <w:rFonts w:ascii="Palatino Linotype" w:hAnsi="Palatino Linotype" w:cs="Arial"/>
          <w:color w:val="000000" w:themeColor="text1"/>
        </w:rPr>
      </w:pPr>
    </w:p>
    <w:p w:rsidR="00CA5608" w:rsidRPr="00D06747" w:rsidRDefault="00CA5608" w:rsidP="00CA5608">
      <w:pPr>
        <w:pStyle w:val="Prrafodelista"/>
        <w:numPr>
          <w:ilvl w:val="0"/>
          <w:numId w:val="1"/>
        </w:numPr>
        <w:spacing w:line="360" w:lineRule="auto"/>
        <w:ind w:left="0" w:right="49" w:firstLine="0"/>
        <w:jc w:val="both"/>
        <w:rPr>
          <w:rFonts w:ascii="Palatino Linotype" w:hAnsi="Palatino Linotype" w:cs="Arial"/>
          <w:color w:val="000000" w:themeColor="text1"/>
        </w:rPr>
      </w:pPr>
      <w:r w:rsidRPr="00D06747">
        <w:rPr>
          <w:rFonts w:ascii="Palatino Linotype" w:hAnsi="Palatino Linotype" w:cs="Arial"/>
          <w:color w:val="000000" w:themeColor="text1"/>
        </w:rPr>
        <w:t xml:space="preserve">Del análisis de las constancias que obran en el expediente electrónico formado en el </w:t>
      </w:r>
      <w:r w:rsidRPr="00D06747">
        <w:rPr>
          <w:rFonts w:ascii="Palatino Linotype" w:hAnsi="Palatino Linotype" w:cs="Arial"/>
          <w:b/>
          <w:bCs/>
          <w:color w:val="000000" w:themeColor="text1"/>
        </w:rPr>
        <w:t xml:space="preserve">SAIMEX </w:t>
      </w:r>
      <w:r w:rsidRPr="00D06747">
        <w:rPr>
          <w:rFonts w:ascii="Palatino Linotype" w:hAnsi="Palatino Linotype" w:cs="Arial"/>
          <w:color w:val="000000" w:themeColor="text1"/>
        </w:rPr>
        <w:t xml:space="preserve">del Recurso de Revisión materia del presente estudio, se </w:t>
      </w:r>
      <w:r w:rsidRPr="00D06747">
        <w:rPr>
          <w:rFonts w:ascii="Palatino Linotype" w:hAnsi="Palatino Linotype" w:cs="Arial"/>
          <w:color w:val="000000" w:themeColor="text1"/>
        </w:rPr>
        <w:lastRenderedPageBreak/>
        <w:t xml:space="preserve">advierte que se actualiza la causal de </w:t>
      </w:r>
      <w:r w:rsidRPr="00D06747">
        <w:rPr>
          <w:rFonts w:ascii="Palatino Linotype" w:hAnsi="Palatino Linotype" w:cs="Arial"/>
          <w:b/>
          <w:bCs/>
          <w:color w:val="000000" w:themeColor="text1"/>
        </w:rPr>
        <w:t xml:space="preserve">sobreseimiento </w:t>
      </w:r>
      <w:r w:rsidRPr="00D06747">
        <w:rPr>
          <w:rFonts w:ascii="Palatino Linotype" w:hAnsi="Palatino Linotype" w:cs="Arial"/>
          <w:color w:val="000000" w:themeColor="text1"/>
        </w:rPr>
        <w:t>prevista en el artículo 192 fracción IV en relación con el artículo 191, fracción V de la Ley de Transparencia y Acceso a la Información Pública del Estado de México y Municipios, lo anterior, por cómo se ha analizado en el presente estudio, no existen elementos de procedencia.</w:t>
      </w:r>
    </w:p>
    <w:p w:rsidR="00CA5608" w:rsidRPr="00D06747" w:rsidRDefault="00CA5608" w:rsidP="00CA5608">
      <w:pPr>
        <w:spacing w:line="360" w:lineRule="auto"/>
        <w:ind w:right="49"/>
        <w:jc w:val="both"/>
        <w:rPr>
          <w:rFonts w:ascii="Palatino Linotype" w:hAnsi="Palatino Linotype" w:cs="Arial"/>
          <w:color w:val="000000" w:themeColor="text1"/>
        </w:rPr>
      </w:pPr>
    </w:p>
    <w:p w:rsidR="00CA5608" w:rsidRPr="00D06747" w:rsidRDefault="00CA5608" w:rsidP="00CA5608">
      <w:pPr>
        <w:pStyle w:val="Prrafodelista"/>
        <w:numPr>
          <w:ilvl w:val="0"/>
          <w:numId w:val="1"/>
        </w:numPr>
        <w:spacing w:line="360" w:lineRule="auto"/>
        <w:ind w:left="0" w:right="49" w:firstLine="0"/>
        <w:jc w:val="both"/>
        <w:rPr>
          <w:rFonts w:ascii="Palatino Linotype" w:hAnsi="Palatino Linotype" w:cs="Arial"/>
          <w:color w:val="000000" w:themeColor="text1"/>
        </w:rPr>
      </w:pPr>
      <w:r w:rsidRPr="00D06747">
        <w:rPr>
          <w:rFonts w:ascii="Palatino Linotype" w:hAnsi="Palatino Linotype" w:cs="Arial"/>
          <w:color w:val="000000" w:themeColor="text1"/>
        </w:rPr>
        <w:t>Sirve como criterio orientador, lo establecido en la Jurisprudencia 1ª./J 3/99 de la Novena Época, emitida por la Primera Sala de la Suprema Corte de Justicia de la Nación, publicada en el Semanario Judicial de la Federación y su Gaceta, que en lo conducente dispone:</w:t>
      </w:r>
    </w:p>
    <w:p w:rsidR="00CA5608" w:rsidRPr="00D06747" w:rsidRDefault="00CA5608" w:rsidP="00CA5608">
      <w:pPr>
        <w:spacing w:line="360" w:lineRule="auto"/>
        <w:ind w:right="49"/>
        <w:jc w:val="both"/>
        <w:rPr>
          <w:rFonts w:ascii="Palatino Linotype" w:hAnsi="Palatino Linotype" w:cs="Arial"/>
          <w:color w:val="000000" w:themeColor="text1"/>
        </w:rPr>
      </w:pPr>
    </w:p>
    <w:p w:rsidR="00CA5608" w:rsidRPr="00D06747" w:rsidRDefault="00CA5608" w:rsidP="00CA5608">
      <w:pPr>
        <w:autoSpaceDE w:val="0"/>
        <w:autoSpaceDN w:val="0"/>
        <w:adjustRightInd w:val="0"/>
        <w:ind w:left="1134" w:right="900"/>
        <w:jc w:val="both"/>
        <w:rPr>
          <w:rFonts w:ascii="Palatino Linotype" w:hAnsi="Palatino Linotype" w:cs="Arial"/>
          <w:i/>
          <w:color w:val="000000" w:themeColor="text1"/>
        </w:rPr>
      </w:pPr>
      <w:r w:rsidRPr="00D06747">
        <w:rPr>
          <w:rFonts w:ascii="Palatino Linotype" w:hAnsi="Palatino Linotype" w:cs="Arial"/>
          <w:b/>
          <w:i/>
          <w:color w:val="000000" w:themeColor="text1"/>
        </w:rPr>
        <w:t xml:space="preserve">“IMPROCEDENCIA. ESTUDIO PREFERENCIAL DE LAS CAUSALES PREVISTAS EN EL ARTÍCULO 73 DE LA LEY DE AMPARO. </w:t>
      </w:r>
      <w:r w:rsidRPr="00D06747">
        <w:rPr>
          <w:rFonts w:ascii="Palatino Linotype" w:hAnsi="Palatino Linotype" w:cs="Arial"/>
          <w:i/>
          <w:color w:val="000000" w:themeColor="text1"/>
        </w:rPr>
        <w:t>De conformidad con lo dispuesto en el último párrafo del artículo 73 de la Ley de Amparo las causales de improcedencia deben ser examinadas de oficio y debe abordarse en cualquier instancia en que el juicio se encuentre; de tal manera que si en la revisión se advierte que existen otras causas de estudio preferente a la invocada por el Juez para sobreseer, habrán de analizarse, sin atender razonamiento alguno expresado por el recurrente…”</w:t>
      </w:r>
    </w:p>
    <w:p w:rsidR="00CA5608" w:rsidRPr="00D06747" w:rsidRDefault="00CA5608" w:rsidP="00CA5608">
      <w:pPr>
        <w:spacing w:line="360" w:lineRule="auto"/>
        <w:ind w:right="49"/>
        <w:jc w:val="both"/>
        <w:rPr>
          <w:rFonts w:ascii="Palatino Linotype" w:hAnsi="Palatino Linotype" w:cs="Arial"/>
          <w:color w:val="000000" w:themeColor="text1"/>
        </w:rPr>
      </w:pPr>
    </w:p>
    <w:p w:rsidR="00CA5608" w:rsidRPr="00D06747" w:rsidRDefault="00CA5608" w:rsidP="00CA5608">
      <w:pPr>
        <w:pStyle w:val="Prrafodelista"/>
        <w:numPr>
          <w:ilvl w:val="0"/>
          <w:numId w:val="1"/>
        </w:numPr>
        <w:spacing w:line="360" w:lineRule="auto"/>
        <w:ind w:left="0" w:right="49" w:firstLine="0"/>
        <w:jc w:val="both"/>
        <w:rPr>
          <w:rFonts w:ascii="Palatino Linotype" w:hAnsi="Palatino Linotype"/>
          <w:color w:val="000000" w:themeColor="text1"/>
        </w:rPr>
      </w:pPr>
      <w:r w:rsidRPr="00D06747">
        <w:rPr>
          <w:rFonts w:ascii="Palatino Linotype" w:hAnsi="Palatino Linotype"/>
          <w:color w:val="000000" w:themeColor="text1"/>
        </w:rPr>
        <w:t xml:space="preserve">Por ello, en términos del artículo 191, fracción V de la Ley de Transparencia y Acceso a la Información Pública del Estado de México y Municipios, este Órgano Garante considera procedente </w:t>
      </w:r>
      <w:r w:rsidRPr="00D06747">
        <w:rPr>
          <w:rFonts w:ascii="Palatino Linotype" w:hAnsi="Palatino Linotype"/>
          <w:b/>
          <w:color w:val="000000" w:themeColor="text1"/>
        </w:rPr>
        <w:t xml:space="preserve">SOBRESEER </w:t>
      </w:r>
      <w:r w:rsidRPr="00D06747">
        <w:rPr>
          <w:rFonts w:ascii="Palatino Linotype" w:hAnsi="Palatino Linotype"/>
          <w:color w:val="000000" w:themeColor="text1"/>
        </w:rPr>
        <w:t>el presente Recurso de Revisión, toda vez que se actualiza la fracción IV del artículo 192 del citado ordenamiento legal.</w:t>
      </w:r>
    </w:p>
    <w:p w:rsidR="00CA5608" w:rsidRPr="00D06747" w:rsidRDefault="00CA5608" w:rsidP="00CA5608">
      <w:pPr>
        <w:pStyle w:val="Prrafodelista"/>
        <w:spacing w:line="360" w:lineRule="auto"/>
        <w:ind w:left="0" w:right="49"/>
        <w:jc w:val="both"/>
        <w:rPr>
          <w:rFonts w:ascii="Palatino Linotype" w:hAnsi="Palatino Linotype"/>
          <w:color w:val="000000" w:themeColor="text1"/>
        </w:rPr>
      </w:pPr>
    </w:p>
    <w:p w:rsidR="00CA5608" w:rsidRPr="00D06747" w:rsidRDefault="00CA5608" w:rsidP="00CA5608">
      <w:pPr>
        <w:numPr>
          <w:ilvl w:val="0"/>
          <w:numId w:val="1"/>
        </w:numPr>
        <w:spacing w:line="360" w:lineRule="auto"/>
        <w:ind w:left="0" w:right="49" w:firstLine="0"/>
        <w:contextualSpacing/>
        <w:jc w:val="both"/>
        <w:rPr>
          <w:rFonts w:ascii="Palatino Linotype" w:hAnsi="Palatino Linotype"/>
          <w:color w:val="000000" w:themeColor="text1"/>
        </w:rPr>
      </w:pPr>
      <w:r w:rsidRPr="00D06747">
        <w:rPr>
          <w:rFonts w:ascii="Palatino Linotype" w:eastAsia="Calibri" w:hAnsi="Palatino Linotype"/>
          <w:color w:val="000000" w:themeColor="text1"/>
        </w:rPr>
        <w:t xml:space="preserve">Por lo anteriormente expuesto y fundado, este </w:t>
      </w:r>
      <w:r w:rsidRPr="00D06747">
        <w:rPr>
          <w:rFonts w:ascii="Palatino Linotype" w:eastAsia="Calibri" w:hAnsi="Palatino Linotype"/>
          <w:b/>
          <w:bCs/>
          <w:color w:val="000000" w:themeColor="text1"/>
        </w:rPr>
        <w:t>ÓRGANO GARANTE</w:t>
      </w:r>
      <w:r w:rsidRPr="00D06747">
        <w:rPr>
          <w:rFonts w:ascii="Palatino Linotype" w:eastAsia="Calibri" w:hAnsi="Palatino Linotype"/>
          <w:color w:val="000000" w:themeColor="text1"/>
        </w:rPr>
        <w:t xml:space="preserve"> emite los siguientes:</w:t>
      </w:r>
      <w:bookmarkStart w:id="145" w:name="_Toc528153792"/>
      <w:bookmarkStart w:id="146" w:name="_Toc71158406"/>
      <w:bookmarkStart w:id="147" w:name="_Toc90654868"/>
      <w:r w:rsidRPr="00D06747">
        <w:rPr>
          <w:rFonts w:ascii="Palatino Linotype" w:hAnsi="Palatino Linotype"/>
          <w:color w:val="000000" w:themeColor="text1"/>
        </w:rPr>
        <w:t xml:space="preserve"> </w:t>
      </w:r>
    </w:p>
    <w:p w:rsidR="00CA5608" w:rsidRPr="00D06747" w:rsidRDefault="00CA5608" w:rsidP="00CA5608">
      <w:pPr>
        <w:spacing w:line="360" w:lineRule="auto"/>
        <w:ind w:right="49"/>
        <w:contextualSpacing/>
        <w:jc w:val="both"/>
        <w:rPr>
          <w:rFonts w:ascii="Palatino Linotype" w:hAnsi="Palatino Linotype"/>
          <w:color w:val="000000" w:themeColor="text1"/>
        </w:rPr>
      </w:pPr>
    </w:p>
    <w:p w:rsidR="00CA5608" w:rsidRPr="00D06747" w:rsidRDefault="00CA5608" w:rsidP="00CA5608">
      <w:pPr>
        <w:keepNext/>
        <w:keepLines/>
        <w:spacing w:line="360" w:lineRule="auto"/>
        <w:jc w:val="center"/>
        <w:outlineLvl w:val="0"/>
        <w:rPr>
          <w:rFonts w:ascii="Palatino Linotype" w:eastAsiaTheme="majorEastAsia" w:hAnsi="Palatino Linotype" w:cstheme="majorBidi"/>
          <w:b/>
          <w:color w:val="000000" w:themeColor="text1"/>
          <w:lang w:eastAsia="en-US"/>
        </w:rPr>
      </w:pPr>
      <w:r w:rsidRPr="00D06747">
        <w:rPr>
          <w:rFonts w:ascii="Palatino Linotype" w:eastAsiaTheme="majorEastAsia" w:hAnsi="Palatino Linotype" w:cstheme="majorBidi"/>
          <w:b/>
          <w:color w:val="000000" w:themeColor="text1"/>
          <w:lang w:eastAsia="en-US"/>
        </w:rPr>
        <w:t>R E S O L U T I V O S</w:t>
      </w:r>
      <w:bookmarkEnd w:id="145"/>
      <w:bookmarkEnd w:id="146"/>
      <w:bookmarkEnd w:id="147"/>
    </w:p>
    <w:p w:rsidR="00CA5608" w:rsidRPr="00D06747" w:rsidRDefault="00CA5608" w:rsidP="00CA5608">
      <w:pPr>
        <w:keepNext/>
        <w:keepLines/>
        <w:spacing w:line="360" w:lineRule="auto"/>
        <w:jc w:val="center"/>
        <w:outlineLvl w:val="0"/>
        <w:rPr>
          <w:rFonts w:ascii="Palatino Linotype" w:eastAsiaTheme="majorEastAsia" w:hAnsi="Palatino Linotype" w:cstheme="majorBidi"/>
          <w:b/>
          <w:color w:val="000000" w:themeColor="text1"/>
          <w:lang w:eastAsia="en-US"/>
        </w:rPr>
      </w:pPr>
    </w:p>
    <w:p w:rsidR="00CA5608" w:rsidRPr="00D06747" w:rsidRDefault="00CA5608" w:rsidP="00CA5608">
      <w:pPr>
        <w:spacing w:line="360" w:lineRule="auto"/>
        <w:jc w:val="both"/>
        <w:rPr>
          <w:rFonts w:ascii="Palatino Linotype" w:hAnsi="Palatino Linotype" w:cs="Arial"/>
          <w:bCs/>
          <w:color w:val="000000" w:themeColor="text1"/>
        </w:rPr>
      </w:pPr>
      <w:r w:rsidRPr="00D06747">
        <w:rPr>
          <w:rFonts w:ascii="Palatino Linotype" w:hAnsi="Palatino Linotype" w:cs="Arial"/>
          <w:b/>
          <w:color w:val="000000" w:themeColor="text1"/>
        </w:rPr>
        <w:t xml:space="preserve">PRIMERO. </w:t>
      </w:r>
      <w:r w:rsidRPr="00D06747">
        <w:rPr>
          <w:rFonts w:ascii="Palatino Linotype" w:hAnsi="Palatino Linotype"/>
          <w:color w:val="000000" w:themeColor="text1"/>
        </w:rPr>
        <w:t xml:space="preserve">Se </w:t>
      </w:r>
      <w:r w:rsidRPr="00D06747">
        <w:rPr>
          <w:rFonts w:ascii="Palatino Linotype" w:hAnsi="Palatino Linotype"/>
          <w:b/>
          <w:color w:val="000000" w:themeColor="text1"/>
        </w:rPr>
        <w:t>SOBRESEE por improcedente</w:t>
      </w:r>
      <w:r w:rsidRPr="00D06747">
        <w:rPr>
          <w:rFonts w:ascii="Palatino Linotype" w:hAnsi="Palatino Linotype"/>
          <w:color w:val="000000" w:themeColor="text1"/>
        </w:rPr>
        <w:t xml:space="preserve"> el recurso de revisión número </w:t>
      </w:r>
      <w:r w:rsidRPr="00D06747">
        <w:rPr>
          <w:rFonts w:ascii="Palatino Linotype" w:hAnsi="Palatino Linotype"/>
          <w:b/>
          <w:color w:val="000000" w:themeColor="text1"/>
        </w:rPr>
        <w:t xml:space="preserve">03073/INFOEM/IP/RR/2025 </w:t>
      </w:r>
      <w:r w:rsidRPr="00D06747">
        <w:rPr>
          <w:rFonts w:ascii="Palatino Linotype" w:hAnsi="Palatino Linotype"/>
          <w:bCs/>
          <w:color w:val="000000" w:themeColor="text1"/>
        </w:rPr>
        <w:t>de conformidad con el 192, fracción IV, en relación con el artículo 191, fracción V de la Ley de Transparencia y Acceso a la Información Pública del Estado de México y Municipios</w:t>
      </w:r>
      <w:r w:rsidRPr="00D06747">
        <w:rPr>
          <w:rFonts w:ascii="Palatino Linotype" w:hAnsi="Palatino Linotype"/>
          <w:color w:val="000000" w:themeColor="text1"/>
        </w:rPr>
        <w:t xml:space="preserve">, en términos del Considerando </w:t>
      </w:r>
      <w:r w:rsidRPr="00D06747">
        <w:rPr>
          <w:rFonts w:ascii="Palatino Linotype" w:hAnsi="Palatino Linotype"/>
          <w:b/>
          <w:color w:val="000000" w:themeColor="text1"/>
        </w:rPr>
        <w:t>TERCERO</w:t>
      </w:r>
      <w:r w:rsidRPr="00D06747">
        <w:rPr>
          <w:rFonts w:ascii="Palatino Linotype" w:hAnsi="Palatino Linotype"/>
          <w:color w:val="000000" w:themeColor="text1"/>
        </w:rPr>
        <w:t xml:space="preserve"> de la presente resolución.</w:t>
      </w:r>
    </w:p>
    <w:p w:rsidR="00CA5608" w:rsidRPr="00D06747" w:rsidRDefault="00CA5608" w:rsidP="00CA5608">
      <w:pPr>
        <w:spacing w:line="360" w:lineRule="auto"/>
        <w:jc w:val="both"/>
        <w:rPr>
          <w:rFonts w:ascii="Palatino Linotype" w:hAnsi="Palatino Linotype"/>
          <w:color w:val="000000" w:themeColor="text1"/>
        </w:rPr>
      </w:pPr>
    </w:p>
    <w:p w:rsidR="00CA5608" w:rsidRPr="00D06747" w:rsidRDefault="00CA5608" w:rsidP="00CA5608">
      <w:pPr>
        <w:spacing w:line="360" w:lineRule="auto"/>
        <w:jc w:val="both"/>
        <w:rPr>
          <w:rFonts w:ascii="Palatino Linotype" w:eastAsia="Calibri" w:hAnsi="Palatino Linotype" w:cs="Arial"/>
          <w:color w:val="000000" w:themeColor="text1"/>
          <w:lang w:val="es-ES"/>
        </w:rPr>
      </w:pPr>
      <w:r w:rsidRPr="00D06747">
        <w:rPr>
          <w:rFonts w:ascii="Palatino Linotype" w:hAnsi="Palatino Linotype"/>
          <w:b/>
          <w:color w:val="000000" w:themeColor="text1"/>
        </w:rPr>
        <w:t>SEGUNDO.</w:t>
      </w:r>
      <w:r w:rsidRPr="00D06747">
        <w:rPr>
          <w:rFonts w:ascii="Palatino Linotype" w:eastAsiaTheme="majorEastAsia" w:hAnsi="Palatino Linotype" w:cstheme="majorBidi"/>
          <w:b/>
          <w:color w:val="000000" w:themeColor="text1"/>
        </w:rPr>
        <w:t xml:space="preserve"> </w:t>
      </w:r>
      <w:r w:rsidR="005272D6" w:rsidRPr="00D06747">
        <w:rPr>
          <w:rFonts w:ascii="Palatino Linotype" w:eastAsia="Calibri" w:hAnsi="Palatino Linotype" w:cs="Arial"/>
          <w:b/>
          <w:bCs/>
          <w:color w:val="000000" w:themeColor="text1"/>
          <w:lang w:val="es-ES"/>
        </w:rPr>
        <w:t>NOTIFÍQUESE</w:t>
      </w:r>
      <w:r w:rsidRPr="00D06747">
        <w:rPr>
          <w:rFonts w:ascii="Palatino Linotype" w:eastAsia="Calibri" w:hAnsi="Palatino Linotype" w:cs="Arial"/>
          <w:b/>
          <w:bCs/>
          <w:color w:val="000000" w:themeColor="text1"/>
          <w:lang w:val="es-ES"/>
        </w:rPr>
        <w:t xml:space="preserve"> </w:t>
      </w:r>
      <w:r w:rsidRPr="00D06747">
        <w:rPr>
          <w:rFonts w:ascii="Palatino Linotype" w:eastAsia="Calibri" w:hAnsi="Palatino Linotype" w:cs="Arial"/>
          <w:bCs/>
          <w:color w:val="000000" w:themeColor="text1"/>
          <w:lang w:val="es-ES"/>
        </w:rPr>
        <w:t xml:space="preserve">a través del Sistema de Acceso a la Información Mexiquense </w:t>
      </w:r>
      <w:r w:rsidRPr="00D06747">
        <w:rPr>
          <w:rFonts w:ascii="Palatino Linotype" w:eastAsia="Calibri" w:hAnsi="Palatino Linotype" w:cs="Arial"/>
          <w:b/>
          <w:bCs/>
          <w:color w:val="000000" w:themeColor="text1"/>
          <w:lang w:val="es-ES"/>
        </w:rPr>
        <w:t xml:space="preserve">(SAIMEX) </w:t>
      </w:r>
      <w:r w:rsidRPr="00D06747">
        <w:rPr>
          <w:rFonts w:ascii="Palatino Linotype" w:eastAsia="Calibri" w:hAnsi="Palatino Linotype" w:cs="Arial"/>
          <w:bCs/>
          <w:color w:val="000000" w:themeColor="text1"/>
          <w:lang w:val="es-ES"/>
        </w:rPr>
        <w:t>la presente resolución al Titular de la Unidad de Transparencia del</w:t>
      </w:r>
      <w:r w:rsidRPr="00D06747">
        <w:rPr>
          <w:rFonts w:ascii="Palatino Linotype" w:eastAsia="Calibri" w:hAnsi="Palatino Linotype" w:cs="Arial"/>
          <w:b/>
          <w:bCs/>
          <w:color w:val="000000" w:themeColor="text1"/>
          <w:lang w:val="es-ES"/>
        </w:rPr>
        <w:t xml:space="preserve"> SUJETO OBLIGADO.</w:t>
      </w:r>
    </w:p>
    <w:p w:rsidR="00CA5608" w:rsidRPr="00D06747" w:rsidRDefault="00CA5608" w:rsidP="00CA5608">
      <w:pPr>
        <w:spacing w:line="360" w:lineRule="auto"/>
        <w:jc w:val="both"/>
        <w:rPr>
          <w:rFonts w:ascii="Palatino Linotype" w:eastAsia="Calibri" w:hAnsi="Palatino Linotype" w:cs="Arial"/>
          <w:color w:val="000000" w:themeColor="text1"/>
          <w:lang w:val="es-ES"/>
        </w:rPr>
      </w:pPr>
    </w:p>
    <w:p w:rsidR="00CA5608" w:rsidRPr="00D06747" w:rsidRDefault="00CA5608" w:rsidP="00CA5608">
      <w:pPr>
        <w:tabs>
          <w:tab w:val="left" w:pos="8080"/>
        </w:tabs>
        <w:spacing w:line="360" w:lineRule="auto"/>
        <w:ind w:right="49"/>
        <w:contextualSpacing/>
        <w:jc w:val="both"/>
        <w:rPr>
          <w:rFonts w:ascii="Palatino Linotype" w:eastAsia="Calibri" w:hAnsi="Palatino Linotype" w:cs="Arial"/>
          <w:b/>
          <w:bCs/>
          <w:color w:val="000000" w:themeColor="text1"/>
          <w:lang w:val="es-ES"/>
        </w:rPr>
      </w:pPr>
      <w:r w:rsidRPr="00D06747">
        <w:rPr>
          <w:rFonts w:ascii="Palatino Linotype" w:eastAsia="Palatino Linotype" w:hAnsi="Palatino Linotype" w:cs="Palatino Linotype"/>
          <w:b/>
          <w:color w:val="000000" w:themeColor="text1"/>
        </w:rPr>
        <w:t xml:space="preserve">TERCERO. </w:t>
      </w:r>
      <w:r w:rsidRPr="00D06747">
        <w:rPr>
          <w:rFonts w:ascii="Palatino Linotype" w:hAnsi="Palatino Linotype"/>
          <w:b/>
          <w:bCs/>
          <w:color w:val="000000" w:themeColor="text1"/>
          <w:lang w:val="es-ES"/>
        </w:rPr>
        <w:t xml:space="preserve">Notifíquese </w:t>
      </w:r>
      <w:r w:rsidRPr="00D06747">
        <w:rPr>
          <w:rFonts w:ascii="Palatino Linotype" w:hAnsi="Palatino Linotype"/>
          <w:bCs/>
          <w:color w:val="000000" w:themeColor="text1"/>
          <w:lang w:val="es-ES"/>
        </w:rPr>
        <w:t xml:space="preserve">a la </w:t>
      </w:r>
      <w:r w:rsidRPr="00D06747">
        <w:rPr>
          <w:rFonts w:ascii="Palatino Linotype" w:hAnsi="Palatino Linotype"/>
          <w:b/>
          <w:bCs/>
          <w:color w:val="000000" w:themeColor="text1"/>
          <w:lang w:val="es-ES"/>
        </w:rPr>
        <w:t>RECURRENTE</w:t>
      </w:r>
      <w:r w:rsidRPr="00D06747">
        <w:rPr>
          <w:rFonts w:ascii="Palatino Linotype" w:hAnsi="Palatino Linotype"/>
          <w:color w:val="000000" w:themeColor="text1"/>
        </w:rPr>
        <w:t xml:space="preserve"> </w:t>
      </w:r>
      <w:r w:rsidRPr="00D06747">
        <w:rPr>
          <w:rFonts w:ascii="Palatino Linotype" w:hAnsi="Palatino Linotype"/>
          <w:color w:val="000000" w:themeColor="text1"/>
          <w:lang w:val="es-ES"/>
        </w:rPr>
        <w:t xml:space="preserve">la presente resolución, </w:t>
      </w:r>
      <w:r w:rsidRPr="00D06747">
        <w:rPr>
          <w:rFonts w:ascii="Palatino Linotype" w:eastAsia="Calibri" w:hAnsi="Palatino Linotype" w:cs="Arial"/>
          <w:bCs/>
          <w:color w:val="000000" w:themeColor="text1"/>
          <w:lang w:val="es-ES"/>
        </w:rPr>
        <w:t xml:space="preserve">a través del Sistema de Acceso a la Información Mexiquense </w:t>
      </w:r>
      <w:r w:rsidRPr="00D06747">
        <w:rPr>
          <w:rFonts w:ascii="Palatino Linotype" w:eastAsia="Calibri" w:hAnsi="Palatino Linotype" w:cs="Arial"/>
          <w:b/>
          <w:bCs/>
          <w:color w:val="000000" w:themeColor="text1"/>
          <w:lang w:val="es-ES"/>
        </w:rPr>
        <w:t>(SAIMEX).</w:t>
      </w:r>
    </w:p>
    <w:p w:rsidR="00CA5608" w:rsidRPr="00D06747" w:rsidRDefault="00CA5608" w:rsidP="00CA5608">
      <w:pPr>
        <w:tabs>
          <w:tab w:val="left" w:pos="8080"/>
        </w:tabs>
        <w:spacing w:line="360" w:lineRule="auto"/>
        <w:ind w:right="49"/>
        <w:contextualSpacing/>
        <w:jc w:val="both"/>
        <w:rPr>
          <w:rFonts w:ascii="Palatino Linotype" w:eastAsia="Calibri" w:hAnsi="Palatino Linotype" w:cs="Arial"/>
          <w:b/>
          <w:bCs/>
          <w:color w:val="000000" w:themeColor="text1"/>
          <w:lang w:val="es-ES"/>
        </w:rPr>
      </w:pPr>
    </w:p>
    <w:p w:rsidR="00CA5608" w:rsidRPr="00D06747" w:rsidRDefault="00CA5608" w:rsidP="00CA5608">
      <w:pPr>
        <w:shd w:val="clear" w:color="auto" w:fill="FFFFFF"/>
        <w:spacing w:line="360" w:lineRule="auto"/>
        <w:jc w:val="both"/>
        <w:rPr>
          <w:rFonts w:ascii="Palatino Linotype" w:hAnsi="Palatino Linotype"/>
          <w:color w:val="000000" w:themeColor="text1"/>
        </w:rPr>
      </w:pPr>
      <w:r w:rsidRPr="00D06747">
        <w:rPr>
          <w:rFonts w:ascii="Palatino Linotype" w:hAnsi="Palatino Linotype" w:cs="Arial"/>
          <w:b/>
          <w:color w:val="000000" w:themeColor="text1"/>
        </w:rPr>
        <w:t xml:space="preserve">CUARTO. </w:t>
      </w:r>
      <w:r w:rsidRPr="00D06747">
        <w:rPr>
          <w:rFonts w:ascii="Palatino Linotype" w:eastAsia="MS Mincho" w:hAnsi="Palatino Linotype"/>
          <w:color w:val="000000" w:themeColor="text1"/>
          <w:lang w:val="es-ES"/>
        </w:rPr>
        <w:t xml:space="preserve">Se hace del conocimiento de la </w:t>
      </w:r>
      <w:r w:rsidRPr="00D06747">
        <w:rPr>
          <w:rFonts w:ascii="Palatino Linotype" w:hAnsi="Palatino Linotype"/>
          <w:b/>
          <w:bCs/>
          <w:color w:val="000000" w:themeColor="text1"/>
          <w:lang w:val="es-ES"/>
        </w:rPr>
        <w:t>RECURRENTE</w:t>
      </w:r>
      <w:r w:rsidRPr="00D06747">
        <w:rPr>
          <w:rFonts w:ascii="Palatino Linotype" w:hAnsi="Palatino Linotype"/>
          <w:color w:val="000000" w:themeColor="text1"/>
        </w:rPr>
        <w:t xml:space="preserve"> </w:t>
      </w:r>
      <w:r w:rsidRPr="00D06747">
        <w:rPr>
          <w:rFonts w:ascii="Palatino Linotype" w:eastAsia="MS Mincho" w:hAnsi="Palatino Linotype"/>
          <w:color w:val="000000" w:themeColor="text1"/>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D06747">
        <w:rPr>
          <w:rFonts w:ascii="Palatino Linotype" w:eastAsia="MS Mincho" w:hAnsi="Palatino Linotype"/>
          <w:bCs/>
          <w:color w:val="000000" w:themeColor="text1"/>
          <w:lang w:val="es-ES"/>
        </w:rPr>
        <w:t>vía juicio de amparo</w:t>
      </w:r>
      <w:r w:rsidRPr="00D06747">
        <w:rPr>
          <w:rFonts w:ascii="Palatino Linotype" w:eastAsia="MS Mincho" w:hAnsi="Palatino Linotype"/>
          <w:color w:val="000000" w:themeColor="text1"/>
          <w:lang w:val="es-ES"/>
        </w:rPr>
        <w:t> en los té</w:t>
      </w:r>
      <w:r w:rsidR="007C6F4A" w:rsidRPr="00D06747">
        <w:rPr>
          <w:rFonts w:ascii="Palatino Linotype" w:eastAsia="MS Mincho" w:hAnsi="Palatino Linotype"/>
          <w:color w:val="000000" w:themeColor="text1"/>
          <w:lang w:val="es-ES"/>
        </w:rPr>
        <w:t>rminos de las leyes aplicables.</w:t>
      </w:r>
      <w:r w:rsidR="00EC674E" w:rsidRPr="00D06747">
        <w:rPr>
          <w:rFonts w:ascii="Palatino Linotype" w:eastAsia="MS Mincho" w:hAnsi="Palatino Linotype"/>
          <w:color w:val="000000" w:themeColor="text1"/>
          <w:lang w:val="es-ES"/>
        </w:rPr>
        <w:t xml:space="preserve"> </w:t>
      </w:r>
    </w:p>
    <w:p w:rsidR="00CA5608" w:rsidRPr="00D06747" w:rsidRDefault="00CA5608" w:rsidP="00CA5608">
      <w:pPr>
        <w:spacing w:line="360" w:lineRule="auto"/>
        <w:ind w:right="48"/>
        <w:jc w:val="both"/>
        <w:rPr>
          <w:rFonts w:ascii="Palatino Linotype" w:hAnsi="Palatino Linotype"/>
          <w:color w:val="000000" w:themeColor="text1"/>
        </w:rPr>
      </w:pPr>
    </w:p>
    <w:p w:rsidR="005272D6" w:rsidRPr="00D06747" w:rsidRDefault="005272D6" w:rsidP="00CA5608">
      <w:pPr>
        <w:spacing w:line="360" w:lineRule="auto"/>
        <w:ind w:right="48"/>
        <w:jc w:val="both"/>
        <w:rPr>
          <w:rFonts w:ascii="Palatino Linotype" w:hAnsi="Palatino Linotype"/>
          <w:color w:val="000000" w:themeColor="text1"/>
        </w:rPr>
      </w:pPr>
    </w:p>
    <w:p w:rsidR="005272D6" w:rsidRPr="00D06747" w:rsidRDefault="005272D6" w:rsidP="00CA5608">
      <w:pPr>
        <w:spacing w:line="360" w:lineRule="auto"/>
        <w:ind w:right="48"/>
        <w:jc w:val="both"/>
        <w:rPr>
          <w:rFonts w:ascii="Palatino Linotype" w:hAnsi="Palatino Linotype"/>
          <w:color w:val="000000" w:themeColor="text1"/>
        </w:rPr>
      </w:pPr>
    </w:p>
    <w:p w:rsidR="005272D6" w:rsidRPr="00D06747" w:rsidRDefault="005272D6" w:rsidP="00CA5608">
      <w:pPr>
        <w:spacing w:line="360" w:lineRule="auto"/>
        <w:ind w:right="48"/>
        <w:jc w:val="both"/>
        <w:rPr>
          <w:rFonts w:ascii="Palatino Linotype" w:hAnsi="Palatino Linotype"/>
          <w:color w:val="000000" w:themeColor="text1"/>
        </w:rPr>
      </w:pPr>
    </w:p>
    <w:p w:rsidR="00CA5608" w:rsidRPr="007800FB" w:rsidRDefault="007800FB" w:rsidP="00CA5608">
      <w:pPr>
        <w:spacing w:line="360" w:lineRule="auto"/>
        <w:ind w:right="48"/>
        <w:jc w:val="both"/>
        <w:rPr>
          <w:rFonts w:ascii="Palatino Linotype" w:hAnsi="Palatino Linotype"/>
          <w:color w:val="000000" w:themeColor="text1"/>
        </w:rPr>
      </w:pPr>
      <w:r w:rsidRPr="00D06747">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NUEVE (09) DE ABRIL DE DOS MIL VEINTICINCO, ANTE EL SECRETARIO TÉCNICO DEL PLENO ALEXIS TAPIA RAMÍREZ.</w:t>
      </w:r>
      <w:r w:rsidR="00CA5608" w:rsidRPr="00D06747">
        <w:rPr>
          <w:rFonts w:ascii="Palatino Linotype" w:hAnsi="Palatino Linotype"/>
          <w:color w:val="000000" w:themeColor="text1"/>
        </w:rPr>
        <w:t>-----------------------------------------------------------------------------------------------------------------------------------</w:t>
      </w:r>
    </w:p>
    <w:p w:rsidR="0011578A" w:rsidRPr="007800FB" w:rsidRDefault="0011578A" w:rsidP="0011578A">
      <w:pPr>
        <w:rPr>
          <w:rFonts w:ascii="Palatino Linotype" w:hAnsi="Palatino Linotype"/>
          <w:color w:val="000000" w:themeColor="text1"/>
        </w:rPr>
      </w:pPr>
    </w:p>
    <w:p w:rsidR="0011578A" w:rsidRPr="007800FB" w:rsidRDefault="0011578A" w:rsidP="0011578A">
      <w:pPr>
        <w:rPr>
          <w:rFonts w:ascii="Palatino Linotype" w:hAnsi="Palatino Linotype"/>
          <w:color w:val="000000" w:themeColor="text1"/>
        </w:rPr>
      </w:pPr>
      <w:r w:rsidRPr="007800FB">
        <w:rPr>
          <w:rFonts w:ascii="Palatino Linotype" w:hAnsi="Palatino Linotype"/>
          <w:color w:val="000000" w:themeColor="text1"/>
        </w:rPr>
        <w:t xml:space="preserve">  </w:t>
      </w:r>
    </w:p>
    <w:p w:rsidR="0011578A" w:rsidRPr="007800FB" w:rsidRDefault="0011578A" w:rsidP="0011578A">
      <w:pPr>
        <w:rPr>
          <w:rFonts w:ascii="Palatino Linotype" w:hAnsi="Palatino Linotype"/>
          <w:color w:val="000000" w:themeColor="text1"/>
        </w:rPr>
      </w:pPr>
    </w:p>
    <w:p w:rsidR="0011578A" w:rsidRPr="007800FB" w:rsidRDefault="0011578A" w:rsidP="0011578A">
      <w:pPr>
        <w:rPr>
          <w:rFonts w:ascii="Palatino Linotype" w:hAnsi="Palatino Linotype"/>
          <w:color w:val="000000" w:themeColor="text1"/>
        </w:rPr>
      </w:pPr>
    </w:p>
    <w:p w:rsidR="0017339C" w:rsidRPr="007800FB" w:rsidRDefault="0017339C">
      <w:pPr>
        <w:rPr>
          <w:rFonts w:ascii="Palatino Linotype" w:hAnsi="Palatino Linotype"/>
          <w:color w:val="000000" w:themeColor="text1"/>
        </w:rPr>
      </w:pPr>
    </w:p>
    <w:p w:rsidR="007800FB" w:rsidRPr="007800FB" w:rsidRDefault="007800FB">
      <w:pPr>
        <w:rPr>
          <w:rFonts w:ascii="Palatino Linotype" w:hAnsi="Palatino Linotype"/>
          <w:color w:val="000000" w:themeColor="text1"/>
        </w:rPr>
      </w:pPr>
    </w:p>
    <w:p w:rsidR="007800FB" w:rsidRPr="007800FB" w:rsidRDefault="007800FB">
      <w:pPr>
        <w:rPr>
          <w:rFonts w:ascii="Palatino Linotype" w:hAnsi="Palatino Linotype"/>
          <w:color w:val="000000" w:themeColor="text1"/>
        </w:rPr>
      </w:pPr>
    </w:p>
    <w:p w:rsidR="007800FB" w:rsidRPr="007800FB" w:rsidRDefault="007800FB">
      <w:pPr>
        <w:rPr>
          <w:rFonts w:ascii="Palatino Linotype" w:hAnsi="Palatino Linotype"/>
          <w:color w:val="000000" w:themeColor="text1"/>
        </w:rPr>
      </w:pPr>
    </w:p>
    <w:p w:rsidR="007800FB" w:rsidRPr="007800FB" w:rsidRDefault="007800FB">
      <w:pPr>
        <w:rPr>
          <w:rFonts w:ascii="Palatino Linotype" w:hAnsi="Palatino Linotype"/>
          <w:color w:val="000000" w:themeColor="text1"/>
        </w:rPr>
      </w:pPr>
    </w:p>
    <w:p w:rsidR="007800FB" w:rsidRPr="007800FB" w:rsidRDefault="007800FB">
      <w:pPr>
        <w:rPr>
          <w:rFonts w:ascii="Palatino Linotype" w:hAnsi="Palatino Linotype"/>
          <w:color w:val="000000" w:themeColor="text1"/>
        </w:rPr>
      </w:pPr>
    </w:p>
    <w:p w:rsidR="007800FB" w:rsidRPr="007800FB" w:rsidRDefault="007800FB">
      <w:pPr>
        <w:rPr>
          <w:rFonts w:ascii="Palatino Linotype" w:hAnsi="Palatino Linotype"/>
          <w:color w:val="000000" w:themeColor="text1"/>
        </w:rPr>
      </w:pPr>
    </w:p>
    <w:p w:rsidR="007800FB" w:rsidRPr="007800FB" w:rsidRDefault="007800FB">
      <w:pPr>
        <w:rPr>
          <w:rFonts w:ascii="Palatino Linotype" w:hAnsi="Palatino Linotype"/>
          <w:color w:val="000000" w:themeColor="text1"/>
        </w:rPr>
      </w:pPr>
    </w:p>
    <w:p w:rsidR="007800FB" w:rsidRPr="007800FB" w:rsidRDefault="007800FB">
      <w:pPr>
        <w:rPr>
          <w:rFonts w:ascii="Palatino Linotype" w:hAnsi="Palatino Linotype"/>
          <w:color w:val="000000" w:themeColor="text1"/>
        </w:rPr>
      </w:pPr>
    </w:p>
    <w:p w:rsidR="007800FB" w:rsidRPr="007800FB" w:rsidRDefault="007800FB">
      <w:pPr>
        <w:rPr>
          <w:rFonts w:ascii="Palatino Linotype" w:hAnsi="Palatino Linotype"/>
          <w:color w:val="000000" w:themeColor="text1"/>
        </w:rPr>
      </w:pPr>
    </w:p>
    <w:p w:rsidR="007800FB" w:rsidRPr="007800FB" w:rsidRDefault="007800FB">
      <w:pPr>
        <w:rPr>
          <w:rFonts w:ascii="Palatino Linotype" w:hAnsi="Palatino Linotype"/>
          <w:color w:val="000000" w:themeColor="text1"/>
        </w:rPr>
      </w:pPr>
    </w:p>
    <w:p w:rsidR="007800FB" w:rsidRPr="007800FB" w:rsidRDefault="007800FB">
      <w:pPr>
        <w:rPr>
          <w:rFonts w:ascii="Palatino Linotype" w:hAnsi="Palatino Linotype"/>
          <w:color w:val="000000" w:themeColor="text1"/>
        </w:rPr>
      </w:pPr>
    </w:p>
    <w:p w:rsidR="007800FB" w:rsidRPr="007800FB" w:rsidRDefault="007800FB">
      <w:pPr>
        <w:rPr>
          <w:rFonts w:ascii="Palatino Linotype" w:hAnsi="Palatino Linotype"/>
          <w:color w:val="000000" w:themeColor="text1"/>
        </w:rPr>
      </w:pPr>
    </w:p>
    <w:p w:rsidR="007800FB" w:rsidRPr="007800FB" w:rsidRDefault="007800FB">
      <w:pPr>
        <w:rPr>
          <w:rFonts w:ascii="Palatino Linotype" w:hAnsi="Palatino Linotype"/>
          <w:color w:val="000000" w:themeColor="text1"/>
        </w:rPr>
      </w:pPr>
    </w:p>
    <w:p w:rsidR="007800FB" w:rsidRPr="007800FB" w:rsidRDefault="007800FB">
      <w:pPr>
        <w:rPr>
          <w:rFonts w:ascii="Palatino Linotype" w:hAnsi="Palatino Linotype"/>
          <w:color w:val="000000" w:themeColor="text1"/>
        </w:rPr>
      </w:pPr>
    </w:p>
    <w:p w:rsidR="007800FB" w:rsidRPr="007800FB" w:rsidRDefault="007800FB">
      <w:pPr>
        <w:rPr>
          <w:rFonts w:ascii="Palatino Linotype" w:hAnsi="Palatino Linotype"/>
          <w:color w:val="000000" w:themeColor="text1"/>
        </w:rPr>
      </w:pPr>
    </w:p>
    <w:p w:rsidR="007800FB" w:rsidRPr="007800FB" w:rsidRDefault="007800FB">
      <w:pPr>
        <w:rPr>
          <w:rFonts w:ascii="Palatino Linotype" w:hAnsi="Palatino Linotype"/>
          <w:color w:val="000000" w:themeColor="text1"/>
        </w:rPr>
      </w:pPr>
    </w:p>
    <w:p w:rsidR="007800FB" w:rsidRPr="007800FB" w:rsidRDefault="007800FB">
      <w:pPr>
        <w:rPr>
          <w:rFonts w:ascii="Palatino Linotype" w:hAnsi="Palatino Linotype"/>
          <w:color w:val="000000" w:themeColor="text1"/>
        </w:rPr>
      </w:pPr>
    </w:p>
    <w:p w:rsidR="007800FB" w:rsidRPr="007800FB" w:rsidRDefault="007800FB">
      <w:pPr>
        <w:rPr>
          <w:rFonts w:ascii="Palatino Linotype" w:hAnsi="Palatino Linotype"/>
          <w:color w:val="000000" w:themeColor="text1"/>
        </w:rPr>
      </w:pPr>
    </w:p>
    <w:p w:rsidR="007800FB" w:rsidRPr="007800FB" w:rsidRDefault="007800FB">
      <w:pPr>
        <w:rPr>
          <w:rFonts w:ascii="Palatino Linotype" w:hAnsi="Palatino Linotype"/>
          <w:color w:val="000000" w:themeColor="text1"/>
        </w:rPr>
      </w:pPr>
    </w:p>
    <w:p w:rsidR="007800FB" w:rsidRPr="007800FB" w:rsidRDefault="007800FB">
      <w:pPr>
        <w:rPr>
          <w:rFonts w:ascii="Palatino Linotype" w:hAnsi="Palatino Linotype"/>
          <w:color w:val="000000" w:themeColor="text1"/>
        </w:rPr>
      </w:pPr>
    </w:p>
    <w:p w:rsidR="007800FB" w:rsidRPr="007800FB" w:rsidRDefault="007800FB">
      <w:pPr>
        <w:rPr>
          <w:rFonts w:ascii="Palatino Linotype" w:hAnsi="Palatino Linotype"/>
          <w:color w:val="000000" w:themeColor="text1"/>
        </w:rPr>
      </w:pPr>
    </w:p>
    <w:p w:rsidR="007800FB" w:rsidRPr="007800FB" w:rsidRDefault="007800FB">
      <w:pPr>
        <w:rPr>
          <w:rFonts w:ascii="Palatino Linotype" w:hAnsi="Palatino Linotype"/>
          <w:color w:val="000000" w:themeColor="text1"/>
        </w:rPr>
      </w:pPr>
    </w:p>
    <w:p w:rsidR="007800FB" w:rsidRPr="007800FB" w:rsidRDefault="007800FB">
      <w:pPr>
        <w:rPr>
          <w:rFonts w:ascii="Palatino Linotype" w:hAnsi="Palatino Linotype"/>
          <w:color w:val="000000" w:themeColor="text1"/>
        </w:rPr>
      </w:pPr>
    </w:p>
    <w:p w:rsidR="007800FB" w:rsidRPr="007800FB" w:rsidRDefault="007800FB">
      <w:pPr>
        <w:rPr>
          <w:rFonts w:ascii="Palatino Linotype" w:hAnsi="Palatino Linotype"/>
          <w:color w:val="000000" w:themeColor="text1"/>
        </w:rPr>
      </w:pPr>
    </w:p>
    <w:p w:rsidR="007800FB" w:rsidRPr="007800FB" w:rsidRDefault="007800FB">
      <w:pPr>
        <w:rPr>
          <w:rFonts w:ascii="Palatino Linotype" w:hAnsi="Palatino Linotype"/>
          <w:color w:val="000000" w:themeColor="text1"/>
        </w:rPr>
      </w:pPr>
    </w:p>
    <w:p w:rsidR="007800FB" w:rsidRPr="007800FB" w:rsidRDefault="007800FB">
      <w:pPr>
        <w:rPr>
          <w:rFonts w:ascii="Palatino Linotype" w:hAnsi="Palatino Linotype"/>
          <w:color w:val="000000" w:themeColor="text1"/>
        </w:rPr>
      </w:pPr>
    </w:p>
    <w:p w:rsidR="007800FB" w:rsidRPr="007800FB" w:rsidRDefault="007800FB">
      <w:pPr>
        <w:rPr>
          <w:rFonts w:ascii="Palatino Linotype" w:hAnsi="Palatino Linotype"/>
          <w:color w:val="000000" w:themeColor="text1"/>
        </w:rPr>
      </w:pPr>
    </w:p>
    <w:sectPr w:rsidR="007800FB" w:rsidRPr="007800FB" w:rsidSect="00832344">
      <w:headerReference w:type="even" r:id="rId11"/>
      <w:headerReference w:type="default" r:id="rId12"/>
      <w:footerReference w:type="default" r:id="rId13"/>
      <w:headerReference w:type="first" r:id="rId14"/>
      <w:footerReference w:type="first" r:id="rId15"/>
      <w:pgSz w:w="12240" w:h="15840"/>
      <w:pgMar w:top="2268" w:right="1701" w:bottom="1843"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58D3" w:rsidRDefault="002358D3" w:rsidP="0011578A">
      <w:r>
        <w:separator/>
      </w:r>
    </w:p>
  </w:endnote>
  <w:endnote w:type="continuationSeparator" w:id="0">
    <w:p w:rsidR="002358D3" w:rsidRDefault="002358D3" w:rsidP="00115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832344" w:rsidRPr="002D6DD8" w:rsidRDefault="00A15CAF" w:rsidP="0083234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84594">
              <w:rPr>
                <w:rFonts w:ascii="Palatino Linotype" w:hAnsi="Palatino Linotype"/>
                <w:bCs/>
                <w:noProof/>
                <w:sz w:val="20"/>
              </w:rPr>
              <w:t>15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84594">
              <w:rPr>
                <w:rFonts w:ascii="Palatino Linotype" w:hAnsi="Palatino Linotype"/>
                <w:bCs/>
                <w:noProof/>
                <w:sz w:val="20"/>
              </w:rPr>
              <w:t>15</w:t>
            </w:r>
            <w:r>
              <w:rPr>
                <w:rFonts w:ascii="Palatino Linotype" w:hAnsi="Palatino Linotype"/>
                <w:bCs/>
                <w:noProof/>
                <w:sz w:val="20"/>
              </w:rPr>
              <w:fldChar w:fldCharType="end"/>
            </w:r>
          </w:p>
        </w:sdtContent>
      </w:sdt>
    </w:sdtContent>
  </w:sdt>
  <w:p w:rsidR="00832344" w:rsidRDefault="002358D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344" w:rsidRPr="000B69FA" w:rsidRDefault="00A15CAF" w:rsidP="0083234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8459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84594">
      <w:rPr>
        <w:rFonts w:ascii="Palatino Linotype" w:hAnsi="Palatino Linotype"/>
        <w:bCs/>
        <w:noProof/>
        <w:sz w:val="20"/>
      </w:rPr>
      <w:t>15</w:t>
    </w:r>
    <w:r>
      <w:rPr>
        <w:rFonts w:ascii="Palatino Linotype" w:hAnsi="Palatino Linotype"/>
        <w:bCs/>
        <w:noProof/>
        <w:sz w:val="20"/>
      </w:rPr>
      <w:fldChar w:fldCharType="end"/>
    </w:r>
  </w:p>
  <w:p w:rsidR="00832344" w:rsidRDefault="002358D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58D3" w:rsidRDefault="002358D3" w:rsidP="0011578A">
      <w:r>
        <w:separator/>
      </w:r>
    </w:p>
  </w:footnote>
  <w:footnote w:type="continuationSeparator" w:id="0">
    <w:p w:rsidR="002358D3" w:rsidRDefault="002358D3" w:rsidP="001157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344" w:rsidRDefault="002358D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11" w:type="dxa"/>
      <w:tblInd w:w="3395" w:type="dxa"/>
      <w:tblCellMar>
        <w:left w:w="70" w:type="dxa"/>
        <w:right w:w="70" w:type="dxa"/>
      </w:tblCellMar>
      <w:tblLook w:val="04A0" w:firstRow="1" w:lastRow="0" w:firstColumn="1" w:lastColumn="0" w:noHBand="0" w:noVBand="1"/>
    </w:tblPr>
    <w:tblGrid>
      <w:gridCol w:w="2976"/>
      <w:gridCol w:w="3835"/>
    </w:tblGrid>
    <w:tr w:rsidR="00832344" w:rsidRPr="007800FB" w:rsidTr="007800FB">
      <w:trPr>
        <w:trHeight w:val="227"/>
      </w:trPr>
      <w:tc>
        <w:tcPr>
          <w:tcW w:w="2976" w:type="dxa"/>
          <w:vAlign w:val="center"/>
          <w:hideMark/>
        </w:tcPr>
        <w:p w:rsidR="00832344" w:rsidRPr="007800FB" w:rsidRDefault="00A15CAF" w:rsidP="00832344">
          <w:pPr>
            <w:ind w:right="34"/>
            <w:jc w:val="right"/>
            <w:rPr>
              <w:rFonts w:ascii="Palatino Linotype" w:hAnsi="Palatino Linotype"/>
              <w:b/>
            </w:rPr>
          </w:pPr>
          <w:r w:rsidRPr="007800FB">
            <w:rPr>
              <w:rFonts w:ascii="Palatino Linotype" w:hAnsi="Palatino Linotype"/>
              <w:b/>
            </w:rPr>
            <w:t>Recurso de Revisión:</w:t>
          </w:r>
        </w:p>
      </w:tc>
      <w:tc>
        <w:tcPr>
          <w:tcW w:w="3835" w:type="dxa"/>
          <w:vAlign w:val="center"/>
          <w:hideMark/>
        </w:tcPr>
        <w:p w:rsidR="00832344" w:rsidRPr="007800FB" w:rsidRDefault="0011578A" w:rsidP="00832344">
          <w:pPr>
            <w:pStyle w:val="Encabezado"/>
            <w:rPr>
              <w:rFonts w:ascii="Palatino Linotype" w:hAnsi="Palatino Linotype"/>
            </w:rPr>
          </w:pPr>
          <w:r w:rsidRPr="007800FB">
            <w:rPr>
              <w:rFonts w:ascii="Palatino Linotype" w:hAnsi="Palatino Linotype" w:cs="Arial"/>
              <w:bCs/>
            </w:rPr>
            <w:t>03073</w:t>
          </w:r>
          <w:r w:rsidR="00A15CAF" w:rsidRPr="007800FB">
            <w:rPr>
              <w:rFonts w:ascii="Palatino Linotype" w:hAnsi="Palatino Linotype" w:cs="Arial"/>
              <w:bCs/>
            </w:rPr>
            <w:t>/INFOEM/IP/RR/2025</w:t>
          </w:r>
        </w:p>
      </w:tc>
    </w:tr>
    <w:tr w:rsidR="00832344" w:rsidRPr="007800FB" w:rsidTr="007800FB">
      <w:trPr>
        <w:trHeight w:val="242"/>
      </w:trPr>
      <w:tc>
        <w:tcPr>
          <w:tcW w:w="2976" w:type="dxa"/>
          <w:vAlign w:val="center"/>
          <w:hideMark/>
        </w:tcPr>
        <w:p w:rsidR="00832344" w:rsidRPr="007800FB" w:rsidRDefault="00A15CAF" w:rsidP="00832344">
          <w:pPr>
            <w:ind w:right="34"/>
            <w:jc w:val="right"/>
            <w:rPr>
              <w:rFonts w:ascii="Palatino Linotype" w:hAnsi="Palatino Linotype"/>
              <w:b/>
            </w:rPr>
          </w:pPr>
          <w:r w:rsidRPr="007800FB">
            <w:rPr>
              <w:rFonts w:ascii="Palatino Linotype" w:hAnsi="Palatino Linotype"/>
              <w:b/>
            </w:rPr>
            <w:t>Sujeto Obligado:</w:t>
          </w:r>
        </w:p>
      </w:tc>
      <w:tc>
        <w:tcPr>
          <w:tcW w:w="3835" w:type="dxa"/>
          <w:vAlign w:val="center"/>
          <w:hideMark/>
        </w:tcPr>
        <w:p w:rsidR="00832344" w:rsidRPr="007800FB" w:rsidRDefault="0011578A" w:rsidP="007800FB">
          <w:pPr>
            <w:pStyle w:val="Encabezado"/>
            <w:rPr>
              <w:rFonts w:ascii="Palatino Linotype" w:hAnsi="Palatino Linotype"/>
            </w:rPr>
          </w:pPr>
          <w:r w:rsidRPr="007800FB">
            <w:rPr>
              <w:rFonts w:ascii="Palatino Linotype" w:hAnsi="Palatino Linotype"/>
              <w:bCs/>
              <w:color w:val="000000"/>
            </w:rPr>
            <w:t>Ayuntamiento de Mexicaltzingo</w:t>
          </w:r>
        </w:p>
      </w:tc>
    </w:tr>
    <w:tr w:rsidR="00832344" w:rsidRPr="007800FB" w:rsidTr="007800FB">
      <w:trPr>
        <w:trHeight w:val="342"/>
      </w:trPr>
      <w:tc>
        <w:tcPr>
          <w:tcW w:w="2976" w:type="dxa"/>
          <w:vAlign w:val="center"/>
          <w:hideMark/>
        </w:tcPr>
        <w:p w:rsidR="00832344" w:rsidRPr="007800FB" w:rsidRDefault="00A15CAF" w:rsidP="00832344">
          <w:pPr>
            <w:ind w:right="34"/>
            <w:jc w:val="right"/>
            <w:rPr>
              <w:rFonts w:ascii="Palatino Linotype" w:hAnsi="Palatino Linotype"/>
              <w:b/>
            </w:rPr>
          </w:pPr>
          <w:r w:rsidRPr="007800FB">
            <w:rPr>
              <w:rFonts w:ascii="Palatino Linotype" w:hAnsi="Palatino Linotype"/>
              <w:b/>
            </w:rPr>
            <w:t>Comisionada Ponente:</w:t>
          </w:r>
        </w:p>
      </w:tc>
      <w:tc>
        <w:tcPr>
          <w:tcW w:w="3835" w:type="dxa"/>
          <w:vAlign w:val="center"/>
          <w:hideMark/>
        </w:tcPr>
        <w:p w:rsidR="00832344" w:rsidRPr="007800FB" w:rsidRDefault="00A15CAF" w:rsidP="00832344">
          <w:pPr>
            <w:pStyle w:val="Encabezado"/>
            <w:rPr>
              <w:rFonts w:ascii="Palatino Linotype" w:hAnsi="Palatino Linotype"/>
            </w:rPr>
          </w:pPr>
          <w:r w:rsidRPr="007800FB">
            <w:rPr>
              <w:rFonts w:ascii="Palatino Linotype" w:hAnsi="Palatino Linotype"/>
            </w:rPr>
            <w:t>María del Rosario Mejía Ayala</w:t>
          </w:r>
        </w:p>
      </w:tc>
    </w:tr>
  </w:tbl>
  <w:p w:rsidR="00832344" w:rsidRPr="00AE046A" w:rsidRDefault="002358D3" w:rsidP="007800FB">
    <w:pPr>
      <w:pStyle w:val="Encabezado"/>
      <w:tabs>
        <w:tab w:val="clear" w:pos="4419"/>
        <w:tab w:val="clear" w:pos="8838"/>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3333" w:type="dxa"/>
      <w:tblCellMar>
        <w:left w:w="70" w:type="dxa"/>
        <w:right w:w="70" w:type="dxa"/>
      </w:tblCellMar>
      <w:tblLook w:val="04A0" w:firstRow="1" w:lastRow="0" w:firstColumn="1" w:lastColumn="0" w:noHBand="0" w:noVBand="1"/>
    </w:tblPr>
    <w:tblGrid>
      <w:gridCol w:w="2977"/>
      <w:gridCol w:w="3684"/>
    </w:tblGrid>
    <w:tr w:rsidR="007800FB" w:rsidRPr="007800FB" w:rsidTr="00832344">
      <w:trPr>
        <w:trHeight w:val="227"/>
      </w:trPr>
      <w:tc>
        <w:tcPr>
          <w:tcW w:w="2977" w:type="dxa"/>
          <w:vAlign w:val="center"/>
          <w:hideMark/>
        </w:tcPr>
        <w:p w:rsidR="00832344" w:rsidRPr="007800FB" w:rsidRDefault="00A15CAF" w:rsidP="00832344">
          <w:pPr>
            <w:jc w:val="right"/>
            <w:rPr>
              <w:rFonts w:ascii="Palatino Linotype" w:hAnsi="Palatino Linotype"/>
              <w:b/>
              <w:color w:val="000000" w:themeColor="text1"/>
            </w:rPr>
          </w:pPr>
          <w:r w:rsidRPr="007800FB">
            <w:rPr>
              <w:rFonts w:ascii="Palatino Linotype" w:hAnsi="Palatino Linotype"/>
              <w:b/>
              <w:color w:val="000000" w:themeColor="text1"/>
            </w:rPr>
            <w:t>Recurso de Revisión:</w:t>
          </w:r>
        </w:p>
      </w:tc>
      <w:tc>
        <w:tcPr>
          <w:tcW w:w="3684" w:type="dxa"/>
          <w:vAlign w:val="center"/>
          <w:hideMark/>
        </w:tcPr>
        <w:p w:rsidR="00832344" w:rsidRPr="007800FB" w:rsidRDefault="0011578A" w:rsidP="00832344">
          <w:pPr>
            <w:pStyle w:val="Encabezado"/>
            <w:rPr>
              <w:rFonts w:ascii="Palatino Linotype" w:hAnsi="Palatino Linotype"/>
              <w:color w:val="000000" w:themeColor="text1"/>
            </w:rPr>
          </w:pPr>
          <w:r w:rsidRPr="007800FB">
            <w:rPr>
              <w:rFonts w:ascii="Palatino Linotype" w:hAnsi="Palatino Linotype" w:cs="Arial"/>
              <w:bCs/>
              <w:color w:val="000000" w:themeColor="text1"/>
            </w:rPr>
            <w:t>03073</w:t>
          </w:r>
          <w:r w:rsidR="00A15CAF" w:rsidRPr="007800FB">
            <w:rPr>
              <w:rFonts w:ascii="Palatino Linotype" w:hAnsi="Palatino Linotype" w:cs="Arial"/>
              <w:bCs/>
              <w:color w:val="000000" w:themeColor="text1"/>
            </w:rPr>
            <w:t>/INFOEM/IP/RR/2025</w:t>
          </w:r>
        </w:p>
      </w:tc>
    </w:tr>
    <w:tr w:rsidR="007800FB" w:rsidRPr="007800FB" w:rsidTr="00832344">
      <w:trPr>
        <w:trHeight w:val="242"/>
      </w:trPr>
      <w:tc>
        <w:tcPr>
          <w:tcW w:w="2977" w:type="dxa"/>
          <w:vAlign w:val="center"/>
          <w:hideMark/>
        </w:tcPr>
        <w:p w:rsidR="00832344" w:rsidRPr="007800FB" w:rsidRDefault="00A15CAF" w:rsidP="00832344">
          <w:pPr>
            <w:jc w:val="right"/>
            <w:rPr>
              <w:rFonts w:ascii="Palatino Linotype" w:hAnsi="Palatino Linotype"/>
              <w:b/>
              <w:color w:val="000000" w:themeColor="text1"/>
            </w:rPr>
          </w:pPr>
          <w:r w:rsidRPr="007800FB">
            <w:rPr>
              <w:rFonts w:ascii="Palatino Linotype" w:hAnsi="Palatino Linotype"/>
              <w:b/>
              <w:color w:val="000000" w:themeColor="text1"/>
            </w:rPr>
            <w:t>Recurrente:</w:t>
          </w:r>
        </w:p>
      </w:tc>
      <w:tc>
        <w:tcPr>
          <w:tcW w:w="3684" w:type="dxa"/>
        </w:tcPr>
        <w:p w:rsidR="00832344" w:rsidRPr="007800FB" w:rsidRDefault="00A15CAF" w:rsidP="00784594">
          <w:pPr>
            <w:pStyle w:val="Encabezado"/>
            <w:tabs>
              <w:tab w:val="left" w:pos="521"/>
            </w:tabs>
            <w:rPr>
              <w:rFonts w:ascii="Palatino Linotype" w:hAnsi="Palatino Linotype"/>
              <w:color w:val="000000" w:themeColor="text1"/>
            </w:rPr>
          </w:pPr>
          <w:r w:rsidRPr="007800FB">
            <w:rPr>
              <w:rFonts w:ascii="Palatino Linotype" w:hAnsi="Palatino Linotype"/>
              <w:bCs/>
              <w:color w:val="000000" w:themeColor="text1"/>
            </w:rPr>
            <w:t> </w:t>
          </w:r>
          <w:r w:rsidR="00784594">
            <w:rPr>
              <w:rFonts w:ascii="Palatino Linotype" w:hAnsi="Palatino Linotype"/>
              <w:bCs/>
              <w:color w:val="000000" w:themeColor="text1"/>
            </w:rPr>
            <w:t>XXXX</w:t>
          </w:r>
        </w:p>
      </w:tc>
    </w:tr>
    <w:tr w:rsidR="007800FB" w:rsidRPr="007800FB" w:rsidTr="00832344">
      <w:trPr>
        <w:trHeight w:val="342"/>
      </w:trPr>
      <w:tc>
        <w:tcPr>
          <w:tcW w:w="2977" w:type="dxa"/>
          <w:vAlign w:val="center"/>
        </w:tcPr>
        <w:p w:rsidR="00832344" w:rsidRPr="007800FB" w:rsidRDefault="00A15CAF" w:rsidP="00832344">
          <w:pPr>
            <w:jc w:val="right"/>
            <w:rPr>
              <w:rFonts w:ascii="Palatino Linotype" w:hAnsi="Palatino Linotype"/>
              <w:b/>
              <w:color w:val="000000" w:themeColor="text1"/>
            </w:rPr>
          </w:pPr>
          <w:r w:rsidRPr="007800FB">
            <w:rPr>
              <w:rFonts w:ascii="Palatino Linotype" w:hAnsi="Palatino Linotype"/>
              <w:b/>
              <w:color w:val="000000" w:themeColor="text1"/>
            </w:rPr>
            <w:t>Sujeto Obligado:</w:t>
          </w:r>
        </w:p>
      </w:tc>
      <w:tc>
        <w:tcPr>
          <w:tcW w:w="3684" w:type="dxa"/>
          <w:vAlign w:val="center"/>
        </w:tcPr>
        <w:p w:rsidR="00832344" w:rsidRPr="007800FB" w:rsidRDefault="0011578A" w:rsidP="00832344">
          <w:pPr>
            <w:pStyle w:val="Encabezado"/>
            <w:jc w:val="both"/>
            <w:rPr>
              <w:rFonts w:ascii="Palatino Linotype" w:hAnsi="Palatino Linotype"/>
              <w:color w:val="000000" w:themeColor="text1"/>
            </w:rPr>
          </w:pPr>
          <w:r w:rsidRPr="007800FB">
            <w:rPr>
              <w:rFonts w:ascii="Palatino Linotype" w:hAnsi="Palatino Linotype"/>
              <w:bCs/>
              <w:color w:val="000000" w:themeColor="text1"/>
            </w:rPr>
            <w:t>Ayuntamiento de Mexicaltzingo</w:t>
          </w:r>
        </w:p>
      </w:tc>
    </w:tr>
    <w:tr w:rsidR="007800FB" w:rsidRPr="007800FB" w:rsidTr="00832344">
      <w:trPr>
        <w:trHeight w:val="342"/>
      </w:trPr>
      <w:tc>
        <w:tcPr>
          <w:tcW w:w="2977" w:type="dxa"/>
          <w:vAlign w:val="center"/>
        </w:tcPr>
        <w:p w:rsidR="00832344" w:rsidRPr="007800FB" w:rsidRDefault="00A15CAF" w:rsidP="00832344">
          <w:pPr>
            <w:jc w:val="right"/>
            <w:rPr>
              <w:rFonts w:ascii="Palatino Linotype" w:hAnsi="Palatino Linotype"/>
              <w:b/>
              <w:color w:val="000000" w:themeColor="text1"/>
            </w:rPr>
          </w:pPr>
          <w:r w:rsidRPr="007800FB">
            <w:rPr>
              <w:rFonts w:ascii="Palatino Linotype" w:hAnsi="Palatino Linotype"/>
              <w:b/>
              <w:color w:val="000000" w:themeColor="text1"/>
            </w:rPr>
            <w:t>Comisionada Ponente:</w:t>
          </w:r>
        </w:p>
      </w:tc>
      <w:tc>
        <w:tcPr>
          <w:tcW w:w="3684" w:type="dxa"/>
          <w:vAlign w:val="center"/>
        </w:tcPr>
        <w:p w:rsidR="00832344" w:rsidRPr="007800FB" w:rsidRDefault="00A15CAF" w:rsidP="00832344">
          <w:pPr>
            <w:pStyle w:val="Encabezado"/>
            <w:rPr>
              <w:rFonts w:ascii="Palatino Linotype" w:hAnsi="Palatino Linotype"/>
              <w:color w:val="000000" w:themeColor="text1"/>
            </w:rPr>
          </w:pPr>
          <w:r w:rsidRPr="007800FB">
            <w:rPr>
              <w:rFonts w:ascii="Palatino Linotype" w:hAnsi="Palatino Linotype"/>
              <w:color w:val="000000" w:themeColor="text1"/>
            </w:rPr>
            <w:t>María del Rosario Mejía Ayala</w:t>
          </w:r>
        </w:p>
      </w:tc>
    </w:tr>
  </w:tbl>
  <w:p w:rsidR="00832344" w:rsidRPr="00C222C0" w:rsidRDefault="002358D3">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78A"/>
    <w:rsid w:val="00056FC4"/>
    <w:rsid w:val="0011578A"/>
    <w:rsid w:val="0017339C"/>
    <w:rsid w:val="002358D3"/>
    <w:rsid w:val="004B698C"/>
    <w:rsid w:val="004F4F62"/>
    <w:rsid w:val="005272D6"/>
    <w:rsid w:val="007800FB"/>
    <w:rsid w:val="00784594"/>
    <w:rsid w:val="007C6F4A"/>
    <w:rsid w:val="00A15CAF"/>
    <w:rsid w:val="00CA5608"/>
    <w:rsid w:val="00D06747"/>
    <w:rsid w:val="00E64DA2"/>
    <w:rsid w:val="00EC674E"/>
    <w:rsid w:val="00F701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05826B9-CA2D-4DEC-9004-B9A2FCA28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78A"/>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1157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1578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1578A"/>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11578A"/>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11578A"/>
    <w:pPr>
      <w:tabs>
        <w:tab w:val="center" w:pos="4419"/>
        <w:tab w:val="right" w:pos="8838"/>
      </w:tabs>
    </w:pPr>
  </w:style>
  <w:style w:type="character" w:customStyle="1" w:styleId="EncabezadoCar">
    <w:name w:val="Encabezado Car"/>
    <w:basedOn w:val="Fuentedeprrafopredeter"/>
    <w:link w:val="Encabezado"/>
    <w:uiPriority w:val="99"/>
    <w:rsid w:val="0011578A"/>
    <w:rPr>
      <w:rFonts w:eastAsiaTheme="minorEastAsia"/>
      <w:sz w:val="24"/>
      <w:szCs w:val="24"/>
      <w:lang w:val="es-ES_tradnl" w:eastAsia="es-ES"/>
    </w:rPr>
  </w:style>
  <w:style w:type="paragraph" w:styleId="Piedepgina">
    <w:name w:val="footer"/>
    <w:basedOn w:val="Normal"/>
    <w:link w:val="PiedepginaCar"/>
    <w:uiPriority w:val="99"/>
    <w:unhideWhenUsed/>
    <w:rsid w:val="0011578A"/>
    <w:pPr>
      <w:tabs>
        <w:tab w:val="center" w:pos="4419"/>
        <w:tab w:val="right" w:pos="8838"/>
      </w:tabs>
    </w:pPr>
  </w:style>
  <w:style w:type="character" w:customStyle="1" w:styleId="PiedepginaCar">
    <w:name w:val="Pie de página Car"/>
    <w:basedOn w:val="Fuentedeprrafopredeter"/>
    <w:link w:val="Piedepgina"/>
    <w:uiPriority w:val="99"/>
    <w:rsid w:val="0011578A"/>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578A"/>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578A"/>
    <w:rPr>
      <w:rFonts w:eastAsiaTheme="minorEastAsia"/>
      <w:sz w:val="24"/>
      <w:szCs w:val="24"/>
      <w:lang w:val="es-ES_tradnl" w:eastAsia="es-ES"/>
    </w:rPr>
  </w:style>
  <w:style w:type="character" w:styleId="Hipervnculo">
    <w:name w:val="Hyperlink"/>
    <w:basedOn w:val="Fuentedeprrafopredeter"/>
    <w:uiPriority w:val="99"/>
    <w:unhideWhenUsed/>
    <w:rsid w:val="0011578A"/>
    <w:rPr>
      <w:color w:val="0563C1" w:themeColor="hyperlink"/>
      <w:u w:val="single"/>
    </w:rPr>
  </w:style>
  <w:style w:type="character" w:styleId="Hipervnculovisitado">
    <w:name w:val="FollowedHyperlink"/>
    <w:basedOn w:val="Fuentedeprrafopredeter"/>
    <w:uiPriority w:val="99"/>
    <w:semiHidden/>
    <w:unhideWhenUsed/>
    <w:rsid w:val="00CA56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1624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cion.edomex.gob.mx/sites/legislacion.edomex.gob.mx/files/files/pdf/gct/2025/febrero/feb251/feb251g.pdf"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legislacion.edomex.gob.mx/sites/legislacion.edomex.gob.mx/files/files/pdf/gct/2025/febrero/feb251/feb251g.pdf" TargetMode="Externa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15</Pages>
  <Words>2614</Words>
  <Characters>14383</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16964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6</cp:revision>
  <cp:lastPrinted>2025-04-10T22:25:00Z</cp:lastPrinted>
  <dcterms:created xsi:type="dcterms:W3CDTF">2025-04-07T19:58:00Z</dcterms:created>
  <dcterms:modified xsi:type="dcterms:W3CDTF">2025-04-11T19:48:00Z</dcterms:modified>
</cp:coreProperties>
</file>