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41428" w14:textId="334F5DFD" w:rsidR="00E35ABB" w:rsidRPr="00CA7A41" w:rsidRDefault="00E35ABB" w:rsidP="00E35ABB">
      <w:pPr>
        <w:tabs>
          <w:tab w:val="left" w:pos="0"/>
        </w:tabs>
        <w:spacing w:line="360" w:lineRule="auto"/>
        <w:jc w:val="both"/>
        <w:rPr>
          <w:rFonts w:ascii="Palatino Linotype" w:hAnsi="Palatino Linotype"/>
          <w:sz w:val="22"/>
          <w:szCs w:val="22"/>
        </w:rPr>
      </w:pPr>
      <w:r w:rsidRPr="00CA7A41">
        <w:rPr>
          <w:rFonts w:ascii="Palatino Linotype" w:hAnsi="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Pr="00CA7A41">
        <w:rPr>
          <w:rFonts w:ascii="Palatino Linotype" w:hAnsi="Palatino Linotype"/>
          <w:b/>
          <w:sz w:val="22"/>
          <w:szCs w:val="22"/>
        </w:rPr>
        <w:t>doce de febrero de dos mil veintic</w:t>
      </w:r>
      <w:r w:rsidR="006A50D0" w:rsidRPr="00CA7A41">
        <w:rPr>
          <w:rFonts w:ascii="Palatino Linotype" w:hAnsi="Palatino Linotype"/>
          <w:b/>
          <w:sz w:val="22"/>
          <w:szCs w:val="22"/>
        </w:rPr>
        <w:t>inco</w:t>
      </w:r>
      <w:r w:rsidRPr="00CA7A41">
        <w:rPr>
          <w:rFonts w:ascii="Palatino Linotype" w:hAnsi="Palatino Linotype"/>
          <w:b/>
          <w:sz w:val="22"/>
          <w:szCs w:val="22"/>
        </w:rPr>
        <w:t>.</w:t>
      </w:r>
      <w:r w:rsidRPr="00CA7A41">
        <w:rPr>
          <w:rFonts w:ascii="Palatino Linotype" w:hAnsi="Palatino Linotype"/>
          <w:sz w:val="22"/>
          <w:szCs w:val="22"/>
        </w:rPr>
        <w:t xml:space="preserve"> </w:t>
      </w:r>
    </w:p>
    <w:p w14:paraId="1C841429" w14:textId="77777777" w:rsidR="00E35ABB" w:rsidRPr="00CA7A41" w:rsidRDefault="00E35ABB" w:rsidP="00E35ABB">
      <w:pPr>
        <w:tabs>
          <w:tab w:val="left" w:pos="0"/>
        </w:tabs>
        <w:spacing w:line="360" w:lineRule="auto"/>
        <w:jc w:val="both"/>
        <w:rPr>
          <w:rFonts w:ascii="Palatino Linotype" w:hAnsi="Palatino Linotype"/>
          <w:sz w:val="22"/>
          <w:szCs w:val="22"/>
        </w:rPr>
      </w:pPr>
    </w:p>
    <w:p w14:paraId="1C84142A" w14:textId="00697D6D" w:rsidR="00E35ABB" w:rsidRPr="00CA7A41" w:rsidRDefault="00E35ABB" w:rsidP="00E35ABB">
      <w:pPr>
        <w:spacing w:line="360" w:lineRule="auto"/>
        <w:jc w:val="both"/>
        <w:rPr>
          <w:rFonts w:ascii="Palatino Linotype" w:hAnsi="Palatino Linotype"/>
          <w:sz w:val="22"/>
          <w:szCs w:val="22"/>
        </w:rPr>
      </w:pPr>
      <w:r w:rsidRPr="00CA7A41">
        <w:rPr>
          <w:rFonts w:ascii="Palatino Linotype" w:hAnsi="Palatino Linotype"/>
          <w:b/>
          <w:sz w:val="22"/>
          <w:szCs w:val="22"/>
        </w:rPr>
        <w:t>VISTO</w:t>
      </w:r>
      <w:r w:rsidRPr="00CA7A41">
        <w:rPr>
          <w:rFonts w:ascii="Palatino Linotype" w:hAnsi="Palatino Linotype"/>
          <w:sz w:val="22"/>
          <w:szCs w:val="22"/>
        </w:rPr>
        <w:t xml:space="preserve"> el expediente electrónico formado con motivo del recurso de revisión </w:t>
      </w:r>
      <w:r w:rsidRPr="00CA7A41">
        <w:rPr>
          <w:rFonts w:ascii="Palatino Linotype" w:hAnsi="Palatino Linotype" w:cs="Arial"/>
          <w:b/>
          <w:bCs/>
          <w:sz w:val="22"/>
          <w:szCs w:val="22"/>
        </w:rPr>
        <w:t xml:space="preserve">07418/INFOEM/IP/RR/2024, </w:t>
      </w:r>
      <w:r w:rsidRPr="00CA7A41">
        <w:rPr>
          <w:rFonts w:ascii="Palatino Linotype" w:hAnsi="Palatino Linotype"/>
          <w:sz w:val="22"/>
          <w:szCs w:val="22"/>
        </w:rPr>
        <w:t xml:space="preserve">promovido por </w:t>
      </w:r>
      <w:r w:rsidR="00322DF0">
        <w:rPr>
          <w:rFonts w:ascii="Palatino Linotype" w:hAnsi="Palatino Linotype"/>
          <w:b/>
          <w:bCs/>
          <w:sz w:val="22"/>
          <w:szCs w:val="22"/>
        </w:rPr>
        <w:t xml:space="preserve">XXXXX </w:t>
      </w:r>
      <w:proofErr w:type="spellStart"/>
      <w:r w:rsidR="00322DF0">
        <w:rPr>
          <w:rFonts w:ascii="Palatino Linotype" w:hAnsi="Palatino Linotype"/>
          <w:b/>
          <w:bCs/>
          <w:sz w:val="22"/>
          <w:szCs w:val="22"/>
        </w:rPr>
        <w:t>XXXXX</w:t>
      </w:r>
      <w:proofErr w:type="spellEnd"/>
      <w:r w:rsidR="00322DF0">
        <w:rPr>
          <w:rFonts w:ascii="Palatino Linotype" w:hAnsi="Palatino Linotype"/>
          <w:b/>
          <w:bCs/>
          <w:sz w:val="22"/>
          <w:szCs w:val="22"/>
        </w:rPr>
        <w:t xml:space="preserve"> XXXX</w:t>
      </w:r>
      <w:r w:rsidRPr="00CA7A41">
        <w:rPr>
          <w:rFonts w:ascii="Palatino Linotype" w:hAnsi="Palatino Linotype"/>
          <w:sz w:val="22"/>
          <w:szCs w:val="22"/>
        </w:rPr>
        <w:t xml:space="preserve">, quien en lo sucesivo se le identificara como </w:t>
      </w:r>
      <w:r w:rsidRPr="00CA7A41">
        <w:rPr>
          <w:rFonts w:ascii="Palatino Linotype" w:hAnsi="Palatino Linotype"/>
          <w:b/>
          <w:sz w:val="22"/>
          <w:szCs w:val="22"/>
        </w:rPr>
        <w:t>RECURRENTE</w:t>
      </w:r>
      <w:r w:rsidRPr="00CA7A41">
        <w:rPr>
          <w:rFonts w:ascii="Palatino Linotype" w:hAnsi="Palatino Linotype"/>
          <w:sz w:val="22"/>
          <w:szCs w:val="22"/>
        </w:rPr>
        <w:t>, en contra de la</w:t>
      </w:r>
      <w:r w:rsidRPr="00CA7A41">
        <w:rPr>
          <w:rFonts w:ascii="Palatino Linotype" w:hAnsi="Palatino Linotype" w:cs="Arial"/>
          <w:sz w:val="22"/>
          <w:szCs w:val="22"/>
        </w:rPr>
        <w:t xml:space="preserve"> respuesta del </w:t>
      </w:r>
      <w:r w:rsidRPr="00CA7A41">
        <w:rPr>
          <w:rFonts w:ascii="Palatino Linotype" w:eastAsia="Calibri" w:hAnsi="Palatino Linotype" w:cs="Tahoma"/>
          <w:b/>
          <w:bCs/>
          <w:sz w:val="22"/>
          <w:szCs w:val="22"/>
          <w:lang w:eastAsia="en-US"/>
        </w:rPr>
        <w:t>Ayuntamiento de Tequixquiac,</w:t>
      </w:r>
      <w:r w:rsidRPr="00CA7A41">
        <w:rPr>
          <w:rFonts w:ascii="Palatino Linotype" w:hAnsi="Palatino Linotype" w:cs="Arial"/>
          <w:b/>
          <w:sz w:val="22"/>
          <w:szCs w:val="22"/>
        </w:rPr>
        <w:t xml:space="preserve"> </w:t>
      </w:r>
      <w:r w:rsidRPr="00CA7A41">
        <w:rPr>
          <w:rFonts w:ascii="Palatino Linotype" w:hAnsi="Palatino Linotype"/>
          <w:sz w:val="22"/>
          <w:szCs w:val="22"/>
        </w:rPr>
        <w:t>en lo sucesivo el</w:t>
      </w:r>
      <w:r w:rsidRPr="00CA7A41">
        <w:rPr>
          <w:rFonts w:ascii="Palatino Linotype" w:hAnsi="Palatino Linotype"/>
          <w:b/>
          <w:sz w:val="22"/>
          <w:szCs w:val="22"/>
        </w:rPr>
        <w:t xml:space="preserve"> SUJETO OBLIGADO, </w:t>
      </w:r>
      <w:r w:rsidRPr="00CA7A41">
        <w:rPr>
          <w:rFonts w:ascii="Palatino Linotype" w:hAnsi="Palatino Linotype"/>
          <w:sz w:val="22"/>
          <w:szCs w:val="22"/>
        </w:rPr>
        <w:t xml:space="preserve">se procede a dictar la presente resolución, con base en los siguientes: </w:t>
      </w:r>
    </w:p>
    <w:p w14:paraId="1C84142B" w14:textId="77777777" w:rsidR="00E35ABB" w:rsidRPr="00CA7A41" w:rsidRDefault="00E35ABB" w:rsidP="00E35ABB">
      <w:pPr>
        <w:spacing w:line="360" w:lineRule="auto"/>
        <w:jc w:val="both"/>
        <w:rPr>
          <w:rFonts w:ascii="Palatino Linotype" w:hAnsi="Palatino Linotype"/>
          <w:sz w:val="22"/>
          <w:szCs w:val="22"/>
        </w:rPr>
      </w:pPr>
    </w:p>
    <w:p w14:paraId="1C84142C" w14:textId="77777777" w:rsidR="00E35ABB" w:rsidRPr="00CA7A41" w:rsidRDefault="00E35ABB" w:rsidP="00E35ABB">
      <w:pPr>
        <w:keepNext/>
        <w:keepLines/>
        <w:tabs>
          <w:tab w:val="left" w:pos="0"/>
        </w:tabs>
        <w:spacing w:line="360" w:lineRule="auto"/>
        <w:jc w:val="center"/>
        <w:outlineLvl w:val="0"/>
        <w:rPr>
          <w:rFonts w:ascii="Palatino Linotype" w:hAnsi="Palatino Linotype"/>
          <w:b/>
          <w:sz w:val="22"/>
          <w:szCs w:val="22"/>
          <w:lang w:eastAsia="en-US"/>
        </w:rPr>
      </w:pPr>
      <w:bookmarkStart w:id="0" w:name="_Toc496274633"/>
      <w:bookmarkStart w:id="1" w:name="_Toc490060616"/>
      <w:bookmarkStart w:id="2" w:name="_Toc499727165"/>
      <w:bookmarkStart w:id="3" w:name="_Toc94119610"/>
      <w:r w:rsidRPr="00CA7A41">
        <w:rPr>
          <w:rFonts w:ascii="Palatino Linotype" w:hAnsi="Palatino Linotype"/>
          <w:b/>
          <w:sz w:val="22"/>
          <w:szCs w:val="22"/>
          <w:lang w:eastAsia="en-US"/>
        </w:rPr>
        <w:t>ANTECEDENTES</w:t>
      </w:r>
      <w:bookmarkEnd w:id="0"/>
      <w:bookmarkEnd w:id="1"/>
      <w:bookmarkEnd w:id="2"/>
      <w:bookmarkEnd w:id="3"/>
    </w:p>
    <w:p w14:paraId="1C84142D" w14:textId="77777777" w:rsidR="00E35ABB" w:rsidRPr="00CA7A41" w:rsidRDefault="00E35ABB" w:rsidP="00E35ABB">
      <w:pPr>
        <w:keepNext/>
        <w:keepLines/>
        <w:tabs>
          <w:tab w:val="left" w:pos="0"/>
        </w:tabs>
        <w:spacing w:line="360" w:lineRule="auto"/>
        <w:jc w:val="center"/>
        <w:outlineLvl w:val="0"/>
        <w:rPr>
          <w:rFonts w:ascii="Palatino Linotype" w:hAnsi="Palatino Linotype"/>
          <w:b/>
          <w:sz w:val="22"/>
          <w:szCs w:val="22"/>
          <w:lang w:eastAsia="en-US"/>
        </w:rPr>
      </w:pPr>
    </w:p>
    <w:p w14:paraId="1C84142E" w14:textId="4D249C8D" w:rsidR="00E35ABB" w:rsidRPr="00CA7A41" w:rsidRDefault="00E35ABB" w:rsidP="00E35ABB">
      <w:pPr>
        <w:numPr>
          <w:ilvl w:val="0"/>
          <w:numId w:val="1"/>
        </w:numPr>
        <w:tabs>
          <w:tab w:val="left" w:pos="0"/>
        </w:tabs>
        <w:spacing w:line="360" w:lineRule="auto"/>
        <w:ind w:left="0" w:firstLine="0"/>
        <w:contextualSpacing/>
        <w:jc w:val="both"/>
        <w:rPr>
          <w:rFonts w:ascii="Palatino Linotype" w:eastAsia="Calibri" w:hAnsi="Palatino Linotype" w:cs="Arial"/>
          <w:sz w:val="22"/>
          <w:szCs w:val="22"/>
          <w:lang w:val="es-ES"/>
        </w:rPr>
      </w:pPr>
      <w:r w:rsidRPr="00CA7A41">
        <w:rPr>
          <w:rFonts w:ascii="Palatino Linotype" w:eastAsia="Calibri" w:hAnsi="Palatino Linotype" w:cs="Arial"/>
          <w:sz w:val="22"/>
          <w:szCs w:val="22"/>
          <w:lang w:val="es-ES"/>
        </w:rPr>
        <w:t xml:space="preserve">El </w:t>
      </w:r>
      <w:r w:rsidRPr="00CA7A41">
        <w:rPr>
          <w:rFonts w:ascii="Palatino Linotype" w:eastAsia="Calibri" w:hAnsi="Palatino Linotype" w:cs="Arial"/>
          <w:b/>
          <w:sz w:val="22"/>
          <w:szCs w:val="22"/>
          <w:lang w:val="es-ES"/>
        </w:rPr>
        <w:t>catorce de noviembre de dos mil veinticuatro</w:t>
      </w:r>
      <w:r w:rsidRPr="00CA7A41">
        <w:rPr>
          <w:rFonts w:ascii="Palatino Linotype" w:eastAsia="Calibri" w:hAnsi="Palatino Linotype" w:cs="Arial"/>
          <w:sz w:val="22"/>
          <w:szCs w:val="22"/>
          <w:lang w:val="es-ES"/>
        </w:rPr>
        <w:t>,</w:t>
      </w:r>
      <w:r w:rsidRPr="00CA7A41">
        <w:rPr>
          <w:rFonts w:ascii="Palatino Linotype" w:eastAsia="Calibri" w:hAnsi="Palatino Linotype"/>
          <w:sz w:val="22"/>
          <w:szCs w:val="22"/>
          <w:lang w:val="es-ES"/>
        </w:rPr>
        <w:t xml:space="preserve"> </w:t>
      </w:r>
      <w:r w:rsidRPr="00CA7A41">
        <w:rPr>
          <w:rFonts w:ascii="Palatino Linotype" w:hAnsi="Palatino Linotype"/>
          <w:sz w:val="22"/>
          <w:szCs w:val="22"/>
        </w:rPr>
        <w:t>el</w:t>
      </w:r>
      <w:r w:rsidRPr="00CA7A41">
        <w:rPr>
          <w:rFonts w:ascii="Palatino Linotype" w:hAnsi="Palatino Linotype"/>
          <w:b/>
          <w:sz w:val="22"/>
          <w:szCs w:val="22"/>
        </w:rPr>
        <w:t xml:space="preserve"> </w:t>
      </w:r>
      <w:r w:rsidRPr="00CA7A41">
        <w:rPr>
          <w:rFonts w:ascii="Palatino Linotype" w:hAnsi="Palatino Linotype"/>
          <w:sz w:val="22"/>
          <w:szCs w:val="22"/>
        </w:rPr>
        <w:t>solicitante</w:t>
      </w:r>
      <w:r w:rsidRPr="00CA7A41">
        <w:rPr>
          <w:rFonts w:ascii="Palatino Linotype" w:hAnsi="Palatino Linotype"/>
          <w:b/>
          <w:sz w:val="22"/>
          <w:szCs w:val="22"/>
        </w:rPr>
        <w:t xml:space="preserve">  </w:t>
      </w:r>
      <w:r w:rsidRPr="00CA7A41">
        <w:rPr>
          <w:rFonts w:ascii="Palatino Linotype" w:hAnsi="Palatino Linotype"/>
          <w:sz w:val="22"/>
          <w:szCs w:val="22"/>
        </w:rPr>
        <w:t>presentó</w:t>
      </w:r>
      <w:r w:rsidRPr="00CA7A41">
        <w:rPr>
          <w:rFonts w:ascii="Palatino Linotype" w:hAnsi="Palatino Linotype"/>
          <w:b/>
          <w:sz w:val="22"/>
          <w:szCs w:val="22"/>
        </w:rPr>
        <w:t xml:space="preserve"> </w:t>
      </w:r>
      <w:r w:rsidRPr="00CA7A41">
        <w:rPr>
          <w:rFonts w:ascii="Palatino Linotype" w:eastAsia="Calibri" w:hAnsi="Palatino Linotype" w:cs="Arial"/>
          <w:sz w:val="22"/>
          <w:szCs w:val="22"/>
          <w:lang w:val="es-ES"/>
        </w:rPr>
        <w:t xml:space="preserve">ante el </w:t>
      </w:r>
      <w:r w:rsidRPr="00CA7A41">
        <w:rPr>
          <w:rFonts w:ascii="Palatino Linotype" w:eastAsia="Calibri" w:hAnsi="Palatino Linotype" w:cs="Arial"/>
          <w:b/>
          <w:sz w:val="22"/>
          <w:szCs w:val="22"/>
          <w:lang w:val="es-ES"/>
        </w:rPr>
        <w:t>SUJETO OBLIGADO,</w:t>
      </w:r>
      <w:r w:rsidRPr="00CA7A41">
        <w:rPr>
          <w:rFonts w:ascii="Palatino Linotype" w:eastAsia="Calibri" w:hAnsi="Palatino Linotype" w:cs="Arial"/>
          <w:sz w:val="22"/>
          <w:szCs w:val="22"/>
        </w:rPr>
        <w:t xml:space="preserve"> a través del Sistema de Acceso a la Información Mexiquense (SAIMEX),</w:t>
      </w:r>
      <w:r w:rsidRPr="00CA7A41">
        <w:rPr>
          <w:rFonts w:ascii="Palatino Linotype" w:eastAsia="Calibri" w:hAnsi="Palatino Linotype" w:cs="Arial"/>
          <w:sz w:val="22"/>
          <w:szCs w:val="22"/>
          <w:lang w:val="es-ES"/>
        </w:rPr>
        <w:t xml:space="preserve"> la solicitud de información pública registrada con el número </w:t>
      </w:r>
      <w:r w:rsidRPr="00CA7A41">
        <w:rPr>
          <w:rFonts w:ascii="Palatino Linotype" w:hAnsi="Palatino Linotype"/>
          <w:b/>
          <w:bCs/>
          <w:sz w:val="22"/>
          <w:szCs w:val="22"/>
        </w:rPr>
        <w:t> 0010</w:t>
      </w:r>
      <w:r w:rsidR="007A04E5" w:rsidRPr="00CA7A41">
        <w:rPr>
          <w:rFonts w:ascii="Palatino Linotype" w:hAnsi="Palatino Linotype"/>
          <w:b/>
          <w:bCs/>
          <w:sz w:val="22"/>
          <w:szCs w:val="22"/>
        </w:rPr>
        <w:t>7</w:t>
      </w:r>
      <w:r w:rsidRPr="00CA7A41">
        <w:rPr>
          <w:rFonts w:ascii="Palatino Linotype" w:hAnsi="Palatino Linotype"/>
          <w:b/>
          <w:bCs/>
          <w:sz w:val="22"/>
          <w:szCs w:val="22"/>
        </w:rPr>
        <w:t>/T</w:t>
      </w:r>
      <w:r w:rsidR="006A50D0" w:rsidRPr="00CA7A41">
        <w:rPr>
          <w:rFonts w:ascii="Palatino Linotype" w:hAnsi="Palatino Linotype"/>
          <w:b/>
          <w:bCs/>
          <w:sz w:val="22"/>
          <w:szCs w:val="22"/>
        </w:rPr>
        <w:t>EQUIXQU</w:t>
      </w:r>
      <w:r w:rsidRPr="00CA7A41">
        <w:rPr>
          <w:rFonts w:ascii="Palatino Linotype" w:hAnsi="Palatino Linotype"/>
          <w:b/>
          <w:bCs/>
          <w:sz w:val="22"/>
          <w:szCs w:val="22"/>
        </w:rPr>
        <w:t>/IP/2024</w:t>
      </w:r>
      <w:r w:rsidRPr="00CA7A41">
        <w:rPr>
          <w:rFonts w:ascii="Palatino Linotype" w:eastAsia="Calibri" w:hAnsi="Palatino Linotype" w:cs="Arial"/>
          <w:sz w:val="22"/>
          <w:szCs w:val="22"/>
          <w:lang w:val="es-ES"/>
        </w:rPr>
        <w:t>, mediante la cual se solicitó:</w:t>
      </w:r>
    </w:p>
    <w:p w14:paraId="1C84142F" w14:textId="77777777" w:rsidR="00E35ABB" w:rsidRPr="00CA7A41" w:rsidRDefault="00E35ABB" w:rsidP="00E35ABB">
      <w:pPr>
        <w:tabs>
          <w:tab w:val="left" w:pos="0"/>
        </w:tabs>
        <w:spacing w:line="360" w:lineRule="auto"/>
        <w:ind w:left="360"/>
        <w:contextualSpacing/>
        <w:jc w:val="both"/>
        <w:rPr>
          <w:rFonts w:ascii="Palatino Linotype" w:eastAsia="Calibri" w:hAnsi="Palatino Linotype" w:cs="Arial"/>
          <w:sz w:val="22"/>
          <w:szCs w:val="22"/>
          <w:lang w:val="es-ES"/>
        </w:rPr>
      </w:pPr>
    </w:p>
    <w:p w14:paraId="1C841430" w14:textId="77777777" w:rsidR="00E35ABB" w:rsidRPr="00CA7A41" w:rsidRDefault="00E35ABB" w:rsidP="00E35ABB">
      <w:pPr>
        <w:tabs>
          <w:tab w:val="left" w:pos="0"/>
        </w:tabs>
        <w:spacing w:line="360" w:lineRule="auto"/>
        <w:ind w:left="567" w:right="49"/>
        <w:contextualSpacing/>
        <w:jc w:val="both"/>
        <w:rPr>
          <w:rFonts w:ascii="Palatino Linotype" w:hAnsi="Palatino Linotype" w:cs="Arial"/>
          <w:i/>
          <w:sz w:val="22"/>
          <w:szCs w:val="22"/>
          <w:lang w:val="es-ES"/>
        </w:rPr>
      </w:pPr>
      <w:r w:rsidRPr="00CA7A41">
        <w:rPr>
          <w:rFonts w:ascii="Palatino Linotype" w:hAnsi="Palatino Linotype" w:cs="Arial"/>
          <w:i/>
          <w:sz w:val="22"/>
          <w:szCs w:val="22"/>
          <w:lang w:val="es-ES"/>
        </w:rPr>
        <w:t>“</w:t>
      </w:r>
      <w:r w:rsidRPr="00CA7A41">
        <w:rPr>
          <w:rFonts w:ascii="Palatino Linotype" w:hAnsi="Palatino Linotype"/>
          <w:i/>
          <w:color w:val="000000"/>
          <w:sz w:val="22"/>
          <w:szCs w:val="22"/>
        </w:rPr>
        <w:t xml:space="preserve">1.- COPIA DEL PRESUPUESTO ASIGNADO A PRESIDENCIA MUNICIPAL DEBIDAMENTE DESGLOSADO POR CAPITULO, DE LOS EJERCICIOS FISCALES 2022, 2023 Y 2024 2.- COPIA DEL PRESUPUESTO ASIGNADO A CADA UNO DE LOS SINDICOS MUNCIPALES DEBIDAMENTE DESGLOSADO POR CAPITULO, DE LOS EJERCICIOS FISCALES 2022, 2023 Y 2024. 3.- COPIA DEL PRESUPEUSTO ASIGNADO A CADA REGIDOR DEBIDAMENTE DESGLOSADO POR CAPITULO, DE LOS EJERCICIOS FISCALES 2022, 2023 Y 2024. 4 COPIA DEL TABULADOR DE SUELDO ASIGNADO A CADA UNO DE LOS TITULARES DE CADA UNA DE LAS DEPENDENCIAS QUE INTEGRAN LA ADMIISTRACION PUBLICA DE NAUCALPAN, DEBIDAMENTE DESGLOSADO POR CAPITULO, DE LOS EJERCICIOS FISCALES </w:t>
      </w:r>
      <w:bookmarkStart w:id="4" w:name="_GoBack"/>
      <w:r w:rsidRPr="00CA7A41">
        <w:rPr>
          <w:rFonts w:ascii="Palatino Linotype" w:hAnsi="Palatino Linotype"/>
          <w:i/>
          <w:color w:val="000000"/>
          <w:sz w:val="22"/>
          <w:szCs w:val="22"/>
        </w:rPr>
        <w:lastRenderedPageBreak/>
        <w:t>2022, 2023 Y 2024. 5.- COPIA DE LOS TABULADRES DE SUELDO ASIGNADOR A CADA UNO DE LOS SUBDIRECTORES Y JEFE DE DEPARTAMENTO DEBIDAMENTE DESGLOSADO POR CAPITULO, DE LOS EJERCICIOS FISCALES 2022, 2023 Y 2024.</w:t>
      </w:r>
      <w:r w:rsidRPr="00CA7A41">
        <w:rPr>
          <w:rFonts w:ascii="Palatino Linotype" w:hAnsi="Palatino Linotype" w:cs="Arial"/>
          <w:i/>
          <w:sz w:val="22"/>
          <w:szCs w:val="22"/>
          <w:lang w:val="es-ES"/>
        </w:rPr>
        <w:t>” (Sic)</w:t>
      </w:r>
    </w:p>
    <w:bookmarkEnd w:id="4"/>
    <w:p w14:paraId="1C841431" w14:textId="77777777" w:rsidR="00E35ABB" w:rsidRPr="00CA7A41" w:rsidRDefault="00E35ABB" w:rsidP="00E35ABB">
      <w:pPr>
        <w:tabs>
          <w:tab w:val="left" w:pos="0"/>
        </w:tabs>
        <w:spacing w:line="360" w:lineRule="auto"/>
        <w:ind w:right="49"/>
        <w:jc w:val="both"/>
        <w:rPr>
          <w:rFonts w:ascii="Palatino Linotype" w:hAnsi="Palatino Linotype" w:cs="Arial"/>
          <w:sz w:val="22"/>
          <w:szCs w:val="22"/>
          <w:lang w:val="es-ES"/>
        </w:rPr>
      </w:pPr>
    </w:p>
    <w:p w14:paraId="1C841432" w14:textId="77777777" w:rsidR="00E35ABB" w:rsidRPr="00CA7A41" w:rsidRDefault="00E35ABB" w:rsidP="00E35ABB">
      <w:pPr>
        <w:pStyle w:val="Prrafodelista"/>
        <w:numPr>
          <w:ilvl w:val="0"/>
          <w:numId w:val="1"/>
        </w:numPr>
        <w:spacing w:line="360" w:lineRule="auto"/>
        <w:ind w:left="0" w:firstLine="0"/>
        <w:jc w:val="both"/>
        <w:rPr>
          <w:rFonts w:ascii="Palatino Linotype" w:hAnsi="Palatino Linotype" w:cs="Arial"/>
          <w:i/>
          <w:szCs w:val="22"/>
        </w:rPr>
      </w:pPr>
      <w:r w:rsidRPr="00CA7A41">
        <w:rPr>
          <w:rFonts w:ascii="Palatino Linotype" w:hAnsi="Palatino Linotype" w:cs="Arial"/>
          <w:szCs w:val="22"/>
        </w:rPr>
        <w:t xml:space="preserve">Se hace constar que se señaló como modalidad de entrega de la información a través de SAIMEX y correo electrónico. </w:t>
      </w:r>
    </w:p>
    <w:p w14:paraId="1C841433" w14:textId="77777777" w:rsidR="00E35ABB" w:rsidRPr="00CA7A41" w:rsidRDefault="00E35ABB" w:rsidP="00E35ABB">
      <w:pPr>
        <w:rPr>
          <w:rFonts w:ascii="Palatino Linotype" w:eastAsia="Calibri" w:hAnsi="Palatino Linotype" w:cs="Arial"/>
          <w:sz w:val="22"/>
          <w:szCs w:val="22"/>
          <w:lang w:val="es-AR"/>
        </w:rPr>
      </w:pPr>
    </w:p>
    <w:p w14:paraId="1C841434" w14:textId="77777777" w:rsidR="00E35ABB" w:rsidRPr="00CA7A41" w:rsidRDefault="00E35ABB" w:rsidP="00E35ABB">
      <w:pPr>
        <w:numPr>
          <w:ilvl w:val="0"/>
          <w:numId w:val="1"/>
        </w:numPr>
        <w:tabs>
          <w:tab w:val="left" w:pos="0"/>
        </w:tabs>
        <w:spacing w:line="360" w:lineRule="auto"/>
        <w:ind w:left="0" w:right="34" w:firstLine="0"/>
        <w:contextualSpacing/>
        <w:jc w:val="both"/>
        <w:rPr>
          <w:rFonts w:ascii="Palatino Linotype" w:hAnsi="Palatino Linotype" w:cs="Arial"/>
          <w:sz w:val="22"/>
          <w:szCs w:val="22"/>
          <w:lang w:val="es-ES"/>
        </w:rPr>
      </w:pPr>
      <w:r w:rsidRPr="00CA7A41">
        <w:rPr>
          <w:rFonts w:ascii="Palatino Linotype" w:hAnsi="Palatino Linotype" w:cs="Arial"/>
          <w:sz w:val="22"/>
          <w:szCs w:val="22"/>
          <w:lang w:val="es-ES"/>
        </w:rPr>
        <w:t xml:space="preserve">El </w:t>
      </w:r>
      <w:r w:rsidRPr="00CA7A41">
        <w:rPr>
          <w:rFonts w:ascii="Palatino Linotype" w:hAnsi="Palatino Linotype" w:cs="Arial"/>
          <w:b/>
          <w:sz w:val="22"/>
          <w:szCs w:val="22"/>
          <w:lang w:val="es-ES"/>
        </w:rPr>
        <w:t>veintidós de noviembre de dos mil veinticuatro</w:t>
      </w:r>
      <w:r w:rsidRPr="00CA7A41">
        <w:rPr>
          <w:rFonts w:ascii="Palatino Linotype" w:hAnsi="Palatino Linotype" w:cs="Arial"/>
          <w:sz w:val="22"/>
          <w:szCs w:val="22"/>
          <w:lang w:val="es-ES"/>
        </w:rPr>
        <w:t>, el Sujeto Obligado dio respuesta a la solicitud de información en el siguiente sentido:</w:t>
      </w:r>
    </w:p>
    <w:p w14:paraId="1C841435" w14:textId="77777777" w:rsidR="00E35ABB" w:rsidRPr="00CA7A41" w:rsidRDefault="00E35ABB" w:rsidP="00E35ABB">
      <w:pPr>
        <w:tabs>
          <w:tab w:val="left" w:pos="0"/>
        </w:tabs>
        <w:spacing w:line="360" w:lineRule="auto"/>
        <w:ind w:right="34"/>
        <w:contextualSpacing/>
        <w:jc w:val="both"/>
        <w:rPr>
          <w:rFonts w:ascii="Palatino Linotype" w:hAnsi="Palatino Linotype" w:cs="Arial"/>
          <w:sz w:val="22"/>
          <w:szCs w:val="22"/>
          <w:lang w:val="es-ES"/>
        </w:rPr>
      </w:pPr>
    </w:p>
    <w:tbl>
      <w:tblPr>
        <w:tblW w:w="7406" w:type="dxa"/>
        <w:jc w:val="center"/>
        <w:tblCellSpacing w:w="0" w:type="dxa"/>
        <w:tblCellMar>
          <w:left w:w="0" w:type="dxa"/>
          <w:right w:w="0" w:type="dxa"/>
        </w:tblCellMar>
        <w:tblLook w:val="04A0" w:firstRow="1" w:lastRow="0" w:firstColumn="1" w:lastColumn="0" w:noHBand="0" w:noVBand="1"/>
      </w:tblPr>
      <w:tblGrid>
        <w:gridCol w:w="7406"/>
      </w:tblGrid>
      <w:tr w:rsidR="00E35ABB" w:rsidRPr="00CA7A41" w14:paraId="1C841437" w14:textId="77777777" w:rsidTr="00211EC2">
        <w:trPr>
          <w:trHeight w:val="304"/>
          <w:tblCellSpacing w:w="0" w:type="dxa"/>
          <w:jc w:val="center"/>
        </w:trPr>
        <w:tc>
          <w:tcPr>
            <w:tcW w:w="0" w:type="auto"/>
            <w:vAlign w:val="center"/>
            <w:hideMark/>
          </w:tcPr>
          <w:p w14:paraId="1C841436" w14:textId="77777777" w:rsidR="00E35ABB" w:rsidRPr="00CA7A41" w:rsidRDefault="00E35ABB" w:rsidP="00E35ABB">
            <w:pPr>
              <w:jc w:val="right"/>
              <w:rPr>
                <w:rFonts w:ascii="Palatino Linotype" w:hAnsi="Palatino Linotype"/>
                <w:i/>
                <w:sz w:val="22"/>
                <w:szCs w:val="22"/>
              </w:rPr>
            </w:pPr>
            <w:r w:rsidRPr="00CA7A41">
              <w:rPr>
                <w:rFonts w:ascii="Palatino Linotype" w:hAnsi="Palatino Linotype"/>
                <w:i/>
                <w:sz w:val="22"/>
                <w:szCs w:val="22"/>
              </w:rPr>
              <w:br/>
            </w:r>
            <w:r w:rsidR="00211EC2" w:rsidRPr="00CA7A41">
              <w:rPr>
                <w:rFonts w:ascii="Palatino Linotype" w:hAnsi="Palatino Linotype"/>
                <w:i/>
                <w:sz w:val="22"/>
                <w:szCs w:val="22"/>
              </w:rPr>
              <w:t>“</w:t>
            </w:r>
            <w:r w:rsidRPr="00CA7A41">
              <w:rPr>
                <w:rFonts w:ascii="Palatino Linotype" w:hAnsi="Palatino Linotype"/>
                <w:i/>
                <w:sz w:val="22"/>
                <w:szCs w:val="22"/>
              </w:rPr>
              <w:t>Tequixquiac, México a 22 de Noviembre de 2024</w:t>
            </w:r>
          </w:p>
        </w:tc>
      </w:tr>
      <w:tr w:rsidR="00E35ABB" w:rsidRPr="00CA7A41" w14:paraId="1C841439" w14:textId="77777777" w:rsidTr="00211EC2">
        <w:trPr>
          <w:trHeight w:val="304"/>
          <w:tblCellSpacing w:w="0" w:type="dxa"/>
          <w:jc w:val="center"/>
        </w:trPr>
        <w:tc>
          <w:tcPr>
            <w:tcW w:w="0" w:type="auto"/>
            <w:vAlign w:val="center"/>
            <w:hideMark/>
          </w:tcPr>
          <w:p w14:paraId="1C841438" w14:textId="77777777" w:rsidR="00E35ABB" w:rsidRPr="00CA7A41" w:rsidRDefault="00E35ABB" w:rsidP="00E35ABB">
            <w:pPr>
              <w:jc w:val="right"/>
              <w:rPr>
                <w:rFonts w:ascii="Palatino Linotype" w:hAnsi="Palatino Linotype"/>
                <w:i/>
                <w:sz w:val="22"/>
                <w:szCs w:val="22"/>
              </w:rPr>
            </w:pPr>
            <w:r w:rsidRPr="00CA7A41">
              <w:rPr>
                <w:rFonts w:ascii="Palatino Linotype" w:hAnsi="Palatino Linotype"/>
                <w:i/>
                <w:sz w:val="22"/>
                <w:szCs w:val="22"/>
              </w:rPr>
              <w:t>Nombre del solicitante: C. Solicitante</w:t>
            </w:r>
          </w:p>
        </w:tc>
      </w:tr>
      <w:tr w:rsidR="00E35ABB" w:rsidRPr="00CA7A41" w14:paraId="1C84143B" w14:textId="77777777" w:rsidTr="00211EC2">
        <w:trPr>
          <w:trHeight w:val="304"/>
          <w:tblCellSpacing w:w="0" w:type="dxa"/>
          <w:jc w:val="center"/>
        </w:trPr>
        <w:tc>
          <w:tcPr>
            <w:tcW w:w="0" w:type="auto"/>
            <w:vAlign w:val="center"/>
            <w:hideMark/>
          </w:tcPr>
          <w:p w14:paraId="1C84143A" w14:textId="77777777" w:rsidR="00E35ABB" w:rsidRPr="00CA7A41" w:rsidRDefault="00E35ABB" w:rsidP="00E35ABB">
            <w:pPr>
              <w:jc w:val="right"/>
              <w:rPr>
                <w:rFonts w:ascii="Palatino Linotype" w:hAnsi="Palatino Linotype"/>
                <w:i/>
                <w:sz w:val="22"/>
                <w:szCs w:val="22"/>
              </w:rPr>
            </w:pPr>
            <w:r w:rsidRPr="00CA7A41">
              <w:rPr>
                <w:rFonts w:ascii="Palatino Linotype" w:hAnsi="Palatino Linotype"/>
                <w:i/>
                <w:sz w:val="22"/>
                <w:szCs w:val="22"/>
              </w:rPr>
              <w:t>Folio de la solicitud: 00107/TEQUIXQU/IP/2024</w:t>
            </w:r>
          </w:p>
        </w:tc>
      </w:tr>
      <w:tr w:rsidR="00E35ABB" w:rsidRPr="00CA7A41" w14:paraId="1C84143D" w14:textId="77777777" w:rsidTr="00211EC2">
        <w:trPr>
          <w:trHeight w:val="457"/>
          <w:tblCellSpacing w:w="0" w:type="dxa"/>
          <w:jc w:val="center"/>
        </w:trPr>
        <w:tc>
          <w:tcPr>
            <w:tcW w:w="0" w:type="auto"/>
            <w:vAlign w:val="center"/>
            <w:hideMark/>
          </w:tcPr>
          <w:p w14:paraId="1C84143C" w14:textId="77777777" w:rsidR="00E35ABB" w:rsidRPr="00CA7A41" w:rsidRDefault="00E35ABB" w:rsidP="00E35ABB">
            <w:pPr>
              <w:jc w:val="right"/>
              <w:rPr>
                <w:rFonts w:ascii="Palatino Linotype" w:hAnsi="Palatino Linotype"/>
                <w:i/>
                <w:sz w:val="22"/>
                <w:szCs w:val="22"/>
              </w:rPr>
            </w:pPr>
          </w:p>
        </w:tc>
      </w:tr>
      <w:tr w:rsidR="00E35ABB" w:rsidRPr="00CA7A41" w14:paraId="1C84143F" w14:textId="77777777" w:rsidTr="00211EC2">
        <w:trPr>
          <w:trHeight w:val="152"/>
          <w:tblCellSpacing w:w="0" w:type="dxa"/>
          <w:jc w:val="center"/>
        </w:trPr>
        <w:tc>
          <w:tcPr>
            <w:tcW w:w="0" w:type="auto"/>
            <w:vAlign w:val="center"/>
            <w:hideMark/>
          </w:tcPr>
          <w:p w14:paraId="1C84143E" w14:textId="77777777" w:rsidR="00E35ABB" w:rsidRPr="00CA7A41" w:rsidRDefault="00E35ABB" w:rsidP="00E35ABB">
            <w:pPr>
              <w:jc w:val="center"/>
              <w:rPr>
                <w:rFonts w:ascii="Palatino Linotype" w:hAnsi="Palatino Linotype"/>
                <w:i/>
                <w:sz w:val="22"/>
                <w:szCs w:val="22"/>
              </w:rPr>
            </w:pPr>
          </w:p>
        </w:tc>
      </w:tr>
      <w:tr w:rsidR="00E35ABB" w:rsidRPr="00CA7A41" w14:paraId="1C841441" w14:textId="77777777" w:rsidTr="00211EC2">
        <w:trPr>
          <w:trHeight w:val="381"/>
          <w:tblCellSpacing w:w="0" w:type="dxa"/>
          <w:jc w:val="center"/>
        </w:trPr>
        <w:tc>
          <w:tcPr>
            <w:tcW w:w="0" w:type="auto"/>
            <w:vAlign w:val="center"/>
            <w:hideMark/>
          </w:tcPr>
          <w:p w14:paraId="1C841440" w14:textId="77777777" w:rsidR="00E35ABB" w:rsidRPr="00CA7A41" w:rsidRDefault="00E35ABB" w:rsidP="00E35ABB">
            <w:pPr>
              <w:rPr>
                <w:rFonts w:ascii="Palatino Linotype" w:hAnsi="Palatino Linotype"/>
                <w:i/>
                <w:sz w:val="22"/>
                <w:szCs w:val="22"/>
              </w:rPr>
            </w:pPr>
          </w:p>
        </w:tc>
      </w:tr>
      <w:tr w:rsidR="00E35ABB" w:rsidRPr="00CA7A41" w14:paraId="1C841443" w14:textId="77777777" w:rsidTr="00211EC2">
        <w:trPr>
          <w:trHeight w:val="152"/>
          <w:tblCellSpacing w:w="0" w:type="dxa"/>
          <w:jc w:val="center"/>
        </w:trPr>
        <w:tc>
          <w:tcPr>
            <w:tcW w:w="0" w:type="auto"/>
            <w:vAlign w:val="center"/>
            <w:hideMark/>
          </w:tcPr>
          <w:p w14:paraId="1C841442" w14:textId="77777777" w:rsidR="00E35ABB" w:rsidRPr="00CA7A41" w:rsidRDefault="00E35ABB" w:rsidP="00E35ABB">
            <w:pPr>
              <w:rPr>
                <w:rFonts w:ascii="Palatino Linotype" w:hAnsi="Palatino Linotype"/>
                <w:i/>
                <w:sz w:val="22"/>
                <w:szCs w:val="22"/>
              </w:rPr>
            </w:pPr>
            <w:r w:rsidRPr="00CA7A41">
              <w:rPr>
                <w:rFonts w:ascii="Palatino Linotype" w:hAnsi="Palatino Linotype"/>
                <w:i/>
                <w:sz w:val="22"/>
                <w:szCs w:val="22"/>
              </w:rPr>
              <w:t>OFICIO DE INCOMPETENCIA</w:t>
            </w:r>
          </w:p>
        </w:tc>
      </w:tr>
      <w:tr w:rsidR="00E35ABB" w:rsidRPr="00CA7A41" w14:paraId="1C841445" w14:textId="77777777" w:rsidTr="00211EC2">
        <w:trPr>
          <w:trHeight w:val="381"/>
          <w:tblCellSpacing w:w="0" w:type="dxa"/>
          <w:jc w:val="center"/>
        </w:trPr>
        <w:tc>
          <w:tcPr>
            <w:tcW w:w="0" w:type="auto"/>
            <w:vAlign w:val="center"/>
            <w:hideMark/>
          </w:tcPr>
          <w:p w14:paraId="1C841444" w14:textId="77777777" w:rsidR="00E35ABB" w:rsidRPr="00CA7A41" w:rsidRDefault="00E35ABB" w:rsidP="00E35ABB">
            <w:pPr>
              <w:rPr>
                <w:rFonts w:ascii="Palatino Linotype" w:hAnsi="Palatino Linotype"/>
                <w:i/>
                <w:sz w:val="22"/>
                <w:szCs w:val="22"/>
              </w:rPr>
            </w:pPr>
          </w:p>
        </w:tc>
      </w:tr>
      <w:tr w:rsidR="00E35ABB" w:rsidRPr="00CA7A41" w14:paraId="1C841447" w14:textId="77777777" w:rsidTr="00211EC2">
        <w:trPr>
          <w:trHeight w:val="152"/>
          <w:tblCellSpacing w:w="0" w:type="dxa"/>
          <w:jc w:val="center"/>
        </w:trPr>
        <w:tc>
          <w:tcPr>
            <w:tcW w:w="0" w:type="auto"/>
            <w:vAlign w:val="center"/>
            <w:hideMark/>
          </w:tcPr>
          <w:p w14:paraId="1C841446" w14:textId="77777777" w:rsidR="00E35ABB" w:rsidRPr="00CA7A41" w:rsidRDefault="00E35ABB" w:rsidP="00E35ABB">
            <w:pPr>
              <w:jc w:val="center"/>
              <w:rPr>
                <w:rFonts w:ascii="Palatino Linotype" w:hAnsi="Palatino Linotype"/>
                <w:i/>
                <w:sz w:val="22"/>
                <w:szCs w:val="22"/>
              </w:rPr>
            </w:pPr>
          </w:p>
        </w:tc>
      </w:tr>
      <w:tr w:rsidR="00E35ABB" w:rsidRPr="00CA7A41" w14:paraId="1C841449" w14:textId="77777777" w:rsidTr="00211EC2">
        <w:trPr>
          <w:trHeight w:val="152"/>
          <w:tblCellSpacing w:w="0" w:type="dxa"/>
          <w:jc w:val="center"/>
        </w:trPr>
        <w:tc>
          <w:tcPr>
            <w:tcW w:w="0" w:type="auto"/>
            <w:vAlign w:val="center"/>
            <w:hideMark/>
          </w:tcPr>
          <w:p w14:paraId="1C841448" w14:textId="77777777" w:rsidR="00E35ABB" w:rsidRPr="00CA7A41" w:rsidRDefault="00E35ABB" w:rsidP="00E35ABB">
            <w:pPr>
              <w:rPr>
                <w:rFonts w:ascii="Palatino Linotype" w:hAnsi="Palatino Linotype"/>
                <w:i/>
                <w:sz w:val="22"/>
                <w:szCs w:val="22"/>
              </w:rPr>
            </w:pPr>
          </w:p>
        </w:tc>
      </w:tr>
      <w:tr w:rsidR="00E35ABB" w:rsidRPr="00CA7A41" w14:paraId="1C84144B" w14:textId="77777777" w:rsidTr="00211EC2">
        <w:trPr>
          <w:trHeight w:val="152"/>
          <w:tblCellSpacing w:w="0" w:type="dxa"/>
          <w:jc w:val="center"/>
        </w:trPr>
        <w:tc>
          <w:tcPr>
            <w:tcW w:w="0" w:type="auto"/>
            <w:vAlign w:val="center"/>
            <w:hideMark/>
          </w:tcPr>
          <w:p w14:paraId="1C84144A" w14:textId="77777777" w:rsidR="00E35ABB" w:rsidRPr="00CA7A41" w:rsidRDefault="00E35ABB" w:rsidP="00E35ABB">
            <w:pPr>
              <w:rPr>
                <w:rFonts w:ascii="Palatino Linotype" w:hAnsi="Palatino Linotype"/>
                <w:i/>
                <w:sz w:val="22"/>
                <w:szCs w:val="22"/>
              </w:rPr>
            </w:pPr>
            <w:r w:rsidRPr="00CA7A41">
              <w:rPr>
                <w:rFonts w:ascii="Palatino Linotype" w:hAnsi="Palatino Linotype"/>
                <w:i/>
                <w:sz w:val="22"/>
                <w:szCs w:val="22"/>
              </w:rPr>
              <w:t>ATENTAMENTE</w:t>
            </w:r>
          </w:p>
        </w:tc>
      </w:tr>
      <w:tr w:rsidR="00E35ABB" w:rsidRPr="00CA7A41" w14:paraId="1C84144D" w14:textId="77777777" w:rsidTr="00211EC2">
        <w:trPr>
          <w:trHeight w:val="228"/>
          <w:tblCellSpacing w:w="0" w:type="dxa"/>
          <w:jc w:val="center"/>
        </w:trPr>
        <w:tc>
          <w:tcPr>
            <w:tcW w:w="0" w:type="auto"/>
            <w:vAlign w:val="center"/>
            <w:hideMark/>
          </w:tcPr>
          <w:p w14:paraId="1C84144C" w14:textId="77777777" w:rsidR="00E35ABB" w:rsidRPr="00CA7A41" w:rsidRDefault="00E35ABB" w:rsidP="00E35ABB">
            <w:pPr>
              <w:rPr>
                <w:rFonts w:ascii="Palatino Linotype" w:hAnsi="Palatino Linotype"/>
                <w:i/>
                <w:sz w:val="22"/>
                <w:szCs w:val="22"/>
              </w:rPr>
            </w:pPr>
          </w:p>
        </w:tc>
      </w:tr>
      <w:tr w:rsidR="00E35ABB" w:rsidRPr="00CA7A41" w14:paraId="1C84144F" w14:textId="77777777" w:rsidTr="00211EC2">
        <w:trPr>
          <w:trHeight w:val="152"/>
          <w:tblCellSpacing w:w="0" w:type="dxa"/>
          <w:jc w:val="center"/>
        </w:trPr>
        <w:tc>
          <w:tcPr>
            <w:tcW w:w="0" w:type="auto"/>
            <w:vAlign w:val="center"/>
            <w:hideMark/>
          </w:tcPr>
          <w:p w14:paraId="1C84144E" w14:textId="77777777" w:rsidR="00E35ABB" w:rsidRPr="00CA7A41" w:rsidRDefault="00E35ABB" w:rsidP="00E35ABB">
            <w:pPr>
              <w:rPr>
                <w:rFonts w:ascii="Palatino Linotype" w:hAnsi="Palatino Linotype"/>
                <w:i/>
                <w:sz w:val="22"/>
                <w:szCs w:val="22"/>
              </w:rPr>
            </w:pPr>
            <w:r w:rsidRPr="00CA7A41">
              <w:rPr>
                <w:rFonts w:ascii="Palatino Linotype" w:hAnsi="Palatino Linotype"/>
                <w:i/>
                <w:sz w:val="22"/>
                <w:szCs w:val="22"/>
              </w:rPr>
              <w:t>LIC JULISSA PAULINA GUTIÉRREZ VÁZQUEZ</w:t>
            </w:r>
            <w:r w:rsidR="00211EC2" w:rsidRPr="00CA7A41">
              <w:rPr>
                <w:rFonts w:ascii="Palatino Linotype" w:hAnsi="Palatino Linotype"/>
                <w:i/>
                <w:sz w:val="22"/>
                <w:szCs w:val="22"/>
              </w:rPr>
              <w:t>”</w:t>
            </w:r>
          </w:p>
        </w:tc>
      </w:tr>
    </w:tbl>
    <w:p w14:paraId="1C841450" w14:textId="77777777" w:rsidR="00E35ABB" w:rsidRPr="00CA7A41" w:rsidRDefault="00E35ABB" w:rsidP="00E35ABB">
      <w:pPr>
        <w:tabs>
          <w:tab w:val="left" w:pos="0"/>
        </w:tabs>
        <w:spacing w:line="360" w:lineRule="auto"/>
        <w:ind w:right="34"/>
        <w:contextualSpacing/>
        <w:jc w:val="both"/>
        <w:rPr>
          <w:rFonts w:ascii="Palatino Linotype" w:hAnsi="Palatino Linotype" w:cs="Arial"/>
          <w:sz w:val="22"/>
          <w:szCs w:val="22"/>
          <w:lang w:val="es-ES"/>
        </w:rPr>
      </w:pPr>
    </w:p>
    <w:p w14:paraId="1C841451" w14:textId="77777777" w:rsidR="00E35ABB" w:rsidRPr="00CA7A41" w:rsidRDefault="00E35ABB" w:rsidP="00E35ABB">
      <w:pPr>
        <w:pStyle w:val="Prrafodelista"/>
        <w:numPr>
          <w:ilvl w:val="0"/>
          <w:numId w:val="4"/>
        </w:numPr>
        <w:spacing w:line="360" w:lineRule="auto"/>
        <w:jc w:val="both"/>
        <w:rPr>
          <w:rFonts w:ascii="Palatino Linotype" w:eastAsia="Calibri" w:hAnsi="Palatino Linotype" w:cs="Arial"/>
          <w:szCs w:val="22"/>
          <w:lang w:val="es-AR"/>
        </w:rPr>
      </w:pPr>
      <w:r w:rsidRPr="00CA7A41">
        <w:rPr>
          <w:rFonts w:ascii="Palatino Linotype" w:eastAsia="Calibri" w:hAnsi="Palatino Linotype" w:cs="Arial"/>
          <w:szCs w:val="22"/>
          <w:lang w:val="es-AR"/>
        </w:rPr>
        <w:t xml:space="preserve">A la respuesta se adjuntó el archivo </w:t>
      </w:r>
      <w:hyperlink r:id="rId7" w:tgtFrame="_blank" w:history="1">
        <w:r w:rsidR="00211EC2" w:rsidRPr="00CA7A41">
          <w:rPr>
            <w:rStyle w:val="Hipervnculo"/>
            <w:rFonts w:ascii="Palatino Linotype" w:eastAsia="Calibri" w:hAnsi="Palatino Linotype" w:cs="Arial"/>
            <w:b/>
            <w:bCs/>
            <w:szCs w:val="22"/>
          </w:rPr>
          <w:t>SOLICITUD 107.pdf</w:t>
        </w:r>
      </w:hyperlink>
      <w:r w:rsidRPr="00CA7A41">
        <w:rPr>
          <w:rFonts w:ascii="Palatino Linotype" w:eastAsia="Calibri" w:hAnsi="Palatino Linotype" w:cs="Arial"/>
          <w:szCs w:val="22"/>
          <w:lang w:val="es-AR"/>
        </w:rPr>
        <w:t xml:space="preserve">, en el que </w:t>
      </w:r>
      <w:r w:rsidR="00211EC2" w:rsidRPr="00CA7A41">
        <w:rPr>
          <w:rFonts w:ascii="Palatino Linotype" w:eastAsia="Calibri" w:hAnsi="Palatino Linotype" w:cs="Arial"/>
          <w:szCs w:val="22"/>
          <w:lang w:val="es-AR"/>
        </w:rPr>
        <w:t xml:space="preserve">se advierte un escrito emitido por el Titular de la Unidad de Transparencia en el que, de forma medular, declaro su incompetencia para entregar lo solicitado. </w:t>
      </w:r>
    </w:p>
    <w:p w14:paraId="1C841452" w14:textId="77777777" w:rsidR="00E35ABB" w:rsidRPr="00CA7A41" w:rsidRDefault="00E35ABB" w:rsidP="00E35ABB">
      <w:pPr>
        <w:tabs>
          <w:tab w:val="left" w:pos="0"/>
        </w:tabs>
        <w:spacing w:line="360" w:lineRule="auto"/>
        <w:ind w:right="34"/>
        <w:contextualSpacing/>
        <w:jc w:val="both"/>
        <w:rPr>
          <w:rFonts w:ascii="Palatino Linotype" w:hAnsi="Palatino Linotype" w:cs="Arial"/>
          <w:sz w:val="22"/>
          <w:szCs w:val="22"/>
          <w:lang w:val="es-ES"/>
        </w:rPr>
      </w:pPr>
      <w:bookmarkStart w:id="5" w:name="_Toc472500652"/>
      <w:bookmarkStart w:id="6" w:name="_Toc472427085"/>
      <w:bookmarkStart w:id="7" w:name="_Toc462307683"/>
    </w:p>
    <w:p w14:paraId="1C841453" w14:textId="77777777" w:rsidR="00E35ABB" w:rsidRPr="00CA7A41" w:rsidRDefault="00E35ABB" w:rsidP="00E35ABB">
      <w:pPr>
        <w:pStyle w:val="Prrafodelista"/>
        <w:numPr>
          <w:ilvl w:val="0"/>
          <w:numId w:val="1"/>
        </w:numPr>
        <w:tabs>
          <w:tab w:val="left" w:pos="0"/>
        </w:tabs>
        <w:spacing w:line="360" w:lineRule="auto"/>
        <w:ind w:left="0" w:firstLine="0"/>
        <w:jc w:val="both"/>
        <w:rPr>
          <w:rFonts w:ascii="Palatino Linotype" w:eastAsia="MS Mincho" w:hAnsi="Palatino Linotype" w:cs="Arial"/>
          <w:b/>
          <w:bCs/>
          <w:szCs w:val="22"/>
        </w:rPr>
      </w:pPr>
      <w:r w:rsidRPr="00CA7A41">
        <w:rPr>
          <w:rFonts w:ascii="Palatino Linotype" w:hAnsi="Palatino Linotype" w:cs="Arial"/>
          <w:szCs w:val="22"/>
          <w:lang w:val="es-ES"/>
        </w:rPr>
        <w:t xml:space="preserve">En lo sucesivo el </w:t>
      </w:r>
      <w:r w:rsidR="00211EC2" w:rsidRPr="00CA7A41">
        <w:rPr>
          <w:rFonts w:ascii="Palatino Linotype" w:hAnsi="Palatino Linotype" w:cs="Arial"/>
          <w:b/>
          <w:szCs w:val="22"/>
          <w:lang w:val="es-ES"/>
        </w:rPr>
        <w:t>treinta</w:t>
      </w:r>
      <w:r w:rsidRPr="00CA7A41">
        <w:rPr>
          <w:rFonts w:ascii="Palatino Linotype" w:hAnsi="Palatino Linotype" w:cs="Arial"/>
          <w:b/>
          <w:szCs w:val="22"/>
          <w:lang w:val="es-ES"/>
        </w:rPr>
        <w:t xml:space="preserve"> de noviembre de dos mil veinticuatro,</w:t>
      </w:r>
      <w:r w:rsidRPr="00CA7A41">
        <w:rPr>
          <w:rFonts w:ascii="Palatino Linotype" w:hAnsi="Palatino Linotype" w:cs="Arial"/>
          <w:szCs w:val="22"/>
          <w:lang w:val="es-ES"/>
        </w:rPr>
        <w:t xml:space="preserve"> </w:t>
      </w:r>
      <w:r w:rsidRPr="00CA7A41">
        <w:rPr>
          <w:rFonts w:ascii="Palatino Linotype" w:hAnsi="Palatino Linotype" w:cs="Arial"/>
          <w:b/>
          <w:szCs w:val="22"/>
          <w:lang w:val="es-ES"/>
        </w:rPr>
        <w:t xml:space="preserve"> </w:t>
      </w:r>
      <w:r w:rsidRPr="00CA7A41">
        <w:rPr>
          <w:rFonts w:ascii="Palatino Linotype" w:hAnsi="Palatino Linotype" w:cs="Arial"/>
          <w:szCs w:val="22"/>
          <w:lang w:val="es-ES"/>
        </w:rPr>
        <w:t>el solicitante interpuso el recurso de revisión, señalando como:</w:t>
      </w:r>
    </w:p>
    <w:p w14:paraId="1C841454" w14:textId="77777777" w:rsidR="00E35ABB" w:rsidRPr="00CA7A41" w:rsidRDefault="00E35ABB" w:rsidP="00E35ABB">
      <w:pPr>
        <w:pStyle w:val="Prrafodelista"/>
        <w:tabs>
          <w:tab w:val="left" w:pos="0"/>
        </w:tabs>
        <w:spacing w:line="360" w:lineRule="auto"/>
        <w:ind w:left="0"/>
        <w:jc w:val="both"/>
        <w:rPr>
          <w:rFonts w:ascii="Palatino Linotype" w:eastAsia="MS Mincho" w:hAnsi="Palatino Linotype" w:cs="Arial"/>
          <w:b/>
          <w:bCs/>
          <w:szCs w:val="22"/>
        </w:rPr>
      </w:pPr>
    </w:p>
    <w:bookmarkEnd w:id="5"/>
    <w:bookmarkEnd w:id="6"/>
    <w:bookmarkEnd w:id="7"/>
    <w:p w14:paraId="1C841455" w14:textId="77777777" w:rsidR="00E35ABB" w:rsidRPr="00CA7A41" w:rsidRDefault="00E35ABB" w:rsidP="00E35ABB">
      <w:pPr>
        <w:tabs>
          <w:tab w:val="left" w:pos="851"/>
          <w:tab w:val="left" w:pos="8222"/>
        </w:tabs>
        <w:spacing w:line="360" w:lineRule="auto"/>
        <w:ind w:left="851" w:right="567"/>
        <w:contextualSpacing/>
        <w:jc w:val="both"/>
        <w:rPr>
          <w:rFonts w:ascii="Palatino Linotype" w:eastAsia="Calibri" w:hAnsi="Palatino Linotype" w:cs="Arial"/>
          <w:i/>
          <w:sz w:val="22"/>
          <w:szCs w:val="22"/>
          <w:lang w:val="es-ES"/>
        </w:rPr>
      </w:pPr>
      <w:r w:rsidRPr="00CA7A41">
        <w:rPr>
          <w:rFonts w:ascii="Palatino Linotype" w:eastAsia="Calibri" w:hAnsi="Palatino Linotype" w:cs="Arial"/>
          <w:b/>
          <w:sz w:val="22"/>
          <w:szCs w:val="22"/>
          <w:lang w:val="es-ES"/>
        </w:rPr>
        <w:t>Acto impugnado:</w:t>
      </w:r>
      <w:r w:rsidRPr="00CA7A41">
        <w:rPr>
          <w:rFonts w:ascii="Palatino Linotype" w:eastAsia="Calibri" w:hAnsi="Palatino Linotype" w:cs="Arial"/>
          <w:i/>
          <w:sz w:val="22"/>
          <w:szCs w:val="22"/>
          <w:lang w:val="es-ES"/>
        </w:rPr>
        <w:t xml:space="preserve"> </w:t>
      </w:r>
      <w:r w:rsidRPr="00CA7A41">
        <w:rPr>
          <w:rFonts w:ascii="Palatino Linotype" w:eastAsia="Calibri" w:hAnsi="Palatino Linotype" w:cs="Arial"/>
          <w:sz w:val="22"/>
          <w:szCs w:val="22"/>
          <w:lang w:val="es-ES"/>
        </w:rPr>
        <w:t>“</w:t>
      </w:r>
      <w:r w:rsidR="00211EC2" w:rsidRPr="00CA7A41">
        <w:rPr>
          <w:rFonts w:ascii="Palatino Linotype" w:hAnsi="Palatino Linotype"/>
          <w:i/>
          <w:color w:val="000000"/>
          <w:sz w:val="22"/>
          <w:szCs w:val="22"/>
        </w:rPr>
        <w:t>OMISION DE RESPUESTA A LAS SOLICITUDES MARCADAS CON LOS NUMEROS 1, 2, Y 3</w:t>
      </w:r>
      <w:r w:rsidRPr="00CA7A41">
        <w:rPr>
          <w:rFonts w:ascii="Palatino Linotype" w:hAnsi="Palatino Linotype"/>
          <w:i/>
          <w:color w:val="000000"/>
          <w:sz w:val="22"/>
          <w:szCs w:val="22"/>
        </w:rPr>
        <w:t>”</w:t>
      </w:r>
      <w:r w:rsidRPr="00CA7A41">
        <w:rPr>
          <w:rFonts w:ascii="Palatino Linotype" w:eastAsia="Calibri" w:hAnsi="Palatino Linotype" w:cs="Arial"/>
          <w:i/>
          <w:sz w:val="22"/>
          <w:szCs w:val="22"/>
          <w:lang w:val="es-ES"/>
        </w:rPr>
        <w:t xml:space="preserve"> (Sic) </w:t>
      </w:r>
    </w:p>
    <w:p w14:paraId="1C841456" w14:textId="77777777" w:rsidR="00E35ABB" w:rsidRPr="00CA7A41" w:rsidRDefault="00E35ABB" w:rsidP="00E35ABB">
      <w:pPr>
        <w:tabs>
          <w:tab w:val="left" w:pos="0"/>
        </w:tabs>
        <w:spacing w:line="360" w:lineRule="auto"/>
        <w:ind w:left="567" w:hanging="141"/>
        <w:contextualSpacing/>
        <w:rPr>
          <w:rFonts w:ascii="Palatino Linotype" w:eastAsia="Calibri" w:hAnsi="Palatino Linotype" w:cs="Arial"/>
          <w:i/>
          <w:sz w:val="22"/>
          <w:szCs w:val="22"/>
          <w:lang w:val="es-ES"/>
        </w:rPr>
      </w:pPr>
    </w:p>
    <w:p w14:paraId="1C841457" w14:textId="77777777" w:rsidR="00E35ABB" w:rsidRPr="00CA7A41" w:rsidRDefault="00E35ABB" w:rsidP="00E35ABB">
      <w:pPr>
        <w:tabs>
          <w:tab w:val="left" w:pos="851"/>
        </w:tabs>
        <w:spacing w:line="360" w:lineRule="auto"/>
        <w:ind w:left="851" w:right="567"/>
        <w:contextualSpacing/>
        <w:jc w:val="both"/>
        <w:rPr>
          <w:rFonts w:ascii="Palatino Linotype" w:eastAsia="MS Mincho" w:hAnsi="Palatino Linotype"/>
          <w:i/>
          <w:sz w:val="22"/>
          <w:szCs w:val="22"/>
        </w:rPr>
      </w:pPr>
      <w:r w:rsidRPr="00CA7A41">
        <w:rPr>
          <w:rFonts w:ascii="Palatino Linotype" w:eastAsia="MS Gothic" w:hAnsi="Palatino Linotype"/>
          <w:b/>
          <w:sz w:val="22"/>
          <w:szCs w:val="22"/>
          <w:lang w:val="es-ES"/>
        </w:rPr>
        <w:t>Razones o Motivos de inconformidad: “</w:t>
      </w:r>
      <w:r w:rsidR="00211EC2" w:rsidRPr="00CA7A41">
        <w:rPr>
          <w:rFonts w:ascii="Palatino Linotype" w:eastAsia="MS Gothic" w:hAnsi="Palatino Linotype"/>
          <w:i/>
          <w:sz w:val="22"/>
          <w:szCs w:val="22"/>
        </w:rPr>
        <w:t>SON SUJETOS OLBIGADOS PARA DAR RESPUESTA A LAS PETICIONES MARCADAS CON LOS NUMEROS 1, 2 Y 3 SI BIEN ES CIERTO HUBO UN ERROR EN EL NUMERAL 4 AL ESCRIBIR MUNICIPIO DE NAUCALPAN EN LUGAR DE TEQUIXQUIAC, TAMBIEN LO ES QUE LAS PRIMERAS TRES PETICIONES DEBIERON PROPORIONAR LA INFORMACION COMPLETA.</w:t>
      </w:r>
      <w:r w:rsidRPr="00CA7A41">
        <w:rPr>
          <w:rFonts w:ascii="Palatino Linotype" w:eastAsia="MS Gothic" w:hAnsi="Palatino Linotype"/>
          <w:i/>
          <w:sz w:val="22"/>
          <w:szCs w:val="22"/>
        </w:rPr>
        <w:t>” (</w:t>
      </w:r>
      <w:proofErr w:type="gramStart"/>
      <w:r w:rsidRPr="00CA7A41">
        <w:rPr>
          <w:rFonts w:ascii="Palatino Linotype" w:eastAsia="MS Gothic" w:hAnsi="Palatino Linotype"/>
          <w:i/>
          <w:sz w:val="22"/>
          <w:szCs w:val="22"/>
        </w:rPr>
        <w:t>sic</w:t>
      </w:r>
      <w:proofErr w:type="gramEnd"/>
      <w:r w:rsidRPr="00CA7A41">
        <w:rPr>
          <w:rFonts w:ascii="Palatino Linotype" w:eastAsia="MS Gothic" w:hAnsi="Palatino Linotype"/>
          <w:i/>
          <w:sz w:val="22"/>
          <w:szCs w:val="22"/>
        </w:rPr>
        <w:t>)</w:t>
      </w:r>
    </w:p>
    <w:p w14:paraId="1C841458" w14:textId="77777777" w:rsidR="00E35ABB" w:rsidRPr="00CA7A41" w:rsidRDefault="00E35ABB" w:rsidP="00E35ABB">
      <w:pPr>
        <w:pStyle w:val="Prrafodelista"/>
        <w:tabs>
          <w:tab w:val="left" w:pos="851"/>
        </w:tabs>
        <w:spacing w:line="360" w:lineRule="auto"/>
        <w:ind w:right="567"/>
        <w:jc w:val="both"/>
        <w:rPr>
          <w:rFonts w:ascii="Palatino Linotype" w:eastAsia="Calibri" w:hAnsi="Palatino Linotype" w:cs="Arial"/>
          <w:szCs w:val="22"/>
          <w:lang w:val="es-ES"/>
        </w:rPr>
      </w:pPr>
    </w:p>
    <w:p w14:paraId="1C841459" w14:textId="77777777" w:rsidR="00E35ABB" w:rsidRPr="00CA7A41" w:rsidRDefault="00E35ABB" w:rsidP="00E35ABB">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CA7A41">
        <w:rPr>
          <w:rFonts w:ascii="Palatino Linotype" w:hAnsi="Palatino Linotype" w:cs="Arial"/>
          <w:sz w:val="22"/>
          <w:szCs w:val="22"/>
          <w:lang w:val="es-ES"/>
        </w:rPr>
        <w:t xml:space="preserve">Se registró el recurso de revisión bajo el número de expediente </w:t>
      </w:r>
      <w:r w:rsidRPr="00CA7A41">
        <w:rPr>
          <w:rFonts w:ascii="Palatino Linotype" w:eastAsia="MS Mincho" w:hAnsi="Palatino Linotype" w:cs="Arial"/>
          <w:bCs/>
          <w:sz w:val="22"/>
          <w:szCs w:val="22"/>
        </w:rPr>
        <w:t xml:space="preserve">al rubro indicado, asimismo con fundamento en lo dispuesto por el </w:t>
      </w:r>
      <w:r w:rsidRPr="00CA7A41">
        <w:rPr>
          <w:rFonts w:ascii="Palatino Linotype" w:eastAsia="Calibri" w:hAnsi="Palatino Linotype" w:cs="Arial"/>
          <w:sz w:val="22"/>
          <w:szCs w:val="22"/>
          <w:lang w:val="es-ES"/>
        </w:rPr>
        <w:t xml:space="preserve">artículo 185 fracción I de la Ley de Transparencia y Acceso a la Información Pública del Estado de México y Municipios </w:t>
      </w:r>
      <w:r w:rsidRPr="00CA7A41">
        <w:rPr>
          <w:rFonts w:ascii="Palatino Linotype" w:hAnsi="Palatino Linotype" w:cs="Arial"/>
          <w:sz w:val="22"/>
          <w:szCs w:val="22"/>
          <w:lang w:val="es-ES"/>
        </w:rPr>
        <w:t xml:space="preserve">se turnó a la </w:t>
      </w:r>
      <w:r w:rsidRPr="00CA7A41">
        <w:rPr>
          <w:rFonts w:ascii="Palatino Linotype" w:hAnsi="Palatino Linotype" w:cs="Arial"/>
          <w:b/>
          <w:sz w:val="22"/>
          <w:szCs w:val="22"/>
          <w:lang w:val="es-ES"/>
        </w:rPr>
        <w:t>Comisionada María del Rosario Mejía Ayala</w:t>
      </w:r>
      <w:r w:rsidRPr="00CA7A41">
        <w:rPr>
          <w:rFonts w:ascii="Palatino Linotype" w:hAnsi="Palatino Linotype" w:cs="Arial"/>
          <w:sz w:val="22"/>
          <w:szCs w:val="22"/>
          <w:lang w:val="es-ES"/>
        </w:rPr>
        <w:t xml:space="preserve"> con el objeto de </w:t>
      </w:r>
      <w:r w:rsidRPr="00CA7A41">
        <w:rPr>
          <w:rFonts w:ascii="Palatino Linotype" w:hAnsi="Palatino Linotype" w:cs="Arial"/>
          <w:sz w:val="22"/>
          <w:szCs w:val="22"/>
        </w:rPr>
        <w:t>su análisis.</w:t>
      </w:r>
    </w:p>
    <w:p w14:paraId="1C84145A" w14:textId="77777777" w:rsidR="00E35ABB" w:rsidRPr="00CA7A41" w:rsidRDefault="00E35ABB" w:rsidP="00E35ABB">
      <w:pPr>
        <w:spacing w:line="360" w:lineRule="auto"/>
        <w:contextualSpacing/>
        <w:jc w:val="both"/>
        <w:rPr>
          <w:rFonts w:ascii="Palatino Linotype" w:eastAsia="MS Mincho" w:hAnsi="Palatino Linotype"/>
          <w:i/>
          <w:color w:val="000000"/>
          <w:sz w:val="22"/>
          <w:szCs w:val="22"/>
        </w:rPr>
      </w:pPr>
    </w:p>
    <w:p w14:paraId="1C84145B" w14:textId="77777777" w:rsidR="00E35ABB" w:rsidRPr="00CA7A41" w:rsidRDefault="00E35ABB" w:rsidP="00E35ABB">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CA7A41">
        <w:rPr>
          <w:rFonts w:ascii="Palatino Linotype" w:eastAsia="Calibri" w:hAnsi="Palatino Linotype" w:cs="Arial"/>
          <w:sz w:val="22"/>
          <w:szCs w:val="22"/>
          <w:lang w:val="es-ES"/>
        </w:rPr>
        <w:t xml:space="preserve">La Comisionada Ponente con fundamento en lo dispuesto por el artículo 185 fracción II de la ley de la materia, a través del acuerdo de admisión del </w:t>
      </w:r>
      <w:r w:rsidR="00211EC2" w:rsidRPr="00CA7A41">
        <w:rPr>
          <w:rFonts w:ascii="Palatino Linotype" w:eastAsia="Calibri" w:hAnsi="Palatino Linotype" w:cs="Arial"/>
          <w:b/>
          <w:sz w:val="22"/>
          <w:szCs w:val="22"/>
          <w:lang w:val="es-ES"/>
        </w:rPr>
        <w:t>cinco de diciembre</w:t>
      </w:r>
      <w:r w:rsidRPr="00CA7A41">
        <w:rPr>
          <w:rFonts w:ascii="Palatino Linotype" w:eastAsia="Calibri" w:hAnsi="Palatino Linotype" w:cs="Arial"/>
          <w:b/>
          <w:sz w:val="22"/>
          <w:szCs w:val="22"/>
          <w:lang w:val="es-ES"/>
        </w:rPr>
        <w:t xml:space="preserve"> de dos mil veinticuatro</w:t>
      </w:r>
      <w:r w:rsidRPr="00CA7A41">
        <w:rPr>
          <w:rFonts w:ascii="Palatino Linotype" w:eastAsia="Calibri" w:hAnsi="Palatino Linotype" w:cs="Arial"/>
          <w:sz w:val="22"/>
          <w:szCs w:val="22"/>
          <w:lang w:val="es-ES"/>
        </w:rPr>
        <w:t xml:space="preserve">, puso a disposición de las partes el expediente electrónico </w:t>
      </w:r>
      <w:r w:rsidRPr="00CA7A41">
        <w:rPr>
          <w:rFonts w:ascii="Palatino Linotype" w:eastAsia="Calibri" w:hAnsi="Palatino Linotype" w:cs="Arial"/>
          <w:sz w:val="22"/>
          <w:szCs w:val="22"/>
        </w:rPr>
        <w:t xml:space="preserve">vía </w:t>
      </w:r>
      <w:r w:rsidRPr="00CA7A41">
        <w:rPr>
          <w:rFonts w:ascii="Palatino Linotype" w:eastAsia="Calibri" w:hAnsi="Palatino Linotype" w:cs="Arial"/>
          <w:sz w:val="22"/>
          <w:szCs w:val="22"/>
          <w:lang w:val="es-ES"/>
        </w:rPr>
        <w:t xml:space="preserve">Sistema de Acceso a la Información Mexiquense </w:t>
      </w:r>
      <w:r w:rsidRPr="00CA7A41">
        <w:rPr>
          <w:rFonts w:ascii="Palatino Linotype" w:eastAsia="Calibri" w:hAnsi="Palatino Linotype" w:cs="Arial"/>
          <w:b/>
          <w:sz w:val="22"/>
          <w:szCs w:val="22"/>
          <w:lang w:val="es-ES"/>
        </w:rPr>
        <w:t xml:space="preserve">(SAIMEX) </w:t>
      </w:r>
      <w:r w:rsidRPr="00CA7A41">
        <w:rPr>
          <w:rFonts w:ascii="Palatino Linotype" w:eastAsia="Calibri" w:hAnsi="Palatino Linotype" w:cs="Arial"/>
          <w:sz w:val="22"/>
          <w:szCs w:val="22"/>
          <w:lang w:val="es-ES"/>
        </w:rPr>
        <w:t xml:space="preserve">a efecto de que en un plazo máximo de siete días manifestaran lo que a derecho convinieran, ofrecieran pruebas y alegatos según corresponda al caso concreto, de esta forma para que el </w:t>
      </w:r>
      <w:r w:rsidRPr="00CA7A41">
        <w:rPr>
          <w:rFonts w:ascii="Palatino Linotype" w:eastAsia="Calibri" w:hAnsi="Palatino Linotype" w:cs="Arial"/>
          <w:b/>
          <w:sz w:val="22"/>
          <w:szCs w:val="22"/>
          <w:lang w:val="es-ES"/>
        </w:rPr>
        <w:t>SUJETO OBLIGADO</w:t>
      </w:r>
      <w:r w:rsidRPr="00CA7A41">
        <w:rPr>
          <w:rFonts w:ascii="Palatino Linotype" w:eastAsia="Calibri" w:hAnsi="Palatino Linotype" w:cs="Arial"/>
          <w:sz w:val="22"/>
          <w:szCs w:val="22"/>
          <w:lang w:val="es-ES"/>
        </w:rPr>
        <w:t xml:space="preserve"> presentara el Informe Justificado procedente.  </w:t>
      </w:r>
    </w:p>
    <w:p w14:paraId="1C84145C" w14:textId="77777777" w:rsidR="00E35ABB" w:rsidRPr="00CA7A41" w:rsidRDefault="00E35ABB" w:rsidP="00E35ABB">
      <w:pPr>
        <w:spacing w:line="360" w:lineRule="auto"/>
        <w:contextualSpacing/>
        <w:jc w:val="both"/>
        <w:rPr>
          <w:rFonts w:ascii="Palatino Linotype" w:eastAsia="MS Mincho" w:hAnsi="Palatino Linotype"/>
          <w:i/>
          <w:color w:val="000000"/>
          <w:sz w:val="22"/>
          <w:szCs w:val="22"/>
        </w:rPr>
      </w:pPr>
    </w:p>
    <w:p w14:paraId="1C84145D" w14:textId="77777777" w:rsidR="00E35ABB" w:rsidRPr="00CA7A41" w:rsidRDefault="00E35ABB" w:rsidP="00E35ABB">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CA7A41">
        <w:rPr>
          <w:rFonts w:ascii="Palatino Linotype" w:eastAsia="Calibri" w:hAnsi="Palatino Linotype" w:cs="Arial"/>
          <w:sz w:val="22"/>
          <w:szCs w:val="22"/>
          <w:lang w:val="es-ES"/>
        </w:rPr>
        <w:t>De las constancias que obran en el expediente electrónico SAIMEX, se advierte que el Sujeto Obligado no entregó informe justificado; por su parte, el particular no realizó manifestaciones que a su derecho convinieran.</w:t>
      </w:r>
    </w:p>
    <w:p w14:paraId="1C84145E" w14:textId="77777777" w:rsidR="00E35ABB" w:rsidRPr="00CA7A41" w:rsidRDefault="00E35ABB" w:rsidP="00E35ABB">
      <w:pPr>
        <w:numPr>
          <w:ilvl w:val="0"/>
          <w:numId w:val="1"/>
        </w:numPr>
        <w:spacing w:line="360" w:lineRule="auto"/>
        <w:ind w:left="0" w:firstLine="0"/>
        <w:contextualSpacing/>
        <w:jc w:val="both"/>
        <w:rPr>
          <w:rFonts w:ascii="Palatino Linotype" w:eastAsia="MS Mincho" w:hAnsi="Palatino Linotype"/>
          <w:sz w:val="22"/>
          <w:szCs w:val="22"/>
        </w:rPr>
      </w:pPr>
      <w:r w:rsidRPr="00CA7A41">
        <w:rPr>
          <w:rFonts w:ascii="Palatino Linotype" w:eastAsia="MS Mincho" w:hAnsi="Palatino Linotype"/>
          <w:sz w:val="22"/>
          <w:szCs w:val="22"/>
        </w:rPr>
        <w:lastRenderedPageBreak/>
        <w:t xml:space="preserve">El </w:t>
      </w:r>
      <w:r w:rsidR="001D11CC" w:rsidRPr="00CA7A41">
        <w:rPr>
          <w:rFonts w:ascii="Palatino Linotype" w:eastAsia="MS Mincho" w:hAnsi="Palatino Linotype"/>
          <w:b/>
          <w:sz w:val="22"/>
          <w:szCs w:val="22"/>
        </w:rPr>
        <w:t>seis de febrero de dos mil veinticinco</w:t>
      </w:r>
      <w:r w:rsidRPr="00CA7A41">
        <w:rPr>
          <w:rFonts w:ascii="Palatino Linotype" w:eastAsia="MS Mincho" w:hAnsi="Palatino Linotype"/>
          <w:sz w:val="22"/>
          <w:szCs w:val="22"/>
        </w:rPr>
        <w:t xml:space="preserve">, se notificó acuerdo mediante el cual se aprobó la ampliación de plazo para emitir resolución. </w:t>
      </w:r>
    </w:p>
    <w:p w14:paraId="1C84145F" w14:textId="77777777" w:rsidR="00E35ABB" w:rsidRPr="00CA7A41" w:rsidRDefault="00E35ABB" w:rsidP="00E35ABB">
      <w:pPr>
        <w:spacing w:line="360" w:lineRule="auto"/>
        <w:contextualSpacing/>
        <w:jc w:val="both"/>
        <w:rPr>
          <w:rFonts w:ascii="Palatino Linotype" w:eastAsia="MS Mincho" w:hAnsi="Palatino Linotype"/>
          <w:sz w:val="22"/>
          <w:szCs w:val="22"/>
        </w:rPr>
      </w:pPr>
    </w:p>
    <w:p w14:paraId="1C841460" w14:textId="77777777" w:rsidR="001D11CC" w:rsidRPr="00CA7A41" w:rsidRDefault="001D11CC" w:rsidP="001D11CC">
      <w:pPr>
        <w:numPr>
          <w:ilvl w:val="0"/>
          <w:numId w:val="1"/>
        </w:numPr>
        <w:spacing w:line="360" w:lineRule="auto"/>
        <w:ind w:left="0" w:firstLine="0"/>
        <w:contextualSpacing/>
        <w:jc w:val="both"/>
        <w:rPr>
          <w:rFonts w:ascii="Palatino Linotype" w:eastAsia="MS Mincho" w:hAnsi="Palatino Linotype"/>
          <w:sz w:val="22"/>
          <w:szCs w:val="22"/>
        </w:rPr>
      </w:pPr>
      <w:r w:rsidRPr="00CA7A41">
        <w:rPr>
          <w:rFonts w:ascii="Palatino Linotype" w:eastAsia="Palatino Linotype" w:hAnsi="Palatino Linotype" w:cs="Palatino Linotype"/>
          <w:sz w:val="22"/>
          <w:szCs w:val="22"/>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14:paraId="1C841461" w14:textId="77777777" w:rsidR="00E35ABB" w:rsidRPr="00CA7A41" w:rsidRDefault="00E35ABB" w:rsidP="00E35ABB">
      <w:pPr>
        <w:spacing w:line="360" w:lineRule="auto"/>
        <w:ind w:right="-734"/>
        <w:jc w:val="both"/>
        <w:rPr>
          <w:rFonts w:ascii="Palatino Linotype" w:eastAsia="Palatino Linotype" w:hAnsi="Palatino Linotype" w:cs="Palatino Linotype"/>
          <w:sz w:val="22"/>
          <w:szCs w:val="22"/>
        </w:rPr>
      </w:pPr>
    </w:p>
    <w:p w14:paraId="1C841462" w14:textId="77777777" w:rsidR="00E35ABB" w:rsidRPr="00CA7A41" w:rsidRDefault="00E35ABB" w:rsidP="00E35ABB">
      <w:pPr>
        <w:pStyle w:val="Prrafodelista"/>
        <w:numPr>
          <w:ilvl w:val="0"/>
          <w:numId w:val="1"/>
        </w:numPr>
        <w:tabs>
          <w:tab w:val="left" w:pos="0"/>
        </w:tabs>
        <w:spacing w:line="360" w:lineRule="auto"/>
        <w:ind w:left="0" w:right="113" w:firstLine="0"/>
        <w:jc w:val="both"/>
        <w:rPr>
          <w:rFonts w:ascii="Palatino Linotype" w:hAnsi="Palatino Linotype"/>
          <w:szCs w:val="22"/>
        </w:rPr>
      </w:pPr>
      <w:r w:rsidRPr="00CA7A41">
        <w:rPr>
          <w:rFonts w:ascii="Palatino Linotype" w:eastAsia="Palatino Linotype" w:hAnsi="Palatino Linotype" w:cs="Palatino Linotype"/>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C841463" w14:textId="77777777" w:rsidR="00E35ABB" w:rsidRPr="00CA7A41" w:rsidRDefault="00E35ABB" w:rsidP="00E35ABB">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14:paraId="1C841464" w14:textId="77777777" w:rsidR="00E35ABB" w:rsidRPr="00CA7A41" w:rsidRDefault="00E35ABB" w:rsidP="00E35ABB">
      <w:pPr>
        <w:numPr>
          <w:ilvl w:val="0"/>
          <w:numId w:val="1"/>
        </w:numPr>
        <w:tabs>
          <w:tab w:val="left" w:pos="0"/>
        </w:tabs>
        <w:spacing w:line="360" w:lineRule="auto"/>
        <w:ind w:left="0" w:right="113" w:firstLine="0"/>
        <w:jc w:val="both"/>
        <w:rPr>
          <w:rFonts w:ascii="Palatino Linotype" w:hAnsi="Palatino Linotype"/>
          <w:sz w:val="22"/>
          <w:szCs w:val="22"/>
        </w:rPr>
      </w:pPr>
      <w:r w:rsidRPr="00CA7A41">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C841465" w14:textId="77777777" w:rsidR="00E35ABB" w:rsidRPr="00CA7A41" w:rsidRDefault="00E35ABB" w:rsidP="00E35ABB">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14:paraId="1C841466" w14:textId="77777777" w:rsidR="00E35ABB" w:rsidRPr="00CA7A41" w:rsidRDefault="00E35ABB" w:rsidP="00E35ABB">
      <w:pPr>
        <w:numPr>
          <w:ilvl w:val="0"/>
          <w:numId w:val="1"/>
        </w:numPr>
        <w:tabs>
          <w:tab w:val="left" w:pos="0"/>
        </w:tabs>
        <w:spacing w:line="360" w:lineRule="auto"/>
        <w:ind w:left="0" w:right="113" w:firstLine="0"/>
        <w:jc w:val="both"/>
        <w:rPr>
          <w:rFonts w:ascii="Palatino Linotype" w:hAnsi="Palatino Linotype"/>
          <w:sz w:val="22"/>
          <w:szCs w:val="22"/>
        </w:rPr>
      </w:pPr>
      <w:r w:rsidRPr="00CA7A41">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C841467" w14:textId="77777777" w:rsidR="00E35ABB" w:rsidRPr="00CA7A41" w:rsidRDefault="00E35ABB" w:rsidP="00E35ABB">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14:paraId="1C841468" w14:textId="77777777" w:rsidR="00E35ABB" w:rsidRPr="00CA7A41" w:rsidRDefault="00E35ABB" w:rsidP="00E35ABB">
      <w:pPr>
        <w:numPr>
          <w:ilvl w:val="0"/>
          <w:numId w:val="1"/>
        </w:numPr>
        <w:tabs>
          <w:tab w:val="left" w:pos="0"/>
        </w:tabs>
        <w:spacing w:line="360" w:lineRule="auto"/>
        <w:ind w:left="0" w:right="113" w:firstLine="0"/>
        <w:jc w:val="both"/>
        <w:rPr>
          <w:rFonts w:ascii="Palatino Linotype" w:hAnsi="Palatino Linotype"/>
          <w:sz w:val="22"/>
          <w:szCs w:val="22"/>
        </w:rPr>
      </w:pPr>
      <w:r w:rsidRPr="00CA7A41">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14:paraId="1C841469" w14:textId="77777777" w:rsidR="00E35ABB" w:rsidRPr="00CA7A41" w:rsidRDefault="00E35ABB" w:rsidP="00E35ABB">
      <w:pPr>
        <w:tabs>
          <w:tab w:val="left" w:pos="0"/>
        </w:tabs>
        <w:spacing w:line="360" w:lineRule="auto"/>
        <w:ind w:right="113"/>
        <w:jc w:val="both"/>
        <w:rPr>
          <w:rFonts w:ascii="Palatino Linotype" w:hAnsi="Palatino Linotype"/>
          <w:sz w:val="22"/>
          <w:szCs w:val="22"/>
        </w:rPr>
      </w:pPr>
    </w:p>
    <w:p w14:paraId="1C84146A" w14:textId="77777777" w:rsidR="00E35ABB" w:rsidRPr="00CA7A41" w:rsidRDefault="00E35ABB" w:rsidP="00E35ABB">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CA7A41">
        <w:rPr>
          <w:rFonts w:ascii="Palatino Linotype" w:eastAsia="Palatino Linotype" w:hAnsi="Palatino Linotype" w:cs="Palatino Linotype"/>
          <w:color w:val="000000"/>
          <w:sz w:val="22"/>
          <w:szCs w:val="22"/>
        </w:rPr>
        <w:t xml:space="preserve">Complejidad del </w:t>
      </w:r>
      <w:r w:rsidRPr="00CA7A41">
        <w:rPr>
          <w:rFonts w:ascii="Palatino Linotype" w:eastAsia="Palatino Linotype" w:hAnsi="Palatino Linotype" w:cs="Palatino Linotype"/>
          <w:sz w:val="22"/>
          <w:szCs w:val="22"/>
        </w:rPr>
        <w:t>asunto</w:t>
      </w:r>
      <w:r w:rsidRPr="00CA7A41">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1C84146B" w14:textId="77777777" w:rsidR="00E35ABB" w:rsidRPr="00CA7A41" w:rsidRDefault="00E35ABB" w:rsidP="00E35ABB">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CA7A41">
        <w:rPr>
          <w:rFonts w:ascii="Palatino Linotype" w:eastAsia="Palatino Linotype" w:hAnsi="Palatino Linotype" w:cs="Palatino Linotype"/>
          <w:color w:val="000000"/>
          <w:sz w:val="22"/>
          <w:szCs w:val="22"/>
        </w:rPr>
        <w:t>Actividad Procesal del interesado. Acciones u omisiones del interesado.</w:t>
      </w:r>
    </w:p>
    <w:p w14:paraId="1C84146C" w14:textId="77777777" w:rsidR="00E35ABB" w:rsidRPr="00CA7A41" w:rsidRDefault="00E35ABB" w:rsidP="00E35ABB">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CA7A41">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1C84146D" w14:textId="77777777" w:rsidR="00E35ABB" w:rsidRPr="00CA7A41" w:rsidRDefault="00E35ABB" w:rsidP="00E35ABB">
      <w:pPr>
        <w:tabs>
          <w:tab w:val="left" w:pos="0"/>
        </w:tabs>
        <w:spacing w:line="360" w:lineRule="auto"/>
        <w:ind w:left="567" w:right="113"/>
        <w:jc w:val="both"/>
        <w:rPr>
          <w:rFonts w:ascii="Palatino Linotype" w:eastAsia="Palatino Linotype" w:hAnsi="Palatino Linotype" w:cs="Palatino Linotype"/>
          <w:sz w:val="22"/>
          <w:szCs w:val="22"/>
        </w:rPr>
      </w:pPr>
      <w:r w:rsidRPr="00CA7A41">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1C84146E" w14:textId="77777777" w:rsidR="00E35ABB" w:rsidRPr="00CA7A41" w:rsidRDefault="00E35ABB" w:rsidP="00E35ABB">
      <w:pPr>
        <w:tabs>
          <w:tab w:val="left" w:pos="0"/>
        </w:tabs>
        <w:spacing w:line="360" w:lineRule="auto"/>
        <w:ind w:right="113"/>
        <w:rPr>
          <w:rFonts w:ascii="Palatino Linotype" w:eastAsia="Palatino Linotype" w:hAnsi="Palatino Linotype" w:cs="Palatino Linotype"/>
          <w:sz w:val="22"/>
          <w:szCs w:val="22"/>
        </w:rPr>
      </w:pPr>
    </w:p>
    <w:p w14:paraId="1C84146F" w14:textId="77777777" w:rsidR="00E35ABB" w:rsidRPr="00CA7A41" w:rsidRDefault="00E35ABB" w:rsidP="00E35ABB">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eastAsia="Palatino Linotype" w:hAnsi="Palatino Linotype" w:cs="Palatino Linotype"/>
          <w:b/>
          <w:color w:val="000000"/>
          <w:sz w:val="22"/>
          <w:szCs w:val="22"/>
        </w:rPr>
      </w:pPr>
      <w:r w:rsidRPr="00CA7A41">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C841470" w14:textId="77777777" w:rsidR="00E35ABB" w:rsidRPr="00CA7A41" w:rsidRDefault="00E35ABB" w:rsidP="00E35ABB">
      <w:pPr>
        <w:tabs>
          <w:tab w:val="left" w:pos="0"/>
        </w:tabs>
        <w:spacing w:line="360" w:lineRule="auto"/>
        <w:ind w:right="113"/>
        <w:jc w:val="both"/>
        <w:rPr>
          <w:rFonts w:ascii="Palatino Linotype" w:eastAsia="Palatino Linotype" w:hAnsi="Palatino Linotype" w:cs="Palatino Linotype"/>
          <w:b/>
          <w:sz w:val="22"/>
          <w:szCs w:val="22"/>
        </w:rPr>
      </w:pPr>
    </w:p>
    <w:p w14:paraId="1C841471" w14:textId="77777777" w:rsidR="00E35ABB" w:rsidRPr="00CA7A41" w:rsidRDefault="00E35ABB" w:rsidP="00E35ABB">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CA7A41">
        <w:rPr>
          <w:rFonts w:ascii="Palatino Linotype" w:eastAsia="Palatino Linotype" w:hAnsi="Palatino Linotype" w:cs="Palatino Linotype"/>
          <w:sz w:val="22"/>
          <w:szCs w:val="22"/>
        </w:rPr>
        <w:t>Argumento que encuentra sustento en la jurisprudencia P</w:t>
      </w:r>
      <w:proofErr w:type="gramStart"/>
      <w:r w:rsidRPr="00CA7A41">
        <w:rPr>
          <w:rFonts w:ascii="Palatino Linotype" w:eastAsia="Palatino Linotype" w:hAnsi="Palatino Linotype" w:cs="Palatino Linotype"/>
          <w:sz w:val="22"/>
          <w:szCs w:val="22"/>
        </w:rPr>
        <w:t>./</w:t>
      </w:r>
      <w:proofErr w:type="gramEnd"/>
      <w:r w:rsidRPr="00CA7A41">
        <w:rPr>
          <w:rFonts w:ascii="Palatino Linotype" w:eastAsia="Palatino Linotype" w:hAnsi="Palatino Linotype" w:cs="Palatino Linotype"/>
          <w:sz w:val="22"/>
          <w:szCs w:val="22"/>
        </w:rPr>
        <w:t xml:space="preserve">J. 32/92 emitida por el Pleno de la Suprema Corte de Justicia de la Nación del rubro </w:t>
      </w:r>
      <w:r w:rsidRPr="00CA7A41">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CA7A41">
        <w:rPr>
          <w:rFonts w:ascii="Palatino Linotype" w:eastAsia="Palatino Linotype" w:hAnsi="Palatino Linotype" w:cs="Palatino Linotype"/>
          <w:sz w:val="22"/>
          <w:szCs w:val="22"/>
        </w:rPr>
        <w:t>, visible en la Gaceta del Semanario Judicial de la Federación con el registro digital 205635.</w:t>
      </w:r>
    </w:p>
    <w:p w14:paraId="1C841472" w14:textId="77777777" w:rsidR="00E35ABB" w:rsidRPr="00CA7A41" w:rsidRDefault="00E35ABB" w:rsidP="00E35ABB">
      <w:pPr>
        <w:tabs>
          <w:tab w:val="left" w:pos="0"/>
        </w:tabs>
        <w:spacing w:line="360" w:lineRule="auto"/>
        <w:ind w:right="113"/>
        <w:rPr>
          <w:rFonts w:ascii="Palatino Linotype" w:eastAsia="Palatino Linotype" w:hAnsi="Palatino Linotype" w:cs="Palatino Linotype"/>
          <w:sz w:val="22"/>
          <w:szCs w:val="22"/>
        </w:rPr>
      </w:pPr>
    </w:p>
    <w:p w14:paraId="1C841473" w14:textId="77777777" w:rsidR="00E35ABB" w:rsidRPr="00CA7A41" w:rsidRDefault="00E35ABB" w:rsidP="00E35ABB">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CA7A41">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w:t>
      </w:r>
      <w:r w:rsidRPr="00CA7A41">
        <w:rPr>
          <w:rFonts w:ascii="Palatino Linotype" w:eastAsia="Palatino Linotype" w:hAnsi="Palatino Linotype" w:cs="Palatino Linotype"/>
          <w:sz w:val="22"/>
          <w:szCs w:val="22"/>
        </w:rPr>
        <w:lastRenderedPageBreak/>
        <w:t>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C841474" w14:textId="77777777" w:rsidR="00E35ABB" w:rsidRPr="00CA7A41" w:rsidRDefault="00E35ABB" w:rsidP="00E35ABB">
      <w:pPr>
        <w:tabs>
          <w:tab w:val="left" w:pos="0"/>
        </w:tabs>
        <w:spacing w:line="360" w:lineRule="auto"/>
        <w:ind w:right="113"/>
        <w:rPr>
          <w:rFonts w:ascii="Palatino Linotype" w:eastAsia="Palatino Linotype" w:hAnsi="Palatino Linotype" w:cs="Palatino Linotype"/>
          <w:sz w:val="22"/>
          <w:szCs w:val="22"/>
        </w:rPr>
      </w:pPr>
    </w:p>
    <w:p w14:paraId="1C841475" w14:textId="77777777" w:rsidR="00E35ABB" w:rsidRPr="00CA7A41" w:rsidRDefault="00E35ABB" w:rsidP="00E35ABB">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CA7A41">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1C841476" w14:textId="77777777" w:rsidR="00E35ABB" w:rsidRPr="00CA7A41" w:rsidRDefault="00E35ABB" w:rsidP="00E35ABB">
      <w:pPr>
        <w:tabs>
          <w:tab w:val="left" w:pos="0"/>
        </w:tabs>
        <w:spacing w:line="360" w:lineRule="auto"/>
        <w:ind w:right="113"/>
        <w:rPr>
          <w:rFonts w:ascii="Palatino Linotype" w:eastAsia="Palatino Linotype" w:hAnsi="Palatino Linotype" w:cs="Palatino Linotype"/>
          <w:sz w:val="22"/>
          <w:szCs w:val="22"/>
        </w:rPr>
      </w:pPr>
    </w:p>
    <w:p w14:paraId="1C841477" w14:textId="77777777" w:rsidR="00E35ABB" w:rsidRPr="00CA7A41" w:rsidRDefault="00E35ABB" w:rsidP="00E35ABB">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CA7A41">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1C841478" w14:textId="77777777" w:rsidR="00E35ABB" w:rsidRPr="00CA7A41" w:rsidRDefault="00E35ABB" w:rsidP="00E35ABB">
      <w:pPr>
        <w:tabs>
          <w:tab w:val="left" w:pos="0"/>
        </w:tabs>
        <w:spacing w:line="360" w:lineRule="auto"/>
        <w:ind w:right="113"/>
        <w:jc w:val="both"/>
        <w:rPr>
          <w:rFonts w:ascii="Palatino Linotype" w:eastAsia="Palatino Linotype" w:hAnsi="Palatino Linotype" w:cs="Palatino Linotype"/>
          <w:sz w:val="22"/>
          <w:szCs w:val="22"/>
        </w:rPr>
      </w:pPr>
    </w:p>
    <w:p w14:paraId="1C841479" w14:textId="77777777" w:rsidR="00E35ABB" w:rsidRPr="00CA7A41" w:rsidRDefault="00E35ABB" w:rsidP="00E35ABB">
      <w:pPr>
        <w:tabs>
          <w:tab w:val="left" w:pos="0"/>
        </w:tabs>
        <w:spacing w:line="360" w:lineRule="auto"/>
        <w:ind w:left="851" w:right="113"/>
        <w:jc w:val="both"/>
        <w:rPr>
          <w:rFonts w:ascii="Palatino Linotype" w:eastAsia="Palatino Linotype" w:hAnsi="Palatino Linotype" w:cs="Palatino Linotype"/>
          <w:sz w:val="22"/>
          <w:szCs w:val="22"/>
        </w:rPr>
      </w:pPr>
      <w:r w:rsidRPr="00CA7A41">
        <w:rPr>
          <w:rFonts w:ascii="Palatino Linotype" w:eastAsia="Palatino Linotype" w:hAnsi="Palatino Linotype" w:cs="Palatino Linotype"/>
          <w:sz w:val="22"/>
          <w:szCs w:val="22"/>
        </w:rPr>
        <w:t xml:space="preserve"> </w:t>
      </w:r>
      <w:r w:rsidRPr="00CA7A41">
        <w:rPr>
          <w:rFonts w:ascii="Palatino Linotype" w:eastAsia="Palatino Linotype" w:hAnsi="Palatino Linotype" w:cs="Palatino Linotype"/>
          <w:i/>
          <w:sz w:val="22"/>
          <w:szCs w:val="22"/>
        </w:rPr>
        <w:t>“PLAZO RAZONABLE PARA RESOLVER. DIMENSIÓN Y EFECTOS DE ESTE CONCEPTO CUANDO SE ADUCE EXCESIVA CARGA DE TRABAJO.”</w:t>
      </w:r>
      <w:r w:rsidRPr="00CA7A41">
        <w:rPr>
          <w:rFonts w:ascii="Palatino Linotype" w:eastAsia="Palatino Linotype" w:hAnsi="Palatino Linotype" w:cs="Palatino Linotype"/>
          <w:sz w:val="22"/>
          <w:szCs w:val="22"/>
        </w:rPr>
        <w:t xml:space="preserve"> consultable en el Semanario Judicial de la Federación y su gaceta, con el registro digital 2002351.</w:t>
      </w:r>
    </w:p>
    <w:p w14:paraId="1C84147A" w14:textId="77777777" w:rsidR="00E35ABB" w:rsidRPr="00CA7A41" w:rsidRDefault="00E35ABB" w:rsidP="00E35ABB">
      <w:pPr>
        <w:tabs>
          <w:tab w:val="left" w:pos="0"/>
        </w:tabs>
        <w:spacing w:line="360" w:lineRule="auto"/>
        <w:ind w:left="851" w:right="113"/>
        <w:jc w:val="both"/>
        <w:rPr>
          <w:rFonts w:ascii="Palatino Linotype" w:eastAsia="Palatino Linotype" w:hAnsi="Palatino Linotype" w:cs="Palatino Linotype"/>
          <w:b/>
          <w:sz w:val="22"/>
          <w:szCs w:val="22"/>
        </w:rPr>
      </w:pPr>
    </w:p>
    <w:p w14:paraId="1C84147B" w14:textId="77777777" w:rsidR="00E35ABB" w:rsidRPr="00CA7A41" w:rsidRDefault="00E35ABB" w:rsidP="00E35ABB">
      <w:pPr>
        <w:tabs>
          <w:tab w:val="left" w:pos="0"/>
        </w:tabs>
        <w:spacing w:line="360" w:lineRule="auto"/>
        <w:ind w:left="851" w:right="113"/>
        <w:jc w:val="both"/>
        <w:rPr>
          <w:rFonts w:ascii="Palatino Linotype" w:eastAsia="Palatino Linotype" w:hAnsi="Palatino Linotype" w:cs="Palatino Linotype"/>
          <w:sz w:val="22"/>
          <w:szCs w:val="22"/>
        </w:rPr>
      </w:pPr>
      <w:r w:rsidRPr="00CA7A41">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CA7A41">
        <w:rPr>
          <w:rFonts w:ascii="Palatino Linotype" w:eastAsia="Palatino Linotype" w:hAnsi="Palatino Linotype" w:cs="Palatino Linotype"/>
          <w:sz w:val="22"/>
          <w:szCs w:val="22"/>
        </w:rPr>
        <w:t>, visible en el Semanario Judicial de la Federación y su gaceta, con el registro digital 2002350.</w:t>
      </w:r>
    </w:p>
    <w:p w14:paraId="1C84147C" w14:textId="77777777" w:rsidR="00E35ABB" w:rsidRPr="00CA7A41" w:rsidRDefault="00E35ABB" w:rsidP="00E35ABB">
      <w:pPr>
        <w:tabs>
          <w:tab w:val="left" w:pos="0"/>
        </w:tabs>
        <w:spacing w:line="360" w:lineRule="auto"/>
        <w:ind w:right="113"/>
        <w:jc w:val="both"/>
        <w:rPr>
          <w:rFonts w:ascii="Palatino Linotype" w:eastAsia="Palatino Linotype" w:hAnsi="Palatino Linotype" w:cs="Palatino Linotype"/>
          <w:sz w:val="22"/>
          <w:szCs w:val="22"/>
        </w:rPr>
      </w:pPr>
    </w:p>
    <w:p w14:paraId="1C84147D" w14:textId="77777777" w:rsidR="00E35ABB" w:rsidRPr="00CA7A41" w:rsidRDefault="00E35ABB" w:rsidP="00E35ABB">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hAnsi="Palatino Linotype"/>
          <w:color w:val="000000"/>
          <w:sz w:val="22"/>
          <w:szCs w:val="22"/>
        </w:rPr>
      </w:pPr>
      <w:r w:rsidRPr="00CA7A41">
        <w:rPr>
          <w:rFonts w:ascii="Palatino Linotype" w:eastAsia="Palatino Linotype" w:hAnsi="Palatino Linotype" w:cs="Palatino Linotype"/>
          <w:color w:val="000000"/>
          <w:sz w:val="22"/>
          <w:szCs w:val="22"/>
        </w:rPr>
        <w:t xml:space="preserve">Por ello, este Organismo Garante comprometido con la tutela de los derechos humanos confiados, señala que este exceso de plazo legal para resolver el presente asunto, resulta de carácter excepcional. </w:t>
      </w:r>
    </w:p>
    <w:p w14:paraId="1C84147E" w14:textId="77777777" w:rsidR="00E35ABB" w:rsidRPr="00CA7A41" w:rsidRDefault="00E35ABB" w:rsidP="00E35ABB">
      <w:pPr>
        <w:pBdr>
          <w:top w:val="nil"/>
          <w:left w:val="nil"/>
          <w:bottom w:val="nil"/>
          <w:right w:val="nil"/>
          <w:between w:val="nil"/>
        </w:pBdr>
        <w:tabs>
          <w:tab w:val="left" w:pos="0"/>
        </w:tabs>
        <w:spacing w:line="360" w:lineRule="auto"/>
        <w:ind w:right="113"/>
        <w:jc w:val="both"/>
        <w:rPr>
          <w:rFonts w:ascii="Palatino Linotype" w:hAnsi="Palatino Linotype"/>
          <w:color w:val="000000"/>
          <w:sz w:val="22"/>
          <w:szCs w:val="22"/>
        </w:rPr>
      </w:pPr>
    </w:p>
    <w:p w14:paraId="1C84147F" w14:textId="77777777" w:rsidR="00E35ABB" w:rsidRPr="00CA7A41" w:rsidRDefault="00E35ABB" w:rsidP="00E35ABB">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CA7A41">
        <w:rPr>
          <w:rFonts w:ascii="Palatino Linotype" w:eastAsia="MS Mincho" w:hAnsi="Palatino Linotype"/>
          <w:color w:val="000000"/>
          <w:sz w:val="22"/>
          <w:szCs w:val="22"/>
        </w:rPr>
        <w:t xml:space="preserve">El </w:t>
      </w:r>
      <w:r w:rsidR="001D11CC" w:rsidRPr="00CA7A41">
        <w:rPr>
          <w:rFonts w:ascii="Palatino Linotype" w:eastAsia="MS Mincho" w:hAnsi="Palatino Linotype"/>
          <w:b/>
          <w:color w:val="000000"/>
          <w:sz w:val="22"/>
          <w:szCs w:val="22"/>
        </w:rPr>
        <w:t>seis de febrero</w:t>
      </w:r>
      <w:r w:rsidRPr="00CA7A41">
        <w:rPr>
          <w:rFonts w:ascii="Palatino Linotype" w:eastAsia="MS Mincho" w:hAnsi="Palatino Linotype"/>
          <w:b/>
          <w:color w:val="000000"/>
          <w:sz w:val="22"/>
          <w:szCs w:val="22"/>
        </w:rPr>
        <w:t xml:space="preserve"> </w:t>
      </w:r>
      <w:r w:rsidR="001D11CC" w:rsidRPr="00CA7A41">
        <w:rPr>
          <w:rFonts w:ascii="Palatino Linotype" w:eastAsia="MS Mincho" w:hAnsi="Palatino Linotype"/>
          <w:b/>
          <w:color w:val="000000"/>
          <w:sz w:val="22"/>
          <w:szCs w:val="22"/>
        </w:rPr>
        <w:t xml:space="preserve">de dos mil veinticinco, </w:t>
      </w:r>
      <w:r w:rsidRPr="00CA7A41">
        <w:rPr>
          <w:rFonts w:ascii="Palatino Linotype" w:eastAsia="MS Mincho" w:hAnsi="Palatino Linotype"/>
          <w:color w:val="000000"/>
          <w:sz w:val="22"/>
          <w:szCs w:val="22"/>
        </w:rPr>
        <w:t xml:space="preserve">se notificó acuerdo de cierre de instrucción. </w:t>
      </w:r>
    </w:p>
    <w:p w14:paraId="1C841480" w14:textId="77777777" w:rsidR="00E35ABB" w:rsidRPr="00CA7A41" w:rsidRDefault="00E35ABB" w:rsidP="00E35ABB">
      <w:pPr>
        <w:spacing w:line="360" w:lineRule="auto"/>
        <w:contextualSpacing/>
        <w:jc w:val="both"/>
        <w:rPr>
          <w:rFonts w:ascii="Palatino Linotype" w:eastAsia="MS Mincho" w:hAnsi="Palatino Linotype"/>
          <w:b/>
          <w:sz w:val="22"/>
          <w:szCs w:val="22"/>
        </w:rPr>
      </w:pPr>
    </w:p>
    <w:p w14:paraId="1C841481" w14:textId="77777777" w:rsidR="00E35ABB" w:rsidRPr="00CA7A41" w:rsidRDefault="00E35ABB" w:rsidP="00E35ABB">
      <w:pPr>
        <w:keepNext/>
        <w:keepLines/>
        <w:spacing w:line="360" w:lineRule="auto"/>
        <w:jc w:val="center"/>
        <w:outlineLvl w:val="0"/>
        <w:rPr>
          <w:rFonts w:ascii="Palatino Linotype" w:eastAsia="MS Gothic" w:hAnsi="Palatino Linotype"/>
          <w:b/>
          <w:sz w:val="22"/>
          <w:szCs w:val="22"/>
          <w:lang w:eastAsia="en-US"/>
        </w:rPr>
      </w:pPr>
      <w:bookmarkStart w:id="8" w:name="_Toc491791302"/>
      <w:bookmarkStart w:id="9" w:name="_Toc528153788"/>
      <w:bookmarkStart w:id="10" w:name="_Toc94119611"/>
      <w:r w:rsidRPr="00CA7A41">
        <w:rPr>
          <w:rFonts w:ascii="Palatino Linotype" w:eastAsia="MS Gothic" w:hAnsi="Palatino Linotype"/>
          <w:b/>
          <w:sz w:val="22"/>
          <w:szCs w:val="22"/>
          <w:lang w:eastAsia="en-US"/>
        </w:rPr>
        <w:t>CONSIDERANDO</w:t>
      </w:r>
      <w:bookmarkEnd w:id="8"/>
      <w:bookmarkEnd w:id="9"/>
      <w:bookmarkEnd w:id="10"/>
    </w:p>
    <w:p w14:paraId="1C841482" w14:textId="77777777" w:rsidR="00E35ABB" w:rsidRPr="00CA7A41" w:rsidRDefault="00E35ABB" w:rsidP="00E35ABB">
      <w:pPr>
        <w:keepNext/>
        <w:keepLines/>
        <w:spacing w:line="360" w:lineRule="auto"/>
        <w:jc w:val="center"/>
        <w:outlineLvl w:val="0"/>
        <w:rPr>
          <w:rFonts w:ascii="Palatino Linotype" w:eastAsia="MS Gothic" w:hAnsi="Palatino Linotype"/>
          <w:b/>
          <w:sz w:val="22"/>
          <w:szCs w:val="22"/>
          <w:lang w:eastAsia="en-US"/>
        </w:rPr>
      </w:pPr>
    </w:p>
    <w:p w14:paraId="1C841483" w14:textId="77777777" w:rsidR="00E35ABB" w:rsidRPr="00CA7A41" w:rsidRDefault="00E35ABB" w:rsidP="00E35ABB">
      <w:pPr>
        <w:keepNext/>
        <w:keepLines/>
        <w:spacing w:line="360" w:lineRule="auto"/>
        <w:outlineLvl w:val="1"/>
        <w:rPr>
          <w:rFonts w:ascii="Palatino Linotype" w:eastAsia="MS Gothic" w:hAnsi="Palatino Linotype"/>
          <w:b/>
          <w:sz w:val="22"/>
          <w:szCs w:val="22"/>
          <w:lang w:eastAsia="en-US"/>
        </w:rPr>
      </w:pPr>
      <w:bookmarkStart w:id="11" w:name="_Toc491791303"/>
      <w:bookmarkStart w:id="12" w:name="_Toc528153789"/>
      <w:bookmarkStart w:id="13" w:name="_Toc94119612"/>
      <w:r w:rsidRPr="00CA7A41">
        <w:rPr>
          <w:rFonts w:ascii="Palatino Linotype" w:eastAsia="MS Gothic" w:hAnsi="Palatino Linotype"/>
          <w:b/>
          <w:sz w:val="22"/>
          <w:szCs w:val="22"/>
          <w:lang w:eastAsia="en-US"/>
        </w:rPr>
        <w:t>PRIMERO. De la competencia</w:t>
      </w:r>
      <w:bookmarkEnd w:id="11"/>
      <w:bookmarkEnd w:id="12"/>
      <w:r w:rsidRPr="00CA7A41">
        <w:rPr>
          <w:rFonts w:ascii="Palatino Linotype" w:eastAsia="MS Gothic" w:hAnsi="Palatino Linotype"/>
          <w:b/>
          <w:sz w:val="22"/>
          <w:szCs w:val="22"/>
          <w:lang w:eastAsia="en-US"/>
        </w:rPr>
        <w:t>.</w:t>
      </w:r>
      <w:bookmarkEnd w:id="13"/>
    </w:p>
    <w:p w14:paraId="1C841484" w14:textId="77777777" w:rsidR="00E35ABB" w:rsidRPr="00CA7A41" w:rsidRDefault="00E35ABB" w:rsidP="00E35ABB">
      <w:pPr>
        <w:spacing w:line="360" w:lineRule="auto"/>
        <w:jc w:val="both"/>
        <w:rPr>
          <w:rFonts w:ascii="Palatino Linotype" w:eastAsia="Calibri" w:hAnsi="Palatino Linotype"/>
          <w:b/>
          <w:sz w:val="22"/>
          <w:szCs w:val="22"/>
          <w:lang w:val="es-ES"/>
        </w:rPr>
      </w:pPr>
    </w:p>
    <w:p w14:paraId="1C841485" w14:textId="77777777" w:rsidR="00E35ABB" w:rsidRPr="00CA7A41" w:rsidRDefault="00E35ABB" w:rsidP="00E35ABB">
      <w:pPr>
        <w:pStyle w:val="Prrafodelista"/>
        <w:numPr>
          <w:ilvl w:val="0"/>
          <w:numId w:val="1"/>
        </w:numPr>
        <w:spacing w:before="240" w:after="240" w:line="360" w:lineRule="auto"/>
        <w:ind w:left="0" w:firstLine="0"/>
        <w:jc w:val="both"/>
        <w:rPr>
          <w:rFonts w:ascii="Palatino Linotype" w:hAnsi="Palatino Linotype"/>
          <w:szCs w:val="22"/>
        </w:rPr>
      </w:pPr>
      <w:r w:rsidRPr="00CA7A41">
        <w:rPr>
          <w:rFonts w:ascii="Palatino Linotype" w:hAnsi="Palatino Linotype"/>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CA7A41">
        <w:rPr>
          <w:rFonts w:ascii="Palatino Linotype" w:hAnsi="Palatino Linotype"/>
          <w:b/>
          <w:szCs w:val="22"/>
        </w:rPr>
        <w:t>Constitución Política de los Estados Unidos Mexicanos</w:t>
      </w:r>
      <w:r w:rsidRPr="00CA7A41">
        <w:rPr>
          <w:rFonts w:ascii="Palatino Linotype" w:hAnsi="Palatino Linotype"/>
          <w:szCs w:val="22"/>
        </w:rPr>
        <w:t xml:space="preserve">; 5, párrafos trigésimo segundo y trigésimo tercero, fracciones IV y V, de la </w:t>
      </w:r>
      <w:r w:rsidRPr="00CA7A41">
        <w:rPr>
          <w:rFonts w:ascii="Palatino Linotype" w:hAnsi="Palatino Linotype"/>
          <w:b/>
          <w:szCs w:val="22"/>
        </w:rPr>
        <w:t>Constitución Política del Estado Libre y Soberano de México</w:t>
      </w:r>
      <w:r w:rsidRPr="00CA7A41">
        <w:rPr>
          <w:rFonts w:ascii="Palatino Linotype" w:hAnsi="Palatino Linotype"/>
          <w:szCs w:val="22"/>
        </w:rPr>
        <w:t xml:space="preserve">; artículos 1, 2 fracción II, 13, 29, 36 fracciones I y II, 176, 178, 179, 181 párrafo tercero y 185 de la </w:t>
      </w:r>
      <w:r w:rsidRPr="00CA7A41">
        <w:rPr>
          <w:rFonts w:ascii="Palatino Linotype" w:hAnsi="Palatino Linotype"/>
          <w:b/>
          <w:szCs w:val="22"/>
        </w:rPr>
        <w:t>Ley de Transparencia y Acceso a la Información Pública del Estado de México y Municipios</w:t>
      </w:r>
      <w:r w:rsidRPr="00CA7A41">
        <w:rPr>
          <w:rFonts w:ascii="Palatino Linotype" w:hAnsi="Palatino Linotype"/>
          <w:szCs w:val="22"/>
        </w:rPr>
        <w:t xml:space="preserve">; y 7, 9 fracciones I y XXIII, y 11 del </w:t>
      </w:r>
      <w:r w:rsidRPr="00CA7A41">
        <w:rPr>
          <w:rFonts w:ascii="Palatino Linotype" w:hAnsi="Palatino Linotype"/>
          <w:b/>
          <w:szCs w:val="22"/>
        </w:rPr>
        <w:t>Reglamento Interior del Instituto de Transparencia, Acceso a la Información Pública y Protección de Datos Personales del Estado de México y Municipios.</w:t>
      </w:r>
    </w:p>
    <w:p w14:paraId="1C841486" w14:textId="77777777" w:rsidR="00E35ABB" w:rsidRPr="00CA7A41" w:rsidRDefault="00E35ABB" w:rsidP="00E35ABB">
      <w:pPr>
        <w:keepNext/>
        <w:keepLines/>
        <w:spacing w:line="360" w:lineRule="auto"/>
        <w:outlineLvl w:val="1"/>
        <w:rPr>
          <w:rFonts w:ascii="Palatino Linotype" w:eastAsia="MS Gothic" w:hAnsi="Palatino Linotype"/>
          <w:b/>
          <w:sz w:val="22"/>
          <w:szCs w:val="22"/>
          <w:lang w:eastAsia="en-US"/>
        </w:rPr>
      </w:pPr>
      <w:bookmarkStart w:id="14" w:name="_Toc491791304"/>
      <w:bookmarkStart w:id="15" w:name="_Toc528153790"/>
      <w:bookmarkStart w:id="16" w:name="_Toc94119613"/>
      <w:r w:rsidRPr="00CA7A41">
        <w:rPr>
          <w:rFonts w:ascii="Palatino Linotype" w:eastAsia="MS Gothic" w:hAnsi="Palatino Linotype"/>
          <w:b/>
          <w:sz w:val="22"/>
          <w:szCs w:val="22"/>
          <w:lang w:eastAsia="en-US"/>
        </w:rPr>
        <w:t>SEGUNDO. De la oportunidad y procedencia.</w:t>
      </w:r>
      <w:bookmarkEnd w:id="14"/>
      <w:bookmarkEnd w:id="15"/>
      <w:bookmarkEnd w:id="16"/>
    </w:p>
    <w:p w14:paraId="1C841487" w14:textId="77777777" w:rsidR="00E35ABB" w:rsidRPr="00CA7A41" w:rsidRDefault="00E35ABB" w:rsidP="00E35ABB">
      <w:pPr>
        <w:keepNext/>
        <w:keepLines/>
        <w:spacing w:line="360" w:lineRule="auto"/>
        <w:outlineLvl w:val="1"/>
        <w:rPr>
          <w:rFonts w:ascii="Palatino Linotype" w:eastAsia="MS Gothic" w:hAnsi="Palatino Linotype"/>
          <w:b/>
          <w:sz w:val="22"/>
          <w:szCs w:val="22"/>
          <w:lang w:eastAsia="en-US"/>
        </w:rPr>
      </w:pPr>
    </w:p>
    <w:p w14:paraId="1C841488" w14:textId="77777777" w:rsidR="00E35ABB" w:rsidRPr="00CA7A41" w:rsidRDefault="00E35ABB" w:rsidP="00E35ABB">
      <w:pPr>
        <w:numPr>
          <w:ilvl w:val="0"/>
          <w:numId w:val="1"/>
        </w:numPr>
        <w:spacing w:line="360" w:lineRule="auto"/>
        <w:ind w:left="0" w:right="48" w:firstLine="0"/>
        <w:contextualSpacing/>
        <w:jc w:val="both"/>
        <w:rPr>
          <w:rFonts w:ascii="Palatino Linotype" w:eastAsiaTheme="minorEastAsia" w:hAnsi="Palatino Linotype"/>
          <w:sz w:val="22"/>
          <w:szCs w:val="22"/>
          <w:lang w:val="es-ES_tradnl" w:eastAsia="es-ES"/>
        </w:rPr>
      </w:pPr>
      <w:r w:rsidRPr="00CA7A41">
        <w:rPr>
          <w:rFonts w:ascii="Palatino Linotype" w:eastAsia="Calibri" w:hAnsi="Palatino Linotype" w:cs="Arial"/>
          <w:sz w:val="22"/>
          <w:szCs w:val="22"/>
          <w:lang w:val="es-ES_tradnl" w:eastAsia="es-ES"/>
        </w:rPr>
        <w:t xml:space="preserve">El medio de impugnación fue presentado a través del </w:t>
      </w:r>
      <w:r w:rsidRPr="00CA7A41">
        <w:rPr>
          <w:rFonts w:ascii="Palatino Linotype" w:eastAsia="Calibri" w:hAnsi="Palatino Linotype" w:cs="Arial"/>
          <w:b/>
          <w:sz w:val="22"/>
          <w:szCs w:val="22"/>
          <w:lang w:val="es-ES_tradnl" w:eastAsia="es-ES"/>
        </w:rPr>
        <w:t>SAIMEX,</w:t>
      </w:r>
      <w:r w:rsidRPr="00CA7A41">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para el caso en particular es de señalar que el </w:t>
      </w:r>
      <w:r w:rsidRPr="00CA7A41">
        <w:rPr>
          <w:rFonts w:ascii="Palatino Linotype" w:eastAsia="Calibri" w:hAnsi="Palatino Linotype" w:cs="Arial"/>
          <w:b/>
          <w:sz w:val="22"/>
          <w:szCs w:val="22"/>
          <w:lang w:val="es-ES_tradnl" w:eastAsia="es-ES"/>
        </w:rPr>
        <w:t>SUJETO OBLIGADO</w:t>
      </w:r>
      <w:r w:rsidRPr="00CA7A41">
        <w:rPr>
          <w:rFonts w:ascii="Palatino Linotype" w:eastAsia="Calibri" w:hAnsi="Palatino Linotype" w:cs="Arial"/>
          <w:sz w:val="22"/>
          <w:szCs w:val="22"/>
          <w:lang w:val="es-ES_tradnl" w:eastAsia="es-ES"/>
        </w:rPr>
        <w:t xml:space="preserve"> entregó respuesta el día </w:t>
      </w:r>
      <w:r w:rsidR="001D11CC" w:rsidRPr="00CA7A41">
        <w:rPr>
          <w:rFonts w:ascii="Palatino Linotype" w:eastAsia="Calibri" w:hAnsi="Palatino Linotype" w:cs="Arial"/>
          <w:b/>
          <w:sz w:val="22"/>
          <w:szCs w:val="22"/>
          <w:lang w:val="es-ES_tradnl" w:eastAsia="es-ES"/>
        </w:rPr>
        <w:t>veintidós</w:t>
      </w:r>
      <w:r w:rsidRPr="00CA7A41">
        <w:rPr>
          <w:rFonts w:ascii="Palatino Linotype" w:eastAsia="Calibri" w:hAnsi="Palatino Linotype" w:cs="Arial"/>
          <w:b/>
          <w:sz w:val="22"/>
          <w:szCs w:val="22"/>
          <w:lang w:val="es-ES_tradnl" w:eastAsia="es-ES"/>
        </w:rPr>
        <w:t xml:space="preserve"> de noviembre de dos mil veinticuatro</w:t>
      </w:r>
      <w:r w:rsidRPr="00CA7A41">
        <w:rPr>
          <w:rFonts w:ascii="Palatino Linotype" w:eastAsia="Calibri" w:hAnsi="Palatino Linotype" w:cs="Arial"/>
          <w:sz w:val="22"/>
          <w:szCs w:val="22"/>
          <w:lang w:val="es-ES_tradnl" w:eastAsia="es-ES"/>
        </w:rPr>
        <w:t xml:space="preserve">, </w:t>
      </w:r>
      <w:r w:rsidRPr="00CA7A41">
        <w:rPr>
          <w:rFonts w:ascii="Palatino Linotype" w:eastAsiaTheme="minorEastAsia" w:hAnsi="Palatino Linotype" w:cs="Arial"/>
          <w:sz w:val="22"/>
          <w:szCs w:val="22"/>
          <w:lang w:val="es-ES_tradnl" w:eastAsia="es-ES"/>
        </w:rPr>
        <w:t xml:space="preserve">de tal forma que el plazo para interponer el recurso transcurrió del </w:t>
      </w:r>
      <w:r w:rsidR="001D11CC" w:rsidRPr="00CA7A41">
        <w:rPr>
          <w:rFonts w:ascii="Palatino Linotype" w:eastAsiaTheme="minorEastAsia" w:hAnsi="Palatino Linotype" w:cs="Arial"/>
          <w:b/>
          <w:sz w:val="22"/>
          <w:szCs w:val="22"/>
          <w:lang w:val="es-ES_tradnl" w:eastAsia="es-ES"/>
        </w:rPr>
        <w:t>veinticinco de noviembre al trece</w:t>
      </w:r>
      <w:r w:rsidRPr="00CA7A41">
        <w:rPr>
          <w:rFonts w:ascii="Palatino Linotype" w:eastAsiaTheme="minorEastAsia" w:hAnsi="Palatino Linotype" w:cs="Arial"/>
          <w:b/>
          <w:sz w:val="22"/>
          <w:szCs w:val="22"/>
          <w:lang w:val="es-ES_tradnl" w:eastAsia="es-ES"/>
        </w:rPr>
        <w:t xml:space="preserve"> de diciembre de dos mil veinticuatro</w:t>
      </w:r>
      <w:r w:rsidRPr="00CA7A41">
        <w:rPr>
          <w:rFonts w:ascii="Palatino Linotype" w:eastAsiaTheme="minorEastAsia" w:hAnsi="Palatino Linotype" w:cs="Arial"/>
          <w:sz w:val="22"/>
          <w:szCs w:val="22"/>
          <w:lang w:val="es-ES_tradnl" w:eastAsia="es-ES"/>
        </w:rPr>
        <w:t xml:space="preserve">, de acuerdo al calendario oficial del Instituto de Transparencia del Estado de México y Municipios; en consecuencia, si el particular presentó su inconformidad el día </w:t>
      </w:r>
      <w:r w:rsidR="001D11CC" w:rsidRPr="00CA7A41">
        <w:rPr>
          <w:rFonts w:ascii="Palatino Linotype" w:eastAsiaTheme="minorEastAsia" w:hAnsi="Palatino Linotype" w:cs="Arial"/>
          <w:b/>
          <w:sz w:val="22"/>
          <w:szCs w:val="22"/>
          <w:lang w:val="es-ES_tradnl" w:eastAsia="es-ES"/>
        </w:rPr>
        <w:t>treinta</w:t>
      </w:r>
      <w:r w:rsidRPr="00CA7A41">
        <w:rPr>
          <w:rFonts w:ascii="Palatino Linotype" w:eastAsiaTheme="minorEastAsia" w:hAnsi="Palatino Linotype" w:cs="Arial"/>
          <w:b/>
          <w:sz w:val="22"/>
          <w:szCs w:val="22"/>
          <w:lang w:val="es-ES_tradnl" w:eastAsia="es-ES"/>
        </w:rPr>
        <w:t xml:space="preserve"> de noviembre de dos mil veinticuatro</w:t>
      </w:r>
      <w:r w:rsidRPr="00CA7A41">
        <w:rPr>
          <w:rFonts w:ascii="Palatino Linotype" w:eastAsiaTheme="minorEastAsia" w:hAnsi="Palatino Linotype" w:cs="Arial"/>
          <w:sz w:val="22"/>
          <w:szCs w:val="22"/>
          <w:lang w:val="es-ES_tradnl" w:eastAsia="es-ES"/>
        </w:rPr>
        <w:t xml:space="preserve">, se encuentra dentro de los márgenes </w:t>
      </w:r>
      <w:r w:rsidRPr="00CA7A41">
        <w:rPr>
          <w:rFonts w:ascii="Palatino Linotype" w:eastAsiaTheme="minorEastAsia" w:hAnsi="Palatino Linotype" w:cs="Arial"/>
          <w:sz w:val="22"/>
          <w:szCs w:val="22"/>
          <w:lang w:val="es-ES_tradnl" w:eastAsia="es-ES"/>
        </w:rPr>
        <w:lastRenderedPageBreak/>
        <w:t xml:space="preserve">temporales previstos en el artículo 178 de la </w:t>
      </w:r>
      <w:r w:rsidRPr="00CA7A41">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Pr="00CA7A41">
        <w:rPr>
          <w:rFonts w:ascii="Palatino Linotype" w:eastAsiaTheme="minorEastAsia" w:hAnsi="Palatino Linotype" w:cs="Arial"/>
          <w:sz w:val="22"/>
          <w:szCs w:val="22"/>
          <w:lang w:val="es-ES_tradnl" w:eastAsia="es-ES"/>
        </w:rPr>
        <w:t xml:space="preserve">vigente. </w:t>
      </w:r>
    </w:p>
    <w:p w14:paraId="1C841489" w14:textId="77777777" w:rsidR="00E35ABB" w:rsidRPr="00CA7A41" w:rsidRDefault="00E35ABB" w:rsidP="00E35ABB">
      <w:pPr>
        <w:pStyle w:val="Prrafodelista"/>
        <w:rPr>
          <w:rFonts w:ascii="Palatino Linotype" w:eastAsia="Calibri" w:hAnsi="Palatino Linotype" w:cs="Arial"/>
          <w:szCs w:val="22"/>
          <w:lang w:val="es-ES_tradnl" w:eastAsia="es-ES"/>
        </w:rPr>
      </w:pPr>
    </w:p>
    <w:p w14:paraId="1C84148A" w14:textId="77777777" w:rsidR="00E35ABB" w:rsidRPr="00CA7A41" w:rsidRDefault="00E35ABB" w:rsidP="00E35ABB">
      <w:pPr>
        <w:numPr>
          <w:ilvl w:val="0"/>
          <w:numId w:val="1"/>
        </w:numPr>
        <w:spacing w:line="360" w:lineRule="auto"/>
        <w:ind w:left="0" w:right="49" w:firstLine="0"/>
        <w:contextualSpacing/>
        <w:jc w:val="both"/>
        <w:rPr>
          <w:rFonts w:ascii="Palatino Linotype" w:eastAsia="Calibri" w:hAnsi="Palatino Linotype" w:cs="Arial"/>
          <w:b/>
          <w:sz w:val="22"/>
          <w:szCs w:val="22"/>
        </w:rPr>
      </w:pPr>
      <w:r w:rsidRPr="00CA7A41">
        <w:rPr>
          <w:rFonts w:ascii="Palatino Linotype" w:eastAsia="Calibri" w:hAnsi="Palatino Linotype" w:cs="Arial"/>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C84148B" w14:textId="77777777" w:rsidR="00E35ABB" w:rsidRPr="00CA7A41" w:rsidRDefault="00E35ABB" w:rsidP="00E35ABB">
      <w:pPr>
        <w:spacing w:line="360" w:lineRule="auto"/>
        <w:ind w:right="49"/>
        <w:contextualSpacing/>
        <w:jc w:val="both"/>
        <w:rPr>
          <w:rFonts w:ascii="Palatino Linotype" w:eastAsia="Calibri" w:hAnsi="Palatino Linotype" w:cs="Arial"/>
          <w:b/>
          <w:sz w:val="22"/>
          <w:szCs w:val="22"/>
        </w:rPr>
      </w:pPr>
    </w:p>
    <w:p w14:paraId="1C84148C" w14:textId="77777777" w:rsidR="00E35ABB" w:rsidRPr="00CA7A41" w:rsidRDefault="00E35ABB" w:rsidP="00E35ABB">
      <w:pPr>
        <w:keepNext/>
        <w:keepLines/>
        <w:spacing w:line="360" w:lineRule="auto"/>
        <w:ind w:right="48"/>
        <w:outlineLvl w:val="0"/>
        <w:rPr>
          <w:rFonts w:ascii="Palatino Linotype" w:eastAsia="MS Gothic" w:hAnsi="Palatino Linotype"/>
          <w:b/>
          <w:sz w:val="22"/>
          <w:szCs w:val="22"/>
        </w:rPr>
      </w:pPr>
      <w:bookmarkStart w:id="17" w:name="_Toc65713731"/>
      <w:bookmarkStart w:id="18" w:name="_Toc94119614"/>
      <w:r w:rsidRPr="00CA7A41">
        <w:rPr>
          <w:rFonts w:ascii="Palatino Linotype" w:eastAsia="MS Mincho" w:hAnsi="Palatino Linotype" w:cstheme="majorBidi"/>
          <w:b/>
          <w:sz w:val="22"/>
          <w:szCs w:val="22"/>
          <w:lang w:val="es-ES_tradnl" w:eastAsia="es-ES"/>
        </w:rPr>
        <w:t>TERCERO. Planteamiento de la Litis</w:t>
      </w:r>
      <w:r w:rsidRPr="00CA7A41">
        <w:rPr>
          <w:rFonts w:ascii="Palatino Linotype" w:eastAsia="MS Gothic" w:hAnsi="Palatino Linotype"/>
          <w:b/>
          <w:sz w:val="22"/>
          <w:szCs w:val="22"/>
        </w:rPr>
        <w:t>.</w:t>
      </w:r>
      <w:bookmarkEnd w:id="17"/>
      <w:bookmarkEnd w:id="18"/>
    </w:p>
    <w:p w14:paraId="1C84148D" w14:textId="77777777" w:rsidR="00E35ABB" w:rsidRPr="00CA7A41" w:rsidRDefault="00E35ABB" w:rsidP="00E35ABB">
      <w:pPr>
        <w:keepNext/>
        <w:keepLines/>
        <w:spacing w:line="360" w:lineRule="auto"/>
        <w:ind w:right="48"/>
        <w:outlineLvl w:val="0"/>
        <w:rPr>
          <w:rFonts w:ascii="Palatino Linotype" w:eastAsia="MS Gothic" w:hAnsi="Palatino Linotype"/>
          <w:b/>
          <w:sz w:val="22"/>
          <w:szCs w:val="22"/>
        </w:rPr>
      </w:pPr>
    </w:p>
    <w:p w14:paraId="1C84148E" w14:textId="77777777" w:rsidR="00E35ABB" w:rsidRPr="00CA7A41" w:rsidRDefault="00E35ABB" w:rsidP="00E35ABB">
      <w:pPr>
        <w:pStyle w:val="Prrafodelista"/>
        <w:numPr>
          <w:ilvl w:val="0"/>
          <w:numId w:val="1"/>
        </w:numPr>
        <w:spacing w:line="360" w:lineRule="auto"/>
        <w:ind w:left="0" w:right="48" w:firstLine="0"/>
        <w:jc w:val="both"/>
        <w:rPr>
          <w:rFonts w:ascii="Palatino Linotype" w:eastAsia="MS Mincho" w:hAnsi="Palatino Linotype" w:cs="Arial"/>
          <w:i/>
          <w:szCs w:val="22"/>
          <w:lang w:val="es-ES_tradnl" w:eastAsia="es-ES"/>
        </w:rPr>
      </w:pPr>
      <w:r w:rsidRPr="00CA7A41">
        <w:rPr>
          <w:rFonts w:ascii="Palatino Linotype" w:hAnsi="Palatino Linotype" w:cs="Arial"/>
          <w:color w:val="000000" w:themeColor="text1"/>
          <w:szCs w:val="22"/>
        </w:rPr>
        <w:t>El particular solicitó:</w:t>
      </w:r>
    </w:p>
    <w:p w14:paraId="1C84148F" w14:textId="77777777" w:rsidR="00610270" w:rsidRPr="00CA7A41" w:rsidRDefault="00610270" w:rsidP="00610270">
      <w:pPr>
        <w:pStyle w:val="Prrafodelista"/>
        <w:spacing w:line="360" w:lineRule="auto"/>
        <w:ind w:right="48"/>
        <w:jc w:val="both"/>
        <w:rPr>
          <w:rFonts w:ascii="Palatino Linotype" w:eastAsia="MS Mincho" w:hAnsi="Palatino Linotype" w:cs="Arial"/>
          <w:szCs w:val="22"/>
          <w:lang w:val="es-ES_tradnl" w:eastAsia="es-ES"/>
        </w:rPr>
      </w:pPr>
    </w:p>
    <w:p w14:paraId="1C841490" w14:textId="77777777" w:rsidR="001D11CC" w:rsidRPr="00CA7A41" w:rsidRDefault="00610270" w:rsidP="00610270">
      <w:pPr>
        <w:pStyle w:val="Prrafodelista"/>
        <w:spacing w:line="360" w:lineRule="auto"/>
        <w:ind w:right="48"/>
        <w:jc w:val="both"/>
        <w:rPr>
          <w:rFonts w:ascii="Palatino Linotype" w:eastAsia="MS Mincho" w:hAnsi="Palatino Linotype" w:cs="Arial"/>
          <w:i/>
          <w:szCs w:val="22"/>
          <w:lang w:val="es-ES_tradnl" w:eastAsia="es-ES"/>
        </w:rPr>
      </w:pPr>
      <w:r w:rsidRPr="00CA7A41">
        <w:rPr>
          <w:rFonts w:ascii="Palatino Linotype" w:hAnsi="Palatino Linotype"/>
          <w:color w:val="000000"/>
          <w:szCs w:val="22"/>
        </w:rPr>
        <w:t xml:space="preserve">1.- Presupuesto asignado a presidencia municipal debidamente desglosado por capitulo, de los ejercicios fiscales 2022, 2023 y 2024 </w:t>
      </w:r>
    </w:p>
    <w:p w14:paraId="1C841491" w14:textId="77777777" w:rsidR="001D11CC" w:rsidRPr="00CA7A41" w:rsidRDefault="00610270" w:rsidP="00610270">
      <w:pPr>
        <w:pStyle w:val="Prrafodelista"/>
        <w:spacing w:line="360" w:lineRule="auto"/>
        <w:ind w:right="48"/>
        <w:jc w:val="both"/>
        <w:rPr>
          <w:rFonts w:ascii="Palatino Linotype" w:eastAsia="MS Mincho" w:hAnsi="Palatino Linotype" w:cs="Arial"/>
          <w:i/>
          <w:szCs w:val="22"/>
          <w:lang w:val="es-ES_tradnl" w:eastAsia="es-ES"/>
        </w:rPr>
      </w:pPr>
      <w:r w:rsidRPr="00CA7A41">
        <w:rPr>
          <w:rFonts w:ascii="Palatino Linotype" w:hAnsi="Palatino Linotype"/>
          <w:color w:val="000000"/>
          <w:szCs w:val="22"/>
        </w:rPr>
        <w:t xml:space="preserve">2.- Presupuesto asignado a cada uno de los síndicos municipales debidamente desglosado por capitulo, de los ejercicios fiscales 2022, 2023 y 2024. </w:t>
      </w:r>
    </w:p>
    <w:p w14:paraId="1C841492" w14:textId="77777777" w:rsidR="001D11CC" w:rsidRPr="00CA7A41" w:rsidRDefault="00610270" w:rsidP="00610270">
      <w:pPr>
        <w:pStyle w:val="Prrafodelista"/>
        <w:spacing w:line="360" w:lineRule="auto"/>
        <w:ind w:right="48"/>
        <w:jc w:val="both"/>
        <w:rPr>
          <w:rFonts w:ascii="Palatino Linotype" w:eastAsia="MS Mincho" w:hAnsi="Palatino Linotype" w:cs="Arial"/>
          <w:i/>
          <w:szCs w:val="22"/>
          <w:lang w:val="es-ES_tradnl" w:eastAsia="es-ES"/>
        </w:rPr>
      </w:pPr>
      <w:r w:rsidRPr="00CA7A41">
        <w:rPr>
          <w:rFonts w:ascii="Palatino Linotype" w:hAnsi="Palatino Linotype"/>
          <w:color w:val="000000"/>
          <w:szCs w:val="22"/>
        </w:rPr>
        <w:t xml:space="preserve">3.- Presupuesto asignado a cada regidor debidamente desglosado por capitulo, de los ejercicios fiscales 2022, 2023 y 2024. </w:t>
      </w:r>
    </w:p>
    <w:p w14:paraId="1C841493" w14:textId="77777777" w:rsidR="001D11CC" w:rsidRPr="00CA7A41" w:rsidRDefault="00610270" w:rsidP="00610270">
      <w:pPr>
        <w:pStyle w:val="Prrafodelista"/>
        <w:spacing w:line="360" w:lineRule="auto"/>
        <w:ind w:right="48"/>
        <w:jc w:val="both"/>
        <w:rPr>
          <w:rFonts w:ascii="Palatino Linotype" w:eastAsia="MS Mincho" w:hAnsi="Palatino Linotype" w:cs="Arial"/>
          <w:i/>
          <w:szCs w:val="22"/>
          <w:lang w:val="es-ES_tradnl" w:eastAsia="es-ES"/>
        </w:rPr>
      </w:pPr>
      <w:r w:rsidRPr="00CA7A41">
        <w:rPr>
          <w:rFonts w:ascii="Palatino Linotype" w:hAnsi="Palatino Linotype"/>
          <w:color w:val="000000"/>
          <w:szCs w:val="22"/>
        </w:rPr>
        <w:t xml:space="preserve">4.- Tabulador de sueldo asignado a cada uno de los titulares de cada una de las dependencias que integran la administración </w:t>
      </w:r>
      <w:proofErr w:type="spellStart"/>
      <w:r w:rsidRPr="00CA7A41">
        <w:rPr>
          <w:rFonts w:ascii="Palatino Linotype" w:hAnsi="Palatino Linotype"/>
          <w:color w:val="000000"/>
          <w:szCs w:val="22"/>
        </w:rPr>
        <w:t>publica</w:t>
      </w:r>
      <w:proofErr w:type="spellEnd"/>
      <w:r w:rsidRPr="00CA7A41">
        <w:rPr>
          <w:rFonts w:ascii="Palatino Linotype" w:hAnsi="Palatino Linotype"/>
          <w:color w:val="000000"/>
          <w:szCs w:val="22"/>
        </w:rPr>
        <w:t xml:space="preserve"> de Naucalpan, debidamente desglosado por capitulo, de los ejercicios fiscales 2022, 2023 y 2024. </w:t>
      </w:r>
    </w:p>
    <w:p w14:paraId="1C841494" w14:textId="77777777" w:rsidR="001D11CC" w:rsidRPr="00CA7A41" w:rsidRDefault="00610270" w:rsidP="00610270">
      <w:pPr>
        <w:pStyle w:val="Prrafodelista"/>
        <w:spacing w:line="360" w:lineRule="auto"/>
        <w:ind w:right="48"/>
        <w:jc w:val="both"/>
        <w:rPr>
          <w:rFonts w:ascii="Palatino Linotype" w:eastAsia="MS Mincho" w:hAnsi="Palatino Linotype" w:cs="Arial"/>
          <w:i/>
          <w:szCs w:val="22"/>
          <w:lang w:val="es-ES_tradnl" w:eastAsia="es-ES"/>
        </w:rPr>
      </w:pPr>
      <w:r w:rsidRPr="00CA7A41">
        <w:rPr>
          <w:rFonts w:ascii="Palatino Linotype" w:hAnsi="Palatino Linotype"/>
          <w:color w:val="000000"/>
          <w:szCs w:val="22"/>
        </w:rPr>
        <w:t>5.- Tabuladores de sueldo asignado a cada uno de los subdirectores y jefe de departamento debidamente desglosado por capitulo, de los ejercicios fiscales 2022, 2023 y 2024</w:t>
      </w:r>
      <w:r w:rsidR="001D11CC" w:rsidRPr="00CA7A41">
        <w:rPr>
          <w:rFonts w:ascii="Palatino Linotype" w:hAnsi="Palatino Linotype"/>
          <w:color w:val="000000"/>
          <w:szCs w:val="22"/>
        </w:rPr>
        <w:t>.</w:t>
      </w:r>
    </w:p>
    <w:p w14:paraId="1C841495" w14:textId="77777777" w:rsidR="001D11CC" w:rsidRPr="00CA7A41" w:rsidRDefault="001D11CC" w:rsidP="001D11CC">
      <w:pPr>
        <w:pStyle w:val="Prrafodelista"/>
        <w:spacing w:line="360" w:lineRule="auto"/>
        <w:ind w:right="48"/>
        <w:jc w:val="both"/>
        <w:rPr>
          <w:rFonts w:ascii="Palatino Linotype" w:eastAsia="MS Mincho" w:hAnsi="Palatino Linotype" w:cs="Arial"/>
          <w:i/>
          <w:szCs w:val="22"/>
          <w:lang w:val="es-ES_tradnl" w:eastAsia="es-ES"/>
        </w:rPr>
      </w:pPr>
    </w:p>
    <w:p w14:paraId="1C841496" w14:textId="77777777" w:rsidR="00E35ABB" w:rsidRPr="00CA7A41" w:rsidRDefault="00E35ABB" w:rsidP="00E35ABB">
      <w:pPr>
        <w:pStyle w:val="Prrafodelista"/>
        <w:numPr>
          <w:ilvl w:val="0"/>
          <w:numId w:val="1"/>
        </w:numPr>
        <w:spacing w:line="360" w:lineRule="auto"/>
        <w:ind w:left="0" w:right="48" w:firstLine="0"/>
        <w:jc w:val="both"/>
        <w:rPr>
          <w:rFonts w:ascii="Palatino Linotype" w:eastAsia="MS Mincho" w:hAnsi="Palatino Linotype" w:cs="Arial"/>
          <w:i/>
          <w:szCs w:val="22"/>
          <w:lang w:val="es-ES_tradnl" w:eastAsia="es-ES"/>
        </w:rPr>
      </w:pPr>
      <w:r w:rsidRPr="00CA7A41">
        <w:rPr>
          <w:rFonts w:ascii="Palatino Linotype" w:eastAsia="MS Gothic" w:hAnsi="Palatino Linotype"/>
          <w:szCs w:val="22"/>
        </w:rPr>
        <w:t>En respue</w:t>
      </w:r>
      <w:r w:rsidR="00610270" w:rsidRPr="00CA7A41">
        <w:rPr>
          <w:rFonts w:ascii="Palatino Linotype" w:eastAsia="MS Gothic" w:hAnsi="Palatino Linotype"/>
          <w:szCs w:val="22"/>
        </w:rPr>
        <w:t xml:space="preserve">sta, el Sujeto Obligado señaló su incompetencia para entregar la información y señaló que el Sujeto Obligado competente es el Ayuntamiento de Naucalpan. </w:t>
      </w:r>
      <w:r w:rsidR="00610270" w:rsidRPr="00CA7A41">
        <w:rPr>
          <w:rFonts w:ascii="Palatino Linotype" w:eastAsia="MS Gothic" w:hAnsi="Palatino Linotype"/>
          <w:szCs w:val="22"/>
        </w:rPr>
        <w:lastRenderedPageBreak/>
        <w:t xml:space="preserve">Posteriormente, el particular interpuso recurso de revisión en el que, señaló su inconformidad por la falta de entrega de información de los puntos 1, 2 y 3 de su solicitud. </w:t>
      </w:r>
    </w:p>
    <w:p w14:paraId="1C841497" w14:textId="77777777" w:rsidR="00E35ABB" w:rsidRPr="00CA7A41" w:rsidRDefault="00E35ABB" w:rsidP="00E35ABB">
      <w:pPr>
        <w:tabs>
          <w:tab w:val="left" w:pos="0"/>
        </w:tabs>
        <w:spacing w:line="360" w:lineRule="auto"/>
        <w:ind w:right="34"/>
        <w:jc w:val="both"/>
        <w:rPr>
          <w:rFonts w:ascii="Palatino Linotype" w:hAnsi="Palatino Linotype" w:cs="Arial"/>
          <w:i/>
          <w:sz w:val="22"/>
          <w:szCs w:val="22"/>
        </w:rPr>
      </w:pPr>
    </w:p>
    <w:p w14:paraId="1C841498" w14:textId="77777777" w:rsidR="00E35ABB" w:rsidRPr="00CA7A41" w:rsidRDefault="00E35ABB" w:rsidP="00E35ABB">
      <w:pPr>
        <w:pStyle w:val="Prrafodelista"/>
        <w:numPr>
          <w:ilvl w:val="0"/>
          <w:numId w:val="1"/>
        </w:numPr>
        <w:spacing w:line="360" w:lineRule="auto"/>
        <w:ind w:left="0" w:right="48" w:firstLine="0"/>
        <w:jc w:val="both"/>
        <w:rPr>
          <w:rFonts w:ascii="Palatino Linotype" w:eastAsia="MS Gothic" w:hAnsi="Palatino Linotype"/>
          <w:szCs w:val="22"/>
        </w:rPr>
      </w:pPr>
      <w:r w:rsidRPr="00CA7A41">
        <w:rPr>
          <w:rFonts w:ascii="Palatino Linotype" w:eastAsia="MS Gothic" w:hAnsi="Palatino Linotype"/>
          <w:szCs w:val="22"/>
        </w:rPr>
        <w:t xml:space="preserve">En consecuencia, la Litis a resolver en este recurso, se circunscribe a determinar si la respuesta colma con lo solicitado o si se actualiza la causal de procedencia prevista </w:t>
      </w:r>
      <w:r w:rsidR="00610270" w:rsidRPr="00CA7A41">
        <w:rPr>
          <w:rFonts w:ascii="Palatino Linotype" w:hAnsi="Palatino Linotype"/>
          <w:szCs w:val="22"/>
        </w:rPr>
        <w:t>en el artículo 179, fracción V</w:t>
      </w:r>
      <w:r w:rsidRPr="00CA7A41">
        <w:rPr>
          <w:rFonts w:ascii="Palatino Linotype" w:hAnsi="Palatino Linotype"/>
          <w:szCs w:val="22"/>
        </w:rPr>
        <w:t xml:space="preserve"> de la Ley de Transparencia y Acceso a la Información Pública del Estado de México y Municipios; que establece </w:t>
      </w:r>
      <w:r w:rsidR="00610270" w:rsidRPr="00CA7A41">
        <w:rPr>
          <w:rFonts w:ascii="Palatino Linotype" w:hAnsi="Palatino Linotype"/>
          <w:szCs w:val="22"/>
        </w:rPr>
        <w:t xml:space="preserve">la entrega de información incompleta. </w:t>
      </w:r>
      <w:r w:rsidRPr="00CA7A41">
        <w:rPr>
          <w:rFonts w:ascii="Palatino Linotype" w:hAnsi="Palatino Linotype"/>
          <w:szCs w:val="22"/>
        </w:rPr>
        <w:t xml:space="preserve"> </w:t>
      </w:r>
    </w:p>
    <w:p w14:paraId="1C841499" w14:textId="77777777" w:rsidR="00E35ABB" w:rsidRPr="00CA7A41" w:rsidRDefault="00E35ABB" w:rsidP="00E35ABB">
      <w:pPr>
        <w:pStyle w:val="Prrafodelista"/>
        <w:spacing w:line="360" w:lineRule="auto"/>
        <w:ind w:left="0" w:right="48"/>
        <w:jc w:val="both"/>
        <w:rPr>
          <w:rFonts w:ascii="Palatino Linotype" w:eastAsia="MS Gothic" w:hAnsi="Palatino Linotype"/>
          <w:szCs w:val="22"/>
        </w:rPr>
      </w:pPr>
    </w:p>
    <w:p w14:paraId="1C84149A" w14:textId="77777777" w:rsidR="00E35ABB" w:rsidRPr="00CA7A41" w:rsidRDefault="00E35ABB" w:rsidP="00E35ABB">
      <w:pPr>
        <w:pStyle w:val="Ttulo1"/>
        <w:spacing w:before="0" w:line="360" w:lineRule="auto"/>
        <w:rPr>
          <w:rFonts w:ascii="Palatino Linotype" w:eastAsia="MS Gothic" w:hAnsi="Palatino Linotype"/>
          <w:b/>
          <w:color w:val="auto"/>
          <w:sz w:val="22"/>
          <w:szCs w:val="22"/>
          <w:lang w:val="es-ES_tradnl"/>
        </w:rPr>
      </w:pPr>
      <w:bookmarkStart w:id="19" w:name="_Toc65713733"/>
      <w:bookmarkStart w:id="20" w:name="_Toc94119615"/>
      <w:r w:rsidRPr="00CA7A41">
        <w:rPr>
          <w:rFonts w:ascii="Palatino Linotype" w:eastAsia="MS Gothic" w:hAnsi="Palatino Linotype"/>
          <w:b/>
          <w:color w:val="auto"/>
          <w:sz w:val="22"/>
          <w:szCs w:val="22"/>
          <w:lang w:val="es-ES_tradnl"/>
        </w:rPr>
        <w:t>CUARTO. Del estudio y resolución del recurso de revisión.</w:t>
      </w:r>
      <w:bookmarkEnd w:id="19"/>
      <w:bookmarkEnd w:id="20"/>
    </w:p>
    <w:p w14:paraId="1C84149B" w14:textId="77777777" w:rsidR="00E35ABB" w:rsidRPr="00CA7A41" w:rsidRDefault="00E35ABB" w:rsidP="00E35ABB">
      <w:pPr>
        <w:spacing w:line="360" w:lineRule="auto"/>
        <w:ind w:right="49"/>
        <w:contextualSpacing/>
        <w:jc w:val="both"/>
        <w:rPr>
          <w:rFonts w:ascii="Palatino Linotype" w:eastAsiaTheme="minorEastAsia" w:hAnsi="Palatino Linotype"/>
          <w:sz w:val="22"/>
          <w:szCs w:val="22"/>
          <w:lang w:val="es-ES_tradnl" w:eastAsia="es-ES"/>
        </w:rPr>
      </w:pPr>
      <w:bookmarkStart w:id="21" w:name="_Toc80812777"/>
    </w:p>
    <w:p w14:paraId="1C84149C" w14:textId="77777777" w:rsidR="00E35ABB" w:rsidRPr="00CA7A41" w:rsidRDefault="00E35ABB" w:rsidP="00E35ABB">
      <w:pPr>
        <w:pStyle w:val="Ttulo1"/>
        <w:spacing w:before="0" w:line="360" w:lineRule="auto"/>
        <w:rPr>
          <w:rFonts w:ascii="Palatino Linotype" w:hAnsi="Palatino Linotype"/>
          <w:b/>
          <w:color w:val="auto"/>
          <w:sz w:val="22"/>
          <w:szCs w:val="22"/>
        </w:rPr>
      </w:pPr>
      <w:bookmarkStart w:id="22" w:name="_Toc83301641"/>
      <w:bookmarkStart w:id="23" w:name="_Toc94119617"/>
      <w:r w:rsidRPr="00CA7A41">
        <w:rPr>
          <w:rFonts w:ascii="Palatino Linotype" w:hAnsi="Palatino Linotype"/>
          <w:b/>
          <w:color w:val="auto"/>
          <w:sz w:val="22"/>
          <w:szCs w:val="22"/>
        </w:rPr>
        <w:t>De la información solicitada</w:t>
      </w:r>
      <w:bookmarkEnd w:id="21"/>
      <w:bookmarkEnd w:id="22"/>
      <w:r w:rsidRPr="00CA7A41">
        <w:rPr>
          <w:rFonts w:ascii="Palatino Linotype" w:hAnsi="Palatino Linotype"/>
          <w:b/>
          <w:color w:val="auto"/>
          <w:sz w:val="22"/>
          <w:szCs w:val="22"/>
        </w:rPr>
        <w:t xml:space="preserve"> y la respuesta del Sujeto Obligado</w:t>
      </w:r>
      <w:bookmarkEnd w:id="23"/>
    </w:p>
    <w:p w14:paraId="1C84149D" w14:textId="77777777" w:rsidR="00E35ABB" w:rsidRPr="00CA7A41" w:rsidRDefault="00E35ABB" w:rsidP="00E35ABB">
      <w:pPr>
        <w:rPr>
          <w:rFonts w:ascii="Palatino Linotype" w:hAnsi="Palatino Linotype"/>
          <w:sz w:val="22"/>
          <w:szCs w:val="22"/>
        </w:rPr>
      </w:pPr>
    </w:p>
    <w:p w14:paraId="1C84149E" w14:textId="77777777" w:rsidR="00E35ABB" w:rsidRPr="00CA7A41" w:rsidRDefault="00E35ABB" w:rsidP="00E35ABB">
      <w:pPr>
        <w:pStyle w:val="Prrafodelista"/>
        <w:numPr>
          <w:ilvl w:val="0"/>
          <w:numId w:val="1"/>
        </w:numPr>
        <w:spacing w:line="360" w:lineRule="auto"/>
        <w:ind w:left="0" w:firstLine="0"/>
        <w:jc w:val="both"/>
        <w:rPr>
          <w:rFonts w:ascii="Palatino Linotype" w:eastAsia="Calibri" w:hAnsi="Palatino Linotype" w:cs="Arial"/>
          <w:szCs w:val="22"/>
        </w:rPr>
      </w:pPr>
      <w:r w:rsidRPr="00CA7A41">
        <w:rPr>
          <w:rFonts w:ascii="Palatino Linotype" w:eastAsia="Calibri" w:hAnsi="Palatino Linotype" w:cs="Arial"/>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1C84149F" w14:textId="77777777" w:rsidR="00E35ABB" w:rsidRPr="00CA7A41" w:rsidRDefault="00E35ABB" w:rsidP="00E35ABB">
      <w:pPr>
        <w:pStyle w:val="Prrafodelista"/>
        <w:spacing w:line="360" w:lineRule="auto"/>
        <w:ind w:left="0"/>
        <w:jc w:val="both"/>
        <w:rPr>
          <w:rFonts w:ascii="Palatino Linotype" w:eastAsia="Calibri" w:hAnsi="Palatino Linotype" w:cs="Arial"/>
          <w:szCs w:val="22"/>
        </w:rPr>
      </w:pPr>
    </w:p>
    <w:p w14:paraId="1C8414A0" w14:textId="77777777" w:rsidR="00E35ABB" w:rsidRPr="00CA7A41" w:rsidRDefault="00E35ABB" w:rsidP="00610270">
      <w:pPr>
        <w:pStyle w:val="Prrafodelista"/>
        <w:numPr>
          <w:ilvl w:val="0"/>
          <w:numId w:val="1"/>
        </w:numPr>
        <w:spacing w:line="360" w:lineRule="auto"/>
        <w:ind w:left="0" w:right="49" w:firstLine="0"/>
        <w:jc w:val="both"/>
        <w:rPr>
          <w:rFonts w:ascii="Palatino Linotype" w:hAnsi="Palatino Linotype"/>
          <w:szCs w:val="22"/>
          <w:lang w:val="es-ES"/>
        </w:rPr>
      </w:pPr>
      <w:r w:rsidRPr="00CA7A41">
        <w:rPr>
          <w:rFonts w:ascii="Palatino Linotype" w:eastAsia="Calibri" w:hAnsi="Palatino Linotype" w:cs="Arial"/>
          <w:szCs w:val="22"/>
        </w:rPr>
        <w:t xml:space="preserve">Primeramente, debemos recapitular que el particular </w:t>
      </w:r>
      <w:r w:rsidR="00610270" w:rsidRPr="00CA7A41">
        <w:rPr>
          <w:rFonts w:ascii="Palatino Linotype" w:hAnsi="Palatino Linotype" w:cs="Arial"/>
          <w:color w:val="000000" w:themeColor="text1"/>
          <w:szCs w:val="22"/>
        </w:rPr>
        <w:t>solicitó:</w:t>
      </w:r>
    </w:p>
    <w:p w14:paraId="1C8414A1" w14:textId="77777777" w:rsidR="00610270" w:rsidRPr="00CA7A41" w:rsidRDefault="00610270" w:rsidP="00610270">
      <w:pPr>
        <w:pStyle w:val="Prrafodelista"/>
        <w:rPr>
          <w:rFonts w:ascii="Palatino Linotype" w:hAnsi="Palatino Linotype"/>
          <w:szCs w:val="22"/>
          <w:lang w:val="es-ES"/>
        </w:rPr>
      </w:pPr>
    </w:p>
    <w:p w14:paraId="1C8414A2" w14:textId="77777777" w:rsidR="00610270" w:rsidRPr="00CA7A41" w:rsidRDefault="00610270" w:rsidP="00610270">
      <w:pPr>
        <w:pStyle w:val="Prrafodelista"/>
        <w:spacing w:line="360" w:lineRule="auto"/>
        <w:ind w:left="851" w:right="822"/>
        <w:jc w:val="both"/>
        <w:rPr>
          <w:rFonts w:ascii="Palatino Linotype" w:eastAsia="MS Mincho" w:hAnsi="Palatino Linotype" w:cs="Arial"/>
          <w:i/>
          <w:szCs w:val="22"/>
          <w:lang w:val="es-ES_tradnl" w:eastAsia="es-ES"/>
        </w:rPr>
      </w:pPr>
      <w:r w:rsidRPr="00CA7A41">
        <w:rPr>
          <w:rFonts w:ascii="Palatino Linotype" w:hAnsi="Palatino Linotype"/>
          <w:color w:val="000000"/>
          <w:szCs w:val="22"/>
        </w:rPr>
        <w:t xml:space="preserve">1.- Presupuesto asignado a presidencia municipal debidamente desglosado por capitulo, de los ejercicios fiscales 2022, 2023 y 2024 </w:t>
      </w:r>
    </w:p>
    <w:p w14:paraId="1C8414A3" w14:textId="77777777" w:rsidR="00610270" w:rsidRPr="00CA7A41" w:rsidRDefault="00610270" w:rsidP="00610270">
      <w:pPr>
        <w:pStyle w:val="Prrafodelista"/>
        <w:spacing w:line="360" w:lineRule="auto"/>
        <w:ind w:left="851" w:right="822"/>
        <w:jc w:val="both"/>
        <w:rPr>
          <w:rFonts w:ascii="Palatino Linotype" w:eastAsia="MS Mincho" w:hAnsi="Palatino Linotype" w:cs="Arial"/>
          <w:i/>
          <w:szCs w:val="22"/>
          <w:lang w:val="es-ES_tradnl" w:eastAsia="es-ES"/>
        </w:rPr>
      </w:pPr>
      <w:r w:rsidRPr="00CA7A41">
        <w:rPr>
          <w:rFonts w:ascii="Palatino Linotype" w:hAnsi="Palatino Linotype"/>
          <w:color w:val="000000"/>
          <w:szCs w:val="22"/>
        </w:rPr>
        <w:t xml:space="preserve">2.- Presupuesto asignado a cada uno de los síndicos municipales debidamente desglosado por capitulo, de los ejercicios fiscales 2022, 2023 y 2024. </w:t>
      </w:r>
    </w:p>
    <w:p w14:paraId="1C8414A4" w14:textId="77777777" w:rsidR="00610270" w:rsidRPr="00CA7A41" w:rsidRDefault="00610270" w:rsidP="00610270">
      <w:pPr>
        <w:pStyle w:val="Prrafodelista"/>
        <w:spacing w:line="360" w:lineRule="auto"/>
        <w:ind w:left="851" w:right="822"/>
        <w:jc w:val="both"/>
        <w:rPr>
          <w:rFonts w:ascii="Palatino Linotype" w:eastAsia="MS Mincho" w:hAnsi="Palatino Linotype" w:cs="Arial"/>
          <w:i/>
          <w:szCs w:val="22"/>
          <w:lang w:val="es-ES_tradnl" w:eastAsia="es-ES"/>
        </w:rPr>
      </w:pPr>
      <w:r w:rsidRPr="00CA7A41">
        <w:rPr>
          <w:rFonts w:ascii="Palatino Linotype" w:hAnsi="Palatino Linotype"/>
          <w:color w:val="000000"/>
          <w:szCs w:val="22"/>
        </w:rPr>
        <w:lastRenderedPageBreak/>
        <w:t xml:space="preserve">3.- Presupuesto asignado a cada regidor debidamente desglosado por capitulo, de los ejercicios fiscales 2022, 2023 y 2024. </w:t>
      </w:r>
    </w:p>
    <w:p w14:paraId="1C8414A5" w14:textId="77777777" w:rsidR="00610270" w:rsidRPr="00CA7A41" w:rsidRDefault="00610270" w:rsidP="00610270">
      <w:pPr>
        <w:spacing w:line="360" w:lineRule="auto"/>
        <w:ind w:left="851" w:right="822"/>
        <w:jc w:val="both"/>
        <w:rPr>
          <w:rFonts w:ascii="Palatino Linotype" w:eastAsia="MS Mincho" w:hAnsi="Palatino Linotype" w:cs="Arial"/>
          <w:i/>
          <w:sz w:val="22"/>
          <w:szCs w:val="22"/>
          <w:lang w:val="es-ES_tradnl" w:eastAsia="es-ES"/>
        </w:rPr>
      </w:pPr>
      <w:r w:rsidRPr="00CA7A41">
        <w:rPr>
          <w:rFonts w:ascii="Palatino Linotype" w:hAnsi="Palatino Linotype"/>
          <w:color w:val="000000"/>
          <w:sz w:val="22"/>
          <w:szCs w:val="22"/>
        </w:rPr>
        <w:t xml:space="preserve">4.- Tabulador de sueldo asignado a cada uno de los titulares de cada una de las dependencias que integran la administración </w:t>
      </w:r>
      <w:proofErr w:type="spellStart"/>
      <w:r w:rsidRPr="00CA7A41">
        <w:rPr>
          <w:rFonts w:ascii="Palatino Linotype" w:hAnsi="Palatino Linotype"/>
          <w:color w:val="000000"/>
          <w:sz w:val="22"/>
          <w:szCs w:val="22"/>
        </w:rPr>
        <w:t>publica</w:t>
      </w:r>
      <w:proofErr w:type="spellEnd"/>
      <w:r w:rsidRPr="00CA7A41">
        <w:rPr>
          <w:rFonts w:ascii="Palatino Linotype" w:hAnsi="Palatino Linotype"/>
          <w:color w:val="000000"/>
          <w:sz w:val="22"/>
          <w:szCs w:val="22"/>
        </w:rPr>
        <w:t xml:space="preserve"> de Naucalpan, debidamente desglosado por capitulo, de los ejercicios fiscales 2022, 2023 y 2024. </w:t>
      </w:r>
    </w:p>
    <w:p w14:paraId="1C8414A6" w14:textId="77777777" w:rsidR="00610270" w:rsidRPr="00CA7A41" w:rsidRDefault="00610270" w:rsidP="00610270">
      <w:pPr>
        <w:pStyle w:val="Prrafodelista"/>
        <w:spacing w:line="360" w:lineRule="auto"/>
        <w:ind w:left="851" w:right="822"/>
        <w:jc w:val="both"/>
        <w:rPr>
          <w:rFonts w:ascii="Palatino Linotype" w:eastAsia="MS Mincho" w:hAnsi="Palatino Linotype" w:cs="Arial"/>
          <w:i/>
          <w:szCs w:val="22"/>
          <w:lang w:val="es-ES_tradnl" w:eastAsia="es-ES"/>
        </w:rPr>
      </w:pPr>
      <w:r w:rsidRPr="00CA7A41">
        <w:rPr>
          <w:rFonts w:ascii="Palatino Linotype" w:hAnsi="Palatino Linotype"/>
          <w:color w:val="000000"/>
          <w:szCs w:val="22"/>
        </w:rPr>
        <w:t>5.- Tabuladores de sueldo asignado a cada uno de los subdirectores y jefe de departamento debidamente desglosado por capitulo, de los ejercicios fiscales 2022, 2023 y 2024.</w:t>
      </w:r>
    </w:p>
    <w:p w14:paraId="1C8414A7" w14:textId="77777777" w:rsidR="00610270" w:rsidRPr="00CA7A41" w:rsidRDefault="00610270" w:rsidP="00610270">
      <w:pPr>
        <w:pStyle w:val="Prrafodelista"/>
        <w:spacing w:line="360" w:lineRule="auto"/>
        <w:ind w:left="360" w:right="48"/>
        <w:jc w:val="both"/>
        <w:rPr>
          <w:rFonts w:ascii="Palatino Linotype" w:eastAsia="MS Mincho" w:hAnsi="Palatino Linotype" w:cs="Arial"/>
          <w:i/>
          <w:szCs w:val="22"/>
          <w:lang w:val="es-ES_tradnl" w:eastAsia="es-ES"/>
        </w:rPr>
      </w:pPr>
    </w:p>
    <w:p w14:paraId="1C8414A8" w14:textId="77777777" w:rsidR="00915DA0" w:rsidRPr="00CA7A41" w:rsidRDefault="00632D74" w:rsidP="00F959A7">
      <w:pPr>
        <w:pStyle w:val="Prrafodelista"/>
        <w:numPr>
          <w:ilvl w:val="0"/>
          <w:numId w:val="1"/>
        </w:numPr>
        <w:spacing w:before="240" w:after="240" w:line="360" w:lineRule="auto"/>
        <w:ind w:left="0" w:right="48" w:firstLine="0"/>
        <w:jc w:val="both"/>
        <w:rPr>
          <w:rFonts w:ascii="Palatino Linotype" w:eastAsiaTheme="minorEastAsia" w:hAnsi="Palatino Linotype"/>
          <w:szCs w:val="22"/>
          <w:lang w:val="es-ES_tradnl" w:eastAsia="es-ES"/>
        </w:rPr>
      </w:pPr>
      <w:r w:rsidRPr="00CA7A41">
        <w:rPr>
          <w:rFonts w:ascii="Palatino Linotype" w:eastAsia="MS Mincho" w:hAnsi="Palatino Linotype" w:cs="Arial"/>
          <w:szCs w:val="22"/>
          <w:lang w:eastAsia="es-ES"/>
        </w:rPr>
        <w:t xml:space="preserve">En respuesta, el </w:t>
      </w:r>
      <w:r w:rsidRPr="00CA7A41">
        <w:rPr>
          <w:rFonts w:ascii="Palatino Linotype" w:eastAsia="MS Gothic" w:hAnsi="Palatino Linotype"/>
          <w:szCs w:val="22"/>
        </w:rPr>
        <w:t xml:space="preserve">Sujeto Obligado señaló su incompetencia para entregar la información y señaló que el Sujeto Obligado competente es el Ayuntamiento de Naucalpan. </w:t>
      </w:r>
    </w:p>
    <w:p w14:paraId="1C8414A9" w14:textId="77777777" w:rsidR="00F959A7" w:rsidRPr="00CA7A41" w:rsidRDefault="00F959A7" w:rsidP="00F959A7">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CA7A41">
        <w:rPr>
          <w:rFonts w:ascii="Palatino Linotype" w:eastAsiaTheme="minorEastAsia" w:hAnsi="Palatino Linotype"/>
          <w:sz w:val="22"/>
          <w:szCs w:val="22"/>
          <w:lang w:val="es-ES_tradnl" w:eastAsia="es-ES"/>
        </w:rPr>
        <w:t>D</w:t>
      </w:r>
      <w:r w:rsidRPr="00CA7A41">
        <w:rPr>
          <w:rFonts w:ascii="Palatino Linotype" w:hAnsi="Palatino Linotype" w:cs="Arial"/>
          <w:bCs/>
          <w:sz w:val="22"/>
          <w:szCs w:val="22"/>
        </w:rPr>
        <w:t>icho lo anterior, es necesario traer a colación el artículo 167 de la Ley de Transparencia y Acceso a la Información Pública del Estado de México y Municipios, el cual establece lo siguiente:</w:t>
      </w:r>
    </w:p>
    <w:p w14:paraId="1C8414AA" w14:textId="77777777" w:rsidR="00F959A7" w:rsidRPr="00CA7A41" w:rsidRDefault="00F959A7" w:rsidP="00F959A7">
      <w:pPr>
        <w:pStyle w:val="Prrafodelista"/>
        <w:spacing w:line="360" w:lineRule="auto"/>
        <w:ind w:left="0"/>
        <w:jc w:val="both"/>
        <w:rPr>
          <w:rFonts w:ascii="Palatino Linotype" w:eastAsia="Calibri" w:hAnsi="Palatino Linotype" w:cs="Arial"/>
          <w:szCs w:val="22"/>
        </w:rPr>
      </w:pPr>
    </w:p>
    <w:p w14:paraId="1C8414AB" w14:textId="77777777" w:rsidR="00F959A7" w:rsidRPr="00CA7A41" w:rsidRDefault="00F959A7" w:rsidP="00F959A7">
      <w:pPr>
        <w:autoSpaceDE w:val="0"/>
        <w:autoSpaceDN w:val="0"/>
        <w:adjustRightInd w:val="0"/>
        <w:spacing w:line="360" w:lineRule="auto"/>
        <w:ind w:left="567" w:right="567"/>
        <w:jc w:val="both"/>
        <w:rPr>
          <w:rFonts w:ascii="Palatino Linotype" w:hAnsi="Palatino Linotype" w:cs="Bookman Old Style"/>
          <w:i/>
          <w:sz w:val="22"/>
          <w:szCs w:val="22"/>
        </w:rPr>
      </w:pPr>
      <w:r w:rsidRPr="00CA7A41">
        <w:rPr>
          <w:rFonts w:ascii="Palatino Linotype" w:hAnsi="Palatino Linotype" w:cs="Bookman Old Style,Bold"/>
          <w:b/>
          <w:bCs/>
          <w:i/>
          <w:sz w:val="22"/>
          <w:szCs w:val="22"/>
        </w:rPr>
        <w:t xml:space="preserve">Artículo 167. </w:t>
      </w:r>
      <w:r w:rsidRPr="00CA7A41">
        <w:rPr>
          <w:rFonts w:ascii="Palatino Linotype" w:hAnsi="Palatino Linotype" w:cs="Bookman Old Style"/>
          <w:i/>
          <w:sz w:val="22"/>
          <w:szCs w:val="22"/>
        </w:rPr>
        <w:t xml:space="preserve">Cuando las </w:t>
      </w:r>
      <w:r w:rsidRPr="00CA7A41">
        <w:rPr>
          <w:rFonts w:ascii="Palatino Linotype" w:hAnsi="Palatino Linotype" w:cs="Bookman Old Style"/>
          <w:b/>
          <w:i/>
          <w:sz w:val="22"/>
          <w:szCs w:val="22"/>
        </w:rPr>
        <w:t>unidades de transparencia determinen la notoria incompetencia por parte de los sujetos obligado</w:t>
      </w:r>
      <w:r w:rsidRPr="00CA7A41">
        <w:rPr>
          <w:rFonts w:ascii="Palatino Linotype" w:hAnsi="Palatino Linotype" w:cs="Bookman Old Style"/>
          <w:i/>
          <w:sz w:val="22"/>
          <w:szCs w:val="22"/>
        </w:rPr>
        <w:t xml:space="preserve">s, dentro del ámbito de aplicación, para atender la solicitud de acceso a la información, deberán comunicarlo al solicitante, dentro de los </w:t>
      </w:r>
      <w:r w:rsidRPr="00CA7A41">
        <w:rPr>
          <w:rFonts w:ascii="Palatino Linotype" w:hAnsi="Palatino Linotype" w:cs="Bookman Old Style"/>
          <w:b/>
          <w:i/>
          <w:sz w:val="22"/>
          <w:szCs w:val="22"/>
        </w:rPr>
        <w:t>tres días hábiles posteriores a la recepción de la solicitud</w:t>
      </w:r>
      <w:r w:rsidRPr="00CA7A41">
        <w:rPr>
          <w:rFonts w:ascii="Palatino Linotype" w:hAnsi="Palatino Linotype" w:cs="Bookman Old Style"/>
          <w:i/>
          <w:sz w:val="22"/>
          <w:szCs w:val="22"/>
        </w:rPr>
        <w:t xml:space="preserve"> y, en su caso orientar al solicitante, el o los sujetos obligados competentes. </w:t>
      </w:r>
    </w:p>
    <w:p w14:paraId="1C8414AC" w14:textId="77777777" w:rsidR="00F959A7" w:rsidRPr="00CA7A41" w:rsidRDefault="00F959A7" w:rsidP="00F959A7">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CA7A41">
        <w:rPr>
          <w:rFonts w:ascii="Palatino Linotype" w:eastAsia="Calibri" w:hAnsi="Palatino Linotype" w:cs="Arial"/>
          <w:szCs w:val="22"/>
        </w:rPr>
        <w:t xml:space="preserve">Tal y como se aprecia, los Sujetos Obligados al detectar qué una solicitud de acceso a la información </w:t>
      </w:r>
      <w:r w:rsidRPr="00CA7A41">
        <w:rPr>
          <w:rFonts w:ascii="Palatino Linotype" w:eastAsia="Calibri" w:hAnsi="Palatino Linotype" w:cs="Arial"/>
          <w:b/>
          <w:szCs w:val="22"/>
        </w:rPr>
        <w:t>NO</w:t>
      </w:r>
      <w:r w:rsidRPr="00CA7A41">
        <w:rPr>
          <w:rFonts w:ascii="Palatino Linotype" w:eastAsia="Calibri" w:hAnsi="Palatino Linotype" w:cs="Arial"/>
          <w:szCs w:val="22"/>
        </w:rPr>
        <w:t xml:space="preserve"> es de su competencia, dentro de los 3 días posteriores a su recepción, deberán de comunicar tal situación al recurrente y, en su caso orientarlo al Sujeto Obligado correspondiente. </w:t>
      </w:r>
    </w:p>
    <w:p w14:paraId="1C8414AD" w14:textId="77777777" w:rsidR="00F959A7" w:rsidRPr="00CA7A41" w:rsidRDefault="00F959A7" w:rsidP="00F959A7">
      <w:pPr>
        <w:pStyle w:val="Prrafodelista"/>
        <w:spacing w:before="100" w:beforeAutospacing="1" w:after="100" w:afterAutospacing="1" w:line="360" w:lineRule="auto"/>
        <w:ind w:left="0"/>
        <w:jc w:val="both"/>
        <w:rPr>
          <w:rFonts w:ascii="Palatino Linotype" w:eastAsia="Calibri" w:hAnsi="Palatino Linotype" w:cs="Arial"/>
          <w:szCs w:val="22"/>
        </w:rPr>
      </w:pPr>
    </w:p>
    <w:p w14:paraId="1C8414AE" w14:textId="77777777" w:rsidR="00F959A7" w:rsidRPr="00CA7A41" w:rsidRDefault="00F959A7" w:rsidP="00F959A7">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CA7A41">
        <w:rPr>
          <w:rFonts w:ascii="Palatino Linotype" w:eastAsia="Calibri" w:hAnsi="Palatino Linotype" w:cs="Arial"/>
          <w:szCs w:val="22"/>
        </w:rPr>
        <w:lastRenderedPageBreak/>
        <w:t xml:space="preserve">Recordemos que, el Sujeto Obligado refirió su incompetencia para conocer de la información y refirió que corresponde al Ayuntamiento de Naucalpan entregar lo solicitado, en este caso, es notoria la incompetencia para conocer de la información únicamente del punto cuatro, pues el particular refirió al Ayuntamiento de Naucalpan; sin embargo, debió atender los puntos restantes. </w:t>
      </w:r>
    </w:p>
    <w:p w14:paraId="1C8414AF" w14:textId="77777777" w:rsidR="00ED5117" w:rsidRPr="00CA7A41" w:rsidRDefault="00ED5117" w:rsidP="00ED5117">
      <w:pPr>
        <w:pStyle w:val="Prrafodelista"/>
        <w:rPr>
          <w:rFonts w:ascii="Palatino Linotype" w:eastAsia="Calibri" w:hAnsi="Palatino Linotype" w:cs="Arial"/>
          <w:szCs w:val="22"/>
        </w:rPr>
      </w:pPr>
    </w:p>
    <w:p w14:paraId="1C8414B0" w14:textId="77777777" w:rsidR="00ED5117" w:rsidRPr="00CA7A41" w:rsidRDefault="00ED5117" w:rsidP="00ED5117">
      <w:pPr>
        <w:pStyle w:val="Prrafodelista"/>
        <w:numPr>
          <w:ilvl w:val="0"/>
          <w:numId w:val="1"/>
        </w:numPr>
        <w:spacing w:before="240" w:after="240" w:line="360" w:lineRule="auto"/>
        <w:ind w:left="0" w:right="48" w:firstLine="0"/>
        <w:jc w:val="both"/>
        <w:rPr>
          <w:rFonts w:ascii="Palatino Linotype" w:eastAsia="MS Mincho" w:hAnsi="Palatino Linotype" w:cs="Arial"/>
          <w:szCs w:val="22"/>
          <w:lang w:eastAsia="es-ES"/>
        </w:rPr>
      </w:pPr>
      <w:r w:rsidRPr="00CA7A41">
        <w:rPr>
          <w:rFonts w:ascii="Palatino Linotype" w:eastAsia="MS Gothic" w:hAnsi="Palatino Linotype"/>
          <w:szCs w:val="22"/>
        </w:rPr>
        <w:t>Ahora bien, el particular interpuso recurso de revisión en el que, señaló su inconformidad, por las siguientes razones:</w:t>
      </w:r>
    </w:p>
    <w:p w14:paraId="1C8414B1" w14:textId="77777777" w:rsidR="00ED5117" w:rsidRPr="00CA7A41" w:rsidRDefault="00ED5117" w:rsidP="00ED5117">
      <w:pPr>
        <w:pStyle w:val="Prrafodelista"/>
        <w:spacing w:before="240" w:after="240" w:line="360" w:lineRule="auto"/>
        <w:ind w:left="0" w:right="48"/>
        <w:jc w:val="both"/>
        <w:rPr>
          <w:rFonts w:ascii="Palatino Linotype" w:eastAsia="MS Mincho" w:hAnsi="Palatino Linotype" w:cs="Arial"/>
          <w:szCs w:val="22"/>
          <w:lang w:eastAsia="es-ES"/>
        </w:rPr>
      </w:pPr>
    </w:p>
    <w:p w14:paraId="1C8414B2" w14:textId="77777777" w:rsidR="00ED5117" w:rsidRPr="00CA7A41" w:rsidRDefault="00ED5117" w:rsidP="00ED5117">
      <w:pPr>
        <w:pStyle w:val="Prrafodelista"/>
        <w:tabs>
          <w:tab w:val="left" w:pos="851"/>
          <w:tab w:val="left" w:pos="8222"/>
        </w:tabs>
        <w:spacing w:line="360" w:lineRule="auto"/>
        <w:ind w:left="360" w:right="567"/>
        <w:jc w:val="both"/>
        <w:rPr>
          <w:rFonts w:ascii="Palatino Linotype" w:eastAsia="Calibri" w:hAnsi="Palatino Linotype" w:cs="Arial"/>
          <w:i/>
          <w:szCs w:val="22"/>
          <w:lang w:val="es-ES"/>
        </w:rPr>
      </w:pPr>
      <w:r w:rsidRPr="00CA7A41">
        <w:rPr>
          <w:rFonts w:ascii="Palatino Linotype" w:eastAsia="Calibri" w:hAnsi="Palatino Linotype" w:cs="Arial"/>
          <w:b/>
          <w:szCs w:val="22"/>
          <w:lang w:val="es-ES"/>
        </w:rPr>
        <w:t>Acto impugnado:</w:t>
      </w:r>
      <w:r w:rsidRPr="00CA7A41">
        <w:rPr>
          <w:rFonts w:ascii="Palatino Linotype" w:eastAsia="Calibri" w:hAnsi="Palatino Linotype" w:cs="Arial"/>
          <w:i/>
          <w:szCs w:val="22"/>
          <w:lang w:val="es-ES"/>
        </w:rPr>
        <w:t xml:space="preserve"> </w:t>
      </w:r>
      <w:r w:rsidRPr="00CA7A41">
        <w:rPr>
          <w:rFonts w:ascii="Palatino Linotype" w:eastAsia="Calibri" w:hAnsi="Palatino Linotype" w:cs="Arial"/>
          <w:szCs w:val="22"/>
          <w:lang w:val="es-ES"/>
        </w:rPr>
        <w:t>“</w:t>
      </w:r>
      <w:r w:rsidRPr="00CA7A41">
        <w:rPr>
          <w:rFonts w:ascii="Palatino Linotype" w:hAnsi="Palatino Linotype"/>
          <w:i/>
          <w:color w:val="000000"/>
          <w:szCs w:val="22"/>
        </w:rPr>
        <w:t>OMISION DE RESPUESTA A LAS SOLICITUDES MARCADAS CON LOS NUMEROS 1, 2, Y 3”</w:t>
      </w:r>
      <w:r w:rsidRPr="00CA7A41">
        <w:rPr>
          <w:rFonts w:ascii="Palatino Linotype" w:eastAsia="Calibri" w:hAnsi="Palatino Linotype" w:cs="Arial"/>
          <w:i/>
          <w:szCs w:val="22"/>
          <w:lang w:val="es-ES"/>
        </w:rPr>
        <w:t xml:space="preserve"> (Sic) </w:t>
      </w:r>
    </w:p>
    <w:p w14:paraId="1C8414B3" w14:textId="77777777" w:rsidR="00ED5117" w:rsidRPr="00CA7A41" w:rsidRDefault="00ED5117" w:rsidP="00ED5117">
      <w:pPr>
        <w:pStyle w:val="Prrafodelista"/>
        <w:tabs>
          <w:tab w:val="left" w:pos="0"/>
        </w:tabs>
        <w:spacing w:line="360" w:lineRule="auto"/>
        <w:ind w:left="360"/>
        <w:rPr>
          <w:rFonts w:ascii="Palatino Linotype" w:eastAsia="Calibri" w:hAnsi="Palatino Linotype" w:cs="Arial"/>
          <w:i/>
          <w:szCs w:val="22"/>
          <w:lang w:val="es-ES"/>
        </w:rPr>
      </w:pPr>
    </w:p>
    <w:p w14:paraId="1C8414B4" w14:textId="77777777" w:rsidR="00ED5117" w:rsidRPr="00CA7A41" w:rsidRDefault="00ED5117" w:rsidP="00ED5117">
      <w:pPr>
        <w:pStyle w:val="Prrafodelista"/>
        <w:tabs>
          <w:tab w:val="left" w:pos="851"/>
        </w:tabs>
        <w:spacing w:line="360" w:lineRule="auto"/>
        <w:ind w:left="360" w:right="567"/>
        <w:jc w:val="both"/>
        <w:rPr>
          <w:rFonts w:ascii="Palatino Linotype" w:eastAsia="MS Mincho" w:hAnsi="Palatino Linotype"/>
          <w:i/>
          <w:szCs w:val="22"/>
        </w:rPr>
      </w:pPr>
      <w:r w:rsidRPr="00CA7A41">
        <w:rPr>
          <w:rFonts w:ascii="Palatino Linotype" w:eastAsia="MS Gothic" w:hAnsi="Palatino Linotype"/>
          <w:b/>
          <w:szCs w:val="22"/>
          <w:lang w:val="es-ES"/>
        </w:rPr>
        <w:t>Razones o Motivos de inconformidad: “</w:t>
      </w:r>
      <w:r w:rsidRPr="00CA7A41">
        <w:rPr>
          <w:rFonts w:ascii="Palatino Linotype" w:eastAsia="MS Gothic" w:hAnsi="Palatino Linotype"/>
          <w:i/>
          <w:szCs w:val="22"/>
        </w:rPr>
        <w:t>SON SUJETOS OLBIGADOS PARA DAR RESPUESTA A LAS PETICIONES MARCADAS CON LOS NUMEROS 1, 2 Y 3 SI BIEN ES CIERTO HUBO UN ERROR EN EL NUMERAL 4 AL ESCRIBIR MUNICIPIO DE NAUCALPAN EN LUGAR DE TEQUIXQUIAC, TAMBIEN LO ES QUE LAS PRIMERAS TRES PETICIONES DEBIERON PROPORIONAR LA INFORMACION COMPLETA.” (</w:t>
      </w:r>
      <w:proofErr w:type="gramStart"/>
      <w:r w:rsidRPr="00CA7A41">
        <w:rPr>
          <w:rFonts w:ascii="Palatino Linotype" w:eastAsia="MS Gothic" w:hAnsi="Palatino Linotype"/>
          <w:i/>
          <w:szCs w:val="22"/>
        </w:rPr>
        <w:t>sic</w:t>
      </w:r>
      <w:proofErr w:type="gramEnd"/>
      <w:r w:rsidRPr="00CA7A41">
        <w:rPr>
          <w:rFonts w:ascii="Palatino Linotype" w:eastAsia="MS Gothic" w:hAnsi="Palatino Linotype"/>
          <w:i/>
          <w:szCs w:val="22"/>
        </w:rPr>
        <w:t>)</w:t>
      </w:r>
    </w:p>
    <w:p w14:paraId="1C8414B5" w14:textId="77777777" w:rsidR="00ED5117" w:rsidRPr="00CA7A41" w:rsidRDefault="00ED5117" w:rsidP="00ED5117">
      <w:pPr>
        <w:pStyle w:val="Prrafodelista"/>
        <w:tabs>
          <w:tab w:val="left" w:pos="851"/>
        </w:tabs>
        <w:spacing w:line="360" w:lineRule="auto"/>
        <w:ind w:left="360" w:right="567"/>
        <w:jc w:val="both"/>
        <w:rPr>
          <w:rFonts w:ascii="Palatino Linotype" w:eastAsia="MS Mincho" w:hAnsi="Palatino Linotype"/>
          <w:i/>
          <w:szCs w:val="22"/>
        </w:rPr>
      </w:pPr>
    </w:p>
    <w:p w14:paraId="1C8414B6" w14:textId="77777777" w:rsidR="00ED5117" w:rsidRPr="00CA7A41" w:rsidRDefault="00ED5117" w:rsidP="00ED5117">
      <w:pPr>
        <w:pStyle w:val="Prrafodelista"/>
        <w:numPr>
          <w:ilvl w:val="0"/>
          <w:numId w:val="1"/>
        </w:numPr>
        <w:spacing w:before="240" w:after="240" w:line="360" w:lineRule="auto"/>
        <w:ind w:left="0" w:right="48" w:firstLine="0"/>
        <w:jc w:val="both"/>
        <w:rPr>
          <w:rFonts w:ascii="Palatino Linotype" w:eastAsia="MS Mincho" w:hAnsi="Palatino Linotype" w:cs="Arial"/>
          <w:szCs w:val="22"/>
          <w:lang w:eastAsia="es-ES"/>
        </w:rPr>
      </w:pPr>
      <w:r w:rsidRPr="00CA7A41">
        <w:rPr>
          <w:rFonts w:ascii="Palatino Linotype" w:eastAsia="MS Mincho" w:hAnsi="Palatino Linotype" w:cs="Arial"/>
          <w:szCs w:val="22"/>
          <w:lang w:eastAsia="es-ES"/>
        </w:rPr>
        <w:t xml:space="preserve">Ahora bien, la inconformidad del RECURRENTE radica en la falta de respuesta los puntos 1, 2 y 3 de la solicitud, es decir, que el particular no se inconformó por el resto de la información solicitada;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14:paraId="1C8414B7" w14:textId="77777777" w:rsidR="00ED5117" w:rsidRPr="00CA7A41" w:rsidRDefault="00ED5117" w:rsidP="00ED5117">
      <w:pPr>
        <w:pStyle w:val="Prrafodelista"/>
        <w:spacing w:before="240" w:after="240" w:line="360" w:lineRule="auto"/>
        <w:ind w:left="0" w:right="48"/>
        <w:jc w:val="both"/>
        <w:rPr>
          <w:rFonts w:ascii="Palatino Linotype" w:eastAsia="MS Mincho" w:hAnsi="Palatino Linotype" w:cs="Arial"/>
          <w:szCs w:val="22"/>
          <w:lang w:eastAsia="es-ES"/>
        </w:rPr>
      </w:pPr>
    </w:p>
    <w:p w14:paraId="1C8414B8" w14:textId="77777777" w:rsidR="00ED5117" w:rsidRPr="00CA7A41" w:rsidRDefault="00ED5117" w:rsidP="00ED5117">
      <w:pPr>
        <w:pStyle w:val="Prrafodelista"/>
        <w:numPr>
          <w:ilvl w:val="0"/>
          <w:numId w:val="1"/>
        </w:numPr>
        <w:spacing w:before="240" w:after="240" w:line="360" w:lineRule="auto"/>
        <w:ind w:left="0" w:right="48" w:firstLine="0"/>
        <w:jc w:val="both"/>
        <w:rPr>
          <w:rFonts w:ascii="Palatino Linotype" w:eastAsia="MS Mincho" w:hAnsi="Palatino Linotype" w:cs="Arial"/>
          <w:szCs w:val="22"/>
          <w:lang w:eastAsia="es-ES"/>
        </w:rPr>
      </w:pPr>
      <w:r w:rsidRPr="00CA7A41">
        <w:rPr>
          <w:rFonts w:ascii="Palatino Linotype" w:eastAsia="MS Mincho" w:hAnsi="Palatino Linotype" w:cs="Arial"/>
          <w:szCs w:val="22"/>
          <w:lang w:eastAsia="es-ES"/>
        </w:rPr>
        <w:lastRenderedPageBreak/>
        <w:t>Sirve de sustento, la tesis jurisprudencial número VI.3o.C. J/60, publicada en el Semanario Judicial de la Federación y su Gaceta bajo el número de registro 176,608 que a la letra dice:</w:t>
      </w:r>
    </w:p>
    <w:p w14:paraId="1C8414B9" w14:textId="77777777" w:rsidR="00ED5117" w:rsidRPr="00CA7A41" w:rsidRDefault="00ED5117" w:rsidP="00ED5117">
      <w:pPr>
        <w:pStyle w:val="Prrafodelista"/>
        <w:spacing w:before="240" w:after="240" w:line="360" w:lineRule="auto"/>
        <w:ind w:left="0" w:right="48"/>
        <w:jc w:val="both"/>
        <w:rPr>
          <w:rFonts w:ascii="Palatino Linotype" w:eastAsia="MS Mincho" w:hAnsi="Palatino Linotype" w:cs="Arial"/>
          <w:szCs w:val="22"/>
          <w:lang w:eastAsia="es-ES"/>
        </w:rPr>
      </w:pPr>
    </w:p>
    <w:p w14:paraId="1C8414BA" w14:textId="77777777" w:rsidR="00ED5117" w:rsidRPr="00CA7A41" w:rsidRDefault="00ED5117" w:rsidP="00ED5117">
      <w:pPr>
        <w:pStyle w:val="Prrafodelista"/>
        <w:spacing w:before="240" w:after="240" w:line="360" w:lineRule="auto"/>
        <w:ind w:left="851" w:right="822"/>
        <w:jc w:val="both"/>
        <w:rPr>
          <w:rFonts w:ascii="Palatino Linotype" w:eastAsia="MS Mincho" w:hAnsi="Palatino Linotype" w:cs="Arial"/>
          <w:i/>
          <w:szCs w:val="22"/>
          <w:lang w:eastAsia="es-ES"/>
        </w:rPr>
      </w:pPr>
      <w:r w:rsidRPr="00CA7A41">
        <w:rPr>
          <w:rFonts w:ascii="Palatino Linotype" w:eastAsia="MS Mincho" w:hAnsi="Palatino Linotype" w:cs="Arial"/>
          <w:i/>
          <w:szCs w:val="22"/>
          <w:lang w:eastAsia="es-ES"/>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C8414BB" w14:textId="77777777" w:rsidR="00ED5117" w:rsidRPr="00CA7A41" w:rsidRDefault="00ED5117" w:rsidP="00ED5117">
      <w:pPr>
        <w:pStyle w:val="Prrafodelista"/>
        <w:spacing w:before="240" w:after="240" w:line="360" w:lineRule="auto"/>
        <w:ind w:left="851" w:right="822"/>
        <w:jc w:val="both"/>
        <w:rPr>
          <w:rFonts w:ascii="Palatino Linotype" w:eastAsia="MS Mincho" w:hAnsi="Palatino Linotype" w:cs="Arial"/>
          <w:i/>
          <w:szCs w:val="22"/>
          <w:lang w:eastAsia="es-ES"/>
        </w:rPr>
      </w:pPr>
    </w:p>
    <w:p w14:paraId="1C8414BC" w14:textId="77777777" w:rsidR="00ED5117" w:rsidRPr="00CA7A41" w:rsidRDefault="00ED5117" w:rsidP="00ED5117">
      <w:pPr>
        <w:pStyle w:val="Prrafodelista"/>
        <w:numPr>
          <w:ilvl w:val="0"/>
          <w:numId w:val="1"/>
        </w:numPr>
        <w:spacing w:before="240" w:after="240" w:line="360" w:lineRule="auto"/>
        <w:ind w:left="0" w:right="48" w:firstLine="0"/>
        <w:jc w:val="both"/>
        <w:rPr>
          <w:rFonts w:ascii="Palatino Linotype" w:eastAsia="MS Mincho" w:hAnsi="Palatino Linotype" w:cs="Arial"/>
          <w:szCs w:val="22"/>
          <w:lang w:eastAsia="es-ES"/>
        </w:rPr>
      </w:pPr>
      <w:r w:rsidRPr="00CA7A41">
        <w:rPr>
          <w:rFonts w:ascii="Palatino Linotype" w:eastAsia="MS Mincho" w:hAnsi="Palatino Linotype" w:cs="Arial"/>
          <w:szCs w:val="22"/>
          <w:lang w:eastAsia="es-ES"/>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14:paraId="1C8414BD" w14:textId="77777777" w:rsidR="00ED5117" w:rsidRPr="00CA7A41" w:rsidRDefault="00ED5117" w:rsidP="00ED5117">
      <w:pPr>
        <w:pStyle w:val="Prrafodelista"/>
        <w:spacing w:before="240" w:after="240" w:line="360" w:lineRule="auto"/>
        <w:ind w:left="0" w:right="48"/>
        <w:jc w:val="both"/>
        <w:rPr>
          <w:rFonts w:ascii="Palatino Linotype" w:eastAsia="MS Mincho" w:hAnsi="Palatino Linotype" w:cs="Arial"/>
          <w:szCs w:val="22"/>
          <w:lang w:eastAsia="es-ES"/>
        </w:rPr>
      </w:pPr>
    </w:p>
    <w:p w14:paraId="1C8414BE" w14:textId="77777777" w:rsidR="00ED5117" w:rsidRPr="00CA7A41" w:rsidRDefault="00ED5117" w:rsidP="00ED5117">
      <w:pPr>
        <w:pStyle w:val="Prrafodelista"/>
        <w:numPr>
          <w:ilvl w:val="0"/>
          <w:numId w:val="1"/>
        </w:numPr>
        <w:spacing w:before="240" w:after="240" w:line="360" w:lineRule="auto"/>
        <w:ind w:left="0" w:right="48" w:firstLine="0"/>
        <w:jc w:val="both"/>
        <w:rPr>
          <w:rFonts w:ascii="Palatino Linotype" w:eastAsia="MS Mincho" w:hAnsi="Palatino Linotype" w:cs="Arial"/>
          <w:szCs w:val="22"/>
          <w:lang w:eastAsia="es-ES"/>
        </w:rPr>
      </w:pPr>
      <w:r w:rsidRPr="00CA7A41">
        <w:rPr>
          <w:rFonts w:ascii="Palatino Linotype" w:eastAsia="MS Mincho" w:hAnsi="Palatino Linotype" w:cs="Arial"/>
          <w:szCs w:val="22"/>
          <w:lang w:eastAsia="es-ES"/>
        </w:rPr>
        <w:t>Atento a ello, es importante traer a contexto la Tesis Jurisprudencial Número 3ª./J.7/91, Publicada en el Semanario Judicial de la Federación y su Gaceta bajo el número de registro 174,177, que establece lo siguiente:</w:t>
      </w:r>
    </w:p>
    <w:p w14:paraId="1C8414BF" w14:textId="77777777" w:rsidR="00ED5117" w:rsidRPr="00CA7A41" w:rsidRDefault="00ED5117" w:rsidP="00ED5117">
      <w:pPr>
        <w:pStyle w:val="Prrafodelista"/>
        <w:spacing w:before="240" w:after="240" w:line="360" w:lineRule="auto"/>
        <w:ind w:left="0" w:right="48"/>
        <w:jc w:val="both"/>
        <w:rPr>
          <w:rFonts w:ascii="Palatino Linotype" w:eastAsia="MS Mincho" w:hAnsi="Palatino Linotype" w:cs="Arial"/>
          <w:szCs w:val="22"/>
          <w:lang w:eastAsia="es-ES"/>
        </w:rPr>
      </w:pPr>
    </w:p>
    <w:p w14:paraId="1C8414C0" w14:textId="77777777" w:rsidR="00ED5117" w:rsidRPr="00CA7A41" w:rsidRDefault="00ED5117" w:rsidP="00ED5117">
      <w:pPr>
        <w:pStyle w:val="Prrafodelista"/>
        <w:spacing w:before="240" w:after="240" w:line="360" w:lineRule="auto"/>
        <w:ind w:left="851" w:right="822"/>
        <w:jc w:val="both"/>
        <w:rPr>
          <w:rFonts w:ascii="Palatino Linotype" w:eastAsia="MS Mincho" w:hAnsi="Palatino Linotype" w:cs="Arial"/>
          <w:i/>
          <w:szCs w:val="22"/>
          <w:lang w:eastAsia="es-ES"/>
        </w:rPr>
      </w:pPr>
      <w:r w:rsidRPr="00CA7A41">
        <w:rPr>
          <w:rFonts w:ascii="Palatino Linotype" w:eastAsia="MS Mincho" w:hAnsi="Palatino Linotype" w:cs="Arial"/>
          <w:i/>
          <w:szCs w:val="22"/>
          <w:lang w:eastAsia="es-ES"/>
        </w:rPr>
        <w:t xml:space="preserve">“REVISIÓN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w:t>
      </w:r>
      <w:r w:rsidRPr="00CA7A41">
        <w:rPr>
          <w:rFonts w:ascii="Palatino Linotype" w:eastAsia="MS Mincho" w:hAnsi="Palatino Linotype" w:cs="Arial"/>
          <w:i/>
          <w:szCs w:val="22"/>
          <w:lang w:eastAsia="es-ES"/>
        </w:rPr>
        <w:lastRenderedPageBreak/>
        <w:t>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C8414C1" w14:textId="77777777" w:rsidR="00ED5117" w:rsidRPr="00CA7A41" w:rsidRDefault="00ED5117" w:rsidP="00ED5117">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CA7A41">
        <w:rPr>
          <w:rFonts w:ascii="Palatino Linotype" w:hAnsi="Palatino Linotype" w:cs="Tahoma"/>
          <w:bCs/>
          <w:sz w:val="22"/>
          <w:szCs w:val="22"/>
          <w:lang w:eastAsia="es-ES"/>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p>
    <w:p w14:paraId="1C8414C2" w14:textId="77777777" w:rsidR="00ED5117" w:rsidRPr="00CA7A41" w:rsidRDefault="00ED5117" w:rsidP="00ED5117">
      <w:pPr>
        <w:spacing w:line="360" w:lineRule="auto"/>
        <w:ind w:right="49"/>
        <w:contextualSpacing/>
        <w:jc w:val="both"/>
        <w:rPr>
          <w:rFonts w:ascii="Palatino Linotype" w:eastAsiaTheme="minorEastAsia" w:hAnsi="Palatino Linotype"/>
          <w:sz w:val="22"/>
          <w:szCs w:val="22"/>
          <w:lang w:val="es-ES_tradnl" w:eastAsia="es-ES"/>
        </w:rPr>
      </w:pPr>
    </w:p>
    <w:p w14:paraId="1C8414C3" w14:textId="77777777" w:rsidR="00ED5117" w:rsidRPr="00CA7A41" w:rsidRDefault="00ED5117" w:rsidP="00ED5117">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CA7A41">
        <w:rPr>
          <w:rFonts w:ascii="Palatino Linotype" w:hAnsi="Palatino Linotype" w:cs="Tahoma"/>
          <w:bCs/>
          <w:iCs/>
          <w:sz w:val="22"/>
          <w:szCs w:val="22"/>
          <w:lang w:eastAsia="es-ES"/>
        </w:rPr>
        <w:t xml:space="preserve">En este contexto, se hará pronunciamiento únicamente por el presupuesto asignado a la presidencia municipal, a los síndicos y a los regidores  desglosados por capítulo, de los ejercicios fiscales 2022, 2023 y 2024.  </w:t>
      </w:r>
    </w:p>
    <w:p w14:paraId="1C8414C4" w14:textId="77777777" w:rsidR="00F959A7" w:rsidRPr="00CA7A41" w:rsidRDefault="00F959A7" w:rsidP="00F959A7">
      <w:pPr>
        <w:pStyle w:val="Prrafodelista"/>
        <w:spacing w:before="100" w:beforeAutospacing="1" w:after="100" w:afterAutospacing="1" w:line="360" w:lineRule="auto"/>
        <w:ind w:left="0"/>
        <w:jc w:val="both"/>
        <w:rPr>
          <w:rFonts w:ascii="Palatino Linotype" w:eastAsia="Calibri" w:hAnsi="Palatino Linotype" w:cs="Arial"/>
          <w:sz w:val="2"/>
          <w:szCs w:val="22"/>
        </w:rPr>
      </w:pPr>
    </w:p>
    <w:p w14:paraId="1C8414C5" w14:textId="77777777" w:rsidR="006634BD" w:rsidRPr="00CA7A41" w:rsidRDefault="006634BD" w:rsidP="006634BD">
      <w:pPr>
        <w:numPr>
          <w:ilvl w:val="0"/>
          <w:numId w:val="1"/>
        </w:numPr>
        <w:spacing w:line="360" w:lineRule="auto"/>
        <w:ind w:left="0" w:right="49" w:firstLine="0"/>
        <w:contextualSpacing/>
        <w:jc w:val="both"/>
        <w:rPr>
          <w:rFonts w:ascii="Palatino Linotype" w:eastAsia="Calibri" w:hAnsi="Palatino Linotype"/>
          <w:sz w:val="22"/>
          <w:szCs w:val="22"/>
        </w:rPr>
      </w:pPr>
      <w:r w:rsidRPr="00CA7A41">
        <w:rPr>
          <w:rFonts w:ascii="Palatino Linotype" w:eastAsia="Calibri" w:hAnsi="Palatino Linotype"/>
          <w:sz w:val="22"/>
          <w:szCs w:val="22"/>
        </w:rPr>
        <w:t xml:space="preserve">Ahora bien, atendiendo a la naturaleza de la información solicitada, conviene señalar que el artículo </w:t>
      </w:r>
      <w:r w:rsidRPr="00CA7A41">
        <w:rPr>
          <w:rFonts w:ascii="Palatino Linotype" w:hAnsi="Palatino Linotype"/>
          <w:sz w:val="22"/>
          <w:szCs w:val="22"/>
        </w:rPr>
        <w:t>31, fracción XIX, de la Ley Orgánica Municipal del Estado de México, establece que los Ayuntamientos son los encargados de aprobar anualmente, el Presupuesto de Egresos, en base a los ingresos presupuestados para el ejercicio de corresponda.</w:t>
      </w:r>
      <w:r w:rsidRPr="00CA7A41">
        <w:rPr>
          <w:rFonts w:ascii="Palatino Linotype" w:hAnsi="Palatino Linotype"/>
          <w:b/>
          <w:sz w:val="22"/>
          <w:szCs w:val="22"/>
        </w:rPr>
        <w:t xml:space="preserve"> </w:t>
      </w:r>
    </w:p>
    <w:p w14:paraId="1C8414C6" w14:textId="77777777" w:rsidR="006634BD" w:rsidRPr="00CA7A41" w:rsidRDefault="006634BD" w:rsidP="006634BD">
      <w:pPr>
        <w:pStyle w:val="Prrafodelista"/>
        <w:rPr>
          <w:rFonts w:ascii="Palatino Linotype" w:hAnsi="Palatino Linotype"/>
          <w:szCs w:val="22"/>
        </w:rPr>
      </w:pPr>
    </w:p>
    <w:p w14:paraId="1C8414C7" w14:textId="77777777" w:rsidR="006634BD" w:rsidRPr="00CA7A41" w:rsidRDefault="006634BD" w:rsidP="00ED5117">
      <w:pPr>
        <w:numPr>
          <w:ilvl w:val="0"/>
          <w:numId w:val="1"/>
        </w:numPr>
        <w:spacing w:line="360" w:lineRule="auto"/>
        <w:ind w:left="0" w:right="49" w:firstLine="0"/>
        <w:contextualSpacing/>
        <w:jc w:val="both"/>
        <w:rPr>
          <w:rFonts w:ascii="Palatino Linotype" w:eastAsia="Calibri" w:hAnsi="Palatino Linotype"/>
          <w:sz w:val="22"/>
          <w:szCs w:val="22"/>
        </w:rPr>
      </w:pPr>
      <w:r w:rsidRPr="00CA7A41">
        <w:rPr>
          <w:rFonts w:ascii="Palatino Linotype" w:hAnsi="Palatino Linotype"/>
          <w:sz w:val="22"/>
          <w:szCs w:val="22"/>
        </w:rPr>
        <w:t>De conformidad con el artículo 100 y 101, fracción II, del ordenamiento jurídico ya referido, el Presupuesto de Egresos, deberá contener las previsiones de gasto público y se conformará, entre otras cosas, por la</w:t>
      </w:r>
      <w:r w:rsidRPr="00CA7A41">
        <w:rPr>
          <w:rFonts w:ascii="Palatino Linotype" w:hAnsi="Palatino Linotype"/>
          <w:b/>
          <w:sz w:val="22"/>
          <w:szCs w:val="22"/>
        </w:rPr>
        <w:t xml:space="preserve"> </w:t>
      </w:r>
      <w:r w:rsidRPr="00CA7A41">
        <w:rPr>
          <w:rFonts w:ascii="Palatino Linotype" w:hAnsi="Palatino Linotype"/>
          <w:sz w:val="22"/>
          <w:szCs w:val="22"/>
        </w:rPr>
        <w:t>estimación de los ingresos y gastos del ejercicio fiscal calendarizados.</w:t>
      </w:r>
      <w:r w:rsidRPr="00CA7A41">
        <w:rPr>
          <w:rFonts w:ascii="Palatino Linotype" w:eastAsia="Calibri" w:hAnsi="Palatino Linotype"/>
          <w:sz w:val="22"/>
          <w:szCs w:val="22"/>
        </w:rPr>
        <w:t xml:space="preserve"> </w:t>
      </w:r>
      <w:r w:rsidRPr="00CA7A41">
        <w:rPr>
          <w:rFonts w:ascii="Palatino Linotype" w:hAnsi="Palatino Linotype"/>
          <w:sz w:val="22"/>
          <w:szCs w:val="22"/>
        </w:rPr>
        <w:t>Así, el Manual para la Planeación, Programación y Presupuesto de Egresos Municipal, establece que el Presupuesto es la estimación financiera anticipada de los ingresos y egresos del gobierno, necesarios para cumplir con los objetivos establecidos; además, que el mismo involucra planes, políticas, programas, proyectos, estrategias y objetivos del municipio.</w:t>
      </w:r>
    </w:p>
    <w:p w14:paraId="1C8414C8" w14:textId="77777777" w:rsidR="006634BD" w:rsidRPr="00CA7A41" w:rsidRDefault="006634BD" w:rsidP="006634BD">
      <w:pPr>
        <w:numPr>
          <w:ilvl w:val="0"/>
          <w:numId w:val="1"/>
        </w:numPr>
        <w:spacing w:line="360" w:lineRule="auto"/>
        <w:ind w:left="0" w:right="49" w:firstLine="0"/>
        <w:contextualSpacing/>
        <w:jc w:val="both"/>
        <w:rPr>
          <w:rFonts w:ascii="Palatino Linotype" w:eastAsia="Calibri" w:hAnsi="Palatino Linotype"/>
          <w:sz w:val="22"/>
          <w:szCs w:val="22"/>
        </w:rPr>
      </w:pPr>
      <w:r w:rsidRPr="00CA7A41">
        <w:rPr>
          <w:rFonts w:ascii="Palatino Linotype" w:hAnsi="Palatino Linotype"/>
          <w:sz w:val="22"/>
          <w:szCs w:val="22"/>
        </w:rPr>
        <w:lastRenderedPageBreak/>
        <w:t xml:space="preserve">Asimismo, el Glosario de Términos, de dichos Manuales, establecen que el presupuesto es la estimación financiera anticipada de los egresos e ingresos del gobierno, necesario para cumplir con los propósitos de un programa determinado; señala que el </w:t>
      </w:r>
      <w:r w:rsidRPr="00CA7A41">
        <w:rPr>
          <w:rFonts w:ascii="Palatino Linotype" w:hAnsi="Palatino Linotype"/>
          <w:color w:val="000000"/>
          <w:sz w:val="22"/>
          <w:szCs w:val="22"/>
        </w:rPr>
        <w:t>Presupuesto Autorizado es el monto de recursos que se autoriza ejercer en un ejercicio fiscal, a través del Decreto del Presupuesto de Egresos.</w:t>
      </w:r>
    </w:p>
    <w:p w14:paraId="1C8414C9" w14:textId="77777777" w:rsidR="006634BD" w:rsidRPr="00CA7A41" w:rsidRDefault="006634BD" w:rsidP="006634BD">
      <w:pPr>
        <w:pStyle w:val="Prrafodelista"/>
        <w:rPr>
          <w:rFonts w:ascii="Palatino Linotype" w:hAnsi="Palatino Linotype"/>
          <w:szCs w:val="22"/>
        </w:rPr>
      </w:pPr>
    </w:p>
    <w:p w14:paraId="1C8414CA" w14:textId="77777777" w:rsidR="006634BD" w:rsidRPr="00CA7A41" w:rsidRDefault="006634BD" w:rsidP="006634BD">
      <w:pPr>
        <w:numPr>
          <w:ilvl w:val="0"/>
          <w:numId w:val="1"/>
        </w:numPr>
        <w:spacing w:line="360" w:lineRule="auto"/>
        <w:ind w:left="0" w:right="49" w:firstLine="0"/>
        <w:contextualSpacing/>
        <w:jc w:val="both"/>
        <w:rPr>
          <w:rFonts w:ascii="Palatino Linotype" w:eastAsia="Calibri" w:hAnsi="Palatino Linotype"/>
          <w:sz w:val="22"/>
          <w:szCs w:val="22"/>
        </w:rPr>
      </w:pPr>
      <w:r w:rsidRPr="00CA7A41">
        <w:rPr>
          <w:rFonts w:ascii="Palatino Linotype" w:hAnsi="Palatino Linotype"/>
          <w:sz w:val="22"/>
          <w:szCs w:val="22"/>
        </w:rPr>
        <w:t>Además, los Manuales citados, contienen el Clasificador por Objeto del Gasto Estatal y Municipal, la cual establece la estructura del Clasificador por Objeto del Gasto, que se conforma de la siguiente manera:</w:t>
      </w:r>
    </w:p>
    <w:p w14:paraId="1C8414CB" w14:textId="77777777" w:rsidR="006634BD" w:rsidRPr="00CA7A41" w:rsidRDefault="006634BD" w:rsidP="006634BD">
      <w:pPr>
        <w:spacing w:line="360" w:lineRule="auto"/>
        <w:ind w:right="-93"/>
        <w:rPr>
          <w:rFonts w:ascii="Palatino Linotype" w:hAnsi="Palatino Linotype"/>
          <w:sz w:val="22"/>
          <w:szCs w:val="22"/>
        </w:rPr>
      </w:pPr>
    </w:p>
    <w:p w14:paraId="1C8414CC" w14:textId="77777777" w:rsidR="006634BD" w:rsidRPr="00CA7A41" w:rsidRDefault="006634BD" w:rsidP="006634BD">
      <w:pPr>
        <w:numPr>
          <w:ilvl w:val="0"/>
          <w:numId w:val="9"/>
        </w:numPr>
        <w:pBdr>
          <w:top w:val="nil"/>
          <w:left w:val="nil"/>
          <w:bottom w:val="nil"/>
          <w:right w:val="nil"/>
          <w:between w:val="nil"/>
        </w:pBdr>
        <w:spacing w:line="360" w:lineRule="auto"/>
        <w:ind w:right="-93"/>
        <w:jc w:val="both"/>
        <w:rPr>
          <w:rFonts w:ascii="Palatino Linotype" w:hAnsi="Palatino Linotype"/>
          <w:b/>
          <w:color w:val="000000"/>
          <w:sz w:val="22"/>
          <w:szCs w:val="22"/>
        </w:rPr>
      </w:pPr>
      <w:r w:rsidRPr="00CA7A41">
        <w:rPr>
          <w:rFonts w:ascii="Palatino Linotype" w:hAnsi="Palatino Linotype"/>
          <w:b/>
          <w:color w:val="000000"/>
          <w:sz w:val="22"/>
          <w:szCs w:val="22"/>
        </w:rPr>
        <w:t xml:space="preserve">Capítulo: </w:t>
      </w:r>
      <w:r w:rsidRPr="00CA7A41">
        <w:rPr>
          <w:rFonts w:ascii="Palatino Linotype" w:hAnsi="Palatino Linotype"/>
          <w:color w:val="000000"/>
          <w:sz w:val="22"/>
          <w:szCs w:val="22"/>
        </w:rPr>
        <w:t>Es el mayor nivel de agregación que identifica el conjunto homogéneo y ordenado de los bienes y servicios requeridos por los entes públicos, es el primer dígito de la codificación;</w:t>
      </w:r>
    </w:p>
    <w:p w14:paraId="1C8414CD" w14:textId="77777777" w:rsidR="006634BD" w:rsidRPr="00CA7A41" w:rsidRDefault="006634BD" w:rsidP="006634BD">
      <w:pPr>
        <w:pBdr>
          <w:top w:val="nil"/>
          <w:left w:val="nil"/>
          <w:bottom w:val="nil"/>
          <w:right w:val="nil"/>
          <w:between w:val="nil"/>
        </w:pBdr>
        <w:spacing w:line="360" w:lineRule="auto"/>
        <w:ind w:left="720" w:right="-93"/>
        <w:rPr>
          <w:rFonts w:ascii="Palatino Linotype" w:hAnsi="Palatino Linotype"/>
          <w:b/>
          <w:color w:val="000000"/>
          <w:sz w:val="22"/>
          <w:szCs w:val="22"/>
        </w:rPr>
      </w:pPr>
    </w:p>
    <w:p w14:paraId="1C8414CE" w14:textId="77777777" w:rsidR="006634BD" w:rsidRPr="00CA7A41" w:rsidRDefault="006634BD" w:rsidP="006634BD">
      <w:pPr>
        <w:numPr>
          <w:ilvl w:val="0"/>
          <w:numId w:val="9"/>
        </w:numPr>
        <w:pBdr>
          <w:top w:val="nil"/>
          <w:left w:val="nil"/>
          <w:bottom w:val="nil"/>
          <w:right w:val="nil"/>
          <w:between w:val="nil"/>
        </w:pBdr>
        <w:spacing w:line="360" w:lineRule="auto"/>
        <w:ind w:right="-93"/>
        <w:jc w:val="both"/>
        <w:rPr>
          <w:rFonts w:ascii="Palatino Linotype" w:hAnsi="Palatino Linotype"/>
          <w:b/>
          <w:color w:val="000000"/>
          <w:sz w:val="22"/>
          <w:szCs w:val="22"/>
        </w:rPr>
      </w:pPr>
      <w:r w:rsidRPr="00CA7A41">
        <w:rPr>
          <w:rFonts w:ascii="Palatino Linotype" w:hAnsi="Palatino Linotype"/>
          <w:b/>
          <w:color w:val="000000"/>
          <w:sz w:val="22"/>
          <w:szCs w:val="22"/>
        </w:rPr>
        <w:t xml:space="preserve">Concepto (Subcapítulo): </w:t>
      </w:r>
      <w:r w:rsidRPr="00CA7A41">
        <w:rPr>
          <w:rFonts w:ascii="Palatino Linotype" w:hAnsi="Palatino Linotype"/>
          <w:color w:val="000000"/>
          <w:sz w:val="22"/>
          <w:szCs w:val="22"/>
        </w:rPr>
        <w:t>Son los subconjuntos homogéneos y ordenados en forma específica, producto de la desagregación de los bienes y servicios, incluidos en cada capítulo, por lo que, es el segundo dígito de la estructura, y</w:t>
      </w:r>
    </w:p>
    <w:p w14:paraId="1C8414CF" w14:textId="77777777" w:rsidR="006634BD" w:rsidRPr="00CA7A41" w:rsidRDefault="006634BD" w:rsidP="006634BD">
      <w:pPr>
        <w:pBdr>
          <w:top w:val="nil"/>
          <w:left w:val="nil"/>
          <w:bottom w:val="nil"/>
          <w:right w:val="nil"/>
          <w:between w:val="nil"/>
        </w:pBdr>
        <w:spacing w:line="360" w:lineRule="auto"/>
        <w:ind w:left="720"/>
        <w:rPr>
          <w:rFonts w:ascii="Palatino Linotype" w:hAnsi="Palatino Linotype"/>
          <w:b/>
          <w:color w:val="000000"/>
          <w:sz w:val="22"/>
          <w:szCs w:val="22"/>
        </w:rPr>
      </w:pPr>
    </w:p>
    <w:p w14:paraId="1C8414D0" w14:textId="77777777" w:rsidR="006634BD" w:rsidRPr="00CA7A41" w:rsidRDefault="006634BD" w:rsidP="006634BD">
      <w:pPr>
        <w:numPr>
          <w:ilvl w:val="0"/>
          <w:numId w:val="9"/>
        </w:numPr>
        <w:pBdr>
          <w:top w:val="nil"/>
          <w:left w:val="nil"/>
          <w:bottom w:val="nil"/>
          <w:right w:val="nil"/>
          <w:between w:val="nil"/>
        </w:pBdr>
        <w:spacing w:line="360" w:lineRule="auto"/>
        <w:ind w:right="-93"/>
        <w:jc w:val="both"/>
        <w:rPr>
          <w:rFonts w:ascii="Palatino Linotype" w:hAnsi="Palatino Linotype"/>
          <w:color w:val="000000"/>
          <w:sz w:val="22"/>
          <w:szCs w:val="22"/>
        </w:rPr>
      </w:pPr>
      <w:r w:rsidRPr="00CA7A41">
        <w:rPr>
          <w:rFonts w:ascii="Palatino Linotype" w:hAnsi="Palatino Linotype"/>
          <w:b/>
          <w:color w:val="000000"/>
          <w:sz w:val="22"/>
          <w:szCs w:val="22"/>
        </w:rPr>
        <w:t xml:space="preserve">Partida: </w:t>
      </w:r>
      <w:r w:rsidRPr="00CA7A41">
        <w:rPr>
          <w:rFonts w:ascii="Palatino Linotype" w:hAnsi="Palatino Linotype"/>
          <w:color w:val="000000"/>
          <w:sz w:val="22"/>
          <w:szCs w:val="22"/>
        </w:rPr>
        <w:t>Corresponde al nivel de agregación más específico en el cual se describen las expresiones concretas y detalladas de los bienes y servicios que se adquieren, el cual se subdivide en:</w:t>
      </w:r>
    </w:p>
    <w:p w14:paraId="1C8414D1" w14:textId="77777777" w:rsidR="006634BD" w:rsidRPr="00CA7A41" w:rsidRDefault="006634BD" w:rsidP="006634BD">
      <w:pPr>
        <w:pBdr>
          <w:top w:val="nil"/>
          <w:left w:val="nil"/>
          <w:bottom w:val="nil"/>
          <w:right w:val="nil"/>
          <w:between w:val="nil"/>
        </w:pBdr>
        <w:spacing w:line="360" w:lineRule="auto"/>
        <w:ind w:left="1440" w:right="-93"/>
        <w:rPr>
          <w:rFonts w:ascii="Palatino Linotype" w:hAnsi="Palatino Linotype"/>
          <w:b/>
          <w:color w:val="000000"/>
          <w:sz w:val="22"/>
          <w:szCs w:val="22"/>
        </w:rPr>
      </w:pPr>
    </w:p>
    <w:p w14:paraId="1C8414D2" w14:textId="77777777" w:rsidR="006634BD" w:rsidRPr="00CA7A41" w:rsidRDefault="006634BD" w:rsidP="006634BD">
      <w:pPr>
        <w:numPr>
          <w:ilvl w:val="0"/>
          <w:numId w:val="10"/>
        </w:numPr>
        <w:pBdr>
          <w:top w:val="nil"/>
          <w:left w:val="nil"/>
          <w:bottom w:val="nil"/>
          <w:right w:val="nil"/>
          <w:between w:val="nil"/>
        </w:pBdr>
        <w:spacing w:line="360" w:lineRule="auto"/>
        <w:ind w:right="-93"/>
        <w:jc w:val="both"/>
        <w:rPr>
          <w:rFonts w:ascii="Palatino Linotype" w:hAnsi="Palatino Linotype"/>
          <w:b/>
          <w:color w:val="000000"/>
          <w:sz w:val="22"/>
          <w:szCs w:val="22"/>
        </w:rPr>
      </w:pPr>
      <w:r w:rsidRPr="00CA7A41">
        <w:rPr>
          <w:rFonts w:ascii="Palatino Linotype" w:hAnsi="Palatino Linotype"/>
          <w:b/>
          <w:color w:val="000000"/>
          <w:sz w:val="22"/>
          <w:szCs w:val="22"/>
        </w:rPr>
        <w:t xml:space="preserve">Genérica: </w:t>
      </w:r>
      <w:r w:rsidRPr="00CA7A41">
        <w:rPr>
          <w:rFonts w:ascii="Palatino Linotype" w:hAnsi="Palatino Linotype"/>
          <w:color w:val="000000"/>
          <w:sz w:val="22"/>
          <w:szCs w:val="22"/>
        </w:rPr>
        <w:t>Se refiere al tercer dígito, el cual busca la armonización de todos los niveles de gobierno, y</w:t>
      </w:r>
    </w:p>
    <w:p w14:paraId="1C8414D3" w14:textId="77777777" w:rsidR="006634BD" w:rsidRPr="00CA7A41" w:rsidRDefault="006634BD" w:rsidP="006634BD">
      <w:pPr>
        <w:pBdr>
          <w:top w:val="nil"/>
          <w:left w:val="nil"/>
          <w:bottom w:val="nil"/>
          <w:right w:val="nil"/>
          <w:between w:val="nil"/>
        </w:pBdr>
        <w:spacing w:line="360" w:lineRule="auto"/>
        <w:ind w:left="1440" w:right="-93"/>
        <w:rPr>
          <w:rFonts w:ascii="Palatino Linotype" w:hAnsi="Palatino Linotype"/>
          <w:color w:val="000000"/>
          <w:sz w:val="22"/>
          <w:szCs w:val="22"/>
        </w:rPr>
      </w:pPr>
    </w:p>
    <w:p w14:paraId="1C8414D4" w14:textId="77777777" w:rsidR="006634BD" w:rsidRPr="00CA7A41" w:rsidRDefault="006634BD" w:rsidP="006634BD">
      <w:pPr>
        <w:numPr>
          <w:ilvl w:val="0"/>
          <w:numId w:val="10"/>
        </w:numPr>
        <w:pBdr>
          <w:top w:val="nil"/>
          <w:left w:val="nil"/>
          <w:bottom w:val="nil"/>
          <w:right w:val="nil"/>
          <w:between w:val="nil"/>
        </w:pBdr>
        <w:spacing w:line="360" w:lineRule="auto"/>
        <w:ind w:right="-93"/>
        <w:jc w:val="both"/>
        <w:rPr>
          <w:rFonts w:ascii="Palatino Linotype" w:hAnsi="Palatino Linotype"/>
          <w:color w:val="000000"/>
          <w:sz w:val="22"/>
          <w:szCs w:val="22"/>
        </w:rPr>
      </w:pPr>
      <w:r w:rsidRPr="00CA7A41">
        <w:rPr>
          <w:rFonts w:ascii="Palatino Linotype" w:hAnsi="Palatino Linotype"/>
          <w:b/>
          <w:color w:val="000000"/>
          <w:sz w:val="22"/>
          <w:szCs w:val="22"/>
        </w:rPr>
        <w:lastRenderedPageBreak/>
        <w:t xml:space="preserve">Específica: </w:t>
      </w:r>
      <w:r w:rsidRPr="00CA7A41">
        <w:rPr>
          <w:rFonts w:ascii="Palatino Linotype" w:hAnsi="Palatino Linotype"/>
          <w:color w:val="000000"/>
          <w:sz w:val="22"/>
          <w:szCs w:val="22"/>
        </w:rPr>
        <w:t>Es el cuarto digito, mismo que permite a las unidades administrativas, generar su apertura, conservando la estructura básica, con el fin de mantener la armonización contable.</w:t>
      </w:r>
    </w:p>
    <w:p w14:paraId="1C8414D5" w14:textId="77777777" w:rsidR="006634BD" w:rsidRPr="00CA7A41" w:rsidRDefault="006634BD" w:rsidP="006634BD">
      <w:pPr>
        <w:pBdr>
          <w:top w:val="nil"/>
          <w:left w:val="nil"/>
          <w:bottom w:val="nil"/>
          <w:right w:val="nil"/>
          <w:between w:val="nil"/>
        </w:pBdr>
        <w:spacing w:line="360" w:lineRule="auto"/>
        <w:ind w:right="-93"/>
        <w:jc w:val="both"/>
        <w:rPr>
          <w:rFonts w:ascii="Palatino Linotype" w:hAnsi="Palatino Linotype"/>
          <w:color w:val="000000"/>
          <w:sz w:val="22"/>
          <w:szCs w:val="22"/>
        </w:rPr>
      </w:pPr>
    </w:p>
    <w:p w14:paraId="1C8414D6" w14:textId="77777777" w:rsidR="00E35ABB" w:rsidRPr="00CA7A41" w:rsidRDefault="006634BD" w:rsidP="006634BD">
      <w:pPr>
        <w:numPr>
          <w:ilvl w:val="0"/>
          <w:numId w:val="1"/>
        </w:numPr>
        <w:spacing w:line="360" w:lineRule="auto"/>
        <w:ind w:left="0" w:right="49" w:firstLine="0"/>
        <w:contextualSpacing/>
        <w:jc w:val="both"/>
        <w:rPr>
          <w:rFonts w:ascii="Palatino Linotype" w:eastAsia="Calibri" w:hAnsi="Palatino Linotype"/>
          <w:sz w:val="22"/>
          <w:szCs w:val="22"/>
        </w:rPr>
      </w:pPr>
      <w:r w:rsidRPr="00CA7A41">
        <w:rPr>
          <w:rFonts w:ascii="Palatino Linotype" w:eastAsia="Calibri" w:hAnsi="Palatino Linotype"/>
          <w:sz w:val="22"/>
          <w:szCs w:val="22"/>
        </w:rPr>
        <w:t>Por lo anteriormente señalado, se advierte que el Sujeto Obligado, tiene competencia para conocer de lo solicitado por el particular, e</w:t>
      </w:r>
      <w:r w:rsidR="00E35ABB" w:rsidRPr="00CA7A41">
        <w:rPr>
          <w:rFonts w:ascii="Palatino Linotype" w:eastAsia="Calibri" w:hAnsi="Palatino Linotype"/>
          <w:sz w:val="22"/>
          <w:szCs w:val="22"/>
        </w:rPr>
        <w:t>n consecuencia, una vez analizadas las constancias que integran el expediente electrónico</w:t>
      </w:r>
      <w:r w:rsidR="00E35ABB" w:rsidRPr="00CA7A41">
        <w:rPr>
          <w:rFonts w:ascii="Palatino Linotype" w:eastAsia="MS Mincho" w:hAnsi="Palatino Linotype" w:cstheme="majorBidi"/>
          <w:sz w:val="22"/>
          <w:szCs w:val="22"/>
        </w:rPr>
        <w:t>,</w:t>
      </w:r>
      <w:r w:rsidR="00E35ABB" w:rsidRPr="00CA7A41">
        <w:rPr>
          <w:rFonts w:ascii="Palatino Linotype" w:eastAsia="MS Mincho" w:hAnsi="Palatino Linotype" w:cstheme="majorBidi"/>
          <w:sz w:val="22"/>
          <w:szCs w:val="22"/>
          <w:lang w:val="es-ES"/>
        </w:rPr>
        <w:t xml:space="preserve"> y en mérito de lo expuesto en líneas anteriores, resultan  fundadas las razones o motivos de inconformidad hechos valer por el </w:t>
      </w:r>
      <w:r w:rsidR="00E35ABB" w:rsidRPr="00CA7A41">
        <w:rPr>
          <w:rFonts w:ascii="Palatino Linotype" w:eastAsia="MS Mincho" w:hAnsi="Palatino Linotype" w:cstheme="majorBidi"/>
          <w:b/>
          <w:sz w:val="22"/>
          <w:szCs w:val="22"/>
          <w:lang w:val="es-ES"/>
        </w:rPr>
        <w:t>RECURRENTE</w:t>
      </w:r>
      <w:r w:rsidR="00E35ABB" w:rsidRPr="00CA7A41">
        <w:rPr>
          <w:rFonts w:ascii="Palatino Linotype" w:eastAsia="MS Mincho" w:hAnsi="Palatino Linotype" w:cstheme="majorBidi"/>
          <w:sz w:val="22"/>
          <w:szCs w:val="22"/>
          <w:lang w:val="es-ES"/>
        </w:rPr>
        <w:t xml:space="preserve"> dentro del recurso de revisión </w:t>
      </w:r>
      <w:r w:rsidRPr="00CA7A41">
        <w:rPr>
          <w:rFonts w:ascii="Palatino Linotype" w:eastAsia="MS Mincho" w:hAnsi="Palatino Linotype" w:cstheme="majorBidi"/>
          <w:b/>
          <w:bCs/>
          <w:sz w:val="22"/>
          <w:szCs w:val="22"/>
          <w:lang w:val="es-ES"/>
        </w:rPr>
        <w:t>07418</w:t>
      </w:r>
      <w:r w:rsidR="00E35ABB" w:rsidRPr="00CA7A41">
        <w:rPr>
          <w:rFonts w:ascii="Palatino Linotype" w:eastAsia="MS Mincho" w:hAnsi="Palatino Linotype" w:cstheme="majorBidi"/>
          <w:b/>
          <w:bCs/>
          <w:sz w:val="22"/>
          <w:szCs w:val="22"/>
          <w:lang w:val="es-ES"/>
        </w:rPr>
        <w:t>/INFOEM/IP/RR/2024</w:t>
      </w:r>
      <w:r w:rsidR="00E35ABB" w:rsidRPr="00CA7A41">
        <w:rPr>
          <w:rFonts w:ascii="Palatino Linotype" w:eastAsia="MS Mincho" w:hAnsi="Palatino Linotype" w:cstheme="majorBidi"/>
          <w:sz w:val="22"/>
          <w:szCs w:val="22"/>
          <w:lang w:val="es-ES"/>
        </w:rPr>
        <w:t xml:space="preserve">; por ello, y con fundamento en la fracción III del numeral 186 de la Ley de Transparencia y Acceso a la Información Pública del Estado de México y Municipios, se </w:t>
      </w:r>
      <w:r w:rsidR="00E35ABB" w:rsidRPr="00CA7A41">
        <w:rPr>
          <w:rFonts w:ascii="Palatino Linotype" w:eastAsia="MS Mincho" w:hAnsi="Palatino Linotype" w:cstheme="majorBidi"/>
          <w:b/>
          <w:sz w:val="22"/>
          <w:szCs w:val="22"/>
          <w:lang w:val="es-ES"/>
        </w:rPr>
        <w:t>MODIFICA</w:t>
      </w:r>
      <w:r w:rsidR="00E35ABB" w:rsidRPr="00CA7A41">
        <w:rPr>
          <w:rFonts w:ascii="Palatino Linotype" w:eastAsia="MS Mincho" w:hAnsi="Palatino Linotype" w:cstheme="majorBidi"/>
          <w:sz w:val="22"/>
          <w:szCs w:val="22"/>
          <w:lang w:val="es-ES"/>
        </w:rPr>
        <w:t xml:space="preserve"> la respuesta del Sujeto Obligado. </w:t>
      </w:r>
    </w:p>
    <w:p w14:paraId="1C8414D7" w14:textId="77777777" w:rsidR="00632D74" w:rsidRPr="00CA7A41" w:rsidRDefault="00632D74" w:rsidP="00632D74">
      <w:pPr>
        <w:pStyle w:val="Prrafodelista"/>
        <w:rPr>
          <w:rFonts w:ascii="Palatino Linotype" w:hAnsi="Palatino Linotype"/>
          <w:szCs w:val="22"/>
          <w:lang w:val="es-ES"/>
        </w:rPr>
      </w:pPr>
    </w:p>
    <w:p w14:paraId="1C8414D8" w14:textId="77777777" w:rsidR="00E35ABB" w:rsidRPr="00CA7A41" w:rsidRDefault="00E35ABB" w:rsidP="00E35ABB">
      <w:pPr>
        <w:pStyle w:val="Prrafodelista"/>
        <w:numPr>
          <w:ilvl w:val="0"/>
          <w:numId w:val="1"/>
        </w:numPr>
        <w:spacing w:line="360" w:lineRule="auto"/>
        <w:ind w:left="0" w:firstLine="0"/>
        <w:jc w:val="both"/>
        <w:rPr>
          <w:rFonts w:ascii="Palatino Linotype" w:hAnsi="Palatino Linotype" w:cs="Arial"/>
          <w:szCs w:val="22"/>
        </w:rPr>
      </w:pPr>
      <w:r w:rsidRPr="00CA7A41">
        <w:rPr>
          <w:rFonts w:ascii="Palatino Linotype" w:hAnsi="Palatino Linotype"/>
          <w:szCs w:val="22"/>
          <w:lang w:val="es-ES"/>
        </w:rPr>
        <w:t xml:space="preserve">Por lo anteriormente expuesto y fundado, este </w:t>
      </w:r>
      <w:r w:rsidRPr="00CA7A41">
        <w:rPr>
          <w:rFonts w:ascii="Palatino Linotype" w:hAnsi="Palatino Linotype"/>
          <w:b/>
          <w:bCs/>
          <w:szCs w:val="22"/>
          <w:lang w:val="es-ES"/>
        </w:rPr>
        <w:t>ÓRGANO GARANTE</w:t>
      </w:r>
      <w:r w:rsidRPr="00CA7A41">
        <w:rPr>
          <w:rFonts w:ascii="Palatino Linotype" w:hAnsi="Palatino Linotype"/>
          <w:szCs w:val="22"/>
          <w:lang w:val="es-ES"/>
        </w:rPr>
        <w:t xml:space="preserve"> emite los siguientes:</w:t>
      </w:r>
    </w:p>
    <w:p w14:paraId="1C8414D9" w14:textId="77777777" w:rsidR="00E35ABB" w:rsidRPr="00CA7A41" w:rsidRDefault="00E35ABB" w:rsidP="00E35ABB">
      <w:pPr>
        <w:pStyle w:val="Prrafodelista"/>
        <w:spacing w:line="360" w:lineRule="auto"/>
        <w:ind w:left="0"/>
        <w:jc w:val="both"/>
        <w:rPr>
          <w:rFonts w:ascii="Palatino Linotype" w:hAnsi="Palatino Linotype" w:cs="Arial"/>
          <w:szCs w:val="22"/>
        </w:rPr>
      </w:pPr>
    </w:p>
    <w:p w14:paraId="1C8414DA" w14:textId="77777777" w:rsidR="00E35ABB" w:rsidRPr="00CA7A41" w:rsidRDefault="00E35ABB" w:rsidP="00E35ABB">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bookmarkStart w:id="24" w:name="_Toc528153792"/>
      <w:bookmarkStart w:id="25" w:name="_Toc94119621"/>
      <w:r w:rsidRPr="00CA7A41">
        <w:rPr>
          <w:rFonts w:ascii="Palatino Linotype" w:eastAsiaTheme="majorEastAsia" w:hAnsi="Palatino Linotype" w:cstheme="majorBidi"/>
          <w:b/>
          <w:color w:val="000000" w:themeColor="text1"/>
          <w:sz w:val="22"/>
          <w:szCs w:val="22"/>
          <w:lang w:eastAsia="en-US"/>
        </w:rPr>
        <w:t>R E S O L U T I V O S</w:t>
      </w:r>
      <w:bookmarkEnd w:id="24"/>
      <w:bookmarkEnd w:id="25"/>
    </w:p>
    <w:p w14:paraId="1C8414DB" w14:textId="77777777" w:rsidR="00E35ABB" w:rsidRPr="00CA7A41" w:rsidRDefault="00E35ABB" w:rsidP="00E35ABB">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p>
    <w:p w14:paraId="1C8414DC" w14:textId="7B0883E7" w:rsidR="00E35ABB" w:rsidRPr="00CA7A41" w:rsidRDefault="00E35ABB" w:rsidP="00E35ABB">
      <w:pPr>
        <w:spacing w:line="360" w:lineRule="auto"/>
        <w:ind w:right="48"/>
        <w:jc w:val="both"/>
        <w:rPr>
          <w:rFonts w:ascii="Palatino Linotype" w:hAnsi="Palatino Linotype" w:cs="Arial"/>
          <w:bCs/>
          <w:sz w:val="22"/>
          <w:szCs w:val="22"/>
          <w:lang w:eastAsia="es-ES"/>
        </w:rPr>
      </w:pPr>
      <w:r w:rsidRPr="00CA7A41">
        <w:rPr>
          <w:rFonts w:ascii="Palatino Linotype" w:hAnsi="Palatino Linotype" w:cs="Arial"/>
          <w:b/>
          <w:sz w:val="22"/>
          <w:szCs w:val="22"/>
          <w:lang w:eastAsia="es-ES"/>
        </w:rPr>
        <w:t xml:space="preserve">PRIMERO. </w:t>
      </w:r>
      <w:r w:rsidRPr="00CA7A41">
        <w:rPr>
          <w:rFonts w:ascii="Palatino Linotype" w:hAnsi="Palatino Linotype" w:cs="Arial"/>
          <w:sz w:val="22"/>
          <w:szCs w:val="22"/>
          <w:lang w:eastAsia="es-ES"/>
        </w:rPr>
        <w:t>Resultan fundadas las</w:t>
      </w:r>
      <w:r w:rsidRPr="00CA7A41">
        <w:rPr>
          <w:rFonts w:ascii="Palatino Linotype" w:hAnsi="Palatino Linotype" w:cs="Arial"/>
          <w:b/>
          <w:sz w:val="22"/>
          <w:szCs w:val="22"/>
          <w:lang w:eastAsia="es-ES"/>
        </w:rPr>
        <w:t xml:space="preserve"> </w:t>
      </w:r>
      <w:r w:rsidRPr="00CA7A41">
        <w:rPr>
          <w:rFonts w:ascii="Palatino Linotype" w:hAnsi="Palatino Linotype" w:cs="Arial"/>
          <w:sz w:val="22"/>
          <w:szCs w:val="22"/>
          <w:lang w:val="es-ES" w:eastAsia="es-ES"/>
        </w:rPr>
        <w:t xml:space="preserve">razones o motivos de inconformidad hechos valer </w:t>
      </w:r>
      <w:r w:rsidRPr="00CA7A41">
        <w:rPr>
          <w:rFonts w:ascii="Palatino Linotype" w:eastAsia="Calibri" w:hAnsi="Palatino Linotype" w:cs="Arial"/>
          <w:sz w:val="22"/>
          <w:szCs w:val="22"/>
          <w:lang w:val="es-ES" w:eastAsia="es-ES"/>
        </w:rPr>
        <w:t xml:space="preserve">en el recurso de revisión </w:t>
      </w:r>
      <w:r w:rsidR="006634BD" w:rsidRPr="00CA7A41">
        <w:rPr>
          <w:rFonts w:ascii="Palatino Linotype" w:hAnsi="Palatino Linotype" w:cs="Arial"/>
          <w:b/>
          <w:bCs/>
          <w:sz w:val="22"/>
          <w:szCs w:val="22"/>
          <w:lang w:eastAsia="es-ES"/>
        </w:rPr>
        <w:t>07418</w:t>
      </w:r>
      <w:r w:rsidRPr="00CA7A41">
        <w:rPr>
          <w:rFonts w:ascii="Palatino Linotype" w:hAnsi="Palatino Linotype" w:cs="Arial"/>
          <w:b/>
          <w:bCs/>
          <w:sz w:val="22"/>
          <w:szCs w:val="22"/>
          <w:lang w:eastAsia="es-ES"/>
        </w:rPr>
        <w:t xml:space="preserve">/INFOEM/IP/RR/2024, </w:t>
      </w:r>
      <w:r w:rsidRPr="00CA7A41">
        <w:rPr>
          <w:rFonts w:ascii="Palatino Linotype" w:hAnsi="Palatino Linotype" w:cs="Arial"/>
          <w:bCs/>
          <w:sz w:val="22"/>
          <w:szCs w:val="22"/>
          <w:lang w:eastAsia="es-ES"/>
        </w:rPr>
        <w:t xml:space="preserve">en términos del </w:t>
      </w:r>
      <w:r w:rsidRPr="00CA7A41">
        <w:rPr>
          <w:rFonts w:ascii="Palatino Linotype" w:hAnsi="Palatino Linotype" w:cs="Arial"/>
          <w:b/>
          <w:bCs/>
          <w:sz w:val="22"/>
          <w:szCs w:val="22"/>
          <w:lang w:eastAsia="es-ES"/>
        </w:rPr>
        <w:t>Considerando</w:t>
      </w:r>
      <w:r w:rsidRPr="00CA7A41">
        <w:rPr>
          <w:rFonts w:ascii="Palatino Linotype" w:hAnsi="Palatino Linotype" w:cs="Arial"/>
          <w:bCs/>
          <w:sz w:val="22"/>
          <w:szCs w:val="22"/>
          <w:lang w:eastAsia="es-ES"/>
        </w:rPr>
        <w:t xml:space="preserve"> </w:t>
      </w:r>
      <w:r w:rsidRPr="00CA7A41">
        <w:rPr>
          <w:rFonts w:ascii="Palatino Linotype" w:hAnsi="Palatino Linotype" w:cs="Arial"/>
          <w:b/>
          <w:bCs/>
          <w:sz w:val="22"/>
          <w:szCs w:val="22"/>
          <w:lang w:eastAsia="es-ES"/>
        </w:rPr>
        <w:t xml:space="preserve">CUARTO y QUINTO </w:t>
      </w:r>
      <w:r w:rsidRPr="00CA7A41">
        <w:rPr>
          <w:rFonts w:ascii="Palatino Linotype" w:hAnsi="Palatino Linotype" w:cs="Arial"/>
          <w:bCs/>
          <w:sz w:val="22"/>
          <w:szCs w:val="22"/>
          <w:lang w:eastAsia="es-ES"/>
        </w:rPr>
        <w:t>de la presente resolución.</w:t>
      </w:r>
    </w:p>
    <w:p w14:paraId="1C8414DD" w14:textId="77777777" w:rsidR="00E35ABB" w:rsidRPr="00CA7A41" w:rsidRDefault="00E35ABB" w:rsidP="00E35ABB">
      <w:pPr>
        <w:spacing w:line="360" w:lineRule="auto"/>
        <w:ind w:right="48"/>
        <w:jc w:val="both"/>
        <w:rPr>
          <w:rFonts w:ascii="Palatino Linotype" w:hAnsi="Palatino Linotype" w:cs="Arial"/>
          <w:bCs/>
          <w:sz w:val="22"/>
          <w:szCs w:val="22"/>
          <w:lang w:eastAsia="es-ES"/>
        </w:rPr>
      </w:pPr>
    </w:p>
    <w:p w14:paraId="1C8414DE" w14:textId="77777777" w:rsidR="00E35ABB" w:rsidRPr="00CA7A41" w:rsidRDefault="00E35ABB" w:rsidP="00E35ABB">
      <w:pPr>
        <w:spacing w:line="360" w:lineRule="auto"/>
        <w:ind w:right="48"/>
        <w:jc w:val="both"/>
        <w:rPr>
          <w:rFonts w:ascii="Palatino Linotype" w:hAnsi="Palatino Linotype" w:cs="Arial"/>
          <w:bCs/>
          <w:sz w:val="22"/>
          <w:szCs w:val="22"/>
          <w:lang w:eastAsia="es-ES"/>
        </w:rPr>
      </w:pPr>
      <w:bookmarkStart w:id="26" w:name="_Toc477891768"/>
      <w:bookmarkStart w:id="27" w:name="_Toc477891858"/>
      <w:bookmarkStart w:id="28" w:name="_Toc481576259"/>
      <w:bookmarkStart w:id="29" w:name="_Toc492590391"/>
      <w:bookmarkStart w:id="30" w:name="_Toc462653937"/>
      <w:bookmarkStart w:id="31" w:name="_Toc453696502"/>
      <w:bookmarkStart w:id="32" w:name="_Toc454301155"/>
      <w:r w:rsidRPr="00CA7A41">
        <w:rPr>
          <w:rFonts w:ascii="Palatino Linotype" w:hAnsi="Palatino Linotype"/>
          <w:b/>
          <w:sz w:val="22"/>
          <w:szCs w:val="22"/>
          <w:lang w:eastAsia="es-ES"/>
        </w:rPr>
        <w:t>SEGUNDO.</w:t>
      </w:r>
      <w:r w:rsidRPr="00CA7A41">
        <w:rPr>
          <w:rFonts w:ascii="Palatino Linotype" w:eastAsia="等线 Light" w:hAnsi="Palatino Linotype"/>
          <w:color w:val="2F5496"/>
          <w:sz w:val="22"/>
          <w:szCs w:val="22"/>
          <w:lang w:eastAsia="es-ES"/>
        </w:rPr>
        <w:t xml:space="preserve"> </w:t>
      </w:r>
      <w:bookmarkEnd w:id="26"/>
      <w:bookmarkEnd w:id="27"/>
      <w:bookmarkEnd w:id="28"/>
      <w:bookmarkEnd w:id="29"/>
      <w:bookmarkEnd w:id="30"/>
      <w:bookmarkEnd w:id="31"/>
      <w:bookmarkEnd w:id="32"/>
      <w:r w:rsidRPr="00CA7A41">
        <w:rPr>
          <w:rFonts w:ascii="Palatino Linotype" w:eastAsia="Calibri" w:hAnsi="Palatino Linotype" w:cs="Arial"/>
          <w:sz w:val="22"/>
          <w:szCs w:val="22"/>
          <w:lang w:val="es-ES" w:eastAsia="es-ES"/>
        </w:rPr>
        <w:t>Se</w:t>
      </w:r>
      <w:r w:rsidRPr="00CA7A41">
        <w:rPr>
          <w:rFonts w:ascii="Palatino Linotype" w:eastAsia="Calibri" w:hAnsi="Palatino Linotype" w:cs="Arial"/>
          <w:b/>
          <w:sz w:val="22"/>
          <w:szCs w:val="22"/>
          <w:lang w:val="es-ES" w:eastAsia="es-ES"/>
        </w:rPr>
        <w:t xml:space="preserve"> MODIFICA </w:t>
      </w:r>
      <w:r w:rsidRPr="00CA7A41">
        <w:rPr>
          <w:rFonts w:ascii="Palatino Linotype" w:eastAsia="Calibri" w:hAnsi="Palatino Linotype" w:cs="Arial"/>
          <w:sz w:val="22"/>
          <w:szCs w:val="22"/>
          <w:lang w:val="es-ES" w:eastAsia="es-ES"/>
        </w:rPr>
        <w:t xml:space="preserve">la respuesta emitida por el </w:t>
      </w:r>
      <w:r w:rsidR="006634BD" w:rsidRPr="00CA7A41">
        <w:rPr>
          <w:rFonts w:ascii="Palatino Linotype" w:eastAsia="Calibri" w:hAnsi="Palatino Linotype" w:cs="Tahoma"/>
          <w:b/>
          <w:bCs/>
          <w:sz w:val="22"/>
          <w:szCs w:val="22"/>
          <w:lang w:eastAsia="en-US"/>
        </w:rPr>
        <w:t>Ayuntamiento de Tequixquiac</w:t>
      </w:r>
      <w:r w:rsidRPr="00CA7A41">
        <w:rPr>
          <w:rFonts w:ascii="Palatino Linotype" w:eastAsia="Calibri" w:hAnsi="Palatino Linotype" w:cs="Tahoma"/>
          <w:b/>
          <w:sz w:val="22"/>
          <w:szCs w:val="22"/>
          <w:lang w:val="es-ES" w:eastAsia="en-US"/>
        </w:rPr>
        <w:t xml:space="preserve"> </w:t>
      </w:r>
      <w:r w:rsidRPr="00CA7A41">
        <w:rPr>
          <w:rFonts w:ascii="Palatino Linotype" w:eastAsia="Calibri" w:hAnsi="Palatino Linotype" w:cs="Arial"/>
          <w:sz w:val="22"/>
          <w:szCs w:val="22"/>
          <w:lang w:val="es-ES" w:eastAsia="es-ES"/>
        </w:rPr>
        <w:t>y se</w:t>
      </w:r>
      <w:r w:rsidRPr="00CA7A41">
        <w:rPr>
          <w:rFonts w:ascii="Palatino Linotype" w:eastAsia="Calibri" w:hAnsi="Palatino Linotype" w:cs="Arial"/>
          <w:b/>
          <w:sz w:val="22"/>
          <w:szCs w:val="22"/>
          <w:lang w:val="es-ES" w:eastAsia="es-ES"/>
        </w:rPr>
        <w:t xml:space="preserve"> ORDENA </w:t>
      </w:r>
      <w:r w:rsidRPr="00CA7A41">
        <w:rPr>
          <w:rFonts w:ascii="Palatino Linotype" w:hAnsi="Palatino Linotype" w:cs="Arial"/>
          <w:sz w:val="22"/>
          <w:szCs w:val="22"/>
          <w:lang w:val="es-ES" w:eastAsia="es-ES"/>
        </w:rPr>
        <w:t>entregar vía Sistema de Accesos a la I</w:t>
      </w:r>
      <w:r w:rsidR="00F449C1" w:rsidRPr="00CA7A41">
        <w:rPr>
          <w:rFonts w:ascii="Palatino Linotype" w:hAnsi="Palatino Linotype" w:cs="Arial"/>
          <w:sz w:val="22"/>
          <w:szCs w:val="22"/>
          <w:lang w:val="es-ES" w:eastAsia="es-ES"/>
        </w:rPr>
        <w:t>nformación Mexiquense (SAIMEX)</w:t>
      </w:r>
      <w:r w:rsidR="00915DA0" w:rsidRPr="00CA7A41">
        <w:rPr>
          <w:rFonts w:ascii="Palatino Linotype" w:hAnsi="Palatino Linotype" w:cs="Arial"/>
          <w:sz w:val="22"/>
          <w:szCs w:val="22"/>
          <w:lang w:val="es-ES" w:eastAsia="es-ES"/>
        </w:rPr>
        <w:t xml:space="preserve">, </w:t>
      </w:r>
      <w:r w:rsidRPr="00CA7A41">
        <w:rPr>
          <w:rFonts w:ascii="Palatino Linotype" w:hAnsi="Palatino Linotype" w:cs="Arial"/>
          <w:sz w:val="22"/>
          <w:szCs w:val="22"/>
          <w:lang w:val="es-ES" w:eastAsia="es-ES"/>
        </w:rPr>
        <w:t>la siguiente información</w:t>
      </w:r>
      <w:r w:rsidRPr="00CA7A41">
        <w:rPr>
          <w:rFonts w:ascii="Palatino Linotype" w:hAnsi="Palatino Linotype" w:cs="Arial"/>
          <w:bCs/>
          <w:sz w:val="22"/>
          <w:szCs w:val="22"/>
          <w:lang w:eastAsia="es-ES"/>
        </w:rPr>
        <w:t>:</w:t>
      </w:r>
    </w:p>
    <w:p w14:paraId="1C8414DF" w14:textId="77777777" w:rsidR="00E35ABB" w:rsidRPr="00CA7A41" w:rsidRDefault="00E35ABB" w:rsidP="00E35ABB">
      <w:pPr>
        <w:spacing w:line="360" w:lineRule="auto"/>
        <w:ind w:right="48"/>
        <w:jc w:val="both"/>
        <w:rPr>
          <w:rFonts w:ascii="Palatino Linotype" w:hAnsi="Palatino Linotype" w:cs="Arial"/>
          <w:bCs/>
          <w:sz w:val="22"/>
          <w:szCs w:val="22"/>
          <w:lang w:eastAsia="es-ES"/>
        </w:rPr>
      </w:pPr>
    </w:p>
    <w:p w14:paraId="1C8414E0" w14:textId="77777777" w:rsidR="00E35ABB" w:rsidRPr="00CA7A41" w:rsidRDefault="00915DA0" w:rsidP="00E35ABB">
      <w:pPr>
        <w:pStyle w:val="Prrafodelista"/>
        <w:numPr>
          <w:ilvl w:val="2"/>
          <w:numId w:val="2"/>
        </w:numPr>
        <w:spacing w:line="360" w:lineRule="auto"/>
        <w:ind w:left="851" w:right="822" w:firstLine="0"/>
        <w:jc w:val="both"/>
        <w:rPr>
          <w:rFonts w:ascii="Palatino Linotype" w:hAnsi="Palatino Linotype"/>
          <w:b/>
          <w:bCs/>
          <w:color w:val="000000"/>
          <w:szCs w:val="22"/>
        </w:rPr>
      </w:pPr>
      <w:r w:rsidRPr="00CA7A41">
        <w:rPr>
          <w:rFonts w:ascii="Palatino Linotype" w:hAnsi="Palatino Linotype" w:cs="Arial"/>
          <w:b/>
          <w:color w:val="000000" w:themeColor="text1"/>
          <w:szCs w:val="22"/>
        </w:rPr>
        <w:lastRenderedPageBreak/>
        <w:t>Presupuesto asignado a la presidencia municipal, síndico municipal y regidores, desglosado por capítulo, de los ejercicios fiscales 2022, 2023 y 2024.</w:t>
      </w:r>
    </w:p>
    <w:p w14:paraId="1C8414E1" w14:textId="77777777" w:rsidR="00915DA0" w:rsidRPr="00CA7A41" w:rsidRDefault="00915DA0" w:rsidP="00E35ABB">
      <w:pPr>
        <w:tabs>
          <w:tab w:val="left" w:pos="8080"/>
        </w:tabs>
        <w:spacing w:line="360" w:lineRule="auto"/>
        <w:ind w:right="48"/>
        <w:contextualSpacing/>
        <w:jc w:val="both"/>
        <w:rPr>
          <w:rFonts w:ascii="Palatino Linotype" w:eastAsia="Palatino Linotype" w:hAnsi="Palatino Linotype" w:cs="Palatino Linotype"/>
          <w:b/>
          <w:sz w:val="22"/>
          <w:szCs w:val="22"/>
        </w:rPr>
      </w:pPr>
    </w:p>
    <w:p w14:paraId="1C8414E2" w14:textId="77777777" w:rsidR="00E35ABB" w:rsidRPr="00CA7A41" w:rsidRDefault="00E35ABB" w:rsidP="00E35ABB">
      <w:pPr>
        <w:tabs>
          <w:tab w:val="left" w:pos="8080"/>
        </w:tabs>
        <w:spacing w:line="360" w:lineRule="auto"/>
        <w:ind w:right="48"/>
        <w:contextualSpacing/>
        <w:jc w:val="both"/>
        <w:rPr>
          <w:rFonts w:ascii="Palatino Linotype" w:hAnsi="Palatino Linotype"/>
          <w:color w:val="222222"/>
          <w:sz w:val="22"/>
          <w:szCs w:val="22"/>
          <w:shd w:val="clear" w:color="auto" w:fill="FFFFFF"/>
        </w:rPr>
      </w:pPr>
      <w:r w:rsidRPr="00CA7A41">
        <w:rPr>
          <w:rFonts w:ascii="Palatino Linotype" w:eastAsia="Palatino Linotype" w:hAnsi="Palatino Linotype" w:cs="Palatino Linotype"/>
          <w:b/>
          <w:sz w:val="22"/>
          <w:szCs w:val="22"/>
        </w:rPr>
        <w:t xml:space="preserve">TERCERO. Notifíquese </w:t>
      </w:r>
      <w:r w:rsidRPr="00CA7A41">
        <w:rPr>
          <w:rFonts w:ascii="Palatino Linotype" w:eastAsia="Palatino Linotype" w:hAnsi="Palatino Linotype" w:cs="Palatino Linotype"/>
          <w:sz w:val="22"/>
          <w:szCs w:val="22"/>
        </w:rPr>
        <w:t>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C8414E3" w14:textId="77777777" w:rsidR="00E35ABB" w:rsidRPr="00CA7A41" w:rsidRDefault="00E35ABB" w:rsidP="00E35ABB">
      <w:pPr>
        <w:tabs>
          <w:tab w:val="left" w:pos="8080"/>
        </w:tabs>
        <w:spacing w:line="360" w:lineRule="auto"/>
        <w:ind w:right="48"/>
        <w:contextualSpacing/>
        <w:jc w:val="both"/>
        <w:rPr>
          <w:rFonts w:ascii="Palatino Linotype" w:hAnsi="Palatino Linotype"/>
          <w:color w:val="222222"/>
          <w:sz w:val="22"/>
          <w:szCs w:val="22"/>
          <w:shd w:val="clear" w:color="auto" w:fill="FFFFFF"/>
        </w:rPr>
      </w:pPr>
    </w:p>
    <w:p w14:paraId="1C8414E4" w14:textId="77777777" w:rsidR="00E35ABB" w:rsidRPr="00CA7A41" w:rsidRDefault="00E35ABB" w:rsidP="00E35ABB">
      <w:pPr>
        <w:shd w:val="clear" w:color="auto" w:fill="FFFFFF"/>
        <w:spacing w:line="360" w:lineRule="auto"/>
        <w:ind w:right="48"/>
        <w:jc w:val="both"/>
        <w:rPr>
          <w:rFonts w:ascii="Palatino Linotype" w:hAnsi="Palatino Linotype"/>
          <w:sz w:val="22"/>
          <w:szCs w:val="22"/>
        </w:rPr>
      </w:pPr>
      <w:r w:rsidRPr="00CA7A41">
        <w:rPr>
          <w:rFonts w:ascii="Palatino Linotype" w:hAnsi="Palatino Linotype" w:cs="Arial"/>
          <w:b/>
          <w:sz w:val="22"/>
          <w:szCs w:val="22"/>
        </w:rPr>
        <w:t xml:space="preserve">CUARTO. </w:t>
      </w:r>
      <w:r w:rsidRPr="00CA7A41">
        <w:rPr>
          <w:rFonts w:ascii="Palatino Linotype" w:hAnsi="Palatino Linotype"/>
          <w:b/>
          <w:bCs/>
          <w:sz w:val="22"/>
          <w:szCs w:val="22"/>
          <w:lang w:val="es-ES"/>
        </w:rPr>
        <w:t>Notifíquese al RECURRENTE</w:t>
      </w:r>
      <w:r w:rsidRPr="00CA7A41">
        <w:rPr>
          <w:rFonts w:ascii="Palatino Linotype" w:hAnsi="Palatino Linotype"/>
          <w:sz w:val="22"/>
          <w:szCs w:val="22"/>
        </w:rPr>
        <w:t xml:space="preserve"> la presente resolución vía SAIMEX.</w:t>
      </w:r>
    </w:p>
    <w:p w14:paraId="1C8414E5" w14:textId="77777777" w:rsidR="00E35ABB" w:rsidRPr="00CA7A41" w:rsidRDefault="00E35ABB" w:rsidP="00E35ABB">
      <w:pPr>
        <w:shd w:val="clear" w:color="auto" w:fill="FFFFFF"/>
        <w:spacing w:line="360" w:lineRule="auto"/>
        <w:ind w:right="48"/>
        <w:jc w:val="both"/>
        <w:rPr>
          <w:rFonts w:ascii="Palatino Linotype" w:hAnsi="Palatino Linotype"/>
          <w:b/>
          <w:color w:val="FF0000"/>
          <w:sz w:val="22"/>
          <w:szCs w:val="22"/>
        </w:rPr>
      </w:pPr>
    </w:p>
    <w:p w14:paraId="1C8414E6" w14:textId="77777777" w:rsidR="00E35ABB" w:rsidRPr="00CA7A41" w:rsidRDefault="00E35ABB" w:rsidP="00E35ABB">
      <w:pPr>
        <w:spacing w:line="360" w:lineRule="auto"/>
        <w:ind w:right="48"/>
        <w:jc w:val="both"/>
        <w:rPr>
          <w:rFonts w:ascii="Palatino Linotype" w:eastAsia="MS Mincho" w:hAnsi="Palatino Linotype"/>
          <w:sz w:val="22"/>
          <w:szCs w:val="22"/>
          <w:lang w:val="es-ES"/>
        </w:rPr>
      </w:pPr>
      <w:r w:rsidRPr="00CA7A41">
        <w:rPr>
          <w:rFonts w:ascii="Palatino Linotype" w:eastAsia="MS Mincho" w:hAnsi="Palatino Linotype"/>
          <w:b/>
          <w:sz w:val="22"/>
          <w:szCs w:val="22"/>
        </w:rPr>
        <w:t>QUINTO.</w:t>
      </w:r>
      <w:r w:rsidRPr="00CA7A41">
        <w:rPr>
          <w:rFonts w:ascii="Palatino Linotype" w:eastAsia="MS Mincho" w:hAnsi="Palatino Linotype"/>
          <w:sz w:val="22"/>
          <w:szCs w:val="22"/>
        </w:rPr>
        <w:t xml:space="preserve"> </w:t>
      </w:r>
      <w:r w:rsidRPr="00CA7A41">
        <w:rPr>
          <w:rFonts w:ascii="Palatino Linotype" w:eastAsia="MS Mincho" w:hAnsi="Palatino Linotype"/>
          <w:sz w:val="22"/>
          <w:szCs w:val="22"/>
          <w:lang w:val="es-ES"/>
        </w:rPr>
        <w:t xml:space="preserve">Se hace del conocimiento del </w:t>
      </w:r>
      <w:r w:rsidRPr="00CA7A41">
        <w:rPr>
          <w:rFonts w:ascii="Palatino Linotype" w:hAnsi="Palatino Linotype"/>
          <w:b/>
          <w:sz w:val="22"/>
          <w:szCs w:val="22"/>
        </w:rPr>
        <w:t>RECURRENTE</w:t>
      </w:r>
      <w:r w:rsidRPr="00CA7A41">
        <w:rPr>
          <w:rFonts w:ascii="Palatino Linotype" w:hAnsi="Palatino Linotype"/>
          <w:sz w:val="22"/>
          <w:szCs w:val="22"/>
        </w:rPr>
        <w:t xml:space="preserve"> </w:t>
      </w:r>
      <w:r w:rsidRPr="00CA7A41">
        <w:rPr>
          <w:rFonts w:ascii="Palatino Linotype" w:eastAsia="MS Mincho" w:hAnsi="Palatino Linotype"/>
          <w:sz w:val="22"/>
          <w:szCs w:val="22"/>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CA7A41">
        <w:rPr>
          <w:rFonts w:ascii="Palatino Linotype" w:eastAsia="MS Mincho" w:hAnsi="Palatino Linotype"/>
          <w:bCs/>
          <w:sz w:val="22"/>
          <w:szCs w:val="22"/>
          <w:lang w:val="es-ES"/>
        </w:rPr>
        <w:t>vía juicio de amparo</w:t>
      </w:r>
      <w:r w:rsidRPr="00CA7A41">
        <w:rPr>
          <w:rFonts w:ascii="Palatino Linotype" w:eastAsia="MS Mincho" w:hAnsi="Palatino Linotype"/>
          <w:sz w:val="22"/>
          <w:szCs w:val="22"/>
          <w:lang w:val="es-ES"/>
        </w:rPr>
        <w:t> en los términos de las leyes aplicables.</w:t>
      </w:r>
    </w:p>
    <w:p w14:paraId="1C8414E7" w14:textId="77777777" w:rsidR="00E35ABB" w:rsidRPr="00CA7A41" w:rsidRDefault="00E35ABB" w:rsidP="00E35ABB">
      <w:pPr>
        <w:spacing w:line="360" w:lineRule="auto"/>
        <w:ind w:right="48"/>
        <w:jc w:val="both"/>
        <w:rPr>
          <w:rFonts w:ascii="Palatino Linotype" w:hAnsi="Palatino Linotype"/>
          <w:color w:val="000000"/>
          <w:sz w:val="22"/>
          <w:szCs w:val="22"/>
          <w:shd w:val="clear" w:color="auto" w:fill="FFFFFF"/>
        </w:rPr>
      </w:pPr>
    </w:p>
    <w:p w14:paraId="1C8414E8" w14:textId="77777777" w:rsidR="00E35ABB" w:rsidRPr="00CA7A41" w:rsidRDefault="00E35ABB" w:rsidP="00E35ABB">
      <w:pPr>
        <w:spacing w:line="360" w:lineRule="auto"/>
        <w:ind w:right="48"/>
        <w:jc w:val="both"/>
        <w:rPr>
          <w:rFonts w:ascii="Palatino Linotype" w:eastAsia="Calibri" w:hAnsi="Palatino Linotype" w:cs="Arial"/>
          <w:bCs/>
          <w:sz w:val="22"/>
          <w:szCs w:val="22"/>
        </w:rPr>
      </w:pPr>
      <w:r w:rsidRPr="00CA7A41">
        <w:rPr>
          <w:rFonts w:ascii="Palatino Linotype" w:hAnsi="Palatino Linotype"/>
          <w:b/>
          <w:color w:val="000000"/>
          <w:sz w:val="22"/>
          <w:szCs w:val="22"/>
          <w:shd w:val="clear" w:color="auto" w:fill="FFFFFF"/>
        </w:rPr>
        <w:t xml:space="preserve">SEXTO. </w:t>
      </w:r>
      <w:r w:rsidRPr="00CA7A41">
        <w:rPr>
          <w:rFonts w:ascii="Palatino Linotype" w:eastAsia="Calibri" w:hAnsi="Palatino Linotype" w:cs="Arial"/>
          <w:b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C8414E9" w14:textId="77777777" w:rsidR="00E35ABB" w:rsidRPr="00CA7A41" w:rsidRDefault="00E35ABB" w:rsidP="00E35ABB">
      <w:pPr>
        <w:shd w:val="clear" w:color="auto" w:fill="FFFFFF"/>
        <w:spacing w:line="360" w:lineRule="auto"/>
        <w:jc w:val="both"/>
        <w:rPr>
          <w:rFonts w:ascii="Palatino Linotype" w:hAnsi="Palatino Linotype"/>
          <w:sz w:val="22"/>
          <w:szCs w:val="22"/>
          <w:lang w:val="es-ES"/>
        </w:rPr>
      </w:pPr>
    </w:p>
    <w:p w14:paraId="420641F2" w14:textId="77777777" w:rsidR="00456D2D" w:rsidRPr="000C614A" w:rsidRDefault="00456D2D" w:rsidP="00456D2D">
      <w:pPr>
        <w:spacing w:line="360" w:lineRule="auto"/>
        <w:ind w:firstLine="1"/>
        <w:jc w:val="both"/>
        <w:rPr>
          <w:rFonts w:ascii="Palatino Linotype" w:hAnsi="Palatino Linotype"/>
        </w:rPr>
      </w:pPr>
      <w:bookmarkStart w:id="33" w:name="_Hlk178879774"/>
      <w:r w:rsidRPr="00CA7A41">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w:t>
      </w:r>
      <w:r w:rsidRPr="000C614A">
        <w:rPr>
          <w:rFonts w:ascii="Palatino Linotype" w:hAnsi="Palatino Linotype"/>
        </w:rPr>
        <w:t xml:space="preserve"> </w:t>
      </w:r>
    </w:p>
    <w:bookmarkEnd w:id="33"/>
    <w:p w14:paraId="1C8414EB" w14:textId="77777777" w:rsidR="00E35ABB" w:rsidRPr="00F959A7" w:rsidRDefault="00E35ABB" w:rsidP="00E35ABB">
      <w:pPr>
        <w:spacing w:line="360" w:lineRule="auto"/>
        <w:jc w:val="both"/>
        <w:rPr>
          <w:rFonts w:ascii="Palatino Linotype" w:hAnsi="Palatino Linotype" w:cs="Arial"/>
          <w:sz w:val="22"/>
          <w:szCs w:val="22"/>
        </w:rPr>
      </w:pPr>
    </w:p>
    <w:p w14:paraId="1C8414EC" w14:textId="77777777" w:rsidR="00E35ABB" w:rsidRPr="00F959A7" w:rsidRDefault="00E35ABB" w:rsidP="00E35ABB">
      <w:pPr>
        <w:spacing w:line="360" w:lineRule="auto"/>
        <w:jc w:val="both"/>
        <w:rPr>
          <w:rFonts w:ascii="Palatino Linotype" w:hAnsi="Palatino Linotype" w:cs="Arial"/>
          <w:sz w:val="22"/>
          <w:szCs w:val="22"/>
        </w:rPr>
      </w:pPr>
    </w:p>
    <w:p w14:paraId="1C8414ED" w14:textId="77777777" w:rsidR="00E35ABB" w:rsidRPr="00F959A7" w:rsidRDefault="00E35ABB" w:rsidP="00E35ABB">
      <w:pPr>
        <w:spacing w:line="360" w:lineRule="auto"/>
        <w:rPr>
          <w:rFonts w:ascii="Palatino Linotype" w:hAnsi="Palatino Linotype"/>
          <w:sz w:val="22"/>
          <w:szCs w:val="22"/>
        </w:rPr>
      </w:pPr>
    </w:p>
    <w:p w14:paraId="1C8414EE" w14:textId="77777777" w:rsidR="00E35ABB" w:rsidRPr="00F959A7" w:rsidRDefault="00E35ABB" w:rsidP="00E35ABB">
      <w:pPr>
        <w:spacing w:line="360" w:lineRule="auto"/>
        <w:rPr>
          <w:rFonts w:ascii="Palatino Linotype" w:hAnsi="Palatino Linotype"/>
          <w:sz w:val="22"/>
          <w:szCs w:val="22"/>
        </w:rPr>
      </w:pPr>
    </w:p>
    <w:p w14:paraId="1C8414EF" w14:textId="77777777" w:rsidR="00E35ABB" w:rsidRPr="00F959A7" w:rsidRDefault="00E35ABB" w:rsidP="00E35ABB">
      <w:pPr>
        <w:spacing w:line="360" w:lineRule="auto"/>
        <w:rPr>
          <w:rFonts w:ascii="Palatino Linotype" w:hAnsi="Palatino Linotype"/>
          <w:sz w:val="22"/>
          <w:szCs w:val="22"/>
        </w:rPr>
      </w:pPr>
    </w:p>
    <w:p w14:paraId="1C8414F0" w14:textId="77777777" w:rsidR="00E35ABB" w:rsidRPr="00F959A7" w:rsidRDefault="00E35ABB" w:rsidP="00E35ABB">
      <w:pPr>
        <w:spacing w:line="360" w:lineRule="auto"/>
        <w:rPr>
          <w:rFonts w:ascii="Palatino Linotype" w:hAnsi="Palatino Linotype"/>
          <w:sz w:val="22"/>
          <w:szCs w:val="22"/>
        </w:rPr>
      </w:pPr>
    </w:p>
    <w:p w14:paraId="1C8414F1" w14:textId="77777777" w:rsidR="00E35ABB" w:rsidRPr="00F959A7" w:rsidRDefault="00E35ABB" w:rsidP="00E35ABB">
      <w:pPr>
        <w:spacing w:line="360" w:lineRule="auto"/>
        <w:rPr>
          <w:rFonts w:ascii="Palatino Linotype" w:hAnsi="Palatino Linotype"/>
          <w:sz w:val="22"/>
          <w:szCs w:val="22"/>
        </w:rPr>
      </w:pPr>
    </w:p>
    <w:p w14:paraId="1C8414F2" w14:textId="77777777" w:rsidR="00E35ABB" w:rsidRPr="00F959A7" w:rsidRDefault="00E35ABB" w:rsidP="00E35ABB">
      <w:pPr>
        <w:rPr>
          <w:rFonts w:ascii="Palatino Linotype" w:hAnsi="Palatino Linotype"/>
          <w:sz w:val="22"/>
          <w:szCs w:val="22"/>
        </w:rPr>
      </w:pPr>
    </w:p>
    <w:p w14:paraId="1C8414F3" w14:textId="77777777" w:rsidR="00E35ABB" w:rsidRPr="00F959A7" w:rsidRDefault="00E35ABB" w:rsidP="00E35ABB">
      <w:pPr>
        <w:rPr>
          <w:rFonts w:ascii="Palatino Linotype" w:hAnsi="Palatino Linotype"/>
          <w:sz w:val="22"/>
          <w:szCs w:val="22"/>
        </w:rPr>
      </w:pPr>
    </w:p>
    <w:p w14:paraId="1C8414F4" w14:textId="77777777" w:rsidR="00E35ABB" w:rsidRPr="00F959A7" w:rsidRDefault="00E35ABB" w:rsidP="00E35ABB">
      <w:pPr>
        <w:rPr>
          <w:rFonts w:ascii="Palatino Linotype" w:hAnsi="Palatino Linotype"/>
          <w:sz w:val="22"/>
          <w:szCs w:val="22"/>
        </w:rPr>
      </w:pPr>
    </w:p>
    <w:p w14:paraId="1C8414F5" w14:textId="77777777" w:rsidR="00E35ABB" w:rsidRPr="00F959A7" w:rsidRDefault="00E35ABB" w:rsidP="00E35ABB">
      <w:pPr>
        <w:rPr>
          <w:rFonts w:ascii="Palatino Linotype" w:hAnsi="Palatino Linotype"/>
          <w:sz w:val="22"/>
          <w:szCs w:val="22"/>
        </w:rPr>
      </w:pPr>
    </w:p>
    <w:p w14:paraId="1C8414F6" w14:textId="77777777" w:rsidR="00E35ABB" w:rsidRPr="00F959A7" w:rsidRDefault="00E35ABB" w:rsidP="00E35ABB">
      <w:pPr>
        <w:rPr>
          <w:rFonts w:ascii="Palatino Linotype" w:hAnsi="Palatino Linotype"/>
          <w:sz w:val="22"/>
          <w:szCs w:val="22"/>
        </w:rPr>
      </w:pPr>
    </w:p>
    <w:p w14:paraId="1C8414F7" w14:textId="77777777" w:rsidR="00E35ABB" w:rsidRPr="00F959A7" w:rsidRDefault="00E35ABB" w:rsidP="00E35ABB">
      <w:pPr>
        <w:rPr>
          <w:rFonts w:ascii="Palatino Linotype" w:hAnsi="Palatino Linotype"/>
          <w:sz w:val="22"/>
          <w:szCs w:val="22"/>
        </w:rPr>
      </w:pPr>
    </w:p>
    <w:p w14:paraId="1C8414F8" w14:textId="77777777" w:rsidR="00E35ABB" w:rsidRDefault="00E35ABB" w:rsidP="00E35ABB">
      <w:pPr>
        <w:rPr>
          <w:rFonts w:ascii="Palatino Linotype" w:hAnsi="Palatino Linotype"/>
          <w:sz w:val="22"/>
          <w:szCs w:val="22"/>
        </w:rPr>
      </w:pPr>
    </w:p>
    <w:p w14:paraId="47F272FE" w14:textId="77777777" w:rsidR="00CA7A41" w:rsidRDefault="00CA7A41" w:rsidP="00E35ABB">
      <w:pPr>
        <w:rPr>
          <w:rFonts w:ascii="Palatino Linotype" w:hAnsi="Palatino Linotype"/>
          <w:sz w:val="22"/>
          <w:szCs w:val="22"/>
        </w:rPr>
      </w:pPr>
    </w:p>
    <w:p w14:paraId="3B32656C" w14:textId="77777777" w:rsidR="00CA7A41" w:rsidRDefault="00CA7A41" w:rsidP="00E35ABB">
      <w:pPr>
        <w:rPr>
          <w:rFonts w:ascii="Palatino Linotype" w:hAnsi="Palatino Linotype"/>
          <w:sz w:val="22"/>
          <w:szCs w:val="22"/>
        </w:rPr>
      </w:pPr>
    </w:p>
    <w:p w14:paraId="1769B056" w14:textId="77777777" w:rsidR="00CA7A41" w:rsidRDefault="00CA7A41" w:rsidP="00E35ABB">
      <w:pPr>
        <w:rPr>
          <w:rFonts w:ascii="Palatino Linotype" w:hAnsi="Palatino Linotype"/>
          <w:sz w:val="22"/>
          <w:szCs w:val="22"/>
        </w:rPr>
      </w:pPr>
    </w:p>
    <w:p w14:paraId="4C9E8D63" w14:textId="77777777" w:rsidR="00CA7A41" w:rsidRDefault="00CA7A41" w:rsidP="00E35ABB">
      <w:pPr>
        <w:rPr>
          <w:rFonts w:ascii="Palatino Linotype" w:hAnsi="Palatino Linotype"/>
          <w:sz w:val="22"/>
          <w:szCs w:val="22"/>
        </w:rPr>
      </w:pPr>
    </w:p>
    <w:p w14:paraId="79A2E701" w14:textId="77777777" w:rsidR="00CA7A41" w:rsidRDefault="00CA7A41" w:rsidP="00E35ABB">
      <w:pPr>
        <w:rPr>
          <w:rFonts w:ascii="Palatino Linotype" w:hAnsi="Palatino Linotype"/>
          <w:sz w:val="22"/>
          <w:szCs w:val="22"/>
        </w:rPr>
      </w:pPr>
    </w:p>
    <w:p w14:paraId="7984FB9C" w14:textId="77777777" w:rsidR="00CA7A41" w:rsidRDefault="00CA7A41" w:rsidP="00E35ABB">
      <w:pPr>
        <w:rPr>
          <w:rFonts w:ascii="Palatino Linotype" w:hAnsi="Palatino Linotype"/>
          <w:sz w:val="22"/>
          <w:szCs w:val="22"/>
        </w:rPr>
      </w:pPr>
    </w:p>
    <w:p w14:paraId="7DB57F63" w14:textId="77777777" w:rsidR="00CA7A41" w:rsidRPr="00F959A7" w:rsidRDefault="00CA7A41" w:rsidP="00E35ABB">
      <w:pPr>
        <w:rPr>
          <w:rFonts w:ascii="Palatino Linotype" w:hAnsi="Palatino Linotype"/>
          <w:sz w:val="22"/>
          <w:szCs w:val="22"/>
        </w:rPr>
      </w:pPr>
    </w:p>
    <w:p w14:paraId="1C8414F9" w14:textId="77777777" w:rsidR="00F5769D" w:rsidRPr="00F959A7" w:rsidRDefault="00F5769D">
      <w:pPr>
        <w:rPr>
          <w:rFonts w:ascii="Palatino Linotype" w:hAnsi="Palatino Linotype"/>
          <w:sz w:val="22"/>
          <w:szCs w:val="22"/>
        </w:rPr>
      </w:pPr>
    </w:p>
    <w:sectPr w:rsidR="00F5769D" w:rsidRPr="00F959A7" w:rsidSect="00610270">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481D9" w14:textId="77777777" w:rsidR="00D9351C" w:rsidRDefault="00D9351C" w:rsidP="00E35ABB">
      <w:r>
        <w:separator/>
      </w:r>
    </w:p>
  </w:endnote>
  <w:endnote w:type="continuationSeparator" w:id="0">
    <w:p w14:paraId="78F7F45D" w14:textId="77777777" w:rsidR="00D9351C" w:rsidRDefault="00D9351C" w:rsidP="00E3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4150E" w14:textId="77777777" w:rsidR="00610270" w:rsidRDefault="00610270">
    <w:pPr>
      <w:pStyle w:val="Piedepgina"/>
      <w:jc w:val="right"/>
    </w:pPr>
    <w:r>
      <w:rPr>
        <w:lang w:val="es-ES"/>
      </w:rPr>
      <w:t xml:space="preserve">Página </w:t>
    </w:r>
    <w:r>
      <w:rPr>
        <w:b/>
        <w:bCs/>
      </w:rPr>
      <w:fldChar w:fldCharType="begin"/>
    </w:r>
    <w:r>
      <w:rPr>
        <w:b/>
        <w:bCs/>
      </w:rPr>
      <w:instrText>PAGE</w:instrText>
    </w:r>
    <w:r>
      <w:rPr>
        <w:b/>
        <w:bCs/>
      </w:rPr>
      <w:fldChar w:fldCharType="separate"/>
    </w:r>
    <w:r w:rsidR="00322DF0">
      <w:rPr>
        <w:b/>
        <w:bCs/>
        <w:noProof/>
      </w:rPr>
      <w:t>16</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22DF0">
      <w:rPr>
        <w:b/>
        <w:bCs/>
        <w:noProof/>
      </w:rPr>
      <w:t>17</w:t>
    </w:r>
    <w:r>
      <w:rPr>
        <w:b/>
        <w:bCs/>
      </w:rPr>
      <w:fldChar w:fldCharType="end"/>
    </w:r>
  </w:p>
  <w:p w14:paraId="1C84150F" w14:textId="77777777" w:rsidR="00610270" w:rsidRDefault="0061027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41521" w14:textId="77777777" w:rsidR="00610270" w:rsidRDefault="00610270">
    <w:pPr>
      <w:pStyle w:val="Piedepgina"/>
      <w:jc w:val="right"/>
    </w:pPr>
    <w:r>
      <w:rPr>
        <w:lang w:val="es-ES"/>
      </w:rPr>
      <w:t xml:space="preserve">Página </w:t>
    </w:r>
    <w:r>
      <w:rPr>
        <w:b/>
        <w:bCs/>
      </w:rPr>
      <w:fldChar w:fldCharType="begin"/>
    </w:r>
    <w:r>
      <w:rPr>
        <w:b/>
        <w:bCs/>
      </w:rPr>
      <w:instrText>PAGE</w:instrText>
    </w:r>
    <w:r>
      <w:rPr>
        <w:b/>
        <w:bCs/>
      </w:rPr>
      <w:fldChar w:fldCharType="separate"/>
    </w:r>
    <w:r w:rsidR="00322DF0">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22DF0">
      <w:rPr>
        <w:b/>
        <w:bCs/>
        <w:noProof/>
      </w:rPr>
      <w:t>17</w:t>
    </w:r>
    <w:r>
      <w:rPr>
        <w:b/>
        <w:bCs/>
      </w:rPr>
      <w:fldChar w:fldCharType="end"/>
    </w:r>
  </w:p>
  <w:p w14:paraId="1C841522" w14:textId="77777777" w:rsidR="00610270" w:rsidRDefault="006102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C040E" w14:textId="77777777" w:rsidR="00D9351C" w:rsidRDefault="00D9351C" w:rsidP="00E35ABB">
      <w:r>
        <w:separator/>
      </w:r>
    </w:p>
  </w:footnote>
  <w:footnote w:type="continuationSeparator" w:id="0">
    <w:p w14:paraId="7A0E269D" w14:textId="77777777" w:rsidR="00D9351C" w:rsidRDefault="00D9351C" w:rsidP="00E35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414FE" w14:textId="77777777" w:rsidR="00610270" w:rsidRDefault="00D9351C">
    <w:pPr>
      <w:pStyle w:val="Encabezado"/>
    </w:pPr>
    <w:r>
      <w:rPr>
        <w:noProof/>
      </w:rPr>
      <w:pict w14:anchorId="1C841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style="position:absolute;margin-left:0;margin-top:0;width:589.8pt;height:768pt;z-index:-25165977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610270" w:rsidRPr="005C106F" w14:paraId="1C84150C" w14:textId="77777777" w:rsidTr="00610270">
      <w:trPr>
        <w:trHeight w:val="1435"/>
      </w:trPr>
      <w:tc>
        <w:tcPr>
          <w:tcW w:w="2268" w:type="dxa"/>
          <w:shd w:val="clear" w:color="auto" w:fill="auto"/>
        </w:tcPr>
        <w:p w14:paraId="1C8414FF" w14:textId="77777777" w:rsidR="00610270" w:rsidRPr="005C106F" w:rsidRDefault="00610270" w:rsidP="00610270">
          <w:pPr>
            <w:tabs>
              <w:tab w:val="right" w:pos="4273"/>
            </w:tabs>
            <w:rPr>
              <w:rFonts w:ascii="Garamond" w:eastAsia="Calibri" w:hAnsi="Garamond"/>
              <w:sz w:val="16"/>
              <w:szCs w:val="16"/>
              <w:lang w:eastAsia="en-US"/>
            </w:rPr>
          </w:pPr>
        </w:p>
      </w:tc>
      <w:tc>
        <w:tcPr>
          <w:tcW w:w="6946" w:type="dxa"/>
          <w:shd w:val="clear" w:color="auto" w:fill="auto"/>
        </w:tcPr>
        <w:p w14:paraId="1C841500" w14:textId="77777777" w:rsidR="00610270" w:rsidRDefault="00610270" w:rsidP="00610270"/>
        <w:tbl>
          <w:tblPr>
            <w:tblW w:w="6662" w:type="dxa"/>
            <w:tblInd w:w="40" w:type="dxa"/>
            <w:tblLayout w:type="fixed"/>
            <w:tblLook w:val="0420" w:firstRow="1" w:lastRow="0" w:firstColumn="0" w:lastColumn="0" w:noHBand="0" w:noVBand="1"/>
          </w:tblPr>
          <w:tblGrid>
            <w:gridCol w:w="2551"/>
            <w:gridCol w:w="4111"/>
          </w:tblGrid>
          <w:tr w:rsidR="00610270" w14:paraId="1C841503" w14:textId="77777777" w:rsidTr="00610270">
            <w:trPr>
              <w:trHeight w:val="150"/>
            </w:trPr>
            <w:tc>
              <w:tcPr>
                <w:tcW w:w="2551" w:type="dxa"/>
                <w:shd w:val="clear" w:color="auto" w:fill="auto"/>
              </w:tcPr>
              <w:p w14:paraId="1C841501" w14:textId="77777777" w:rsidR="00610270" w:rsidRPr="00020E73" w:rsidRDefault="00610270" w:rsidP="00610270">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1C841502" w14:textId="77777777" w:rsidR="00610270" w:rsidRPr="00020E73" w:rsidRDefault="00610270" w:rsidP="00610270">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07418/INFOEM/IP/RR/2024</w:t>
                </w:r>
              </w:p>
            </w:tc>
          </w:tr>
          <w:tr w:rsidR="00610270" w14:paraId="1C841506" w14:textId="77777777" w:rsidTr="00610270">
            <w:trPr>
              <w:trHeight w:val="295"/>
            </w:trPr>
            <w:tc>
              <w:tcPr>
                <w:tcW w:w="2551" w:type="dxa"/>
                <w:shd w:val="clear" w:color="auto" w:fill="auto"/>
              </w:tcPr>
              <w:p w14:paraId="1C841504" w14:textId="77777777" w:rsidR="00610270" w:rsidRPr="00020E73" w:rsidRDefault="00610270" w:rsidP="00610270">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1C841505" w14:textId="77777777" w:rsidR="00610270" w:rsidRPr="00E35ABB" w:rsidRDefault="00610270" w:rsidP="00610270">
                <w:pPr>
                  <w:tabs>
                    <w:tab w:val="left" w:pos="2834"/>
                    <w:tab w:val="right" w:pos="8838"/>
                  </w:tabs>
                  <w:ind w:left="-108" w:right="-102"/>
                  <w:jc w:val="both"/>
                  <w:rPr>
                    <w:rFonts w:ascii="Palatino Linotype" w:eastAsia="Calibri" w:hAnsi="Palatino Linotype" w:cs="Tahoma"/>
                    <w:sz w:val="22"/>
                    <w:szCs w:val="22"/>
                    <w:lang w:val="es-ES" w:eastAsia="en-US"/>
                  </w:rPr>
                </w:pPr>
                <w:r w:rsidRPr="00E35ABB">
                  <w:rPr>
                    <w:rFonts w:ascii="Palatino Linotype" w:eastAsia="Calibri" w:hAnsi="Palatino Linotype" w:cs="Tahoma"/>
                    <w:bCs/>
                    <w:sz w:val="22"/>
                    <w:szCs w:val="22"/>
                    <w:lang w:eastAsia="en-US"/>
                  </w:rPr>
                  <w:t>Ayuntamiento de Tequixquiac</w:t>
                </w:r>
              </w:p>
            </w:tc>
          </w:tr>
          <w:tr w:rsidR="00610270" w14:paraId="1C84150A" w14:textId="77777777" w:rsidTr="00610270">
            <w:trPr>
              <w:trHeight w:val="295"/>
            </w:trPr>
            <w:tc>
              <w:tcPr>
                <w:tcW w:w="2551" w:type="dxa"/>
                <w:shd w:val="clear" w:color="auto" w:fill="auto"/>
              </w:tcPr>
              <w:p w14:paraId="1C841507" w14:textId="77777777" w:rsidR="00610270" w:rsidRPr="00020E73" w:rsidRDefault="00610270" w:rsidP="00610270">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1C841508" w14:textId="77777777" w:rsidR="00610270" w:rsidRPr="00020E73" w:rsidRDefault="00610270" w:rsidP="00610270">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1C841509" w14:textId="77777777" w:rsidR="00610270" w:rsidRPr="00020E73" w:rsidRDefault="00610270" w:rsidP="00610270">
                <w:pPr>
                  <w:tabs>
                    <w:tab w:val="right" w:pos="8838"/>
                  </w:tabs>
                  <w:ind w:left="-108" w:right="171"/>
                  <w:jc w:val="both"/>
                  <w:rPr>
                    <w:rFonts w:ascii="Palatino Linotype" w:eastAsia="Calibri" w:hAnsi="Palatino Linotype" w:cs="Tahoma"/>
                    <w:b/>
                    <w:sz w:val="22"/>
                    <w:szCs w:val="22"/>
                    <w:lang w:val="es-ES" w:eastAsia="en-US"/>
                  </w:rPr>
                </w:pPr>
              </w:p>
            </w:tc>
          </w:tr>
        </w:tbl>
        <w:p w14:paraId="1C84150B" w14:textId="77777777" w:rsidR="00610270" w:rsidRPr="005C106F" w:rsidRDefault="00610270" w:rsidP="00610270">
          <w:pPr>
            <w:tabs>
              <w:tab w:val="right" w:pos="8838"/>
            </w:tabs>
            <w:ind w:left="-28"/>
            <w:jc w:val="both"/>
            <w:rPr>
              <w:rFonts w:ascii="Arial" w:eastAsia="Calibri" w:hAnsi="Arial" w:cs="Arial"/>
              <w:b/>
              <w:sz w:val="22"/>
              <w:szCs w:val="22"/>
              <w:lang w:eastAsia="en-US"/>
            </w:rPr>
          </w:pPr>
        </w:p>
      </w:tc>
    </w:tr>
  </w:tbl>
  <w:p w14:paraId="1C84150D" w14:textId="77777777" w:rsidR="00610270" w:rsidRPr="00443C6B" w:rsidRDefault="00D9351C" w:rsidP="00610270">
    <w:pPr>
      <w:pStyle w:val="Encabezado"/>
      <w:rPr>
        <w:sz w:val="14"/>
      </w:rPr>
    </w:pPr>
    <w:r>
      <w:rPr>
        <w:noProof/>
        <w:sz w:val="14"/>
      </w:rPr>
      <w:pict w14:anchorId="1C841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style="position:absolute;margin-left:-68.8pt;margin-top:-120.5pt;width:589.8pt;height:768pt;z-index:-25165875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610270" w:rsidRPr="00330DA7" w14:paraId="1C84151F" w14:textId="77777777" w:rsidTr="00610270">
      <w:trPr>
        <w:trHeight w:val="1435"/>
      </w:trPr>
      <w:tc>
        <w:tcPr>
          <w:tcW w:w="2268" w:type="dxa"/>
          <w:shd w:val="clear" w:color="auto" w:fill="auto"/>
        </w:tcPr>
        <w:p w14:paraId="1C841510" w14:textId="77777777" w:rsidR="00610270" w:rsidRPr="00330DA7" w:rsidRDefault="00610270" w:rsidP="00610270">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610270" w:rsidRPr="00330DA7" w14:paraId="1C841513" w14:textId="77777777" w:rsidTr="00610270">
            <w:trPr>
              <w:trHeight w:val="144"/>
            </w:trPr>
            <w:tc>
              <w:tcPr>
                <w:tcW w:w="2444" w:type="dxa"/>
                <w:shd w:val="clear" w:color="auto" w:fill="auto"/>
              </w:tcPr>
              <w:p w14:paraId="1C841511" w14:textId="77777777" w:rsidR="00610270" w:rsidRPr="00020E73" w:rsidRDefault="00610270" w:rsidP="00610270">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1C841512" w14:textId="77777777" w:rsidR="00610270" w:rsidRPr="00D434A5" w:rsidRDefault="00610270" w:rsidP="00610270">
                <w:pPr>
                  <w:tabs>
                    <w:tab w:val="right" w:pos="8838"/>
                  </w:tabs>
                  <w:ind w:left="-74" w:right="-105"/>
                  <w:jc w:val="both"/>
                  <w:rPr>
                    <w:rFonts w:ascii="Palatino Linotype" w:eastAsia="Calibri" w:hAnsi="Palatino Linotype" w:cs="Tahoma"/>
                    <w:b/>
                    <w:bCs/>
                    <w:sz w:val="22"/>
                    <w:szCs w:val="22"/>
                    <w:lang w:val="es-ES" w:eastAsia="en-US"/>
                  </w:rPr>
                </w:pPr>
                <w:r>
                  <w:rPr>
                    <w:rFonts w:ascii="Palatino Linotype" w:eastAsia="Calibri" w:hAnsi="Palatino Linotype" w:cs="Tahoma"/>
                    <w:b/>
                    <w:sz w:val="22"/>
                    <w:szCs w:val="22"/>
                    <w:lang w:eastAsia="en-US"/>
                  </w:rPr>
                  <w:t>07418</w:t>
                </w:r>
                <w:r w:rsidRPr="00D434A5">
                  <w:rPr>
                    <w:rFonts w:ascii="Palatino Linotype" w:eastAsia="Calibri" w:hAnsi="Palatino Linotype" w:cs="Tahoma"/>
                    <w:b/>
                    <w:sz w:val="22"/>
                    <w:szCs w:val="22"/>
                    <w:lang w:eastAsia="en-US"/>
                  </w:rPr>
                  <w:t>/INFOEM/IP/RR/2024</w:t>
                </w:r>
              </w:p>
            </w:tc>
          </w:tr>
          <w:tr w:rsidR="00610270" w:rsidRPr="00330DA7" w14:paraId="1C841516" w14:textId="77777777" w:rsidTr="00610270">
            <w:trPr>
              <w:trHeight w:val="144"/>
            </w:trPr>
            <w:tc>
              <w:tcPr>
                <w:tcW w:w="2444" w:type="dxa"/>
                <w:shd w:val="clear" w:color="auto" w:fill="auto"/>
              </w:tcPr>
              <w:p w14:paraId="1C841514" w14:textId="77777777" w:rsidR="00610270" w:rsidRPr="00020E73" w:rsidRDefault="00610270" w:rsidP="00610270">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1C841515" w14:textId="17D85FD0" w:rsidR="00610270" w:rsidRPr="00D434A5" w:rsidRDefault="00322DF0" w:rsidP="00610270">
                <w:pPr>
                  <w:tabs>
                    <w:tab w:val="left" w:pos="3122"/>
                    <w:tab w:val="right" w:pos="8838"/>
                  </w:tabs>
                  <w:ind w:left="-74" w:right="-105"/>
                  <w:jc w:val="both"/>
                  <w:rPr>
                    <w:rFonts w:ascii="Palatino Linotype" w:eastAsia="Calibri" w:hAnsi="Palatino Linotype" w:cs="Tahoma"/>
                    <w:b/>
                    <w:sz w:val="22"/>
                    <w:szCs w:val="22"/>
                    <w:lang w:val="es-ES" w:eastAsia="en-US"/>
                  </w:rPr>
                </w:pPr>
                <w:r>
                  <w:rPr>
                    <w:rFonts w:ascii="Palatino Linotype" w:eastAsia="Calibri" w:hAnsi="Palatino Linotype" w:cs="Tahoma"/>
                    <w:b/>
                    <w:bCs/>
                    <w:sz w:val="22"/>
                    <w:szCs w:val="22"/>
                    <w:lang w:eastAsia="en-US"/>
                  </w:rPr>
                  <w:t xml:space="preserve">XXXX XXXXX </w:t>
                </w:r>
                <w:proofErr w:type="spellStart"/>
                <w:r>
                  <w:rPr>
                    <w:rFonts w:ascii="Palatino Linotype" w:eastAsia="Calibri" w:hAnsi="Palatino Linotype" w:cs="Tahoma"/>
                    <w:b/>
                    <w:bCs/>
                    <w:sz w:val="22"/>
                    <w:szCs w:val="22"/>
                    <w:lang w:eastAsia="en-US"/>
                  </w:rPr>
                  <w:t>XXXXX</w:t>
                </w:r>
                <w:proofErr w:type="spellEnd"/>
              </w:p>
            </w:tc>
          </w:tr>
          <w:tr w:rsidR="00610270" w:rsidRPr="00330DA7" w14:paraId="1C841519" w14:textId="77777777" w:rsidTr="00610270">
            <w:trPr>
              <w:trHeight w:val="283"/>
            </w:trPr>
            <w:tc>
              <w:tcPr>
                <w:tcW w:w="2444" w:type="dxa"/>
                <w:shd w:val="clear" w:color="auto" w:fill="auto"/>
              </w:tcPr>
              <w:p w14:paraId="1C841517" w14:textId="77777777" w:rsidR="00610270" w:rsidRPr="00020E73" w:rsidRDefault="00610270" w:rsidP="00610270">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1C841518" w14:textId="77777777" w:rsidR="00610270" w:rsidRPr="00D434A5" w:rsidRDefault="00610270" w:rsidP="00610270">
                <w:pPr>
                  <w:tabs>
                    <w:tab w:val="left" w:pos="2834"/>
                    <w:tab w:val="right" w:pos="8838"/>
                  </w:tabs>
                  <w:ind w:left="-74" w:right="-105"/>
                  <w:jc w:val="both"/>
                  <w:rPr>
                    <w:rFonts w:ascii="Palatino Linotype" w:eastAsia="Calibri" w:hAnsi="Palatino Linotype" w:cs="Tahoma"/>
                    <w:b/>
                    <w:sz w:val="22"/>
                    <w:szCs w:val="22"/>
                    <w:lang w:val="es-ES" w:eastAsia="en-US"/>
                  </w:rPr>
                </w:pPr>
                <w:r w:rsidRPr="00E35ABB">
                  <w:rPr>
                    <w:rFonts w:ascii="Palatino Linotype" w:eastAsia="Calibri" w:hAnsi="Palatino Linotype" w:cs="Tahoma"/>
                    <w:b/>
                    <w:bCs/>
                    <w:sz w:val="22"/>
                    <w:szCs w:val="22"/>
                    <w:lang w:eastAsia="en-US"/>
                  </w:rPr>
                  <w:t>Ayuntamiento de Tequixquiac</w:t>
                </w:r>
              </w:p>
            </w:tc>
          </w:tr>
          <w:tr w:rsidR="00610270" w:rsidRPr="00330DA7" w14:paraId="1C84151D" w14:textId="77777777" w:rsidTr="00610270">
            <w:trPr>
              <w:trHeight w:val="283"/>
            </w:trPr>
            <w:tc>
              <w:tcPr>
                <w:tcW w:w="2444" w:type="dxa"/>
                <w:shd w:val="clear" w:color="auto" w:fill="auto"/>
              </w:tcPr>
              <w:p w14:paraId="1C84151A" w14:textId="77777777" w:rsidR="00610270" w:rsidRPr="00020E73" w:rsidRDefault="00610270" w:rsidP="00610270">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1C84151B" w14:textId="77777777" w:rsidR="00610270" w:rsidRPr="00D434A5" w:rsidRDefault="00610270" w:rsidP="00610270">
                <w:pPr>
                  <w:tabs>
                    <w:tab w:val="right" w:pos="8838"/>
                  </w:tabs>
                  <w:ind w:left="-74" w:right="-105"/>
                  <w:jc w:val="both"/>
                  <w:rPr>
                    <w:rFonts w:ascii="Palatino Linotype" w:eastAsia="Calibri" w:hAnsi="Palatino Linotype" w:cs="Tahoma"/>
                    <w:b/>
                    <w:sz w:val="22"/>
                    <w:szCs w:val="22"/>
                    <w:lang w:val="es-ES" w:eastAsia="en-US"/>
                  </w:rPr>
                </w:pPr>
                <w:r w:rsidRPr="00D434A5">
                  <w:rPr>
                    <w:rFonts w:ascii="Palatino Linotype" w:eastAsia="Calibri" w:hAnsi="Palatino Linotype" w:cs="Tahoma"/>
                    <w:b/>
                    <w:sz w:val="22"/>
                    <w:szCs w:val="22"/>
                    <w:lang w:val="es-ES" w:eastAsia="en-US"/>
                  </w:rPr>
                  <w:t>María del Rosario Mejía Ayala</w:t>
                </w:r>
              </w:p>
              <w:p w14:paraId="1C84151C" w14:textId="77777777" w:rsidR="00610270" w:rsidRPr="00D434A5" w:rsidRDefault="00610270" w:rsidP="00610270">
                <w:pPr>
                  <w:tabs>
                    <w:tab w:val="right" w:pos="8838"/>
                  </w:tabs>
                  <w:ind w:left="-74" w:right="-105"/>
                  <w:jc w:val="both"/>
                  <w:rPr>
                    <w:rFonts w:ascii="Palatino Linotype" w:eastAsia="Calibri" w:hAnsi="Palatino Linotype" w:cs="Tahoma"/>
                    <w:b/>
                    <w:sz w:val="22"/>
                    <w:szCs w:val="22"/>
                    <w:lang w:val="es-ES" w:eastAsia="en-US"/>
                  </w:rPr>
                </w:pPr>
              </w:p>
            </w:tc>
          </w:tr>
        </w:tbl>
        <w:p w14:paraId="1C84151E" w14:textId="77777777" w:rsidR="00610270" w:rsidRPr="00330DA7" w:rsidRDefault="00610270" w:rsidP="00610270">
          <w:pPr>
            <w:tabs>
              <w:tab w:val="right" w:pos="8838"/>
            </w:tabs>
            <w:ind w:left="-28"/>
            <w:jc w:val="both"/>
            <w:rPr>
              <w:rFonts w:ascii="Arial" w:eastAsia="Calibri" w:hAnsi="Arial" w:cs="Arial"/>
              <w:b/>
              <w:sz w:val="22"/>
              <w:szCs w:val="22"/>
              <w:lang w:eastAsia="en-US"/>
            </w:rPr>
          </w:pPr>
        </w:p>
      </w:tc>
    </w:tr>
  </w:tbl>
  <w:p w14:paraId="1C841520" w14:textId="77777777" w:rsidR="00610270" w:rsidRPr="00827FA0" w:rsidRDefault="00D9351C" w:rsidP="00610270">
    <w:pPr>
      <w:pStyle w:val="Encabezado"/>
      <w:rPr>
        <w:sz w:val="2"/>
        <w:szCs w:val="22"/>
      </w:rPr>
    </w:pPr>
    <w:r>
      <w:rPr>
        <w:noProof/>
        <w:sz w:val="2"/>
        <w:szCs w:val="22"/>
      </w:rPr>
      <w:pict w14:anchorId="1C841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style="position:absolute;margin-left:-68.8pt;margin-top:-117.6pt;width:589.8pt;height:768pt;z-index:-25165772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45B4"/>
    <w:multiLevelType w:val="hybridMultilevel"/>
    <w:tmpl w:val="E2928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BA5260"/>
    <w:multiLevelType w:val="multilevel"/>
    <w:tmpl w:val="DB304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317490"/>
    <w:multiLevelType w:val="hybridMultilevel"/>
    <w:tmpl w:val="9ABCAD30"/>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9CEA342A">
      <w:start w:val="1"/>
      <w:numFmt w:val="upperLetter"/>
      <w:lvlText w:val="%3."/>
      <w:lvlJc w:val="left"/>
      <w:pPr>
        <w:ind w:left="2340" w:hanging="360"/>
      </w:pPr>
      <w:rPr>
        <w:rFonts w:cs="Arial" w:hint="default"/>
        <w:color w:val="000000" w:themeColor="text1"/>
        <w:sz w:val="24"/>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06766A"/>
    <w:multiLevelType w:val="multilevel"/>
    <w:tmpl w:val="40B48C6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54E7230"/>
    <w:multiLevelType w:val="multilevel"/>
    <w:tmpl w:val="BA167B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50186304"/>
    <w:multiLevelType w:val="multilevel"/>
    <w:tmpl w:val="B1B05CB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73CE7B48"/>
    <w:multiLevelType w:val="multilevel"/>
    <w:tmpl w:val="83560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A045A3"/>
    <w:multiLevelType w:val="hybridMultilevel"/>
    <w:tmpl w:val="6A8E2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927C22"/>
    <w:multiLevelType w:val="multilevel"/>
    <w:tmpl w:val="CCF8E8CA"/>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4"/>
  </w:num>
  <w:num w:numId="4">
    <w:abstractNumId w:val="8"/>
  </w:num>
  <w:num w:numId="5">
    <w:abstractNumId w:val="0"/>
  </w:num>
  <w:num w:numId="6">
    <w:abstractNumId w:val="5"/>
  </w:num>
  <w:num w:numId="7">
    <w:abstractNumId w:val="9"/>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BB"/>
    <w:rsid w:val="00017593"/>
    <w:rsid w:val="00080721"/>
    <w:rsid w:val="00131972"/>
    <w:rsid w:val="001D11CC"/>
    <w:rsid w:val="00211EC2"/>
    <w:rsid w:val="00322DF0"/>
    <w:rsid w:val="00456D2D"/>
    <w:rsid w:val="005209E0"/>
    <w:rsid w:val="00610270"/>
    <w:rsid w:val="00632D74"/>
    <w:rsid w:val="006634BD"/>
    <w:rsid w:val="00664005"/>
    <w:rsid w:val="006A50D0"/>
    <w:rsid w:val="007A04E5"/>
    <w:rsid w:val="00915DA0"/>
    <w:rsid w:val="00AC3E39"/>
    <w:rsid w:val="00C61955"/>
    <w:rsid w:val="00C627EC"/>
    <w:rsid w:val="00CA7A41"/>
    <w:rsid w:val="00D9351C"/>
    <w:rsid w:val="00E35ABB"/>
    <w:rsid w:val="00ED5117"/>
    <w:rsid w:val="00F449C1"/>
    <w:rsid w:val="00F5769D"/>
    <w:rsid w:val="00F959A7"/>
    <w:rsid w:val="00FA60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841428"/>
  <w15:chartTrackingRefBased/>
  <w15:docId w15:val="{DDB45558-F535-4973-ADB7-E481CCF0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ABB"/>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E35A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5ABB"/>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E35ABB"/>
    <w:pPr>
      <w:tabs>
        <w:tab w:val="center" w:pos="4419"/>
        <w:tab w:val="right" w:pos="8838"/>
      </w:tabs>
    </w:pPr>
  </w:style>
  <w:style w:type="character" w:customStyle="1" w:styleId="EncabezadoCar">
    <w:name w:val="Encabezado Car"/>
    <w:basedOn w:val="Fuentedeprrafopredeter"/>
    <w:link w:val="Encabezado"/>
    <w:uiPriority w:val="99"/>
    <w:rsid w:val="00E35ABB"/>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35ABB"/>
    <w:pPr>
      <w:tabs>
        <w:tab w:val="center" w:pos="4419"/>
        <w:tab w:val="right" w:pos="8838"/>
      </w:tabs>
    </w:pPr>
  </w:style>
  <w:style w:type="character" w:customStyle="1" w:styleId="PiedepginaCar">
    <w:name w:val="Pie de página Car"/>
    <w:basedOn w:val="Fuentedeprrafopredeter"/>
    <w:link w:val="Piedepgina"/>
    <w:uiPriority w:val="99"/>
    <w:rsid w:val="00E35ABB"/>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35ABB"/>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35ABB"/>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E35A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1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mex.org.mx/saimex/solicitud/downloadAttach/2289415.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3861</Words>
  <Characters>21238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8</cp:revision>
  <cp:lastPrinted>2025-02-13T16:27:00Z</cp:lastPrinted>
  <dcterms:created xsi:type="dcterms:W3CDTF">2025-02-10T18:56:00Z</dcterms:created>
  <dcterms:modified xsi:type="dcterms:W3CDTF">2025-03-25T21:20:00Z</dcterms:modified>
</cp:coreProperties>
</file>