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1F68E552" w:rsidR="00AD46C7" w:rsidRPr="00406B11"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A60D6" w:rsidRPr="00406B11">
        <w:rPr>
          <w:rFonts w:ascii="Palatino Linotype" w:eastAsia="Palatino Linotype" w:hAnsi="Palatino Linotype" w:cs="Palatino Linotype"/>
          <w:sz w:val="22"/>
          <w:szCs w:val="22"/>
        </w:rPr>
        <w:t>cuatro</w:t>
      </w:r>
      <w:r w:rsidRPr="00406B11">
        <w:rPr>
          <w:rFonts w:ascii="Palatino Linotype" w:eastAsia="Palatino Linotype" w:hAnsi="Palatino Linotype" w:cs="Palatino Linotype"/>
          <w:sz w:val="22"/>
          <w:szCs w:val="22"/>
        </w:rPr>
        <w:t xml:space="preserve"> de </w:t>
      </w:r>
      <w:r w:rsidR="003A60D6" w:rsidRPr="00406B11">
        <w:rPr>
          <w:rFonts w:ascii="Palatino Linotype" w:eastAsia="Palatino Linotype" w:hAnsi="Palatino Linotype" w:cs="Palatino Linotype"/>
          <w:sz w:val="22"/>
          <w:szCs w:val="22"/>
        </w:rPr>
        <w:t>junio</w:t>
      </w:r>
      <w:r w:rsidR="004011C1" w:rsidRPr="00406B11">
        <w:rPr>
          <w:rFonts w:ascii="Palatino Linotype" w:eastAsia="Palatino Linotype" w:hAnsi="Palatino Linotype" w:cs="Palatino Linotype"/>
          <w:sz w:val="22"/>
          <w:szCs w:val="22"/>
        </w:rPr>
        <w:t xml:space="preserve"> </w:t>
      </w:r>
      <w:r w:rsidR="00C11B6D" w:rsidRPr="00406B11">
        <w:rPr>
          <w:rFonts w:ascii="Palatino Linotype" w:eastAsia="Palatino Linotype" w:hAnsi="Palatino Linotype" w:cs="Palatino Linotype"/>
          <w:sz w:val="22"/>
          <w:szCs w:val="22"/>
        </w:rPr>
        <w:t>de dos mil veinticinco.</w:t>
      </w:r>
    </w:p>
    <w:p w14:paraId="7235FDFA" w14:textId="539A1A20" w:rsidR="00AD46C7" w:rsidRPr="00406B11"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VISTO</w:t>
      </w:r>
      <w:r w:rsidRPr="00406B11">
        <w:rPr>
          <w:rFonts w:ascii="Palatino Linotype" w:eastAsia="Palatino Linotype" w:hAnsi="Palatino Linotype" w:cs="Palatino Linotype"/>
          <w:sz w:val="22"/>
          <w:szCs w:val="22"/>
        </w:rPr>
        <w:t xml:space="preserve"> el expediente formado con motivo del recurso de revisión </w:t>
      </w:r>
      <w:r w:rsidR="003A60D6" w:rsidRPr="00406B11">
        <w:rPr>
          <w:rFonts w:ascii="Palatino Linotype" w:eastAsia="Palatino Linotype" w:hAnsi="Palatino Linotype" w:cs="Palatino Linotype"/>
          <w:b/>
          <w:sz w:val="22"/>
          <w:szCs w:val="22"/>
        </w:rPr>
        <w:t>03104/INFOEM/IP/RR/2025</w:t>
      </w:r>
      <w:r w:rsidRPr="00406B11">
        <w:rPr>
          <w:rFonts w:ascii="Palatino Linotype" w:eastAsia="Palatino Linotype" w:hAnsi="Palatino Linotype" w:cs="Palatino Linotype"/>
          <w:sz w:val="22"/>
          <w:szCs w:val="22"/>
        </w:rPr>
        <w:t>, por</w:t>
      </w:r>
      <w:r w:rsidRPr="00406B11">
        <w:rPr>
          <w:rFonts w:ascii="Palatino Linotype" w:eastAsia="Palatino Linotype" w:hAnsi="Palatino Linotype" w:cs="Palatino Linotype"/>
          <w:b/>
          <w:sz w:val="22"/>
          <w:szCs w:val="22"/>
        </w:rPr>
        <w:t xml:space="preserve"> </w:t>
      </w:r>
      <w:r w:rsidRPr="00406B11">
        <w:rPr>
          <w:rFonts w:ascii="Palatino Linotype" w:eastAsia="Palatino Linotype" w:hAnsi="Palatino Linotype" w:cs="Palatino Linotype"/>
          <w:sz w:val="22"/>
          <w:szCs w:val="22"/>
        </w:rPr>
        <w:t>interpuesto por</w:t>
      </w:r>
      <w:r w:rsidRPr="00406B11">
        <w:rPr>
          <w:rFonts w:ascii="Palatino Linotype" w:eastAsia="Palatino Linotype" w:hAnsi="Palatino Linotype" w:cs="Palatino Linotype"/>
          <w:b/>
          <w:sz w:val="22"/>
          <w:szCs w:val="22"/>
        </w:rPr>
        <w:t xml:space="preserve"> </w:t>
      </w:r>
      <w:r w:rsidR="003A60D6" w:rsidRPr="00406B11">
        <w:rPr>
          <w:rFonts w:ascii="Palatino Linotype" w:eastAsia="Palatino Linotype" w:hAnsi="Palatino Linotype" w:cs="Palatino Linotype"/>
          <w:b/>
          <w:sz w:val="22"/>
          <w:szCs w:val="22"/>
        </w:rPr>
        <w:t>un Usuario que no proporcionó su nombre</w:t>
      </w:r>
      <w:r w:rsidRPr="00406B11">
        <w:rPr>
          <w:rFonts w:ascii="Palatino Linotype" w:eastAsia="Palatino Linotype" w:hAnsi="Palatino Linotype" w:cs="Palatino Linotype"/>
          <w:b/>
          <w:sz w:val="22"/>
          <w:szCs w:val="22"/>
        </w:rPr>
        <w:t>,</w:t>
      </w:r>
      <w:r w:rsidRPr="00406B11">
        <w:rPr>
          <w:rFonts w:ascii="Palatino Linotype" w:eastAsia="Palatino Linotype" w:hAnsi="Palatino Linotype" w:cs="Palatino Linotype"/>
          <w:sz w:val="22"/>
          <w:szCs w:val="22"/>
        </w:rPr>
        <w:t xml:space="preserve"> en lo sucesivo la parte </w:t>
      </w:r>
      <w:r w:rsidRPr="00406B11">
        <w:rPr>
          <w:rFonts w:ascii="Palatino Linotype" w:eastAsia="Palatino Linotype" w:hAnsi="Palatino Linotype" w:cs="Palatino Linotype"/>
          <w:b/>
          <w:sz w:val="22"/>
          <w:szCs w:val="22"/>
        </w:rPr>
        <w:t>RECURRENTE,</w:t>
      </w:r>
      <w:r w:rsidRPr="00406B11">
        <w:rPr>
          <w:rFonts w:ascii="Palatino Linotype" w:eastAsia="Palatino Linotype" w:hAnsi="Palatino Linotype" w:cs="Palatino Linotype"/>
          <w:sz w:val="22"/>
          <w:szCs w:val="22"/>
        </w:rPr>
        <w:t xml:space="preserve"> en contra de la respuesta a su solicitud por parte del </w:t>
      </w:r>
      <w:r w:rsidR="003A60D6" w:rsidRPr="00406B11">
        <w:rPr>
          <w:rFonts w:ascii="Palatino Linotype" w:eastAsia="Palatino Linotype" w:hAnsi="Palatino Linotype" w:cs="Palatino Linotype"/>
          <w:b/>
          <w:sz w:val="22"/>
          <w:szCs w:val="22"/>
        </w:rPr>
        <w:t>Ayuntamiento de Atlacomulco</w:t>
      </w:r>
      <w:r w:rsidRPr="00406B11">
        <w:rPr>
          <w:rFonts w:ascii="Palatino Linotype" w:eastAsia="Palatino Linotype" w:hAnsi="Palatino Linotype" w:cs="Palatino Linotype"/>
          <w:b/>
          <w:sz w:val="22"/>
          <w:szCs w:val="22"/>
        </w:rPr>
        <w:t xml:space="preserve">, </w:t>
      </w:r>
      <w:r w:rsidRPr="00406B11">
        <w:rPr>
          <w:rFonts w:ascii="Palatino Linotype" w:eastAsia="Palatino Linotype" w:hAnsi="Palatino Linotype" w:cs="Palatino Linotype"/>
          <w:sz w:val="22"/>
          <w:szCs w:val="22"/>
        </w:rPr>
        <w:t xml:space="preserve">en lo sucesivo el </w:t>
      </w:r>
      <w:r w:rsidRPr="00406B11">
        <w:rPr>
          <w:rFonts w:ascii="Palatino Linotype" w:eastAsia="Palatino Linotype" w:hAnsi="Palatino Linotype" w:cs="Palatino Linotype"/>
          <w:b/>
          <w:sz w:val="22"/>
          <w:szCs w:val="22"/>
        </w:rPr>
        <w:t xml:space="preserve">SUJETO OBLIGADO, </w:t>
      </w:r>
      <w:r w:rsidRPr="00406B11">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406B11" w:rsidRDefault="00F2336C" w:rsidP="008C2BDE">
      <w:pPr>
        <w:spacing w:before="240" w:after="240" w:line="360" w:lineRule="auto"/>
        <w:jc w:val="center"/>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I. A N T E C E D E N T E S</w:t>
      </w:r>
    </w:p>
    <w:p w14:paraId="43E66730" w14:textId="4D2B3EF5" w:rsidR="00AD46C7" w:rsidRPr="00406B11" w:rsidRDefault="00F2336C" w:rsidP="008C2BDE">
      <w:pPr>
        <w:spacing w:before="240" w:after="240" w:line="360" w:lineRule="auto"/>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1. Solicitud de acceso a la información.</w:t>
      </w:r>
      <w:r w:rsidRPr="00406B11">
        <w:rPr>
          <w:rFonts w:ascii="Palatino Linotype" w:eastAsia="Palatino Linotype" w:hAnsi="Palatino Linotype" w:cs="Palatino Linotype"/>
          <w:sz w:val="22"/>
          <w:szCs w:val="22"/>
        </w:rPr>
        <w:t xml:space="preserve"> Con fecha </w:t>
      </w:r>
      <w:r w:rsidR="003A60D6" w:rsidRPr="00406B11">
        <w:rPr>
          <w:rFonts w:ascii="Palatino Linotype" w:eastAsia="Palatino Linotype" w:hAnsi="Palatino Linotype" w:cs="Palatino Linotype"/>
          <w:b/>
          <w:sz w:val="22"/>
          <w:szCs w:val="22"/>
        </w:rPr>
        <w:t>diecisiete</w:t>
      </w:r>
      <w:r w:rsidRPr="00406B11">
        <w:rPr>
          <w:rFonts w:ascii="Palatino Linotype" w:eastAsia="Palatino Linotype" w:hAnsi="Palatino Linotype" w:cs="Palatino Linotype"/>
          <w:b/>
          <w:sz w:val="22"/>
          <w:szCs w:val="22"/>
        </w:rPr>
        <w:t xml:space="preserve"> de </w:t>
      </w:r>
      <w:r w:rsidR="007B4370" w:rsidRPr="00406B11">
        <w:rPr>
          <w:rFonts w:ascii="Palatino Linotype" w:eastAsia="Palatino Linotype" w:hAnsi="Palatino Linotype" w:cs="Palatino Linotype"/>
          <w:b/>
          <w:sz w:val="22"/>
          <w:szCs w:val="22"/>
        </w:rPr>
        <w:t>febrero</w:t>
      </w:r>
      <w:r w:rsidRPr="00406B11">
        <w:rPr>
          <w:rFonts w:ascii="Palatino Linotype" w:eastAsia="Palatino Linotype" w:hAnsi="Palatino Linotype" w:cs="Palatino Linotype"/>
          <w:b/>
          <w:sz w:val="22"/>
          <w:szCs w:val="22"/>
        </w:rPr>
        <w:t xml:space="preserve"> de dos mil veinti</w:t>
      </w:r>
      <w:r w:rsidR="00C11B6D" w:rsidRPr="00406B11">
        <w:rPr>
          <w:rFonts w:ascii="Palatino Linotype" w:eastAsia="Palatino Linotype" w:hAnsi="Palatino Linotype" w:cs="Palatino Linotype"/>
          <w:b/>
          <w:sz w:val="22"/>
          <w:szCs w:val="22"/>
        </w:rPr>
        <w:t>c</w:t>
      </w:r>
      <w:r w:rsidR="00E13470" w:rsidRPr="00406B11">
        <w:rPr>
          <w:rFonts w:ascii="Palatino Linotype" w:eastAsia="Palatino Linotype" w:hAnsi="Palatino Linotype" w:cs="Palatino Linotype"/>
          <w:b/>
          <w:sz w:val="22"/>
          <w:szCs w:val="22"/>
        </w:rPr>
        <w:t>inco</w:t>
      </w:r>
      <w:r w:rsidRPr="00406B11">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406B11">
        <w:rPr>
          <w:rFonts w:ascii="Palatino Linotype" w:eastAsia="Palatino Linotype" w:hAnsi="Palatino Linotype" w:cs="Palatino Linotype"/>
          <w:b/>
          <w:sz w:val="22"/>
          <w:szCs w:val="22"/>
        </w:rPr>
        <w:t>SAIMEX,</w:t>
      </w:r>
      <w:r w:rsidRPr="00406B11">
        <w:rPr>
          <w:rFonts w:ascii="Palatino Linotype" w:eastAsia="Palatino Linotype" w:hAnsi="Palatino Linotype" w:cs="Palatino Linotype"/>
          <w:sz w:val="22"/>
          <w:szCs w:val="22"/>
        </w:rPr>
        <w:t xml:space="preserve"> ante el </w:t>
      </w:r>
      <w:r w:rsidRPr="00406B11">
        <w:rPr>
          <w:rFonts w:ascii="Palatino Linotype" w:eastAsia="Palatino Linotype" w:hAnsi="Palatino Linotype" w:cs="Palatino Linotype"/>
          <w:b/>
          <w:sz w:val="22"/>
          <w:szCs w:val="22"/>
        </w:rPr>
        <w:t>SUJETO OBLIGADO</w:t>
      </w:r>
      <w:r w:rsidRPr="00406B11">
        <w:rPr>
          <w:rFonts w:ascii="Palatino Linotype" w:eastAsia="Palatino Linotype" w:hAnsi="Palatino Linotype" w:cs="Palatino Linotype"/>
          <w:sz w:val="22"/>
          <w:szCs w:val="22"/>
        </w:rPr>
        <w:t>, la solicitud de acceso a la información pública, a la que se le asignó el número</w:t>
      </w:r>
      <w:r w:rsidRPr="00406B11">
        <w:rPr>
          <w:rFonts w:ascii="Palatino Linotype" w:eastAsia="Palatino Linotype" w:hAnsi="Palatino Linotype" w:cs="Palatino Linotype"/>
          <w:b/>
          <w:sz w:val="22"/>
          <w:szCs w:val="22"/>
        </w:rPr>
        <w:t xml:space="preserve"> 00</w:t>
      </w:r>
      <w:r w:rsidR="003A60D6" w:rsidRPr="00406B11">
        <w:rPr>
          <w:rFonts w:ascii="Palatino Linotype" w:eastAsia="Palatino Linotype" w:hAnsi="Palatino Linotype" w:cs="Palatino Linotype"/>
          <w:b/>
          <w:sz w:val="22"/>
          <w:szCs w:val="22"/>
        </w:rPr>
        <w:t>161</w:t>
      </w:r>
      <w:r w:rsidRPr="00406B11">
        <w:rPr>
          <w:rFonts w:ascii="Palatino Linotype" w:eastAsia="Palatino Linotype" w:hAnsi="Palatino Linotype" w:cs="Palatino Linotype"/>
          <w:b/>
          <w:sz w:val="22"/>
          <w:szCs w:val="22"/>
        </w:rPr>
        <w:t>/</w:t>
      </w:r>
      <w:r w:rsidR="003A60D6" w:rsidRPr="00406B11">
        <w:rPr>
          <w:rFonts w:ascii="Palatino Linotype" w:eastAsia="Palatino Linotype" w:hAnsi="Palatino Linotype" w:cs="Palatino Linotype"/>
          <w:b/>
          <w:sz w:val="22"/>
          <w:szCs w:val="22"/>
        </w:rPr>
        <w:t>ATLACOM</w:t>
      </w:r>
      <w:r w:rsidR="00E13470" w:rsidRPr="00406B11">
        <w:rPr>
          <w:rFonts w:ascii="Palatino Linotype" w:eastAsia="Palatino Linotype" w:hAnsi="Palatino Linotype" w:cs="Palatino Linotype"/>
          <w:b/>
          <w:sz w:val="22"/>
          <w:szCs w:val="22"/>
        </w:rPr>
        <w:t>/IP/2025</w:t>
      </w:r>
      <w:r w:rsidR="00C11B6D" w:rsidRPr="00406B11">
        <w:rPr>
          <w:rFonts w:ascii="Palatino Linotype" w:eastAsia="Palatino Linotype" w:hAnsi="Palatino Linotype" w:cs="Palatino Linotype"/>
          <w:b/>
          <w:sz w:val="22"/>
          <w:szCs w:val="22"/>
        </w:rPr>
        <w:t xml:space="preserve">, </w:t>
      </w:r>
      <w:r w:rsidRPr="00406B11">
        <w:rPr>
          <w:rFonts w:ascii="Palatino Linotype" w:eastAsia="Palatino Linotype" w:hAnsi="Palatino Linotype" w:cs="Palatino Linotype"/>
          <w:sz w:val="22"/>
          <w:szCs w:val="22"/>
        </w:rPr>
        <w:t>mediante la cual requirió la información siguiente:</w:t>
      </w:r>
    </w:p>
    <w:p w14:paraId="7911705B" w14:textId="0B22979B" w:rsidR="00AD46C7" w:rsidRPr="00406B11"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406B11">
        <w:rPr>
          <w:rFonts w:ascii="Palatino Linotype" w:eastAsia="Palatino Linotype" w:hAnsi="Palatino Linotype" w:cs="Palatino Linotype"/>
          <w:i/>
          <w:sz w:val="22"/>
          <w:szCs w:val="22"/>
        </w:rPr>
        <w:t>“</w:t>
      </w:r>
      <w:r w:rsidR="003A60D6" w:rsidRPr="00406B11">
        <w:rPr>
          <w:rFonts w:ascii="Palatino Linotype" w:hAnsi="Palatino Linotype"/>
          <w:i/>
          <w:sz w:val="22"/>
          <w:szCs w:val="22"/>
        </w:rPr>
        <w:t xml:space="preserve">Programación anual de trabajo de cada </w:t>
      </w:r>
      <w:proofErr w:type="spellStart"/>
      <w:r w:rsidR="003A60D6" w:rsidRPr="00406B11">
        <w:rPr>
          <w:rFonts w:ascii="Palatino Linotype" w:hAnsi="Palatino Linotype"/>
          <w:i/>
          <w:sz w:val="22"/>
          <w:szCs w:val="22"/>
        </w:rPr>
        <w:t>area</w:t>
      </w:r>
      <w:proofErr w:type="spellEnd"/>
      <w:r w:rsidR="003A60D6" w:rsidRPr="00406B11">
        <w:rPr>
          <w:rFonts w:ascii="Palatino Linotype" w:hAnsi="Palatino Linotype"/>
          <w:i/>
          <w:sz w:val="22"/>
          <w:szCs w:val="22"/>
        </w:rPr>
        <w:t xml:space="preserve"> de la administración</w:t>
      </w:r>
      <w:r w:rsidRPr="00406B11">
        <w:rPr>
          <w:rFonts w:ascii="Palatino Linotype" w:eastAsia="Palatino Linotype" w:hAnsi="Palatino Linotype" w:cs="Palatino Linotype"/>
          <w:i/>
          <w:sz w:val="22"/>
          <w:szCs w:val="22"/>
        </w:rPr>
        <w:t>” (Sic)</w:t>
      </w:r>
    </w:p>
    <w:p w14:paraId="2D103DAF" w14:textId="77777777" w:rsidR="00AD46C7" w:rsidRPr="00406B11"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7777777"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Modalidad de Entrega:</w:t>
      </w:r>
      <w:r w:rsidRPr="00406B11">
        <w:rPr>
          <w:rFonts w:ascii="Palatino Linotype" w:eastAsia="Palatino Linotype" w:hAnsi="Palatino Linotype" w:cs="Palatino Linotype"/>
          <w:sz w:val="22"/>
          <w:szCs w:val="22"/>
        </w:rPr>
        <w:t xml:space="preserve"> A través de SAIMEX.</w:t>
      </w:r>
    </w:p>
    <w:p w14:paraId="23E722D7" w14:textId="77777777" w:rsidR="00AD46C7" w:rsidRPr="00406B11" w:rsidRDefault="00AD46C7" w:rsidP="008C2BDE">
      <w:pPr>
        <w:spacing w:line="360" w:lineRule="auto"/>
        <w:jc w:val="both"/>
        <w:rPr>
          <w:rFonts w:ascii="Palatino Linotype" w:eastAsia="Palatino Linotype" w:hAnsi="Palatino Linotype" w:cs="Palatino Linotype"/>
          <w:sz w:val="22"/>
          <w:szCs w:val="22"/>
        </w:rPr>
      </w:pPr>
    </w:p>
    <w:p w14:paraId="75306366" w14:textId="56FC9912" w:rsidR="00AD46C7" w:rsidRPr="00406B11" w:rsidRDefault="00E13470" w:rsidP="008C2BDE">
      <w:pPr>
        <w:spacing w:after="240" w:line="360" w:lineRule="auto"/>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2</w:t>
      </w:r>
      <w:r w:rsidR="00056FAD" w:rsidRPr="00406B11">
        <w:rPr>
          <w:rFonts w:ascii="Palatino Linotype" w:eastAsia="Palatino Linotype" w:hAnsi="Palatino Linotype" w:cs="Palatino Linotype"/>
          <w:b/>
          <w:sz w:val="22"/>
          <w:szCs w:val="22"/>
        </w:rPr>
        <w:t xml:space="preserve">. </w:t>
      </w:r>
      <w:r w:rsidR="00F2336C" w:rsidRPr="00406B11">
        <w:rPr>
          <w:rFonts w:ascii="Palatino Linotype" w:eastAsia="Palatino Linotype" w:hAnsi="Palatino Linotype" w:cs="Palatino Linotype"/>
          <w:b/>
          <w:sz w:val="22"/>
          <w:szCs w:val="22"/>
        </w:rPr>
        <w:t xml:space="preserve">Respuesta. </w:t>
      </w:r>
      <w:r w:rsidR="00F2336C" w:rsidRPr="00406B11">
        <w:rPr>
          <w:rFonts w:ascii="Palatino Linotype" w:eastAsia="Palatino Linotype" w:hAnsi="Palatino Linotype" w:cs="Palatino Linotype"/>
          <w:sz w:val="22"/>
          <w:szCs w:val="22"/>
        </w:rPr>
        <w:t xml:space="preserve">Con fecha </w:t>
      </w:r>
      <w:r w:rsidR="003A60D6" w:rsidRPr="00406B11">
        <w:rPr>
          <w:rFonts w:ascii="Palatino Linotype" w:eastAsia="Palatino Linotype" w:hAnsi="Palatino Linotype" w:cs="Palatino Linotype"/>
          <w:b/>
          <w:sz w:val="22"/>
          <w:szCs w:val="22"/>
        </w:rPr>
        <w:t>once</w:t>
      </w:r>
      <w:r w:rsidR="00F2336C" w:rsidRPr="00406B11">
        <w:rPr>
          <w:rFonts w:ascii="Palatino Linotype" w:eastAsia="Palatino Linotype" w:hAnsi="Palatino Linotype" w:cs="Palatino Linotype"/>
          <w:b/>
          <w:sz w:val="22"/>
          <w:szCs w:val="22"/>
        </w:rPr>
        <w:t xml:space="preserve"> de </w:t>
      </w:r>
      <w:r w:rsidR="00AD2704" w:rsidRPr="00406B11">
        <w:rPr>
          <w:rFonts w:ascii="Palatino Linotype" w:eastAsia="Palatino Linotype" w:hAnsi="Palatino Linotype" w:cs="Palatino Linotype"/>
          <w:b/>
          <w:sz w:val="22"/>
          <w:szCs w:val="22"/>
        </w:rPr>
        <w:t>marzo</w:t>
      </w:r>
      <w:r w:rsidR="00F2336C" w:rsidRPr="00406B11">
        <w:rPr>
          <w:rFonts w:ascii="Palatino Linotype" w:eastAsia="Palatino Linotype" w:hAnsi="Palatino Linotype" w:cs="Palatino Linotype"/>
          <w:b/>
          <w:sz w:val="22"/>
          <w:szCs w:val="22"/>
        </w:rPr>
        <w:t xml:space="preserve"> de dos mil veinticinco</w:t>
      </w:r>
      <w:r w:rsidR="00F2336C" w:rsidRPr="00406B11">
        <w:rPr>
          <w:rFonts w:ascii="Palatino Linotype" w:eastAsia="Palatino Linotype" w:hAnsi="Palatino Linotype" w:cs="Palatino Linotype"/>
          <w:sz w:val="22"/>
          <w:szCs w:val="22"/>
        </w:rPr>
        <w:t xml:space="preserve">, el </w:t>
      </w:r>
      <w:r w:rsidR="00F2336C" w:rsidRPr="00406B11">
        <w:rPr>
          <w:rFonts w:ascii="Palatino Linotype" w:eastAsia="Palatino Linotype" w:hAnsi="Palatino Linotype" w:cs="Palatino Linotype"/>
          <w:b/>
          <w:sz w:val="22"/>
          <w:szCs w:val="22"/>
        </w:rPr>
        <w:t xml:space="preserve">SUJETO OBLIGADO </w:t>
      </w:r>
      <w:r w:rsidR="00F2336C" w:rsidRPr="00406B11">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057F494" w14:textId="77777777" w:rsidR="003A60D6" w:rsidRPr="00406B11" w:rsidRDefault="00F2336C" w:rsidP="003A60D6">
      <w:pPr>
        <w:spacing w:before="240" w:after="240" w:line="360" w:lineRule="auto"/>
        <w:ind w:left="851" w:right="902"/>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r w:rsidR="003A60D6" w:rsidRPr="00406B11">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003A60D6" w:rsidRPr="00406B11">
        <w:rPr>
          <w:rFonts w:ascii="Palatino Linotype" w:eastAsia="Palatino Linotype" w:hAnsi="Palatino Linotype" w:cs="Palatino Linotype"/>
          <w:i/>
          <w:sz w:val="22"/>
          <w:szCs w:val="22"/>
        </w:rPr>
        <w:lastRenderedPageBreak/>
        <w:t>y Acceso a la Información Pública del Estado de México y Municipios, le contestamos que:</w:t>
      </w:r>
    </w:p>
    <w:p w14:paraId="394EB126" w14:textId="77777777" w:rsidR="003A60D6" w:rsidRPr="00406B11" w:rsidRDefault="003A60D6" w:rsidP="003A60D6">
      <w:pPr>
        <w:spacing w:before="240" w:after="240" w:line="360" w:lineRule="auto"/>
        <w:ind w:left="851" w:right="902"/>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Se atiende solicitud de información.</w:t>
      </w:r>
    </w:p>
    <w:p w14:paraId="1AEEE16A" w14:textId="77777777" w:rsidR="003A60D6" w:rsidRPr="00406B11" w:rsidRDefault="003A60D6" w:rsidP="003A60D6">
      <w:pPr>
        <w:spacing w:before="240" w:after="240" w:line="360" w:lineRule="auto"/>
        <w:ind w:left="851" w:right="902"/>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ATENTAMENTE</w:t>
      </w:r>
    </w:p>
    <w:p w14:paraId="4CEEB036" w14:textId="594A547B" w:rsidR="00AD46C7" w:rsidRPr="00406B11" w:rsidRDefault="003A60D6" w:rsidP="003A60D6">
      <w:pPr>
        <w:spacing w:before="240" w:after="240" w:line="360" w:lineRule="auto"/>
        <w:ind w:left="851" w:right="902"/>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C. Claudia Monroy Amparo</w:t>
      </w:r>
      <w:r w:rsidR="00F2336C" w:rsidRPr="00406B11">
        <w:rPr>
          <w:rFonts w:ascii="Palatino Linotype" w:eastAsia="Palatino Linotype" w:hAnsi="Palatino Linotype" w:cs="Palatino Linotype"/>
          <w:i/>
          <w:sz w:val="22"/>
          <w:szCs w:val="22"/>
        </w:rPr>
        <w:t>” (Sic)</w:t>
      </w:r>
    </w:p>
    <w:p w14:paraId="7BEAE533" w14:textId="13987093" w:rsidR="00AD46C7" w:rsidRPr="00406B11"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sz w:val="22"/>
          <w:szCs w:val="22"/>
        </w:rPr>
        <w:t>E</w:t>
      </w:r>
      <w:r w:rsidR="00E13470" w:rsidRPr="00406B11">
        <w:rPr>
          <w:rFonts w:ascii="Palatino Linotype" w:eastAsia="Palatino Linotype" w:hAnsi="Palatino Linotype" w:cs="Palatino Linotype"/>
          <w:sz w:val="22"/>
          <w:szCs w:val="22"/>
        </w:rPr>
        <w:t xml:space="preserve">l Sujeto Obligado adjuntó el documento electrónico </w:t>
      </w:r>
      <w:r w:rsidRPr="00406B11">
        <w:rPr>
          <w:rFonts w:ascii="Palatino Linotype" w:eastAsia="Palatino Linotype" w:hAnsi="Palatino Linotype" w:cs="Palatino Linotype"/>
          <w:sz w:val="22"/>
          <w:szCs w:val="22"/>
        </w:rPr>
        <w:t>siguiente:</w:t>
      </w:r>
    </w:p>
    <w:p w14:paraId="38EC8048" w14:textId="77777777" w:rsidR="00056FAD" w:rsidRPr="00406B11" w:rsidRDefault="00056FAD" w:rsidP="008C2B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42006C97" w14:textId="77B99F78" w:rsidR="003A60D6" w:rsidRPr="00406B11" w:rsidRDefault="003A60D6" w:rsidP="003A60D6">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406B11">
        <w:rPr>
          <w:rFonts w:ascii="Palatino Linotype" w:eastAsia="Palatino Linotype" w:hAnsi="Palatino Linotype" w:cs="Palatino Linotype"/>
          <w:b/>
          <w:bCs/>
          <w:sz w:val="22"/>
          <w:szCs w:val="22"/>
        </w:rPr>
        <w:t xml:space="preserve">RES_SOL_0161_UIPPE_2025.pdf: </w:t>
      </w:r>
      <w:r w:rsidRPr="00406B11">
        <w:rPr>
          <w:rFonts w:ascii="Palatino Linotype" w:eastAsia="Palatino Linotype" w:hAnsi="Palatino Linotype" w:cs="Palatino Linotype"/>
          <w:bCs/>
          <w:sz w:val="22"/>
          <w:szCs w:val="22"/>
        </w:rPr>
        <w:t>Oficio UIPPE/068/03/2025 suscrito por el Titular de la Unidad de Transparencia mediante el cual refiere que se anexa la Programación Anual 2025 de la Unidad de Información, Planeación, Programación y Evaluación.</w:t>
      </w:r>
    </w:p>
    <w:p w14:paraId="2552BC64" w14:textId="5F2FAF90" w:rsidR="003A60D6" w:rsidRPr="00406B11" w:rsidRDefault="003A60D6" w:rsidP="003A60D6">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406B11">
        <w:rPr>
          <w:rFonts w:ascii="Palatino Linotype" w:eastAsia="Palatino Linotype" w:hAnsi="Palatino Linotype" w:cs="Palatino Linotype"/>
          <w:b/>
          <w:bCs/>
          <w:sz w:val="22"/>
          <w:szCs w:val="22"/>
        </w:rPr>
        <w:t xml:space="preserve">0161_ ANEXO 1_UIPPE_2025.pdf: </w:t>
      </w:r>
      <w:r w:rsidRPr="00406B11">
        <w:rPr>
          <w:rFonts w:ascii="Palatino Linotype" w:eastAsia="Palatino Linotype" w:hAnsi="Palatino Linotype" w:cs="Palatino Linotype"/>
          <w:bCs/>
          <w:sz w:val="22"/>
          <w:szCs w:val="22"/>
        </w:rPr>
        <w:t>Documento integrado por dos páginas que contiene el Presupuesto Basado en Resultados municipal correspondiente del uno de enero al treinta y uno de diciembre de 2025 de la Unidad de Información, Planeación, Programación y Evaluación.</w:t>
      </w:r>
    </w:p>
    <w:p w14:paraId="3A5CD853" w14:textId="071B4ED9" w:rsidR="003A60D6" w:rsidRPr="00406B11" w:rsidRDefault="003A60D6" w:rsidP="003A60D6">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i/>
          <w:sz w:val="22"/>
          <w:szCs w:val="22"/>
        </w:rPr>
      </w:pPr>
      <w:r w:rsidRPr="00406B11">
        <w:rPr>
          <w:rFonts w:ascii="Palatino Linotype" w:eastAsia="Palatino Linotype" w:hAnsi="Palatino Linotype" w:cs="Palatino Linotype"/>
          <w:b/>
          <w:bCs/>
          <w:sz w:val="22"/>
          <w:szCs w:val="22"/>
        </w:rPr>
        <w:t xml:space="preserve">0161_RESP_UT_2025.pdf: </w:t>
      </w:r>
      <w:r w:rsidRPr="00406B11">
        <w:rPr>
          <w:rFonts w:ascii="Palatino Linotype" w:eastAsia="Palatino Linotype" w:hAnsi="Palatino Linotype" w:cs="Palatino Linotype"/>
          <w:bCs/>
          <w:sz w:val="22"/>
          <w:szCs w:val="22"/>
        </w:rPr>
        <w:t>Oficio PM/UT/150/2025 suscrito por el Titular de la Unidad de Transparencia</w:t>
      </w:r>
      <w:r w:rsidRPr="00406B11">
        <w:rPr>
          <w:rFonts w:ascii="Palatino Linotype" w:eastAsia="Palatino Linotype" w:hAnsi="Palatino Linotype" w:cs="Palatino Linotype"/>
          <w:b/>
          <w:bCs/>
          <w:sz w:val="22"/>
          <w:szCs w:val="22"/>
        </w:rPr>
        <w:t xml:space="preserve"> </w:t>
      </w:r>
      <w:r w:rsidRPr="00406B11">
        <w:rPr>
          <w:rFonts w:ascii="Palatino Linotype" w:eastAsia="Palatino Linotype" w:hAnsi="Palatino Linotype" w:cs="Palatino Linotype"/>
          <w:bCs/>
          <w:sz w:val="22"/>
          <w:szCs w:val="22"/>
        </w:rPr>
        <w:t>mediante el cual le hace de conocimiento al Recurrente que se anexa la respuesta emitida por el servidor público habilitado competente</w:t>
      </w:r>
      <w:r w:rsidRPr="00406B11">
        <w:rPr>
          <w:rFonts w:ascii="Palatino Linotype" w:eastAsia="Palatino Linotype" w:hAnsi="Palatino Linotype" w:cs="Palatino Linotype"/>
          <w:b/>
          <w:bCs/>
          <w:sz w:val="22"/>
          <w:szCs w:val="22"/>
        </w:rPr>
        <w:t>.</w:t>
      </w:r>
    </w:p>
    <w:p w14:paraId="541366DA" w14:textId="77777777" w:rsidR="00EE7FB0" w:rsidRPr="00406B11" w:rsidRDefault="00EE7FB0" w:rsidP="00EE7FB0">
      <w:pPr>
        <w:pBdr>
          <w:top w:val="nil"/>
          <w:left w:val="nil"/>
          <w:bottom w:val="nil"/>
          <w:right w:val="nil"/>
          <w:between w:val="nil"/>
        </w:pBdr>
        <w:spacing w:line="360" w:lineRule="auto"/>
        <w:ind w:right="49"/>
        <w:jc w:val="both"/>
        <w:rPr>
          <w:rFonts w:ascii="Palatino Linotype" w:eastAsia="Palatino Linotype" w:hAnsi="Palatino Linotype" w:cs="Palatino Linotype"/>
          <w:b/>
          <w:bCs/>
          <w:i/>
          <w:sz w:val="22"/>
          <w:szCs w:val="22"/>
        </w:rPr>
      </w:pPr>
    </w:p>
    <w:p w14:paraId="78596289" w14:textId="3B77842D" w:rsidR="00AD46C7" w:rsidRPr="00406B11"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3</w:t>
      </w:r>
      <w:r w:rsidR="00F2336C" w:rsidRPr="00406B11">
        <w:rPr>
          <w:rFonts w:ascii="Palatino Linotype" w:eastAsia="Palatino Linotype" w:hAnsi="Palatino Linotype" w:cs="Palatino Linotype"/>
          <w:b/>
          <w:sz w:val="22"/>
          <w:szCs w:val="22"/>
        </w:rPr>
        <w:t xml:space="preserve">. Interposición del recurso de revisión. </w:t>
      </w:r>
      <w:r w:rsidR="00F2336C" w:rsidRPr="00406B11">
        <w:rPr>
          <w:rFonts w:ascii="Palatino Linotype" w:eastAsia="Palatino Linotype" w:hAnsi="Palatino Linotype" w:cs="Palatino Linotype"/>
          <w:sz w:val="22"/>
          <w:szCs w:val="22"/>
        </w:rPr>
        <w:t xml:space="preserve">Inconforme con los términos de la respuesta emitida por parte del </w:t>
      </w:r>
      <w:r w:rsidR="00F2336C" w:rsidRPr="00406B11">
        <w:rPr>
          <w:rFonts w:ascii="Palatino Linotype" w:eastAsia="Palatino Linotype" w:hAnsi="Palatino Linotype" w:cs="Palatino Linotype"/>
          <w:b/>
          <w:sz w:val="22"/>
          <w:szCs w:val="22"/>
        </w:rPr>
        <w:t>SUJETO OBLIGADO</w:t>
      </w:r>
      <w:r w:rsidR="00F2336C" w:rsidRPr="00406B11">
        <w:rPr>
          <w:rFonts w:ascii="Palatino Linotype" w:eastAsia="Palatino Linotype" w:hAnsi="Palatino Linotype" w:cs="Palatino Linotype"/>
          <w:sz w:val="22"/>
          <w:szCs w:val="22"/>
        </w:rPr>
        <w:t xml:space="preserve">, el </w:t>
      </w:r>
      <w:r w:rsidR="00B52733" w:rsidRPr="00406B11">
        <w:rPr>
          <w:rFonts w:ascii="Palatino Linotype" w:eastAsia="Palatino Linotype" w:hAnsi="Palatino Linotype" w:cs="Palatino Linotype"/>
          <w:b/>
          <w:sz w:val="22"/>
          <w:szCs w:val="22"/>
        </w:rPr>
        <w:t>dieciséis</w:t>
      </w:r>
      <w:r w:rsidR="003631BA" w:rsidRPr="00406B11">
        <w:rPr>
          <w:rFonts w:ascii="Palatino Linotype" w:eastAsia="Palatino Linotype" w:hAnsi="Palatino Linotype" w:cs="Palatino Linotype"/>
          <w:b/>
          <w:sz w:val="22"/>
          <w:szCs w:val="22"/>
        </w:rPr>
        <w:t xml:space="preserve"> de marzo</w:t>
      </w:r>
      <w:r w:rsidR="00F2336C" w:rsidRPr="00406B11">
        <w:rPr>
          <w:rFonts w:ascii="Palatino Linotype" w:eastAsia="Palatino Linotype" w:hAnsi="Palatino Linotype" w:cs="Palatino Linotype"/>
          <w:b/>
          <w:sz w:val="22"/>
          <w:szCs w:val="22"/>
        </w:rPr>
        <w:t xml:space="preserve"> del año dos mil veinticinco,</w:t>
      </w:r>
      <w:r w:rsidR="00F2336C" w:rsidRPr="00406B11">
        <w:rPr>
          <w:rFonts w:ascii="Palatino Linotype" w:eastAsia="Palatino Linotype" w:hAnsi="Palatino Linotype" w:cs="Palatino Linotype"/>
          <w:sz w:val="22"/>
          <w:szCs w:val="22"/>
        </w:rPr>
        <w:t xml:space="preserve"> la parte </w:t>
      </w:r>
      <w:r w:rsidR="00F2336C" w:rsidRPr="00406B11">
        <w:rPr>
          <w:rFonts w:ascii="Palatino Linotype" w:eastAsia="Palatino Linotype" w:hAnsi="Palatino Linotype" w:cs="Palatino Linotype"/>
          <w:b/>
          <w:sz w:val="22"/>
          <w:szCs w:val="22"/>
        </w:rPr>
        <w:t>RECURRENTE</w:t>
      </w:r>
      <w:r w:rsidR="00F2336C" w:rsidRPr="00406B11">
        <w:rPr>
          <w:rFonts w:ascii="Palatino Linotype" w:eastAsia="Palatino Linotype" w:hAnsi="Palatino Linotype" w:cs="Palatino Linotype"/>
          <w:sz w:val="22"/>
          <w:szCs w:val="22"/>
        </w:rPr>
        <w:t xml:space="preserve"> interpuso el recurso de revisión a través de </w:t>
      </w:r>
      <w:r w:rsidR="00294F95" w:rsidRPr="00406B11">
        <w:rPr>
          <w:rFonts w:ascii="Palatino Linotype" w:eastAsia="Palatino Linotype" w:hAnsi="Palatino Linotype" w:cs="Palatino Linotype"/>
          <w:b/>
          <w:sz w:val="22"/>
          <w:szCs w:val="22"/>
        </w:rPr>
        <w:t>SAIMEX</w:t>
      </w:r>
      <w:r w:rsidR="00B52733" w:rsidRPr="00406B11">
        <w:rPr>
          <w:rFonts w:ascii="Palatino Linotype" w:eastAsia="Palatino Linotype" w:hAnsi="Palatino Linotype" w:cs="Palatino Linotype"/>
          <w:b/>
          <w:sz w:val="22"/>
          <w:szCs w:val="22"/>
        </w:rPr>
        <w:t>; sin embargo, al corresponder a día inhábil, se tuvo por presentado el dieciocho de marzo de la misma anualidad,</w:t>
      </w:r>
      <w:r w:rsidR="00C823BE" w:rsidRPr="00406B11">
        <w:rPr>
          <w:rFonts w:ascii="Palatino Linotype" w:eastAsia="Palatino Linotype" w:hAnsi="Palatino Linotype" w:cs="Palatino Linotype"/>
          <w:b/>
          <w:sz w:val="22"/>
          <w:szCs w:val="22"/>
        </w:rPr>
        <w:t xml:space="preserve"> </w:t>
      </w:r>
      <w:r w:rsidR="00F2336C" w:rsidRPr="00406B11">
        <w:rPr>
          <w:rFonts w:ascii="Palatino Linotype" w:eastAsia="Palatino Linotype" w:hAnsi="Palatino Linotype" w:cs="Palatino Linotype"/>
          <w:sz w:val="22"/>
          <w:szCs w:val="22"/>
        </w:rPr>
        <w:t>en donde se manifestó de la siguiente manera:</w:t>
      </w:r>
    </w:p>
    <w:p w14:paraId="18261589" w14:textId="77777777" w:rsidR="00AD46C7" w:rsidRPr="00406B11"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 xml:space="preserve">Acto impugnado: </w:t>
      </w:r>
    </w:p>
    <w:p w14:paraId="0814F4AD" w14:textId="3E5DB12E" w:rsidR="00AD46C7" w:rsidRPr="00406B11" w:rsidRDefault="00F2336C" w:rsidP="007C4F2D">
      <w:pPr>
        <w:pStyle w:val="Prrafodelista"/>
        <w:jc w:val="both"/>
        <w:rPr>
          <w:rFonts w:ascii="Palatino Linotype" w:hAnsi="Palatino Linotype"/>
          <w:i/>
          <w:sz w:val="22"/>
          <w:szCs w:val="22"/>
        </w:rPr>
      </w:pPr>
      <w:r w:rsidRPr="00406B11">
        <w:rPr>
          <w:rFonts w:ascii="Palatino Linotype" w:eastAsia="Palatino Linotype" w:hAnsi="Palatino Linotype" w:cs="Palatino Linotype"/>
          <w:i/>
          <w:sz w:val="22"/>
          <w:szCs w:val="22"/>
        </w:rPr>
        <w:t>“</w:t>
      </w:r>
      <w:r w:rsidR="00B52733" w:rsidRPr="00406B11">
        <w:rPr>
          <w:rFonts w:ascii="Palatino Linotype" w:hAnsi="Palatino Linotype"/>
          <w:i/>
          <w:sz w:val="22"/>
          <w:szCs w:val="22"/>
        </w:rPr>
        <w:t>Información incompleta</w:t>
      </w:r>
      <w:r w:rsidRPr="00406B11">
        <w:rPr>
          <w:rFonts w:ascii="Palatino Linotype" w:eastAsia="Palatino Linotype" w:hAnsi="Palatino Linotype" w:cs="Palatino Linotype"/>
          <w:i/>
          <w:sz w:val="22"/>
          <w:szCs w:val="22"/>
        </w:rPr>
        <w:t>” (Sic)</w:t>
      </w:r>
    </w:p>
    <w:p w14:paraId="26FB4466" w14:textId="77777777" w:rsidR="00AD46C7" w:rsidRPr="00406B11"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406B11"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Y Razones o motivos de inconformidad</w:t>
      </w:r>
      <w:r w:rsidRPr="00406B11">
        <w:rPr>
          <w:rFonts w:ascii="Palatino Linotype" w:eastAsia="Palatino Linotype" w:hAnsi="Palatino Linotype" w:cs="Palatino Linotype"/>
          <w:sz w:val="22"/>
          <w:szCs w:val="22"/>
        </w:rPr>
        <w:t>:</w:t>
      </w:r>
    </w:p>
    <w:p w14:paraId="79C1E2EE" w14:textId="330AAC39" w:rsidR="00AD46C7" w:rsidRPr="00406B11"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406B11">
        <w:rPr>
          <w:rFonts w:ascii="Palatino Linotype" w:eastAsia="Palatino Linotype" w:hAnsi="Palatino Linotype" w:cs="Palatino Linotype"/>
          <w:i/>
          <w:sz w:val="22"/>
          <w:szCs w:val="22"/>
        </w:rPr>
        <w:t>“</w:t>
      </w:r>
      <w:r w:rsidR="00A32844" w:rsidRPr="00406B11">
        <w:rPr>
          <w:rFonts w:ascii="Palatino Linotype" w:eastAsia="Palatino Linotype" w:hAnsi="Palatino Linotype" w:cs="Palatino Linotype"/>
          <w:i/>
          <w:sz w:val="22"/>
          <w:szCs w:val="22"/>
        </w:rPr>
        <w:t>i</w:t>
      </w:r>
      <w:r w:rsidR="007C4F2D" w:rsidRPr="00406B11">
        <w:rPr>
          <w:rFonts w:ascii="Palatino Linotype" w:eastAsia="Palatino Linotype" w:hAnsi="Palatino Linotype" w:cs="Palatino Linotype"/>
          <w:i/>
          <w:sz w:val="22"/>
          <w:szCs w:val="22"/>
        </w:rPr>
        <w:t>ncompleta</w:t>
      </w:r>
      <w:r w:rsidRPr="00406B11">
        <w:rPr>
          <w:rFonts w:ascii="Palatino Linotype" w:eastAsia="Palatino Linotype" w:hAnsi="Palatino Linotype" w:cs="Palatino Linotype"/>
          <w:i/>
          <w:sz w:val="22"/>
          <w:szCs w:val="22"/>
        </w:rPr>
        <w:t>” (Sic)</w:t>
      </w:r>
    </w:p>
    <w:p w14:paraId="7979D9D1" w14:textId="77777777" w:rsidR="00E50C49" w:rsidRPr="00406B11"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406B11" w:rsidRDefault="00E13470" w:rsidP="008C2BDE">
      <w:pPr>
        <w:spacing w:line="360" w:lineRule="auto"/>
        <w:ind w:right="51"/>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4</w:t>
      </w:r>
      <w:r w:rsidR="00F2336C" w:rsidRPr="00406B11">
        <w:rPr>
          <w:rFonts w:ascii="Palatino Linotype" w:eastAsia="Palatino Linotype" w:hAnsi="Palatino Linotype" w:cs="Palatino Linotype"/>
          <w:b/>
          <w:sz w:val="22"/>
          <w:szCs w:val="22"/>
        </w:rPr>
        <w:t xml:space="preserve">. Turno. </w:t>
      </w:r>
      <w:r w:rsidR="00F2336C" w:rsidRPr="00406B1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406B11">
        <w:rPr>
          <w:rFonts w:ascii="Palatino Linotype" w:eastAsia="Palatino Linotype" w:hAnsi="Palatino Linotype" w:cs="Palatino Linotype"/>
          <w:b/>
          <w:sz w:val="22"/>
          <w:szCs w:val="22"/>
        </w:rPr>
        <w:t xml:space="preserve">Guadalupe Ramírez Peña, </w:t>
      </w:r>
      <w:r w:rsidR="00F2336C" w:rsidRPr="00406B11">
        <w:rPr>
          <w:rFonts w:ascii="Palatino Linotype" w:eastAsia="Palatino Linotype" w:hAnsi="Palatino Linotype" w:cs="Palatino Linotype"/>
          <w:sz w:val="22"/>
          <w:szCs w:val="22"/>
        </w:rPr>
        <w:t>a efecto de que analizara sobre su admisión o su desechamiento.</w:t>
      </w:r>
    </w:p>
    <w:p w14:paraId="45FA4C9F" w14:textId="77777777" w:rsidR="00AD46C7" w:rsidRPr="00406B11" w:rsidRDefault="00AD46C7" w:rsidP="008C2BDE">
      <w:pPr>
        <w:spacing w:line="360" w:lineRule="auto"/>
        <w:ind w:right="51"/>
        <w:jc w:val="both"/>
        <w:rPr>
          <w:rFonts w:ascii="Palatino Linotype" w:eastAsia="Palatino Linotype" w:hAnsi="Palatino Linotype" w:cs="Palatino Linotype"/>
          <w:sz w:val="22"/>
          <w:szCs w:val="22"/>
        </w:rPr>
      </w:pPr>
    </w:p>
    <w:p w14:paraId="2E5A4E66" w14:textId="7B27FD0A" w:rsidR="00AD46C7" w:rsidRPr="00406B11" w:rsidRDefault="00E13470" w:rsidP="008C2BDE">
      <w:pPr>
        <w:spacing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5</w:t>
      </w:r>
      <w:r w:rsidR="00F2336C" w:rsidRPr="00406B11">
        <w:rPr>
          <w:rFonts w:ascii="Palatino Linotype" w:eastAsia="Palatino Linotype" w:hAnsi="Palatino Linotype" w:cs="Palatino Linotype"/>
          <w:b/>
          <w:sz w:val="22"/>
          <w:szCs w:val="22"/>
        </w:rPr>
        <w:t>. Admisión del Recurso de revisión.</w:t>
      </w:r>
      <w:r w:rsidR="00F2336C" w:rsidRPr="00406B11">
        <w:rPr>
          <w:rFonts w:ascii="Palatino Linotype" w:eastAsia="Palatino Linotype" w:hAnsi="Palatino Linotype" w:cs="Palatino Linotype"/>
          <w:sz w:val="22"/>
          <w:szCs w:val="22"/>
        </w:rPr>
        <w:t xml:space="preserve"> Con fecha</w:t>
      </w:r>
      <w:r w:rsidR="00F2336C" w:rsidRPr="00406B11">
        <w:rPr>
          <w:rFonts w:ascii="Palatino Linotype" w:eastAsia="Palatino Linotype" w:hAnsi="Palatino Linotype" w:cs="Palatino Linotype"/>
          <w:b/>
          <w:sz w:val="22"/>
          <w:szCs w:val="22"/>
        </w:rPr>
        <w:t xml:space="preserve"> </w:t>
      </w:r>
      <w:r w:rsidR="00A32844" w:rsidRPr="00406B11">
        <w:rPr>
          <w:rFonts w:ascii="Palatino Linotype" w:eastAsia="Palatino Linotype" w:hAnsi="Palatino Linotype" w:cs="Palatino Linotype"/>
          <w:b/>
          <w:sz w:val="22"/>
          <w:szCs w:val="22"/>
        </w:rPr>
        <w:t>v</w:t>
      </w:r>
      <w:r w:rsidR="007C4F2D" w:rsidRPr="00406B11">
        <w:rPr>
          <w:rFonts w:ascii="Palatino Linotype" w:eastAsia="Palatino Linotype" w:hAnsi="Palatino Linotype" w:cs="Palatino Linotype"/>
          <w:b/>
          <w:sz w:val="22"/>
          <w:szCs w:val="22"/>
        </w:rPr>
        <w:t>eintiuno</w:t>
      </w:r>
      <w:r w:rsidR="00F2336C" w:rsidRPr="00406B11">
        <w:rPr>
          <w:rFonts w:ascii="Palatino Linotype" w:eastAsia="Palatino Linotype" w:hAnsi="Palatino Linotype" w:cs="Palatino Linotype"/>
          <w:b/>
          <w:sz w:val="22"/>
          <w:szCs w:val="22"/>
        </w:rPr>
        <w:t xml:space="preserve"> de </w:t>
      </w:r>
      <w:r w:rsidR="00DE2BDE" w:rsidRPr="00406B11">
        <w:rPr>
          <w:rFonts w:ascii="Palatino Linotype" w:eastAsia="Palatino Linotype" w:hAnsi="Palatino Linotype" w:cs="Palatino Linotype"/>
          <w:b/>
          <w:sz w:val="22"/>
          <w:szCs w:val="22"/>
        </w:rPr>
        <w:t>marzo</w:t>
      </w:r>
      <w:r w:rsidR="00F2336C" w:rsidRPr="00406B11">
        <w:rPr>
          <w:rFonts w:ascii="Palatino Linotype" w:eastAsia="Palatino Linotype" w:hAnsi="Palatino Linotype" w:cs="Palatino Linotype"/>
          <w:b/>
          <w:sz w:val="22"/>
          <w:szCs w:val="22"/>
        </w:rPr>
        <w:t xml:space="preserve"> de dos mil veinticinco, </w:t>
      </w:r>
      <w:r w:rsidR="00F2336C" w:rsidRPr="00406B1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406B11">
        <w:rPr>
          <w:rFonts w:ascii="Palatino Linotype" w:eastAsia="Palatino Linotype" w:hAnsi="Palatino Linotype" w:cs="Palatino Linotype"/>
          <w:b/>
          <w:sz w:val="22"/>
          <w:szCs w:val="22"/>
        </w:rPr>
        <w:t xml:space="preserve">SUJETO OBLIGADO </w:t>
      </w:r>
      <w:r w:rsidR="00F2336C" w:rsidRPr="00406B11">
        <w:rPr>
          <w:rFonts w:ascii="Palatino Linotype" w:eastAsia="Palatino Linotype" w:hAnsi="Palatino Linotype" w:cs="Palatino Linotype"/>
          <w:sz w:val="22"/>
          <w:szCs w:val="22"/>
        </w:rPr>
        <w:t>presentara su informe justificado.</w:t>
      </w:r>
    </w:p>
    <w:p w14:paraId="6E3783EC" w14:textId="6D8A9070" w:rsidR="00E50C49" w:rsidRPr="00406B11"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406B11">
        <w:rPr>
          <w:rFonts w:ascii="Palatino Linotype" w:eastAsia="Palatino Linotype" w:hAnsi="Palatino Linotype" w:cs="Palatino Linotype"/>
          <w:b/>
          <w:sz w:val="22"/>
          <w:szCs w:val="22"/>
        </w:rPr>
        <w:t>6</w:t>
      </w:r>
      <w:r w:rsidR="00F2336C" w:rsidRPr="00406B11">
        <w:rPr>
          <w:rFonts w:ascii="Palatino Linotype" w:eastAsia="Palatino Linotype" w:hAnsi="Palatino Linotype" w:cs="Palatino Linotype"/>
          <w:b/>
          <w:sz w:val="22"/>
          <w:szCs w:val="22"/>
        </w:rPr>
        <w:t>. Manifestaciones</w:t>
      </w:r>
      <w:r w:rsidR="00F2336C" w:rsidRPr="00406B11">
        <w:rPr>
          <w:rFonts w:ascii="Palatino Linotype" w:eastAsia="Palatino Linotype" w:hAnsi="Palatino Linotype" w:cs="Palatino Linotype"/>
          <w:sz w:val="22"/>
          <w:szCs w:val="22"/>
        </w:rPr>
        <w:t xml:space="preserve">. De las constancias que obran en el expediente electrónico del SAIMEX, </w:t>
      </w:r>
      <w:r w:rsidR="000846BD" w:rsidRPr="00406B11">
        <w:rPr>
          <w:rFonts w:ascii="Palatino Linotype" w:eastAsia="Palatino Linotype" w:hAnsi="Palatino Linotype" w:cs="Palatino Linotype"/>
          <w:sz w:val="22"/>
          <w:szCs w:val="22"/>
        </w:rPr>
        <w:t>se advierte que el Sujeto Obligado</w:t>
      </w:r>
      <w:r w:rsidR="00083EFF" w:rsidRPr="00406B11">
        <w:rPr>
          <w:rFonts w:ascii="Palatino Linotype" w:eastAsia="Palatino Linotype" w:hAnsi="Palatino Linotype" w:cs="Palatino Linotype"/>
          <w:sz w:val="22"/>
          <w:szCs w:val="22"/>
        </w:rPr>
        <w:t xml:space="preserve"> </w:t>
      </w:r>
      <w:r w:rsidR="00E50C49" w:rsidRPr="00406B11">
        <w:rPr>
          <w:rFonts w:ascii="Palatino Linotype" w:eastAsia="Palatino Linotype" w:hAnsi="Palatino Linotype" w:cs="Palatino Linotype"/>
          <w:sz w:val="22"/>
          <w:szCs w:val="22"/>
        </w:rPr>
        <w:t xml:space="preserve">rindió su informe justificado el </w:t>
      </w:r>
      <w:r w:rsidR="00E50C49" w:rsidRPr="00406B11">
        <w:rPr>
          <w:rFonts w:ascii="Palatino Linotype" w:eastAsia="Palatino Linotype" w:hAnsi="Palatino Linotype" w:cs="Palatino Linotype"/>
          <w:b/>
          <w:sz w:val="22"/>
          <w:szCs w:val="22"/>
        </w:rPr>
        <w:t>veinti</w:t>
      </w:r>
      <w:r w:rsidR="007C4F2D" w:rsidRPr="00406B11">
        <w:rPr>
          <w:rFonts w:ascii="Palatino Linotype" w:eastAsia="Palatino Linotype" w:hAnsi="Palatino Linotype" w:cs="Palatino Linotype"/>
          <w:b/>
          <w:sz w:val="22"/>
          <w:szCs w:val="22"/>
        </w:rPr>
        <w:t>séis</w:t>
      </w:r>
      <w:r w:rsidR="00A32844" w:rsidRPr="00406B11">
        <w:rPr>
          <w:rFonts w:ascii="Palatino Linotype" w:eastAsia="Palatino Linotype" w:hAnsi="Palatino Linotype" w:cs="Palatino Linotype"/>
          <w:b/>
          <w:sz w:val="22"/>
          <w:szCs w:val="22"/>
        </w:rPr>
        <w:t xml:space="preserve"> </w:t>
      </w:r>
      <w:r w:rsidR="00E50C49" w:rsidRPr="00406B11">
        <w:rPr>
          <w:rFonts w:ascii="Palatino Linotype" w:eastAsia="Palatino Linotype" w:hAnsi="Palatino Linotype" w:cs="Palatino Linotype"/>
          <w:b/>
          <w:sz w:val="22"/>
          <w:szCs w:val="22"/>
        </w:rPr>
        <w:t>de marzo de dos mil veinticinco</w:t>
      </w:r>
      <w:r w:rsidR="00BB2A2C" w:rsidRPr="00406B11">
        <w:rPr>
          <w:rFonts w:ascii="Palatino Linotype" w:eastAsia="Palatino Linotype" w:hAnsi="Palatino Linotype" w:cs="Palatino Linotype"/>
          <w:sz w:val="22"/>
          <w:szCs w:val="22"/>
        </w:rPr>
        <w:t xml:space="preserve">, cuyo contenido se puso a disposición del Recurrente el </w:t>
      </w:r>
      <w:r w:rsidR="007C4F2D" w:rsidRPr="00406B11">
        <w:rPr>
          <w:rFonts w:ascii="Palatino Linotype" w:eastAsia="Palatino Linotype" w:hAnsi="Palatino Linotype" w:cs="Palatino Linotype"/>
          <w:b/>
          <w:sz w:val="22"/>
          <w:szCs w:val="22"/>
        </w:rPr>
        <w:t>veintiocho</w:t>
      </w:r>
      <w:r w:rsidR="00BB2A2C" w:rsidRPr="00406B11">
        <w:rPr>
          <w:rFonts w:ascii="Palatino Linotype" w:eastAsia="Palatino Linotype" w:hAnsi="Palatino Linotype" w:cs="Palatino Linotype"/>
          <w:b/>
          <w:sz w:val="22"/>
          <w:szCs w:val="22"/>
        </w:rPr>
        <w:t xml:space="preserve"> de mayo de dos mil veinticinco</w:t>
      </w:r>
      <w:r w:rsidR="00BB2A2C" w:rsidRPr="00406B11">
        <w:rPr>
          <w:rFonts w:ascii="Palatino Linotype" w:eastAsia="Palatino Linotype" w:hAnsi="Palatino Linotype" w:cs="Palatino Linotype"/>
          <w:sz w:val="22"/>
          <w:szCs w:val="22"/>
        </w:rPr>
        <w:t>; sin embargo, se describe su contenido medular, siendo el siguiente;</w:t>
      </w:r>
    </w:p>
    <w:p w14:paraId="520983F0" w14:textId="68FB1C54" w:rsidR="007C4F2D" w:rsidRPr="00406B11" w:rsidRDefault="007C4F2D" w:rsidP="007C4F2D">
      <w:pPr>
        <w:pStyle w:val="Prrafodelista"/>
        <w:widowControl w:val="0"/>
        <w:numPr>
          <w:ilvl w:val="0"/>
          <w:numId w:val="19"/>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 xml:space="preserve">ANEXO1_RR_03104_UIPPE_2025.pdf: </w:t>
      </w:r>
      <w:r w:rsidRPr="00406B11">
        <w:rPr>
          <w:rFonts w:ascii="Palatino Linotype" w:eastAsia="Palatino Linotype" w:hAnsi="Palatino Linotype" w:cs="Palatino Linotype"/>
          <w:sz w:val="22"/>
          <w:szCs w:val="22"/>
        </w:rPr>
        <w:t>Documento que se integra por ciento cuarenta y siete páginas que contienen el Presupuesto Basado en Resultados Municipal del uno de enero al treinta y uno de diciembre de 2025 de diversas unidades administrativas.</w:t>
      </w:r>
    </w:p>
    <w:p w14:paraId="6504F420" w14:textId="1CB292B3" w:rsidR="007C4F2D" w:rsidRPr="00406B11" w:rsidRDefault="007C4F2D" w:rsidP="007C4F2D">
      <w:pPr>
        <w:pStyle w:val="Prrafodelista"/>
        <w:widowControl w:val="0"/>
        <w:numPr>
          <w:ilvl w:val="0"/>
          <w:numId w:val="19"/>
        </w:numPr>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 xml:space="preserve">3104_RR_IFJ_2025.pdf: </w:t>
      </w:r>
      <w:r w:rsidRPr="00406B11">
        <w:rPr>
          <w:rFonts w:ascii="Palatino Linotype" w:eastAsia="Palatino Linotype" w:hAnsi="Palatino Linotype" w:cs="Palatino Linotype"/>
          <w:sz w:val="22"/>
          <w:szCs w:val="22"/>
        </w:rPr>
        <w:t xml:space="preserve">Oficio PM/UT/RR/091/2025 suscrito por la </w:t>
      </w:r>
      <w:r w:rsidR="00515DDD" w:rsidRPr="00406B11">
        <w:rPr>
          <w:rFonts w:ascii="Palatino Linotype" w:eastAsia="Palatino Linotype" w:hAnsi="Palatino Linotype" w:cs="Palatino Linotype"/>
          <w:sz w:val="22"/>
          <w:szCs w:val="22"/>
        </w:rPr>
        <w:t xml:space="preserve">Titular de la Unidad de Transparencia mediante el cual refiere que se modifica la respuesta, complementando la </w:t>
      </w:r>
      <w:r w:rsidR="00515DDD" w:rsidRPr="00406B11">
        <w:rPr>
          <w:rFonts w:ascii="Palatino Linotype" w:eastAsia="Palatino Linotype" w:hAnsi="Palatino Linotype" w:cs="Palatino Linotype"/>
          <w:sz w:val="22"/>
          <w:szCs w:val="22"/>
        </w:rPr>
        <w:lastRenderedPageBreak/>
        <w:t>información al remitir el PbRM-02ª de las unidades administrativas que integran la Administración 2025-2027, así como del cabildo.</w:t>
      </w:r>
    </w:p>
    <w:p w14:paraId="11DEDBED" w14:textId="496B77EA" w:rsidR="00F50724" w:rsidRPr="00406B11" w:rsidRDefault="00F50724" w:rsidP="007D30C2">
      <w:pPr>
        <w:pStyle w:val="Prrafodelista"/>
        <w:widowControl w:val="0"/>
        <w:pBdr>
          <w:top w:val="nil"/>
          <w:left w:val="nil"/>
          <w:bottom w:val="nil"/>
          <w:right w:val="nil"/>
          <w:between w:val="nil"/>
        </w:pBdr>
        <w:tabs>
          <w:tab w:val="left" w:pos="851"/>
        </w:tabs>
        <w:spacing w:before="120" w:after="240" w:line="360" w:lineRule="auto"/>
        <w:ind w:left="426"/>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sz w:val="22"/>
          <w:szCs w:val="22"/>
        </w:rPr>
        <w:t>De igual forma, contiene el oficio PM/UIPPR/087/03/2025 suscrito por la Titular de la Unidad de Información, Planeación, Programación y Evaluación en</w:t>
      </w:r>
      <w:r w:rsidRPr="00406B11">
        <w:rPr>
          <w:rFonts w:ascii="Palatino Linotype" w:eastAsia="Palatino Linotype" w:hAnsi="Palatino Linotype" w:cs="Palatino Linotype"/>
          <w:b/>
          <w:sz w:val="22"/>
          <w:szCs w:val="22"/>
        </w:rPr>
        <w:t xml:space="preserve"> </w:t>
      </w:r>
      <w:r w:rsidRPr="00406B11">
        <w:rPr>
          <w:rFonts w:ascii="Palatino Linotype" w:eastAsia="Palatino Linotype" w:hAnsi="Palatino Linotype" w:cs="Palatino Linotype"/>
          <w:sz w:val="22"/>
          <w:szCs w:val="22"/>
        </w:rPr>
        <w:t>el cual refiere que se modifica la respuesta, complementando la información al remitir el PbRM-02ª de las unidades administrativas que integran la Administración 2025-2027, así como del cabildo.</w:t>
      </w:r>
    </w:p>
    <w:p w14:paraId="5FD59F74" w14:textId="73D976B0" w:rsidR="0059228E" w:rsidRPr="00406B11" w:rsidRDefault="005D3045"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7</w:t>
      </w:r>
      <w:r w:rsidR="00F2336C" w:rsidRPr="00406B11">
        <w:rPr>
          <w:rFonts w:ascii="Palatino Linotype" w:eastAsia="Palatino Linotype" w:hAnsi="Palatino Linotype" w:cs="Palatino Linotype"/>
          <w:b/>
          <w:sz w:val="22"/>
          <w:szCs w:val="22"/>
        </w:rPr>
        <w:t xml:space="preserve">. </w:t>
      </w:r>
      <w:r w:rsidR="0059228E" w:rsidRPr="00406B11">
        <w:rPr>
          <w:rFonts w:ascii="Palatino Linotype" w:eastAsia="Palatino Linotype" w:hAnsi="Palatino Linotype" w:cs="Palatino Linotype"/>
          <w:b/>
          <w:sz w:val="22"/>
          <w:szCs w:val="22"/>
        </w:rPr>
        <w:t xml:space="preserve">Ampliación de plazo. </w:t>
      </w:r>
      <w:r w:rsidR="0059228E" w:rsidRPr="00406B11">
        <w:rPr>
          <w:rFonts w:ascii="Palatino Linotype" w:eastAsia="Palatino Linotype" w:hAnsi="Palatino Linotype" w:cs="Palatino Linotype"/>
          <w:sz w:val="22"/>
          <w:szCs w:val="22"/>
        </w:rPr>
        <w:t xml:space="preserve">El </w:t>
      </w:r>
      <w:r w:rsidR="00574AC7" w:rsidRPr="00406B11">
        <w:rPr>
          <w:rFonts w:ascii="Palatino Linotype" w:eastAsia="Palatino Linotype" w:hAnsi="Palatino Linotype" w:cs="Palatino Linotype"/>
          <w:b/>
          <w:sz w:val="22"/>
          <w:szCs w:val="22"/>
        </w:rPr>
        <w:t>veinti</w:t>
      </w:r>
      <w:r w:rsidR="00F50724" w:rsidRPr="00406B11">
        <w:rPr>
          <w:rFonts w:ascii="Palatino Linotype" w:eastAsia="Palatino Linotype" w:hAnsi="Palatino Linotype" w:cs="Palatino Linotype"/>
          <w:b/>
          <w:sz w:val="22"/>
          <w:szCs w:val="22"/>
        </w:rPr>
        <w:t>ocho</w:t>
      </w:r>
      <w:r w:rsidR="0059228E" w:rsidRPr="00406B11">
        <w:rPr>
          <w:rFonts w:ascii="Palatino Linotype" w:eastAsia="Palatino Linotype" w:hAnsi="Palatino Linotype" w:cs="Palatino Linotype"/>
          <w:sz w:val="22"/>
          <w:szCs w:val="22"/>
        </w:rPr>
        <w:t xml:space="preserve"> </w:t>
      </w:r>
      <w:r w:rsidR="0059228E" w:rsidRPr="00406B11">
        <w:rPr>
          <w:rFonts w:ascii="Palatino Linotype" w:eastAsia="Palatino Linotype" w:hAnsi="Palatino Linotype" w:cs="Palatino Linotype"/>
          <w:b/>
          <w:sz w:val="22"/>
          <w:szCs w:val="22"/>
        </w:rPr>
        <w:t>de mayo de dos mil veinticinco</w:t>
      </w:r>
      <w:r w:rsidR="0059228E" w:rsidRPr="00406B11">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E1217E" w:rsidRPr="00406B11">
        <w:rPr>
          <w:rFonts w:ascii="Palatino Linotype" w:eastAsia="Palatino Linotype" w:hAnsi="Palatino Linotype" w:cs="Palatino Linotype"/>
          <w:sz w:val="22"/>
          <w:szCs w:val="22"/>
        </w:rPr>
        <w:t xml:space="preserve"> </w:t>
      </w:r>
    </w:p>
    <w:p w14:paraId="57A3B22D" w14:textId="51DEBF7A" w:rsidR="00AD46C7" w:rsidRPr="00406B11" w:rsidRDefault="0059228E"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 xml:space="preserve">8. </w:t>
      </w:r>
      <w:r w:rsidR="00F2336C" w:rsidRPr="00406B11">
        <w:rPr>
          <w:rFonts w:ascii="Palatino Linotype" w:eastAsia="Palatino Linotype" w:hAnsi="Palatino Linotype" w:cs="Palatino Linotype"/>
          <w:b/>
          <w:sz w:val="22"/>
          <w:szCs w:val="22"/>
        </w:rPr>
        <w:t xml:space="preserve">Cierre de instrucción. </w:t>
      </w:r>
      <w:r w:rsidR="00F2336C" w:rsidRPr="00406B11">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406B11">
        <w:rPr>
          <w:rFonts w:ascii="Palatino Linotype" w:eastAsia="Palatino Linotype" w:hAnsi="Palatino Linotype" w:cs="Palatino Linotype"/>
          <w:b/>
          <w:sz w:val="22"/>
          <w:szCs w:val="22"/>
        </w:rPr>
        <w:t xml:space="preserve"> </w:t>
      </w:r>
      <w:r w:rsidR="00AC7ED8" w:rsidRPr="00406B11">
        <w:rPr>
          <w:rFonts w:ascii="Palatino Linotype" w:eastAsia="Palatino Linotype" w:hAnsi="Palatino Linotype" w:cs="Palatino Linotype"/>
          <w:b/>
          <w:sz w:val="22"/>
          <w:szCs w:val="22"/>
        </w:rPr>
        <w:t>cuatro</w:t>
      </w:r>
      <w:r w:rsidR="00117278" w:rsidRPr="00406B11">
        <w:rPr>
          <w:rFonts w:ascii="Palatino Linotype" w:eastAsia="Palatino Linotype" w:hAnsi="Palatino Linotype" w:cs="Palatino Linotype"/>
          <w:b/>
          <w:sz w:val="22"/>
          <w:szCs w:val="22"/>
        </w:rPr>
        <w:t xml:space="preserve"> de </w:t>
      </w:r>
      <w:r w:rsidR="00F50724" w:rsidRPr="00406B11">
        <w:rPr>
          <w:rFonts w:ascii="Palatino Linotype" w:eastAsia="Palatino Linotype" w:hAnsi="Palatino Linotype" w:cs="Palatino Linotype"/>
          <w:b/>
          <w:sz w:val="22"/>
          <w:szCs w:val="22"/>
        </w:rPr>
        <w:t>junio</w:t>
      </w:r>
      <w:r w:rsidR="00F2336C" w:rsidRPr="00406B11">
        <w:rPr>
          <w:rFonts w:ascii="Palatino Linotype" w:eastAsia="Palatino Linotype" w:hAnsi="Palatino Linotype" w:cs="Palatino Linotype"/>
          <w:b/>
          <w:sz w:val="22"/>
          <w:szCs w:val="22"/>
        </w:rPr>
        <w:t xml:space="preserve"> de dos mil veinticinco, </w:t>
      </w:r>
      <w:r w:rsidR="00F2336C" w:rsidRPr="00406B11">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406B11">
        <w:rPr>
          <w:rFonts w:ascii="Palatino Linotype" w:eastAsia="Palatino Linotype" w:hAnsi="Palatino Linotype" w:cs="Palatino Linotype"/>
          <w:sz w:val="22"/>
          <w:szCs w:val="22"/>
        </w:rPr>
        <w:t xml:space="preserve"> </w:t>
      </w:r>
    </w:p>
    <w:p w14:paraId="353AA0CA" w14:textId="3623F1DD" w:rsidR="00E92E29" w:rsidRPr="00406B11"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406B11" w:rsidRDefault="00F2336C" w:rsidP="008C2BDE">
      <w:pPr>
        <w:widowControl w:val="0"/>
        <w:spacing w:line="360" w:lineRule="auto"/>
        <w:jc w:val="center"/>
        <w:rPr>
          <w:rFonts w:ascii="Palatino Linotype" w:eastAsia="Palatino Linotype" w:hAnsi="Palatino Linotype" w:cs="Palatino Linotype"/>
          <w:b/>
          <w:sz w:val="22"/>
          <w:szCs w:val="22"/>
        </w:rPr>
      </w:pPr>
      <w:r w:rsidRPr="00406B11">
        <w:rPr>
          <w:rFonts w:ascii="Palatino Linotype" w:eastAsia="Palatino Linotype" w:hAnsi="Palatino Linotype" w:cs="Palatino Linotype"/>
          <w:b/>
          <w:sz w:val="22"/>
          <w:szCs w:val="22"/>
        </w:rPr>
        <w:t>II. C O N S I D E R A N D O S</w:t>
      </w:r>
    </w:p>
    <w:p w14:paraId="0E09EFF0" w14:textId="729C0D89"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Primero. Competencia.</w:t>
      </w:r>
      <w:r w:rsidRPr="00406B1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AC3F12" w:rsidRPr="00406B11">
        <w:rPr>
          <w:rFonts w:ascii="Palatino Linotype" w:eastAsia="Palatino Linotype" w:hAnsi="Palatino Linotype" w:cs="Palatino Linotype"/>
          <w:sz w:val="22"/>
          <w:szCs w:val="22"/>
        </w:rPr>
        <w:t>séptimo</w:t>
      </w:r>
      <w:r w:rsidRPr="00406B11">
        <w:rPr>
          <w:rFonts w:ascii="Palatino Linotype" w:eastAsia="Palatino Linotype" w:hAnsi="Palatino Linotype" w:cs="Palatino Linotype"/>
          <w:sz w:val="22"/>
          <w:szCs w:val="22"/>
        </w:rPr>
        <w:t xml:space="preserve">, trigésimo </w:t>
      </w:r>
      <w:r w:rsidR="00AC3F12" w:rsidRPr="00406B11">
        <w:rPr>
          <w:rFonts w:ascii="Palatino Linotype" w:eastAsia="Palatino Linotype" w:hAnsi="Palatino Linotype" w:cs="Palatino Linotype"/>
          <w:sz w:val="22"/>
          <w:szCs w:val="22"/>
        </w:rPr>
        <w:t>octavo y trigésimo noveno</w:t>
      </w:r>
      <w:r w:rsidRPr="00406B11">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w:t>
      </w:r>
      <w:r w:rsidRPr="00406B11">
        <w:rPr>
          <w:rFonts w:ascii="Palatino Linotype" w:eastAsia="Palatino Linotype" w:hAnsi="Palatino Linotype" w:cs="Palatino Linotype"/>
          <w:sz w:val="22"/>
          <w:szCs w:val="22"/>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406B11"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406B11">
        <w:rPr>
          <w:rFonts w:ascii="Palatino Linotype" w:eastAsia="Palatino Linotype" w:hAnsi="Palatino Linotype" w:cs="Palatino Linotype"/>
          <w:b/>
          <w:sz w:val="22"/>
          <w:szCs w:val="22"/>
        </w:rPr>
        <w:t xml:space="preserve">Segundo. Oportunidad y Procedibilidad del Recurso de Revisión. </w:t>
      </w:r>
      <w:r w:rsidRPr="00406B1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406B11"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406B11" w:rsidRDefault="00F2336C" w:rsidP="0059228E">
      <w:pPr>
        <w:ind w:left="851" w:right="900"/>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t xml:space="preserve">“Artículo 178. </w:t>
      </w:r>
      <w:r w:rsidRPr="00406B1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0F64E6A4" w:rsidR="00AD46C7" w:rsidRPr="00406B11" w:rsidRDefault="00F2336C" w:rsidP="008C2BDE">
      <w:pPr>
        <w:spacing w:before="240"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06B11">
        <w:rPr>
          <w:rFonts w:ascii="Palatino Linotype" w:eastAsia="Palatino Linotype" w:hAnsi="Palatino Linotype" w:cs="Palatino Linotype"/>
          <w:b/>
          <w:sz w:val="22"/>
          <w:szCs w:val="22"/>
        </w:rPr>
        <w:t>SUJETO OBLIGADO</w:t>
      </w:r>
      <w:r w:rsidRPr="00406B11">
        <w:rPr>
          <w:rFonts w:ascii="Palatino Linotype" w:eastAsia="Palatino Linotype" w:hAnsi="Palatino Linotype" w:cs="Palatino Linotype"/>
          <w:sz w:val="22"/>
          <w:szCs w:val="22"/>
        </w:rPr>
        <w:t xml:space="preserve"> remitió la respuesta a la solicitud de información el </w:t>
      </w:r>
      <w:r w:rsidR="007D30C2" w:rsidRPr="00406B11">
        <w:rPr>
          <w:rFonts w:ascii="Palatino Linotype" w:eastAsia="Palatino Linotype" w:hAnsi="Palatino Linotype" w:cs="Palatino Linotype"/>
          <w:b/>
          <w:sz w:val="22"/>
          <w:szCs w:val="22"/>
        </w:rPr>
        <w:t>once</w:t>
      </w:r>
      <w:r w:rsidR="000846BD" w:rsidRPr="00406B11">
        <w:rPr>
          <w:rFonts w:ascii="Palatino Linotype" w:eastAsia="Palatino Linotype" w:hAnsi="Palatino Linotype" w:cs="Palatino Linotype"/>
          <w:sz w:val="22"/>
          <w:szCs w:val="22"/>
        </w:rPr>
        <w:t xml:space="preserve"> </w:t>
      </w:r>
      <w:r w:rsidRPr="00406B11">
        <w:rPr>
          <w:rFonts w:ascii="Palatino Linotype" w:eastAsia="Palatino Linotype" w:hAnsi="Palatino Linotype" w:cs="Palatino Linotype"/>
          <w:b/>
          <w:sz w:val="22"/>
          <w:szCs w:val="22"/>
        </w:rPr>
        <w:t xml:space="preserve">de </w:t>
      </w:r>
      <w:r w:rsidR="00247671" w:rsidRPr="00406B11">
        <w:rPr>
          <w:rFonts w:ascii="Palatino Linotype" w:eastAsia="Palatino Linotype" w:hAnsi="Palatino Linotype" w:cs="Palatino Linotype"/>
          <w:b/>
          <w:sz w:val="22"/>
          <w:szCs w:val="22"/>
        </w:rPr>
        <w:t>marzo</w:t>
      </w:r>
      <w:r w:rsidRPr="00406B11">
        <w:rPr>
          <w:rFonts w:ascii="Palatino Linotype" w:eastAsia="Palatino Linotype" w:hAnsi="Palatino Linotype" w:cs="Palatino Linotype"/>
          <w:b/>
          <w:sz w:val="22"/>
          <w:szCs w:val="22"/>
        </w:rPr>
        <w:t xml:space="preserve"> de dos mil veinticinco, </w:t>
      </w:r>
      <w:r w:rsidRPr="00406B11">
        <w:rPr>
          <w:rFonts w:ascii="Palatino Linotype" w:eastAsia="Palatino Linotype" w:hAnsi="Palatino Linotype" w:cs="Palatino Linotype"/>
          <w:sz w:val="22"/>
          <w:szCs w:val="22"/>
        </w:rPr>
        <w:t xml:space="preserve">mientras que el recurso de revisión interpuesto por la parte </w:t>
      </w:r>
      <w:r w:rsidRPr="00406B11">
        <w:rPr>
          <w:rFonts w:ascii="Palatino Linotype" w:eastAsia="Palatino Linotype" w:hAnsi="Palatino Linotype" w:cs="Palatino Linotype"/>
          <w:b/>
          <w:sz w:val="22"/>
          <w:szCs w:val="22"/>
        </w:rPr>
        <w:t>RECURRENTE</w:t>
      </w:r>
      <w:r w:rsidRPr="00406B11">
        <w:rPr>
          <w:rFonts w:ascii="Palatino Linotype" w:eastAsia="Palatino Linotype" w:hAnsi="Palatino Linotype" w:cs="Palatino Linotype"/>
          <w:sz w:val="22"/>
          <w:szCs w:val="22"/>
        </w:rPr>
        <w:t xml:space="preserve">, se tuvo por presentado el día </w:t>
      </w:r>
      <w:r w:rsidR="007D30C2" w:rsidRPr="00406B11">
        <w:rPr>
          <w:rFonts w:ascii="Palatino Linotype" w:eastAsia="Palatino Linotype" w:hAnsi="Palatino Linotype" w:cs="Palatino Linotype"/>
          <w:b/>
          <w:sz w:val="22"/>
          <w:szCs w:val="22"/>
        </w:rPr>
        <w:t>dieciocho</w:t>
      </w:r>
      <w:r w:rsidRPr="00406B11">
        <w:rPr>
          <w:rFonts w:ascii="Palatino Linotype" w:eastAsia="Palatino Linotype" w:hAnsi="Palatino Linotype" w:cs="Palatino Linotype"/>
          <w:b/>
          <w:sz w:val="22"/>
          <w:szCs w:val="22"/>
        </w:rPr>
        <w:t xml:space="preserve"> de </w:t>
      </w:r>
      <w:r w:rsidR="000846BD" w:rsidRPr="00406B11">
        <w:rPr>
          <w:rFonts w:ascii="Palatino Linotype" w:eastAsia="Palatino Linotype" w:hAnsi="Palatino Linotype" w:cs="Palatino Linotype"/>
          <w:b/>
          <w:sz w:val="22"/>
          <w:szCs w:val="22"/>
        </w:rPr>
        <w:t>marzo</w:t>
      </w:r>
      <w:r w:rsidRPr="00406B11">
        <w:rPr>
          <w:rFonts w:ascii="Palatino Linotype" w:eastAsia="Palatino Linotype" w:hAnsi="Palatino Linotype" w:cs="Palatino Linotype"/>
          <w:b/>
          <w:sz w:val="22"/>
          <w:szCs w:val="22"/>
        </w:rPr>
        <w:t xml:space="preserve"> del año dos mil veinticinco</w:t>
      </w:r>
      <w:r w:rsidRPr="00406B11">
        <w:rPr>
          <w:rFonts w:ascii="Palatino Linotype" w:eastAsia="Palatino Linotype" w:hAnsi="Palatino Linotype" w:cs="Palatino Linotype"/>
          <w:sz w:val="22"/>
          <w:szCs w:val="22"/>
        </w:rPr>
        <w:t>; esto es, al</w:t>
      </w:r>
      <w:r w:rsidR="000A3D10" w:rsidRPr="00406B11">
        <w:rPr>
          <w:rFonts w:ascii="Palatino Linotype" w:eastAsia="Palatino Linotype" w:hAnsi="Palatino Linotype" w:cs="Palatino Linotype"/>
          <w:sz w:val="22"/>
          <w:szCs w:val="22"/>
        </w:rPr>
        <w:t xml:space="preserve"> </w:t>
      </w:r>
      <w:r w:rsidR="007D30C2" w:rsidRPr="00406B11">
        <w:rPr>
          <w:rFonts w:ascii="Palatino Linotype" w:eastAsia="Palatino Linotype" w:hAnsi="Palatino Linotype" w:cs="Palatino Linotype"/>
          <w:b/>
          <w:sz w:val="22"/>
          <w:szCs w:val="22"/>
        </w:rPr>
        <w:t>cuarto</w:t>
      </w:r>
      <w:r w:rsidR="007D30C2" w:rsidRPr="00406B11">
        <w:rPr>
          <w:rFonts w:ascii="Palatino Linotype" w:eastAsia="Palatino Linotype" w:hAnsi="Palatino Linotype" w:cs="Palatino Linotype"/>
          <w:sz w:val="22"/>
          <w:szCs w:val="22"/>
        </w:rPr>
        <w:t xml:space="preserve"> </w:t>
      </w:r>
      <w:r w:rsidR="000A3D10" w:rsidRPr="00406B11">
        <w:rPr>
          <w:rFonts w:ascii="Palatino Linotype" w:eastAsia="Palatino Linotype" w:hAnsi="Palatino Linotype" w:cs="Palatino Linotype"/>
          <w:sz w:val="22"/>
          <w:szCs w:val="22"/>
        </w:rPr>
        <w:t>día</w:t>
      </w:r>
      <w:r w:rsidR="007D30C2" w:rsidRPr="00406B11">
        <w:rPr>
          <w:rFonts w:ascii="Palatino Linotype" w:eastAsia="Palatino Linotype" w:hAnsi="Palatino Linotype" w:cs="Palatino Linotype"/>
          <w:sz w:val="22"/>
          <w:szCs w:val="22"/>
        </w:rPr>
        <w:t xml:space="preserve"> hábil</w:t>
      </w:r>
      <w:r w:rsidR="000A3D10" w:rsidRPr="00406B11">
        <w:rPr>
          <w:rFonts w:ascii="Palatino Linotype" w:eastAsia="Palatino Linotype" w:hAnsi="Palatino Linotype" w:cs="Palatino Linotype"/>
          <w:sz w:val="22"/>
          <w:szCs w:val="22"/>
        </w:rPr>
        <w:t xml:space="preserve"> que </w:t>
      </w:r>
      <w:r w:rsidRPr="00406B11">
        <w:rPr>
          <w:rFonts w:ascii="Palatino Linotype" w:eastAsia="Palatino Linotype" w:hAnsi="Palatino Linotype" w:cs="Palatino Linotype"/>
          <w:sz w:val="22"/>
          <w:szCs w:val="22"/>
        </w:rPr>
        <w:t>se tuvo conocimiento de la respuesta.</w:t>
      </w:r>
    </w:p>
    <w:p w14:paraId="25C14413" w14:textId="41318BBE" w:rsidR="00BD7380" w:rsidRPr="00406B11" w:rsidRDefault="00BD7380"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406B11">
        <w:rPr>
          <w:rFonts w:ascii="Palatino Linotype" w:eastAsia="Palatino Linotype" w:hAnsi="Palatino Linotype" w:cs="Palatino Linotype"/>
          <w:b/>
          <w:sz w:val="22"/>
          <w:szCs w:val="22"/>
        </w:rPr>
        <w:t>RECURRENTE</w:t>
      </w:r>
      <w:r w:rsidRPr="00406B11">
        <w:rPr>
          <w:rFonts w:ascii="Palatino Linotype" w:eastAsia="Palatino Linotype" w:hAnsi="Palatino Linotype" w:cs="Palatino Linotype"/>
          <w:sz w:val="22"/>
          <w:szCs w:val="22"/>
        </w:rPr>
        <w:t xml:space="preserve">, </w:t>
      </w:r>
      <w:r w:rsidR="007D30C2" w:rsidRPr="00406B11">
        <w:rPr>
          <w:rFonts w:ascii="Palatino Linotype" w:eastAsia="Palatino Linotype" w:hAnsi="Palatino Linotype" w:cs="Palatino Linotype"/>
          <w:sz w:val="22"/>
          <w:szCs w:val="22"/>
        </w:rPr>
        <w:t>no proporcionó su nombre</w:t>
      </w:r>
      <w:r w:rsidRPr="00406B11">
        <w:rPr>
          <w:rFonts w:ascii="Palatino Linotype" w:eastAsia="Palatino Linotype" w:hAnsi="Palatino Linotype" w:cs="Palatino Linotype"/>
          <w:b/>
          <w:sz w:val="22"/>
          <w:szCs w:val="22"/>
        </w:rPr>
        <w:t>,</w:t>
      </w:r>
      <w:r w:rsidRPr="00406B11">
        <w:rPr>
          <w:rFonts w:ascii="Palatino Linotype" w:eastAsia="Palatino Linotype" w:hAnsi="Palatino Linotype" w:cs="Palatino Linotype"/>
          <w:sz w:val="22"/>
          <w:szCs w:val="22"/>
        </w:rPr>
        <w:t xml:space="preserve"> como se advierte en el detalle de seguimiento del SAIMEX, no obstante el no proporcionar nombre</w:t>
      </w:r>
      <w:r w:rsidR="00757AF9" w:rsidRPr="00406B11">
        <w:rPr>
          <w:rFonts w:ascii="Palatino Linotype" w:eastAsia="Palatino Linotype" w:hAnsi="Palatino Linotype" w:cs="Palatino Linotype"/>
          <w:strike/>
          <w:sz w:val="22"/>
          <w:szCs w:val="22"/>
        </w:rPr>
        <w:t xml:space="preserve"> </w:t>
      </w:r>
      <w:r w:rsidRPr="00406B11">
        <w:rPr>
          <w:rFonts w:ascii="Palatino Linotype" w:eastAsia="Palatino Linotype" w:hAnsi="Palatino Linotype" w:cs="Palatino Linotype"/>
          <w:sz w:val="22"/>
          <w:szCs w:val="22"/>
        </w:rPr>
        <w:t xml:space="preserve">no es motivo para archivar </w:t>
      </w:r>
      <w:r w:rsidRPr="00406B11">
        <w:rPr>
          <w:rFonts w:ascii="Palatino Linotype" w:eastAsia="Palatino Linotype" w:hAnsi="Palatino Linotype" w:cs="Palatino Linotype"/>
          <w:sz w:val="22"/>
          <w:szCs w:val="22"/>
        </w:rPr>
        <w:lastRenderedPageBreak/>
        <w:t>la solicitud de acceso a la información pública como concluida, conforme a lo previsto en el artículo 155, penúltimo párrafo de la Ley de Transparencia y Acceso a la Información Pública del Estado de México y Municipios que establece lo siguiente:</w:t>
      </w:r>
    </w:p>
    <w:p w14:paraId="025D65D9" w14:textId="77777777" w:rsidR="00BD7380" w:rsidRPr="00406B11" w:rsidRDefault="00BD7380" w:rsidP="0059228E">
      <w:pPr>
        <w:spacing w:before="240" w:after="240"/>
        <w:ind w:left="851" w:right="902"/>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r w:rsidRPr="00406B11">
        <w:rPr>
          <w:rFonts w:ascii="Palatino Linotype" w:eastAsia="Palatino Linotype" w:hAnsi="Palatino Linotype" w:cs="Palatino Linotype"/>
          <w:b/>
          <w:i/>
          <w:sz w:val="22"/>
          <w:szCs w:val="22"/>
        </w:rPr>
        <w:t xml:space="preserve">Las solicitudes </w:t>
      </w:r>
      <w:r w:rsidRPr="00406B11">
        <w:rPr>
          <w:rFonts w:ascii="Palatino Linotype" w:eastAsia="Palatino Linotype" w:hAnsi="Palatino Linotype" w:cs="Palatino Linotype"/>
          <w:i/>
          <w:sz w:val="22"/>
          <w:szCs w:val="22"/>
        </w:rPr>
        <w:t xml:space="preserve">anónimas, con </w:t>
      </w:r>
      <w:r w:rsidRPr="00406B11">
        <w:rPr>
          <w:rFonts w:ascii="Palatino Linotype" w:eastAsia="Palatino Linotype" w:hAnsi="Palatino Linotype" w:cs="Palatino Linotype"/>
          <w:b/>
          <w:i/>
          <w:sz w:val="22"/>
          <w:szCs w:val="22"/>
        </w:rPr>
        <w:t>nombre incompleto o seudónimo</w:t>
      </w:r>
      <w:r w:rsidRPr="00406B11">
        <w:rPr>
          <w:rFonts w:ascii="Palatino Linotype" w:eastAsia="Palatino Linotype" w:hAnsi="Palatino Linotype" w:cs="Palatino Linotype"/>
          <w:i/>
          <w:sz w:val="22"/>
          <w:szCs w:val="22"/>
        </w:rPr>
        <w:t xml:space="preserve"> </w:t>
      </w:r>
      <w:r w:rsidRPr="00406B11">
        <w:rPr>
          <w:rFonts w:ascii="Palatino Linotype" w:eastAsia="Palatino Linotype" w:hAnsi="Palatino Linotype" w:cs="Palatino Linotype"/>
          <w:b/>
          <w:i/>
          <w:sz w:val="22"/>
          <w:szCs w:val="22"/>
        </w:rPr>
        <w:t>serán procedentes para su trámite por parte del sujeto obligado ante quien se presente</w:t>
      </w:r>
      <w:r w:rsidRPr="00406B11">
        <w:rPr>
          <w:rFonts w:ascii="Palatino Linotype" w:eastAsia="Palatino Linotype" w:hAnsi="Palatino Linotype" w:cs="Palatino Linotype"/>
          <w:i/>
          <w:sz w:val="22"/>
          <w:szCs w:val="22"/>
        </w:rPr>
        <w:t>. No podrá requerirse información adicional con motivo del nombre proporcionado por el solicitante."(Sic)</w:t>
      </w:r>
    </w:p>
    <w:p w14:paraId="5418DA3F" w14:textId="77777777" w:rsidR="00BD7380" w:rsidRPr="00406B11" w:rsidRDefault="00BD7380" w:rsidP="008C2BDE">
      <w:pPr>
        <w:spacing w:before="240"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46CDA19F" w:rsidR="00AD46C7" w:rsidRPr="00406B11"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406B11">
        <w:rPr>
          <w:rFonts w:ascii="Palatino Linotype" w:eastAsia="Palatino Linotype" w:hAnsi="Palatino Linotype" w:cs="Palatino Linotype"/>
          <w:sz w:val="22"/>
          <w:szCs w:val="22"/>
        </w:rPr>
        <w:t xml:space="preserve">s en el artículo 179, fracción </w:t>
      </w:r>
      <w:r w:rsidR="00AE1A56" w:rsidRPr="00406B11">
        <w:rPr>
          <w:rFonts w:ascii="Palatino Linotype" w:eastAsia="Palatino Linotype" w:hAnsi="Palatino Linotype" w:cs="Palatino Linotype"/>
          <w:sz w:val="22"/>
          <w:szCs w:val="22"/>
        </w:rPr>
        <w:t>V</w:t>
      </w:r>
      <w:r w:rsidR="00394118" w:rsidRPr="00406B11">
        <w:rPr>
          <w:rFonts w:ascii="Palatino Linotype" w:eastAsia="Palatino Linotype" w:hAnsi="Palatino Linotype" w:cs="Palatino Linotype"/>
          <w:sz w:val="22"/>
          <w:szCs w:val="22"/>
        </w:rPr>
        <w:t xml:space="preserve">, </w:t>
      </w:r>
      <w:r w:rsidRPr="00406B11">
        <w:rPr>
          <w:rFonts w:ascii="Palatino Linotype" w:eastAsia="Palatino Linotype" w:hAnsi="Palatino Linotype" w:cs="Palatino Linotype"/>
          <w:sz w:val="22"/>
          <w:szCs w:val="22"/>
        </w:rPr>
        <w:t>de la ley de la materia, que a la letra dice:</w:t>
      </w:r>
    </w:p>
    <w:p w14:paraId="455AEB4B" w14:textId="77777777" w:rsidR="00AD46C7" w:rsidRPr="00406B11" w:rsidRDefault="00F2336C" w:rsidP="0059228E">
      <w:pPr>
        <w:ind w:left="851" w:right="104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r w:rsidRPr="00406B11">
        <w:rPr>
          <w:rFonts w:ascii="Palatino Linotype" w:eastAsia="Palatino Linotype" w:hAnsi="Palatino Linotype" w:cs="Palatino Linotype"/>
          <w:b/>
          <w:i/>
          <w:sz w:val="22"/>
          <w:szCs w:val="22"/>
        </w:rPr>
        <w:t xml:space="preserve">Artículo 179. </w:t>
      </w:r>
      <w:r w:rsidRPr="00406B1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E47E0E9" w14:textId="526AA4C2" w:rsidR="00394118" w:rsidRPr="00406B11" w:rsidRDefault="00394118" w:rsidP="0059228E">
      <w:pPr>
        <w:ind w:left="851" w:right="104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p>
    <w:p w14:paraId="5AE1A45D" w14:textId="7BFBA65D" w:rsidR="00B63685" w:rsidRPr="00406B11" w:rsidRDefault="0059228E" w:rsidP="0059228E">
      <w:pPr>
        <w:ind w:left="851" w:right="1041"/>
        <w:jc w:val="both"/>
        <w:rPr>
          <w:rFonts w:ascii="Palatino Linotype" w:eastAsia="Palatino Linotype" w:hAnsi="Palatino Linotype" w:cs="Palatino Linotype"/>
          <w:i/>
          <w:sz w:val="22"/>
          <w:szCs w:val="22"/>
        </w:rPr>
      </w:pPr>
      <w:r w:rsidRPr="00406B11">
        <w:rPr>
          <w:rFonts w:ascii="Palatino Linotype" w:hAnsi="Palatino Linotype"/>
          <w:i/>
          <w:sz w:val="22"/>
          <w:szCs w:val="22"/>
        </w:rPr>
        <w:t xml:space="preserve">V. </w:t>
      </w:r>
      <w:r w:rsidR="007D30C2" w:rsidRPr="00406B11">
        <w:rPr>
          <w:rFonts w:ascii="Palatino Linotype" w:hAnsi="Palatino Linotype"/>
          <w:i/>
          <w:sz w:val="22"/>
          <w:szCs w:val="22"/>
        </w:rPr>
        <w:t>La entrega de información incompleta;</w:t>
      </w:r>
      <w:r w:rsidRPr="00406B11">
        <w:rPr>
          <w:rFonts w:ascii="Palatino Linotype" w:hAnsi="Palatino Linotype"/>
          <w:i/>
          <w:sz w:val="22"/>
          <w:szCs w:val="22"/>
        </w:rPr>
        <w:t xml:space="preserve"> </w:t>
      </w:r>
      <w:r w:rsidR="00B63685" w:rsidRPr="00406B11">
        <w:rPr>
          <w:rFonts w:ascii="Palatino Linotype" w:eastAsia="Palatino Linotype" w:hAnsi="Palatino Linotype" w:cs="Palatino Linotype"/>
          <w:i/>
          <w:sz w:val="22"/>
          <w:szCs w:val="22"/>
        </w:rPr>
        <w:t xml:space="preserve"> </w:t>
      </w:r>
    </w:p>
    <w:p w14:paraId="7E447434" w14:textId="670B00C7" w:rsidR="00AD46C7" w:rsidRPr="00406B11" w:rsidRDefault="00F2336C" w:rsidP="0059228E">
      <w:pPr>
        <w:ind w:left="851" w:right="104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 (Sic)</w:t>
      </w:r>
    </w:p>
    <w:p w14:paraId="6D3AC34A" w14:textId="77777777" w:rsidR="00CD35F1" w:rsidRPr="00406B11" w:rsidRDefault="00CD35F1" w:rsidP="008C2BDE">
      <w:pPr>
        <w:spacing w:before="280" w:after="28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Tercero. Materia de Revisión</w:t>
      </w:r>
      <w:r w:rsidRPr="00406B1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406B11">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406B11">
        <w:rPr>
          <w:rFonts w:ascii="Palatino Linotype" w:eastAsia="Palatino Linotype" w:hAnsi="Palatino Linotype" w:cs="Palatino Linotype"/>
          <w:sz w:val="22"/>
          <w:szCs w:val="22"/>
        </w:rPr>
        <w:t xml:space="preserve">del </w:t>
      </w:r>
      <w:r w:rsidRPr="00406B11">
        <w:rPr>
          <w:rFonts w:ascii="Palatino Linotype" w:eastAsia="Palatino Linotype" w:hAnsi="Palatino Linotype" w:cs="Palatino Linotype"/>
          <w:b/>
          <w:sz w:val="22"/>
          <w:szCs w:val="22"/>
        </w:rPr>
        <w:t>RECURRENTE</w:t>
      </w:r>
      <w:r w:rsidRPr="00406B11">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406B11" w:rsidRDefault="00CD35F1"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lastRenderedPageBreak/>
        <w:t xml:space="preserve">Cuarto. Estudio de fondo del asunto. </w:t>
      </w:r>
      <w:r w:rsidRPr="00406B11">
        <w:rPr>
          <w:rFonts w:ascii="Palatino Linotype" w:eastAsia="Palatino Linotype" w:hAnsi="Palatino Linotype" w:cs="Palatino Linotype"/>
          <w:sz w:val="22"/>
          <w:szCs w:val="22"/>
        </w:rPr>
        <w:t xml:space="preserve">Es conveniente analizar si la respuesta del </w:t>
      </w:r>
      <w:r w:rsidRPr="00406B11">
        <w:rPr>
          <w:rFonts w:ascii="Palatino Linotype" w:eastAsia="Palatino Linotype" w:hAnsi="Palatino Linotype" w:cs="Palatino Linotype"/>
          <w:b/>
          <w:sz w:val="22"/>
          <w:szCs w:val="22"/>
        </w:rPr>
        <w:t>SUJETO OBLIGADO</w:t>
      </w:r>
      <w:r w:rsidRPr="00406B11">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406B11" w:rsidRDefault="00CD35F1" w:rsidP="0059228E">
      <w:pPr>
        <w:spacing w:before="240"/>
        <w:ind w:left="709" w:right="760"/>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 xml:space="preserve"> </w:t>
      </w:r>
      <w:r w:rsidR="00F2336C" w:rsidRPr="00406B11">
        <w:rPr>
          <w:rFonts w:ascii="Palatino Linotype" w:eastAsia="Palatino Linotype" w:hAnsi="Palatino Linotype" w:cs="Palatino Linotype"/>
          <w:i/>
          <w:sz w:val="22"/>
          <w:szCs w:val="22"/>
        </w:rPr>
        <w:t>“</w:t>
      </w:r>
      <w:r w:rsidR="00F2336C" w:rsidRPr="00406B11">
        <w:rPr>
          <w:rFonts w:ascii="Palatino Linotype" w:eastAsia="Palatino Linotype" w:hAnsi="Palatino Linotype" w:cs="Palatino Linotype"/>
          <w:b/>
          <w:i/>
          <w:sz w:val="22"/>
          <w:szCs w:val="22"/>
        </w:rPr>
        <w:t>Artículo 4</w:t>
      </w:r>
      <w:r w:rsidR="00F2336C" w:rsidRPr="00406B1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406B11" w:rsidRDefault="00F2336C" w:rsidP="0059228E">
      <w:pPr>
        <w:ind w:left="709" w:right="760"/>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06B1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406B11" w:rsidRDefault="00F2336C" w:rsidP="0059228E">
      <w:pPr>
        <w:ind w:left="709" w:right="760"/>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06B11">
        <w:rPr>
          <w:rFonts w:ascii="Palatino Linotype" w:eastAsia="Palatino Linotype" w:hAnsi="Palatino Linotype" w:cs="Palatino Linotype"/>
          <w:i/>
          <w:sz w:val="22"/>
          <w:szCs w:val="22"/>
        </w:rPr>
        <w:t>.”</w:t>
      </w:r>
    </w:p>
    <w:p w14:paraId="3BE31D23" w14:textId="77777777" w:rsidR="00AD46C7" w:rsidRPr="00406B11"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406B11"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406B11" w:rsidRDefault="00F2336C" w:rsidP="0059228E">
      <w:pPr>
        <w:ind w:left="567" w:right="758"/>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lastRenderedPageBreak/>
        <w:t>“Artículo 12.-</w:t>
      </w:r>
      <w:r w:rsidRPr="00406B1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406B11"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406B11" w:rsidRDefault="00F2336C" w:rsidP="0059228E">
      <w:pPr>
        <w:ind w:left="567" w:right="758"/>
        <w:jc w:val="both"/>
        <w:rPr>
          <w:rFonts w:ascii="Palatino Linotype" w:eastAsia="Palatino Linotype" w:hAnsi="Palatino Linotype" w:cs="Palatino Linotype"/>
          <w:b/>
          <w:i/>
          <w:sz w:val="22"/>
          <w:szCs w:val="22"/>
        </w:rPr>
      </w:pPr>
      <w:r w:rsidRPr="00406B1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06B11">
        <w:rPr>
          <w:rFonts w:ascii="Palatino Linotype" w:eastAsia="Palatino Linotype" w:hAnsi="Palatino Linotype" w:cs="Palatino Linotype"/>
          <w:i/>
          <w:sz w:val="22"/>
          <w:szCs w:val="22"/>
        </w:rPr>
        <w:t xml:space="preserve">. </w:t>
      </w:r>
      <w:r w:rsidRPr="00406B1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406B11"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406B11" w:rsidRDefault="00F2336C" w:rsidP="008C2BDE">
      <w:pPr>
        <w:spacing w:line="360" w:lineRule="auto"/>
        <w:ind w:right="-93"/>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406B11"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406B11" w:rsidRDefault="00F2336C" w:rsidP="008C2BDE">
      <w:pPr>
        <w:spacing w:line="360" w:lineRule="auto"/>
        <w:jc w:val="both"/>
        <w:rPr>
          <w:rFonts w:ascii="Palatino Linotype" w:eastAsia="Palatino Linotype" w:hAnsi="Palatino Linotype" w:cs="Palatino Linotype"/>
          <w:b/>
          <w:sz w:val="22"/>
          <w:szCs w:val="22"/>
        </w:rPr>
      </w:pPr>
      <w:r w:rsidRPr="00406B11">
        <w:rPr>
          <w:rFonts w:ascii="Palatino Linotype" w:eastAsia="Palatino Linotype" w:hAnsi="Palatino Linotype" w:cs="Palatino Linotype"/>
          <w:sz w:val="22"/>
          <w:szCs w:val="22"/>
        </w:rPr>
        <w:t xml:space="preserve">Sirve de apoyo a lo anterior, el criterio 03-17, expuesto por el </w:t>
      </w:r>
      <w:r w:rsidR="00920422" w:rsidRPr="00406B11">
        <w:rPr>
          <w:rFonts w:ascii="Palatino Linotype" w:eastAsia="Palatino Linotype" w:hAnsi="Palatino Linotype" w:cs="Palatino Linotype"/>
          <w:sz w:val="22"/>
          <w:szCs w:val="22"/>
        </w:rPr>
        <w:t xml:space="preserve">entonces </w:t>
      </w:r>
      <w:r w:rsidRPr="00406B11">
        <w:rPr>
          <w:rFonts w:ascii="Palatino Linotype" w:eastAsia="Palatino Linotype" w:hAnsi="Palatino Linotype" w:cs="Palatino Linotype"/>
          <w:sz w:val="22"/>
          <w:szCs w:val="22"/>
        </w:rPr>
        <w:t>Instituto Nacional de Transparencia, Acceso a la Información y Protección de Datos Personales, que dice:</w:t>
      </w:r>
      <w:r w:rsidRPr="00406B11">
        <w:rPr>
          <w:rFonts w:ascii="Palatino Linotype" w:eastAsia="Palatino Linotype" w:hAnsi="Palatino Linotype" w:cs="Palatino Linotype"/>
          <w:b/>
          <w:sz w:val="22"/>
          <w:szCs w:val="22"/>
        </w:rPr>
        <w:t xml:space="preserve"> </w:t>
      </w:r>
    </w:p>
    <w:p w14:paraId="23FEF1B8" w14:textId="77777777" w:rsidR="00AD46C7" w:rsidRPr="00406B11"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406B11" w:rsidRDefault="00F2336C" w:rsidP="0059228E">
      <w:pPr>
        <w:ind w:left="851" w:right="90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r w:rsidRPr="00406B11">
        <w:rPr>
          <w:rFonts w:ascii="Palatino Linotype" w:eastAsia="Palatino Linotype" w:hAnsi="Palatino Linotype" w:cs="Palatino Linotype"/>
          <w:b/>
          <w:i/>
          <w:sz w:val="22"/>
          <w:szCs w:val="22"/>
        </w:rPr>
        <w:t>No existe obligación de elaborar documentos ad hoc para atender las solicitudes de acceso a la información.</w:t>
      </w:r>
      <w:r w:rsidRPr="00406B1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406B11" w:rsidRDefault="00F2336C" w:rsidP="0059228E">
      <w:pPr>
        <w:ind w:left="851" w:right="90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 xml:space="preserve">Resoluciones: </w:t>
      </w:r>
    </w:p>
    <w:p w14:paraId="08253FE1" w14:textId="77777777" w:rsidR="00AD46C7" w:rsidRPr="00406B11" w:rsidRDefault="00F2336C" w:rsidP="0059228E">
      <w:pPr>
        <w:ind w:left="851" w:right="90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406B11" w:rsidRDefault="00F2336C" w:rsidP="0059228E">
      <w:pPr>
        <w:ind w:left="851" w:right="90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lastRenderedPageBreak/>
        <w:t xml:space="preserve">∙ RRA 0310/16. Instituto Nacional de Transparencia, Acceso a la Información y Protección de Datos Personales. 10 de agosto de 2016. Por unanimidad. Comisionada Ponente. Areli Cano Guadiana. </w:t>
      </w:r>
    </w:p>
    <w:p w14:paraId="43DD6DEE" w14:textId="77777777" w:rsidR="00AD46C7" w:rsidRPr="00406B11" w:rsidRDefault="00F2336C" w:rsidP="0059228E">
      <w:pPr>
        <w:ind w:left="851" w:right="901"/>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406B11"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406B11"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406B11" w:rsidRDefault="00F2336C" w:rsidP="008C2BDE">
      <w:pPr>
        <w:spacing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406B11"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406B11"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r w:rsidRPr="00406B11">
        <w:rPr>
          <w:rFonts w:ascii="Palatino Linotype" w:eastAsia="Palatino Linotype" w:hAnsi="Palatino Linotype" w:cs="Palatino Linotype"/>
          <w:b/>
          <w:i/>
          <w:sz w:val="22"/>
          <w:szCs w:val="22"/>
        </w:rPr>
        <w:t xml:space="preserve">Artículo 3. </w:t>
      </w:r>
      <w:r w:rsidRPr="00406B11">
        <w:rPr>
          <w:rFonts w:ascii="Palatino Linotype" w:eastAsia="Palatino Linotype" w:hAnsi="Palatino Linotype" w:cs="Palatino Linotype"/>
          <w:i/>
          <w:sz w:val="22"/>
          <w:szCs w:val="22"/>
        </w:rPr>
        <w:t>Para los efectos de la presente Ley se entenderá por:</w:t>
      </w:r>
    </w:p>
    <w:p w14:paraId="2A636B02"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p>
    <w:p w14:paraId="430CEA4B"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lastRenderedPageBreak/>
        <w:t>XI. Documento:</w:t>
      </w:r>
      <w:r w:rsidRPr="00406B11">
        <w:rPr>
          <w:rFonts w:ascii="Palatino Linotype" w:eastAsia="Palatino Linotype" w:hAnsi="Palatino Linotype" w:cs="Palatino Linotype"/>
          <w:i/>
          <w:sz w:val="22"/>
          <w:szCs w:val="22"/>
        </w:rPr>
        <w:t xml:space="preserve"> Los expedientes, reportes, estudios, actas</w:t>
      </w:r>
      <w:r w:rsidRPr="00406B11">
        <w:rPr>
          <w:rFonts w:ascii="Palatino Linotype" w:eastAsia="Palatino Linotype" w:hAnsi="Palatino Linotype" w:cs="Palatino Linotype"/>
          <w:b/>
          <w:i/>
          <w:sz w:val="22"/>
          <w:szCs w:val="22"/>
        </w:rPr>
        <w:t>,</w:t>
      </w:r>
      <w:r w:rsidRPr="00406B1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406B11"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406B11" w:rsidRDefault="00F2336C" w:rsidP="008C2BDE">
      <w:pP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406B11"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406B11" w:rsidRDefault="00F2336C" w:rsidP="0059228E">
      <w:pPr>
        <w:ind w:left="851" w:right="899"/>
        <w:jc w:val="both"/>
        <w:rPr>
          <w:rFonts w:ascii="Palatino Linotype" w:eastAsia="Palatino Linotype" w:hAnsi="Palatino Linotype" w:cs="Palatino Linotype"/>
          <w:b/>
          <w:i/>
          <w:sz w:val="22"/>
          <w:szCs w:val="22"/>
        </w:rPr>
      </w:pPr>
      <w:r w:rsidRPr="00406B11">
        <w:rPr>
          <w:rFonts w:ascii="Palatino Linotype" w:eastAsia="Palatino Linotype" w:hAnsi="Palatino Linotype" w:cs="Palatino Linotype"/>
          <w:b/>
          <w:sz w:val="22"/>
          <w:szCs w:val="22"/>
        </w:rPr>
        <w:t>“</w:t>
      </w:r>
      <w:r w:rsidRPr="00406B11">
        <w:rPr>
          <w:rFonts w:ascii="Palatino Linotype" w:eastAsia="Palatino Linotype" w:hAnsi="Palatino Linotype" w:cs="Palatino Linotype"/>
          <w:b/>
          <w:i/>
          <w:sz w:val="22"/>
          <w:szCs w:val="22"/>
        </w:rPr>
        <w:t>CRITERIO 0002-11</w:t>
      </w:r>
    </w:p>
    <w:p w14:paraId="28A7764D"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06B1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406B11" w:rsidRDefault="00F2336C" w:rsidP="0059228E">
      <w:pPr>
        <w:ind w:left="851" w:right="899"/>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406B11" w:rsidRDefault="00F2336C" w:rsidP="0059228E">
      <w:pPr>
        <w:ind w:left="851" w:right="899"/>
        <w:jc w:val="both"/>
        <w:rPr>
          <w:rFonts w:ascii="Palatino Linotype" w:eastAsia="Palatino Linotype" w:hAnsi="Palatino Linotype" w:cs="Palatino Linotype"/>
          <w:b/>
          <w:i/>
          <w:sz w:val="22"/>
          <w:szCs w:val="22"/>
        </w:rPr>
      </w:pPr>
      <w:r w:rsidRPr="00406B1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406B11" w:rsidRDefault="00F2336C" w:rsidP="0059228E">
      <w:pPr>
        <w:ind w:left="851" w:right="899"/>
        <w:jc w:val="both"/>
        <w:rPr>
          <w:rFonts w:ascii="Palatino Linotype" w:eastAsia="Palatino Linotype" w:hAnsi="Palatino Linotype" w:cs="Palatino Linotype"/>
          <w:b/>
          <w:i/>
          <w:sz w:val="22"/>
          <w:szCs w:val="22"/>
        </w:rPr>
      </w:pPr>
      <w:r w:rsidRPr="00406B1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406B11" w:rsidRDefault="00AD46C7" w:rsidP="008C2BDE">
      <w:pPr>
        <w:spacing w:line="360" w:lineRule="auto"/>
        <w:jc w:val="both"/>
        <w:rPr>
          <w:rFonts w:ascii="Palatino Linotype" w:eastAsia="Palatino Linotype" w:hAnsi="Palatino Linotype" w:cs="Palatino Linotype"/>
          <w:sz w:val="22"/>
          <w:szCs w:val="22"/>
        </w:rPr>
      </w:pPr>
    </w:p>
    <w:p w14:paraId="40062385" w14:textId="17EBA965" w:rsidR="0059228E" w:rsidRPr="00406B11" w:rsidRDefault="00F2336C" w:rsidP="008C2BDE">
      <w:pPr>
        <w:spacing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406B11">
        <w:rPr>
          <w:rFonts w:ascii="Palatino Linotype" w:eastAsia="Palatino Linotype" w:hAnsi="Palatino Linotype" w:cs="Palatino Linotype"/>
          <w:sz w:val="22"/>
          <w:szCs w:val="22"/>
        </w:rPr>
        <w:t xml:space="preserve">es necesario referir </w:t>
      </w:r>
      <w:r w:rsidR="0013358D" w:rsidRPr="00406B11">
        <w:rPr>
          <w:rFonts w:ascii="Palatino Linotype" w:eastAsia="Palatino Linotype" w:hAnsi="Palatino Linotype" w:cs="Palatino Linotype"/>
          <w:sz w:val="22"/>
          <w:szCs w:val="22"/>
        </w:rPr>
        <w:t>que el Recurrente solicitó la siguiente información</w:t>
      </w:r>
      <w:r w:rsidR="00CC581C" w:rsidRPr="00406B11">
        <w:rPr>
          <w:rFonts w:ascii="Palatino Linotype" w:eastAsia="Palatino Linotype" w:hAnsi="Palatino Linotype" w:cs="Palatino Linotype"/>
          <w:sz w:val="22"/>
          <w:szCs w:val="22"/>
        </w:rPr>
        <w:t>:</w:t>
      </w:r>
    </w:p>
    <w:p w14:paraId="2CD18D07" w14:textId="77777777" w:rsidR="007D30C2" w:rsidRPr="00406B11" w:rsidRDefault="007D30C2" w:rsidP="007D30C2">
      <w:pPr>
        <w:pStyle w:val="Prrafodelista"/>
        <w:numPr>
          <w:ilvl w:val="0"/>
          <w:numId w:val="19"/>
        </w:numPr>
        <w:spacing w:after="240" w:line="360" w:lineRule="auto"/>
        <w:jc w:val="both"/>
        <w:rPr>
          <w:rFonts w:ascii="Palatino Linotype" w:hAnsi="Palatino Linotype"/>
          <w:sz w:val="22"/>
          <w:szCs w:val="22"/>
        </w:rPr>
      </w:pPr>
      <w:r w:rsidRPr="00406B11">
        <w:rPr>
          <w:rFonts w:ascii="Palatino Linotype" w:eastAsia="Palatino Linotype" w:hAnsi="Palatino Linotype" w:cs="Palatino Linotype"/>
          <w:b/>
          <w:sz w:val="22"/>
          <w:szCs w:val="22"/>
        </w:rPr>
        <w:lastRenderedPageBreak/>
        <w:t xml:space="preserve">Programación anual de trabajo de cada área administrativa </w:t>
      </w:r>
    </w:p>
    <w:p w14:paraId="1DCF58DF" w14:textId="77777777"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Sobre este tema, es oportuno mencionar que de conformidad con los artículos 134 de la Constitución Política de los Estados Unidos Mexicanos y 129 de la Constitución Política del Estado Libre y Soberano de México, los recursos económicos del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369124CD" w14:textId="77777777" w:rsidR="00210FBC" w:rsidRPr="00406B11" w:rsidRDefault="00210FBC" w:rsidP="00210FBC">
      <w:pPr>
        <w:spacing w:line="360" w:lineRule="auto"/>
        <w:rPr>
          <w:rFonts w:ascii="Palatino Linotype" w:hAnsi="Palatino Linotype"/>
          <w:sz w:val="22"/>
          <w:szCs w:val="22"/>
        </w:rPr>
      </w:pPr>
    </w:p>
    <w:p w14:paraId="793D9261"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b/>
          <w:sz w:val="22"/>
          <w:szCs w:val="22"/>
        </w:rPr>
      </w:pPr>
      <w:r w:rsidRPr="00406B11">
        <w:rPr>
          <w:rFonts w:ascii="Palatino Linotype" w:hAnsi="Palatino Linotype"/>
          <w:sz w:val="22"/>
          <w:szCs w:val="22"/>
        </w:rPr>
        <w:t xml:space="preserve">Así, el presupuesto de egresos municipal se conceptualiza como el instrumento jurídico, de política económica y de política de gasto, que aprueba el Cabildo, conforme a la propuesta que presenta el Presidente Municipal, en el cual se establece el ejercicio, control y evaluación del gasto público de las Dependencias Administrativas y Organismos Municipales Descentralizados, a </w:t>
      </w:r>
      <w:r w:rsidRPr="00406B11">
        <w:rPr>
          <w:rFonts w:ascii="Palatino Linotype" w:hAnsi="Palatino Linotype"/>
          <w:b/>
          <w:sz w:val="22"/>
          <w:szCs w:val="22"/>
        </w:rPr>
        <w:t>través de los programas derivados del Plan de Desarrollo Municipal (PDM), durante el ejercicio fiscal correspondiente.</w:t>
      </w:r>
    </w:p>
    <w:p w14:paraId="4A257F22" w14:textId="77777777" w:rsidR="00210FBC" w:rsidRPr="00406B11" w:rsidRDefault="00210FBC" w:rsidP="00210FBC">
      <w:pPr>
        <w:spacing w:line="360" w:lineRule="auto"/>
        <w:rPr>
          <w:rFonts w:ascii="Palatino Linotype" w:hAnsi="Palatino Linotype"/>
          <w:sz w:val="22"/>
          <w:szCs w:val="22"/>
        </w:rPr>
      </w:pPr>
    </w:p>
    <w:p w14:paraId="1B8B2AC6"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sz w:val="22"/>
          <w:szCs w:val="22"/>
        </w:rPr>
      </w:pPr>
      <w:r w:rsidRPr="00406B11">
        <w:rPr>
          <w:rFonts w:ascii="Palatino Linotype" w:hAnsi="Palatino Linotype"/>
          <w:sz w:val="22"/>
          <w:szCs w:val="22"/>
        </w:rPr>
        <w:t xml:space="preserve">Siendo atribución del Presidente Municipal presentar ante el Ayuntamiento </w:t>
      </w:r>
      <w:proofErr w:type="gramStart"/>
      <w:r w:rsidRPr="00406B11">
        <w:rPr>
          <w:rFonts w:ascii="Palatino Linotype" w:hAnsi="Palatino Linotype"/>
          <w:sz w:val="22"/>
          <w:szCs w:val="22"/>
        </w:rPr>
        <w:t>la  propuesta</w:t>
      </w:r>
      <w:proofErr w:type="gramEnd"/>
      <w:r w:rsidRPr="00406B11">
        <w:rPr>
          <w:rFonts w:ascii="Palatino Linotype" w:hAnsi="Palatino Linotype"/>
          <w:sz w:val="22"/>
          <w:szCs w:val="22"/>
        </w:rPr>
        <w:t xml:space="preserve"> de presupuesto de egresos para su respectiva discusión, dictamen y aprobación; como se desprende de los artículos 128, fracción IX de la Constitución Política del Estado Libre y Soberano de México, 31 fracción XIX, primer párrafo y 99 de la Ley Orgánica Municipal del Estado de México.</w:t>
      </w:r>
    </w:p>
    <w:p w14:paraId="44F4A53A" w14:textId="77777777" w:rsidR="00210FBC" w:rsidRPr="00406B11" w:rsidRDefault="00210FBC" w:rsidP="00210FBC">
      <w:pPr>
        <w:ind w:left="567" w:right="616"/>
        <w:rPr>
          <w:rFonts w:ascii="Palatino Linotype" w:hAnsi="Palatino Linotype"/>
          <w:i/>
          <w:sz w:val="22"/>
          <w:szCs w:val="22"/>
        </w:rPr>
      </w:pPr>
    </w:p>
    <w:p w14:paraId="78737DDB"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b/>
          <w:bCs/>
          <w:i/>
          <w:iCs/>
          <w:sz w:val="22"/>
          <w:szCs w:val="22"/>
        </w:rPr>
        <w:t>“Artículo 128</w:t>
      </w:r>
      <w:r w:rsidRPr="00406B11">
        <w:rPr>
          <w:rFonts w:ascii="Palatino Linotype" w:hAnsi="Palatino Linotype"/>
          <w:i/>
          <w:iCs/>
          <w:sz w:val="22"/>
          <w:szCs w:val="22"/>
        </w:rPr>
        <w:t>.- Son atribuciones de los presidentes municipales:</w:t>
      </w:r>
    </w:p>
    <w:p w14:paraId="01B027F5"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i/>
          <w:iCs/>
          <w:sz w:val="22"/>
          <w:szCs w:val="22"/>
        </w:rPr>
        <w:t>...</w:t>
      </w:r>
    </w:p>
    <w:p w14:paraId="5DF99CF9"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b/>
          <w:bCs/>
          <w:i/>
          <w:iCs/>
          <w:sz w:val="22"/>
          <w:szCs w:val="22"/>
        </w:rPr>
        <w:t>IX</w:t>
      </w:r>
      <w:r w:rsidRPr="00406B11">
        <w:rPr>
          <w:rFonts w:ascii="Palatino Linotype" w:hAnsi="Palatino Linotype"/>
          <w:i/>
          <w:iCs/>
          <w:sz w:val="22"/>
          <w:szCs w:val="22"/>
        </w:rPr>
        <w:t>. Presentar al Ayuntamiento la propuesta de presupuesto de egresos para su respectiva discusión y dictamen;”</w:t>
      </w:r>
    </w:p>
    <w:p w14:paraId="4C07D46D"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i/>
          <w:iCs/>
          <w:sz w:val="22"/>
          <w:szCs w:val="22"/>
        </w:rPr>
        <w:t>“</w:t>
      </w:r>
    </w:p>
    <w:p w14:paraId="636D2D84"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i/>
          <w:iCs/>
          <w:sz w:val="22"/>
          <w:szCs w:val="22"/>
        </w:rPr>
        <w:t>“</w:t>
      </w:r>
      <w:r w:rsidRPr="00406B11">
        <w:rPr>
          <w:rFonts w:ascii="Palatino Linotype" w:hAnsi="Palatino Linotype"/>
          <w:b/>
          <w:bCs/>
          <w:i/>
          <w:iCs/>
          <w:sz w:val="22"/>
          <w:szCs w:val="22"/>
        </w:rPr>
        <w:t>Artículo 31.-</w:t>
      </w:r>
      <w:r w:rsidRPr="00406B11">
        <w:rPr>
          <w:rFonts w:ascii="Palatino Linotype" w:hAnsi="Palatino Linotype"/>
          <w:i/>
          <w:iCs/>
          <w:sz w:val="22"/>
          <w:szCs w:val="22"/>
        </w:rPr>
        <w:t xml:space="preserve"> Son atribuciones de los ayuntamientos:</w:t>
      </w:r>
    </w:p>
    <w:p w14:paraId="6E780B93"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i/>
          <w:iCs/>
          <w:sz w:val="22"/>
          <w:szCs w:val="22"/>
        </w:rPr>
        <w:t>...</w:t>
      </w:r>
    </w:p>
    <w:p w14:paraId="0E60F274"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b/>
          <w:bCs/>
          <w:i/>
          <w:iCs/>
          <w:sz w:val="22"/>
          <w:szCs w:val="22"/>
        </w:rPr>
        <w:t>XIX</w:t>
      </w:r>
      <w:r w:rsidRPr="00406B11">
        <w:rPr>
          <w:rFonts w:ascii="Palatino Linotype" w:hAnsi="Palatino Linotype"/>
          <w:i/>
          <w:iCs/>
          <w:sz w:val="22"/>
          <w:szCs w:val="22"/>
        </w:rPr>
        <w:t xml:space="preserve">. </w:t>
      </w:r>
      <w:r w:rsidRPr="00406B11">
        <w:rPr>
          <w:rFonts w:ascii="Palatino Linotype" w:hAnsi="Palatino Linotype"/>
          <w:b/>
          <w:bCs/>
          <w:i/>
          <w:iCs/>
          <w:sz w:val="22"/>
          <w:szCs w:val="22"/>
        </w:rPr>
        <w:t>Aprobar anualmente a más tardar el 20 de diciembre</w:t>
      </w:r>
      <w:r w:rsidRPr="00406B11">
        <w:rPr>
          <w:rFonts w:ascii="Palatino Linotype" w:hAnsi="Palatino Linotype"/>
          <w:i/>
          <w:iCs/>
          <w:sz w:val="22"/>
          <w:szCs w:val="22"/>
        </w:rPr>
        <w:t xml:space="preserve">, su Presupuesto de Egresos, en base a los ingresos presupuestados para el ejercicio que corresponda, el cual </w:t>
      </w:r>
      <w:r w:rsidRPr="00406B11">
        <w:rPr>
          <w:rFonts w:ascii="Palatino Linotype" w:hAnsi="Palatino Linotype"/>
          <w:i/>
          <w:iCs/>
          <w:sz w:val="22"/>
          <w:szCs w:val="22"/>
        </w:rPr>
        <w:lastRenderedPageBreak/>
        <w:t>podrá ser adecuado en función de las implicaciones que deriven de la aprobación de la Ley de Ingresos Municipal que haga la Legislatura, así como por la asignación de las participaciones y aportaciones federales y estatales;</w:t>
      </w:r>
    </w:p>
    <w:p w14:paraId="3841FCEB"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i/>
          <w:iCs/>
          <w:sz w:val="22"/>
          <w:szCs w:val="22"/>
        </w:rPr>
        <w:t>...</w:t>
      </w:r>
    </w:p>
    <w:p w14:paraId="5690A6BA" w14:textId="77777777" w:rsidR="00210FBC" w:rsidRPr="00406B11" w:rsidRDefault="00210FBC" w:rsidP="00210FBC">
      <w:pPr>
        <w:pStyle w:val="NormalWeb"/>
        <w:spacing w:before="0" w:beforeAutospacing="0" w:after="0" w:afterAutospacing="0"/>
        <w:ind w:left="567" w:right="616"/>
        <w:jc w:val="both"/>
        <w:rPr>
          <w:rFonts w:ascii="Palatino Linotype" w:hAnsi="Palatino Linotype"/>
          <w:i/>
          <w:sz w:val="22"/>
          <w:szCs w:val="22"/>
        </w:rPr>
      </w:pPr>
      <w:r w:rsidRPr="00406B11">
        <w:rPr>
          <w:rFonts w:ascii="Palatino Linotype" w:hAnsi="Palatino Linotype"/>
          <w:b/>
          <w:bCs/>
          <w:i/>
          <w:iCs/>
          <w:sz w:val="22"/>
          <w:szCs w:val="22"/>
        </w:rPr>
        <w:t>Artículo 99</w:t>
      </w:r>
      <w:r w:rsidRPr="00406B11">
        <w:rPr>
          <w:rFonts w:ascii="Palatino Linotype" w:hAnsi="Palatino Linotype"/>
          <w:i/>
          <w:iCs/>
          <w:sz w:val="22"/>
          <w:szCs w:val="22"/>
        </w:rPr>
        <w:t xml:space="preserve">.- El presidente municipal presentará anualmente al ayuntamiento </w:t>
      </w:r>
      <w:r w:rsidRPr="00406B11">
        <w:rPr>
          <w:rFonts w:ascii="Palatino Linotype" w:hAnsi="Palatino Linotype"/>
          <w:b/>
          <w:bCs/>
          <w:i/>
          <w:iCs/>
          <w:sz w:val="22"/>
          <w:szCs w:val="22"/>
        </w:rPr>
        <w:t>a más tardar el 20 de diciembre</w:t>
      </w:r>
      <w:r w:rsidRPr="00406B11">
        <w:rPr>
          <w:rFonts w:ascii="Palatino Linotype" w:hAnsi="Palatino Linotype"/>
          <w:i/>
          <w:iCs/>
          <w:sz w:val="22"/>
          <w:szCs w:val="22"/>
        </w:rPr>
        <w:t>, el proyecto de presupuesto de egresos, para su consideración y aprobación.”</w:t>
      </w:r>
    </w:p>
    <w:p w14:paraId="065901DE" w14:textId="77777777" w:rsidR="00210FBC" w:rsidRPr="00406B11" w:rsidRDefault="00210FBC" w:rsidP="00210FBC">
      <w:pPr>
        <w:spacing w:line="360" w:lineRule="auto"/>
        <w:rPr>
          <w:rFonts w:ascii="Palatino Linotype" w:hAnsi="Palatino Linotype"/>
          <w:sz w:val="22"/>
          <w:szCs w:val="22"/>
        </w:rPr>
      </w:pPr>
    </w:p>
    <w:p w14:paraId="1FA96264"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sz w:val="22"/>
          <w:szCs w:val="22"/>
        </w:rPr>
      </w:pPr>
      <w:r w:rsidRPr="00406B11">
        <w:rPr>
          <w:rFonts w:ascii="Palatino Linotype" w:hAnsi="Palatino Linotype"/>
          <w:sz w:val="22"/>
          <w:szCs w:val="22"/>
        </w:rPr>
        <w:t>En el mismo tenor el párrafo tercero del artículo 290 del Código Financiero del Estado de México y Municipios, establece que el presupuesto de egresos lo integra la tesorería municipal, mientras que el presidente municipal es quien lo somete a consideración de los integrantes del ayuntamiento.</w:t>
      </w:r>
    </w:p>
    <w:p w14:paraId="40304768" w14:textId="77777777" w:rsidR="00210FBC" w:rsidRPr="00406B11" w:rsidRDefault="00210FBC" w:rsidP="00210FBC">
      <w:pPr>
        <w:spacing w:line="360" w:lineRule="auto"/>
        <w:rPr>
          <w:rFonts w:ascii="Palatino Linotype" w:hAnsi="Palatino Linotype"/>
          <w:sz w:val="22"/>
          <w:szCs w:val="22"/>
        </w:rPr>
      </w:pPr>
    </w:p>
    <w:p w14:paraId="173039A6"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sz w:val="22"/>
          <w:szCs w:val="22"/>
        </w:rPr>
      </w:pPr>
      <w:r w:rsidRPr="00406B11">
        <w:rPr>
          <w:rFonts w:ascii="Palatino Linotype" w:hAnsi="Palatino Linotype"/>
          <w:sz w:val="22"/>
          <w:szCs w:val="22"/>
        </w:rPr>
        <w:t xml:space="preserve">Como se desprende de los artículos 31, fracción XIX y 99 de la Ley Orgánica Municipal previamente citados, así como del artículo 302 del Código Financiero, la fecha límite para que el presidente municipal presente ante el Cabildo el proyecto del presupuesto de egresos </w:t>
      </w:r>
      <w:r w:rsidRPr="00406B11">
        <w:rPr>
          <w:rFonts w:ascii="Palatino Linotype" w:hAnsi="Palatino Linotype"/>
          <w:b/>
          <w:sz w:val="22"/>
          <w:szCs w:val="22"/>
        </w:rPr>
        <w:t>es el día veinte de diciembre de cada ejercicio fiscal.</w:t>
      </w:r>
    </w:p>
    <w:p w14:paraId="3020591E" w14:textId="77777777" w:rsidR="00210FBC" w:rsidRPr="00406B11" w:rsidRDefault="00210FBC" w:rsidP="00210FBC">
      <w:pPr>
        <w:spacing w:line="360" w:lineRule="auto"/>
        <w:rPr>
          <w:rFonts w:ascii="Palatino Linotype" w:hAnsi="Palatino Linotype"/>
          <w:sz w:val="22"/>
          <w:szCs w:val="22"/>
        </w:rPr>
      </w:pPr>
    </w:p>
    <w:p w14:paraId="64079622"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sz w:val="22"/>
          <w:szCs w:val="22"/>
        </w:rPr>
      </w:pPr>
      <w:r w:rsidRPr="00406B11">
        <w:rPr>
          <w:rFonts w:ascii="Palatino Linotype" w:hAnsi="Palatino Linotype"/>
          <w:sz w:val="22"/>
          <w:szCs w:val="22"/>
        </w:rPr>
        <w:t xml:space="preserve">Mientras que la fecha límite para la publicación del presupuesto, una vez que este ya se haya aprobado de manera definitiva, es el día </w:t>
      </w:r>
      <w:r w:rsidRPr="00406B11">
        <w:rPr>
          <w:rFonts w:ascii="Palatino Linotype" w:hAnsi="Palatino Linotype"/>
          <w:b/>
          <w:bCs/>
          <w:sz w:val="22"/>
          <w:szCs w:val="22"/>
        </w:rPr>
        <w:t xml:space="preserve">veinticinco de febrero de cada ejercicio fiscal, </w:t>
      </w:r>
      <w:r w:rsidRPr="00406B11">
        <w:rPr>
          <w:rFonts w:ascii="Palatino Linotype" w:hAnsi="Palatino Linotype"/>
          <w:sz w:val="22"/>
          <w:szCs w:val="22"/>
        </w:rPr>
        <w:t>como se lee en los 125, párrafo cuarto de la Constitución Política del Estado Libre y Soberano de México, y 351 del Código Financiero del Estado de México y Municipios, a saber:</w:t>
      </w:r>
    </w:p>
    <w:p w14:paraId="12178613" w14:textId="77777777" w:rsidR="00210FBC" w:rsidRPr="00406B11" w:rsidRDefault="00210FBC" w:rsidP="00210FBC">
      <w:pPr>
        <w:spacing w:line="360" w:lineRule="auto"/>
        <w:rPr>
          <w:rFonts w:ascii="Palatino Linotype" w:hAnsi="Palatino Linotype"/>
          <w:sz w:val="22"/>
          <w:szCs w:val="22"/>
        </w:rPr>
      </w:pPr>
    </w:p>
    <w:p w14:paraId="2B7F33B6" w14:textId="77777777" w:rsidR="00210FBC" w:rsidRPr="00406B11" w:rsidRDefault="00210FBC" w:rsidP="00210FBC">
      <w:pPr>
        <w:pStyle w:val="NormalWeb"/>
        <w:spacing w:before="0" w:beforeAutospacing="0" w:after="0" w:afterAutospacing="0" w:line="276" w:lineRule="auto"/>
        <w:ind w:left="567" w:right="616"/>
        <w:jc w:val="both"/>
        <w:rPr>
          <w:rFonts w:ascii="Palatino Linotype" w:hAnsi="Palatino Linotype"/>
          <w:i/>
          <w:sz w:val="22"/>
          <w:szCs w:val="22"/>
        </w:rPr>
      </w:pPr>
      <w:r w:rsidRPr="00406B11">
        <w:rPr>
          <w:rFonts w:ascii="Palatino Linotype" w:hAnsi="Palatino Linotype"/>
          <w:i/>
          <w:iCs/>
          <w:sz w:val="22"/>
          <w:szCs w:val="22"/>
        </w:rPr>
        <w:t>“</w:t>
      </w:r>
      <w:r w:rsidRPr="00406B11">
        <w:rPr>
          <w:rFonts w:ascii="Palatino Linotype" w:hAnsi="Palatino Linotype"/>
          <w:b/>
          <w:bCs/>
          <w:i/>
          <w:iCs/>
          <w:sz w:val="22"/>
          <w:szCs w:val="22"/>
        </w:rPr>
        <w:t>Artículo 125</w:t>
      </w:r>
      <w:r w:rsidRPr="00406B11">
        <w:rPr>
          <w:rFonts w:ascii="Palatino Linotype" w:hAnsi="Palatino Linotype"/>
          <w:i/>
          <w:iCs/>
          <w:sz w:val="22"/>
          <w:szCs w:val="22"/>
        </w:rPr>
        <w:t>...</w:t>
      </w:r>
    </w:p>
    <w:p w14:paraId="49EF986B" w14:textId="77777777" w:rsidR="00210FBC" w:rsidRPr="00406B11" w:rsidRDefault="00210FBC" w:rsidP="00210FBC">
      <w:pPr>
        <w:pStyle w:val="NormalWeb"/>
        <w:spacing w:before="0" w:beforeAutospacing="0" w:after="0" w:afterAutospacing="0" w:line="276" w:lineRule="auto"/>
        <w:ind w:left="567" w:right="616"/>
        <w:jc w:val="both"/>
        <w:rPr>
          <w:rFonts w:ascii="Palatino Linotype" w:hAnsi="Palatino Linotype"/>
          <w:i/>
          <w:sz w:val="22"/>
          <w:szCs w:val="22"/>
        </w:rPr>
      </w:pPr>
      <w:r w:rsidRPr="00406B11">
        <w:rPr>
          <w:rFonts w:ascii="Palatino Linotype" w:hAnsi="Palatino Linotype"/>
          <w:i/>
          <w:iCs/>
          <w:sz w:val="22"/>
          <w:szCs w:val="22"/>
        </w:rPr>
        <w:t xml:space="preserve">Los Ayuntamientos celebrarán sesiones extraordinarias de cabildo cuando la Ley de Ingresos aprobada por la Legislatura, implique adecuaciones a su Presupuesto de Egresos. Estas sesiones nunca excederán al 15 de febrero y tendrán como único objeto, concordar el Presupuesto de Egresos con la citada Ley de Ingresos. </w:t>
      </w:r>
      <w:r w:rsidRPr="00406B11">
        <w:rPr>
          <w:rFonts w:ascii="Palatino Linotype" w:hAnsi="Palatino Linotype"/>
          <w:b/>
          <w:bCs/>
          <w:i/>
          <w:iCs/>
          <w:sz w:val="22"/>
          <w:szCs w:val="22"/>
        </w:rPr>
        <w:t>Al concluir las sesiones en las que se apruebe el Presupuesto de Egresos Municipal en forma definitiva, se dispondrá, por el Presidente Municipal, su promulgación y publicación</w:t>
      </w:r>
      <w:r w:rsidRPr="00406B11">
        <w:rPr>
          <w:rFonts w:ascii="Palatino Linotype" w:hAnsi="Palatino Linotype"/>
          <w:i/>
          <w:iCs/>
          <w:sz w:val="22"/>
          <w:szCs w:val="22"/>
        </w:rPr>
        <w:t xml:space="preserve">, teniendo la obligación de enviar la ratificación, o modificaciones en su caso, de dicho Presupuesto de </w:t>
      </w:r>
      <w:r w:rsidRPr="00406B11">
        <w:rPr>
          <w:rFonts w:ascii="Palatino Linotype" w:hAnsi="Palatino Linotype"/>
          <w:i/>
          <w:iCs/>
          <w:sz w:val="22"/>
          <w:szCs w:val="22"/>
        </w:rPr>
        <w:lastRenderedPageBreak/>
        <w:t xml:space="preserve">Egresos, al Órgano Superior de Fiscalización, </w:t>
      </w:r>
      <w:r w:rsidRPr="00406B11">
        <w:rPr>
          <w:rFonts w:ascii="Palatino Linotype" w:hAnsi="Palatino Linotype"/>
          <w:b/>
          <w:bCs/>
          <w:i/>
          <w:iCs/>
          <w:sz w:val="22"/>
          <w:szCs w:val="22"/>
        </w:rPr>
        <w:t>a más tardar el día 25 de febrero de cada año.”</w:t>
      </w:r>
    </w:p>
    <w:p w14:paraId="07B72FC5" w14:textId="77777777" w:rsidR="00210FBC" w:rsidRPr="00406B11" w:rsidRDefault="00210FBC" w:rsidP="00210FBC">
      <w:pPr>
        <w:pStyle w:val="NormalWeb"/>
        <w:spacing w:before="0" w:beforeAutospacing="0" w:after="0" w:afterAutospacing="0" w:line="276" w:lineRule="auto"/>
        <w:ind w:left="567" w:right="616"/>
        <w:jc w:val="both"/>
        <w:rPr>
          <w:rFonts w:ascii="Palatino Linotype" w:hAnsi="Palatino Linotype"/>
          <w:i/>
          <w:sz w:val="22"/>
          <w:szCs w:val="22"/>
        </w:rPr>
      </w:pPr>
      <w:r w:rsidRPr="00406B11">
        <w:rPr>
          <w:rFonts w:ascii="Palatino Linotype" w:hAnsi="Palatino Linotype"/>
          <w:i/>
          <w:iCs/>
          <w:sz w:val="22"/>
          <w:szCs w:val="22"/>
        </w:rPr>
        <w:t>“</w:t>
      </w:r>
      <w:r w:rsidRPr="00406B11">
        <w:rPr>
          <w:rFonts w:ascii="Palatino Linotype" w:hAnsi="Palatino Linotype"/>
          <w:b/>
          <w:bCs/>
          <w:i/>
          <w:iCs/>
          <w:sz w:val="22"/>
          <w:szCs w:val="22"/>
        </w:rPr>
        <w:t>Artículo 351</w:t>
      </w:r>
      <w:r w:rsidRPr="00406B11">
        <w:rPr>
          <w:rFonts w:ascii="Palatino Linotype" w:hAnsi="Palatino Linotype"/>
          <w:i/>
          <w:iCs/>
          <w:sz w:val="22"/>
          <w:szCs w:val="22"/>
        </w:rPr>
        <w:t>.-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19B04573" w14:textId="77777777" w:rsidR="00210FBC" w:rsidRPr="00406B11" w:rsidRDefault="00210FBC" w:rsidP="00210FBC">
      <w:pPr>
        <w:pStyle w:val="NormalWeb"/>
        <w:spacing w:before="0" w:beforeAutospacing="0" w:after="0" w:afterAutospacing="0" w:line="276" w:lineRule="auto"/>
        <w:ind w:left="567" w:right="616"/>
        <w:jc w:val="both"/>
        <w:rPr>
          <w:rFonts w:ascii="Palatino Linotype" w:hAnsi="Palatino Linotype"/>
          <w:i/>
          <w:sz w:val="22"/>
          <w:szCs w:val="22"/>
        </w:rPr>
      </w:pPr>
      <w:r w:rsidRPr="00406B11">
        <w:rPr>
          <w:rFonts w:ascii="Palatino Linotype" w:hAnsi="Palatino Linotype"/>
          <w:b/>
          <w:bCs/>
          <w:i/>
          <w:iCs/>
          <w:sz w:val="22"/>
          <w:szCs w:val="22"/>
        </w:rPr>
        <w:t>Los Ayuntamientos al aprobar en forma definitiva su presupuesto de egresos, deberán publicar en la "Gaceta Municipal" de manera clara y entendible</w:t>
      </w:r>
      <w:r w:rsidRPr="00406B11">
        <w:rPr>
          <w:rFonts w:ascii="Palatino Linotype" w:hAnsi="Palatino Linotype"/>
          <w:i/>
          <w:iCs/>
          <w:sz w:val="22"/>
          <w:szCs w:val="22"/>
        </w:rPr>
        <w:t xml:space="preserve">, todas y cada una de las partidas que lo integran, las remuneraciones de todo tipo aprobadas para los miembros del ayuntamiento y para los servidores públicos en general, incluyendo mandos medios y superiores de la administración municipal, </w:t>
      </w:r>
      <w:r w:rsidRPr="00406B11">
        <w:rPr>
          <w:rFonts w:ascii="Palatino Linotype" w:hAnsi="Palatino Linotype"/>
          <w:b/>
          <w:bCs/>
          <w:i/>
          <w:iCs/>
          <w:sz w:val="22"/>
          <w:szCs w:val="22"/>
        </w:rPr>
        <w:t>a más tardar el 25 de febrero del año para el cual habrá de aplicar dicho presupuesto</w:t>
      </w:r>
      <w:r w:rsidRPr="00406B11">
        <w:rPr>
          <w:rFonts w:ascii="Palatino Linotype" w:hAnsi="Palatino Linotype"/>
          <w:i/>
          <w:iCs/>
          <w:sz w:val="22"/>
          <w:szCs w:val="22"/>
        </w:rPr>
        <w:t>.”</w:t>
      </w:r>
    </w:p>
    <w:p w14:paraId="1A651F0D" w14:textId="77777777" w:rsidR="00210FBC" w:rsidRPr="00406B11" w:rsidRDefault="00210FBC" w:rsidP="00210FBC">
      <w:pPr>
        <w:spacing w:line="360" w:lineRule="auto"/>
        <w:rPr>
          <w:rFonts w:ascii="Palatino Linotype" w:hAnsi="Palatino Linotype"/>
          <w:sz w:val="22"/>
          <w:szCs w:val="22"/>
        </w:rPr>
      </w:pPr>
    </w:p>
    <w:p w14:paraId="3464FA22" w14:textId="77777777" w:rsidR="00210FBC" w:rsidRPr="00406B11" w:rsidRDefault="00210FBC" w:rsidP="00210FBC">
      <w:pPr>
        <w:pStyle w:val="NormalWeb"/>
        <w:spacing w:before="0" w:beforeAutospacing="0" w:after="0" w:afterAutospacing="0" w:line="360" w:lineRule="auto"/>
        <w:ind w:right="51"/>
        <w:jc w:val="both"/>
        <w:rPr>
          <w:rFonts w:ascii="Palatino Linotype" w:hAnsi="Palatino Linotype"/>
          <w:sz w:val="22"/>
          <w:szCs w:val="22"/>
        </w:rPr>
      </w:pPr>
      <w:r w:rsidRPr="00406B11">
        <w:rPr>
          <w:rFonts w:ascii="Palatino Linotype" w:hAnsi="Palatino Linotype"/>
          <w:sz w:val="22"/>
          <w:szCs w:val="22"/>
        </w:rPr>
        <w:t>Al respecto, los artículos 295 y 298, párrafo tercero del Código Financiero disponen lo siguiente:</w:t>
      </w:r>
    </w:p>
    <w:p w14:paraId="20DCBDF9" w14:textId="77777777" w:rsidR="00210FBC" w:rsidRPr="00406B11" w:rsidRDefault="00210FBC" w:rsidP="00210FBC">
      <w:pPr>
        <w:spacing w:line="360" w:lineRule="auto"/>
        <w:rPr>
          <w:rFonts w:ascii="Palatino Linotype" w:hAnsi="Palatino Linotype"/>
          <w:sz w:val="22"/>
          <w:szCs w:val="22"/>
        </w:rPr>
      </w:pPr>
    </w:p>
    <w:p w14:paraId="4F70C835"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iCs/>
          <w:sz w:val="22"/>
          <w:szCs w:val="22"/>
        </w:rPr>
        <w:t>“</w:t>
      </w:r>
      <w:r w:rsidRPr="00406B11">
        <w:rPr>
          <w:rFonts w:ascii="Palatino Linotype" w:hAnsi="Palatino Linotype"/>
          <w:b/>
          <w:bCs/>
          <w:i/>
          <w:iCs/>
          <w:sz w:val="22"/>
          <w:szCs w:val="22"/>
        </w:rPr>
        <w:t>Artículo 295</w:t>
      </w:r>
      <w:r w:rsidRPr="00406B11">
        <w:rPr>
          <w:rFonts w:ascii="Palatino Linotype" w:hAnsi="Palatino Linotype"/>
          <w:i/>
          <w:iCs/>
          <w:sz w:val="22"/>
          <w:szCs w:val="22"/>
        </w:rPr>
        <w:t xml:space="preserve">.- </w:t>
      </w:r>
      <w:r w:rsidRPr="00406B11">
        <w:rPr>
          <w:rFonts w:ascii="Palatino Linotype" w:hAnsi="Palatino Linotype"/>
          <w:b/>
          <w:bCs/>
          <w:i/>
          <w:iCs/>
          <w:sz w:val="22"/>
          <w:szCs w:val="22"/>
        </w:rPr>
        <w:t>A más tardar el primer día hábil del mes de octubre, la Secretaría dará a conocer el Manual para la Formulación del Anteproyecto de Presupuesto</w:t>
      </w:r>
      <w:r w:rsidRPr="00406B11">
        <w:rPr>
          <w:rFonts w:ascii="Palatino Linotype" w:hAnsi="Palatino Linotype"/>
          <w:i/>
          <w:iCs/>
          <w:sz w:val="22"/>
          <w:szCs w:val="22"/>
        </w:rPr>
        <w:t xml:space="preserve"> a los Entes Públicos de acuerdo a su naturaleza jurídica y según corresponda, solicitará la elaboración del Anteproyecto de Presupuesto correspondiente. </w:t>
      </w:r>
    </w:p>
    <w:p w14:paraId="34BD6F6C"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bCs/>
          <w:i/>
          <w:iCs/>
          <w:sz w:val="22"/>
          <w:szCs w:val="22"/>
        </w:rPr>
        <w:t>En el caso de los municipios, la comunicación, la realizará la Tesorería, en coordinación con la Unidad de Información, Planeación, Programación y Evaluación, la Unidad Administrativa o servidores públicos responsables de realizar estas funciones</w:t>
      </w:r>
      <w:r w:rsidRPr="00406B11">
        <w:rPr>
          <w:rFonts w:ascii="Palatino Linotype" w:hAnsi="Palatino Linotype"/>
          <w:i/>
          <w:iCs/>
          <w:sz w:val="22"/>
          <w:szCs w:val="22"/>
        </w:rPr>
        <w:t>, con base en las disposiciones que se aprueben en materia de planeación, programación, presupuestación, evaluación y contabilidad gubernamental.</w:t>
      </w:r>
    </w:p>
    <w:p w14:paraId="626857BA"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bCs/>
          <w:i/>
          <w:iCs/>
          <w:sz w:val="22"/>
          <w:szCs w:val="22"/>
        </w:rPr>
        <w:t>Artículo 296</w:t>
      </w:r>
      <w:r w:rsidRPr="00406B11">
        <w:rPr>
          <w:rFonts w:ascii="Palatino Linotype" w:hAnsi="Palatino Linotype"/>
          <w:i/>
          <w:iCs/>
          <w:sz w:val="22"/>
          <w:szCs w:val="22"/>
        </w:rPr>
        <w:t xml:space="preserve">.- Los Entes Públicos, de acuerdo con su naturaleza jurídica y según corresponda, </w:t>
      </w:r>
      <w:r w:rsidRPr="00406B11">
        <w:rPr>
          <w:rFonts w:ascii="Palatino Linotype" w:hAnsi="Palatino Linotype"/>
          <w:b/>
          <w:bCs/>
          <w:i/>
          <w:iCs/>
          <w:sz w:val="22"/>
          <w:szCs w:val="22"/>
        </w:rPr>
        <w:t>deberán formular su Anteproyecto de Presupuesto de Egresos en apego a lo dispuesto por el Manual para la Formulación del Anteproyecto de Presupuesto,</w:t>
      </w:r>
      <w:r w:rsidRPr="00406B11">
        <w:rPr>
          <w:rFonts w:ascii="Palatino Linotype" w:hAnsi="Palatino Linotype"/>
          <w:i/>
          <w:iCs/>
          <w:sz w:val="22"/>
          <w:szCs w:val="22"/>
        </w:rPr>
        <w:t xml:space="preserve"> el cual tiene por objeto establecer cuáles serán los términos y requerimientos generales que deberán observar en el proceso de formulación del Anteproyecto de Presupuesto que corresponda</w:t>
      </w:r>
    </w:p>
    <w:p w14:paraId="57FA5E13"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iCs/>
          <w:sz w:val="22"/>
          <w:szCs w:val="22"/>
        </w:rPr>
        <w:t>...</w:t>
      </w:r>
    </w:p>
    <w:p w14:paraId="3AF7E122"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bCs/>
          <w:i/>
          <w:iCs/>
          <w:sz w:val="22"/>
          <w:szCs w:val="22"/>
        </w:rPr>
        <w:t>Artículo 298</w:t>
      </w:r>
      <w:r w:rsidRPr="00406B11">
        <w:rPr>
          <w:rFonts w:ascii="Palatino Linotype" w:hAnsi="Palatino Linotype"/>
          <w:i/>
          <w:iCs/>
          <w:sz w:val="22"/>
          <w:szCs w:val="22"/>
        </w:rPr>
        <w:t>...</w:t>
      </w:r>
    </w:p>
    <w:p w14:paraId="5284B436"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bCs/>
          <w:i/>
          <w:iCs/>
          <w:sz w:val="22"/>
          <w:szCs w:val="22"/>
          <w:u w:val="single"/>
        </w:rPr>
        <w:t>Las unidades administrativas</w:t>
      </w:r>
      <w:r w:rsidRPr="00406B11">
        <w:rPr>
          <w:rFonts w:ascii="Palatino Linotype" w:hAnsi="Palatino Linotype"/>
          <w:b/>
          <w:bCs/>
          <w:i/>
          <w:iCs/>
          <w:sz w:val="22"/>
          <w:szCs w:val="22"/>
        </w:rPr>
        <w:t xml:space="preserve"> de los Municipios enviarán su anteproyecto de presupuesto a la Tesorería para ser revisado con la Unidad de </w:t>
      </w:r>
      <w:r w:rsidRPr="00406B11">
        <w:rPr>
          <w:rFonts w:ascii="Palatino Linotype" w:hAnsi="Palatino Linotype"/>
          <w:b/>
          <w:bCs/>
          <w:i/>
          <w:iCs/>
          <w:sz w:val="22"/>
          <w:szCs w:val="22"/>
        </w:rPr>
        <w:lastRenderedPageBreak/>
        <w:t>Información, Planeación, Programación y Evaluación</w:t>
      </w:r>
      <w:r w:rsidRPr="00406B11">
        <w:rPr>
          <w:rFonts w:ascii="Palatino Linotype" w:hAnsi="Palatino Linotype"/>
          <w:i/>
          <w:iCs/>
          <w:sz w:val="22"/>
          <w:szCs w:val="22"/>
        </w:rPr>
        <w:t xml:space="preserve">, o la Unidad Administrativa responsable de realizar estas funciones. Dichas unidades </w:t>
      </w:r>
      <w:r w:rsidRPr="00406B11">
        <w:rPr>
          <w:rFonts w:ascii="Palatino Linotype" w:hAnsi="Palatino Linotype"/>
          <w:b/>
          <w:bCs/>
          <w:i/>
          <w:iCs/>
          <w:sz w:val="22"/>
          <w:szCs w:val="22"/>
        </w:rPr>
        <w:t>administrativas deberán integrar el proyecto de presupuesto que se someterá a consideración del presidente municipal para su posterior aprobación por el Ayuntamiento.</w:t>
      </w:r>
      <w:r w:rsidRPr="00406B11">
        <w:rPr>
          <w:rFonts w:ascii="Palatino Linotype" w:hAnsi="Palatino Linotype"/>
          <w:i/>
          <w:iCs/>
          <w:sz w:val="22"/>
          <w:szCs w:val="22"/>
        </w:rPr>
        <w:t>”</w:t>
      </w:r>
    </w:p>
    <w:p w14:paraId="480253CF" w14:textId="77777777" w:rsidR="00210FBC" w:rsidRPr="00406B11" w:rsidRDefault="00210FBC" w:rsidP="00210FBC">
      <w:pPr>
        <w:spacing w:line="360" w:lineRule="auto"/>
        <w:rPr>
          <w:rFonts w:ascii="Palatino Linotype" w:hAnsi="Palatino Linotype"/>
          <w:sz w:val="22"/>
          <w:szCs w:val="22"/>
        </w:rPr>
      </w:pPr>
    </w:p>
    <w:p w14:paraId="1C55FE06" w14:textId="77777777" w:rsidR="00210FBC" w:rsidRPr="00406B11" w:rsidRDefault="00210FBC" w:rsidP="00210FBC">
      <w:pPr>
        <w:pStyle w:val="NormalWeb"/>
        <w:spacing w:before="0" w:beforeAutospacing="0" w:after="240" w:afterAutospacing="0" w:line="360" w:lineRule="auto"/>
        <w:ind w:right="49"/>
        <w:jc w:val="both"/>
        <w:rPr>
          <w:rFonts w:ascii="Palatino Linotype" w:hAnsi="Palatino Linotype"/>
          <w:sz w:val="22"/>
          <w:szCs w:val="22"/>
        </w:rPr>
      </w:pPr>
      <w:r w:rsidRPr="00406B11">
        <w:rPr>
          <w:rFonts w:ascii="Palatino Linotype" w:hAnsi="Palatino Linotype"/>
          <w:b/>
          <w:sz w:val="22"/>
          <w:szCs w:val="22"/>
        </w:rPr>
        <w:t>Como se advierte, la normatividad impone la obligación a las unidades administrativas de enviar su anteproyecto de egresos a la Tesorería Municipal, quien debe revisarlo en conjunto con la Unidad de Información, Planeación, Programación y Evaluación, UIPPE</w:t>
      </w:r>
      <w:r w:rsidRPr="00406B11">
        <w:rPr>
          <w:rFonts w:ascii="Palatino Linotype" w:hAnsi="Palatino Linotype"/>
          <w:sz w:val="22"/>
          <w:szCs w:val="22"/>
        </w:rPr>
        <w:t>; o la Unidad Administrativa responsable de realizar estas funciones, con la finalidad de integrar el proyecto de egresos que será sometido a consideración del presidente municipal y los integrantes del ayuntamiento, para lo cual la Secretaría de Finanzas emite en el mes de octubre el Manual para la Formulación del Anteproyecto de Presupuesto, para tal efecto se cita la siguiente normatividad:</w:t>
      </w:r>
    </w:p>
    <w:p w14:paraId="29FEED25" w14:textId="77777777" w:rsidR="00210FBC" w:rsidRPr="00406B11" w:rsidRDefault="00210FBC" w:rsidP="00210FBC">
      <w:pPr>
        <w:spacing w:line="360" w:lineRule="auto"/>
        <w:rPr>
          <w:rFonts w:ascii="Palatino Linotype" w:hAnsi="Palatino Linotype"/>
          <w:i/>
          <w:sz w:val="22"/>
          <w:szCs w:val="22"/>
        </w:rPr>
      </w:pPr>
    </w:p>
    <w:p w14:paraId="33DC6A6D"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bCs/>
          <w:i/>
          <w:iCs/>
          <w:sz w:val="22"/>
          <w:szCs w:val="22"/>
        </w:rPr>
        <w:t>MANUAL PARA LA PLANEACIÓN, PROGRAMACIÓN Y PRESUPUESTO DE EGRESOS MUNICIPAL PARA EL EJERCICIO FISCAL 2025</w:t>
      </w:r>
    </w:p>
    <w:p w14:paraId="29EBA41A" w14:textId="77777777" w:rsidR="00210FBC" w:rsidRPr="00406B11" w:rsidRDefault="00210FBC" w:rsidP="00210FBC">
      <w:pPr>
        <w:pStyle w:val="NormalWeb"/>
        <w:spacing w:before="0" w:beforeAutospacing="0" w:after="120" w:afterAutospacing="0"/>
        <w:ind w:right="49"/>
        <w:jc w:val="both"/>
        <w:rPr>
          <w:rFonts w:ascii="Palatino Linotype" w:hAnsi="Palatino Linotype"/>
          <w:i/>
          <w:sz w:val="22"/>
          <w:szCs w:val="22"/>
        </w:rPr>
      </w:pPr>
    </w:p>
    <w:p w14:paraId="50033E61"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iCs/>
          <w:sz w:val="22"/>
          <w:szCs w:val="22"/>
        </w:rPr>
        <w:t>3.2.1. Lineamientos para la integración del Programa Anual.</w:t>
      </w:r>
    </w:p>
    <w:p w14:paraId="277CED46" w14:textId="77777777" w:rsidR="00210FBC" w:rsidRPr="00406B11" w:rsidRDefault="00210FBC" w:rsidP="00210FBC">
      <w:pPr>
        <w:rPr>
          <w:rFonts w:ascii="Palatino Linotype" w:hAnsi="Palatino Linotype"/>
          <w:i/>
          <w:sz w:val="22"/>
          <w:szCs w:val="22"/>
        </w:rPr>
      </w:pPr>
    </w:p>
    <w:p w14:paraId="7EA76EB1"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iCs/>
          <w:sz w:val="22"/>
          <w:szCs w:val="22"/>
        </w:rPr>
        <w:t xml:space="preserve">• Para la formulación del Programa Anual deberán ser llenados los formatos: PbRM-01a, PbRM-01b, </w:t>
      </w:r>
      <w:r w:rsidRPr="00406B11">
        <w:rPr>
          <w:rFonts w:ascii="Palatino Linotype" w:hAnsi="Palatino Linotype"/>
          <w:b/>
          <w:i/>
          <w:iCs/>
          <w:sz w:val="22"/>
          <w:szCs w:val="22"/>
        </w:rPr>
        <w:t>PbRM-01c</w:t>
      </w:r>
      <w:r w:rsidRPr="00406B11">
        <w:rPr>
          <w:rFonts w:ascii="Palatino Linotype" w:hAnsi="Palatino Linotype"/>
          <w:i/>
          <w:iCs/>
          <w:sz w:val="22"/>
          <w:szCs w:val="22"/>
        </w:rPr>
        <w:t>, PbRM-01d y PbRM-01e. </w:t>
      </w:r>
    </w:p>
    <w:p w14:paraId="784E7B73" w14:textId="77777777" w:rsidR="00210FBC" w:rsidRPr="00406B11" w:rsidRDefault="00210FBC" w:rsidP="00210FBC">
      <w:pPr>
        <w:rPr>
          <w:rFonts w:ascii="Palatino Linotype" w:hAnsi="Palatino Linotype"/>
          <w:i/>
          <w:sz w:val="22"/>
          <w:szCs w:val="22"/>
        </w:rPr>
      </w:pPr>
    </w:p>
    <w:p w14:paraId="75E2F46B"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b/>
          <w:i/>
          <w:sz w:val="22"/>
          <w:szCs w:val="22"/>
        </w:rPr>
        <w:t>El formato PbRM-01c “Programa Anual de Metas de actividad por Proyecto”</w:t>
      </w:r>
      <w:r w:rsidRPr="00406B11">
        <w:rPr>
          <w:rFonts w:ascii="Palatino Linotype" w:hAnsi="Palatino Linotype"/>
          <w:i/>
          <w:sz w:val="22"/>
          <w:szCs w:val="22"/>
        </w:rPr>
        <w:t xml:space="preserve">, tiene como propósito establecer las acciones sustantivas para cada proyecto, mismas que deberán reflejar la diferencia entre el cumplimiento alcanzado durante el ejercicio fiscal 2024 y las cifras programadas que se estimen alcanzar en el ejercicio 2025. </w:t>
      </w:r>
    </w:p>
    <w:p w14:paraId="1EC7A0A3"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p>
    <w:p w14:paraId="6B6A591D"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sz w:val="22"/>
          <w:szCs w:val="22"/>
        </w:rPr>
        <w:t xml:space="preserve">Las acciones relevantes que se incluyan deberán interrelacionarse y amalgamarse hacia el fin y propósito definido. Dichas acciones representan los efectos inmediatos que se pretenden conseguir derivado de la implementación de los proyectos y que en su conjunto permiten alcanzar los objetivos determinados y pueden llegar a generar un impacto o beneficio social en el mediano o largo plazo. </w:t>
      </w:r>
    </w:p>
    <w:p w14:paraId="69E9ADCF"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p>
    <w:p w14:paraId="44BDDD34" w14:textId="77777777" w:rsidR="00210FBC" w:rsidRPr="00406B11" w:rsidRDefault="00210FBC" w:rsidP="00210FBC">
      <w:pPr>
        <w:pStyle w:val="NormalWeb"/>
        <w:spacing w:before="0" w:beforeAutospacing="0" w:after="0" w:afterAutospacing="0"/>
        <w:ind w:left="851" w:right="902"/>
        <w:jc w:val="both"/>
        <w:rPr>
          <w:rFonts w:ascii="Palatino Linotype" w:hAnsi="Palatino Linotype"/>
          <w:b/>
          <w:i/>
          <w:iCs/>
          <w:sz w:val="22"/>
          <w:szCs w:val="22"/>
        </w:rPr>
      </w:pPr>
      <w:r w:rsidRPr="00406B11">
        <w:rPr>
          <w:rFonts w:ascii="Palatino Linotype" w:hAnsi="Palatino Linotype"/>
          <w:b/>
          <w:i/>
          <w:sz w:val="22"/>
          <w:szCs w:val="22"/>
        </w:rPr>
        <w:t>En estas acciones estarán ya incluidas las de carácter adjetivo, mismas que no es necesario referenciar en el Programa Anual, ya que suelen ser de tipo administrativo, como lo son por mencionar sólo un ejemplo, la compra de bienes muebles, vehículos o insumos que permiten la ejecución de acciones de gran impacto.</w:t>
      </w:r>
    </w:p>
    <w:p w14:paraId="42DBE929"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iCs/>
          <w:sz w:val="22"/>
          <w:szCs w:val="22"/>
        </w:rPr>
      </w:pPr>
    </w:p>
    <w:p w14:paraId="098C987F"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sz w:val="22"/>
          <w:szCs w:val="22"/>
        </w:rPr>
        <w:t>En la integración del Anteproyecto de Presupuesto de Egresos Municipal 2025, las Dependencias Generales, Auxiliares y Organismos deberán identificar cuando sea el caso, la ubicación geográfica de sus acciones relevantes en la descripción de la acción. Lo anterior implica que deberán programar sus acciones y metas con identificación territorial georreferenciada.</w:t>
      </w:r>
    </w:p>
    <w:p w14:paraId="71C3085D"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p>
    <w:p w14:paraId="6224DBE2"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r w:rsidRPr="00406B11">
        <w:rPr>
          <w:rFonts w:ascii="Palatino Linotype" w:hAnsi="Palatino Linotype"/>
          <w:i/>
          <w:sz w:val="22"/>
          <w:szCs w:val="22"/>
        </w:rPr>
        <w:t>Es importante destacar que la determinación de las metas de actividad sirve de base eventualmente para la construcción de los indicadores, por lo que en cada una de ellas se observará de manera analítica y responsable esta relación, sin perder de vista la asignación presupuestaria.</w:t>
      </w:r>
    </w:p>
    <w:p w14:paraId="3B144FEF"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sz w:val="22"/>
          <w:szCs w:val="22"/>
        </w:rPr>
      </w:pPr>
    </w:p>
    <w:p w14:paraId="154B4DB5" w14:textId="77777777" w:rsidR="00210FBC" w:rsidRPr="00406B11" w:rsidRDefault="00210FBC" w:rsidP="00210FBC">
      <w:pPr>
        <w:pStyle w:val="NormalWeb"/>
        <w:spacing w:before="0" w:beforeAutospacing="0" w:after="0" w:afterAutospacing="0"/>
        <w:ind w:left="851" w:right="902"/>
        <w:jc w:val="both"/>
        <w:rPr>
          <w:rFonts w:ascii="Palatino Linotype" w:hAnsi="Palatino Linotype"/>
          <w:i/>
          <w:iCs/>
          <w:sz w:val="22"/>
          <w:szCs w:val="22"/>
        </w:rPr>
      </w:pPr>
      <w:r w:rsidRPr="00406B11">
        <w:rPr>
          <w:rFonts w:ascii="Palatino Linotype" w:hAnsi="Palatino Linotype"/>
          <w:i/>
          <w:sz w:val="22"/>
          <w:szCs w:val="22"/>
        </w:rPr>
        <w:t>En la formulación del Programa Anual es importante asegurar que exista la debida correspondencia entre el conjunto de metas de actividad establecidas en los proyectos agrupados en cada programa, las cuales quedan determinadas en el formato PbRM-01c “Programa Anual de Metas de actividad por Proyecto”, con el cumplimiento de los objetivos del programa que corresponda, el cual se debe consultar en el formato PbRM-01b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w:t>
      </w:r>
    </w:p>
    <w:p w14:paraId="04F0CFFB" w14:textId="77777777" w:rsidR="00210FBC" w:rsidRPr="00406B11" w:rsidRDefault="00210FBC" w:rsidP="00210FBC">
      <w:pPr>
        <w:spacing w:line="360" w:lineRule="auto"/>
        <w:rPr>
          <w:rFonts w:ascii="Palatino Linotype" w:hAnsi="Palatino Linotype"/>
          <w:sz w:val="22"/>
          <w:szCs w:val="22"/>
        </w:rPr>
      </w:pPr>
    </w:p>
    <w:p w14:paraId="25677EA4" w14:textId="460F190B"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Es así que el formato PbRM-01c “Programa Anual de Metas de actividad por Proyecto es el documento donde se asientan las acciones sustantivas para cada proyecto planeado por unidad administrativa y se encuentra relacionado con el PbRM-02ª “Calendarización de Metas por Actividad” el cual tiene como objeto identificar cada trimestre las cantidades de las metas programadas anuales por proyecto, mismas que fueron planteadas en el formato PbRM-01c”, Además, el Manual citado dispone lo siguiente:</w:t>
      </w:r>
    </w:p>
    <w:p w14:paraId="0E7224BC" w14:textId="77777777" w:rsidR="00210FBC" w:rsidRPr="00406B11" w:rsidRDefault="00210FBC" w:rsidP="00210FBC">
      <w:pPr>
        <w:pStyle w:val="NormalWeb"/>
        <w:spacing w:before="0" w:beforeAutospacing="0" w:after="0" w:afterAutospacing="0" w:line="360" w:lineRule="auto"/>
        <w:jc w:val="center"/>
        <w:rPr>
          <w:rFonts w:ascii="Palatino Linotype" w:hAnsi="Palatino Linotype"/>
          <w:sz w:val="22"/>
          <w:szCs w:val="22"/>
        </w:rPr>
      </w:pPr>
      <w:r w:rsidRPr="00406B11">
        <w:rPr>
          <w:rFonts w:ascii="Palatino Linotype" w:hAnsi="Palatino Linotype"/>
          <w:noProof/>
          <w:sz w:val="22"/>
          <w:szCs w:val="22"/>
          <w:lang w:val="es-MX"/>
        </w:rPr>
        <w:lastRenderedPageBreak/>
        <w:drawing>
          <wp:inline distT="0" distB="0" distL="0" distR="0" wp14:anchorId="740FD502" wp14:editId="1E6BA40A">
            <wp:extent cx="5328659" cy="5917721"/>
            <wp:effectExtent l="0" t="0" r="5715"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2898" cy="6011272"/>
                    </a:xfrm>
                    <a:prstGeom prst="rect">
                      <a:avLst/>
                    </a:prstGeom>
                  </pic:spPr>
                </pic:pic>
              </a:graphicData>
            </a:graphic>
          </wp:inline>
        </w:drawing>
      </w:r>
    </w:p>
    <w:p w14:paraId="4BF7FAE4" w14:textId="77BBF590"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 xml:space="preserve">De lo dispuesto por el Manual para la Planeación en cita, se determina que los formatos PbRM-01c y PbRM-02a no sólo son documentos indispensables para la integración del presupuesto de egresos, sino que, también es un documento que deben generar todas las unidades administrativas para la asignación de presupuesto con base en las metas o actividades a desarrollar en </w:t>
      </w:r>
      <w:r w:rsidR="003536E5" w:rsidRPr="00406B11">
        <w:rPr>
          <w:rFonts w:ascii="Palatino Linotype" w:hAnsi="Palatino Linotype"/>
          <w:sz w:val="22"/>
          <w:szCs w:val="22"/>
        </w:rPr>
        <w:t xml:space="preserve">un determinado ejercicio fiscal, </w:t>
      </w:r>
      <w:r w:rsidR="003536E5" w:rsidRPr="00406B11">
        <w:rPr>
          <w:rFonts w:ascii="Palatino Linotype" w:hAnsi="Palatino Linotype"/>
          <w:b/>
          <w:sz w:val="22"/>
          <w:szCs w:val="22"/>
        </w:rPr>
        <w:t>documento que atiende los requerimientos del particular.</w:t>
      </w:r>
    </w:p>
    <w:p w14:paraId="323EE3C1" w14:textId="77777777" w:rsidR="009C2E9B" w:rsidRPr="00406B11" w:rsidRDefault="009C2E9B" w:rsidP="00210FBC">
      <w:pPr>
        <w:pStyle w:val="NormalWeb"/>
        <w:spacing w:before="0" w:beforeAutospacing="0" w:after="0" w:afterAutospacing="0" w:line="360" w:lineRule="auto"/>
        <w:jc w:val="both"/>
        <w:rPr>
          <w:rFonts w:ascii="Palatino Linotype" w:hAnsi="Palatino Linotype"/>
          <w:sz w:val="22"/>
          <w:szCs w:val="22"/>
        </w:rPr>
      </w:pPr>
    </w:p>
    <w:p w14:paraId="17A4F52D" w14:textId="7FBE1D49" w:rsidR="009C2E9B" w:rsidRPr="00406B11" w:rsidRDefault="009C2E9B" w:rsidP="009C2E9B">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406B11">
        <w:rPr>
          <w:rFonts w:ascii="Palatino Linotype" w:hAnsi="Palatino Linotype"/>
          <w:sz w:val="22"/>
          <w:szCs w:val="22"/>
        </w:rPr>
        <w:t xml:space="preserve">Además, </w:t>
      </w:r>
      <w:r w:rsidRPr="00406B11">
        <w:rPr>
          <w:rFonts w:ascii="Palatino Linotype" w:eastAsia="Palatino Linotype" w:hAnsi="Palatino Linotype" w:cs="Palatino Linotype"/>
          <w:b/>
          <w:sz w:val="22"/>
          <w:szCs w:val="22"/>
        </w:rPr>
        <w:t xml:space="preserve">la información requerida corresponde a obligaciones de transparencia común que deben publicar los Sujetos Obligados de manera permanente y actualizada, de conformidad con lo dispuesto en la fracción </w:t>
      </w:r>
      <w:r w:rsidRPr="00406B11">
        <w:rPr>
          <w:rFonts w:ascii="Palatino Linotype" w:eastAsia="Palatino Linotype" w:hAnsi="Palatino Linotype" w:cs="Palatino Linotype"/>
          <w:sz w:val="22"/>
          <w:szCs w:val="22"/>
        </w:rPr>
        <w:t>IV del artículo 92 de la Ley de Transparencia y Acceso a la Información Pública del Estado de México y Municipios, como se muestra a continuación:</w:t>
      </w:r>
    </w:p>
    <w:p w14:paraId="2E5E7286" w14:textId="77777777" w:rsidR="009C2E9B" w:rsidRPr="00406B11" w:rsidRDefault="009C2E9B" w:rsidP="009C2E9B">
      <w:pPr>
        <w:spacing w:line="276" w:lineRule="auto"/>
        <w:ind w:left="567" w:right="616"/>
        <w:jc w:val="center"/>
        <w:rPr>
          <w:rFonts w:ascii="Palatino Linotype" w:hAnsi="Palatino Linotype"/>
          <w:i/>
          <w:sz w:val="22"/>
          <w:szCs w:val="22"/>
        </w:rPr>
      </w:pPr>
      <w:r w:rsidRPr="00406B11">
        <w:rPr>
          <w:rFonts w:ascii="Palatino Linotype" w:hAnsi="Palatino Linotype"/>
          <w:i/>
          <w:sz w:val="22"/>
          <w:szCs w:val="22"/>
        </w:rPr>
        <w:t>Capítulo II</w:t>
      </w:r>
    </w:p>
    <w:p w14:paraId="785C5AD7" w14:textId="77777777" w:rsidR="009C2E9B" w:rsidRPr="00406B11" w:rsidRDefault="009C2E9B" w:rsidP="009C2E9B">
      <w:pPr>
        <w:spacing w:line="276" w:lineRule="auto"/>
        <w:ind w:left="567" w:right="616"/>
        <w:jc w:val="center"/>
        <w:rPr>
          <w:rFonts w:ascii="Palatino Linotype" w:hAnsi="Palatino Linotype"/>
          <w:i/>
          <w:sz w:val="22"/>
          <w:szCs w:val="22"/>
        </w:rPr>
      </w:pPr>
      <w:r w:rsidRPr="00406B11">
        <w:rPr>
          <w:rFonts w:ascii="Palatino Linotype" w:hAnsi="Palatino Linotype"/>
          <w:i/>
          <w:sz w:val="22"/>
          <w:szCs w:val="22"/>
        </w:rPr>
        <w:t>De las Obligaciones de Transparencia Comunes</w:t>
      </w:r>
    </w:p>
    <w:p w14:paraId="0A15D3FC" w14:textId="77777777" w:rsidR="009C2E9B" w:rsidRPr="00406B11" w:rsidRDefault="009C2E9B" w:rsidP="009C2E9B">
      <w:pPr>
        <w:spacing w:line="276" w:lineRule="auto"/>
        <w:ind w:left="567" w:right="616"/>
        <w:jc w:val="both"/>
        <w:rPr>
          <w:rFonts w:ascii="Palatino Linotype" w:hAnsi="Palatino Linotype"/>
          <w:i/>
          <w:sz w:val="22"/>
          <w:szCs w:val="22"/>
        </w:rPr>
      </w:pPr>
      <w:r w:rsidRPr="00406B11">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7210FD" w14:textId="77777777" w:rsidR="009C2E9B" w:rsidRPr="00406B11" w:rsidRDefault="009C2E9B" w:rsidP="009C2E9B">
      <w:pPr>
        <w:spacing w:line="276" w:lineRule="auto"/>
        <w:ind w:left="567" w:right="616"/>
        <w:jc w:val="both"/>
        <w:rPr>
          <w:rFonts w:ascii="Palatino Linotype" w:eastAsia="Palatino Linotype" w:hAnsi="Palatino Linotype" w:cs="Palatino Linotype"/>
          <w:i/>
          <w:sz w:val="22"/>
          <w:szCs w:val="22"/>
        </w:rPr>
      </w:pPr>
      <w:r w:rsidRPr="00406B11">
        <w:rPr>
          <w:rFonts w:ascii="Palatino Linotype" w:hAnsi="Palatino Linotype"/>
          <w:i/>
          <w:sz w:val="22"/>
          <w:szCs w:val="22"/>
        </w:rPr>
        <w:t>…</w:t>
      </w:r>
    </w:p>
    <w:p w14:paraId="6D02745A" w14:textId="77777777" w:rsidR="009C2E9B" w:rsidRPr="00406B11" w:rsidRDefault="009C2E9B" w:rsidP="009C2E9B">
      <w:pPr>
        <w:spacing w:line="276" w:lineRule="auto"/>
        <w:ind w:left="567" w:right="616"/>
        <w:jc w:val="both"/>
        <w:rPr>
          <w:rFonts w:ascii="Palatino Linotype" w:hAnsi="Palatino Linotype"/>
          <w:i/>
          <w:sz w:val="22"/>
          <w:szCs w:val="22"/>
        </w:rPr>
      </w:pPr>
      <w:r w:rsidRPr="00406B11">
        <w:rPr>
          <w:rFonts w:ascii="Palatino Linotype" w:hAnsi="Palatino Linotype"/>
          <w:i/>
          <w:sz w:val="22"/>
          <w:szCs w:val="22"/>
        </w:rPr>
        <w:t xml:space="preserve">IV. Las metas, objetivos e indicadores de las áreas de los sujetos obligados de conformidad con los </w:t>
      </w:r>
      <w:r w:rsidRPr="00406B11">
        <w:rPr>
          <w:rFonts w:ascii="Palatino Linotype" w:hAnsi="Palatino Linotype"/>
          <w:b/>
          <w:i/>
          <w:sz w:val="22"/>
          <w:szCs w:val="22"/>
        </w:rPr>
        <w:t>programas de trabajo</w:t>
      </w:r>
      <w:r w:rsidRPr="00406B11">
        <w:rPr>
          <w:rFonts w:ascii="Palatino Linotype" w:hAnsi="Palatino Linotype"/>
          <w:i/>
          <w:sz w:val="22"/>
          <w:szCs w:val="22"/>
        </w:rPr>
        <w:t xml:space="preserve"> e informes anuales de actividades de acuerdo con el Plan Estatal de Desarrollo, Plan de Desarrollo Municipal, en su caso y demás ordenamientos aplicables;</w:t>
      </w:r>
    </w:p>
    <w:p w14:paraId="1236949D" w14:textId="77777777" w:rsidR="009C2E9B" w:rsidRPr="00406B11" w:rsidRDefault="009C2E9B" w:rsidP="009C2E9B">
      <w:pPr>
        <w:spacing w:line="276" w:lineRule="auto"/>
        <w:ind w:left="567" w:right="616"/>
        <w:jc w:val="both"/>
        <w:rPr>
          <w:rFonts w:ascii="Palatino Linotype" w:eastAsia="Palatino Linotype" w:hAnsi="Palatino Linotype" w:cs="Palatino Linotype"/>
          <w:i/>
          <w:sz w:val="22"/>
          <w:szCs w:val="22"/>
        </w:rPr>
      </w:pPr>
      <w:r w:rsidRPr="00406B11">
        <w:rPr>
          <w:rFonts w:ascii="Palatino Linotype" w:eastAsia="Palatino Linotype" w:hAnsi="Palatino Linotype" w:cs="Palatino Linotype"/>
          <w:i/>
          <w:sz w:val="22"/>
          <w:szCs w:val="22"/>
        </w:rPr>
        <w:t>…</w:t>
      </w:r>
    </w:p>
    <w:p w14:paraId="5948BCA8" w14:textId="77777777"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p>
    <w:p w14:paraId="14045B59" w14:textId="6E773D51" w:rsidR="00210FBC" w:rsidRPr="00406B11" w:rsidRDefault="009C2E9B"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 xml:space="preserve">Cabe resaltar que, como se ha dicho en líneas anteriores, es </w:t>
      </w:r>
      <w:r w:rsidR="00210FBC" w:rsidRPr="00406B11">
        <w:rPr>
          <w:rFonts w:ascii="Palatino Linotype" w:hAnsi="Palatino Linotype"/>
          <w:sz w:val="22"/>
          <w:szCs w:val="22"/>
        </w:rPr>
        <w:t xml:space="preserve">atribución de recabar e integrar la información de la </w:t>
      </w:r>
      <w:r w:rsidR="00210FBC" w:rsidRPr="00406B11">
        <w:rPr>
          <w:rFonts w:ascii="Palatino Linotype" w:hAnsi="Palatino Linotype"/>
          <w:b/>
          <w:sz w:val="22"/>
          <w:szCs w:val="22"/>
        </w:rPr>
        <w:t>Unidad de Información, Planeación, Programación y Evaluación, UIPPE</w:t>
      </w:r>
      <w:r w:rsidR="00210FBC" w:rsidRPr="00406B11">
        <w:rPr>
          <w:rFonts w:ascii="Palatino Linotype" w:hAnsi="Palatino Linotype"/>
          <w:sz w:val="22"/>
          <w:szCs w:val="22"/>
        </w:rPr>
        <w:t xml:space="preserve"> o unidad administrativa equivalente.</w:t>
      </w:r>
    </w:p>
    <w:p w14:paraId="2510092F" w14:textId="77777777"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p>
    <w:p w14:paraId="5E5D67E4" w14:textId="0FC7A1B1" w:rsidR="00210FBC" w:rsidRPr="00406B11" w:rsidRDefault="00210FBC" w:rsidP="00210F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Dicho lo anterior, se precisa que el Sujeto Obligado turnó la solicitud a la Unidad de Información, Planeación, Programación y Evaluación,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40678FA9" w14:textId="77777777" w:rsidR="00210FBC" w:rsidRPr="00406B11" w:rsidRDefault="00210FBC" w:rsidP="00210FB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FF2D92"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lastRenderedPageBreak/>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B841873"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5AAC885"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3DB80DE"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6EB8384"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42121A4" w14:textId="77777777" w:rsidR="00210FBC" w:rsidRPr="00406B11" w:rsidRDefault="00210FBC" w:rsidP="00210FBC">
      <w:pPr>
        <w:spacing w:after="240" w:line="360" w:lineRule="auto"/>
        <w:ind w:left="284"/>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92D7A86" w14:textId="77777777" w:rsidR="00210FBC" w:rsidRPr="00406B11" w:rsidRDefault="00210FBC"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lastRenderedPageBreak/>
        <w:t>En este orden de ideas, se reitera que la Unidad de Transparencia turnó la solicitud de información a la Unidad Administrativa competente para generar, administrar y poseer la información, con lo que se acredita la correcta búsqueda exhaustiva y razonable de la información.</w:t>
      </w:r>
    </w:p>
    <w:p w14:paraId="67268081" w14:textId="77777777" w:rsidR="00210FBC" w:rsidRPr="00406B11" w:rsidRDefault="00210FBC"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145D61" w14:textId="6E3F1FA9" w:rsidR="00210FBC" w:rsidRPr="00406B11" w:rsidRDefault="00210FBC" w:rsidP="00210F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Por su parte, el Sujeto Obligado entregó</w:t>
      </w:r>
      <w:r w:rsidR="009C2E9B" w:rsidRPr="00406B11">
        <w:rPr>
          <w:rFonts w:ascii="Palatino Linotype" w:eastAsia="Palatino Linotype" w:hAnsi="Palatino Linotype" w:cs="Palatino Linotype"/>
          <w:sz w:val="22"/>
          <w:szCs w:val="22"/>
        </w:rPr>
        <w:t xml:space="preserve"> </w:t>
      </w:r>
      <w:r w:rsidR="009C2E9B" w:rsidRPr="00406B11">
        <w:rPr>
          <w:rFonts w:ascii="Palatino Linotype" w:eastAsia="Palatino Linotype" w:hAnsi="Palatino Linotype" w:cs="Palatino Linotype"/>
          <w:bCs/>
          <w:sz w:val="22"/>
          <w:szCs w:val="22"/>
        </w:rPr>
        <w:t>el Presupuesto Basado en Resultados municipal correspondiente del uno de enero al treinta y uno de diciembre de 2025 de la Unidad de Información, Planeación, Programación y Evaluación.</w:t>
      </w:r>
    </w:p>
    <w:p w14:paraId="567A5D5C" w14:textId="06311C1C"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 xml:space="preserve"> </w:t>
      </w:r>
    </w:p>
    <w:p w14:paraId="6F717A62" w14:textId="49F81048" w:rsidR="00210FBC" w:rsidRPr="00406B11" w:rsidRDefault="009C2E9B" w:rsidP="00210FBC">
      <w:pPr>
        <w:pStyle w:val="NormalWeb"/>
        <w:spacing w:before="0" w:beforeAutospacing="0" w:after="0" w:afterAutospacing="0" w:line="360" w:lineRule="auto"/>
        <w:jc w:val="both"/>
        <w:rPr>
          <w:rFonts w:ascii="Palatino Linotype" w:hAnsi="Palatino Linotype"/>
          <w:sz w:val="22"/>
          <w:szCs w:val="22"/>
        </w:rPr>
      </w:pPr>
      <w:r w:rsidRPr="00406B11">
        <w:rPr>
          <w:rFonts w:ascii="Palatino Linotype" w:hAnsi="Palatino Linotype"/>
          <w:sz w:val="22"/>
          <w:szCs w:val="22"/>
        </w:rPr>
        <w:t>De la respuesta que emitió el Sujeto Obligado, la Parte Recurrente se inconformó manifestando que la información proporcionada se encuentra incompleta.</w:t>
      </w:r>
    </w:p>
    <w:p w14:paraId="6F70E687" w14:textId="77777777" w:rsidR="00210FBC" w:rsidRPr="00406B11" w:rsidRDefault="00210FBC" w:rsidP="00210FBC">
      <w:pPr>
        <w:pStyle w:val="NormalWeb"/>
        <w:spacing w:before="0" w:beforeAutospacing="0" w:after="0" w:afterAutospacing="0" w:line="360" w:lineRule="auto"/>
        <w:jc w:val="both"/>
        <w:rPr>
          <w:rFonts w:ascii="Palatino Linotype" w:hAnsi="Palatino Linotype"/>
          <w:sz w:val="22"/>
          <w:szCs w:val="22"/>
        </w:rPr>
      </w:pPr>
    </w:p>
    <w:p w14:paraId="164E8B3F" w14:textId="2034DC15" w:rsidR="001555D8" w:rsidRPr="00406B11" w:rsidRDefault="003536E5" w:rsidP="00210FBC">
      <w:pPr>
        <w:pStyle w:val="NormalWeb"/>
        <w:spacing w:before="0" w:beforeAutospacing="0" w:after="0" w:afterAutospacing="0" w:line="360" w:lineRule="auto"/>
        <w:jc w:val="both"/>
        <w:rPr>
          <w:rFonts w:ascii="Palatino Linotype" w:eastAsia="Palatino Linotype" w:hAnsi="Palatino Linotype" w:cs="Palatino Linotype"/>
          <w:bCs/>
          <w:sz w:val="22"/>
          <w:szCs w:val="22"/>
        </w:rPr>
      </w:pPr>
      <w:r w:rsidRPr="00406B11">
        <w:rPr>
          <w:rFonts w:ascii="Palatino Linotype" w:hAnsi="Palatino Linotype"/>
          <w:sz w:val="22"/>
          <w:szCs w:val="22"/>
        </w:rPr>
        <w:t xml:space="preserve">Mediante el informe justificado, el Sujeto Obligado complementó su respuesta, proporcionando </w:t>
      </w:r>
      <w:r w:rsidRPr="00406B11">
        <w:rPr>
          <w:rFonts w:ascii="Palatino Linotype" w:eastAsia="Palatino Linotype" w:hAnsi="Palatino Linotype" w:cs="Palatino Linotype"/>
          <w:bCs/>
          <w:sz w:val="22"/>
          <w:szCs w:val="22"/>
        </w:rPr>
        <w:t>el Presupuesto Basado en Resultados Municipal</w:t>
      </w:r>
      <w:r w:rsidR="006961EA" w:rsidRPr="00406B11">
        <w:rPr>
          <w:rFonts w:ascii="Palatino Linotype" w:eastAsia="Palatino Linotype" w:hAnsi="Palatino Linotype" w:cs="Palatino Linotype"/>
          <w:bCs/>
          <w:sz w:val="22"/>
          <w:szCs w:val="22"/>
        </w:rPr>
        <w:t xml:space="preserve"> PbRM-02a de diversas unidades administrativas de la temporalidad comprendida del uno de enero al treinta y uno de diciembre de 2025. A efecto de verificar si la información se encuentra completa, se debe verificar frente a las unidades administrativas</w:t>
      </w:r>
      <w:r w:rsidR="001555D8" w:rsidRPr="00406B11">
        <w:rPr>
          <w:rFonts w:ascii="Palatino Linotype" w:eastAsia="Palatino Linotype" w:hAnsi="Palatino Linotype" w:cs="Palatino Linotype"/>
          <w:bCs/>
          <w:sz w:val="22"/>
          <w:szCs w:val="22"/>
        </w:rPr>
        <w:t xml:space="preserve"> que contempla </w:t>
      </w:r>
      <w:r w:rsidR="001555D8" w:rsidRPr="00406B11">
        <w:rPr>
          <w:rFonts w:ascii="Palatino Linotype" w:eastAsia="Palatino Linotype" w:hAnsi="Palatino Linotype" w:cs="Palatino Linotype"/>
          <w:sz w:val="22"/>
          <w:szCs w:val="22"/>
        </w:rPr>
        <w:t>Manual para la Planeación, Programación y Presupuesto de Egresos Municipal 2025 para los Municipios</w:t>
      </w:r>
    </w:p>
    <w:p w14:paraId="735FFA94" w14:textId="77777777" w:rsidR="001555D8" w:rsidRPr="00406B11" w:rsidRDefault="001555D8" w:rsidP="00210FBC">
      <w:pPr>
        <w:pStyle w:val="NormalWeb"/>
        <w:spacing w:before="0" w:beforeAutospacing="0" w:after="0" w:afterAutospacing="0" w:line="360" w:lineRule="auto"/>
        <w:jc w:val="both"/>
        <w:rPr>
          <w:rFonts w:ascii="Palatino Linotype" w:eastAsia="Palatino Linotype" w:hAnsi="Palatino Linotype" w:cs="Palatino Linotype"/>
          <w:bCs/>
          <w:sz w:val="22"/>
          <w:szCs w:val="22"/>
        </w:rPr>
      </w:pPr>
    </w:p>
    <w:tbl>
      <w:tblPr>
        <w:tblStyle w:val="Tablaconcuadrcula"/>
        <w:tblW w:w="8921" w:type="dxa"/>
        <w:tblLook w:val="04A0" w:firstRow="1" w:lastRow="0" w:firstColumn="1" w:lastColumn="0" w:noHBand="0" w:noVBand="1"/>
      </w:tblPr>
      <w:tblGrid>
        <w:gridCol w:w="2689"/>
        <w:gridCol w:w="1559"/>
        <w:gridCol w:w="3118"/>
        <w:gridCol w:w="1555"/>
      </w:tblGrid>
      <w:tr w:rsidR="009733DE" w:rsidRPr="00406B11" w14:paraId="368810B0" w14:textId="2D611A1B" w:rsidTr="003B3EE9">
        <w:tc>
          <w:tcPr>
            <w:tcW w:w="2689" w:type="dxa"/>
            <w:shd w:val="clear" w:color="auto" w:fill="EEECE1" w:themeFill="background2"/>
          </w:tcPr>
          <w:p w14:paraId="5435FF18" w14:textId="07F066F3" w:rsidR="00E82366" w:rsidRPr="00406B11" w:rsidRDefault="00E82366"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 xml:space="preserve">Dependencia General </w:t>
            </w:r>
          </w:p>
        </w:tc>
        <w:tc>
          <w:tcPr>
            <w:tcW w:w="1559" w:type="dxa"/>
            <w:shd w:val="clear" w:color="auto" w:fill="EEECE1" w:themeFill="background2"/>
          </w:tcPr>
          <w:p w14:paraId="73679628" w14:textId="5BCA175E" w:rsidR="00E82366" w:rsidRPr="00406B11" w:rsidRDefault="00E82366" w:rsidP="003B3EE9">
            <w:pPr>
              <w:pStyle w:val="NormalWeb"/>
              <w:spacing w:before="0" w:beforeAutospacing="0" w:after="0" w:afterAutospacing="0" w:line="360" w:lineRule="auto"/>
              <w:jc w:val="center"/>
              <w:rPr>
                <w:rFonts w:ascii="Palatino Linotype" w:hAnsi="Palatino Linotype"/>
                <w:b/>
                <w:sz w:val="16"/>
                <w:szCs w:val="16"/>
              </w:rPr>
            </w:pPr>
            <w:r w:rsidRPr="00406B11">
              <w:rPr>
                <w:rFonts w:ascii="Palatino Linotype" w:hAnsi="Palatino Linotype"/>
                <w:b/>
                <w:sz w:val="16"/>
                <w:szCs w:val="16"/>
              </w:rPr>
              <w:t xml:space="preserve">¿Entregó </w:t>
            </w:r>
            <w:proofErr w:type="spellStart"/>
            <w:r w:rsidRPr="00406B11">
              <w:rPr>
                <w:rFonts w:ascii="Palatino Linotype" w:hAnsi="Palatino Linotype"/>
                <w:b/>
                <w:sz w:val="16"/>
                <w:szCs w:val="16"/>
              </w:rPr>
              <w:t>PbRM</w:t>
            </w:r>
            <w:proofErr w:type="spellEnd"/>
            <w:r w:rsidRPr="00406B11">
              <w:rPr>
                <w:rFonts w:ascii="Palatino Linotype" w:hAnsi="Palatino Linotype"/>
                <w:b/>
                <w:sz w:val="16"/>
                <w:szCs w:val="16"/>
              </w:rPr>
              <w:t>?</w:t>
            </w:r>
          </w:p>
        </w:tc>
        <w:tc>
          <w:tcPr>
            <w:tcW w:w="3118" w:type="dxa"/>
            <w:shd w:val="clear" w:color="auto" w:fill="EEECE1" w:themeFill="background2"/>
          </w:tcPr>
          <w:p w14:paraId="5772440B" w14:textId="6BED37D3" w:rsidR="00E82366" w:rsidRPr="00406B11" w:rsidRDefault="00E82366"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Dependencia General</w:t>
            </w:r>
          </w:p>
        </w:tc>
        <w:tc>
          <w:tcPr>
            <w:tcW w:w="1555" w:type="dxa"/>
            <w:shd w:val="clear" w:color="auto" w:fill="EEECE1" w:themeFill="background2"/>
          </w:tcPr>
          <w:p w14:paraId="01334B97" w14:textId="33D47DBE" w:rsidR="00E82366" w:rsidRPr="00406B11" w:rsidRDefault="00E82366" w:rsidP="003B3EE9">
            <w:pPr>
              <w:pStyle w:val="NormalWeb"/>
              <w:spacing w:before="0" w:beforeAutospacing="0" w:after="0" w:afterAutospacing="0" w:line="360" w:lineRule="auto"/>
              <w:jc w:val="center"/>
              <w:rPr>
                <w:rFonts w:ascii="Palatino Linotype" w:hAnsi="Palatino Linotype"/>
                <w:b/>
                <w:sz w:val="16"/>
                <w:szCs w:val="16"/>
              </w:rPr>
            </w:pPr>
            <w:r w:rsidRPr="00406B11">
              <w:rPr>
                <w:rFonts w:ascii="Palatino Linotype" w:hAnsi="Palatino Linotype"/>
                <w:b/>
                <w:sz w:val="16"/>
                <w:szCs w:val="16"/>
              </w:rPr>
              <w:t xml:space="preserve">¿Entregó </w:t>
            </w:r>
            <w:proofErr w:type="spellStart"/>
            <w:r w:rsidRPr="00406B11">
              <w:rPr>
                <w:rFonts w:ascii="Palatino Linotype" w:hAnsi="Palatino Linotype"/>
                <w:b/>
                <w:sz w:val="16"/>
                <w:szCs w:val="16"/>
              </w:rPr>
              <w:t>PbRM</w:t>
            </w:r>
            <w:proofErr w:type="spellEnd"/>
            <w:r w:rsidRPr="00406B11">
              <w:rPr>
                <w:rFonts w:ascii="Palatino Linotype" w:hAnsi="Palatino Linotype"/>
                <w:b/>
                <w:sz w:val="16"/>
                <w:szCs w:val="16"/>
              </w:rPr>
              <w:t>?</w:t>
            </w:r>
          </w:p>
        </w:tc>
      </w:tr>
      <w:tr w:rsidR="009733DE" w:rsidRPr="00406B11" w14:paraId="7F682A41" w14:textId="27E781CD" w:rsidTr="003B3EE9">
        <w:tc>
          <w:tcPr>
            <w:tcW w:w="2689" w:type="dxa"/>
          </w:tcPr>
          <w:p w14:paraId="1CF50908"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A00 PRESIDENCIA </w:t>
            </w:r>
          </w:p>
        </w:tc>
        <w:tc>
          <w:tcPr>
            <w:tcW w:w="1559" w:type="dxa"/>
          </w:tcPr>
          <w:p w14:paraId="3EB9F961" w14:textId="41D60502"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5B441BBA" w14:textId="559CAEF2"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E03 Eventos Especiales </w:t>
            </w:r>
          </w:p>
        </w:tc>
        <w:tc>
          <w:tcPr>
            <w:tcW w:w="1555" w:type="dxa"/>
          </w:tcPr>
          <w:p w14:paraId="776B53D0" w14:textId="6C3FB446"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8A3C289" w14:textId="6B7B3CB2" w:rsidTr="003B3EE9">
        <w:tc>
          <w:tcPr>
            <w:tcW w:w="2689" w:type="dxa"/>
          </w:tcPr>
          <w:p w14:paraId="5A2A0236"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A01 Comunicación Social </w:t>
            </w:r>
          </w:p>
        </w:tc>
        <w:tc>
          <w:tcPr>
            <w:tcW w:w="1559" w:type="dxa"/>
          </w:tcPr>
          <w:p w14:paraId="559A4AF3" w14:textId="201E9229"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1AF987FB" w14:textId="76F04FEE"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F00 DESARROLLO URBANO Y OBRAS PÚBLICAS </w:t>
            </w:r>
          </w:p>
        </w:tc>
        <w:tc>
          <w:tcPr>
            <w:tcW w:w="1555" w:type="dxa"/>
          </w:tcPr>
          <w:p w14:paraId="71D47112" w14:textId="303108D6"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65EDF30F" w14:textId="7E02BBD7" w:rsidTr="003B3EE9">
        <w:tc>
          <w:tcPr>
            <w:tcW w:w="2689" w:type="dxa"/>
          </w:tcPr>
          <w:p w14:paraId="5D6AD158"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A02 Derechos Humanos </w:t>
            </w:r>
          </w:p>
        </w:tc>
        <w:tc>
          <w:tcPr>
            <w:tcW w:w="1559" w:type="dxa"/>
          </w:tcPr>
          <w:p w14:paraId="22398E89" w14:textId="37513911"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6BA735A" w14:textId="7C374B61"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F01 Desarrollo Urbano y Servicios Públicos </w:t>
            </w:r>
          </w:p>
        </w:tc>
        <w:tc>
          <w:tcPr>
            <w:tcW w:w="1555" w:type="dxa"/>
          </w:tcPr>
          <w:p w14:paraId="49ED347F" w14:textId="521A90C6"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329279DF" w14:textId="2C03BCB0" w:rsidTr="003B3EE9">
        <w:tc>
          <w:tcPr>
            <w:tcW w:w="2689" w:type="dxa"/>
          </w:tcPr>
          <w:p w14:paraId="74927B56"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B00 SINDICATURAS </w:t>
            </w:r>
          </w:p>
        </w:tc>
        <w:tc>
          <w:tcPr>
            <w:tcW w:w="1559" w:type="dxa"/>
          </w:tcPr>
          <w:p w14:paraId="37C84354" w14:textId="7DE0653B"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21EE3113" w14:textId="7053B40F"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G00 ECOLOGÍA </w:t>
            </w:r>
          </w:p>
        </w:tc>
        <w:tc>
          <w:tcPr>
            <w:tcW w:w="1555" w:type="dxa"/>
          </w:tcPr>
          <w:p w14:paraId="266A6988" w14:textId="28A686B3"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3E0E61D" w14:textId="5B5F45B8" w:rsidTr="003B3EE9">
        <w:tc>
          <w:tcPr>
            <w:tcW w:w="2689" w:type="dxa"/>
          </w:tcPr>
          <w:p w14:paraId="385A1B95"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B01 Sindicatura I </w:t>
            </w:r>
          </w:p>
        </w:tc>
        <w:tc>
          <w:tcPr>
            <w:tcW w:w="1559" w:type="dxa"/>
          </w:tcPr>
          <w:p w14:paraId="5E1BAF2D" w14:textId="18C99B4F"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D755BFE" w14:textId="562F8BF9"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H00 SERVICIOS PÚBLICOS </w:t>
            </w:r>
          </w:p>
        </w:tc>
        <w:tc>
          <w:tcPr>
            <w:tcW w:w="1555" w:type="dxa"/>
          </w:tcPr>
          <w:p w14:paraId="71029056" w14:textId="02A2B856"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F621B04" w14:textId="0A68340C" w:rsidTr="003B3EE9">
        <w:tc>
          <w:tcPr>
            <w:tcW w:w="2689" w:type="dxa"/>
          </w:tcPr>
          <w:p w14:paraId="15E8CF36"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B02 Sindicatura II </w:t>
            </w:r>
          </w:p>
        </w:tc>
        <w:tc>
          <w:tcPr>
            <w:tcW w:w="1559" w:type="dxa"/>
          </w:tcPr>
          <w:p w14:paraId="40105255" w14:textId="4FF2F740"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682F01B8" w14:textId="7919B84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H01 AGUA POTABLE </w:t>
            </w:r>
          </w:p>
        </w:tc>
        <w:tc>
          <w:tcPr>
            <w:tcW w:w="1555" w:type="dxa"/>
          </w:tcPr>
          <w:p w14:paraId="5AA16D20" w14:textId="0B8C68D5"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4706F84" w14:textId="7DE44A60" w:rsidTr="003B3EE9">
        <w:tc>
          <w:tcPr>
            <w:tcW w:w="2689" w:type="dxa"/>
          </w:tcPr>
          <w:p w14:paraId="11B33E79"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C00 REGIDURIAS </w:t>
            </w:r>
          </w:p>
        </w:tc>
        <w:tc>
          <w:tcPr>
            <w:tcW w:w="1559" w:type="dxa"/>
          </w:tcPr>
          <w:p w14:paraId="4665CC46" w14:textId="07632D8F"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3B5D2F66" w14:textId="6ABF806A"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I00 PROMOCIÓN SOCIAL </w:t>
            </w:r>
          </w:p>
        </w:tc>
        <w:tc>
          <w:tcPr>
            <w:tcW w:w="1555" w:type="dxa"/>
          </w:tcPr>
          <w:p w14:paraId="3A063857" w14:textId="4C5BBD8C"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3A1524B9" w14:textId="1BAC3800" w:rsidTr="003B3EE9">
        <w:tc>
          <w:tcPr>
            <w:tcW w:w="2689" w:type="dxa"/>
          </w:tcPr>
          <w:p w14:paraId="0872E057"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C01 Regiduría I </w:t>
            </w:r>
          </w:p>
        </w:tc>
        <w:tc>
          <w:tcPr>
            <w:tcW w:w="1559" w:type="dxa"/>
          </w:tcPr>
          <w:p w14:paraId="0D831308" w14:textId="27C6D8F9"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89B7786" w14:textId="4FAE4FD4"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I01 Desarrollo Social </w:t>
            </w:r>
          </w:p>
        </w:tc>
        <w:tc>
          <w:tcPr>
            <w:tcW w:w="1555" w:type="dxa"/>
          </w:tcPr>
          <w:p w14:paraId="38ED1C09" w14:textId="2B74A4FB"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29A1436" w14:textId="7B595C68" w:rsidTr="003B3EE9">
        <w:tc>
          <w:tcPr>
            <w:tcW w:w="2689" w:type="dxa"/>
          </w:tcPr>
          <w:p w14:paraId="582EB31C"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lastRenderedPageBreak/>
              <w:t xml:space="preserve">C02 Regiduría II </w:t>
            </w:r>
          </w:p>
        </w:tc>
        <w:tc>
          <w:tcPr>
            <w:tcW w:w="1559" w:type="dxa"/>
          </w:tcPr>
          <w:p w14:paraId="0E0BF0F7" w14:textId="48149CE9"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37689DC1" w14:textId="6D395260"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I02 Salud </w:t>
            </w:r>
          </w:p>
        </w:tc>
        <w:tc>
          <w:tcPr>
            <w:tcW w:w="1555" w:type="dxa"/>
          </w:tcPr>
          <w:p w14:paraId="2E3B0B80" w14:textId="26C25CF8"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537A4F7B" w14:textId="2A3501F2" w:rsidTr="003B3EE9">
        <w:tc>
          <w:tcPr>
            <w:tcW w:w="2689" w:type="dxa"/>
          </w:tcPr>
          <w:p w14:paraId="3C0629B1"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C03 Regiduría III </w:t>
            </w:r>
          </w:p>
        </w:tc>
        <w:tc>
          <w:tcPr>
            <w:tcW w:w="1559" w:type="dxa"/>
          </w:tcPr>
          <w:p w14:paraId="46591CDB" w14:textId="47AC71A2"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C78CA7D" w14:textId="4B1A2F53"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J00 GOBIERNO MUNICIPAL </w:t>
            </w:r>
          </w:p>
        </w:tc>
        <w:tc>
          <w:tcPr>
            <w:tcW w:w="1555" w:type="dxa"/>
          </w:tcPr>
          <w:p w14:paraId="4E986F97" w14:textId="0679916E"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61B17F0D" w14:textId="48FDC30E" w:rsidTr="003B3EE9">
        <w:tc>
          <w:tcPr>
            <w:tcW w:w="2689" w:type="dxa"/>
          </w:tcPr>
          <w:p w14:paraId="1647F5E8"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C04 Regiduría IV </w:t>
            </w:r>
          </w:p>
        </w:tc>
        <w:tc>
          <w:tcPr>
            <w:tcW w:w="1559" w:type="dxa"/>
          </w:tcPr>
          <w:p w14:paraId="2AA44225" w14:textId="54811A58"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D0BEFF7" w14:textId="46966622"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K00 CONTRALORÍA </w:t>
            </w:r>
          </w:p>
        </w:tc>
        <w:tc>
          <w:tcPr>
            <w:tcW w:w="1555" w:type="dxa"/>
          </w:tcPr>
          <w:p w14:paraId="4A30C9B3" w14:textId="4CBC3DBC"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222C5603" w14:textId="4CB6BB28" w:rsidTr="003B3EE9">
        <w:tc>
          <w:tcPr>
            <w:tcW w:w="2689" w:type="dxa"/>
          </w:tcPr>
          <w:p w14:paraId="7163F148"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C05 Regiduría V </w:t>
            </w:r>
          </w:p>
        </w:tc>
        <w:tc>
          <w:tcPr>
            <w:tcW w:w="1559" w:type="dxa"/>
          </w:tcPr>
          <w:p w14:paraId="25710D21" w14:textId="4D92D099"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2BFD8A1" w14:textId="12D8FE2C"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L00 TESORERÍA </w:t>
            </w:r>
          </w:p>
        </w:tc>
        <w:tc>
          <w:tcPr>
            <w:tcW w:w="1555" w:type="dxa"/>
          </w:tcPr>
          <w:p w14:paraId="1936D349" w14:textId="5C7B527D"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1FD77DF3" w14:textId="6754649E" w:rsidTr="003B3EE9">
        <w:tc>
          <w:tcPr>
            <w:tcW w:w="2689" w:type="dxa"/>
          </w:tcPr>
          <w:p w14:paraId="19EC7880"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C06 Regiduría VI </w:t>
            </w:r>
          </w:p>
        </w:tc>
        <w:tc>
          <w:tcPr>
            <w:tcW w:w="1559" w:type="dxa"/>
          </w:tcPr>
          <w:p w14:paraId="20F12F6B" w14:textId="685DCD6D"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5FBE2E45" w14:textId="299B8CF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M00 CONSEJERÍA JURÍDICA </w:t>
            </w:r>
          </w:p>
        </w:tc>
        <w:tc>
          <w:tcPr>
            <w:tcW w:w="1555" w:type="dxa"/>
          </w:tcPr>
          <w:p w14:paraId="2BA4FE15" w14:textId="6B3A4DB5"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32AD05F" w14:textId="73B428B1" w:rsidTr="003B3EE9">
        <w:tc>
          <w:tcPr>
            <w:tcW w:w="2689" w:type="dxa"/>
          </w:tcPr>
          <w:p w14:paraId="290796A4"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C07 Regiduría VII </w:t>
            </w:r>
          </w:p>
        </w:tc>
        <w:tc>
          <w:tcPr>
            <w:tcW w:w="1559" w:type="dxa"/>
          </w:tcPr>
          <w:p w14:paraId="396339E6" w14:textId="172B9395"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A6E7F2B" w14:textId="4F7BB54C"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N00 DIRECCIÓN DE DESARROLLO ECONÓMICO </w:t>
            </w:r>
          </w:p>
        </w:tc>
        <w:tc>
          <w:tcPr>
            <w:tcW w:w="1555" w:type="dxa"/>
          </w:tcPr>
          <w:p w14:paraId="618A0FED" w14:textId="43326A1A"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5CDF105B" w14:textId="0891DA3B" w:rsidTr="003B3EE9">
        <w:tc>
          <w:tcPr>
            <w:tcW w:w="2689" w:type="dxa"/>
          </w:tcPr>
          <w:p w14:paraId="3C88883B"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C08 Regiduría VIII </w:t>
            </w:r>
          </w:p>
        </w:tc>
        <w:tc>
          <w:tcPr>
            <w:tcW w:w="1559" w:type="dxa"/>
          </w:tcPr>
          <w:p w14:paraId="555E043F" w14:textId="28C5BB2C"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n/a</w:t>
            </w:r>
          </w:p>
        </w:tc>
        <w:tc>
          <w:tcPr>
            <w:tcW w:w="3118" w:type="dxa"/>
          </w:tcPr>
          <w:p w14:paraId="13DB95A3" w14:textId="57E70F15"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N01 Desarrollo Agropecuario </w:t>
            </w:r>
          </w:p>
        </w:tc>
        <w:tc>
          <w:tcPr>
            <w:tcW w:w="1555" w:type="dxa"/>
          </w:tcPr>
          <w:p w14:paraId="5E6DC8D2" w14:textId="7C53F245"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6D26D9D8" w14:textId="34BE13C1" w:rsidTr="003B3EE9">
        <w:tc>
          <w:tcPr>
            <w:tcW w:w="2689" w:type="dxa"/>
          </w:tcPr>
          <w:p w14:paraId="7483537D" w14:textId="77777777"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C09 Regiduría IX </w:t>
            </w:r>
          </w:p>
        </w:tc>
        <w:tc>
          <w:tcPr>
            <w:tcW w:w="1559" w:type="dxa"/>
          </w:tcPr>
          <w:p w14:paraId="2DC62E73" w14:textId="4081F1C6"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n/a</w:t>
            </w:r>
          </w:p>
        </w:tc>
        <w:tc>
          <w:tcPr>
            <w:tcW w:w="3118" w:type="dxa"/>
          </w:tcPr>
          <w:p w14:paraId="5B28C553" w14:textId="563A76BD"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O00 EDUCACIÓN CULTURAL Y BIENESTAR SOCIAL </w:t>
            </w:r>
          </w:p>
        </w:tc>
        <w:tc>
          <w:tcPr>
            <w:tcW w:w="1555" w:type="dxa"/>
          </w:tcPr>
          <w:p w14:paraId="7B08A96D" w14:textId="17951CA4"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7CA4BDC0" w14:textId="1658C465" w:rsidTr="003B3EE9">
        <w:tc>
          <w:tcPr>
            <w:tcW w:w="2689" w:type="dxa"/>
          </w:tcPr>
          <w:p w14:paraId="068021FE" w14:textId="77777777"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C10 Regiduría X </w:t>
            </w:r>
          </w:p>
        </w:tc>
        <w:tc>
          <w:tcPr>
            <w:tcW w:w="1559" w:type="dxa"/>
          </w:tcPr>
          <w:p w14:paraId="7CEE9305" w14:textId="542514DE"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n/a</w:t>
            </w:r>
          </w:p>
        </w:tc>
        <w:tc>
          <w:tcPr>
            <w:tcW w:w="3118" w:type="dxa"/>
          </w:tcPr>
          <w:p w14:paraId="5B9DB497" w14:textId="1BEA0FE6"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P00 ATENCIÓN CIUDADANA </w:t>
            </w:r>
          </w:p>
        </w:tc>
        <w:tc>
          <w:tcPr>
            <w:tcW w:w="1555" w:type="dxa"/>
          </w:tcPr>
          <w:p w14:paraId="66730BAA" w14:textId="0A95CE14"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9BD1826" w14:textId="669362B4" w:rsidTr="003B3EE9">
        <w:tc>
          <w:tcPr>
            <w:tcW w:w="2689" w:type="dxa"/>
          </w:tcPr>
          <w:p w14:paraId="57105C98" w14:textId="77777777"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C11 Regiduría XI </w:t>
            </w:r>
          </w:p>
        </w:tc>
        <w:tc>
          <w:tcPr>
            <w:tcW w:w="1559" w:type="dxa"/>
          </w:tcPr>
          <w:p w14:paraId="5CE3E4E9" w14:textId="2D9E5D9E"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n/a</w:t>
            </w:r>
          </w:p>
        </w:tc>
        <w:tc>
          <w:tcPr>
            <w:tcW w:w="3118" w:type="dxa"/>
          </w:tcPr>
          <w:p w14:paraId="66E2618C" w14:textId="7D7098DB"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Q00 SEGURIDAD PÚBLICA Y TRÁNSITO </w:t>
            </w:r>
          </w:p>
        </w:tc>
        <w:tc>
          <w:tcPr>
            <w:tcW w:w="1555" w:type="dxa"/>
          </w:tcPr>
          <w:p w14:paraId="3F3E8D73" w14:textId="0B164F3E"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77CE1877" w14:textId="5DC54A7E" w:rsidTr="003B3EE9">
        <w:tc>
          <w:tcPr>
            <w:tcW w:w="2689" w:type="dxa"/>
          </w:tcPr>
          <w:p w14:paraId="565436FB" w14:textId="77777777"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C12 Regiduría XII </w:t>
            </w:r>
          </w:p>
        </w:tc>
        <w:tc>
          <w:tcPr>
            <w:tcW w:w="1559" w:type="dxa"/>
          </w:tcPr>
          <w:p w14:paraId="60C49153" w14:textId="2F7A4F7D"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n/a</w:t>
            </w:r>
          </w:p>
        </w:tc>
        <w:tc>
          <w:tcPr>
            <w:tcW w:w="3118" w:type="dxa"/>
          </w:tcPr>
          <w:p w14:paraId="44CBEB9F" w14:textId="63A51380" w:rsidR="003B3EE9" w:rsidRPr="00406B11" w:rsidRDefault="003B3EE9" w:rsidP="003B3EE9">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R00 CASA DE LA CULTURA </w:t>
            </w:r>
          </w:p>
        </w:tc>
        <w:tc>
          <w:tcPr>
            <w:tcW w:w="1555" w:type="dxa"/>
          </w:tcPr>
          <w:p w14:paraId="74C7BC2E" w14:textId="7CA2BBEA" w:rsidR="003B3EE9"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A49838F" w14:textId="2D8B2CF2" w:rsidTr="003B3EE9">
        <w:tc>
          <w:tcPr>
            <w:tcW w:w="2689" w:type="dxa"/>
          </w:tcPr>
          <w:p w14:paraId="388D92E7"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D00 SECRETARÍA DEL AYUNTAMIENTO </w:t>
            </w:r>
          </w:p>
        </w:tc>
        <w:tc>
          <w:tcPr>
            <w:tcW w:w="1559" w:type="dxa"/>
          </w:tcPr>
          <w:p w14:paraId="7E3C0D31" w14:textId="29DD72DD"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E6625A0" w14:textId="4EE9FEC6"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S00 UNIDAD DE INFORMACIÓN, PLANEACIÓN, PROGRAMACIÓN Y EVALUACIÓN </w:t>
            </w:r>
          </w:p>
        </w:tc>
        <w:tc>
          <w:tcPr>
            <w:tcW w:w="1555" w:type="dxa"/>
          </w:tcPr>
          <w:p w14:paraId="4F47F9AF" w14:textId="29491D00"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3EAF9592" w14:textId="17428A24" w:rsidTr="003B3EE9">
        <w:tc>
          <w:tcPr>
            <w:tcW w:w="2689" w:type="dxa"/>
          </w:tcPr>
          <w:p w14:paraId="6148BE0B"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E00 ADMINISTRACIÓN </w:t>
            </w:r>
          </w:p>
        </w:tc>
        <w:tc>
          <w:tcPr>
            <w:tcW w:w="1559" w:type="dxa"/>
          </w:tcPr>
          <w:p w14:paraId="18E1CBE9" w14:textId="6B48E917"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33D1454" w14:textId="01DFD3A4"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T00 PROTECCIÓN CIVIL </w:t>
            </w:r>
          </w:p>
        </w:tc>
        <w:tc>
          <w:tcPr>
            <w:tcW w:w="1555" w:type="dxa"/>
          </w:tcPr>
          <w:p w14:paraId="6EBA3934" w14:textId="24D73624"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1E07CF0" w14:textId="79316D95" w:rsidTr="003B3EE9">
        <w:tc>
          <w:tcPr>
            <w:tcW w:w="2689" w:type="dxa"/>
          </w:tcPr>
          <w:p w14:paraId="7109D941"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E01 Planeación </w:t>
            </w:r>
          </w:p>
        </w:tc>
        <w:tc>
          <w:tcPr>
            <w:tcW w:w="1559" w:type="dxa"/>
          </w:tcPr>
          <w:p w14:paraId="4040C5AE" w14:textId="2F577A1B"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3FF19D7A" w14:textId="02C6E8AA"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U00 TURISMO </w:t>
            </w:r>
          </w:p>
        </w:tc>
        <w:tc>
          <w:tcPr>
            <w:tcW w:w="1555" w:type="dxa"/>
          </w:tcPr>
          <w:p w14:paraId="7845EA55" w14:textId="43492204"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122D37C6" w14:textId="2D3BACCD" w:rsidTr="003B3EE9">
        <w:tc>
          <w:tcPr>
            <w:tcW w:w="2689" w:type="dxa"/>
          </w:tcPr>
          <w:p w14:paraId="3C25D370"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E02 Informática </w:t>
            </w:r>
          </w:p>
        </w:tc>
        <w:tc>
          <w:tcPr>
            <w:tcW w:w="1559" w:type="dxa"/>
          </w:tcPr>
          <w:p w14:paraId="7FB7DE5D" w14:textId="1E6680FA"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E9843B8" w14:textId="23D86A13"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 xml:space="preserve">V00 DIRECCIÓN DE LAS MUJERES </w:t>
            </w:r>
          </w:p>
        </w:tc>
        <w:tc>
          <w:tcPr>
            <w:tcW w:w="1555" w:type="dxa"/>
          </w:tcPr>
          <w:p w14:paraId="6560F9EE" w14:textId="0335F670"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E82366" w:rsidRPr="00406B11" w14:paraId="58E050A3" w14:textId="77777777" w:rsidTr="003B3EE9">
        <w:tc>
          <w:tcPr>
            <w:tcW w:w="2689" w:type="dxa"/>
          </w:tcPr>
          <w:p w14:paraId="03A5D57F" w14:textId="77777777"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p>
        </w:tc>
        <w:tc>
          <w:tcPr>
            <w:tcW w:w="1559" w:type="dxa"/>
          </w:tcPr>
          <w:p w14:paraId="0BFC1BDE" w14:textId="77777777" w:rsidR="00E82366" w:rsidRPr="00406B11" w:rsidRDefault="00E82366" w:rsidP="003B3EE9">
            <w:pPr>
              <w:pStyle w:val="NormalWeb"/>
              <w:spacing w:before="0" w:beforeAutospacing="0" w:after="0" w:afterAutospacing="0" w:line="360" w:lineRule="auto"/>
              <w:jc w:val="center"/>
              <w:rPr>
                <w:rFonts w:ascii="Palatino Linotype" w:hAnsi="Palatino Linotype"/>
                <w:sz w:val="16"/>
                <w:szCs w:val="16"/>
              </w:rPr>
            </w:pPr>
          </w:p>
        </w:tc>
        <w:tc>
          <w:tcPr>
            <w:tcW w:w="3118" w:type="dxa"/>
          </w:tcPr>
          <w:p w14:paraId="61C5C600" w14:textId="406A1ABD" w:rsidR="00E82366" w:rsidRPr="00406B11" w:rsidRDefault="00E82366" w:rsidP="00E82366">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rPr>
              <w:t>W00 UNIDAD DE CONTROL Y BIENESTAR ANIMAL</w:t>
            </w:r>
          </w:p>
        </w:tc>
        <w:tc>
          <w:tcPr>
            <w:tcW w:w="1555" w:type="dxa"/>
          </w:tcPr>
          <w:p w14:paraId="7B49CA3C" w14:textId="7EB241D9" w:rsidR="00E82366" w:rsidRPr="00406B11" w:rsidRDefault="003B3EE9" w:rsidP="003B3EE9">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bl>
    <w:p w14:paraId="760CD0BE" w14:textId="77777777" w:rsidR="00E82366" w:rsidRPr="00406B11" w:rsidRDefault="00E82366" w:rsidP="00210FBC">
      <w:pPr>
        <w:pStyle w:val="NormalWeb"/>
        <w:spacing w:before="0" w:beforeAutospacing="0" w:after="0" w:afterAutospacing="0" w:line="360" w:lineRule="auto"/>
        <w:jc w:val="both"/>
      </w:pPr>
    </w:p>
    <w:p w14:paraId="070A359F" w14:textId="77777777" w:rsidR="006961EA" w:rsidRPr="00406B11" w:rsidRDefault="006961EA" w:rsidP="00210FBC">
      <w:pPr>
        <w:pStyle w:val="NormalWeb"/>
        <w:spacing w:before="0" w:beforeAutospacing="0" w:after="0" w:afterAutospacing="0" w:line="360" w:lineRule="auto"/>
        <w:jc w:val="both"/>
        <w:rPr>
          <w:rFonts w:ascii="Palatino Linotype" w:eastAsia="Palatino Linotype" w:hAnsi="Palatino Linotype" w:cs="Palatino Linotype"/>
          <w:bCs/>
          <w:sz w:val="22"/>
          <w:szCs w:val="22"/>
        </w:rPr>
      </w:pPr>
    </w:p>
    <w:tbl>
      <w:tblPr>
        <w:tblStyle w:val="Tablaconcuadrcula"/>
        <w:tblW w:w="8926" w:type="dxa"/>
        <w:tblLook w:val="04A0" w:firstRow="1" w:lastRow="0" w:firstColumn="1" w:lastColumn="0" w:noHBand="0" w:noVBand="1"/>
      </w:tblPr>
      <w:tblGrid>
        <w:gridCol w:w="2689"/>
        <w:gridCol w:w="1559"/>
        <w:gridCol w:w="3118"/>
        <w:gridCol w:w="1560"/>
      </w:tblGrid>
      <w:tr w:rsidR="009733DE" w:rsidRPr="00406B11" w14:paraId="11420F11" w14:textId="2B3F0122" w:rsidTr="003B3EE9">
        <w:tc>
          <w:tcPr>
            <w:tcW w:w="2689" w:type="dxa"/>
            <w:shd w:val="clear" w:color="auto" w:fill="EEECE1" w:themeFill="background2"/>
          </w:tcPr>
          <w:p w14:paraId="13F3F671" w14:textId="77777777" w:rsidR="0038056C" w:rsidRPr="00406B11" w:rsidRDefault="0038056C"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 xml:space="preserve">Dependencia Auxiliar </w:t>
            </w:r>
          </w:p>
        </w:tc>
        <w:tc>
          <w:tcPr>
            <w:tcW w:w="1559" w:type="dxa"/>
            <w:shd w:val="clear" w:color="auto" w:fill="EEECE1" w:themeFill="background2"/>
          </w:tcPr>
          <w:p w14:paraId="1CFC70D6" w14:textId="5274EF60" w:rsidR="0038056C" w:rsidRPr="00406B11" w:rsidRDefault="0038056C"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 xml:space="preserve">¿Entregó </w:t>
            </w:r>
            <w:proofErr w:type="spellStart"/>
            <w:r w:rsidRPr="00406B11">
              <w:rPr>
                <w:rFonts w:ascii="Palatino Linotype" w:hAnsi="Palatino Linotype"/>
                <w:b/>
                <w:sz w:val="16"/>
                <w:szCs w:val="16"/>
              </w:rPr>
              <w:t>PbRM</w:t>
            </w:r>
            <w:proofErr w:type="spellEnd"/>
            <w:r w:rsidRPr="00406B11">
              <w:rPr>
                <w:rFonts w:ascii="Palatino Linotype" w:hAnsi="Palatino Linotype"/>
                <w:b/>
                <w:sz w:val="16"/>
                <w:szCs w:val="16"/>
              </w:rPr>
              <w:t>?</w:t>
            </w:r>
          </w:p>
        </w:tc>
        <w:tc>
          <w:tcPr>
            <w:tcW w:w="3118" w:type="dxa"/>
            <w:shd w:val="clear" w:color="auto" w:fill="EEECE1" w:themeFill="background2"/>
          </w:tcPr>
          <w:p w14:paraId="0398C5AD" w14:textId="6F4E9519" w:rsidR="0038056C" w:rsidRPr="00406B11" w:rsidRDefault="003B3EE9"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Dependencia Auxiliar</w:t>
            </w:r>
          </w:p>
        </w:tc>
        <w:tc>
          <w:tcPr>
            <w:tcW w:w="1560" w:type="dxa"/>
            <w:shd w:val="clear" w:color="auto" w:fill="EEECE1" w:themeFill="background2"/>
          </w:tcPr>
          <w:p w14:paraId="2B1B3903" w14:textId="351267D3" w:rsidR="0038056C" w:rsidRPr="00406B11" w:rsidRDefault="003B3EE9" w:rsidP="001555D8">
            <w:pPr>
              <w:pStyle w:val="NormalWeb"/>
              <w:spacing w:before="0" w:beforeAutospacing="0" w:after="0" w:afterAutospacing="0" w:line="360" w:lineRule="auto"/>
              <w:jc w:val="both"/>
              <w:rPr>
                <w:rFonts w:ascii="Palatino Linotype" w:hAnsi="Palatino Linotype"/>
                <w:b/>
                <w:sz w:val="16"/>
                <w:szCs w:val="16"/>
              </w:rPr>
            </w:pPr>
            <w:r w:rsidRPr="00406B11">
              <w:rPr>
                <w:rFonts w:ascii="Palatino Linotype" w:hAnsi="Palatino Linotype"/>
                <w:b/>
                <w:sz w:val="16"/>
                <w:szCs w:val="16"/>
              </w:rPr>
              <w:t xml:space="preserve">¿Entregó </w:t>
            </w:r>
            <w:proofErr w:type="spellStart"/>
            <w:r w:rsidRPr="00406B11">
              <w:rPr>
                <w:rFonts w:ascii="Palatino Linotype" w:hAnsi="Palatino Linotype"/>
                <w:b/>
                <w:sz w:val="16"/>
                <w:szCs w:val="16"/>
              </w:rPr>
              <w:t>PbRM</w:t>
            </w:r>
            <w:proofErr w:type="spellEnd"/>
            <w:r w:rsidRPr="00406B11">
              <w:rPr>
                <w:rFonts w:ascii="Palatino Linotype" w:hAnsi="Palatino Linotype"/>
                <w:b/>
                <w:sz w:val="16"/>
                <w:szCs w:val="16"/>
              </w:rPr>
              <w:t>?</w:t>
            </w:r>
          </w:p>
        </w:tc>
      </w:tr>
      <w:tr w:rsidR="009733DE" w:rsidRPr="00406B11" w14:paraId="361FE0A9" w14:textId="4E6702C1" w:rsidTr="003B3EE9">
        <w:tc>
          <w:tcPr>
            <w:tcW w:w="2689" w:type="dxa"/>
          </w:tcPr>
          <w:p w14:paraId="2E48B3A1"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100 Secretaría Particular </w:t>
            </w:r>
          </w:p>
        </w:tc>
        <w:tc>
          <w:tcPr>
            <w:tcW w:w="1559" w:type="dxa"/>
          </w:tcPr>
          <w:p w14:paraId="53B3B1E6" w14:textId="257674AF"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B536E2D" w14:textId="2DFFA1F0"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134 Auditoría Financiera </w:t>
            </w:r>
          </w:p>
        </w:tc>
        <w:tc>
          <w:tcPr>
            <w:tcW w:w="1560" w:type="dxa"/>
          </w:tcPr>
          <w:p w14:paraId="60E177B5" w14:textId="7AFC1D05"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47B0437F" w14:textId="44BA538A" w:rsidTr="003B3EE9">
        <w:tc>
          <w:tcPr>
            <w:tcW w:w="2689" w:type="dxa"/>
          </w:tcPr>
          <w:p w14:paraId="7FFA7D92"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101 Secretaría Técnica </w:t>
            </w:r>
          </w:p>
        </w:tc>
        <w:tc>
          <w:tcPr>
            <w:tcW w:w="1559" w:type="dxa"/>
          </w:tcPr>
          <w:p w14:paraId="72FE2FE3" w14:textId="6920FDD0"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2B119B3D" w14:textId="42F43FCA"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135 Auditoría de Obra </w:t>
            </w:r>
          </w:p>
        </w:tc>
        <w:tc>
          <w:tcPr>
            <w:tcW w:w="1560" w:type="dxa"/>
          </w:tcPr>
          <w:p w14:paraId="3B23A77B" w14:textId="29CADEC5"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1B924344" w14:textId="61DCE50F" w:rsidTr="003B3EE9">
        <w:tc>
          <w:tcPr>
            <w:tcW w:w="2689" w:type="dxa"/>
          </w:tcPr>
          <w:p w14:paraId="501A49E9"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102 Derechos Humanos </w:t>
            </w:r>
          </w:p>
        </w:tc>
        <w:tc>
          <w:tcPr>
            <w:tcW w:w="1559" w:type="dxa"/>
          </w:tcPr>
          <w:p w14:paraId="74FF9C25" w14:textId="62CF9D40"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263FE161" w14:textId="2F400CCA"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136 Auditoría Administrativa </w:t>
            </w:r>
          </w:p>
        </w:tc>
        <w:tc>
          <w:tcPr>
            <w:tcW w:w="1560" w:type="dxa"/>
          </w:tcPr>
          <w:p w14:paraId="724C664F" w14:textId="5B57F07A"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AA0764E" w14:textId="77FDDA2F" w:rsidTr="003B3EE9">
        <w:tc>
          <w:tcPr>
            <w:tcW w:w="2689" w:type="dxa"/>
          </w:tcPr>
          <w:p w14:paraId="552B5674"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103 Comunicación Social </w:t>
            </w:r>
          </w:p>
        </w:tc>
        <w:tc>
          <w:tcPr>
            <w:tcW w:w="1559" w:type="dxa"/>
          </w:tcPr>
          <w:p w14:paraId="25DAC3DD" w14:textId="4742492A"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1AF36D5" w14:textId="47376425"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137 Simplificación Administrativa </w:t>
            </w:r>
          </w:p>
        </w:tc>
        <w:tc>
          <w:tcPr>
            <w:tcW w:w="1560" w:type="dxa"/>
          </w:tcPr>
          <w:p w14:paraId="60A83615" w14:textId="36800562"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65AD5D61" w14:textId="302FAAF5" w:rsidTr="003B3EE9">
        <w:tc>
          <w:tcPr>
            <w:tcW w:w="2689" w:type="dxa"/>
          </w:tcPr>
          <w:p w14:paraId="78E78A30"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104 Seguridad Pública </w:t>
            </w:r>
          </w:p>
        </w:tc>
        <w:tc>
          <w:tcPr>
            <w:tcW w:w="1559" w:type="dxa"/>
          </w:tcPr>
          <w:p w14:paraId="028E8FFC" w14:textId="67CFF1E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23F29074" w14:textId="6ACA69B0"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138 Responsabilidad y Situación Patrimonial </w:t>
            </w:r>
          </w:p>
        </w:tc>
        <w:tc>
          <w:tcPr>
            <w:tcW w:w="1560" w:type="dxa"/>
          </w:tcPr>
          <w:p w14:paraId="2FBE3EFD" w14:textId="47E6495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3CCBF24C" w14:textId="30833C6A" w:rsidTr="003B3EE9">
        <w:tc>
          <w:tcPr>
            <w:tcW w:w="2689" w:type="dxa"/>
          </w:tcPr>
          <w:p w14:paraId="46E43B83"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105 Coordinación Municipal de Protección Civil </w:t>
            </w:r>
          </w:p>
        </w:tc>
        <w:tc>
          <w:tcPr>
            <w:tcW w:w="1559" w:type="dxa"/>
          </w:tcPr>
          <w:p w14:paraId="6E51858C" w14:textId="597F782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2C601423" w14:textId="162CFB4E"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139 Control Social </w:t>
            </w:r>
          </w:p>
        </w:tc>
        <w:tc>
          <w:tcPr>
            <w:tcW w:w="1560" w:type="dxa"/>
          </w:tcPr>
          <w:p w14:paraId="35B17371" w14:textId="1D02D1E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66F641C2" w14:textId="73A69415" w:rsidTr="003B3EE9">
        <w:tc>
          <w:tcPr>
            <w:tcW w:w="2689" w:type="dxa"/>
          </w:tcPr>
          <w:p w14:paraId="771B220D"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106 Cuerpo de Bomberos </w:t>
            </w:r>
          </w:p>
        </w:tc>
        <w:tc>
          <w:tcPr>
            <w:tcW w:w="1559" w:type="dxa"/>
          </w:tcPr>
          <w:p w14:paraId="0843A5ED" w14:textId="5E534FE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513C537C" w14:textId="56B1AD43"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140 Servicio Municipal de Empleo </w:t>
            </w:r>
          </w:p>
        </w:tc>
        <w:tc>
          <w:tcPr>
            <w:tcW w:w="1560" w:type="dxa"/>
          </w:tcPr>
          <w:p w14:paraId="588BE842" w14:textId="50BE470A"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5ADF09FD" w14:textId="0A5A04EC" w:rsidTr="003B3EE9">
        <w:tc>
          <w:tcPr>
            <w:tcW w:w="2689" w:type="dxa"/>
          </w:tcPr>
          <w:p w14:paraId="1045A531"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107 Urbanismo y Vivienda </w:t>
            </w:r>
          </w:p>
        </w:tc>
        <w:tc>
          <w:tcPr>
            <w:tcW w:w="1559" w:type="dxa"/>
          </w:tcPr>
          <w:p w14:paraId="2F2E2503" w14:textId="7A693C0B"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5D728411" w14:textId="7950B994"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141 Educación </w:t>
            </w:r>
          </w:p>
        </w:tc>
        <w:tc>
          <w:tcPr>
            <w:tcW w:w="1560" w:type="dxa"/>
          </w:tcPr>
          <w:p w14:paraId="3A7B7626" w14:textId="2EB820F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3F77BD9D" w14:textId="2D707449" w:rsidTr="003B3EE9">
        <w:tc>
          <w:tcPr>
            <w:tcW w:w="2689" w:type="dxa"/>
          </w:tcPr>
          <w:p w14:paraId="398F09CD"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108 Juzgados Cívicos </w:t>
            </w:r>
          </w:p>
        </w:tc>
        <w:tc>
          <w:tcPr>
            <w:tcW w:w="1559" w:type="dxa"/>
          </w:tcPr>
          <w:p w14:paraId="1DFEDA79" w14:textId="7F9970E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235A2CC2" w14:textId="28EC6598"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142 Deporte </w:t>
            </w:r>
          </w:p>
        </w:tc>
        <w:tc>
          <w:tcPr>
            <w:tcW w:w="1560" w:type="dxa"/>
          </w:tcPr>
          <w:p w14:paraId="4E29DE40" w14:textId="3CE0A6A0"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193ACA31" w14:textId="37400CE6" w:rsidTr="003B3EE9">
        <w:tc>
          <w:tcPr>
            <w:tcW w:w="2689" w:type="dxa"/>
          </w:tcPr>
          <w:p w14:paraId="6FB1F617"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lastRenderedPageBreak/>
              <w:t xml:space="preserve">109 Registro Civil </w:t>
            </w:r>
          </w:p>
        </w:tc>
        <w:tc>
          <w:tcPr>
            <w:tcW w:w="1559" w:type="dxa"/>
          </w:tcPr>
          <w:p w14:paraId="67132FCA" w14:textId="774209C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59904983" w14:textId="10023164"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143 Atención a la Juventud </w:t>
            </w:r>
          </w:p>
        </w:tc>
        <w:tc>
          <w:tcPr>
            <w:tcW w:w="1560" w:type="dxa"/>
          </w:tcPr>
          <w:p w14:paraId="2F3BB09E" w14:textId="4BB0140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5951772F" w14:textId="1FF367CE" w:rsidTr="003B3EE9">
        <w:tc>
          <w:tcPr>
            <w:tcW w:w="2689" w:type="dxa"/>
          </w:tcPr>
          <w:p w14:paraId="7F6B7AC3"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110 Acción Cívica </w:t>
            </w:r>
          </w:p>
        </w:tc>
        <w:tc>
          <w:tcPr>
            <w:tcW w:w="1559" w:type="dxa"/>
          </w:tcPr>
          <w:p w14:paraId="0D9772C8" w14:textId="6BCFDF55"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1914F9B8" w14:textId="3F2D9382"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144 Gobernación </w:t>
            </w:r>
          </w:p>
        </w:tc>
        <w:tc>
          <w:tcPr>
            <w:tcW w:w="1560" w:type="dxa"/>
          </w:tcPr>
          <w:p w14:paraId="57E20B79" w14:textId="3CFCC06F"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7D8FA39" w14:textId="15DEFF4B" w:rsidTr="003B3EE9">
        <w:tc>
          <w:tcPr>
            <w:tcW w:w="2689" w:type="dxa"/>
          </w:tcPr>
          <w:p w14:paraId="25563917"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111 Coordinación de Delegaciones </w:t>
            </w:r>
          </w:p>
        </w:tc>
        <w:tc>
          <w:tcPr>
            <w:tcW w:w="1559" w:type="dxa"/>
          </w:tcPr>
          <w:p w14:paraId="58E7BF9E" w14:textId="02DAC79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69FA6CF9" w14:textId="5280B552"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145 Panteones </w:t>
            </w:r>
          </w:p>
        </w:tc>
        <w:tc>
          <w:tcPr>
            <w:tcW w:w="1560" w:type="dxa"/>
          </w:tcPr>
          <w:p w14:paraId="26F4AE06" w14:textId="476F3A2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3D1EF5F" w14:textId="13C4E47D" w:rsidTr="003B3EE9">
        <w:tc>
          <w:tcPr>
            <w:tcW w:w="2689" w:type="dxa"/>
          </w:tcPr>
          <w:p w14:paraId="5A0458DD"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112 Participación Ciudadana </w:t>
            </w:r>
          </w:p>
        </w:tc>
        <w:tc>
          <w:tcPr>
            <w:tcW w:w="1559" w:type="dxa"/>
          </w:tcPr>
          <w:p w14:paraId="4A659772" w14:textId="71D2F443"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CC2626F" w14:textId="2EB8F57D"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146 Rastro </w:t>
            </w:r>
          </w:p>
        </w:tc>
        <w:tc>
          <w:tcPr>
            <w:tcW w:w="1560" w:type="dxa"/>
          </w:tcPr>
          <w:p w14:paraId="037E4DC1" w14:textId="11164C6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3D119318" w14:textId="1F799D63" w:rsidTr="003B3EE9">
        <w:tc>
          <w:tcPr>
            <w:tcW w:w="2689" w:type="dxa"/>
          </w:tcPr>
          <w:p w14:paraId="57D90E97"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113 Cronista Municipal </w:t>
            </w:r>
          </w:p>
        </w:tc>
        <w:tc>
          <w:tcPr>
            <w:tcW w:w="1559" w:type="dxa"/>
          </w:tcPr>
          <w:p w14:paraId="77C36766" w14:textId="1D412B13"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8752E97" w14:textId="08AE8911"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147 Mercados </w:t>
            </w:r>
          </w:p>
        </w:tc>
        <w:tc>
          <w:tcPr>
            <w:tcW w:w="1560" w:type="dxa"/>
          </w:tcPr>
          <w:p w14:paraId="1797A241" w14:textId="1F7EA0C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80DCF21" w14:textId="2F384F70" w:rsidTr="003B3EE9">
        <w:tc>
          <w:tcPr>
            <w:tcW w:w="2689" w:type="dxa"/>
          </w:tcPr>
          <w:p w14:paraId="6644CA32"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114 Control Patrimonial </w:t>
            </w:r>
          </w:p>
        </w:tc>
        <w:tc>
          <w:tcPr>
            <w:tcW w:w="1559" w:type="dxa"/>
          </w:tcPr>
          <w:p w14:paraId="47F86459" w14:textId="23AD5A45"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302FDB9A" w14:textId="2ACCFDAF"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148 Servicio Militar Municipal </w:t>
            </w:r>
          </w:p>
        </w:tc>
        <w:tc>
          <w:tcPr>
            <w:tcW w:w="1560" w:type="dxa"/>
          </w:tcPr>
          <w:p w14:paraId="1E4C3B87" w14:textId="70420D7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003DF9D5" w14:textId="6D947A97" w:rsidTr="003B3EE9">
        <w:tc>
          <w:tcPr>
            <w:tcW w:w="2689" w:type="dxa"/>
          </w:tcPr>
          <w:p w14:paraId="44D02591"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115 Ingresos </w:t>
            </w:r>
          </w:p>
        </w:tc>
        <w:tc>
          <w:tcPr>
            <w:tcW w:w="1559" w:type="dxa"/>
          </w:tcPr>
          <w:p w14:paraId="54CE11F6" w14:textId="735555C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5946981B" w14:textId="152CF85F"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149 Fomento Turístico </w:t>
            </w:r>
          </w:p>
        </w:tc>
        <w:tc>
          <w:tcPr>
            <w:tcW w:w="1560" w:type="dxa"/>
          </w:tcPr>
          <w:p w14:paraId="742FD6CF" w14:textId="0AA29C07"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4F2CCE92" w14:textId="6A50A906" w:rsidTr="003B3EE9">
        <w:tc>
          <w:tcPr>
            <w:tcW w:w="2689" w:type="dxa"/>
          </w:tcPr>
          <w:p w14:paraId="64A5FECC"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116 Egresos </w:t>
            </w:r>
          </w:p>
        </w:tc>
        <w:tc>
          <w:tcPr>
            <w:tcW w:w="1559" w:type="dxa"/>
          </w:tcPr>
          <w:p w14:paraId="43CF00A0" w14:textId="61CE9321"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54D488B" w14:textId="79410729"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150 Cultura </w:t>
            </w:r>
          </w:p>
        </w:tc>
        <w:tc>
          <w:tcPr>
            <w:tcW w:w="1560" w:type="dxa"/>
          </w:tcPr>
          <w:p w14:paraId="337145B0" w14:textId="1B48716B"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1D39513" w14:textId="1B8B4A1B" w:rsidTr="003B3EE9">
        <w:tc>
          <w:tcPr>
            <w:tcW w:w="2689" w:type="dxa"/>
          </w:tcPr>
          <w:p w14:paraId="04FDA5F0"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117 Presupuesto </w:t>
            </w:r>
          </w:p>
        </w:tc>
        <w:tc>
          <w:tcPr>
            <w:tcW w:w="1559" w:type="dxa"/>
          </w:tcPr>
          <w:p w14:paraId="7FADA4E3" w14:textId="45E7D430"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70C9AEEB" w14:textId="4EBCA801"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151 Atención a los Pueblos Indígenas </w:t>
            </w:r>
          </w:p>
        </w:tc>
        <w:tc>
          <w:tcPr>
            <w:tcW w:w="1560" w:type="dxa"/>
          </w:tcPr>
          <w:p w14:paraId="49A6A721" w14:textId="4533C42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C87E0F9" w14:textId="1966751B" w:rsidTr="003B3EE9">
        <w:tc>
          <w:tcPr>
            <w:tcW w:w="2689" w:type="dxa"/>
          </w:tcPr>
          <w:p w14:paraId="7D0AA5CF"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118 Catastro Municipal </w:t>
            </w:r>
          </w:p>
        </w:tc>
        <w:tc>
          <w:tcPr>
            <w:tcW w:w="1559" w:type="dxa"/>
          </w:tcPr>
          <w:p w14:paraId="4508952D" w14:textId="59589BB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68A93D45" w14:textId="36860ECC"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152 Atención a la Mujer </w:t>
            </w:r>
          </w:p>
        </w:tc>
        <w:tc>
          <w:tcPr>
            <w:tcW w:w="1560" w:type="dxa"/>
          </w:tcPr>
          <w:p w14:paraId="0AA757AA" w14:textId="6DF9D5E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44B0A1E3" w14:textId="50DAD9D7" w:rsidTr="003B3EE9">
        <w:tc>
          <w:tcPr>
            <w:tcW w:w="2689" w:type="dxa"/>
          </w:tcPr>
          <w:p w14:paraId="23CE8427"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119 Contabilidad </w:t>
            </w:r>
          </w:p>
        </w:tc>
        <w:tc>
          <w:tcPr>
            <w:tcW w:w="1559" w:type="dxa"/>
          </w:tcPr>
          <w:p w14:paraId="0E665947" w14:textId="7B2CD77F"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07FEAFED" w14:textId="4FF2792E"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153 Atención a la Salud </w:t>
            </w:r>
          </w:p>
        </w:tc>
        <w:tc>
          <w:tcPr>
            <w:tcW w:w="1560" w:type="dxa"/>
          </w:tcPr>
          <w:p w14:paraId="76E3F913" w14:textId="2490CE4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63739E75" w14:textId="22D7444B" w:rsidTr="003B3EE9">
        <w:tc>
          <w:tcPr>
            <w:tcW w:w="2689" w:type="dxa"/>
          </w:tcPr>
          <w:p w14:paraId="473F5383"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120 Administración y Desarrollo de Personal </w:t>
            </w:r>
          </w:p>
        </w:tc>
        <w:tc>
          <w:tcPr>
            <w:tcW w:w="1559" w:type="dxa"/>
          </w:tcPr>
          <w:p w14:paraId="2E4D6796" w14:textId="06A2A2C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611B783" w14:textId="241FC815"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154 Vialidad y Transporte </w:t>
            </w:r>
          </w:p>
        </w:tc>
        <w:tc>
          <w:tcPr>
            <w:tcW w:w="1560" w:type="dxa"/>
          </w:tcPr>
          <w:p w14:paraId="3763A46C" w14:textId="62471459"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4C085F09" w14:textId="04A79F66" w:rsidTr="003B3EE9">
        <w:tc>
          <w:tcPr>
            <w:tcW w:w="2689" w:type="dxa"/>
          </w:tcPr>
          <w:p w14:paraId="6592CE7C"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121 Recursos Materiales </w:t>
            </w:r>
          </w:p>
        </w:tc>
        <w:tc>
          <w:tcPr>
            <w:tcW w:w="1559" w:type="dxa"/>
          </w:tcPr>
          <w:p w14:paraId="0A7D9C7E" w14:textId="64C13B91"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2602303C" w14:textId="724B9675"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155 Área Jurídica </w:t>
            </w:r>
          </w:p>
        </w:tc>
        <w:tc>
          <w:tcPr>
            <w:tcW w:w="1560" w:type="dxa"/>
          </w:tcPr>
          <w:p w14:paraId="2D9ACF91" w14:textId="5BE472E5"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4D8995F2" w14:textId="2719BA67" w:rsidTr="003B3EE9">
        <w:tc>
          <w:tcPr>
            <w:tcW w:w="2689" w:type="dxa"/>
          </w:tcPr>
          <w:p w14:paraId="7832BD00"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122 Unidad de Transparencia </w:t>
            </w:r>
          </w:p>
        </w:tc>
        <w:tc>
          <w:tcPr>
            <w:tcW w:w="1559" w:type="dxa"/>
          </w:tcPr>
          <w:p w14:paraId="00795CF2" w14:textId="71B6DFD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71A5323C" w14:textId="58D7F59F"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156 Suministro de Agua Potable </w:t>
            </w:r>
          </w:p>
        </w:tc>
        <w:tc>
          <w:tcPr>
            <w:tcW w:w="1560" w:type="dxa"/>
          </w:tcPr>
          <w:p w14:paraId="2110DB42" w14:textId="26E4AEF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65F73C8A" w14:textId="1EB844A7" w:rsidTr="003B3EE9">
        <w:tc>
          <w:tcPr>
            <w:tcW w:w="2689" w:type="dxa"/>
          </w:tcPr>
          <w:p w14:paraId="324A42F3"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123 Desarrollo Urbano </w:t>
            </w:r>
          </w:p>
        </w:tc>
        <w:tc>
          <w:tcPr>
            <w:tcW w:w="1559" w:type="dxa"/>
          </w:tcPr>
          <w:p w14:paraId="5D65BDC2" w14:textId="5B9757D9"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31823A99" w14:textId="6FF6BCFC"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157 Drenaje y Saneamiento </w:t>
            </w:r>
          </w:p>
        </w:tc>
        <w:tc>
          <w:tcPr>
            <w:tcW w:w="1560" w:type="dxa"/>
          </w:tcPr>
          <w:p w14:paraId="1E2E6DB2" w14:textId="34361BF1"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506BC8B9" w14:textId="763313E3" w:rsidTr="003B3EE9">
        <w:tc>
          <w:tcPr>
            <w:tcW w:w="2689" w:type="dxa"/>
          </w:tcPr>
          <w:p w14:paraId="58DA7949"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124 Obras Públicas </w:t>
            </w:r>
          </w:p>
        </w:tc>
        <w:tc>
          <w:tcPr>
            <w:tcW w:w="1559" w:type="dxa"/>
          </w:tcPr>
          <w:p w14:paraId="2855A420" w14:textId="1C9956B1"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D95D9FE" w14:textId="67BD02C9"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158 Tránsito </w:t>
            </w:r>
          </w:p>
        </w:tc>
        <w:tc>
          <w:tcPr>
            <w:tcW w:w="1560" w:type="dxa"/>
          </w:tcPr>
          <w:p w14:paraId="208EDD95" w14:textId="34988D03"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70BA6C70" w14:textId="23D7692F" w:rsidTr="003B3EE9">
        <w:tc>
          <w:tcPr>
            <w:tcW w:w="2689" w:type="dxa"/>
          </w:tcPr>
          <w:p w14:paraId="52004DED"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125 Servicios Públicos </w:t>
            </w:r>
          </w:p>
        </w:tc>
        <w:tc>
          <w:tcPr>
            <w:tcW w:w="1559" w:type="dxa"/>
          </w:tcPr>
          <w:p w14:paraId="4AEAFA5E" w14:textId="1DDF9DA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c>
          <w:tcPr>
            <w:tcW w:w="3118" w:type="dxa"/>
          </w:tcPr>
          <w:p w14:paraId="382F5202" w14:textId="5920C0F2"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159 Secretaría Técnica de Seguridad Pública </w:t>
            </w:r>
          </w:p>
        </w:tc>
        <w:tc>
          <w:tcPr>
            <w:tcW w:w="1560" w:type="dxa"/>
          </w:tcPr>
          <w:p w14:paraId="19EAF190" w14:textId="5B668D58"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1852B602" w14:textId="6541F1B5" w:rsidTr="003B3EE9">
        <w:tc>
          <w:tcPr>
            <w:tcW w:w="2689" w:type="dxa"/>
          </w:tcPr>
          <w:p w14:paraId="3ADF01BE"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126 Limpia </w:t>
            </w:r>
          </w:p>
        </w:tc>
        <w:tc>
          <w:tcPr>
            <w:tcW w:w="1559" w:type="dxa"/>
          </w:tcPr>
          <w:p w14:paraId="45CDE0DC" w14:textId="7A738E1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E07F34C" w14:textId="5896DB4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160 Prevención y Control Ambiental </w:t>
            </w:r>
          </w:p>
        </w:tc>
        <w:tc>
          <w:tcPr>
            <w:tcW w:w="1560" w:type="dxa"/>
          </w:tcPr>
          <w:p w14:paraId="2DE2A923" w14:textId="55478404"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5407B56D" w14:textId="6B7F6B45" w:rsidTr="003B3EE9">
        <w:tc>
          <w:tcPr>
            <w:tcW w:w="2689" w:type="dxa"/>
          </w:tcPr>
          <w:p w14:paraId="381D385A"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127 Alumbrado Público </w:t>
            </w:r>
          </w:p>
        </w:tc>
        <w:tc>
          <w:tcPr>
            <w:tcW w:w="1559" w:type="dxa"/>
          </w:tcPr>
          <w:p w14:paraId="3410A091" w14:textId="3E1FF45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89124A0" w14:textId="2E672B0E"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161 Unidad Substanciadora y Resolutora </w:t>
            </w:r>
          </w:p>
        </w:tc>
        <w:tc>
          <w:tcPr>
            <w:tcW w:w="1560" w:type="dxa"/>
          </w:tcPr>
          <w:p w14:paraId="124321D1" w14:textId="02015DE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r>
      <w:tr w:rsidR="009733DE" w:rsidRPr="00406B11" w14:paraId="023CC963" w14:textId="34750A32" w:rsidTr="003B3EE9">
        <w:tc>
          <w:tcPr>
            <w:tcW w:w="2689" w:type="dxa"/>
          </w:tcPr>
          <w:p w14:paraId="46C8038B"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128 Parques y Jardines </w:t>
            </w:r>
          </w:p>
        </w:tc>
        <w:tc>
          <w:tcPr>
            <w:tcW w:w="1559" w:type="dxa"/>
          </w:tcPr>
          <w:p w14:paraId="1D019E38" w14:textId="6AEE30C8"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6D9E72B1" w14:textId="46EB8004"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162 Unidad Investigadora </w:t>
            </w:r>
          </w:p>
        </w:tc>
        <w:tc>
          <w:tcPr>
            <w:tcW w:w="1560" w:type="dxa"/>
          </w:tcPr>
          <w:p w14:paraId="0914EDA5" w14:textId="0844B1BC"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2140517F" w14:textId="02ED7F61" w:rsidTr="003B3EE9">
        <w:tc>
          <w:tcPr>
            <w:tcW w:w="2689" w:type="dxa"/>
          </w:tcPr>
          <w:p w14:paraId="71067EEE"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129 Control Antirrábico y Bienestar Animal </w:t>
            </w:r>
          </w:p>
        </w:tc>
        <w:tc>
          <w:tcPr>
            <w:tcW w:w="1559" w:type="dxa"/>
          </w:tcPr>
          <w:p w14:paraId="6D86AED2" w14:textId="4ED24DCF"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6DA707EB" w14:textId="539B01AD"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163 Planeación </w:t>
            </w:r>
          </w:p>
        </w:tc>
        <w:tc>
          <w:tcPr>
            <w:tcW w:w="1560" w:type="dxa"/>
          </w:tcPr>
          <w:p w14:paraId="6C3C54B2" w14:textId="4F54871B"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3676EA22" w14:textId="618A342A" w:rsidTr="003B3EE9">
        <w:tc>
          <w:tcPr>
            <w:tcW w:w="2689" w:type="dxa"/>
          </w:tcPr>
          <w:p w14:paraId="3B83483C"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130 Desarrollo Agrícola y Ganadero </w:t>
            </w:r>
          </w:p>
        </w:tc>
        <w:tc>
          <w:tcPr>
            <w:tcW w:w="1559" w:type="dxa"/>
          </w:tcPr>
          <w:p w14:paraId="50B6C744" w14:textId="74FFE06D"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337A922" w14:textId="7C9C3D16"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164 Programas Sociales </w:t>
            </w:r>
          </w:p>
        </w:tc>
        <w:tc>
          <w:tcPr>
            <w:tcW w:w="1560" w:type="dxa"/>
          </w:tcPr>
          <w:p w14:paraId="0E0017A3" w14:textId="5FEA9876"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No</w:t>
            </w:r>
          </w:p>
        </w:tc>
      </w:tr>
      <w:tr w:rsidR="009733DE" w:rsidRPr="00406B11" w14:paraId="3CAAE43C" w14:textId="34977CAA" w:rsidTr="003B3EE9">
        <w:tc>
          <w:tcPr>
            <w:tcW w:w="2689" w:type="dxa"/>
          </w:tcPr>
          <w:p w14:paraId="0B00E702"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131 Fomento Industrial </w:t>
            </w:r>
          </w:p>
        </w:tc>
        <w:tc>
          <w:tcPr>
            <w:tcW w:w="1559" w:type="dxa"/>
          </w:tcPr>
          <w:p w14:paraId="26B46F51" w14:textId="1751BAD3"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127907E5"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c>
          <w:tcPr>
            <w:tcW w:w="1560" w:type="dxa"/>
          </w:tcPr>
          <w:p w14:paraId="3296654B" w14:textId="496067C0"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r>
      <w:tr w:rsidR="009733DE" w:rsidRPr="00406B11" w14:paraId="17E424E0" w14:textId="4EB8B86D" w:rsidTr="003B3EE9">
        <w:tc>
          <w:tcPr>
            <w:tcW w:w="2689" w:type="dxa"/>
          </w:tcPr>
          <w:p w14:paraId="0302A798"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r w:rsidRPr="00406B11">
              <w:rPr>
                <w:rFonts w:ascii="Palatino Linotype" w:hAnsi="Palatino Linotype"/>
                <w:sz w:val="16"/>
                <w:szCs w:val="16"/>
              </w:rPr>
              <w:t xml:space="preserve">132 Desarrollo Comercial y de Servicios </w:t>
            </w:r>
          </w:p>
        </w:tc>
        <w:tc>
          <w:tcPr>
            <w:tcW w:w="1559" w:type="dxa"/>
          </w:tcPr>
          <w:p w14:paraId="11EFC28B" w14:textId="3578E2A1"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0B71745F"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c>
          <w:tcPr>
            <w:tcW w:w="1560" w:type="dxa"/>
          </w:tcPr>
          <w:p w14:paraId="1F8800B2" w14:textId="4830992F"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r>
      <w:tr w:rsidR="001555D8" w:rsidRPr="00406B11" w14:paraId="649219D6" w14:textId="3F8F7100" w:rsidTr="003B3EE9">
        <w:tc>
          <w:tcPr>
            <w:tcW w:w="2689" w:type="dxa"/>
          </w:tcPr>
          <w:p w14:paraId="266750C3" w14:textId="77777777" w:rsidR="001555D8" w:rsidRPr="00406B11" w:rsidRDefault="001555D8" w:rsidP="001555D8">
            <w:pPr>
              <w:pStyle w:val="NormalWeb"/>
              <w:spacing w:before="0" w:beforeAutospacing="0" w:after="0" w:afterAutospacing="0" w:line="360" w:lineRule="auto"/>
              <w:jc w:val="both"/>
              <w:rPr>
                <w:rFonts w:ascii="Palatino Linotype" w:eastAsia="Palatino Linotype" w:hAnsi="Palatino Linotype" w:cs="Palatino Linotype"/>
                <w:bCs/>
                <w:sz w:val="16"/>
                <w:szCs w:val="16"/>
              </w:rPr>
            </w:pPr>
            <w:r w:rsidRPr="00406B11">
              <w:rPr>
                <w:rFonts w:ascii="Palatino Linotype" w:hAnsi="Palatino Linotype"/>
                <w:sz w:val="16"/>
                <w:szCs w:val="16"/>
              </w:rPr>
              <w:t>133 Fomento Artesanal</w:t>
            </w:r>
          </w:p>
        </w:tc>
        <w:tc>
          <w:tcPr>
            <w:tcW w:w="1559" w:type="dxa"/>
          </w:tcPr>
          <w:p w14:paraId="484AA374" w14:textId="799B1A3E" w:rsidR="001555D8" w:rsidRPr="00406B11" w:rsidRDefault="001555D8" w:rsidP="001555D8">
            <w:pPr>
              <w:pStyle w:val="NormalWeb"/>
              <w:spacing w:before="0" w:beforeAutospacing="0" w:after="0" w:afterAutospacing="0" w:line="360" w:lineRule="auto"/>
              <w:jc w:val="center"/>
              <w:rPr>
                <w:rFonts w:ascii="Palatino Linotype" w:hAnsi="Palatino Linotype"/>
                <w:sz w:val="16"/>
                <w:szCs w:val="16"/>
              </w:rPr>
            </w:pPr>
            <w:r w:rsidRPr="00406B11">
              <w:rPr>
                <w:rFonts w:ascii="Palatino Linotype" w:hAnsi="Palatino Linotype"/>
                <w:sz w:val="16"/>
                <w:szCs w:val="16"/>
              </w:rPr>
              <w:t>Si</w:t>
            </w:r>
          </w:p>
        </w:tc>
        <w:tc>
          <w:tcPr>
            <w:tcW w:w="3118" w:type="dxa"/>
          </w:tcPr>
          <w:p w14:paraId="402A6BB1" w14:textId="77777777"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c>
          <w:tcPr>
            <w:tcW w:w="1560" w:type="dxa"/>
          </w:tcPr>
          <w:p w14:paraId="7CEED9A6" w14:textId="1A8A2141" w:rsidR="001555D8" w:rsidRPr="00406B11" w:rsidRDefault="001555D8" w:rsidP="001555D8">
            <w:pPr>
              <w:pStyle w:val="NormalWeb"/>
              <w:spacing w:before="0" w:beforeAutospacing="0" w:after="0" w:afterAutospacing="0" w:line="360" w:lineRule="auto"/>
              <w:jc w:val="both"/>
              <w:rPr>
                <w:rFonts w:ascii="Palatino Linotype" w:hAnsi="Palatino Linotype"/>
                <w:sz w:val="16"/>
                <w:szCs w:val="16"/>
              </w:rPr>
            </w:pPr>
          </w:p>
        </w:tc>
      </w:tr>
    </w:tbl>
    <w:p w14:paraId="313CFAE2" w14:textId="77777777" w:rsidR="00E82366" w:rsidRPr="00406B11" w:rsidRDefault="00E82366" w:rsidP="00210FBC">
      <w:pPr>
        <w:pStyle w:val="NormalWeb"/>
        <w:spacing w:before="0" w:beforeAutospacing="0" w:after="0" w:afterAutospacing="0" w:line="360" w:lineRule="auto"/>
        <w:jc w:val="both"/>
        <w:rPr>
          <w:rFonts w:ascii="Palatino Linotype" w:eastAsia="Palatino Linotype" w:hAnsi="Palatino Linotype" w:cs="Palatino Linotype"/>
          <w:bCs/>
          <w:sz w:val="22"/>
          <w:szCs w:val="22"/>
        </w:rPr>
      </w:pPr>
    </w:p>
    <w:p w14:paraId="47F4A3AC" w14:textId="422B591F" w:rsidR="00582685" w:rsidRPr="00406B11" w:rsidRDefault="00582685"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Entonces, si bien, el Sujeto Obligado, al momento de rendir el informe justificado proporcionó información que amplía la respuesta otorgando diversos PbRM-02ª de unidades administrativas, se advierte que la información se encuentra incompleta, pues comparando los documentos proporcionados con las unidades administrativas que se encuentran </w:t>
      </w:r>
      <w:r w:rsidRPr="00406B11">
        <w:rPr>
          <w:rFonts w:ascii="Palatino Linotype" w:eastAsia="Palatino Linotype" w:hAnsi="Palatino Linotype" w:cs="Palatino Linotype"/>
          <w:sz w:val="22"/>
          <w:szCs w:val="22"/>
        </w:rPr>
        <w:lastRenderedPageBreak/>
        <w:t xml:space="preserve">contempladas en el </w:t>
      </w:r>
      <w:r w:rsidR="001555D8" w:rsidRPr="00406B11">
        <w:rPr>
          <w:rFonts w:ascii="Palatino Linotype" w:eastAsia="Palatino Linotype" w:hAnsi="Palatino Linotype" w:cs="Palatino Linotype"/>
          <w:sz w:val="22"/>
          <w:szCs w:val="22"/>
        </w:rPr>
        <w:t>Manual para la Planeación, Programación y Presupuesto de Egresos Municipal 2025</w:t>
      </w:r>
      <w:r w:rsidR="00CD4C18" w:rsidRPr="00406B11">
        <w:rPr>
          <w:rFonts w:ascii="Palatino Linotype" w:eastAsia="Palatino Linotype" w:hAnsi="Palatino Linotype" w:cs="Palatino Linotype"/>
          <w:sz w:val="22"/>
          <w:szCs w:val="22"/>
        </w:rPr>
        <w:t>, se advierte discrepancia, faltan</w:t>
      </w:r>
      <w:r w:rsidR="001555D8" w:rsidRPr="00406B11">
        <w:rPr>
          <w:rFonts w:ascii="Palatino Linotype" w:eastAsia="Palatino Linotype" w:hAnsi="Palatino Linotype" w:cs="Palatino Linotype"/>
          <w:sz w:val="22"/>
          <w:szCs w:val="22"/>
        </w:rPr>
        <w:t>do</w:t>
      </w:r>
      <w:r w:rsidR="00CD4C18" w:rsidRPr="00406B11">
        <w:rPr>
          <w:rFonts w:ascii="Palatino Linotype" w:eastAsia="Palatino Linotype" w:hAnsi="Palatino Linotype" w:cs="Palatino Linotype"/>
          <w:sz w:val="22"/>
          <w:szCs w:val="22"/>
        </w:rPr>
        <w:t xml:space="preserve"> unidades administrativas de las cuales no se proporcionó información, como se ad</w:t>
      </w:r>
      <w:r w:rsidR="009515CD" w:rsidRPr="00406B11">
        <w:rPr>
          <w:rFonts w:ascii="Palatino Linotype" w:eastAsia="Palatino Linotype" w:hAnsi="Palatino Linotype" w:cs="Palatino Linotype"/>
          <w:sz w:val="22"/>
          <w:szCs w:val="22"/>
        </w:rPr>
        <w:t>vierte en el cuadro comparativo, tales como</w:t>
      </w:r>
      <w:r w:rsidR="001555D8" w:rsidRPr="00406B11">
        <w:rPr>
          <w:rFonts w:ascii="Palatino Linotype" w:eastAsia="Palatino Linotype" w:hAnsi="Palatino Linotype" w:cs="Palatino Linotype"/>
          <w:sz w:val="22"/>
          <w:szCs w:val="22"/>
        </w:rPr>
        <w:t xml:space="preserve"> Comunicación Social, Planeación, Salud, Seguridad Pública y Tránsito, Derechos Humanos, Servicios Públicos</w:t>
      </w:r>
      <w:r w:rsidR="009515CD" w:rsidRPr="00406B11">
        <w:rPr>
          <w:rFonts w:ascii="Palatino Linotype" w:eastAsia="Palatino Linotype" w:hAnsi="Palatino Linotype" w:cs="Palatino Linotype"/>
          <w:sz w:val="22"/>
          <w:szCs w:val="22"/>
        </w:rPr>
        <w:t>, entre otras.</w:t>
      </w:r>
    </w:p>
    <w:p w14:paraId="2218FD0D" w14:textId="0DA1E861" w:rsidR="00D4115C" w:rsidRPr="00406B11" w:rsidRDefault="00D4115C"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Dicho lo anterior, es necesario precisar que, las unidades administrativas que integran la estructura orgánica del Municipio son contempladas como dependencias auxiliares y generales, de conformidad con el Manual para la Planeación, Programación y Presupuesto de Egresos Municipal, de la siguiente manera:</w:t>
      </w:r>
    </w:p>
    <w:p w14:paraId="1FDE96DC" w14:textId="77777777" w:rsidR="00D4115C" w:rsidRPr="00406B11" w:rsidRDefault="00D4115C" w:rsidP="00D4115C">
      <w:pPr>
        <w:spacing w:after="240" w:line="360" w:lineRule="auto"/>
        <w:ind w:left="284" w:right="49"/>
        <w:jc w:val="both"/>
        <w:rPr>
          <w:i/>
          <w:sz w:val="22"/>
        </w:rPr>
      </w:pPr>
      <w:r w:rsidRPr="00406B11">
        <w:rPr>
          <w:b/>
          <w:i/>
          <w:sz w:val="22"/>
        </w:rPr>
        <w:t>Dependencia Auxiliar:</w:t>
      </w:r>
      <w:r w:rsidRPr="00406B11">
        <w:rPr>
          <w:i/>
          <w:sz w:val="22"/>
        </w:rPr>
        <w:t xml:space="preserve"> Unidad administrativa subordinada directamente de la Dependencia General, en la cual se desconcentra parte del ejercicio fiscal presupuestario, con el objeto de cumplir con eficiencia la misión encomendada. </w:t>
      </w:r>
    </w:p>
    <w:p w14:paraId="577F7809" w14:textId="394E4712" w:rsidR="00D4115C" w:rsidRPr="00406B11" w:rsidRDefault="00D4115C" w:rsidP="00D4115C">
      <w:pPr>
        <w:spacing w:after="240" w:line="360" w:lineRule="auto"/>
        <w:ind w:left="284" w:right="49"/>
        <w:jc w:val="both"/>
        <w:rPr>
          <w:rFonts w:ascii="Palatino Linotype" w:eastAsia="Palatino Linotype" w:hAnsi="Palatino Linotype" w:cs="Palatino Linotype"/>
          <w:i/>
          <w:sz w:val="20"/>
          <w:szCs w:val="22"/>
        </w:rPr>
      </w:pPr>
      <w:r w:rsidRPr="00406B11">
        <w:rPr>
          <w:b/>
          <w:i/>
          <w:sz w:val="22"/>
        </w:rPr>
        <w:t>Dependencia General:</w:t>
      </w:r>
      <w:r w:rsidRPr="00406B11">
        <w:rPr>
          <w:i/>
          <w:sz w:val="22"/>
        </w:rPr>
        <w:t xml:space="preserve"> Unidad administrativa subordinada directamente al Presidente Municipal Constitucional que se encarga de dirigir, controlar y evaluar las disposiciones administrativas, así como del despacho de los asuntos que tiene encomendados en su figura de Dependencia General, que para este caso son Secretaría del Ayuntamiento, Administración, Desarrollo Urbano y Obras Públicas, por mencionar sólo algunos ejemplos</w:t>
      </w:r>
    </w:p>
    <w:p w14:paraId="717690ED" w14:textId="21849282" w:rsidR="009515CD" w:rsidRPr="00406B11" w:rsidRDefault="00D4115C"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Entendiéndose que las Dependencias Generales son las Direcciones o áreas que dependen directamente de Presidencia, mientras que las Dependencias Auxiliares son las que dependen de las Direcciones Generales como coordinaciones, jefaturas, subdirecciones, entre otras.</w:t>
      </w:r>
    </w:p>
    <w:p w14:paraId="5F8327AC" w14:textId="2A97C859" w:rsidR="001555D8" w:rsidRPr="00406B11" w:rsidRDefault="001555D8"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Además, el Manual para la Planeación, Programación y Presupuesto de Egresos Municipal establece lo siguiente:</w:t>
      </w:r>
    </w:p>
    <w:p w14:paraId="57F7081E" w14:textId="77777777" w:rsidR="001555D8" w:rsidRPr="00406B11" w:rsidRDefault="001555D8" w:rsidP="001555D8">
      <w:pPr>
        <w:spacing w:after="240" w:line="360" w:lineRule="auto"/>
        <w:ind w:left="567" w:right="850"/>
        <w:jc w:val="both"/>
        <w:rPr>
          <w:rFonts w:ascii="Palatino Linotype" w:hAnsi="Palatino Linotype"/>
          <w:i/>
          <w:sz w:val="22"/>
        </w:rPr>
      </w:pPr>
      <w:r w:rsidRPr="00406B11">
        <w:rPr>
          <w:rFonts w:ascii="Palatino Linotype" w:hAnsi="Palatino Linotype"/>
          <w:i/>
          <w:sz w:val="22"/>
        </w:rPr>
        <w:t xml:space="preserve">1. La Tesorería y la UIPPE serán, en el ámbito de sus competencias, los responsables de coordinar los trabajos del Anteproyecto de presupuesto egresos de las Dependencias Generales, Auxiliares y Organismos Municipales, para posteriormente integrar el </w:t>
      </w:r>
      <w:r w:rsidRPr="00406B11">
        <w:rPr>
          <w:rFonts w:ascii="Palatino Linotype" w:hAnsi="Palatino Linotype"/>
          <w:i/>
          <w:sz w:val="22"/>
        </w:rPr>
        <w:lastRenderedPageBreak/>
        <w:t xml:space="preserve">Proyecto de Presupuesto de Egresos Municipal, que la o el Presidente Municipal presentará para análisis, discusión y eventual aprobación por parte del Cabildo. Es importante mencionar que en caso de no existir UIPPE, los servidores públicos serán los responsables de realizar dichas funciones. </w:t>
      </w:r>
    </w:p>
    <w:p w14:paraId="6D8BA285" w14:textId="77777777" w:rsidR="001555D8" w:rsidRPr="00406B11" w:rsidRDefault="001555D8" w:rsidP="001555D8">
      <w:pPr>
        <w:spacing w:after="240" w:line="360" w:lineRule="auto"/>
        <w:ind w:left="567" w:right="850"/>
        <w:jc w:val="both"/>
        <w:rPr>
          <w:rFonts w:ascii="Palatino Linotype" w:hAnsi="Palatino Linotype"/>
          <w:i/>
          <w:sz w:val="22"/>
        </w:rPr>
      </w:pPr>
      <w:r w:rsidRPr="00406B11">
        <w:rPr>
          <w:rFonts w:ascii="Palatino Linotype" w:hAnsi="Palatino Linotype"/>
          <w:b/>
          <w:i/>
          <w:sz w:val="22"/>
        </w:rPr>
        <w:t>2. Las Dependencias Generales, Auxiliares y Organismos Municipales o similares, deben integrar y presentar a la UIPPE y Tesorería sus respectivos anteproyectos</w:t>
      </w:r>
      <w:r w:rsidRPr="00406B11">
        <w:rPr>
          <w:rFonts w:ascii="Palatino Linotype" w:hAnsi="Palatino Linotype"/>
          <w:i/>
          <w:sz w:val="22"/>
        </w:rPr>
        <w:t xml:space="preserve"> de acuerdo con el presente manual, identificando la congruencia con el PDM vigente y la asignación de los recursos públicos,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 </w:t>
      </w:r>
    </w:p>
    <w:p w14:paraId="48DB86E8" w14:textId="77777777" w:rsidR="006F17BC" w:rsidRPr="00406B11" w:rsidRDefault="001555D8" w:rsidP="001555D8">
      <w:pPr>
        <w:spacing w:after="240" w:line="360" w:lineRule="auto"/>
        <w:ind w:left="567" w:right="850"/>
        <w:jc w:val="both"/>
        <w:rPr>
          <w:rFonts w:ascii="Palatino Linotype" w:hAnsi="Palatino Linotype"/>
          <w:i/>
          <w:sz w:val="22"/>
        </w:rPr>
      </w:pPr>
      <w:r w:rsidRPr="00406B11">
        <w:rPr>
          <w:rFonts w:ascii="Palatino Linotype" w:hAnsi="Palatino Linotype"/>
          <w:i/>
          <w:sz w:val="22"/>
        </w:rPr>
        <w:t xml:space="preserve">3. El Proyecto de Presupuesto de Egresos es considerado una herramienta de programación anual, deberá contener sus respectivos objetivos, metas de actividad e indicadores, mismos que deberán vincularse al Plan de Desarrollo Municipal correspondiente. </w:t>
      </w:r>
    </w:p>
    <w:p w14:paraId="26C64360" w14:textId="28D35770" w:rsidR="009515CD" w:rsidRPr="00406B11" w:rsidRDefault="001555D8" w:rsidP="001555D8">
      <w:pPr>
        <w:spacing w:after="240" w:line="360" w:lineRule="auto"/>
        <w:ind w:left="567" w:right="850"/>
        <w:jc w:val="both"/>
        <w:rPr>
          <w:rFonts w:ascii="Palatino Linotype" w:eastAsia="Palatino Linotype" w:hAnsi="Palatino Linotype" w:cs="Palatino Linotype"/>
          <w:i/>
          <w:sz w:val="20"/>
          <w:szCs w:val="22"/>
        </w:rPr>
      </w:pPr>
      <w:r w:rsidRPr="00406B11">
        <w:rPr>
          <w:rFonts w:ascii="Palatino Linotype" w:hAnsi="Palatino Linotype"/>
          <w:b/>
          <w:i/>
          <w:sz w:val="22"/>
        </w:rPr>
        <w:t>4. Las Dependencias Generales, Auxiliares y Organismos formularán su Anteproyecto de Presupuesto de Egresos</w:t>
      </w:r>
      <w:r w:rsidRPr="00406B11">
        <w:rPr>
          <w:rFonts w:ascii="Palatino Linotype" w:hAnsi="Palatino Linotype"/>
          <w:i/>
          <w:sz w:val="22"/>
        </w:rPr>
        <w:t xml:space="preserve"> con estricto apego al marco jurídico y normativo aplicable, ajustándose al techo presupuestario que la Tesorería comunique, aplicando criterios de racionalidad para la programación de recursos a cada proyecto, de acuerdo al catálogo de la estructura programática municipal, capítulo y partida del </w:t>
      </w:r>
      <w:r w:rsidRPr="00406B11">
        <w:rPr>
          <w:rFonts w:ascii="Palatino Linotype" w:hAnsi="Palatino Linotype"/>
          <w:i/>
          <w:sz w:val="22"/>
        </w:rPr>
        <w:lastRenderedPageBreak/>
        <w:t>gasto, a fin de que les permita desarrollar y cumplir los procesos sustantivos y prioritarios comprometidos en el Programa Anual.</w:t>
      </w:r>
    </w:p>
    <w:p w14:paraId="1F137080" w14:textId="53E2EED0" w:rsidR="009515CD" w:rsidRPr="00406B11" w:rsidRDefault="001555D8"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La UIPPE o unidad administrativa equivalente es el área responsable de coordinar los trabajos</w:t>
      </w:r>
      <w:r w:rsidR="006F17BC" w:rsidRPr="00406B11">
        <w:rPr>
          <w:rFonts w:ascii="Palatino Linotype" w:eastAsia="Palatino Linotype" w:hAnsi="Palatino Linotype" w:cs="Palatino Linotype"/>
          <w:sz w:val="22"/>
          <w:szCs w:val="22"/>
        </w:rPr>
        <w:t xml:space="preserve"> de anteproyecto, el cual están obligados a generar y presentar </w:t>
      </w:r>
      <w:r w:rsidRPr="00406B11">
        <w:rPr>
          <w:rFonts w:ascii="Palatino Linotype" w:eastAsia="Palatino Linotype" w:hAnsi="Palatino Linotype" w:cs="Palatino Linotype"/>
          <w:sz w:val="22"/>
          <w:szCs w:val="22"/>
        </w:rPr>
        <w:t>las dependencias generales, auxi</w:t>
      </w:r>
      <w:r w:rsidR="006F17BC" w:rsidRPr="00406B11">
        <w:rPr>
          <w:rFonts w:ascii="Palatino Linotype" w:eastAsia="Palatino Linotype" w:hAnsi="Palatino Linotype" w:cs="Palatino Linotype"/>
          <w:sz w:val="22"/>
          <w:szCs w:val="22"/>
        </w:rPr>
        <w:t>liares y organismos municipales, como se advierte en el propio manual de referencia.</w:t>
      </w:r>
    </w:p>
    <w:p w14:paraId="43F0751C" w14:textId="02BFDE72" w:rsidR="006F17BC" w:rsidRPr="00406B11" w:rsidRDefault="006F17BC"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Entonces, al ser una obligación tanto de las Direcciones Generales y Auxiliares entregar el ante proyecto a la UIPPE o unidad administrativa equivalente, dentro del cual se encuentra el formato PbRM-02ª denominado Calendarización de Metas de Actividad por Proyecto, es que se determina que las áreas faltantes deben generar, administrar y poseer dicha información.</w:t>
      </w:r>
    </w:p>
    <w:p w14:paraId="2525DFE4" w14:textId="7E96EBD2" w:rsidR="00CD4C18" w:rsidRPr="00406B11" w:rsidRDefault="00CD4C18" w:rsidP="00210FBC">
      <w:pPr>
        <w:spacing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En consecuencia, se ORDENA realizar una nueva búsqueda exhaustiva y razonable a efecto de localizar y poner a disposición del Recurrente los documentos donde consten los PbRM-02ª de las unidades administrativas faltantes.</w:t>
      </w:r>
    </w:p>
    <w:p w14:paraId="403C343B" w14:textId="38A0DAA3" w:rsidR="00CB6050" w:rsidRPr="00406B11" w:rsidRDefault="00CB6050" w:rsidP="008C2BDE">
      <w:pPr>
        <w:spacing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CB4507C" w:rsidR="003D4131" w:rsidRPr="00406B11"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4" w:name="_heading=h.lnxbz9" w:colFirst="0" w:colLast="0"/>
      <w:bookmarkEnd w:id="4"/>
      <w:r w:rsidRPr="00406B11">
        <w:rPr>
          <w:rFonts w:ascii="Palatino Linotype" w:eastAsia="Palatino Linotype" w:hAnsi="Palatino Linotype" w:cs="Palatino Linotype"/>
          <w:b/>
          <w:sz w:val="22"/>
          <w:szCs w:val="22"/>
        </w:rPr>
        <w:t>III. R E S U E L V E</w:t>
      </w:r>
    </w:p>
    <w:p w14:paraId="79643EAC" w14:textId="20A6E13D" w:rsidR="003D4131" w:rsidRPr="00406B11" w:rsidRDefault="003D4131" w:rsidP="008C2BDE">
      <w:pPr>
        <w:spacing w:before="240" w:after="240" w:line="360" w:lineRule="auto"/>
        <w:jc w:val="both"/>
        <w:rPr>
          <w:rFonts w:ascii="Palatino Linotype" w:eastAsia="Palatino Linotype" w:hAnsi="Palatino Linotype" w:cs="Palatino Linotype"/>
          <w:sz w:val="22"/>
          <w:szCs w:val="22"/>
        </w:rPr>
      </w:pPr>
      <w:bookmarkStart w:id="5" w:name="_heading=h.1fob9te" w:colFirst="0" w:colLast="0"/>
      <w:bookmarkEnd w:id="5"/>
      <w:r w:rsidRPr="00406B11">
        <w:rPr>
          <w:rFonts w:ascii="Palatino Linotype" w:eastAsia="Palatino Linotype" w:hAnsi="Palatino Linotype" w:cs="Palatino Linotype"/>
          <w:b/>
          <w:sz w:val="22"/>
          <w:szCs w:val="22"/>
        </w:rPr>
        <w:t xml:space="preserve">Primero. </w:t>
      </w:r>
      <w:r w:rsidRPr="00406B11">
        <w:rPr>
          <w:rFonts w:ascii="Palatino Linotype" w:eastAsia="Palatino Linotype" w:hAnsi="Palatino Linotype" w:cs="Palatino Linotype"/>
          <w:sz w:val="22"/>
          <w:szCs w:val="22"/>
        </w:rPr>
        <w:t xml:space="preserve">Resultan </w:t>
      </w:r>
      <w:r w:rsidRPr="00406B11">
        <w:rPr>
          <w:rFonts w:ascii="Palatino Linotype" w:eastAsia="Palatino Linotype" w:hAnsi="Palatino Linotype" w:cs="Palatino Linotype"/>
          <w:b/>
          <w:sz w:val="22"/>
          <w:szCs w:val="22"/>
        </w:rPr>
        <w:t>fundadas</w:t>
      </w:r>
      <w:r w:rsidRPr="00406B11">
        <w:rPr>
          <w:rFonts w:ascii="Palatino Linotype" w:eastAsia="Palatino Linotype" w:hAnsi="Palatino Linotype" w:cs="Palatino Linotype"/>
          <w:sz w:val="22"/>
          <w:szCs w:val="22"/>
        </w:rPr>
        <w:t xml:space="preserve"> las razones o motivos de inconformidad hechos valer por </w:t>
      </w:r>
      <w:r w:rsidRPr="00406B11">
        <w:rPr>
          <w:rFonts w:ascii="Palatino Linotype" w:eastAsia="Palatino Linotype" w:hAnsi="Palatino Linotype" w:cs="Palatino Linotype"/>
          <w:b/>
          <w:sz w:val="22"/>
          <w:szCs w:val="22"/>
        </w:rPr>
        <w:t>la parte Recurrente</w:t>
      </w:r>
      <w:r w:rsidRPr="00406B11">
        <w:rPr>
          <w:rFonts w:ascii="Palatino Linotype" w:eastAsia="Palatino Linotype" w:hAnsi="Palatino Linotype" w:cs="Palatino Linotype"/>
          <w:sz w:val="22"/>
          <w:szCs w:val="22"/>
        </w:rPr>
        <w:t xml:space="preserve"> en el recurso de revisión </w:t>
      </w:r>
      <w:r w:rsidR="003A60D6" w:rsidRPr="00406B11">
        <w:rPr>
          <w:rFonts w:ascii="Palatino Linotype" w:eastAsia="Palatino Linotype" w:hAnsi="Palatino Linotype" w:cs="Palatino Linotype"/>
          <w:b/>
          <w:sz w:val="22"/>
          <w:szCs w:val="22"/>
        </w:rPr>
        <w:t>03104/INFOEM/IP/RR/2025</w:t>
      </w:r>
      <w:r w:rsidRPr="00406B11">
        <w:rPr>
          <w:rFonts w:ascii="Palatino Linotype" w:eastAsia="Palatino Linotype" w:hAnsi="Palatino Linotype" w:cs="Palatino Linotype"/>
          <w:sz w:val="22"/>
          <w:szCs w:val="22"/>
        </w:rPr>
        <w:t xml:space="preserve">; por lo que, en términos de </w:t>
      </w:r>
      <w:r w:rsidRPr="00406B11">
        <w:rPr>
          <w:rFonts w:ascii="Palatino Linotype" w:eastAsia="Palatino Linotype" w:hAnsi="Palatino Linotype" w:cs="Palatino Linotype"/>
          <w:b/>
          <w:sz w:val="22"/>
          <w:szCs w:val="22"/>
        </w:rPr>
        <w:t>Considerando</w:t>
      </w:r>
      <w:r w:rsidRPr="00406B11">
        <w:rPr>
          <w:rFonts w:ascii="Palatino Linotype" w:eastAsia="Palatino Linotype" w:hAnsi="Palatino Linotype" w:cs="Palatino Linotype"/>
          <w:sz w:val="22"/>
          <w:szCs w:val="22"/>
        </w:rPr>
        <w:t xml:space="preserve"> </w:t>
      </w:r>
      <w:r w:rsidRPr="00406B11">
        <w:rPr>
          <w:rFonts w:ascii="Palatino Linotype" w:eastAsia="Palatino Linotype" w:hAnsi="Palatino Linotype" w:cs="Palatino Linotype"/>
          <w:b/>
          <w:sz w:val="22"/>
          <w:szCs w:val="22"/>
        </w:rPr>
        <w:t xml:space="preserve">Cuarto </w:t>
      </w:r>
      <w:r w:rsidRPr="00406B11">
        <w:rPr>
          <w:rFonts w:ascii="Palatino Linotype" w:eastAsia="Palatino Linotype" w:hAnsi="Palatino Linotype" w:cs="Palatino Linotype"/>
          <w:sz w:val="22"/>
          <w:szCs w:val="22"/>
        </w:rPr>
        <w:t xml:space="preserve">de esta resolución, se </w:t>
      </w:r>
      <w:r w:rsidR="00A3520F" w:rsidRPr="00406B11">
        <w:rPr>
          <w:rFonts w:ascii="Palatino Linotype" w:eastAsia="Palatino Linotype" w:hAnsi="Palatino Linotype" w:cs="Palatino Linotype"/>
          <w:b/>
          <w:sz w:val="22"/>
          <w:szCs w:val="22"/>
        </w:rPr>
        <w:t>REVOCA</w:t>
      </w:r>
      <w:r w:rsidRPr="00406B11">
        <w:rPr>
          <w:rFonts w:ascii="Palatino Linotype" w:eastAsia="Palatino Linotype" w:hAnsi="Palatino Linotype" w:cs="Palatino Linotype"/>
          <w:b/>
          <w:sz w:val="22"/>
          <w:szCs w:val="22"/>
        </w:rPr>
        <w:t xml:space="preserve"> </w:t>
      </w:r>
      <w:r w:rsidRPr="00406B11">
        <w:rPr>
          <w:rFonts w:ascii="Palatino Linotype" w:eastAsia="Palatino Linotype" w:hAnsi="Palatino Linotype" w:cs="Palatino Linotype"/>
          <w:sz w:val="22"/>
          <w:szCs w:val="22"/>
        </w:rPr>
        <w:t xml:space="preserve">la respuesta emitida por el </w:t>
      </w:r>
      <w:r w:rsidR="003F28C6" w:rsidRPr="00406B11">
        <w:rPr>
          <w:rFonts w:ascii="Palatino Linotype" w:eastAsia="Palatino Linotype" w:hAnsi="Palatino Linotype" w:cs="Palatino Linotype"/>
          <w:b/>
          <w:sz w:val="22"/>
          <w:szCs w:val="22"/>
        </w:rPr>
        <w:t>Sujeto Obligado.</w:t>
      </w:r>
    </w:p>
    <w:p w14:paraId="15C54F50" w14:textId="3068F7AE" w:rsidR="003D4131" w:rsidRPr="00406B11" w:rsidRDefault="003D4131" w:rsidP="008C2BDE">
      <w:pPr>
        <w:spacing w:before="240"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 xml:space="preserve">Segundo. </w:t>
      </w:r>
      <w:r w:rsidRPr="00406B11">
        <w:rPr>
          <w:rFonts w:ascii="Palatino Linotype" w:eastAsia="Palatino Linotype" w:hAnsi="Palatino Linotype" w:cs="Palatino Linotype"/>
          <w:sz w:val="22"/>
          <w:szCs w:val="22"/>
        </w:rPr>
        <w:t xml:space="preserve">Se </w:t>
      </w:r>
      <w:r w:rsidRPr="00406B11">
        <w:rPr>
          <w:rFonts w:ascii="Palatino Linotype" w:eastAsia="Palatino Linotype" w:hAnsi="Palatino Linotype" w:cs="Palatino Linotype"/>
          <w:b/>
          <w:sz w:val="22"/>
          <w:szCs w:val="22"/>
        </w:rPr>
        <w:t>Ordena</w:t>
      </w:r>
      <w:r w:rsidRPr="00406B11">
        <w:rPr>
          <w:rFonts w:ascii="Palatino Linotype" w:eastAsia="Palatino Linotype" w:hAnsi="Palatino Linotype" w:cs="Palatino Linotype"/>
          <w:sz w:val="22"/>
          <w:szCs w:val="22"/>
        </w:rPr>
        <w:t xml:space="preserve"> al </w:t>
      </w:r>
      <w:r w:rsidRPr="00406B11">
        <w:rPr>
          <w:rFonts w:ascii="Palatino Linotype" w:eastAsia="Palatino Linotype" w:hAnsi="Palatino Linotype" w:cs="Palatino Linotype"/>
          <w:b/>
          <w:sz w:val="22"/>
          <w:szCs w:val="22"/>
        </w:rPr>
        <w:t>Sujeto Obligado</w:t>
      </w:r>
      <w:r w:rsidRPr="00406B11">
        <w:rPr>
          <w:rFonts w:ascii="Palatino Linotype" w:eastAsia="Palatino Linotype" w:hAnsi="Palatino Linotype" w:cs="Palatino Linotype"/>
          <w:sz w:val="22"/>
          <w:szCs w:val="22"/>
        </w:rPr>
        <w:t xml:space="preserve">, en términos del Considerando </w:t>
      </w:r>
      <w:r w:rsidRPr="00406B11">
        <w:rPr>
          <w:rFonts w:ascii="Palatino Linotype" w:eastAsia="Palatino Linotype" w:hAnsi="Palatino Linotype" w:cs="Palatino Linotype"/>
          <w:b/>
          <w:sz w:val="22"/>
          <w:szCs w:val="22"/>
        </w:rPr>
        <w:t xml:space="preserve">Cuarto </w:t>
      </w:r>
      <w:r w:rsidRPr="00406B11">
        <w:rPr>
          <w:rFonts w:ascii="Palatino Linotype" w:eastAsia="Palatino Linotype" w:hAnsi="Palatino Linotype" w:cs="Palatino Linotype"/>
          <w:sz w:val="22"/>
          <w:szCs w:val="22"/>
        </w:rPr>
        <w:t>de esta resolución, haga entrega vía SAIMEX, la siguiente información:</w:t>
      </w:r>
    </w:p>
    <w:p w14:paraId="06A574DB" w14:textId="29F3886A" w:rsidR="0026722E" w:rsidRPr="00406B11" w:rsidRDefault="0026722E" w:rsidP="008C2BDE">
      <w:pPr>
        <w:pStyle w:val="Prrafodelista"/>
        <w:widowControl w:val="0"/>
        <w:numPr>
          <w:ilvl w:val="0"/>
          <w:numId w:val="4"/>
        </w:numPr>
        <w:tabs>
          <w:tab w:val="left" w:pos="1701"/>
          <w:tab w:val="left" w:pos="1843"/>
        </w:tabs>
        <w:spacing w:before="360" w:after="240" w:line="360" w:lineRule="auto"/>
        <w:ind w:left="567" w:right="142"/>
        <w:jc w:val="both"/>
        <w:rPr>
          <w:rFonts w:ascii="Palatino Linotype" w:eastAsia="Palatino Linotype" w:hAnsi="Palatino Linotype" w:cs="Palatino Linotype"/>
          <w:b/>
          <w:sz w:val="22"/>
          <w:szCs w:val="22"/>
        </w:rPr>
      </w:pPr>
      <w:r w:rsidRPr="00406B11">
        <w:rPr>
          <w:rFonts w:ascii="Palatino Linotype" w:eastAsia="Calibri" w:hAnsi="Palatino Linotype" w:cs="Arial"/>
          <w:b/>
          <w:sz w:val="22"/>
          <w:szCs w:val="22"/>
        </w:rPr>
        <w:lastRenderedPageBreak/>
        <w:t xml:space="preserve">PbRM-02ª de las </w:t>
      </w:r>
      <w:r w:rsidR="006F17BC" w:rsidRPr="00406B11">
        <w:rPr>
          <w:rFonts w:ascii="Palatino Linotype" w:eastAsia="Calibri" w:hAnsi="Palatino Linotype" w:cs="Arial"/>
          <w:b/>
          <w:sz w:val="22"/>
          <w:szCs w:val="22"/>
        </w:rPr>
        <w:t>Dependencias Generales y Auxiliares faltantes</w:t>
      </w:r>
      <w:r w:rsidRPr="00406B11">
        <w:rPr>
          <w:rFonts w:ascii="Palatino Linotype" w:eastAsia="Calibri" w:hAnsi="Palatino Linotype" w:cs="Arial"/>
          <w:b/>
          <w:sz w:val="22"/>
          <w:szCs w:val="22"/>
        </w:rPr>
        <w:t xml:space="preserve"> al diecisiete de febrero de dos mil veinticinco.</w:t>
      </w:r>
    </w:p>
    <w:p w14:paraId="24D8CCB5" w14:textId="77777777" w:rsidR="003D4131" w:rsidRPr="00406B11" w:rsidRDefault="003D4131"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 xml:space="preserve">Tercero.  Notifíquese vía SAIMEX, </w:t>
      </w:r>
      <w:r w:rsidRPr="00406B11">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406B11" w:rsidRDefault="003D4131" w:rsidP="008C2BDE">
      <w:pPr>
        <w:spacing w:before="240"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 xml:space="preserve">Cuarto. </w:t>
      </w:r>
      <w:r w:rsidR="00311007" w:rsidRPr="00406B11">
        <w:rPr>
          <w:rFonts w:ascii="Palatino Linotype" w:eastAsia="Palatino Linotype" w:hAnsi="Palatino Linotype" w:cs="Palatino Linotype"/>
          <w:b/>
          <w:sz w:val="22"/>
          <w:szCs w:val="22"/>
        </w:rPr>
        <w:t xml:space="preserve">Notifíquese a través del SAIMEX, </w:t>
      </w:r>
      <w:r w:rsidR="00311007" w:rsidRPr="00406B11">
        <w:rPr>
          <w:rFonts w:ascii="Palatino Linotype" w:eastAsia="Palatino Linotype" w:hAnsi="Palatino Linotype" w:cs="Palatino Linotype"/>
          <w:sz w:val="22"/>
          <w:szCs w:val="22"/>
        </w:rPr>
        <w:t>al Titular de la Unidad de Transparencia que d</w:t>
      </w:r>
      <w:r w:rsidRPr="00406B11">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406B11" w:rsidRDefault="003D4131" w:rsidP="008C2BDE">
      <w:pPr>
        <w:spacing w:before="240" w:after="240" w:line="360" w:lineRule="auto"/>
        <w:ind w:right="49"/>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b/>
          <w:sz w:val="22"/>
          <w:szCs w:val="22"/>
        </w:rPr>
        <w:t xml:space="preserve">Quinto. Notifíquese vía SAIMEX, </w:t>
      </w:r>
      <w:r w:rsidRPr="00406B11">
        <w:rPr>
          <w:rFonts w:ascii="Palatino Linotype" w:eastAsia="Palatino Linotype" w:hAnsi="Palatino Linotype" w:cs="Palatino Linotype"/>
          <w:sz w:val="22"/>
          <w:szCs w:val="22"/>
        </w:rPr>
        <w:t>a</w:t>
      </w:r>
      <w:r w:rsidRPr="00406B11">
        <w:rPr>
          <w:rFonts w:ascii="Palatino Linotype" w:eastAsia="Palatino Linotype" w:hAnsi="Palatino Linotype" w:cs="Palatino Linotype"/>
          <w:b/>
          <w:sz w:val="22"/>
          <w:szCs w:val="22"/>
        </w:rPr>
        <w:t xml:space="preserve"> la parte Recurrente</w:t>
      </w:r>
      <w:r w:rsidRPr="00406B1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406B11">
        <w:rPr>
          <w:rFonts w:ascii="Palatino Linotype" w:eastAsia="Palatino Linotype" w:hAnsi="Palatino Linotype" w:cs="Palatino Linotype"/>
          <w:sz w:val="22"/>
          <w:szCs w:val="22"/>
        </w:rPr>
        <w:t xml:space="preserve"> </w:t>
      </w:r>
    </w:p>
    <w:p w14:paraId="1915B88E" w14:textId="2F7FDAFF" w:rsidR="00AD46C7" w:rsidRPr="009733DE" w:rsidRDefault="00F2336C" w:rsidP="008C2BDE">
      <w:pPr>
        <w:spacing w:before="240" w:after="240" w:line="360" w:lineRule="auto"/>
        <w:jc w:val="both"/>
        <w:rPr>
          <w:rFonts w:ascii="Palatino Linotype" w:eastAsia="Palatino Linotype" w:hAnsi="Palatino Linotype" w:cs="Palatino Linotype"/>
          <w:sz w:val="22"/>
          <w:szCs w:val="22"/>
        </w:rPr>
      </w:pPr>
      <w:r w:rsidRPr="00406B1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406B11">
        <w:rPr>
          <w:rFonts w:ascii="Palatino Linotype" w:eastAsia="Palatino Linotype" w:hAnsi="Palatino Linotype" w:cs="Palatino Linotype"/>
          <w:sz w:val="22"/>
          <w:szCs w:val="22"/>
        </w:rPr>
        <w:lastRenderedPageBreak/>
        <w:t xml:space="preserve">GUADALUPE RAMÍREZ PEÑA; EN LA </w:t>
      </w:r>
      <w:r w:rsidR="00DE59C7" w:rsidRPr="00406B11">
        <w:rPr>
          <w:rFonts w:ascii="Palatino Linotype" w:eastAsia="Palatino Linotype" w:hAnsi="Palatino Linotype" w:cs="Palatino Linotype"/>
          <w:sz w:val="22"/>
          <w:szCs w:val="22"/>
        </w:rPr>
        <w:t xml:space="preserve">VIGÉSIMA </w:t>
      </w:r>
      <w:r w:rsidRPr="00406B11">
        <w:rPr>
          <w:rFonts w:ascii="Palatino Linotype" w:eastAsia="Palatino Linotype" w:hAnsi="Palatino Linotype" w:cs="Palatino Linotype"/>
          <w:sz w:val="22"/>
          <w:szCs w:val="22"/>
        </w:rPr>
        <w:t xml:space="preserve">ORDINARIA CELEBRADA EL </w:t>
      </w:r>
      <w:r w:rsidR="00DE59C7" w:rsidRPr="00406B11">
        <w:rPr>
          <w:rFonts w:ascii="Palatino Linotype" w:eastAsia="Palatino Linotype" w:hAnsi="Palatino Linotype" w:cs="Palatino Linotype"/>
          <w:sz w:val="22"/>
          <w:szCs w:val="22"/>
        </w:rPr>
        <w:t>CUATRO</w:t>
      </w:r>
      <w:r w:rsidR="00073DA6" w:rsidRPr="00406B11">
        <w:rPr>
          <w:rFonts w:ascii="Palatino Linotype" w:eastAsia="Palatino Linotype" w:hAnsi="Palatino Linotype" w:cs="Palatino Linotype"/>
          <w:sz w:val="22"/>
          <w:szCs w:val="22"/>
        </w:rPr>
        <w:t xml:space="preserve"> </w:t>
      </w:r>
      <w:r w:rsidRPr="00406B11">
        <w:rPr>
          <w:rFonts w:ascii="Palatino Linotype" w:eastAsia="Palatino Linotype" w:hAnsi="Palatino Linotype" w:cs="Palatino Linotype"/>
          <w:sz w:val="22"/>
          <w:szCs w:val="22"/>
        </w:rPr>
        <w:t xml:space="preserve">DE </w:t>
      </w:r>
      <w:r w:rsidR="00DE59C7" w:rsidRPr="00406B11">
        <w:rPr>
          <w:rFonts w:ascii="Palatino Linotype" w:eastAsia="Palatino Linotype" w:hAnsi="Palatino Linotype" w:cs="Palatino Linotype"/>
          <w:sz w:val="22"/>
          <w:szCs w:val="22"/>
        </w:rPr>
        <w:t>JUNIO</w:t>
      </w:r>
      <w:r w:rsidRPr="00406B11">
        <w:rPr>
          <w:rFonts w:ascii="Palatino Linotype" w:eastAsia="Palatino Linotype" w:hAnsi="Palatino Linotype" w:cs="Palatino Linotype"/>
          <w:sz w:val="22"/>
          <w:szCs w:val="22"/>
        </w:rPr>
        <w:t xml:space="preserve"> DEL DOS MIL VEINTICINCO, ANTE EL SECRETARIO TÉCNICO DEL PLENO ALEXIS TAPIA RAMÍREZ.</w:t>
      </w:r>
      <w:r w:rsidR="00535612" w:rsidRPr="009733DE">
        <w:rPr>
          <w:rFonts w:ascii="Palatino Linotype" w:eastAsia="Palatino Linotype" w:hAnsi="Palatino Linotype" w:cs="Palatino Linotype"/>
          <w:sz w:val="22"/>
          <w:szCs w:val="22"/>
        </w:rPr>
        <w:t xml:space="preserve"> </w:t>
      </w:r>
    </w:p>
    <w:p w14:paraId="7155D2AF" w14:textId="77777777" w:rsidR="00AD46C7" w:rsidRPr="009733DE"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9733DE"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9733DE"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9733DE" w:rsidRDefault="00AD46C7" w:rsidP="008C2BDE">
      <w:pPr>
        <w:spacing w:before="240" w:after="240" w:line="360" w:lineRule="auto"/>
        <w:jc w:val="both"/>
        <w:rPr>
          <w:rFonts w:ascii="Palatino Linotype" w:eastAsia="Palatino Linotype" w:hAnsi="Palatino Linotype" w:cs="Palatino Linotype"/>
          <w:sz w:val="22"/>
          <w:szCs w:val="22"/>
        </w:rPr>
      </w:pPr>
    </w:p>
    <w:p w14:paraId="0929A9CA"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1E6356D1"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64065EC0"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636DC8E2"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05C07DD7"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44A85E9F"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0A42D87A"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41776436"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1C4C45AF"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351A0ACA"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431CB469"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3F41EF7E"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5F8D9C53"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56B2F70A"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2ABC2123"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0E5001C7"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2E60DC67"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54F41C3B"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33EBE1D8"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7B43F036"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7863322A"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p w14:paraId="10885A7D" w14:textId="77777777" w:rsidR="009733DE" w:rsidRPr="009733DE" w:rsidRDefault="009733DE" w:rsidP="008C2BDE">
      <w:pPr>
        <w:spacing w:before="240" w:after="240" w:line="360" w:lineRule="auto"/>
        <w:jc w:val="both"/>
        <w:rPr>
          <w:rFonts w:ascii="Palatino Linotype" w:eastAsia="Palatino Linotype" w:hAnsi="Palatino Linotype" w:cs="Palatino Linotype"/>
          <w:sz w:val="22"/>
          <w:szCs w:val="22"/>
        </w:rPr>
      </w:pPr>
    </w:p>
    <w:sectPr w:rsidR="009733DE" w:rsidRPr="009733DE" w:rsidSect="00024E45">
      <w:headerReference w:type="default" r:id="rId10"/>
      <w:footerReference w:type="default" r:id="rId11"/>
      <w:headerReference w:type="first" r:id="rId12"/>
      <w:footerReference w:type="first" r:id="rId13"/>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0849" w14:textId="77777777" w:rsidR="00465DEE" w:rsidRDefault="00465DEE">
      <w:r>
        <w:separator/>
      </w:r>
    </w:p>
  </w:endnote>
  <w:endnote w:type="continuationSeparator" w:id="0">
    <w:p w14:paraId="1A2BECFC" w14:textId="77777777" w:rsidR="00465DEE" w:rsidRDefault="0046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492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492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AA10B98" w14:textId="77777777" w:rsidR="001555D8" w:rsidRDefault="001555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492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492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E2963E5"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C960" w14:textId="77777777" w:rsidR="00465DEE" w:rsidRDefault="00465DEE">
      <w:r>
        <w:separator/>
      </w:r>
    </w:p>
  </w:footnote>
  <w:footnote w:type="continuationSeparator" w:id="0">
    <w:p w14:paraId="7E1C120A" w14:textId="77777777" w:rsidR="00465DEE" w:rsidRDefault="0046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1555D8" w:rsidRDefault="001555D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1555D8" w14:paraId="4C2940CF" w14:textId="77777777">
      <w:tc>
        <w:tcPr>
          <w:tcW w:w="2489" w:type="dxa"/>
          <w:shd w:val="clear" w:color="auto" w:fill="auto"/>
        </w:tcPr>
        <w:p w14:paraId="464AF0A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77DFB912"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03104/INFOEM/IP/RR/2025</w:t>
          </w:r>
        </w:p>
      </w:tc>
    </w:tr>
    <w:tr w:rsidR="001555D8" w14:paraId="5CFDA04F" w14:textId="77777777">
      <w:trPr>
        <w:trHeight w:val="228"/>
      </w:trPr>
      <w:tc>
        <w:tcPr>
          <w:tcW w:w="2489" w:type="dxa"/>
          <w:shd w:val="clear" w:color="auto" w:fill="auto"/>
          <w:vAlign w:val="center"/>
        </w:tcPr>
        <w:p w14:paraId="65A8299A"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5FD7A2EF" w:rsidR="001555D8" w:rsidRDefault="001555D8" w:rsidP="00EE7FB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1555D8" w14:paraId="73EAE311" w14:textId="77777777">
      <w:tc>
        <w:tcPr>
          <w:tcW w:w="2489" w:type="dxa"/>
          <w:shd w:val="clear" w:color="auto" w:fill="auto"/>
          <w:vAlign w:val="center"/>
        </w:tcPr>
        <w:p w14:paraId="08FBD364" w14:textId="77777777" w:rsidR="001555D8" w:rsidRDefault="001555D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1555D8" w:rsidRDefault="001555D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1555D8" w:rsidRDefault="001555D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1555D8" w14:paraId="0429276E" w14:textId="77777777">
      <w:tc>
        <w:tcPr>
          <w:tcW w:w="2551" w:type="dxa"/>
          <w:shd w:val="clear" w:color="auto" w:fill="auto"/>
          <w:vAlign w:val="center"/>
        </w:tcPr>
        <w:p w14:paraId="7EF3721F"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6A44CF1E" w:rsidR="001555D8" w:rsidRDefault="001555D8" w:rsidP="003A60D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03104/INFOEM/IP/RR/2025</w:t>
          </w:r>
        </w:p>
      </w:tc>
    </w:tr>
    <w:tr w:rsidR="001555D8" w14:paraId="02BCA1AE" w14:textId="77777777">
      <w:trPr>
        <w:trHeight w:val="130"/>
      </w:trPr>
      <w:tc>
        <w:tcPr>
          <w:tcW w:w="2551" w:type="dxa"/>
          <w:shd w:val="clear" w:color="auto" w:fill="auto"/>
          <w:vAlign w:val="center"/>
        </w:tcPr>
        <w:p w14:paraId="39DA678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3A8D653C" w:rsidR="001555D8" w:rsidRDefault="001555D8">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555D8" w14:paraId="2CF3C253" w14:textId="77777777">
      <w:trPr>
        <w:trHeight w:val="228"/>
      </w:trPr>
      <w:tc>
        <w:tcPr>
          <w:tcW w:w="2551" w:type="dxa"/>
          <w:shd w:val="clear" w:color="auto" w:fill="auto"/>
          <w:vAlign w:val="center"/>
        </w:tcPr>
        <w:p w14:paraId="19935346"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03707622" w:rsidR="001555D8" w:rsidRDefault="001555D8"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1555D8" w14:paraId="29A169BC" w14:textId="77777777">
      <w:tc>
        <w:tcPr>
          <w:tcW w:w="2551" w:type="dxa"/>
          <w:shd w:val="clear" w:color="auto" w:fill="auto"/>
          <w:vAlign w:val="center"/>
        </w:tcPr>
        <w:p w14:paraId="1E72B083"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1555D8" w:rsidRDefault="001555D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74101"/>
    <w:multiLevelType w:val="multilevel"/>
    <w:tmpl w:val="2890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30C07"/>
    <w:multiLevelType w:val="multilevel"/>
    <w:tmpl w:val="107E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801FCC"/>
    <w:multiLevelType w:val="multilevel"/>
    <w:tmpl w:val="F3C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B950CA"/>
    <w:multiLevelType w:val="hybridMultilevel"/>
    <w:tmpl w:val="17B85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57855155"/>
    <w:multiLevelType w:val="hybridMultilevel"/>
    <w:tmpl w:val="E4A07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F008F4"/>
    <w:multiLevelType w:val="hybridMultilevel"/>
    <w:tmpl w:val="666CD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11"/>
  </w:num>
  <w:num w:numId="3">
    <w:abstractNumId w:val="3"/>
  </w:num>
  <w:num w:numId="4">
    <w:abstractNumId w:val="2"/>
  </w:num>
  <w:num w:numId="5">
    <w:abstractNumId w:val="0"/>
  </w:num>
  <w:num w:numId="6">
    <w:abstractNumId w:val="25"/>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5"/>
    <w:lvlOverride w:ilvl="0">
      <w:lvl w:ilvl="0">
        <w:numFmt w:val="lowerLetter"/>
        <w:lvlText w:val="%1."/>
        <w:lvlJc w:val="left"/>
      </w:lvl>
    </w:lvlOverride>
  </w:num>
  <w:num w:numId="13">
    <w:abstractNumId w:val="23"/>
  </w:num>
  <w:num w:numId="14">
    <w:abstractNumId w:val="18"/>
  </w:num>
  <w:num w:numId="15">
    <w:abstractNumId w:val="21"/>
  </w:num>
  <w:num w:numId="16">
    <w:abstractNumId w:val="22"/>
  </w:num>
  <w:num w:numId="17">
    <w:abstractNumId w:val="10"/>
  </w:num>
  <w:num w:numId="18">
    <w:abstractNumId w:val="12"/>
  </w:num>
  <w:num w:numId="19">
    <w:abstractNumId w:val="19"/>
  </w:num>
  <w:num w:numId="20">
    <w:abstractNumId w:val="8"/>
  </w:num>
  <w:num w:numId="21">
    <w:abstractNumId w:val="6"/>
  </w:num>
  <w:num w:numId="22">
    <w:abstractNumId w:val="7"/>
  </w:num>
  <w:num w:numId="23">
    <w:abstractNumId w:val="16"/>
  </w:num>
  <w:num w:numId="24">
    <w:abstractNumId w:val="9"/>
  </w:num>
  <w:num w:numId="2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4"/>
  </w:num>
  <w:num w:numId="2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450A"/>
    <w:rsid w:val="00005866"/>
    <w:rsid w:val="0001135A"/>
    <w:rsid w:val="0002005E"/>
    <w:rsid w:val="000212D4"/>
    <w:rsid w:val="00022161"/>
    <w:rsid w:val="00022427"/>
    <w:rsid w:val="00022853"/>
    <w:rsid w:val="000245A0"/>
    <w:rsid w:val="000246F7"/>
    <w:rsid w:val="00024CC0"/>
    <w:rsid w:val="00024E45"/>
    <w:rsid w:val="000257C5"/>
    <w:rsid w:val="00031C49"/>
    <w:rsid w:val="000321C2"/>
    <w:rsid w:val="000555BC"/>
    <w:rsid w:val="00056FAD"/>
    <w:rsid w:val="00057A61"/>
    <w:rsid w:val="00060311"/>
    <w:rsid w:val="00072B0C"/>
    <w:rsid w:val="00073DA6"/>
    <w:rsid w:val="00073E62"/>
    <w:rsid w:val="0007664B"/>
    <w:rsid w:val="00082BF5"/>
    <w:rsid w:val="00083EFF"/>
    <w:rsid w:val="000846BD"/>
    <w:rsid w:val="00085324"/>
    <w:rsid w:val="00085CC1"/>
    <w:rsid w:val="00086975"/>
    <w:rsid w:val="00090964"/>
    <w:rsid w:val="000956DB"/>
    <w:rsid w:val="000A0390"/>
    <w:rsid w:val="000A3143"/>
    <w:rsid w:val="000A3D10"/>
    <w:rsid w:val="000B02A5"/>
    <w:rsid w:val="000B078B"/>
    <w:rsid w:val="000B152E"/>
    <w:rsid w:val="000B73BC"/>
    <w:rsid w:val="000B7B61"/>
    <w:rsid w:val="000C0A4E"/>
    <w:rsid w:val="000C39D3"/>
    <w:rsid w:val="000C5861"/>
    <w:rsid w:val="000D4956"/>
    <w:rsid w:val="000D6A79"/>
    <w:rsid w:val="000F02F1"/>
    <w:rsid w:val="000F510C"/>
    <w:rsid w:val="000F6ED3"/>
    <w:rsid w:val="000F772B"/>
    <w:rsid w:val="000F7A6B"/>
    <w:rsid w:val="00102449"/>
    <w:rsid w:val="0011101A"/>
    <w:rsid w:val="0011638A"/>
    <w:rsid w:val="00116AF3"/>
    <w:rsid w:val="00117278"/>
    <w:rsid w:val="00120962"/>
    <w:rsid w:val="001214E7"/>
    <w:rsid w:val="00121CE0"/>
    <w:rsid w:val="00125373"/>
    <w:rsid w:val="00127039"/>
    <w:rsid w:val="00130C7D"/>
    <w:rsid w:val="0013358D"/>
    <w:rsid w:val="00134246"/>
    <w:rsid w:val="00134815"/>
    <w:rsid w:val="0013594E"/>
    <w:rsid w:val="001409D9"/>
    <w:rsid w:val="00141B5B"/>
    <w:rsid w:val="00143A16"/>
    <w:rsid w:val="001555D8"/>
    <w:rsid w:val="0015711E"/>
    <w:rsid w:val="00162FE0"/>
    <w:rsid w:val="001646AB"/>
    <w:rsid w:val="00164FB5"/>
    <w:rsid w:val="00166BFE"/>
    <w:rsid w:val="001726E5"/>
    <w:rsid w:val="00172BB3"/>
    <w:rsid w:val="00184ED9"/>
    <w:rsid w:val="0019532B"/>
    <w:rsid w:val="00196B36"/>
    <w:rsid w:val="001A4653"/>
    <w:rsid w:val="001A6BB8"/>
    <w:rsid w:val="001B1CF8"/>
    <w:rsid w:val="001B514A"/>
    <w:rsid w:val="001B5BFA"/>
    <w:rsid w:val="001C1788"/>
    <w:rsid w:val="001C43E1"/>
    <w:rsid w:val="001C4E7D"/>
    <w:rsid w:val="001E06B7"/>
    <w:rsid w:val="001E0E46"/>
    <w:rsid w:val="001E2237"/>
    <w:rsid w:val="001F0474"/>
    <w:rsid w:val="001F1EEB"/>
    <w:rsid w:val="001F2334"/>
    <w:rsid w:val="001F2895"/>
    <w:rsid w:val="001F3E5D"/>
    <w:rsid w:val="00205710"/>
    <w:rsid w:val="00210FBC"/>
    <w:rsid w:val="00216171"/>
    <w:rsid w:val="002228E6"/>
    <w:rsid w:val="002238CF"/>
    <w:rsid w:val="00226131"/>
    <w:rsid w:val="002277E6"/>
    <w:rsid w:val="00227AD1"/>
    <w:rsid w:val="00234DAD"/>
    <w:rsid w:val="00241B92"/>
    <w:rsid w:val="00242E89"/>
    <w:rsid w:val="0024338C"/>
    <w:rsid w:val="00243D68"/>
    <w:rsid w:val="002461FD"/>
    <w:rsid w:val="00246F02"/>
    <w:rsid w:val="00247671"/>
    <w:rsid w:val="0026722E"/>
    <w:rsid w:val="00270B61"/>
    <w:rsid w:val="00273782"/>
    <w:rsid w:val="00274327"/>
    <w:rsid w:val="00277B3C"/>
    <w:rsid w:val="002824F1"/>
    <w:rsid w:val="00284D8B"/>
    <w:rsid w:val="00285B66"/>
    <w:rsid w:val="002860C1"/>
    <w:rsid w:val="002941BE"/>
    <w:rsid w:val="00294F95"/>
    <w:rsid w:val="00297F32"/>
    <w:rsid w:val="002A344B"/>
    <w:rsid w:val="002A746A"/>
    <w:rsid w:val="002A7948"/>
    <w:rsid w:val="002B0FAC"/>
    <w:rsid w:val="002B6E70"/>
    <w:rsid w:val="002B7A43"/>
    <w:rsid w:val="002C3068"/>
    <w:rsid w:val="002C3265"/>
    <w:rsid w:val="002C3BDB"/>
    <w:rsid w:val="002C3C7B"/>
    <w:rsid w:val="002C4924"/>
    <w:rsid w:val="002C75DF"/>
    <w:rsid w:val="002C763F"/>
    <w:rsid w:val="002E0FCD"/>
    <w:rsid w:val="002E15F3"/>
    <w:rsid w:val="002E6C46"/>
    <w:rsid w:val="002F3173"/>
    <w:rsid w:val="002F45DB"/>
    <w:rsid w:val="002F67A5"/>
    <w:rsid w:val="00304B80"/>
    <w:rsid w:val="00304F5A"/>
    <w:rsid w:val="00305634"/>
    <w:rsid w:val="00311007"/>
    <w:rsid w:val="003224D8"/>
    <w:rsid w:val="00330F12"/>
    <w:rsid w:val="003420AF"/>
    <w:rsid w:val="003536E5"/>
    <w:rsid w:val="00361227"/>
    <w:rsid w:val="003631BA"/>
    <w:rsid w:val="00364D9E"/>
    <w:rsid w:val="003667A5"/>
    <w:rsid w:val="003669B5"/>
    <w:rsid w:val="00373A43"/>
    <w:rsid w:val="003759BB"/>
    <w:rsid w:val="00377F13"/>
    <w:rsid w:val="0038056C"/>
    <w:rsid w:val="00380A44"/>
    <w:rsid w:val="003829FB"/>
    <w:rsid w:val="0039191A"/>
    <w:rsid w:val="003939A0"/>
    <w:rsid w:val="00394118"/>
    <w:rsid w:val="00394C31"/>
    <w:rsid w:val="00395A58"/>
    <w:rsid w:val="003977D6"/>
    <w:rsid w:val="003A457F"/>
    <w:rsid w:val="003A60D6"/>
    <w:rsid w:val="003B0E96"/>
    <w:rsid w:val="003B11E3"/>
    <w:rsid w:val="003B3EE9"/>
    <w:rsid w:val="003B7C05"/>
    <w:rsid w:val="003C0E7E"/>
    <w:rsid w:val="003C1431"/>
    <w:rsid w:val="003C3EC3"/>
    <w:rsid w:val="003D2984"/>
    <w:rsid w:val="003D3FC3"/>
    <w:rsid w:val="003D4131"/>
    <w:rsid w:val="003D421A"/>
    <w:rsid w:val="003E1FA3"/>
    <w:rsid w:val="003F28C6"/>
    <w:rsid w:val="00400CA8"/>
    <w:rsid w:val="004011C1"/>
    <w:rsid w:val="00403487"/>
    <w:rsid w:val="00406B11"/>
    <w:rsid w:val="00406BA2"/>
    <w:rsid w:val="00410BA4"/>
    <w:rsid w:val="004268D8"/>
    <w:rsid w:val="0043539F"/>
    <w:rsid w:val="004361B6"/>
    <w:rsid w:val="00455AB2"/>
    <w:rsid w:val="00464056"/>
    <w:rsid w:val="00465DEE"/>
    <w:rsid w:val="00481B3D"/>
    <w:rsid w:val="00483B52"/>
    <w:rsid w:val="00484EF2"/>
    <w:rsid w:val="004913E7"/>
    <w:rsid w:val="00493B0C"/>
    <w:rsid w:val="00493FDA"/>
    <w:rsid w:val="004945E8"/>
    <w:rsid w:val="00494F7B"/>
    <w:rsid w:val="004A18B1"/>
    <w:rsid w:val="004B39E6"/>
    <w:rsid w:val="004B5571"/>
    <w:rsid w:val="004C43EC"/>
    <w:rsid w:val="004D782A"/>
    <w:rsid w:val="004E7BE0"/>
    <w:rsid w:val="004F1469"/>
    <w:rsid w:val="004F15F5"/>
    <w:rsid w:val="004F2EF6"/>
    <w:rsid w:val="004F34C3"/>
    <w:rsid w:val="004F3E3E"/>
    <w:rsid w:val="00500A1F"/>
    <w:rsid w:val="005033F0"/>
    <w:rsid w:val="005062E4"/>
    <w:rsid w:val="00507255"/>
    <w:rsid w:val="00515DDD"/>
    <w:rsid w:val="00523029"/>
    <w:rsid w:val="005309C3"/>
    <w:rsid w:val="00535612"/>
    <w:rsid w:val="0053690E"/>
    <w:rsid w:val="005372E3"/>
    <w:rsid w:val="00543660"/>
    <w:rsid w:val="00547F47"/>
    <w:rsid w:val="00560982"/>
    <w:rsid w:val="00567EFF"/>
    <w:rsid w:val="00573401"/>
    <w:rsid w:val="00574AC7"/>
    <w:rsid w:val="00575686"/>
    <w:rsid w:val="00581C3F"/>
    <w:rsid w:val="00582685"/>
    <w:rsid w:val="005835B4"/>
    <w:rsid w:val="00590C51"/>
    <w:rsid w:val="0059110B"/>
    <w:rsid w:val="0059228E"/>
    <w:rsid w:val="005973B1"/>
    <w:rsid w:val="005A24EF"/>
    <w:rsid w:val="005A27B8"/>
    <w:rsid w:val="005A2C95"/>
    <w:rsid w:val="005B1397"/>
    <w:rsid w:val="005B39E1"/>
    <w:rsid w:val="005C34C1"/>
    <w:rsid w:val="005C3554"/>
    <w:rsid w:val="005C4189"/>
    <w:rsid w:val="005C73F3"/>
    <w:rsid w:val="005D0AFE"/>
    <w:rsid w:val="005D3045"/>
    <w:rsid w:val="005D3251"/>
    <w:rsid w:val="005D4A82"/>
    <w:rsid w:val="005D5063"/>
    <w:rsid w:val="005D5B96"/>
    <w:rsid w:val="005E120E"/>
    <w:rsid w:val="005E1AE9"/>
    <w:rsid w:val="005F139A"/>
    <w:rsid w:val="005F7183"/>
    <w:rsid w:val="00600023"/>
    <w:rsid w:val="006026B1"/>
    <w:rsid w:val="006028A2"/>
    <w:rsid w:val="00602E11"/>
    <w:rsid w:val="00602F3D"/>
    <w:rsid w:val="006060EB"/>
    <w:rsid w:val="00610559"/>
    <w:rsid w:val="00611648"/>
    <w:rsid w:val="00613F64"/>
    <w:rsid w:val="00615378"/>
    <w:rsid w:val="00623E59"/>
    <w:rsid w:val="00627CCD"/>
    <w:rsid w:val="00627F7E"/>
    <w:rsid w:val="00632222"/>
    <w:rsid w:val="00632FD8"/>
    <w:rsid w:val="00640F0D"/>
    <w:rsid w:val="00641CCE"/>
    <w:rsid w:val="00642A08"/>
    <w:rsid w:val="00646A78"/>
    <w:rsid w:val="006472A1"/>
    <w:rsid w:val="0064759C"/>
    <w:rsid w:val="0065203F"/>
    <w:rsid w:val="00656CCF"/>
    <w:rsid w:val="00662FF2"/>
    <w:rsid w:val="006636C0"/>
    <w:rsid w:val="00664C22"/>
    <w:rsid w:val="006662B4"/>
    <w:rsid w:val="00691A5F"/>
    <w:rsid w:val="006961EA"/>
    <w:rsid w:val="006A1B3F"/>
    <w:rsid w:val="006A2EBA"/>
    <w:rsid w:val="006A352F"/>
    <w:rsid w:val="006A4A4A"/>
    <w:rsid w:val="006A6019"/>
    <w:rsid w:val="006B19A8"/>
    <w:rsid w:val="006B21AE"/>
    <w:rsid w:val="006B443C"/>
    <w:rsid w:val="006B4468"/>
    <w:rsid w:val="006C1400"/>
    <w:rsid w:val="006E17BA"/>
    <w:rsid w:val="006E64D6"/>
    <w:rsid w:val="006F17BC"/>
    <w:rsid w:val="00701D52"/>
    <w:rsid w:val="00705465"/>
    <w:rsid w:val="00713348"/>
    <w:rsid w:val="0071777F"/>
    <w:rsid w:val="00721060"/>
    <w:rsid w:val="007216A1"/>
    <w:rsid w:val="00722654"/>
    <w:rsid w:val="00726CD2"/>
    <w:rsid w:val="00734B24"/>
    <w:rsid w:val="00734F35"/>
    <w:rsid w:val="0074453C"/>
    <w:rsid w:val="00745A82"/>
    <w:rsid w:val="00750B6A"/>
    <w:rsid w:val="00755DAB"/>
    <w:rsid w:val="00757AF9"/>
    <w:rsid w:val="007600A9"/>
    <w:rsid w:val="00760983"/>
    <w:rsid w:val="00764023"/>
    <w:rsid w:val="00767E1A"/>
    <w:rsid w:val="00772483"/>
    <w:rsid w:val="00773AF5"/>
    <w:rsid w:val="0078481B"/>
    <w:rsid w:val="00786311"/>
    <w:rsid w:val="00790564"/>
    <w:rsid w:val="007921CB"/>
    <w:rsid w:val="00792CD1"/>
    <w:rsid w:val="00794188"/>
    <w:rsid w:val="007941AD"/>
    <w:rsid w:val="007A7771"/>
    <w:rsid w:val="007B0AD5"/>
    <w:rsid w:val="007B4370"/>
    <w:rsid w:val="007B5BB7"/>
    <w:rsid w:val="007C0169"/>
    <w:rsid w:val="007C4B05"/>
    <w:rsid w:val="007C4F2D"/>
    <w:rsid w:val="007D30C2"/>
    <w:rsid w:val="007E2C3E"/>
    <w:rsid w:val="007E3343"/>
    <w:rsid w:val="007E4872"/>
    <w:rsid w:val="007F0A9F"/>
    <w:rsid w:val="007F0FF4"/>
    <w:rsid w:val="007F4C0F"/>
    <w:rsid w:val="008008B6"/>
    <w:rsid w:val="00801BD5"/>
    <w:rsid w:val="008061CA"/>
    <w:rsid w:val="0080729A"/>
    <w:rsid w:val="008223D8"/>
    <w:rsid w:val="008229E9"/>
    <w:rsid w:val="00825C51"/>
    <w:rsid w:val="00825DE9"/>
    <w:rsid w:val="00832A9C"/>
    <w:rsid w:val="008417E0"/>
    <w:rsid w:val="00844725"/>
    <w:rsid w:val="008467E1"/>
    <w:rsid w:val="00847642"/>
    <w:rsid w:val="00851354"/>
    <w:rsid w:val="008624CA"/>
    <w:rsid w:val="008722F7"/>
    <w:rsid w:val="0087414F"/>
    <w:rsid w:val="00883A6A"/>
    <w:rsid w:val="00886D01"/>
    <w:rsid w:val="00886F6D"/>
    <w:rsid w:val="00891540"/>
    <w:rsid w:val="00894658"/>
    <w:rsid w:val="00894E1D"/>
    <w:rsid w:val="008961F4"/>
    <w:rsid w:val="008968CC"/>
    <w:rsid w:val="00896BEC"/>
    <w:rsid w:val="008A2A62"/>
    <w:rsid w:val="008A56BC"/>
    <w:rsid w:val="008A7BA9"/>
    <w:rsid w:val="008B11E7"/>
    <w:rsid w:val="008B3002"/>
    <w:rsid w:val="008C084E"/>
    <w:rsid w:val="008C2B66"/>
    <w:rsid w:val="008C2BDE"/>
    <w:rsid w:val="008C404F"/>
    <w:rsid w:val="008C468C"/>
    <w:rsid w:val="008C766A"/>
    <w:rsid w:val="008D3B8D"/>
    <w:rsid w:val="008D4A49"/>
    <w:rsid w:val="008D5437"/>
    <w:rsid w:val="008D7FC8"/>
    <w:rsid w:val="008E0ACC"/>
    <w:rsid w:val="008E3A33"/>
    <w:rsid w:val="008E484B"/>
    <w:rsid w:val="008F5391"/>
    <w:rsid w:val="00903DCC"/>
    <w:rsid w:val="0091236E"/>
    <w:rsid w:val="00913EDB"/>
    <w:rsid w:val="00917919"/>
    <w:rsid w:val="00917962"/>
    <w:rsid w:val="00920422"/>
    <w:rsid w:val="00922D0E"/>
    <w:rsid w:val="009231DC"/>
    <w:rsid w:val="00924B5C"/>
    <w:rsid w:val="00933E1D"/>
    <w:rsid w:val="00934B63"/>
    <w:rsid w:val="00934C6C"/>
    <w:rsid w:val="00936BE8"/>
    <w:rsid w:val="00940FDD"/>
    <w:rsid w:val="0094583B"/>
    <w:rsid w:val="0094685F"/>
    <w:rsid w:val="00947938"/>
    <w:rsid w:val="009479AE"/>
    <w:rsid w:val="009515CD"/>
    <w:rsid w:val="00952345"/>
    <w:rsid w:val="00953886"/>
    <w:rsid w:val="00956206"/>
    <w:rsid w:val="00960B9B"/>
    <w:rsid w:val="00962589"/>
    <w:rsid w:val="009649AE"/>
    <w:rsid w:val="00970727"/>
    <w:rsid w:val="009717B7"/>
    <w:rsid w:val="009733DE"/>
    <w:rsid w:val="0097489F"/>
    <w:rsid w:val="00977A00"/>
    <w:rsid w:val="009810F1"/>
    <w:rsid w:val="00990913"/>
    <w:rsid w:val="0099347F"/>
    <w:rsid w:val="009A51A6"/>
    <w:rsid w:val="009B2F5A"/>
    <w:rsid w:val="009B3E5F"/>
    <w:rsid w:val="009B5576"/>
    <w:rsid w:val="009C2E9B"/>
    <w:rsid w:val="009C7AB4"/>
    <w:rsid w:val="009C7C40"/>
    <w:rsid w:val="009E2F0B"/>
    <w:rsid w:val="009E4622"/>
    <w:rsid w:val="00A0245D"/>
    <w:rsid w:val="00A02ACC"/>
    <w:rsid w:val="00A0433D"/>
    <w:rsid w:val="00A04800"/>
    <w:rsid w:val="00A069C7"/>
    <w:rsid w:val="00A32844"/>
    <w:rsid w:val="00A346A1"/>
    <w:rsid w:val="00A34CBD"/>
    <w:rsid w:val="00A3520F"/>
    <w:rsid w:val="00A40EFE"/>
    <w:rsid w:val="00A422DE"/>
    <w:rsid w:val="00A4341C"/>
    <w:rsid w:val="00A4508B"/>
    <w:rsid w:val="00A61827"/>
    <w:rsid w:val="00A62687"/>
    <w:rsid w:val="00A66B94"/>
    <w:rsid w:val="00A71C2A"/>
    <w:rsid w:val="00A72524"/>
    <w:rsid w:val="00A85410"/>
    <w:rsid w:val="00A8687C"/>
    <w:rsid w:val="00A87698"/>
    <w:rsid w:val="00A92407"/>
    <w:rsid w:val="00A9278B"/>
    <w:rsid w:val="00A94D77"/>
    <w:rsid w:val="00A95AE4"/>
    <w:rsid w:val="00AA00C7"/>
    <w:rsid w:val="00AA71D0"/>
    <w:rsid w:val="00AB32F5"/>
    <w:rsid w:val="00AC3F12"/>
    <w:rsid w:val="00AC405F"/>
    <w:rsid w:val="00AC6470"/>
    <w:rsid w:val="00AC7ED8"/>
    <w:rsid w:val="00AD0486"/>
    <w:rsid w:val="00AD1974"/>
    <w:rsid w:val="00AD2704"/>
    <w:rsid w:val="00AD27DD"/>
    <w:rsid w:val="00AD46C7"/>
    <w:rsid w:val="00AD6F7C"/>
    <w:rsid w:val="00AE1A56"/>
    <w:rsid w:val="00AE3974"/>
    <w:rsid w:val="00AE50F3"/>
    <w:rsid w:val="00AF0F6A"/>
    <w:rsid w:val="00AF555C"/>
    <w:rsid w:val="00AF5D16"/>
    <w:rsid w:val="00B05DC2"/>
    <w:rsid w:val="00B14CFF"/>
    <w:rsid w:val="00B177EB"/>
    <w:rsid w:val="00B23D70"/>
    <w:rsid w:val="00B25BD2"/>
    <w:rsid w:val="00B30997"/>
    <w:rsid w:val="00B32A31"/>
    <w:rsid w:val="00B40239"/>
    <w:rsid w:val="00B407A9"/>
    <w:rsid w:val="00B438E7"/>
    <w:rsid w:val="00B474BD"/>
    <w:rsid w:val="00B52733"/>
    <w:rsid w:val="00B56195"/>
    <w:rsid w:val="00B621D5"/>
    <w:rsid w:val="00B63685"/>
    <w:rsid w:val="00B6484F"/>
    <w:rsid w:val="00B65913"/>
    <w:rsid w:val="00B76C2D"/>
    <w:rsid w:val="00B80A5C"/>
    <w:rsid w:val="00B81C05"/>
    <w:rsid w:val="00B94CAF"/>
    <w:rsid w:val="00B957D5"/>
    <w:rsid w:val="00BA68E2"/>
    <w:rsid w:val="00BA70EA"/>
    <w:rsid w:val="00BB2A2C"/>
    <w:rsid w:val="00BB49B3"/>
    <w:rsid w:val="00BB617D"/>
    <w:rsid w:val="00BC7478"/>
    <w:rsid w:val="00BD00CC"/>
    <w:rsid w:val="00BD707B"/>
    <w:rsid w:val="00BD7380"/>
    <w:rsid w:val="00BE16BB"/>
    <w:rsid w:val="00BE17F3"/>
    <w:rsid w:val="00BE19E0"/>
    <w:rsid w:val="00BE7E3E"/>
    <w:rsid w:val="00BF0F70"/>
    <w:rsid w:val="00C0072D"/>
    <w:rsid w:val="00C009C3"/>
    <w:rsid w:val="00C00C30"/>
    <w:rsid w:val="00C00E57"/>
    <w:rsid w:val="00C027E8"/>
    <w:rsid w:val="00C068B5"/>
    <w:rsid w:val="00C11037"/>
    <w:rsid w:val="00C11B6D"/>
    <w:rsid w:val="00C1358F"/>
    <w:rsid w:val="00C145F3"/>
    <w:rsid w:val="00C15A9C"/>
    <w:rsid w:val="00C21DD8"/>
    <w:rsid w:val="00C22534"/>
    <w:rsid w:val="00C2358E"/>
    <w:rsid w:val="00C24BA8"/>
    <w:rsid w:val="00C3241E"/>
    <w:rsid w:val="00C439BF"/>
    <w:rsid w:val="00C449AD"/>
    <w:rsid w:val="00C51A92"/>
    <w:rsid w:val="00C5227C"/>
    <w:rsid w:val="00C60D10"/>
    <w:rsid w:val="00C614E3"/>
    <w:rsid w:val="00C677A5"/>
    <w:rsid w:val="00C67BC1"/>
    <w:rsid w:val="00C716A3"/>
    <w:rsid w:val="00C72C87"/>
    <w:rsid w:val="00C730CB"/>
    <w:rsid w:val="00C74A19"/>
    <w:rsid w:val="00C80579"/>
    <w:rsid w:val="00C823BE"/>
    <w:rsid w:val="00C845C8"/>
    <w:rsid w:val="00C87C07"/>
    <w:rsid w:val="00C90406"/>
    <w:rsid w:val="00C945AA"/>
    <w:rsid w:val="00C96229"/>
    <w:rsid w:val="00C96483"/>
    <w:rsid w:val="00CA5414"/>
    <w:rsid w:val="00CA6738"/>
    <w:rsid w:val="00CB06B2"/>
    <w:rsid w:val="00CB0F11"/>
    <w:rsid w:val="00CB4D20"/>
    <w:rsid w:val="00CB6050"/>
    <w:rsid w:val="00CC581C"/>
    <w:rsid w:val="00CD0BC1"/>
    <w:rsid w:val="00CD35F1"/>
    <w:rsid w:val="00CD4C18"/>
    <w:rsid w:val="00CD4C73"/>
    <w:rsid w:val="00CD7CBC"/>
    <w:rsid w:val="00CE0812"/>
    <w:rsid w:val="00CE69BE"/>
    <w:rsid w:val="00D05950"/>
    <w:rsid w:val="00D06AC3"/>
    <w:rsid w:val="00D12517"/>
    <w:rsid w:val="00D13E59"/>
    <w:rsid w:val="00D2236E"/>
    <w:rsid w:val="00D31824"/>
    <w:rsid w:val="00D3753B"/>
    <w:rsid w:val="00D4115C"/>
    <w:rsid w:val="00D42D94"/>
    <w:rsid w:val="00D438BC"/>
    <w:rsid w:val="00D44F15"/>
    <w:rsid w:val="00D455FE"/>
    <w:rsid w:val="00D52955"/>
    <w:rsid w:val="00D52ACA"/>
    <w:rsid w:val="00D53904"/>
    <w:rsid w:val="00D53EAD"/>
    <w:rsid w:val="00D60101"/>
    <w:rsid w:val="00D6553F"/>
    <w:rsid w:val="00D855C5"/>
    <w:rsid w:val="00D934F0"/>
    <w:rsid w:val="00DB3499"/>
    <w:rsid w:val="00DB6865"/>
    <w:rsid w:val="00DC450F"/>
    <w:rsid w:val="00DC648D"/>
    <w:rsid w:val="00DD1581"/>
    <w:rsid w:val="00DD51BC"/>
    <w:rsid w:val="00DD524F"/>
    <w:rsid w:val="00DE22E0"/>
    <w:rsid w:val="00DE2BDE"/>
    <w:rsid w:val="00DE37AD"/>
    <w:rsid w:val="00DE4747"/>
    <w:rsid w:val="00DE57BF"/>
    <w:rsid w:val="00DE59C7"/>
    <w:rsid w:val="00DF439F"/>
    <w:rsid w:val="00E1217E"/>
    <w:rsid w:val="00E13470"/>
    <w:rsid w:val="00E13FD1"/>
    <w:rsid w:val="00E160F6"/>
    <w:rsid w:val="00E22C70"/>
    <w:rsid w:val="00E23A3C"/>
    <w:rsid w:val="00E2407A"/>
    <w:rsid w:val="00E26012"/>
    <w:rsid w:val="00E335ED"/>
    <w:rsid w:val="00E35174"/>
    <w:rsid w:val="00E3583B"/>
    <w:rsid w:val="00E359AC"/>
    <w:rsid w:val="00E406A0"/>
    <w:rsid w:val="00E42923"/>
    <w:rsid w:val="00E46532"/>
    <w:rsid w:val="00E50C49"/>
    <w:rsid w:val="00E51DF8"/>
    <w:rsid w:val="00E53A65"/>
    <w:rsid w:val="00E627AC"/>
    <w:rsid w:val="00E7344E"/>
    <w:rsid w:val="00E741DF"/>
    <w:rsid w:val="00E7613B"/>
    <w:rsid w:val="00E82366"/>
    <w:rsid w:val="00E92E29"/>
    <w:rsid w:val="00E96F78"/>
    <w:rsid w:val="00EB0890"/>
    <w:rsid w:val="00EB1BDA"/>
    <w:rsid w:val="00EB33E3"/>
    <w:rsid w:val="00EB4A90"/>
    <w:rsid w:val="00EB52C6"/>
    <w:rsid w:val="00EB709C"/>
    <w:rsid w:val="00EB77B5"/>
    <w:rsid w:val="00EC03EB"/>
    <w:rsid w:val="00EC3F0E"/>
    <w:rsid w:val="00EC5386"/>
    <w:rsid w:val="00ED02C3"/>
    <w:rsid w:val="00ED1B15"/>
    <w:rsid w:val="00ED2779"/>
    <w:rsid w:val="00ED3193"/>
    <w:rsid w:val="00ED5C26"/>
    <w:rsid w:val="00ED732E"/>
    <w:rsid w:val="00EE7FB0"/>
    <w:rsid w:val="00EF2512"/>
    <w:rsid w:val="00EF4CE8"/>
    <w:rsid w:val="00EF7E65"/>
    <w:rsid w:val="00F05E14"/>
    <w:rsid w:val="00F154CC"/>
    <w:rsid w:val="00F205FD"/>
    <w:rsid w:val="00F2158A"/>
    <w:rsid w:val="00F2336C"/>
    <w:rsid w:val="00F243AD"/>
    <w:rsid w:val="00F25A6D"/>
    <w:rsid w:val="00F26315"/>
    <w:rsid w:val="00F278D1"/>
    <w:rsid w:val="00F27F61"/>
    <w:rsid w:val="00F30FCA"/>
    <w:rsid w:val="00F34B1C"/>
    <w:rsid w:val="00F35156"/>
    <w:rsid w:val="00F36598"/>
    <w:rsid w:val="00F45EF9"/>
    <w:rsid w:val="00F461FF"/>
    <w:rsid w:val="00F476F0"/>
    <w:rsid w:val="00F47B4F"/>
    <w:rsid w:val="00F50724"/>
    <w:rsid w:val="00F51CEC"/>
    <w:rsid w:val="00F54455"/>
    <w:rsid w:val="00F562DA"/>
    <w:rsid w:val="00F61A51"/>
    <w:rsid w:val="00F6204D"/>
    <w:rsid w:val="00F655BE"/>
    <w:rsid w:val="00F67C05"/>
    <w:rsid w:val="00F71F87"/>
    <w:rsid w:val="00F750C0"/>
    <w:rsid w:val="00F93017"/>
    <w:rsid w:val="00F95D83"/>
    <w:rsid w:val="00FA068F"/>
    <w:rsid w:val="00FA22B8"/>
    <w:rsid w:val="00FB37C3"/>
    <w:rsid w:val="00FB3CC0"/>
    <w:rsid w:val="00FB7925"/>
    <w:rsid w:val="00FC1D46"/>
    <w:rsid w:val="00FC2DF2"/>
    <w:rsid w:val="00FC4FA7"/>
    <w:rsid w:val="00FC53CC"/>
    <w:rsid w:val="00FC631D"/>
    <w:rsid w:val="00FC6471"/>
    <w:rsid w:val="00FC744D"/>
    <w:rsid w:val="00FD235C"/>
    <w:rsid w:val="00FD4824"/>
    <w:rsid w:val="00FE2C9B"/>
    <w:rsid w:val="00FE3074"/>
    <w:rsid w:val="00FE7CB0"/>
    <w:rsid w:val="00FF0759"/>
    <w:rsid w:val="00FF254E"/>
    <w:rsid w:val="00FF32E9"/>
    <w:rsid w:val="00FF38D6"/>
    <w:rsid w:val="00FF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EA8F47FA-13DD-46A0-90E0-F1FC56076D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7212</Words>
  <Characters>39671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2025-06-06T20:50:00Z</cp:lastPrinted>
  <dcterms:created xsi:type="dcterms:W3CDTF">2025-06-27T03:57:00Z</dcterms:created>
  <dcterms:modified xsi:type="dcterms:W3CDTF">2025-06-27T03:57:00Z</dcterms:modified>
</cp:coreProperties>
</file>