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sz w:val="22"/>
          <w:szCs w:val="22"/>
          <w:rtl w:val="0"/>
        </w:rPr>
        <w:t xml:space="preserve">tres de septiembre de dos mil veinticinco.</w:t>
      </w:r>
      <w:r w:rsidDel="00000000" w:rsidR="00000000" w:rsidRPr="00000000">
        <w:rPr>
          <w:rtl w:val="0"/>
        </w:rPr>
      </w:r>
    </w:p>
    <w:p w:rsidR="00000000" w:rsidDel="00000000" w:rsidP="00000000" w:rsidRDefault="00000000" w:rsidRPr="00000000" w14:paraId="0000000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06009/INFOEM/IP/RR/2025, </w:t>
      </w:r>
      <w:r w:rsidDel="00000000" w:rsidR="00000000" w:rsidRPr="00000000">
        <w:rPr>
          <w:rFonts w:ascii="Palatino Linotype" w:cs="Palatino Linotype" w:eastAsia="Palatino Linotype" w:hAnsi="Palatino Linotype"/>
          <w:sz w:val="22"/>
          <w:szCs w:val="22"/>
          <w:rtl w:val="0"/>
        </w:rPr>
        <w:t xml:space="preserve">interpuesto por </w:t>
      </w:r>
      <w:r w:rsidDel="00000000" w:rsidR="00000000" w:rsidRPr="00000000">
        <w:rPr>
          <w:rFonts w:ascii="Palatino Linotype" w:cs="Palatino Linotype" w:eastAsia="Palatino Linotype" w:hAnsi="Palatino Linotype"/>
          <w:b w:val="1"/>
          <w:color w:val="000000"/>
          <w:sz w:val="20"/>
          <w:szCs w:val="20"/>
          <w:rtl w:val="0"/>
        </w:rPr>
        <w:t xml:space="preserve">XXXXX XXXX XXXXX XXXX</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por parte del </w:t>
      </w:r>
      <w:r w:rsidDel="00000000" w:rsidR="00000000" w:rsidRPr="00000000">
        <w:rPr>
          <w:rFonts w:ascii="Palatino Linotype" w:cs="Palatino Linotype" w:eastAsia="Palatino Linotype" w:hAnsi="Palatino Linotype"/>
          <w:b w:val="1"/>
          <w:sz w:val="22"/>
          <w:szCs w:val="22"/>
          <w:rtl w:val="0"/>
        </w:rPr>
        <w:t xml:space="preserve">Poder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Judicial</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w:t>
      </w:r>
    </w:p>
    <w:p w:rsidR="00000000" w:rsidDel="00000000" w:rsidP="00000000" w:rsidRDefault="00000000" w:rsidRPr="00000000" w14:paraId="0000000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w:t>
        <w:tab/>
        <w:t xml:space="preserve">A N T E C E D E N T E S</w:t>
      </w:r>
    </w:p>
    <w:p w:rsidR="00000000" w:rsidDel="00000000" w:rsidP="00000000" w:rsidRDefault="00000000" w:rsidRPr="00000000" w14:paraId="0000000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Solicitud de Acceso a la Información. El veintinueve de abril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360" w:lineRule="auto"/>
        <w:ind w:left="426" w:right="49" w:hanging="360"/>
        <w:jc w:val="both"/>
        <w:rPr>
          <w:rFonts w:ascii="Palatino Linotype" w:cs="Palatino Linotype" w:eastAsia="Palatino Linotype" w:hAnsi="Palatino Linotype"/>
          <w:b w:val="1"/>
          <w:sz w:val="22"/>
          <w:szCs w:val="22"/>
        </w:rPr>
      </w:pPr>
      <w:bookmarkStart w:colFirst="0" w:colLast="0" w:name="_heading=h.3znysh7" w:id="0"/>
      <w:bookmarkEnd w:id="0"/>
      <w:r w:rsidDel="00000000" w:rsidR="00000000" w:rsidRPr="00000000">
        <w:rPr>
          <w:rFonts w:ascii="Palatino Linotype" w:cs="Palatino Linotype" w:eastAsia="Palatino Linotype" w:hAnsi="Palatino Linotype"/>
          <w:b w:val="1"/>
          <w:sz w:val="22"/>
          <w:szCs w:val="22"/>
          <w:rtl w:val="0"/>
        </w:rPr>
        <w:t xml:space="preserve">00424/PJUDICI/IP/2025 </w:t>
      </w:r>
    </w:p>
    <w:p w:rsidR="00000000" w:rsidDel="00000000" w:rsidP="00000000" w:rsidRDefault="00000000" w:rsidRPr="00000000" w14:paraId="0000000A">
      <w:pPr>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ab/>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TITULAR DE LA UNIDAD DE TRANSPARENCIA DEL PODER JUDICIAL DEL ESTADO DE MÉXICO PRESENTE. Con fundamento en los artículos 4, 5, 7, 8, 9, 10, 11, y demás relativos y aplicables de la Ley de Transparencia y Acceso a la Información Pública del Estado de México y Municipios, me permito solicitar la siguiente información: Solicitud: Versión pública de UN expediente (completo que contenga desde la interposición de sal solicitud de divorcio), en materia de divorcio incausado y voluntario, ( es decir un expediente de cada uno) pertenecientes al Juzgado Civil de Primera Instancia de El Oro, con residencia en Atlacomulco, Estado de México. Motivación y fundamento: • De conformidad con el principio de máxima publicidad establecido en el artículo 4 de la Ley de Transparencia, toda la información en posesión de sujetos obligados es pública y solo puede reservarse en casos excepcionales.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 El artículo 92, fracción XL, establece que las sentencias emitidas por los órganos jurisdiccionales tienen el carácter de información pública, y en consecuencia, los documentos procesales que forman parte de estos procedimientos deben considerarse de interés público, salvo los datos personales que deban ser testados. • El Poder Judicial del Estado de México publica las sentencias en su plataforma digital, lo que implica que posee y administra los expedientes judiciales que dieron origen a dichas resoluciones como lo establece el artículo 24, que a la letra dice “ Para el cumplimiento de los objetivos de esta Ley, los sujetos obligados deberán cumplir con las siguientes obligaciones, según corresponda, de acuerdo a su naturaleza: XXII. Documentar todo acto que derive del ejercicio de sus facultades, competencias o funciones y abstenerse de destruirlos u ocultarlos, dentro de los que destacan los procesos deliberativos y de decisión definitiva; • De igual forma el articulo 140 fraccion VIII manifiesta lo siguiente ; • VIII. Vulnere la conducción de los expedientes judiciales o de los procedimientos administrativos seguidos en forma de juicio, en tanto no hayan quedado firmes; • </w:t>
      </w:r>
      <w:r w:rsidDel="00000000" w:rsidR="00000000" w:rsidRPr="00000000">
        <w:rPr>
          <w:rFonts w:ascii="Palatino Linotype" w:cs="Palatino Linotype" w:eastAsia="Palatino Linotype" w:hAnsi="Palatino Linotype"/>
          <w:b w:val="1"/>
          <w:i w:val="1"/>
          <w:sz w:val="22"/>
          <w:szCs w:val="22"/>
          <w:rtl w:val="0"/>
        </w:rPr>
        <w:t xml:space="preserve">En este sentido se solicita información de procesos que ya quedaron firmes y causaron sentencio</w:t>
      </w:r>
      <w:r w:rsidDel="00000000" w:rsidR="00000000" w:rsidRPr="00000000">
        <w:rPr>
          <w:rFonts w:ascii="Palatino Linotype" w:cs="Palatino Linotype" w:eastAsia="Palatino Linotype" w:hAnsi="Palatino Linotype"/>
          <w:i w:val="1"/>
          <w:sz w:val="22"/>
          <w:szCs w:val="22"/>
          <w:rtl w:val="0"/>
        </w:rPr>
        <w:t xml:space="preserve">, NO LOS QUE SE ESTAN LLEVANDO A CABO EN TIEMPO PRESENTE, POR LO TANTO NO PUEDE CLASIFICAR LA INFORMACION COMO RESERVADA. • • En virtud de lo anterior, se solicita la versión pública de los expedientes mencionados, asegurando la protección de datos personales, conforme a lo establecido en la ley de la materia. Forma de entrega: Solicito que la información sea proporcionada en versión pública en formato digital (PDF u otro formato accesible). Atentamente, XXXX XXXX XXXXX”</w:t>
      </w:r>
    </w:p>
    <w:p w:rsidR="00000000" w:rsidDel="00000000" w:rsidP="00000000" w:rsidRDefault="00000000" w:rsidRPr="00000000" w14:paraId="0000000B">
      <w:pPr>
        <w:spacing w:line="360" w:lineRule="auto"/>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veintidós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veinticinco</w:t>
      </w:r>
      <w:r w:rsidDel="00000000" w:rsidR="00000000" w:rsidRPr="00000000">
        <w:rPr>
          <w:rFonts w:ascii="Palatino Linotype" w:cs="Palatino Linotype" w:eastAsia="Palatino Linotype" w:hAnsi="Palatino Linotype"/>
          <w:sz w:val="22"/>
          <w:szCs w:val="22"/>
          <w:rtl w:val="0"/>
        </w:rPr>
        <w:t xml:space="preserve">, el Sujeto Obligado dio respuesta a la solicitud, en los siguientes términos:</w:t>
      </w:r>
    </w:p>
    <w:p w:rsidR="00000000" w:rsidDel="00000000" w:rsidP="00000000" w:rsidRDefault="00000000" w:rsidRPr="00000000" w14:paraId="0000000F">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widowControl w:val="0"/>
        <w:spacing w:line="276" w:lineRule="auto"/>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anexa documento” (sic)</w:t>
      </w:r>
    </w:p>
    <w:p w:rsidR="00000000" w:rsidDel="00000000" w:rsidP="00000000" w:rsidRDefault="00000000" w:rsidRPr="00000000" w14:paraId="00000011">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adjuntó los documentos electrónicos denominados </w:t>
      </w:r>
      <w:r w:rsidDel="00000000" w:rsidR="00000000" w:rsidRPr="00000000">
        <w:rPr>
          <w:rFonts w:ascii="Palatino Linotype" w:cs="Palatino Linotype" w:eastAsia="Palatino Linotype" w:hAnsi="Palatino Linotype"/>
          <w:b w:val="1"/>
          <w:sz w:val="22"/>
          <w:szCs w:val="22"/>
          <w:rtl w:val="0"/>
        </w:rPr>
        <w:t xml:space="preserve">RESPUESTA 424-2025.pdf</w:t>
      </w:r>
      <w:r w:rsidDel="00000000" w:rsidR="00000000" w:rsidRPr="00000000">
        <w:rPr>
          <w:rFonts w:ascii="Palatino Linotype" w:cs="Palatino Linotype" w:eastAsia="Palatino Linotype" w:hAnsi="Palatino Linotype"/>
          <w:sz w:val="22"/>
          <w:szCs w:val="22"/>
          <w:rtl w:val="0"/>
        </w:rPr>
        <w:t xml:space="preserve"> los cuales se analizarán en el Considerando Correspondiente.</w:t>
      </w:r>
    </w:p>
    <w:p w:rsidR="00000000" w:rsidDel="00000000" w:rsidP="00000000" w:rsidRDefault="00000000" w:rsidRPr="00000000" w14:paraId="00000013">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veintisiete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veinticinco, LA PARTE RECURRENTE </w:t>
      </w:r>
      <w:r w:rsidDel="00000000" w:rsidR="00000000" w:rsidRPr="00000000">
        <w:rPr>
          <w:rFonts w:ascii="Palatino Linotype" w:cs="Palatino Linotype" w:eastAsia="Palatino Linotype" w:hAnsi="Palatino Linotype"/>
          <w:sz w:val="22"/>
          <w:szCs w:val="22"/>
          <w:rtl w:val="0"/>
        </w:rPr>
        <w:t xml:space="preserve">interpuso el recurso de revisión, mediante el cual y manifestó lo siguiente: </w:t>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numPr>
          <w:ilvl w:val="0"/>
          <w:numId w:val="7"/>
        </w:numPr>
        <w:pBdr>
          <w:top w:space="0" w:sz="0" w:val="nil"/>
          <w:left w:space="0" w:sz="0" w:val="nil"/>
          <w:bottom w:space="0" w:sz="0" w:val="nil"/>
          <w:right w:space="0" w:sz="0" w:val="nil"/>
          <w:between w:space="0" w:sz="0" w:val="nil"/>
        </w:pBdr>
        <w:spacing w:line="360" w:lineRule="auto"/>
        <w:ind w:left="720" w:right="560"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Acto Impugnado:</w:t>
      </w:r>
      <w:r w:rsidDel="00000000" w:rsidR="00000000" w:rsidRPr="00000000">
        <w:rPr>
          <w:rFonts w:ascii="Palatino Linotype" w:cs="Palatino Linotype" w:eastAsia="Palatino Linotype" w:hAnsi="Palatino Linotype"/>
          <w:i w:val="1"/>
          <w:sz w:val="22"/>
          <w:szCs w:val="22"/>
          <w:rtl w:val="0"/>
        </w:rPr>
        <w:t xml:space="preserve"> “no entrega la informacion solicitada, se solicita entregue la informacion, se pide al pleno de l infoem aplique la suplencia de la queja y el principio propersona, control difuso en sentido amplio o estricto, control de convencionalidad, interpretacion conforme y el test de proporcionalidad, con la finalidad de que mi derecho humano no sea transgredido por la manifestación negativa de una autoridad, negando arbitrariamente y sin justificación el acceso a esa información que es de interés publico y de certeza ciudadana. No entrega la información solicitada”.</w:t>
      </w:r>
    </w:p>
    <w:p w:rsidR="00000000" w:rsidDel="00000000" w:rsidP="00000000" w:rsidRDefault="00000000" w:rsidRPr="00000000" w14:paraId="00000017">
      <w:pPr>
        <w:numPr>
          <w:ilvl w:val="0"/>
          <w:numId w:val="7"/>
        </w:numPr>
        <w:pBdr>
          <w:top w:space="0" w:sz="0" w:val="nil"/>
          <w:left w:space="0" w:sz="0" w:val="nil"/>
          <w:bottom w:space="0" w:sz="0" w:val="nil"/>
          <w:right w:space="0" w:sz="0" w:val="nil"/>
          <w:between w:space="0" w:sz="0" w:val="nil"/>
        </w:pBdr>
        <w:spacing w:line="360" w:lineRule="auto"/>
        <w:ind w:left="720" w:right="560"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Motivo de inconformidad:</w:t>
      </w:r>
      <w:r w:rsidDel="00000000" w:rsidR="00000000" w:rsidRPr="00000000">
        <w:rPr>
          <w:rFonts w:ascii="Palatino Linotype" w:cs="Palatino Linotype" w:eastAsia="Palatino Linotype" w:hAnsi="Palatino Linotype"/>
          <w:i w:val="1"/>
          <w:sz w:val="22"/>
          <w:szCs w:val="22"/>
          <w:rtl w:val="0"/>
        </w:rPr>
        <w:t xml:space="preserve"> “No entrega información”.</w:t>
      </w:r>
    </w:p>
    <w:p w:rsidR="00000000" w:rsidDel="00000000" w:rsidP="00000000" w:rsidRDefault="00000000" w:rsidRPr="00000000" w14:paraId="00000018">
      <w:pPr>
        <w:spacing w:line="360" w:lineRule="auto"/>
        <w:ind w:left="142"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06009/INFOEM/IP/RR/2025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treinta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mayo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w:t>
      </w: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01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advierte que, el </w:t>
      </w:r>
      <w:r w:rsidDel="00000000" w:rsidR="00000000" w:rsidRPr="00000000">
        <w:rPr>
          <w:rFonts w:ascii="Palatino Linotype" w:cs="Palatino Linotype" w:eastAsia="Palatino Linotype" w:hAnsi="Palatino Linotype"/>
          <w:b w:val="1"/>
          <w:sz w:val="22"/>
          <w:szCs w:val="22"/>
          <w:rtl w:val="0"/>
        </w:rPr>
        <w:t xml:space="preserve">diez de junio de dos mil veinticinco,</w:t>
      </w:r>
      <w:r w:rsidDel="00000000" w:rsidR="00000000" w:rsidRPr="00000000">
        <w:rPr>
          <w:rFonts w:ascii="Palatino Linotype" w:cs="Palatino Linotype" w:eastAsia="Palatino Linotype" w:hAnsi="Palatino Linotype"/>
          <w:sz w:val="22"/>
          <w:szCs w:val="22"/>
          <w:rtl w:val="0"/>
        </w:rPr>
        <w:t xml:space="preserve"> el Sujeto Obligado entregó el documento denominado </w:t>
      </w:r>
      <w:r w:rsidDel="00000000" w:rsidR="00000000" w:rsidRPr="00000000">
        <w:rPr>
          <w:rFonts w:ascii="Palatino Linotype" w:cs="Palatino Linotype" w:eastAsia="Palatino Linotype" w:hAnsi="Palatino Linotype"/>
          <w:b w:val="1"/>
          <w:i w:val="1"/>
          <w:sz w:val="22"/>
          <w:szCs w:val="22"/>
          <w:rtl w:val="0"/>
        </w:rPr>
        <w:t xml:space="preserve">Informe Justif Rr 06009 25.pdf</w:t>
      </w:r>
      <w:r w:rsidDel="00000000" w:rsidR="00000000" w:rsidRPr="00000000">
        <w:rPr>
          <w:rFonts w:ascii="Palatino Linotype" w:cs="Palatino Linotype" w:eastAsia="Palatino Linotype" w:hAnsi="Palatino Linotype"/>
          <w:sz w:val="22"/>
          <w:szCs w:val="22"/>
          <w:rtl w:val="0"/>
        </w:rPr>
        <w:t xml:space="preserve">, mediante el cual ratifica la respuesta inicial. El informe justificado se puso a disposición del Recurrente el </w:t>
      </w:r>
      <w:r w:rsidDel="00000000" w:rsidR="00000000" w:rsidRPr="00000000">
        <w:rPr>
          <w:rFonts w:ascii="Palatino Linotype" w:cs="Palatino Linotype" w:eastAsia="Palatino Linotype" w:hAnsi="Palatino Linotype"/>
          <w:b w:val="1"/>
          <w:sz w:val="22"/>
          <w:szCs w:val="22"/>
          <w:rtl w:val="0"/>
        </w:rPr>
        <w:t xml:space="preserve">veintisiete de agosto de dos mil veinticinco.</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 plazo. El veintisiete de agosto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 mediante el acuerdo notificado el veinte de agosto de la misma anualidad.</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2C">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2D">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2E">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2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9">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dos de septiembre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4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spacing w:line="360" w:lineRule="auto"/>
        <w:ind w:right="49"/>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w:t>
        <w:tab/>
        <w:t xml:space="preserve">C O N S I D E R A N D O:</w:t>
      </w:r>
    </w:p>
    <w:p w:rsidR="00000000" w:rsidDel="00000000" w:rsidP="00000000" w:rsidRDefault="00000000" w:rsidRPr="00000000" w14:paraId="0000004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47">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día </w:t>
      </w:r>
      <w:r w:rsidDel="00000000" w:rsidR="00000000" w:rsidRPr="00000000">
        <w:rPr>
          <w:rFonts w:ascii="Palatino Linotype" w:cs="Palatino Linotype" w:eastAsia="Palatino Linotype" w:hAnsi="Palatino Linotype"/>
          <w:b w:val="1"/>
          <w:sz w:val="22"/>
          <w:szCs w:val="22"/>
          <w:rtl w:val="0"/>
        </w:rPr>
        <w:t xml:space="preserve">veintidós de mayo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veintisiete de mayo del año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sz w:val="22"/>
          <w:szCs w:val="22"/>
          <w:rtl w:val="0"/>
        </w:rPr>
        <w:t xml:space="preserve">tercer día hábil </w:t>
      </w:r>
      <w:r w:rsidDel="00000000" w:rsidR="00000000" w:rsidRPr="00000000">
        <w:rPr>
          <w:rFonts w:ascii="Palatino Linotype" w:cs="Palatino Linotype" w:eastAsia="Palatino Linotype" w:hAnsi="Palatino Linotype"/>
          <w:sz w:val="22"/>
          <w:szCs w:val="22"/>
          <w:rtl w:val="0"/>
        </w:rPr>
        <w:t xml:space="preserve">siguiente al que se tuvo conocimiento de la respuesta respectivamente.</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4A">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B">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de la información solicitada </w:t>
      </w:r>
    </w:p>
    <w:p w:rsidR="00000000" w:rsidDel="00000000" w:rsidP="00000000" w:rsidRDefault="00000000" w:rsidRPr="00000000" w14:paraId="0000004C">
      <w:pPr>
        <w:spacing w:line="360" w:lineRule="auto"/>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como el informe justificado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1">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3">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7">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8">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5">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9">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F">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0">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1">
      <w:pPr>
        <w:tabs>
          <w:tab w:val="left" w:leader="none" w:pos="8647"/>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2">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sz w:val="22"/>
          <w:szCs w:val="22"/>
          <w:rtl w:val="0"/>
        </w:rPr>
        <w:t xml:space="preserve">Poder Judicial lo siguiente:</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line="360" w:lineRule="auto"/>
        <w:ind w:left="851" w:right="843"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Versión pública de UN expediente (completo que contenga desde la interposición de sal solicitud de divorcio), en materia de divorcio incausado y voluntario, ( es decir un expediente de cada uno) pertenecientes al Juzgado Civil de Primera Instancia de El Oro, con residencia en Atlacomulco, Estado de México. En este sentido se solicita información de procesos que ya quedaron firmes y causaron sentencio. </w:t>
      </w:r>
    </w:p>
    <w:p w:rsidR="00000000" w:rsidDel="00000000" w:rsidP="00000000" w:rsidRDefault="00000000" w:rsidRPr="00000000" w14:paraId="00000074">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5">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en su respuesta entregó los siguientes documentos electrónicos:</w:t>
      </w:r>
    </w:p>
    <w:p w:rsidR="00000000" w:rsidDel="00000000" w:rsidP="00000000" w:rsidRDefault="00000000" w:rsidRPr="00000000" w14:paraId="00000076">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line="360" w:lineRule="auto"/>
        <w:ind w:left="720" w:right="-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424-2025.pdf </w:t>
      </w:r>
      <w:r w:rsidDel="00000000" w:rsidR="00000000" w:rsidRPr="00000000">
        <w:rPr>
          <w:rFonts w:ascii="Palatino Linotype" w:cs="Palatino Linotype" w:eastAsia="Palatino Linotype" w:hAnsi="Palatino Linotype"/>
          <w:sz w:val="22"/>
          <w:szCs w:val="22"/>
          <w:rtl w:val="0"/>
        </w:rPr>
        <w:t xml:space="preserve">que corresponde a un documento si número de oficio suscrito por el Titular de la Unidad de Transparencia mediante el cual señaló una dirección electrónica y el procedimiento a seguir para acceder a la versión pública de las resoluciones que emite el Poder Judicial.</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left="720" w:right="-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se inconformó porque no se le entregó la información solicitada.</w:t>
      </w:r>
    </w:p>
    <w:p w:rsidR="00000000" w:rsidDel="00000000" w:rsidP="00000000" w:rsidRDefault="00000000" w:rsidRPr="00000000" w14:paraId="0000007A">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Mediante el informe justificado ratifia la respuesta inicial, indicando el procedimiento para consultar las sentencias. </w:t>
      </w:r>
    </w:p>
    <w:p w:rsidR="00000000" w:rsidDel="00000000" w:rsidP="00000000" w:rsidRDefault="00000000" w:rsidRPr="00000000" w14:paraId="0000007C">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momento, se aprecia que, quién da respuesta a la solicitud es el Titular de la Unidad de Transparencia, unidad administrativa que de acuerdo a la Ley de Transparencia y Acceso a la Información es la encargada de turnar las solicitudes de acceso a la información pública a las áreas que de acuerdo a sus atribuciones, funciones y competencias deban generar, administrar y poseer la información que requieran los particulares, por lo que, al no haber turnado la solicitud a ninguna área, no siguió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80">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81">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82">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83">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84">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no turnó la solicitud a la o a las unidades administrativas con atribuciones para generar, administrar y poseer la información requerida por el particular, por lo que, se tiene que no se acreditó la correcta búsqueda exhaustiva y razonable de la información.</w:t>
      </w:r>
    </w:p>
    <w:p w:rsidR="00000000" w:rsidDel="00000000" w:rsidP="00000000" w:rsidRDefault="00000000" w:rsidRPr="00000000" w14:paraId="00000086">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 través de su respuesta señaló el procedimiento a través del cual el Recurrente puede acceder a la versión pública de las sentencias en materia de divorcio; se inserta imagen de referencia:</w:t>
      </w:r>
    </w:p>
    <w:p w:rsidR="00000000" w:rsidDel="00000000" w:rsidP="00000000" w:rsidRDefault="00000000" w:rsidRPr="00000000" w14:paraId="00000088">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4154805"/>
            <wp:effectExtent b="0" l="0" r="0" t="0"/>
            <wp:docPr descr="Interfaz de usuario gráfica, Texto, Aplicación, Word&#10;&#10;El contenido generado por IA puede ser incorrecto." id="100503510" name="image1.png"/>
            <a:graphic>
              <a:graphicData uri="http://schemas.openxmlformats.org/drawingml/2006/picture">
                <pic:pic>
                  <pic:nvPicPr>
                    <pic:cNvPr descr="Interfaz de usuario gráfica, Texto, Aplicación, Word&#10;&#10;El contenido generado por IA puede ser incorrecto." id="0" name="image1.png"/>
                    <pic:cNvPicPr preferRelativeResize="0"/>
                  </pic:nvPicPr>
                  <pic:blipFill>
                    <a:blip r:embed="rId7"/>
                    <a:srcRect b="0" l="0" r="0" t="0"/>
                    <a:stretch>
                      <a:fillRect/>
                    </a:stretch>
                  </pic:blipFill>
                  <pic:spPr>
                    <a:xfrm>
                      <a:off x="0" y="0"/>
                      <a:ext cx="5756275" cy="415480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es de recordar que el Recurrente no solicitó las sentencias, sino los expedientes que dieron origen a las sentencias, desde la presentación de la demanda.  </w:t>
      </w:r>
    </w:p>
    <w:p w:rsidR="00000000" w:rsidDel="00000000" w:rsidP="00000000" w:rsidRDefault="00000000" w:rsidRPr="00000000" w14:paraId="0000008B">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la naturaleza de la información solicitada, es necesario traer a contexto el Código Civil del Estado de México, el cual establece lo siguiente:</w:t>
      </w:r>
    </w:p>
    <w:p w:rsidR="00000000" w:rsidDel="00000000" w:rsidP="00000000" w:rsidRDefault="00000000" w:rsidRPr="00000000" w14:paraId="0000008D">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TITULO TERCERO</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Divorcio</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Efectos jurídicos del divorcio</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4.88.- </w:t>
      </w:r>
      <w:r w:rsidDel="00000000" w:rsidR="00000000" w:rsidRPr="00000000">
        <w:rPr>
          <w:rFonts w:ascii="Palatino Linotype" w:cs="Palatino Linotype" w:eastAsia="Palatino Linotype" w:hAnsi="Palatino Linotype"/>
          <w:i w:val="1"/>
          <w:sz w:val="22"/>
          <w:szCs w:val="22"/>
          <w:rtl w:val="0"/>
        </w:rPr>
        <w:t xml:space="preserve">El divorcio disuelve el matrimonio y deja a los cónyuges en aptitud de contraer otro</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Clases de divorcio</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4.89. </w:t>
      </w:r>
      <w:r w:rsidDel="00000000" w:rsidR="00000000" w:rsidRPr="00000000">
        <w:rPr>
          <w:rFonts w:ascii="Palatino Linotype" w:cs="Palatino Linotype" w:eastAsia="Palatino Linotype" w:hAnsi="Palatino Linotype"/>
          <w:i w:val="1"/>
          <w:sz w:val="22"/>
          <w:szCs w:val="22"/>
          <w:rtl w:val="0"/>
        </w:rPr>
        <w:t xml:space="preserve">El divorcio se clasifica en incausado, voluntario, administrativo y notarial. Es incausado cuando cualquiera de los cónyuges lo solicita sin que exista necesidad de señalar la razón que lo motiva y es voluntario cuando se solicita de común acuerdo.</w:t>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Divorcio ante Notaría Pública</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4.89 bis. </w:t>
      </w:r>
      <w:r w:rsidDel="00000000" w:rsidR="00000000" w:rsidRPr="00000000">
        <w:rPr>
          <w:rFonts w:ascii="Palatino Linotype" w:cs="Palatino Linotype" w:eastAsia="Palatino Linotype" w:hAnsi="Palatino Linotype"/>
          <w:i w:val="1"/>
          <w:sz w:val="22"/>
          <w:szCs w:val="22"/>
          <w:rtl w:val="0"/>
        </w:rPr>
        <w:t xml:space="preserve">Los cónyuges podrán acordar su separación de mutuo acuerdo ante Notaría Pública, para que a través de convenio de divorcio asentado en escritura pública disuelvan el vínculo matrimonial, siempre y cuando no tengan hijas o hijos menores de edad o mayores sujetos a tutela y hubieren liquidado la sociedad conyugal, si la hubiere.</w:t>
      </w:r>
    </w:p>
    <w:p w:rsidR="00000000" w:rsidDel="00000000" w:rsidP="00000000" w:rsidRDefault="00000000" w:rsidRPr="00000000" w14:paraId="00000099">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ind w:left="567" w:right="8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Legitimación y plazo para solicitar el divorcio incausado </w:t>
      </w:r>
    </w:p>
    <w:p w:rsidR="00000000" w:rsidDel="00000000" w:rsidP="00000000" w:rsidRDefault="00000000" w:rsidRPr="00000000" w14:paraId="0000009B">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4.91.- El divorcio podrá pedirse por uno de los cónyuges, con la sola manifestación de la voluntad de no querer continuar con el matrimonio.</w:t>
      </w:r>
    </w:p>
    <w:p w:rsidR="00000000" w:rsidDel="00000000" w:rsidP="00000000" w:rsidRDefault="00000000" w:rsidRPr="00000000" w14:paraId="0000009C">
      <w:pPr>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en el Estado de México, la legislación en la materia contempla diversas clases de divorcio, siendo el incausado, voluntario, administrativo y notarial. El divorcio incausado es cuando uno de los cónyugues decide realizar la disolución del vínculo matrimonial; mientras que el divocio voluntario es cuando ambos cónyugues están de acuerdo en disolver el vínculo matrimonial. Por su parte, el Código de Procedimientos Civiles del Estado de México  establece lo siguiente:</w:t>
      </w:r>
    </w:p>
    <w:p w:rsidR="00000000" w:rsidDel="00000000" w:rsidP="00000000" w:rsidRDefault="00000000" w:rsidRPr="00000000" w14:paraId="0000009F">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8931"/>
        </w:tabs>
        <w:ind w:left="567" w:right="56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II</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931"/>
        </w:tabs>
        <w:ind w:left="567" w:right="56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Divorcio por Mutuo Consentimiento</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8931"/>
        </w:tabs>
        <w:ind w:left="567" w:right="56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Requisitos para el divorcio por mutuo consentimiento</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2.275.- </w:t>
      </w:r>
      <w:r w:rsidDel="00000000" w:rsidR="00000000" w:rsidRPr="00000000">
        <w:rPr>
          <w:rFonts w:ascii="Palatino Linotype" w:cs="Palatino Linotype" w:eastAsia="Palatino Linotype" w:hAnsi="Palatino Linotype"/>
          <w:i w:val="1"/>
          <w:sz w:val="22"/>
          <w:szCs w:val="22"/>
          <w:rtl w:val="0"/>
        </w:rPr>
        <w:t xml:space="preserve">Cuando ambos cónyuges convengan en divorciarse, presentarán su solicitud escrita</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Juez acompañando:</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Convenio a que se refiere el Código Civil;</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Copia certificada del acta de su matrimonio;</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Copia certificada del acta de nacimiento de sus menores hijos.</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juez velará para que el convenio que se adjunte a la solicitud de divorcio por mutuo</w:t>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consentimiento, sea acorde con el interés superior de los menores e incapaces.</w:t>
      </w:r>
    </w:p>
    <w:p w:rsidR="00000000" w:rsidDel="00000000" w:rsidP="00000000" w:rsidRDefault="00000000" w:rsidRPr="00000000" w14:paraId="000000AA">
      <w:pP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B">
      <w:pP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8931"/>
        </w:tabs>
        <w:ind w:left="567" w:right="56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IX</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8931"/>
        </w:tabs>
        <w:ind w:left="567" w:right="56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DEL DIVORCIO INCAUSADO</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Requisitos</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2.373.</w:t>
      </w:r>
      <w:r w:rsidDel="00000000" w:rsidR="00000000" w:rsidRPr="00000000">
        <w:rPr>
          <w:rFonts w:ascii="Palatino Linotype" w:cs="Palatino Linotype" w:eastAsia="Palatino Linotype" w:hAnsi="Palatino Linotype"/>
          <w:i w:val="1"/>
          <w:sz w:val="22"/>
          <w:szCs w:val="22"/>
          <w:rtl w:val="0"/>
        </w:rPr>
        <w:t xml:space="preserve"> La solicitud de divorcio podrá presentarse por uno de los cónyuges, sin necesidad de señalar la razón que lo motive, debiendo acompañar:</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Acta de matrimonio en copia certificada;</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Acta de nacimiento de los hijos, en copia certificada; y</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Propuesta de convenio que habrá de regular las consecuencias de la disolución del vínculo</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matrimonial, debiendo contener:</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La designación sobre la guarda y custodia de las niñas, los niños y los adolescentes o incapaces</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quedará preferentemente al cuidado de la madre y el domicilio donde vivirán.</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El régimen de visita y convivencia respecto del progenitor que no ejercerá la guarda y custodia de los menores;</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La designación del cónyuge que seguirá habitando, en su caso, el domicilio donde se haga vida en común;</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8931"/>
        </w:tabs>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La cantidad que por concepto de alimentos se propone, para atender las necesidades de los hijos y en su caso del cónyuge a quien deba darse alimentos, la forma, lugar y temporalidad para hacerlo, los elementos que permitan al Juez fijar la pensión propuesta, así como la garantía para asegurar su cumplimiento.</w:t>
      </w:r>
    </w:p>
    <w:p w:rsidR="00000000" w:rsidDel="00000000" w:rsidP="00000000" w:rsidRDefault="00000000" w:rsidRPr="00000000" w14:paraId="000000B9">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divocio por mutuo consentimiento se inicia con una solicitud escrita por ambas partes; mientras que, el divorcio incausado se inicia con una solicitud por uno sólo de los conyugues, en ambos casos concluye con una resolución del Juez, en el que se establece la disolución del vínculo matrimonial.</w:t>
      </w:r>
    </w:p>
    <w:p w:rsidR="00000000" w:rsidDel="00000000" w:rsidP="00000000" w:rsidRDefault="00000000" w:rsidRPr="00000000" w14:paraId="000000BB">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BC">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debe resaltarse que respecto a la naturaleza de esta información, el entonces Instituto Federal de Acceso a la Información Pública (IFAI), actualmente Instituto Nacional de Transparencia y Protección de Datos (INAI), contempla en la obra literaria “</w:t>
      </w:r>
      <w:r w:rsidDel="00000000" w:rsidR="00000000" w:rsidRPr="00000000">
        <w:rPr>
          <w:rFonts w:ascii="Palatino Linotype" w:cs="Palatino Linotype" w:eastAsia="Palatino Linotype" w:hAnsi="Palatino Linotype"/>
          <w:b w:val="1"/>
          <w:i w:val="1"/>
          <w:sz w:val="22"/>
          <w:szCs w:val="22"/>
          <w:rtl w:val="0"/>
        </w:rPr>
        <w:t xml:space="preserve">La Transparencia y el Acceso a la Información en los Expedientes Judiciales</w:t>
      </w:r>
      <w:r w:rsidDel="00000000" w:rsidR="00000000" w:rsidRPr="00000000">
        <w:rPr>
          <w:rFonts w:ascii="Palatino Linotype" w:cs="Palatino Linotype" w:eastAsia="Palatino Linotype" w:hAnsi="Palatino Linotype"/>
          <w:sz w:val="22"/>
          <w:szCs w:val="22"/>
          <w:rtl w:val="0"/>
        </w:rPr>
        <w:t xml:space="preserve">” que en materia de acceso a la información, </w:t>
      </w:r>
      <w:r w:rsidDel="00000000" w:rsidR="00000000" w:rsidRPr="00000000">
        <w:rPr>
          <w:rFonts w:ascii="Palatino Linotype" w:cs="Palatino Linotype" w:eastAsia="Palatino Linotype" w:hAnsi="Palatino Linotype"/>
          <w:b w:val="1"/>
          <w:sz w:val="22"/>
          <w:szCs w:val="22"/>
          <w:u w:val="single"/>
          <w:rtl w:val="0"/>
        </w:rPr>
        <w:t xml:space="preserve">cualquier acuerdo dictado por el juzgador en un expediente judicial es, en principio, público</w:t>
      </w:r>
      <w:r w:rsidDel="00000000" w:rsidR="00000000" w:rsidRPr="00000000">
        <w:rPr>
          <w:rFonts w:ascii="Palatino Linotype" w:cs="Palatino Linotype" w:eastAsia="Palatino Linotype" w:hAnsi="Palatino Linotype"/>
          <w:sz w:val="22"/>
          <w:szCs w:val="22"/>
          <w:rtl w:val="0"/>
        </w:rPr>
        <w:t xml:space="preserve">. No obstante, es plausible que se actualice alguna causal de reserva por el daño que pudiera ocasionarse al interés público con la divulgación de lo solicitado, asimismo que </w:t>
      </w:r>
      <w:r w:rsidDel="00000000" w:rsidR="00000000" w:rsidRPr="00000000">
        <w:rPr>
          <w:rFonts w:ascii="Palatino Linotype" w:cs="Palatino Linotype" w:eastAsia="Palatino Linotype" w:hAnsi="Palatino Linotype"/>
          <w:b w:val="1"/>
          <w:sz w:val="22"/>
          <w:szCs w:val="22"/>
          <w:u w:val="single"/>
          <w:rtl w:val="0"/>
        </w:rPr>
        <w:t xml:space="preserve">en todos los casos, las actuaciones judiciales admiten ser divulgadas en versión pública, en las que se suprime la información reservada o confidencial, incluyendo los datos personales que obren en el documento solicitado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E">
      <w:pPr>
        <w:spacing w:line="360" w:lineRule="auto"/>
        <w:ind w:right="-93"/>
        <w:jc w:val="both"/>
        <w:rPr>
          <w:rFonts w:ascii="Palatino Linotype" w:cs="Palatino Linotype" w:eastAsia="Palatino Linotype" w:hAnsi="Palatino Linotype"/>
          <w:b w:val="1"/>
          <w:sz w:val="22"/>
          <w:szCs w:val="22"/>
          <w:u w:val="single"/>
        </w:rPr>
      </w:pPr>
      <w:bookmarkStart w:colFirst="0" w:colLast="0" w:name="_heading=h.35nkun2" w:id="1"/>
      <w:bookmarkEnd w:id="1"/>
      <w:r w:rsidDel="00000000" w:rsidR="00000000" w:rsidRPr="00000000">
        <w:rPr>
          <w:rFonts w:ascii="Palatino Linotype" w:cs="Palatino Linotype" w:eastAsia="Palatino Linotype" w:hAnsi="Palatino Linotype"/>
          <w:sz w:val="22"/>
          <w:szCs w:val="22"/>
          <w:rtl w:val="0"/>
        </w:rPr>
        <w:t xml:space="preserve">Por consiguiente, es dable afirmar que en efecto, existe un interés público de la ciudadanía para conocer el actuar de los órganos jurisdiccionales, por lo que en ese caso, es procedente la entrega de documentales que obran en los expedientes, siempre y cuando se entreguen en versión pública y sobre aquellos que ya hayan causado estado; por lo que trasladando esta premisa a nuestro caso, concluimos que </w:t>
      </w:r>
      <w:r w:rsidDel="00000000" w:rsidR="00000000" w:rsidRPr="00000000">
        <w:rPr>
          <w:rFonts w:ascii="Palatino Linotype" w:cs="Palatino Linotype" w:eastAsia="Palatino Linotype" w:hAnsi="Palatino Linotype"/>
          <w:b w:val="1"/>
          <w:sz w:val="22"/>
          <w:szCs w:val="22"/>
          <w:u w:val="single"/>
          <w:rtl w:val="0"/>
        </w:rPr>
        <w:t xml:space="preserve">únicamente procederá la entrega de los expedientes, en versión pública, siempre y cuando el procedimiento judicial haya quedado firme. </w:t>
      </w:r>
    </w:p>
    <w:p w:rsidR="00000000" w:rsidDel="00000000" w:rsidP="00000000" w:rsidRDefault="00000000" w:rsidRPr="00000000" w14:paraId="000000BF">
      <w:pPr>
        <w:spacing w:line="360" w:lineRule="auto"/>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Caso contrario ocurre cuando hablamos de </w:t>
      </w:r>
      <w:r w:rsidDel="00000000" w:rsidR="00000000" w:rsidRPr="00000000">
        <w:rPr>
          <w:rFonts w:ascii="Palatino Linotype" w:cs="Palatino Linotype" w:eastAsia="Palatino Linotype" w:hAnsi="Palatino Linotype"/>
          <w:b w:val="1"/>
          <w:sz w:val="22"/>
          <w:szCs w:val="22"/>
          <w:u w:val="single"/>
          <w:rtl w:val="0"/>
        </w:rPr>
        <w:t xml:space="preserve">procedimientos judiciales que aún no se encuentran firmes, es decir, que se encuentran en trámite</w:t>
      </w:r>
      <w:r w:rsidDel="00000000" w:rsidR="00000000" w:rsidRPr="00000000">
        <w:rPr>
          <w:rFonts w:ascii="Palatino Linotype" w:cs="Palatino Linotype" w:eastAsia="Palatino Linotype" w:hAnsi="Palatino Linotype"/>
          <w:sz w:val="22"/>
          <w:szCs w:val="22"/>
          <w:rtl w:val="0"/>
        </w:rPr>
        <w:t xml:space="preserve"> pues indudablemente actualizan una causal de clasificación; en este sentido, la clasificación se concibe como el acto administrativo mediante el cual los sujetos obligados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determinan que la información requerida actualiza alguno de los supuestos de confidencialidad </w:t>
      </w:r>
      <w:r w:rsidDel="00000000" w:rsidR="00000000" w:rsidRPr="00000000">
        <w:rPr>
          <w:rFonts w:ascii="Palatino Linotype" w:cs="Palatino Linotype" w:eastAsia="Palatino Linotype" w:hAnsi="Palatino Linotype"/>
          <w:b w:val="1"/>
          <w:sz w:val="22"/>
          <w:szCs w:val="22"/>
          <w:rtl w:val="0"/>
        </w:rPr>
        <w:t xml:space="preserve">o </w:t>
      </w:r>
      <w:r w:rsidDel="00000000" w:rsidR="00000000" w:rsidRPr="00000000">
        <w:rPr>
          <w:rFonts w:ascii="Palatino Linotype" w:cs="Palatino Linotype" w:eastAsia="Palatino Linotype" w:hAnsi="Palatino Linotype"/>
          <w:b w:val="1"/>
          <w:sz w:val="22"/>
          <w:szCs w:val="22"/>
          <w:u w:val="single"/>
          <w:rtl w:val="0"/>
        </w:rPr>
        <w:t xml:space="preserve">RESERVA,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acuerdo con las bases y los principios inmersos en la normatividad aplicable, lo cual no se actualiza en el presente asunto en particular.</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los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devienen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y a efecto de garantizar en su totalidad el derecho de acceso a la información, resulta dable </w:t>
      </w:r>
      <w:r w:rsidDel="00000000" w:rsidR="00000000" w:rsidRPr="00000000">
        <w:rPr>
          <w:rFonts w:ascii="Palatino Linotype" w:cs="Palatino Linotype" w:eastAsia="Palatino Linotype" w:hAnsi="Palatino Linotype"/>
          <w:b w:val="1"/>
          <w:sz w:val="22"/>
          <w:szCs w:val="22"/>
          <w:rtl w:val="0"/>
        </w:rPr>
        <w:t xml:space="preserve">REVOCAR</w:t>
      </w:r>
      <w:r w:rsidDel="00000000" w:rsidR="00000000" w:rsidRPr="00000000">
        <w:rPr>
          <w:rFonts w:ascii="Palatino Linotype" w:cs="Palatino Linotype" w:eastAsia="Palatino Linotype" w:hAnsi="Palatino Linotype"/>
          <w:sz w:val="22"/>
          <w:szCs w:val="22"/>
          <w:rtl w:val="0"/>
        </w:rPr>
        <w:t xml:space="preserve"> la respuesta del recurso de revisión </w:t>
      </w:r>
      <w:r w:rsidDel="00000000" w:rsidR="00000000" w:rsidRPr="00000000">
        <w:rPr>
          <w:rFonts w:ascii="Palatino Linotype" w:cs="Palatino Linotype" w:eastAsia="Palatino Linotype" w:hAnsi="Palatino Linotype"/>
          <w:b w:val="1"/>
          <w:sz w:val="22"/>
          <w:szCs w:val="22"/>
          <w:rtl w:val="0"/>
        </w:rPr>
        <w:t xml:space="preserve">06009/INFOEM/IP/RR/2025</w:t>
      </w:r>
      <w:r w:rsidDel="00000000" w:rsidR="00000000" w:rsidRPr="00000000">
        <w:rPr>
          <w:rFonts w:ascii="Palatino Linotype" w:cs="Palatino Linotype" w:eastAsia="Palatino Linotype" w:hAnsi="Palatino Linotype"/>
          <w:sz w:val="22"/>
          <w:szCs w:val="22"/>
          <w:rtl w:val="0"/>
        </w:rPr>
        <w:t xml:space="preserve">, para ordenar la entrega  de lo siguiente:</w:t>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ultimo Expediente de divorcio incausado y voluntario del Juzgado Civil de Primera Instancia de El Oro, que hayan quedado totalmente concluídos al veintinueve de abril de dos mil veinticinco.</w:t>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la elaboración de las versiones públicas, el Sujeto Obligado estará a lo dispuesto en el Considerando Quinto de la presente resolución.</w:t>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0C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0CA">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0CB">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0CC">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CD">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CE">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CF">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0">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D1">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2">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D3">
      <w:pPr>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D4">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D5">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0D6">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D7">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0D8">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0D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D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0D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E0">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1">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2">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3">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0E4">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 </w:t>
      </w:r>
    </w:p>
    <w:p w:rsidR="00000000" w:rsidDel="00000000" w:rsidP="00000000" w:rsidRDefault="00000000" w:rsidRPr="00000000" w14:paraId="000000E5">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0E9">
      <w:pPr>
        <w:spacing w:after="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0E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0EB">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Nombre de las partes en juicios.</w:t>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cabe precisar que el nombre de la persona demandante debe ser motivo de protección, ello en atención a que este Órgano Garante debe ofrecer la mayor protección de una persona que al demandar ejercita su derecho a reclamar ante un órgano el cumplimiento de sus derechos civiles, por lo que, dar a conocer su nombre puede hacerlo identificable.</w:t>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determina que si una persona presenta una demanda, constituye un dato personal confidencial y debe ser protegido en términos del artículo 143, fracción I de la Ley de Transparencia y Acceso a la Información Pública del Estado de México y Municipios.</w:t>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numPr>
          <w:ilvl w:val="0"/>
          <w:numId w:val="6"/>
        </w:numP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Representantes legales del Actor y Sujeto Obligado</w:t>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resulta necesario señalar que las personas son representadas mediante personas físicas, debidamente acreditadas para realizar determinados actos a nombre de esta, por lo que, el nombre de dichos individuos no puede ser objeto de clasificación, en virtud de que la representación persigue la finalidad de dar certeza jurídica a los actos que realiza, en el presente caso, la representación de las partes en un Juicio.</w:t>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la representación de las personas se realizará por medio de representantes o apoderados, y en el caso específico de las sociedades mercantiles, dicha representación se otorgará mediante instrumento público. Ello, toda vez que la representación legal debe ser conocida para surtir efectos ante terceros; es decir, la publicidad de esta tiene por objeto dar certeza a quienes se relacionan con la persona representada, que las actuaciones de su representante están previamente autorizadas y que surtirán efectos legales a que constriñe cada acto.</w:t>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 los representantes dentro de un juicio, </w:t>
      </w:r>
      <w:r w:rsidDel="00000000" w:rsidR="00000000" w:rsidRPr="00000000">
        <w:rPr>
          <w:rFonts w:ascii="Palatino Linotype" w:cs="Palatino Linotype" w:eastAsia="Palatino Linotype" w:hAnsi="Palatino Linotype"/>
          <w:b w:val="1"/>
          <w:sz w:val="22"/>
          <w:szCs w:val="22"/>
          <w:rtl w:val="0"/>
        </w:rPr>
        <w:t xml:space="preserve">es público, </w:t>
      </w:r>
      <w:r w:rsidDel="00000000" w:rsidR="00000000" w:rsidRPr="00000000">
        <w:rPr>
          <w:rFonts w:ascii="Palatino Linotype" w:cs="Palatino Linotype" w:eastAsia="Palatino Linotype" w:hAnsi="Palatino Linotype"/>
          <w:sz w:val="22"/>
          <w:szCs w:val="22"/>
          <w:rtl w:val="0"/>
        </w:rPr>
        <w:t xml:space="preserve">toda vez que por conducto de este, una persona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robustece con el criterio 01/19, emitido por el Instituto Nacional de Transparencia, Acceso a la Información Pública y Protección de Datos Personales, que establece lo siguiente:</w:t>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w:t>
      </w:r>
      <w:r w:rsidDel="00000000" w:rsidR="00000000" w:rsidRPr="00000000">
        <w:rPr>
          <w:rFonts w:ascii="Palatino Linotype" w:cs="Palatino Linotype" w:eastAsia="Palatino Linotype" w:hAnsi="Palatino Linotype"/>
          <w:i w:val="1"/>
          <w:sz w:val="22"/>
          <w:szCs w:val="22"/>
          <w:rtl w:val="0"/>
        </w:rPr>
        <w:t xml:space="preserve">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Ante tales situaciones, el nombre del representante legal de las partes no es susceptible de ser clasificado como confidencial, en términos del artículo 143, fracción I de la Ley Federal de Transparencia y Acceso a la Información Pública.</w:t>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numPr>
          <w:ilvl w:val="0"/>
          <w:numId w:val="6"/>
        </w:numPr>
        <w:spacing w:line="360" w:lineRule="auto"/>
        <w:ind w:left="567" w:hanging="14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los testigos que participan en el juicio.</w:t>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cabe señalar que, en el presente caso, se trata de los nombres que participaron en el juicio, pero que no fueron las partes en controversia, actor o demandado, sino que se trata de los testigos o bien, que participaron por alguna otra circunstancia, en beneficio de alguna de las partes, lo cual atañe a la vida privada de estos.</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toda vez que proporcionar el nombre de dichas personas, </w:t>
      </w:r>
      <w:r w:rsidDel="00000000" w:rsidR="00000000" w:rsidRPr="00000000">
        <w:rPr>
          <w:rFonts w:ascii="Palatino Linotype" w:cs="Palatino Linotype" w:eastAsia="Palatino Linotype" w:hAnsi="Palatino Linotype"/>
          <w:b w:val="1"/>
          <w:sz w:val="22"/>
          <w:szCs w:val="22"/>
          <w:rtl w:val="0"/>
        </w:rPr>
        <w:t xml:space="preserve">revelaría su decisión personal </w:t>
      </w:r>
      <w:r w:rsidDel="00000000" w:rsidR="00000000" w:rsidRPr="00000000">
        <w:rPr>
          <w:rFonts w:ascii="Palatino Linotype" w:cs="Palatino Linotype" w:eastAsia="Palatino Linotype" w:hAnsi="Palatino Linotype"/>
          <w:sz w:val="22"/>
          <w:szCs w:val="22"/>
          <w:rtl w:val="0"/>
        </w:rPr>
        <w:t xml:space="preserve">de dichos individuos de decidir participar en algún juicio, en el presente caso, en beneficio de la parte actora o demandada; al respecto, el artículo 12 de la Declaración Universal de los Derechos Humanos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08">
      <w:pPr>
        <w:tabs>
          <w:tab w:val="left" w:leader="none" w:pos="247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Abona a lo anterior,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000000" w:rsidDel="00000000" w:rsidP="00000000" w:rsidRDefault="00000000" w:rsidRPr="00000000" w14:paraId="0000010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A LA VIDA PRIVADA. SU CONTENIDO GENERAL Y LA IMPORTANCIA DE NO DESCONTEXTUALIZAR LAS REFERENCIAS A LA MISMA. </w:t>
      </w:r>
      <w:r w:rsidDel="00000000" w:rsidR="00000000" w:rsidRPr="00000000">
        <w:rPr>
          <w:rFonts w:ascii="Palatino Linotype" w:cs="Palatino Linotype" w:eastAsia="Palatino Linotype" w:hAnsi="Palatino Linotype"/>
          <w:i w:val="1"/>
          <w:sz w:val="22"/>
          <w:szCs w:val="22"/>
          <w:rtl w:val="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Del="00000000" w:rsidR="00000000" w:rsidRPr="00000000">
        <w:rPr>
          <w:rFonts w:ascii="Palatino Linotype" w:cs="Palatino Linotype" w:eastAsia="Palatino Linotype" w:hAnsi="Palatino Linotype"/>
          <w:b w:val="1"/>
          <w:i w:val="1"/>
          <w:sz w:val="22"/>
          <w:szCs w:val="22"/>
          <w:rtl w:val="0"/>
        </w:rPr>
        <w:t xml:space="preserve">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Del="00000000" w:rsidR="00000000" w:rsidRPr="00000000">
        <w:rPr>
          <w:rFonts w:ascii="Palatino Linotype" w:cs="Palatino Linotype" w:eastAsia="Palatino Linotype" w:hAnsi="Palatino Linotype"/>
          <w:i w:val="1"/>
          <w:sz w:val="22"/>
          <w:szCs w:val="22"/>
          <w:rtl w:val="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Del="00000000" w:rsidR="00000000" w:rsidRPr="00000000">
        <w:rPr>
          <w:rFonts w:ascii="Palatino Linotype" w:cs="Palatino Linotype" w:eastAsia="Palatino Linotype" w:hAnsi="Palatino Linotype"/>
          <w:b w:val="1"/>
          <w:i w:val="1"/>
          <w:sz w:val="22"/>
          <w:szCs w:val="22"/>
          <w:rtl w:val="0"/>
        </w:rPr>
        <w:t xml:space="preserve">En un sentido amplio, entonces, la protección constitucional de la vida privada implica poder conducir parte de la vida de uno protegido de la mirada y las injerencias de los demás</w:t>
      </w:r>
      <w:r w:rsidDel="00000000" w:rsidR="00000000" w:rsidRPr="00000000">
        <w:rPr>
          <w:rFonts w:ascii="Palatino Linotype" w:cs="Palatino Linotype" w:eastAsia="Palatino Linotype" w:hAnsi="Palatino Linotype"/>
          <w:i w:val="1"/>
          <w:sz w:val="22"/>
          <w:szCs w:val="22"/>
          <w:rtl w:val="0"/>
        </w:rPr>
        <w:t xml:space="preserve">,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000000" w:rsidDel="00000000" w:rsidP="00000000" w:rsidRDefault="00000000" w:rsidRPr="00000000" w14:paraId="0000010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ind w:right="-9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conformidad con lo señalado, se colige que </w:t>
      </w:r>
      <w:r w:rsidDel="00000000" w:rsidR="00000000" w:rsidRPr="00000000">
        <w:rPr>
          <w:rFonts w:ascii="Palatino Linotype" w:cs="Palatino Linotype" w:eastAsia="Palatino Linotype" w:hAnsi="Palatino Linotype"/>
          <w:b w:val="1"/>
          <w:sz w:val="22"/>
          <w:szCs w:val="22"/>
          <w:u w:val="single"/>
          <w:rtl w:val="0"/>
        </w:rPr>
        <w:t xml:space="preserve">las actividades que realicen los particulares, dentro del ámbito privado, o dentro de la esfera particular, es información que debe protegerse.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el presente caso, proporcionar el nombre, vinculado con el hecho de que participó en algún juicio, para acreditar el dicho de alguna de las partes en controversia, iría en contra del derecho a la vida privada, pues daría cuenta de la decisión personal; es decir, un acto de voluntad de dicha persona para actuar en dicho procedimiento, en su carácter particular.</w:t>
      </w:r>
      <w:r w:rsidDel="00000000" w:rsidR="00000000" w:rsidRPr="00000000">
        <w:rPr>
          <w:rtl w:val="0"/>
        </w:rPr>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entregar su nombre, no abona a nada a la transparencia, pues el objetivo de entregar el documento en cuestión. En ese orden de ideas,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rsidR="00000000" w:rsidDel="00000000" w:rsidP="00000000" w:rsidRDefault="00000000" w:rsidRPr="00000000" w14:paraId="0000011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A LA PRIVACIDAD O INTIMIDAD. ESTÁ PROTEGIDO POR EL ARTÍCULO 16, PRIMER PÁRRAFO, DE LA CONSTITUCIÓN POLÍTICA DE LOS ESTADOS UNIDOS MEXICANOS. </w:t>
      </w:r>
      <w:r w:rsidDel="00000000" w:rsidR="00000000" w:rsidRPr="00000000">
        <w:rPr>
          <w:rFonts w:ascii="Palatino Linotype" w:cs="Palatino Linotype" w:eastAsia="Palatino Linotype" w:hAnsi="Palatino Linotype"/>
          <w:i w:val="1"/>
          <w:sz w:val="22"/>
          <w:szCs w:val="22"/>
          <w:rtl w:val="0"/>
        </w:rPr>
        <w:t xml:space="preserve">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w:t>
      </w:r>
    </w:p>
    <w:p w:rsidR="00000000" w:rsidDel="00000000" w:rsidP="00000000" w:rsidRDefault="00000000" w:rsidRPr="00000000" w14:paraId="00000113">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en un sentido amplio, dicha garantía puede extenderse a una protección más allá del aseguramiento del domicilio como espacio físico en que se desenvuelve normalmente la privacidad o la intimidad, por lo que en el artículo 16, primer párrafo, constitucional, </w:t>
      </w:r>
      <w:r w:rsidDel="00000000" w:rsidR="00000000" w:rsidRPr="00000000">
        <w:rPr>
          <w:rFonts w:ascii="Palatino Linotype" w:cs="Palatino Linotype" w:eastAsia="Palatino Linotype" w:hAnsi="Palatino Linotype"/>
          <w:b w:val="1"/>
          <w:sz w:val="22"/>
          <w:szCs w:val="22"/>
          <w:rtl w:val="0"/>
        </w:rPr>
        <w:t xml:space="preserve">se da el reconocimiento de un derecho a la privacidad de las personas que implica no ser sujeto de intromisiones o molestias en el ámbito reservado de su vida o intimidad. </w:t>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el presente caso, proporcionar el nombre de aquellas personas que, en su carácter particular, decidieron participar en un juicio y que no son las partes en controversia, implicaría revelar </w:t>
      </w:r>
      <w:r w:rsidDel="00000000" w:rsidR="00000000" w:rsidRPr="00000000">
        <w:rPr>
          <w:rFonts w:ascii="Palatino Linotype" w:cs="Palatino Linotype" w:eastAsia="Palatino Linotype" w:hAnsi="Palatino Linotype"/>
          <w:b w:val="1"/>
          <w:sz w:val="22"/>
          <w:szCs w:val="22"/>
          <w:rtl w:val="0"/>
        </w:rPr>
        <w:t xml:space="preserve">un aspecto de la vida privada</w:t>
      </w:r>
      <w:r w:rsidDel="00000000" w:rsidR="00000000" w:rsidRPr="00000000">
        <w:rPr>
          <w:rFonts w:ascii="Palatino Linotype" w:cs="Palatino Linotype" w:eastAsia="Palatino Linotype" w:hAnsi="Palatino Linotype"/>
          <w:sz w:val="22"/>
          <w:szCs w:val="22"/>
          <w:rtl w:val="0"/>
        </w:rPr>
        <w:t xml:space="preserve">, correspondiente a la decisión personal de ayudar a la parte actora o demandada, a acreditar su dicho o demostrar hechos y, por lo tanto, también se afectaría, </w:t>
      </w:r>
      <w:r w:rsidDel="00000000" w:rsidR="00000000" w:rsidRPr="00000000">
        <w:rPr>
          <w:rFonts w:ascii="Palatino Linotype" w:cs="Palatino Linotype" w:eastAsia="Palatino Linotype" w:hAnsi="Palatino Linotype"/>
          <w:b w:val="1"/>
          <w:sz w:val="22"/>
          <w:szCs w:val="22"/>
          <w:rtl w:val="0"/>
        </w:rPr>
        <w:t xml:space="preserve">su intimidad.</w:t>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w:t>
      </w:r>
      <w:r w:rsidDel="00000000" w:rsidR="00000000" w:rsidRPr="00000000">
        <w:rPr>
          <w:rFonts w:ascii="Palatino Linotype" w:cs="Palatino Linotype" w:eastAsia="Palatino Linotype" w:hAnsi="Palatino Linotype"/>
          <w:b w:val="1"/>
          <w:sz w:val="22"/>
          <w:szCs w:val="22"/>
          <w:rtl w:val="0"/>
        </w:rPr>
        <w:t xml:space="preserve">se estima procedente la clasificación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nombre de las personas que participaron en algún juicio, en su carácter de testigos </w:t>
      </w:r>
      <w:r w:rsidDel="00000000" w:rsidR="00000000" w:rsidRPr="00000000">
        <w:rPr>
          <w:rFonts w:ascii="Palatino Linotype" w:cs="Palatino Linotype" w:eastAsia="Palatino Linotype" w:hAnsi="Palatino Linotype"/>
          <w:sz w:val="22"/>
          <w:szCs w:val="22"/>
          <w:rtl w:val="0"/>
        </w:rPr>
        <w:t xml:space="preserve">que auxiliaron a las partes para acreditar su dicho, en términos del artículo 143, fracción I de la Ley de Transparencia y Acceso a la Información Pública del Estado de México y Municipios.</w:t>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1B">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30">
      <w:pPr>
        <w:pBdr>
          <w:top w:space="0" w:sz="0" w:val="nil"/>
          <w:left w:space="0" w:sz="0" w:val="nil"/>
          <w:bottom w:space="0" w:sz="0" w:val="nil"/>
          <w:right w:space="0" w:sz="0" w:val="nil"/>
          <w:between w:space="0" w:sz="0" w:val="nil"/>
        </w:pBdr>
        <w:ind w:right="70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709" w:right="709"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160"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4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C">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4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4E">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spacing w:after="240" w:before="240" w:line="360" w:lineRule="auto"/>
        <w:jc w:val="both"/>
        <w:rPr>
          <w:rFonts w:ascii="Palatino Linotype" w:cs="Palatino Linotype" w:eastAsia="Palatino Linotype" w:hAnsi="Palatino Linotype"/>
          <w:sz w:val="22"/>
          <w:szCs w:val="22"/>
        </w:rPr>
      </w:pPr>
      <w:bookmarkStart w:colFirst="0" w:colLast="0" w:name="_heading=h.5hgcghtow25e" w:id="2"/>
      <w:bookmarkEnd w:id="2"/>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240" w:before="240"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51">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sz w:val="22"/>
          <w:szCs w:val="22"/>
          <w:rtl w:val="0"/>
        </w:rPr>
        <w:t xml:space="preserve"> fundados </w:t>
      </w:r>
      <w:r w:rsidDel="00000000" w:rsidR="00000000" w:rsidRPr="00000000">
        <w:rPr>
          <w:rFonts w:ascii="Palatino Linotype" w:cs="Palatino Linotype" w:eastAsia="Palatino Linotype" w:hAnsi="Palatino Linotype"/>
          <w:sz w:val="22"/>
          <w:szCs w:val="22"/>
          <w:rtl w:val="0"/>
        </w:rPr>
        <w:t xml:space="preserve">los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w:t>
      </w:r>
      <w:r w:rsidDel="00000000" w:rsidR="00000000" w:rsidRPr="00000000">
        <w:rPr>
          <w:rFonts w:ascii="Palatino Linotype" w:cs="Palatino Linotype" w:eastAsia="Palatino Linotype" w:hAnsi="Palatino Linotype"/>
          <w:b w:val="1"/>
          <w:sz w:val="22"/>
          <w:szCs w:val="22"/>
          <w:rtl w:val="0"/>
        </w:rPr>
        <w:t xml:space="preserve"> 06009/INFOEM/IP/RR/2025, </w:t>
      </w:r>
      <w:r w:rsidDel="00000000" w:rsidR="00000000" w:rsidRPr="00000000">
        <w:rPr>
          <w:rFonts w:ascii="Palatino Linotype" w:cs="Palatino Linotype" w:eastAsia="Palatino Linotype" w:hAnsi="Palatino Linotype"/>
          <w:sz w:val="22"/>
          <w:szCs w:val="22"/>
          <w:rtl w:val="0"/>
        </w:rPr>
        <w:t xml:space="preserve">por lo que</w:t>
      </w:r>
      <w:r w:rsidDel="00000000" w:rsidR="00000000" w:rsidRPr="00000000">
        <w:rPr>
          <w:rFonts w:ascii="Palatino Linotype" w:cs="Palatino Linotype" w:eastAsia="Palatino Linotype" w:hAnsi="Palatino Linotype"/>
          <w:b w:val="1"/>
          <w:sz w:val="22"/>
          <w:szCs w:val="22"/>
          <w:rtl w:val="0"/>
        </w:rPr>
        <w:t xml:space="preserve">, en términos del Considerando Cuarto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sz w:val="22"/>
          <w:szCs w:val="22"/>
          <w:rtl w:val="0"/>
        </w:rPr>
        <w:t xml:space="preserve">, se REVOCA l</w:t>
      </w:r>
      <w:r w:rsidDel="00000000" w:rsidR="00000000" w:rsidRPr="00000000">
        <w:rPr>
          <w:rFonts w:ascii="Palatino Linotype" w:cs="Palatino Linotype" w:eastAsia="Palatino Linotype" w:hAnsi="Palatino Linotype"/>
          <w:sz w:val="22"/>
          <w:szCs w:val="22"/>
          <w:rtl w:val="0"/>
        </w:rPr>
        <w:t xml:space="preserve">a respuesta del</w:t>
      </w:r>
      <w:r w:rsidDel="00000000" w:rsidR="00000000" w:rsidRPr="00000000">
        <w:rPr>
          <w:rFonts w:ascii="Palatino Linotype" w:cs="Palatino Linotype" w:eastAsia="Palatino Linotype" w:hAnsi="Palatino Linotype"/>
          <w:b w:val="1"/>
          <w:sz w:val="22"/>
          <w:szCs w:val="22"/>
          <w:rtl w:val="0"/>
        </w:rPr>
        <w:t xml:space="preserve"> Sujeto Obligado.</w:t>
      </w:r>
    </w:p>
    <w:p w:rsidR="00000000" w:rsidDel="00000000" w:rsidP="00000000" w:rsidRDefault="00000000" w:rsidRPr="00000000" w14:paraId="00000152">
      <w:pPr>
        <w:spacing w:after="240" w:before="240" w:line="360" w:lineRule="auto"/>
        <w:jc w:val="both"/>
        <w:rPr>
          <w:rFonts w:ascii="Palatino Linotype" w:cs="Palatino Linotype" w:eastAsia="Palatino Linotype" w:hAnsi="Palatino Linotype"/>
          <w:b w:val="1"/>
          <w:sz w:val="22"/>
          <w:szCs w:val="22"/>
        </w:rPr>
      </w:pPr>
      <w:bookmarkStart w:colFirst="0" w:colLast="0" w:name="_heading=h.j3ppyxwlb1s2" w:id="3"/>
      <w:bookmarkEnd w:id="3"/>
      <w:r w:rsidDel="00000000" w:rsidR="00000000" w:rsidRPr="00000000">
        <w:rPr>
          <w:rFonts w:ascii="Palatino Linotype" w:cs="Palatino Linotype" w:eastAsia="Palatino Linotype" w:hAnsi="Palatino Linotype"/>
          <w:b w:val="1"/>
          <w:sz w:val="22"/>
          <w:szCs w:val="22"/>
          <w:rtl w:val="0"/>
        </w:rPr>
        <w:t xml:space="preserve">Segundo. Se Ordena al Sujeto Obligado </w:t>
      </w:r>
      <w:r w:rsidDel="00000000" w:rsidR="00000000" w:rsidRPr="00000000">
        <w:rPr>
          <w:rFonts w:ascii="Palatino Linotype" w:cs="Palatino Linotype" w:eastAsia="Palatino Linotype" w:hAnsi="Palatino Linotype"/>
          <w:sz w:val="22"/>
          <w:szCs w:val="22"/>
          <w:rtl w:val="0"/>
        </w:rPr>
        <w:t xml:space="preserve">que en términos de los</w:t>
      </w:r>
      <w:r w:rsidDel="00000000" w:rsidR="00000000" w:rsidRPr="00000000">
        <w:rPr>
          <w:rFonts w:ascii="Palatino Linotype" w:cs="Palatino Linotype" w:eastAsia="Palatino Linotype" w:hAnsi="Palatino Linotype"/>
          <w:b w:val="1"/>
          <w:sz w:val="22"/>
          <w:szCs w:val="22"/>
          <w:rtl w:val="0"/>
        </w:rPr>
        <w:t xml:space="preserve"> Considerandos Cuarto y Quinto </w:t>
      </w:r>
      <w:r w:rsidDel="00000000" w:rsidR="00000000" w:rsidRPr="00000000">
        <w:rPr>
          <w:rFonts w:ascii="Palatino Linotype" w:cs="Palatino Linotype" w:eastAsia="Palatino Linotype" w:hAnsi="Palatino Linotype"/>
          <w:sz w:val="22"/>
          <w:szCs w:val="22"/>
          <w:rtl w:val="0"/>
        </w:rPr>
        <w:t xml:space="preserve">de esta resolución, haga entrega a </w:t>
      </w:r>
      <w:r w:rsidDel="00000000" w:rsidR="00000000" w:rsidRPr="00000000">
        <w:rPr>
          <w:rFonts w:ascii="Palatino Linotype" w:cs="Palatino Linotype" w:eastAsia="Palatino Linotype" w:hAnsi="Palatino Linotype"/>
          <w:b w:val="1"/>
          <w:sz w:val="22"/>
          <w:szCs w:val="22"/>
          <w:rtl w:val="0"/>
        </w:rPr>
        <w:t xml:space="preserve">la parte Recurrente a través del SAIMEX, previa búsqueda exhaustiva y razonable, </w:t>
      </w:r>
      <w:r w:rsidDel="00000000" w:rsidR="00000000" w:rsidRPr="00000000">
        <w:rPr>
          <w:rFonts w:ascii="Palatino Linotype" w:cs="Palatino Linotype" w:eastAsia="Palatino Linotype" w:hAnsi="Palatino Linotype"/>
          <w:sz w:val="22"/>
          <w:szCs w:val="22"/>
          <w:rtl w:val="0"/>
        </w:rPr>
        <w:t xml:space="preserve">en versión pública, la siguiente información: </w:t>
      </w:r>
      <w:r w:rsidDel="00000000" w:rsidR="00000000" w:rsidRPr="00000000">
        <w:rPr>
          <w:rtl w:val="0"/>
        </w:rPr>
      </w:r>
    </w:p>
    <w:p w:rsidR="00000000" w:rsidDel="00000000" w:rsidP="00000000" w:rsidRDefault="00000000" w:rsidRPr="00000000" w14:paraId="00000153">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ultimo expediente de divorcio incausado y el último expediente de divorcio voluntario, del Juzgado Civil de Primera Instancia de El Oro, que hayan quedado totalmente concluidos al 29 de abril de 2025.</w:t>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993" w:right="843"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284"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284" w:right="5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5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59">
      <w:pPr>
        <w:spacing w:line="360" w:lineRule="auto"/>
        <w:jc w:val="both"/>
        <w:rPr>
          <w:rFonts w:ascii="Palatino Linotype" w:cs="Palatino Linotype" w:eastAsia="Palatino Linotype" w:hAnsi="Palatino Linotype"/>
          <w:sz w:val="22"/>
          <w:szCs w:val="22"/>
        </w:rPr>
      </w:pPr>
      <w:bookmarkStart w:colFirst="0" w:colLast="0" w:name="_heading=h.tyjcwt" w:id="4"/>
      <w:bookmarkEnd w:id="4"/>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15A">
      <w:pPr>
        <w:spacing w:line="360" w:lineRule="auto"/>
        <w:ind w:right="-93"/>
        <w:jc w:val="both"/>
        <w:rPr>
          <w:rFonts w:ascii="Palatino Linotype" w:cs="Palatino Linotype" w:eastAsia="Palatino Linotype" w:hAnsi="Palatino Linotype"/>
          <w:b w:val="1"/>
          <w:sz w:val="22"/>
          <w:szCs w:val="22"/>
        </w:rPr>
      </w:pPr>
      <w:bookmarkStart w:colFirst="0" w:colLast="0" w:name="_heading=h.jl0dlasot4f" w:id="5"/>
      <w:bookmarkEnd w:id="5"/>
      <w:r w:rsidDel="00000000" w:rsidR="00000000" w:rsidRPr="00000000">
        <w:rPr>
          <w:rtl w:val="0"/>
        </w:rPr>
      </w:r>
    </w:p>
    <w:p w:rsidR="00000000" w:rsidDel="00000000" w:rsidP="00000000" w:rsidRDefault="00000000" w:rsidRPr="00000000" w14:paraId="0000015B">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PRIMERA SESIÓN ORDINARIA CELEBRADA EL TRES DE SEPTIEMBRE DE DOS MIL VEINTICINCO, ANTE EL SECRETARIO TÉCNICO DEL PLENO ALEXIS TAPIA RAMÍREZ.</w:t>
      </w:r>
    </w:p>
    <w:p w:rsidR="00000000" w:rsidDel="00000000" w:rsidP="00000000" w:rsidRDefault="00000000" w:rsidRPr="00000000" w14:paraId="0000015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E">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-401952</wp:posOffset>
          </wp:positionV>
          <wp:extent cx="7809876" cy="10165823"/>
          <wp:effectExtent b="0" l="0" r="0" t="0"/>
          <wp:wrapNone/>
          <wp:docPr id="1005035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Recurso de Revisión:</w:t>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06009/INFOEM/IP/RR/2025</w:t>
          </w:r>
        </w:p>
      </w:tc>
    </w:tr>
    <w:tr>
      <w:trPr>
        <w:cantSplit w:val="0"/>
        <w:trHeight w:val="217" w:hRule="atLeast"/>
        <w:tblHeader w:val="0"/>
      </w:trPr>
      <w:tc>
        <w:tcPr>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Sujeto obligado:</w:t>
          </w:r>
        </w:p>
      </w:tc>
      <w:tc>
        <w:tcPr>
          <w:vAlign w:val="center"/>
        </w:tcPr>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sz w:val="22"/>
              <w:szCs w:val="22"/>
              <w:rtl w:val="0"/>
            </w:rPr>
            <w:t xml:space="preserve">Poder Judicial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Comisionada ponente:</w:t>
          </w:r>
        </w:p>
      </w:tc>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p>
      </w:tc>
    </w:tr>
  </w:tbl>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-929003</wp:posOffset>
          </wp:positionH>
          <wp:positionV relativeFrom="paragraph">
            <wp:posOffset>-644523</wp:posOffset>
          </wp:positionV>
          <wp:extent cx="7809865" cy="10165715"/>
          <wp:effectExtent b="0" l="0" r="0" t="0"/>
          <wp:wrapNone/>
          <wp:docPr id="10050350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 de Revisión:</w:t>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2"/>
              <w:szCs w:val="22"/>
              <w:rtl w:val="0"/>
            </w:rPr>
            <w:t xml:space="preserve">06009/INFOEM/IP/RR/2025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Recurrente:</w:t>
          </w:r>
        </w:p>
      </w:tc>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XXXXX XXXX XXXXX XXXX </w:t>
          </w:r>
        </w:p>
      </w:tc>
    </w:tr>
    <w:tr>
      <w:trPr>
        <w:cantSplit w:val="0"/>
        <w:trHeight w:val="152" w:hRule="atLeast"/>
        <w:tblHeader w:val="0"/>
      </w:trPr>
      <w:tc>
        <w:tcPr>
          <w:vAlign w:val="center"/>
        </w:tcPr>
        <w:p w:rsidR="00000000" w:rsidDel="00000000" w:rsidP="00000000" w:rsidRDefault="00000000" w:rsidRPr="00000000" w14:paraId="0000017E">
          <w:pP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Sujeto obligado:</w:t>
          </w:r>
        </w:p>
        <w:p w:rsidR="00000000" w:rsidDel="00000000" w:rsidP="00000000" w:rsidRDefault="00000000" w:rsidRPr="00000000" w14:paraId="0000017F">
          <w:pP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Poder Judicial</w:t>
          </w:r>
        </w:p>
      </w:tc>
    </w:tr>
    <w:tr>
      <w:trPr>
        <w:cantSplit w:val="0"/>
        <w:tblHeader w:val="0"/>
      </w:trPr>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Comisionada ponente:</w:t>
          </w:r>
        </w:p>
      </w:tc>
      <w:tc>
        <w:tcP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Guadalupe Ramírez Peña</w:t>
          </w:r>
        </w:p>
      </w:tc>
    </w:tr>
  </w:tbl>
  <w:p w:rsidR="00000000" w:rsidDel="00000000" w:rsidP="00000000" w:rsidRDefault="00000000" w:rsidRPr="00000000" w14:paraId="00000183">
    <w:pPr>
      <w:rPr>
        <w:color w:val="000000"/>
        <w:sz w:val="22"/>
        <w:szCs w:val="22"/>
      </w:rPr>
    </w:pPr>
    <w:r w:rsidDel="00000000" w:rsidR="00000000" w:rsidRPr="00000000">
      <w:rPr>
        <w:color w:val="000000"/>
        <w:sz w:val="22"/>
        <w:szCs w:val="22"/>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pPr>
    <w:rPr>
      <w:rFonts w:ascii="Arial" w:cs="Arial" w:hAnsi="Arial"/>
      <w:color w:val="000000"/>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rPr>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0"/>
    <w:tblPr>
      <w:tblStyleRowBandSize w:val="1"/>
      <w:tblStyleColBandSize w:val="1"/>
      <w:tblCellMar>
        <w:left w:w="108.0" w:type="dxa"/>
        <w:right w:w="108.0" w:type="dxa"/>
      </w:tblCellMar>
    </w:tblPr>
  </w:style>
  <w:style w:type="table" w:styleId="8" w:customStyle="1">
    <w:name w:val="8"/>
    <w:basedOn w:val="TableNormal20"/>
    <w:tblPr>
      <w:tblStyleRowBandSize w:val="1"/>
      <w:tblStyleColBandSize w:val="1"/>
      <w:tblCellMar>
        <w:top w:w="15.0" w:type="dxa"/>
        <w:left w:w="115.0" w:type="dxa"/>
        <w:bottom w:w="15.0" w:type="dxa"/>
        <w:right w:w="115.0" w:type="dxa"/>
      </w:tblCellMar>
    </w:tblPr>
  </w:style>
  <w:style w:type="table" w:styleId="7" w:customStyle="1">
    <w:name w:val="7"/>
    <w:basedOn w:val="TableNormal20"/>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character" w:styleId="Hipervnculovisitado">
    <w:name w:val="FollowedHyperlink"/>
    <w:basedOn w:val="Fuentedeprrafopredeter"/>
    <w:uiPriority w:val="99"/>
    <w:semiHidden w:val="1"/>
    <w:unhideWhenUsed w:val="1"/>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C1F2B"/>
    <w:rPr>
      <w:rFonts w:asciiTheme="minorHAnsi" w:cstheme="minorBidi" w:eastAsiaTheme="minorHAnsi" w:hAnsiTheme="minorHAnsi"/>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C1F2B"/>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FC1F2B"/>
    <w:rPr>
      <w:vertAlign w:val="superscript"/>
    </w:rPr>
  </w:style>
  <w:style w:type="character" w:styleId="PuestoCar" w:customStyle="1">
    <w:name w:val="Puesto Car"/>
    <w:aliases w:val="Cita textual Car"/>
    <w:basedOn w:val="Fuentedeprrafopredeter"/>
    <w:uiPriority w:val="10"/>
    <w:rsid w:val="00EC101D"/>
    <w:rPr>
      <w:rFonts w:cs="Times New Roman" w:eastAsia="Times New Roman"/>
      <w:b w:val="1"/>
      <w:sz w:val="72"/>
      <w:szCs w:val="72"/>
      <w:lang w:eastAsia="en-US"/>
    </w:rPr>
  </w:style>
  <w:style w:type="table" w:styleId="Tablanormal11" w:customStyle="1">
    <w:name w:val="Tabla normal 11"/>
    <w:basedOn w:val="Tablanormal"/>
    <w:uiPriority w:val="41"/>
    <w:rsid w:val="009A0A8D"/>
    <w:rPr>
      <w:rFonts w:asciiTheme="minorHAnsi" w:cstheme="minorBidi" w:eastAsiaTheme="minorHAnsi" w:hAnsiTheme="minorHAnsi"/>
      <w:lang w:eastAsia="en-US"/>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top w:w="15.0" w:type="dxa"/>
        <w:left w:w="115.0" w:type="dxa"/>
        <w:bottom w:w="15.0" w:type="dxa"/>
        <w:right w:w="115.0" w:type="dxa"/>
      </w:tblCellMar>
    </w:tblPr>
  </w:style>
  <w:style w:type="table" w:styleId="a4" w:customStyle="1">
    <w:basedOn w:val="TableNormal4"/>
    <w:tblPr>
      <w:tblStyleRowBandSize w:val="1"/>
      <w:tblStyleColBandSize w:val="1"/>
      <w:tblCellMar>
        <w:top w:w="15.0" w:type="dxa"/>
        <w:left w:w="115.0" w:type="dxa"/>
        <w:bottom w:w="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top w:w="15.0" w:type="dxa"/>
        <w:left w:w="115.0" w:type="dxa"/>
        <w:bottom w:w="15.0" w:type="dxa"/>
        <w:right w:w="115.0" w:type="dxa"/>
      </w:tblCellMar>
    </w:tblPr>
  </w:style>
  <w:style w:type="table" w:styleId="aa" w:customStyle="1">
    <w:basedOn w:val="TableNormal3"/>
    <w:tblPr>
      <w:tblStyleRowBandSize w:val="1"/>
      <w:tblStyleColBandSize w:val="1"/>
      <w:tblCellMar>
        <w:top w:w="15.0" w:type="dxa"/>
        <w:left w:w="115.0" w:type="dxa"/>
        <w:bottom w:w="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08.0" w:type="dxa"/>
        <w:right w:w="108.0" w:type="dxa"/>
      </w:tblCellMar>
    </w:tblPr>
  </w:style>
  <w:style w:type="table" w:styleId="af0" w:customStyle="1">
    <w:basedOn w:val="TableNormal2"/>
    <w:tblPr>
      <w:tblStyleRowBandSize w:val="1"/>
      <w:tblStyleColBandSize w:val="1"/>
      <w:tblCellMar>
        <w:left w:w="108.0" w:type="dxa"/>
        <w:right w:w="108.0" w:type="dxa"/>
      </w:tblCellMar>
    </w:tblPr>
  </w:style>
  <w:style w:type="table" w:styleId="af1" w:customStyle="1">
    <w:basedOn w:val="TableNormal2"/>
    <w:tblPr>
      <w:tblStyleRowBandSize w:val="1"/>
      <w:tblStyleColBandSize w:val="1"/>
      <w:tblCellMar>
        <w:top w:w="15.0" w:type="dxa"/>
        <w:left w:w="115.0" w:type="dxa"/>
        <w:bottom w:w="15.0" w:type="dxa"/>
        <w:right w:w="115.0" w:type="dxa"/>
      </w:tblCellMar>
    </w:tblPr>
  </w:style>
  <w:style w:type="table" w:styleId="af2" w:customStyle="1">
    <w:basedOn w:val="TableNormal2"/>
    <w:tblPr>
      <w:tblStyleRowBandSize w:val="1"/>
      <w:tblStyleColBandSize w:val="1"/>
      <w:tblCellMar>
        <w:top w:w="15.0" w:type="dxa"/>
        <w:left w:w="115.0" w:type="dxa"/>
        <w:bottom w:w="15.0" w:type="dxa"/>
        <w:right w:w="115.0" w:type="dxa"/>
      </w:tblCellMar>
    </w:tblPr>
  </w:style>
  <w:style w:type="character" w:styleId="Textoennegrita">
    <w:name w:val="Strong"/>
    <w:basedOn w:val="Fuentedeprrafopredeter"/>
    <w:uiPriority w:val="22"/>
    <w:qFormat w:val="1"/>
    <w:rsid w:val="00AC6527"/>
    <w:rPr>
      <w:b w:val="1"/>
      <w:bCs w:val="1"/>
    </w:rPr>
  </w:style>
  <w:style w:type="character" w:styleId="apple-tab-span" w:customStyle="1">
    <w:name w:val="apple-tab-span"/>
    <w:basedOn w:val="Fuentedeprrafopredeter"/>
    <w:rsid w:val="00EB58F7"/>
  </w:style>
  <w:style w:type="paragraph" w:styleId="Listaconvietas3">
    <w:name w:val="List Bullet 3"/>
    <w:basedOn w:val="Normal"/>
    <w:uiPriority w:val="99"/>
    <w:unhideWhenUsed w:val="1"/>
    <w:rsid w:val="00AF720B"/>
    <w:pPr>
      <w:numPr>
        <w:numId w:val="5"/>
      </w:numPr>
      <w:contextualSpacing w:val="1"/>
    </w:p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top w:w="15.0" w:type="dxa"/>
        <w:left w:w="115.0" w:type="dxa"/>
        <w:bottom w:w="15.0" w:type="dxa"/>
        <w:right w:w="115.0" w:type="dxa"/>
      </w:tblCellMar>
    </w:tblPr>
  </w:style>
  <w:style w:type="table" w:styleId="af5" w:customStyle="1">
    <w:basedOn w:val="TableNormal1"/>
    <w:tblPr>
      <w:tblStyleRowBandSize w:val="1"/>
      <w:tblStyleColBandSize w:val="1"/>
      <w:tblCellMar>
        <w:top w:w="15.0" w:type="dxa"/>
        <w:left w:w="115.0" w:type="dxa"/>
        <w:bottom w:w="15.0" w:type="dxa"/>
        <w:right w:w="115.0" w:type="dxa"/>
      </w:tblCellMar>
    </w:tblPr>
  </w:style>
  <w:style w:type="paragraph" w:styleId="p1" w:customStyle="1">
    <w:name w:val="p1"/>
    <w:basedOn w:val="Normal"/>
    <w:rsid w:val="00C84704"/>
    <w:rPr>
      <w:rFonts w:ascii="Bookman Old Style" w:hAnsi="Bookman Old Style"/>
      <w:color w:val="000000"/>
      <w:sz w:val="15"/>
      <w:szCs w:val="15"/>
      <w:lang w:eastAsia="es-ES_tradnl" w:val="es-ES"/>
    </w:rPr>
  </w:style>
  <w:style w:type="table" w:styleId="af6" w:customStyle="1">
    <w:basedOn w:val="TableNormal0"/>
    <w:tblPr>
      <w:tblStyleRowBandSize w:val="1"/>
      <w:tblStyleColBandSize w:val="1"/>
      <w:tblCellMar>
        <w:top w:w="15.0" w:type="dxa"/>
        <w:left w:w="115.0" w:type="dxa"/>
        <w:bottom w:w="15.0" w:type="dxa"/>
        <w:right w:w="115.0" w:type="dxa"/>
      </w:tblCellMar>
    </w:tblPr>
  </w:style>
  <w:style w:type="table" w:styleId="af7"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xOaVGIIY8wONi4lhcpf/jFcQQ==">CgMxLjAyCWguM3pueXNoNzIJaC4zNW5rdW4yMg5oLjVoZ2NnaHRvdzI1ZTIOaC5qM3BweXh3bGIxczIyCGgudHlqY3d0Mg1oLmpsMGRsYXNvdDRmOAByITFzUDJOQUQzd1daYnVJY19ZTF85RklpRDE0cWNJbzNLVA==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2025-10-03T17:17:00Z</dcterms:created>
  <dc:creator>Cuenta Microsoft</dc:creator>
</cp:coreProperties>
</file>