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EA991"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catorce de mayo de dos mil veinticinco. </w:t>
      </w:r>
    </w:p>
    <w:p w14:paraId="52FC0B7F" w14:textId="77777777" w:rsidR="00A74431" w:rsidRPr="00D82BA9" w:rsidRDefault="00A74431">
      <w:pPr>
        <w:spacing w:after="0" w:line="360" w:lineRule="auto"/>
        <w:ind w:right="49"/>
        <w:jc w:val="center"/>
        <w:rPr>
          <w:rFonts w:ascii="Palatino Linotype" w:eastAsia="Palatino Linotype" w:hAnsi="Palatino Linotype" w:cs="Palatino Linotype"/>
        </w:rPr>
      </w:pPr>
    </w:p>
    <w:p w14:paraId="2A51EF97"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Visto el expediente relativo al recurso de revisión </w:t>
      </w:r>
      <w:r w:rsidRPr="00D82BA9">
        <w:rPr>
          <w:rFonts w:ascii="Palatino Linotype" w:eastAsia="Palatino Linotype" w:hAnsi="Palatino Linotype" w:cs="Palatino Linotype"/>
          <w:b/>
        </w:rPr>
        <w:t>02654/INFOEM/IP/RR/2025</w:t>
      </w:r>
      <w:r w:rsidRPr="00D82BA9">
        <w:rPr>
          <w:rFonts w:ascii="Palatino Linotype" w:eastAsia="Palatino Linotype" w:hAnsi="Palatino Linotype" w:cs="Palatino Linotype"/>
        </w:rPr>
        <w:t xml:space="preserve">, interpuesto por </w:t>
      </w:r>
      <w:r w:rsidRPr="00D82BA9">
        <w:rPr>
          <w:rFonts w:ascii="Palatino Linotype" w:eastAsia="Palatino Linotype" w:hAnsi="Palatino Linotype" w:cs="Palatino Linotype"/>
          <w:b/>
        </w:rPr>
        <w:t>un particular que no proporcionó nombre o seudónimo para ser identificado</w:t>
      </w:r>
      <w:r w:rsidRPr="00D82BA9">
        <w:rPr>
          <w:rFonts w:ascii="Palatino Linotype" w:eastAsia="Palatino Linotype" w:hAnsi="Palatino Linotype" w:cs="Palatino Linotype"/>
        </w:rPr>
        <w:t xml:space="preserve">, al cual en lo sucesivo se le denominará 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en contra de la respuesta a su solicitud de información identificada con número de folio </w:t>
      </w:r>
      <w:r w:rsidRPr="00D82BA9">
        <w:rPr>
          <w:rFonts w:ascii="Palatino Linotype" w:eastAsia="Palatino Linotype" w:hAnsi="Palatino Linotype" w:cs="Palatino Linotype"/>
          <w:b/>
        </w:rPr>
        <w:t xml:space="preserve">00786/TOLUCA/IP/2025 </w:t>
      </w:r>
      <w:r w:rsidRPr="00D82BA9">
        <w:rPr>
          <w:rFonts w:ascii="Palatino Linotype" w:eastAsia="Palatino Linotype" w:hAnsi="Palatino Linotype" w:cs="Palatino Linotype"/>
        </w:rPr>
        <w:t xml:space="preserve">proporcionada por parte del </w:t>
      </w:r>
      <w:r w:rsidRPr="00D82BA9">
        <w:rPr>
          <w:rFonts w:ascii="Palatino Linotype" w:eastAsia="Palatino Linotype" w:hAnsi="Palatino Linotype" w:cs="Palatino Linotype"/>
          <w:b/>
        </w:rPr>
        <w:t>Ayuntamiento de Toluca</w:t>
      </w:r>
      <w:r w:rsidRPr="00D82BA9">
        <w:rPr>
          <w:rFonts w:ascii="Palatino Linotype" w:eastAsia="Palatino Linotype" w:hAnsi="Palatino Linotype" w:cs="Palatino Linotype"/>
        </w:rPr>
        <w:t xml:space="preserve">, en lo sucesivo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se procede a dictar la presente resolución, con base en los siguientes:</w:t>
      </w:r>
    </w:p>
    <w:p w14:paraId="24612F47" w14:textId="77777777" w:rsidR="00A74431" w:rsidRPr="00D82BA9" w:rsidRDefault="00A74431">
      <w:pPr>
        <w:spacing w:after="0" w:line="360" w:lineRule="auto"/>
        <w:ind w:right="49"/>
        <w:jc w:val="both"/>
        <w:rPr>
          <w:rFonts w:ascii="Palatino Linotype" w:eastAsia="Palatino Linotype" w:hAnsi="Palatino Linotype" w:cs="Palatino Linotype"/>
        </w:rPr>
      </w:pPr>
    </w:p>
    <w:p w14:paraId="3F5F6BD8" w14:textId="77777777" w:rsidR="00A74431" w:rsidRPr="00D82BA9" w:rsidRDefault="00120BB6">
      <w:pPr>
        <w:spacing w:after="0" w:line="360" w:lineRule="auto"/>
        <w:ind w:right="49"/>
        <w:jc w:val="center"/>
        <w:rPr>
          <w:rFonts w:ascii="Palatino Linotype" w:eastAsia="Palatino Linotype" w:hAnsi="Palatino Linotype" w:cs="Palatino Linotype"/>
          <w:b/>
        </w:rPr>
      </w:pPr>
      <w:r w:rsidRPr="00D82BA9">
        <w:rPr>
          <w:rFonts w:ascii="Palatino Linotype" w:eastAsia="Palatino Linotype" w:hAnsi="Palatino Linotype" w:cs="Palatino Linotype"/>
          <w:b/>
        </w:rPr>
        <w:t>I.</w:t>
      </w:r>
      <w:r w:rsidRPr="00D82BA9">
        <w:rPr>
          <w:rFonts w:ascii="Palatino Linotype" w:eastAsia="Palatino Linotype" w:hAnsi="Palatino Linotype" w:cs="Palatino Linotype"/>
          <w:b/>
        </w:rPr>
        <w:tab/>
        <w:t>A N T E C E D E N T E S</w:t>
      </w:r>
    </w:p>
    <w:p w14:paraId="4AB90806" w14:textId="77777777" w:rsidR="00A74431" w:rsidRPr="00D82BA9" w:rsidRDefault="00A74431">
      <w:pPr>
        <w:spacing w:after="0" w:line="360" w:lineRule="auto"/>
        <w:ind w:right="49"/>
        <w:jc w:val="both"/>
        <w:rPr>
          <w:rFonts w:ascii="Palatino Linotype" w:eastAsia="Palatino Linotype" w:hAnsi="Palatino Linotype" w:cs="Palatino Linotype"/>
        </w:rPr>
      </w:pPr>
    </w:p>
    <w:p w14:paraId="37759DC1"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Solicitud de acceso a la información.</w:t>
      </w:r>
      <w:r w:rsidRPr="00D82BA9">
        <w:rPr>
          <w:rFonts w:ascii="Palatino Linotype" w:eastAsia="Palatino Linotype" w:hAnsi="Palatino Linotype" w:cs="Palatino Linotype"/>
        </w:rPr>
        <w:t xml:space="preserve"> Con fecha </w:t>
      </w:r>
      <w:r w:rsidRPr="00D82BA9">
        <w:rPr>
          <w:rFonts w:ascii="Palatino Linotype" w:eastAsia="Palatino Linotype" w:hAnsi="Palatino Linotype" w:cs="Palatino Linotype"/>
          <w:b/>
        </w:rPr>
        <w:t>diez de febrero de dos mil veinticinco</w:t>
      </w:r>
      <w:r w:rsidRPr="00D82BA9">
        <w:rPr>
          <w:rFonts w:ascii="Palatino Linotype" w:eastAsia="Palatino Linotype" w:hAnsi="Palatino Linotype" w:cs="Palatino Linotype"/>
        </w:rPr>
        <w:t xml:space="preserve">, 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formuló solicitud de acceso a información pública al</w:t>
      </w:r>
      <w:r w:rsidRPr="00D82BA9">
        <w:rPr>
          <w:rFonts w:ascii="Palatino Linotype" w:eastAsia="Palatino Linotype" w:hAnsi="Palatino Linotype" w:cs="Palatino Linotype"/>
          <w:b/>
        </w:rPr>
        <w:t xml:space="preserve"> Sujeto Obligado</w:t>
      </w:r>
      <w:r w:rsidRPr="00D82BA9">
        <w:rPr>
          <w:rFonts w:ascii="Palatino Linotype" w:eastAsia="Palatino Linotype" w:hAnsi="Palatino Linotype" w:cs="Palatino Linotype"/>
        </w:rPr>
        <w:t xml:space="preserve"> a través del Sistema de Acceso a la Información Mexiquense, en adelante SAIMEX, en la que requirió lo siguiente: </w:t>
      </w:r>
    </w:p>
    <w:p w14:paraId="3631CB35" w14:textId="77777777" w:rsidR="00A74431" w:rsidRPr="00D82BA9" w:rsidRDefault="00120BB6">
      <w:pPr>
        <w:spacing w:after="0"/>
        <w:ind w:left="851" w:right="843"/>
        <w:jc w:val="both"/>
        <w:rPr>
          <w:rFonts w:ascii="Palatino Linotype" w:eastAsia="Palatino Linotype" w:hAnsi="Palatino Linotype" w:cs="Palatino Linotype"/>
          <w:i/>
        </w:rPr>
      </w:pPr>
      <w:bookmarkStart w:id="0" w:name="_heading=h.30j0zll" w:colFirst="0" w:colLast="0"/>
      <w:bookmarkEnd w:id="0"/>
      <w:r w:rsidRPr="00D82BA9">
        <w:rPr>
          <w:rFonts w:ascii="Palatino Linotype" w:eastAsia="Palatino Linotype" w:hAnsi="Palatino Linotype" w:cs="Palatino Linotype"/>
          <w:i/>
        </w:rPr>
        <w:t>“Las compras y adquisiciones realizadas en esta administración con todos los contratos.”.</w:t>
      </w:r>
    </w:p>
    <w:p w14:paraId="2F4D7EC8" w14:textId="77777777" w:rsidR="00A74431" w:rsidRPr="00D82BA9" w:rsidRDefault="00A74431">
      <w:pPr>
        <w:spacing w:after="0"/>
        <w:ind w:left="567" w:right="560"/>
        <w:jc w:val="both"/>
        <w:rPr>
          <w:rFonts w:ascii="Palatino Linotype" w:eastAsia="Palatino Linotype" w:hAnsi="Palatino Linotype" w:cs="Palatino Linotype"/>
          <w:i/>
        </w:rPr>
      </w:pPr>
    </w:p>
    <w:p w14:paraId="4B057FEB"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b/>
        </w:rPr>
        <w:t>Modalidad elegida para la entrega de la información:</w:t>
      </w:r>
      <w:r w:rsidRPr="00D82BA9">
        <w:rPr>
          <w:rFonts w:ascii="Palatino Linotype" w:eastAsia="Palatino Linotype" w:hAnsi="Palatino Linotype" w:cs="Palatino Linotype"/>
        </w:rPr>
        <w:t xml:space="preserve"> a través del Sistema de Acceso a la Información Mexiquense (SAIMEX). </w:t>
      </w:r>
    </w:p>
    <w:p w14:paraId="2D093C3B" w14:textId="77777777" w:rsidR="00A74431" w:rsidRPr="00D82BA9" w:rsidRDefault="00A74431">
      <w:pPr>
        <w:spacing w:after="0" w:line="360" w:lineRule="auto"/>
        <w:ind w:right="49"/>
        <w:jc w:val="both"/>
        <w:rPr>
          <w:rFonts w:ascii="Palatino Linotype" w:eastAsia="Palatino Linotype" w:hAnsi="Palatino Linotype" w:cs="Palatino Linotype"/>
        </w:rPr>
      </w:pPr>
    </w:p>
    <w:p w14:paraId="56585F73"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Respuesta. </w:t>
      </w:r>
      <w:r w:rsidRPr="00D82BA9">
        <w:rPr>
          <w:rFonts w:ascii="Palatino Linotype" w:eastAsia="Palatino Linotype" w:hAnsi="Palatino Linotype" w:cs="Palatino Linotype"/>
        </w:rPr>
        <w:t xml:space="preserve">En fecha </w:t>
      </w:r>
      <w:r w:rsidRPr="00D82BA9">
        <w:rPr>
          <w:rFonts w:ascii="Palatino Linotype" w:eastAsia="Palatino Linotype" w:hAnsi="Palatino Linotype" w:cs="Palatino Linotype"/>
          <w:b/>
        </w:rPr>
        <w:t>cinco de marzo de dos mil veinticinco</w:t>
      </w:r>
      <w:r w:rsidRPr="00D82BA9">
        <w:rPr>
          <w:rFonts w:ascii="Palatino Linotype" w:eastAsia="Palatino Linotype" w:hAnsi="Palatino Linotype" w:cs="Palatino Linotype"/>
        </w:rPr>
        <w:t xml:space="preserve">, el </w:t>
      </w:r>
      <w:r w:rsidRPr="00D82BA9">
        <w:rPr>
          <w:rFonts w:ascii="Palatino Linotype" w:eastAsia="Palatino Linotype" w:hAnsi="Palatino Linotype" w:cs="Palatino Linotype"/>
          <w:b/>
        </w:rPr>
        <w:t xml:space="preserve">Sujeto Obligado </w:t>
      </w:r>
      <w:r w:rsidRPr="00D82BA9">
        <w:rPr>
          <w:rFonts w:ascii="Palatino Linotype" w:eastAsia="Palatino Linotype" w:hAnsi="Palatino Linotype" w:cs="Palatino Linotype"/>
        </w:rPr>
        <w:t xml:space="preserve">proporcionó respuesta a la solicitud de información, al tenor de lo siguiente: </w:t>
      </w:r>
    </w:p>
    <w:p w14:paraId="1752AB93"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8CF659"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0FD3AD45"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En atención a la solicitud con folio 0786/TOLUCA/IP/2025, me permito adjuntar al presente la respuesta correspondiente. Sin más por el momento, reciba un saludo.</w:t>
      </w:r>
    </w:p>
    <w:p w14:paraId="46AAE9FC"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ATENTAMENTE</w:t>
      </w:r>
    </w:p>
    <w:p w14:paraId="25DF520C"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Dr. Nahum Miguel Mendoza Morales.”</w:t>
      </w:r>
    </w:p>
    <w:p w14:paraId="035B669D"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47C36C0" w14:textId="77777777" w:rsidR="00A74431" w:rsidRPr="00D82BA9" w:rsidRDefault="00120BB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Adjuntando a su respuesta el archivo electrónico denominado </w:t>
      </w:r>
      <w:r w:rsidRPr="00D82BA9">
        <w:rPr>
          <w:rFonts w:ascii="Palatino Linotype" w:eastAsia="Palatino Linotype" w:hAnsi="Palatino Linotype" w:cs="Palatino Linotype"/>
          <w:b/>
          <w:i/>
        </w:rPr>
        <w:t>“R. 786. 2025.pdf”</w:t>
      </w:r>
      <w:r w:rsidRPr="00D82BA9">
        <w:rPr>
          <w:rFonts w:ascii="Palatino Linotype" w:eastAsia="Palatino Linotype" w:hAnsi="Palatino Linotype" w:cs="Palatino Linotype"/>
        </w:rPr>
        <w:t xml:space="preserve">, el cual contiene el oficio de fecha cuatro de marzo de dos mil veinticinco, signado por el Titular de la Unidad de Transparencia, en el que informó: </w:t>
      </w:r>
    </w:p>
    <w:p w14:paraId="0C4D59EA"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E7F2AA5"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“hago de su conocimiento que la </w:t>
      </w:r>
      <w:r w:rsidRPr="00D82BA9">
        <w:rPr>
          <w:rFonts w:ascii="Palatino Linotype" w:eastAsia="Palatino Linotype" w:hAnsi="Palatino Linotype" w:cs="Palatino Linotype"/>
          <w:b/>
          <w:i/>
        </w:rPr>
        <w:t>Dirección General de Administración</w:t>
      </w:r>
      <w:r w:rsidRPr="00D82BA9">
        <w:rPr>
          <w:rFonts w:ascii="Palatino Linotype" w:eastAsia="Palatino Linotype" w:hAnsi="Palatino Linotype" w:cs="Palatino Linotype"/>
          <w:i/>
        </w:rPr>
        <w:t xml:space="preserve"> y Servidora Pública Habilitada, informó que la Dirección de Recursos Materiales, que después de haber realizado una búsqueda exhaustiva y razonable en los archivos físicos y electrónicos que obran en esa Dirección y sus Departamentos, a la fecha de la presente, </w:t>
      </w:r>
      <w:r w:rsidRPr="00D82BA9">
        <w:rPr>
          <w:rFonts w:ascii="Palatino Linotype" w:eastAsia="Palatino Linotype" w:hAnsi="Palatino Linotype" w:cs="Palatino Linotype"/>
          <w:b/>
          <w:i/>
        </w:rPr>
        <w:t>no se localizó la información solicitada</w:t>
      </w:r>
      <w:r w:rsidRPr="00D82BA9">
        <w:rPr>
          <w:rFonts w:ascii="Palatino Linotype" w:eastAsia="Palatino Linotype" w:hAnsi="Palatino Linotype" w:cs="Palatino Linotype"/>
          <w:i/>
        </w:rPr>
        <w:t xml:space="preserve">. </w:t>
      </w:r>
    </w:p>
    <w:p w14:paraId="3F93BE1A"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1F0D432"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Recurso de Revisión. </w:t>
      </w:r>
      <w:r w:rsidRPr="00D82BA9">
        <w:rPr>
          <w:rFonts w:ascii="Palatino Linotype" w:eastAsia="Palatino Linotype" w:hAnsi="Palatino Linotype" w:cs="Palatino Linotype"/>
        </w:rPr>
        <w:t xml:space="preserve">En fecha </w:t>
      </w:r>
      <w:r w:rsidRPr="00D82BA9">
        <w:rPr>
          <w:rFonts w:ascii="Palatino Linotype" w:eastAsia="Palatino Linotype" w:hAnsi="Palatino Linotype" w:cs="Palatino Linotype"/>
          <w:b/>
        </w:rPr>
        <w:t>diez de marzo de dos mil veinticinco</w:t>
      </w:r>
      <w:r w:rsidRPr="00D82BA9">
        <w:rPr>
          <w:rFonts w:ascii="Palatino Linotype" w:eastAsia="Palatino Linotype" w:hAnsi="Palatino Linotype" w:cs="Palatino Linotype"/>
        </w:rPr>
        <w:t xml:space="preserve"> la persona Solicitante interpuso Recurso de Revisión a través del </w:t>
      </w:r>
      <w:r w:rsidRPr="00D82BA9">
        <w:rPr>
          <w:rFonts w:ascii="Palatino Linotype" w:eastAsia="Palatino Linotype" w:hAnsi="Palatino Linotype" w:cs="Palatino Linotype"/>
          <w:b/>
        </w:rPr>
        <w:t>SAIMEX</w:t>
      </w:r>
      <w:r w:rsidRPr="00D82BA9">
        <w:rPr>
          <w:rFonts w:ascii="Palatino Linotype" w:eastAsia="Palatino Linotype" w:hAnsi="Palatino Linotype" w:cs="Palatino Linotype"/>
        </w:rPr>
        <w:t>, en el que expresó lo siguiente:</w:t>
      </w:r>
    </w:p>
    <w:p w14:paraId="2F095975"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4B9A86F" w14:textId="77777777" w:rsidR="00A74431" w:rsidRPr="00D82BA9" w:rsidRDefault="00120BB6">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sidRPr="00D82BA9">
        <w:rPr>
          <w:rFonts w:ascii="Palatino Linotype" w:eastAsia="Palatino Linotype" w:hAnsi="Palatino Linotype" w:cs="Palatino Linotype"/>
          <w:b/>
        </w:rPr>
        <w:t>Acto impugnado</w:t>
      </w:r>
      <w:r w:rsidRPr="00D82BA9">
        <w:rPr>
          <w:rFonts w:ascii="Palatino Linotype" w:eastAsia="Palatino Linotype" w:hAnsi="Palatino Linotype" w:cs="Palatino Linotype"/>
          <w:b/>
          <w:i/>
        </w:rPr>
        <w:t xml:space="preserve">. </w:t>
      </w:r>
      <w:r w:rsidRPr="00D82BA9">
        <w:rPr>
          <w:rFonts w:ascii="Palatino Linotype" w:eastAsia="Palatino Linotype" w:hAnsi="Palatino Linotype" w:cs="Palatino Linotype"/>
          <w:i/>
        </w:rPr>
        <w:t>“Niegan y ocultan la información que es pública.”.</w:t>
      </w:r>
    </w:p>
    <w:p w14:paraId="317F7661" w14:textId="77777777" w:rsidR="00A74431" w:rsidRPr="00D82BA9" w:rsidRDefault="00A74431">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14:paraId="01ED28BB" w14:textId="77777777" w:rsidR="00A74431" w:rsidRPr="00D82BA9" w:rsidRDefault="00120BB6">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rPr>
        <w:t xml:space="preserve">Razones o motivos de la inconformidad: </w:t>
      </w:r>
      <w:r w:rsidRPr="00D82BA9">
        <w:rPr>
          <w:rFonts w:ascii="Palatino Linotype" w:eastAsia="Palatino Linotype" w:hAnsi="Palatino Linotype" w:cs="Palatino Linotype"/>
          <w:i/>
        </w:rPr>
        <w:t>“Niegan la información que es pública”.</w:t>
      </w:r>
    </w:p>
    <w:p w14:paraId="024037F9" w14:textId="77777777" w:rsidR="00A74431" w:rsidRPr="00D82BA9" w:rsidRDefault="00A74431">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74AFFB1C"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Turno.</w:t>
      </w:r>
      <w:r w:rsidRPr="00D82BA9">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D82BA9">
        <w:rPr>
          <w:rFonts w:ascii="Palatino Linotype" w:eastAsia="Palatino Linotype" w:hAnsi="Palatino Linotype" w:cs="Palatino Linotype"/>
          <w:b/>
        </w:rPr>
        <w:t>02654/INFOEM/IP/RR/2025</w:t>
      </w:r>
      <w:r w:rsidRPr="00D82BA9">
        <w:rPr>
          <w:rFonts w:ascii="Palatino Linotype" w:eastAsia="Palatino Linotype" w:hAnsi="Palatino Linotype" w:cs="Palatino Linotype"/>
        </w:rPr>
        <w:t xml:space="preserve">, se turnó por el sistema electrónico del Instituto de </w:t>
      </w:r>
      <w:r w:rsidRPr="00D82BA9">
        <w:rPr>
          <w:rFonts w:ascii="Palatino Linotype" w:eastAsia="Palatino Linotype" w:hAnsi="Palatino Linotype" w:cs="Palatino Linotype"/>
        </w:rPr>
        <w:lastRenderedPageBreak/>
        <w:t>Transparencia, Acceso a la Información Pública y Protección de Datos Personales del Estado de México y Municipios, a la Comisionada Guadalupe Ramírez Peña para su análisis, estudio, elaboración del proyecto y presentación ante el Pleno de este Instituto.</w:t>
      </w:r>
    </w:p>
    <w:p w14:paraId="1E416618"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DF65B8B"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Admisión del recurso de revisión</w:t>
      </w:r>
      <w:r w:rsidRPr="00D82BA9">
        <w:rPr>
          <w:rFonts w:ascii="Palatino Linotype" w:eastAsia="Palatino Linotype" w:hAnsi="Palatino Linotype" w:cs="Palatino Linotype"/>
        </w:rPr>
        <w:t xml:space="preserve">: En fecha </w:t>
      </w:r>
      <w:r w:rsidRPr="00D82BA9">
        <w:rPr>
          <w:rFonts w:ascii="Palatino Linotype" w:eastAsia="Palatino Linotype" w:hAnsi="Palatino Linotype" w:cs="Palatino Linotype"/>
          <w:b/>
        </w:rPr>
        <w:t>trece de marzo de dos mil veinticinco</w:t>
      </w:r>
      <w:r w:rsidRPr="00D82BA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F22BF81" w14:textId="77777777" w:rsidR="00A74431" w:rsidRPr="00D82BA9" w:rsidRDefault="00A74431">
      <w:pPr>
        <w:pBdr>
          <w:top w:val="nil"/>
          <w:left w:val="nil"/>
          <w:bottom w:val="nil"/>
          <w:right w:val="nil"/>
          <w:between w:val="nil"/>
        </w:pBdr>
        <w:ind w:left="720"/>
        <w:rPr>
          <w:rFonts w:ascii="Palatino Linotype" w:eastAsia="Palatino Linotype" w:hAnsi="Palatino Linotype" w:cs="Palatino Linotype"/>
        </w:rPr>
      </w:pPr>
    </w:p>
    <w:p w14:paraId="7319BA29"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Manifestaciones. </w:t>
      </w:r>
      <w:r w:rsidRPr="00D82BA9">
        <w:rPr>
          <w:rFonts w:ascii="Palatino Linotype" w:eastAsia="Palatino Linotype" w:hAnsi="Palatino Linotype" w:cs="Palatino Linotype"/>
        </w:rPr>
        <w:t xml:space="preserve">De las constancias que obran en el expediente electrónico del </w:t>
      </w:r>
      <w:r w:rsidRPr="00D82BA9">
        <w:rPr>
          <w:rFonts w:ascii="Palatino Linotype" w:eastAsia="Palatino Linotype" w:hAnsi="Palatino Linotype" w:cs="Palatino Linotype"/>
          <w:b/>
        </w:rPr>
        <w:t>SAIMEX</w:t>
      </w:r>
      <w:r w:rsidRPr="00D82BA9">
        <w:rPr>
          <w:rFonts w:ascii="Palatino Linotype" w:eastAsia="Palatino Linotype" w:hAnsi="Palatino Linotype" w:cs="Palatino Linotype"/>
        </w:rPr>
        <w:t xml:space="preserve"> se desprende que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en fecha </w:t>
      </w:r>
      <w:r w:rsidRPr="00D82BA9">
        <w:rPr>
          <w:rFonts w:ascii="Palatino Linotype" w:eastAsia="Palatino Linotype" w:hAnsi="Palatino Linotype" w:cs="Palatino Linotype"/>
          <w:b/>
        </w:rPr>
        <w:t>veinticinco de marzo de dos mil veinticinco</w:t>
      </w:r>
      <w:r w:rsidRPr="00D82BA9">
        <w:rPr>
          <w:rFonts w:ascii="Palatino Linotype" w:eastAsia="Palatino Linotype" w:hAnsi="Palatino Linotype" w:cs="Palatino Linotype"/>
        </w:rPr>
        <w:t>, rindió su informe justificado, a través de los archivos electrónicos denominados “</w:t>
      </w:r>
      <w:r w:rsidRPr="00D82BA9">
        <w:rPr>
          <w:rFonts w:ascii="Palatino Linotype" w:eastAsia="Palatino Linotype" w:hAnsi="Palatino Linotype" w:cs="Palatino Linotype"/>
          <w:b/>
          <w:i/>
        </w:rPr>
        <w:t>2. Ratificación RR-2654-2025.pdf y A. RR-2654-2025.pdf</w:t>
      </w:r>
      <w:r w:rsidRPr="00D82BA9">
        <w:rPr>
          <w:rFonts w:ascii="Palatino Linotype" w:eastAsia="Palatino Linotype" w:hAnsi="Palatino Linotype" w:cs="Palatino Linotype"/>
        </w:rPr>
        <w:t xml:space="preserve">”, los cuales contienen: </w:t>
      </w:r>
    </w:p>
    <w:p w14:paraId="3D07B24D" w14:textId="77777777" w:rsidR="00A74431" w:rsidRPr="00D82BA9" w:rsidRDefault="00120BB6">
      <w:pPr>
        <w:numPr>
          <w:ilvl w:val="0"/>
          <w:numId w:val="2"/>
        </w:numPr>
        <w:pBdr>
          <w:top w:val="nil"/>
          <w:left w:val="nil"/>
          <w:bottom w:val="nil"/>
          <w:right w:val="nil"/>
          <w:between w:val="nil"/>
        </w:pBdr>
        <w:spacing w:after="0" w:line="360" w:lineRule="auto"/>
        <w:ind w:right="843"/>
        <w:rPr>
          <w:rFonts w:ascii="Palatino Linotype" w:eastAsia="Palatino Linotype" w:hAnsi="Palatino Linotype" w:cs="Palatino Linotype"/>
        </w:rPr>
      </w:pPr>
      <w:r w:rsidRPr="00D82BA9">
        <w:rPr>
          <w:rFonts w:ascii="Palatino Linotype" w:eastAsia="Palatino Linotype" w:hAnsi="Palatino Linotype" w:cs="Palatino Linotype"/>
        </w:rPr>
        <w:t>Oficio de fecha veinticinco de marzo de dos mil veinticinco, signado por el Titular de la Unidad de Transparencia, en el que ratifico su respuesta</w:t>
      </w:r>
    </w:p>
    <w:p w14:paraId="6B50141A" w14:textId="77777777" w:rsidR="00A74431" w:rsidRPr="00D82BA9" w:rsidRDefault="00120BB6">
      <w:pPr>
        <w:numPr>
          <w:ilvl w:val="0"/>
          <w:numId w:val="2"/>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Oficio número 206010000/1389/2025 de fecha veinte de marzo de dos mil veinticinco, signado por la Directora General de Administración, en el que ratifico su respuesta. </w:t>
      </w:r>
    </w:p>
    <w:p w14:paraId="7A202B5E" w14:textId="77777777" w:rsidR="00A74431" w:rsidRPr="00D82BA9" w:rsidRDefault="00120BB6">
      <w:pPr>
        <w:numPr>
          <w:ilvl w:val="0"/>
          <w:numId w:val="2"/>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Oficio número 206011000/0126/2025 de fecha veinte de marzo de dos mil veinticinco, signado por la Directora de Recursos Materiales, en el que ratifico su respuesta inicial. </w:t>
      </w:r>
    </w:p>
    <w:p w14:paraId="3F2CB427" w14:textId="77777777" w:rsidR="00A74431" w:rsidRPr="00D82BA9" w:rsidRDefault="00A74431">
      <w:pPr>
        <w:pBdr>
          <w:top w:val="nil"/>
          <w:left w:val="nil"/>
          <w:bottom w:val="nil"/>
          <w:right w:val="nil"/>
          <w:between w:val="nil"/>
        </w:pBdr>
        <w:spacing w:after="0" w:line="360" w:lineRule="auto"/>
        <w:ind w:left="720" w:right="843"/>
        <w:jc w:val="both"/>
        <w:rPr>
          <w:rFonts w:ascii="Palatino Linotype" w:eastAsia="Palatino Linotype" w:hAnsi="Palatino Linotype" w:cs="Palatino Linotype"/>
        </w:rPr>
      </w:pPr>
    </w:p>
    <w:p w14:paraId="31081183" w14:textId="77777777" w:rsidR="00A74431" w:rsidRPr="00D82BA9" w:rsidRDefault="00120BB6">
      <w:pPr>
        <w:numPr>
          <w:ilvl w:val="0"/>
          <w:numId w:val="3"/>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Ampliación de plazo:</w:t>
      </w:r>
      <w:r w:rsidRPr="00D82BA9">
        <w:rPr>
          <w:rFonts w:ascii="Palatino Linotype" w:eastAsia="Palatino Linotype" w:hAnsi="Palatino Linotype" w:cs="Palatino Linotype"/>
        </w:rPr>
        <w:t xml:space="preserve"> El </w:t>
      </w:r>
      <w:r w:rsidRPr="00D82BA9">
        <w:rPr>
          <w:rFonts w:ascii="Palatino Linotype" w:eastAsia="Palatino Linotype" w:hAnsi="Palatino Linotype" w:cs="Palatino Linotype"/>
          <w:b/>
        </w:rPr>
        <w:t>siete de mayo de dos mil veinticinco</w:t>
      </w:r>
      <w:r w:rsidRPr="00D82BA9">
        <w:rPr>
          <w:rFonts w:ascii="Palatino Linotype" w:eastAsia="Palatino Linotype" w:hAnsi="Palatino Linotype" w:cs="Palatino Linotype"/>
        </w:rPr>
        <w:t xml:space="preserve">, se notificó a las partes el Acuerdo de Ampliación de Plazo para resolver el medio de impugnación que nos ocupa, en </w:t>
      </w:r>
      <w:r w:rsidRPr="00D82BA9">
        <w:rPr>
          <w:rFonts w:ascii="Palatino Linotype" w:eastAsia="Palatino Linotype" w:hAnsi="Palatino Linotype" w:cs="Palatino Linotype"/>
        </w:rPr>
        <w:lastRenderedPageBreak/>
        <w:t>términos de lo dispuesto por el artículo 181, párrafo tercero de la Ley de Transparencia y Acceso a la Información Pública del Estado de México y Municipios.</w:t>
      </w:r>
    </w:p>
    <w:p w14:paraId="1D94A429"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A6A7D01" w14:textId="77777777" w:rsidR="00A74431" w:rsidRPr="00D82BA9" w:rsidRDefault="00120BB6">
      <w:pPr>
        <w:numPr>
          <w:ilvl w:val="0"/>
          <w:numId w:val="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D82BA9">
        <w:rPr>
          <w:rFonts w:ascii="Palatino Linotype" w:eastAsia="Palatino Linotype" w:hAnsi="Palatino Linotype" w:cs="Palatino Linotype"/>
          <w:b/>
        </w:rPr>
        <w:t>Cierre de instrucción</w:t>
      </w:r>
      <w:r w:rsidRPr="00D82BA9">
        <w:rPr>
          <w:rFonts w:ascii="Palatino Linotype" w:eastAsia="Palatino Linotype" w:hAnsi="Palatino Linotype" w:cs="Palatino Linotype"/>
        </w:rPr>
        <w:t xml:space="preserve">. En fecha </w:t>
      </w:r>
      <w:r w:rsidR="00126337" w:rsidRPr="00D82BA9">
        <w:rPr>
          <w:rFonts w:ascii="Palatino Linotype" w:eastAsia="Palatino Linotype" w:hAnsi="Palatino Linotype" w:cs="Palatino Linotype"/>
          <w:b/>
        </w:rPr>
        <w:t>catorce</w:t>
      </w:r>
      <w:r w:rsidRPr="00D82BA9">
        <w:rPr>
          <w:rFonts w:ascii="Palatino Linotype" w:eastAsia="Palatino Linotype" w:hAnsi="Palatino Linotype" w:cs="Palatino Linotype"/>
          <w:b/>
        </w:rPr>
        <w:t xml:space="preserve"> de mayo de dos mil veinticinco</w:t>
      </w:r>
      <w:r w:rsidRPr="00D82BA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24A6D7A" w14:textId="77777777" w:rsidR="00A74431" w:rsidRPr="00D82BA9" w:rsidRDefault="00A74431">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C569A31"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31661E79" w14:textId="77777777" w:rsidR="00A74431" w:rsidRPr="00D82BA9" w:rsidRDefault="00A74431">
      <w:pPr>
        <w:spacing w:after="0" w:line="360" w:lineRule="auto"/>
        <w:ind w:right="49"/>
        <w:jc w:val="both"/>
        <w:rPr>
          <w:rFonts w:ascii="Palatino Linotype" w:eastAsia="Palatino Linotype" w:hAnsi="Palatino Linotype" w:cs="Palatino Linotype"/>
        </w:rPr>
      </w:pPr>
    </w:p>
    <w:p w14:paraId="35ABC52D" w14:textId="77777777" w:rsidR="00A74431" w:rsidRPr="00D82BA9" w:rsidRDefault="00120BB6">
      <w:pPr>
        <w:spacing w:after="0" w:line="360" w:lineRule="auto"/>
        <w:ind w:right="49"/>
        <w:jc w:val="center"/>
        <w:rPr>
          <w:rFonts w:ascii="Palatino Linotype" w:eastAsia="Palatino Linotype" w:hAnsi="Palatino Linotype" w:cs="Palatino Linotype"/>
          <w:b/>
        </w:rPr>
      </w:pPr>
      <w:r w:rsidRPr="00D82BA9">
        <w:rPr>
          <w:rFonts w:ascii="Palatino Linotype" w:eastAsia="Palatino Linotype" w:hAnsi="Palatino Linotype" w:cs="Palatino Linotype"/>
          <w:b/>
        </w:rPr>
        <w:t>II.</w:t>
      </w:r>
      <w:r w:rsidRPr="00D82BA9">
        <w:rPr>
          <w:rFonts w:ascii="Palatino Linotype" w:eastAsia="Palatino Linotype" w:hAnsi="Palatino Linotype" w:cs="Palatino Linotype"/>
          <w:b/>
        </w:rPr>
        <w:tab/>
        <w:t>C O N S I D E R A N D O:</w:t>
      </w:r>
    </w:p>
    <w:p w14:paraId="19B81230" w14:textId="77777777" w:rsidR="00A74431" w:rsidRPr="00D82BA9" w:rsidRDefault="00A74431">
      <w:pPr>
        <w:spacing w:after="0" w:line="360" w:lineRule="auto"/>
        <w:ind w:right="49"/>
        <w:jc w:val="both"/>
        <w:rPr>
          <w:rFonts w:ascii="Palatino Linotype" w:eastAsia="Palatino Linotype" w:hAnsi="Palatino Linotype" w:cs="Palatino Linotype"/>
        </w:rPr>
      </w:pPr>
    </w:p>
    <w:p w14:paraId="459E6FD0"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Primero. Competencia. </w:t>
      </w:r>
      <w:r w:rsidRPr="00D82BA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A345720" w14:textId="77777777" w:rsidR="00A74431" w:rsidRPr="00D82BA9" w:rsidRDefault="00A74431">
      <w:pPr>
        <w:spacing w:after="0" w:line="360" w:lineRule="auto"/>
        <w:ind w:right="49"/>
        <w:jc w:val="both"/>
        <w:rPr>
          <w:rFonts w:ascii="Palatino Linotype" w:eastAsia="Palatino Linotype" w:hAnsi="Palatino Linotype" w:cs="Palatino Linotype"/>
        </w:rPr>
      </w:pPr>
    </w:p>
    <w:p w14:paraId="74FF5B49"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b/>
        </w:rPr>
        <w:lastRenderedPageBreak/>
        <w:t>Segundo. Oportunidad y Procedibilidad del Recurso de Revisión.</w:t>
      </w:r>
      <w:r w:rsidRPr="00D82BA9">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035DF89C" w14:textId="77777777" w:rsidR="00A74431" w:rsidRPr="00D82BA9" w:rsidRDefault="00A74431">
      <w:pPr>
        <w:spacing w:after="0" w:line="360" w:lineRule="auto"/>
        <w:ind w:right="49"/>
        <w:jc w:val="both"/>
        <w:rPr>
          <w:rFonts w:ascii="Palatino Linotype" w:eastAsia="Palatino Linotype" w:hAnsi="Palatino Linotype" w:cs="Palatino Linotype"/>
        </w:rPr>
      </w:pPr>
    </w:p>
    <w:p w14:paraId="47171A2A"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remitió la respuesta a la solicitud de información el </w:t>
      </w:r>
      <w:r w:rsidRPr="00D82BA9">
        <w:rPr>
          <w:rFonts w:ascii="Palatino Linotype" w:eastAsia="Palatino Linotype" w:hAnsi="Palatino Linotype" w:cs="Palatino Linotype"/>
          <w:b/>
        </w:rPr>
        <w:t>cinco de marzo de dos mil veinticinco</w:t>
      </w:r>
      <w:r w:rsidRPr="00D82BA9">
        <w:rPr>
          <w:rFonts w:ascii="Palatino Linotype" w:eastAsia="Palatino Linotype" w:hAnsi="Palatino Linotype" w:cs="Palatino Linotype"/>
        </w:rPr>
        <w:t xml:space="preserve">, mientras que el recurso de revisión interpuesto por la parte </w:t>
      </w:r>
      <w:r w:rsidRPr="00D82BA9">
        <w:rPr>
          <w:rFonts w:ascii="Palatino Linotype" w:eastAsia="Palatino Linotype" w:hAnsi="Palatino Linotype" w:cs="Palatino Linotype"/>
          <w:b/>
        </w:rPr>
        <w:t xml:space="preserve">Recurrente </w:t>
      </w:r>
      <w:r w:rsidRPr="00D82BA9">
        <w:rPr>
          <w:rFonts w:ascii="Palatino Linotype" w:eastAsia="Palatino Linotype" w:hAnsi="Palatino Linotype" w:cs="Palatino Linotype"/>
        </w:rPr>
        <w:t xml:space="preserve">se tuvo por presentado el </w:t>
      </w:r>
      <w:r w:rsidRPr="00D82BA9">
        <w:rPr>
          <w:rFonts w:ascii="Palatino Linotype" w:eastAsia="Palatino Linotype" w:hAnsi="Palatino Linotype" w:cs="Palatino Linotype"/>
          <w:b/>
        </w:rPr>
        <w:t>diez de marzo de dos mil veinticinco</w:t>
      </w:r>
      <w:r w:rsidRPr="00D82BA9">
        <w:rPr>
          <w:rFonts w:ascii="Palatino Linotype" w:eastAsia="Palatino Linotype" w:hAnsi="Palatino Linotype" w:cs="Palatino Linotype"/>
        </w:rPr>
        <w:t>, esto es al tercer día hábil en que se tuvo conocimiento de la respuesta.</w:t>
      </w:r>
    </w:p>
    <w:p w14:paraId="5C539E83" w14:textId="77777777" w:rsidR="00A74431" w:rsidRPr="00D82BA9" w:rsidRDefault="00A74431">
      <w:pPr>
        <w:spacing w:after="0" w:line="360" w:lineRule="auto"/>
        <w:ind w:right="49"/>
        <w:jc w:val="both"/>
        <w:rPr>
          <w:rFonts w:ascii="Palatino Linotype" w:eastAsia="Palatino Linotype" w:hAnsi="Palatino Linotype" w:cs="Palatino Linotype"/>
        </w:rPr>
      </w:pPr>
    </w:p>
    <w:p w14:paraId="0EF4FEF4"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D82BA9">
        <w:rPr>
          <w:rFonts w:ascii="Palatino Linotype" w:eastAsia="Palatino Linotype" w:hAnsi="Palatino Linotype" w:cs="Palatino Linotype"/>
          <w:b/>
        </w:rPr>
        <w:t>SAIMEX</w:t>
      </w:r>
      <w:r w:rsidRPr="00D82BA9">
        <w:rPr>
          <w:rFonts w:ascii="Palatino Linotype" w:eastAsia="Palatino Linotype" w:hAnsi="Palatino Linotype" w:cs="Palatino Linotype"/>
        </w:rPr>
        <w:t xml:space="preserve">.  </w:t>
      </w:r>
    </w:p>
    <w:p w14:paraId="67E597AD" w14:textId="77777777" w:rsidR="00A74431" w:rsidRPr="00D82BA9" w:rsidRDefault="00A74431">
      <w:pPr>
        <w:spacing w:after="0" w:line="360" w:lineRule="auto"/>
        <w:ind w:right="49"/>
        <w:jc w:val="both"/>
        <w:rPr>
          <w:rFonts w:ascii="Palatino Linotype" w:eastAsia="Palatino Linotype" w:hAnsi="Palatino Linotype" w:cs="Palatino Linotype"/>
        </w:rPr>
      </w:pPr>
    </w:p>
    <w:p w14:paraId="6DF8BB29"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Por otro lado, es de suma importancia mencionar que, si bien la parte</w:t>
      </w:r>
      <w:r w:rsidRPr="00D82BA9">
        <w:rPr>
          <w:rFonts w:ascii="Palatino Linotype" w:eastAsia="Palatino Linotype" w:hAnsi="Palatino Linotype" w:cs="Palatino Linotype"/>
          <w:b/>
        </w:rPr>
        <w:t xml:space="preserve"> Recurrente</w:t>
      </w:r>
      <w:r w:rsidRPr="00D82BA9">
        <w:rPr>
          <w:rFonts w:ascii="Palatino Linotype" w:eastAsia="Palatino Linotype" w:hAnsi="Palatino Linotype" w:cs="Palatino Linotype"/>
        </w:rPr>
        <w:t xml:space="preserve"> no proporciono un nombre para su trámite, como se advierte en el detalle de seguimiento del SAIMEX;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A3102A3" w14:textId="77777777" w:rsidR="00A74431" w:rsidRPr="00D82BA9" w:rsidRDefault="00120BB6">
      <w:pPr>
        <w:ind w:left="851" w:right="616"/>
        <w:jc w:val="both"/>
        <w:rPr>
          <w:rFonts w:ascii="Palatino Linotype" w:eastAsia="Palatino Linotype" w:hAnsi="Palatino Linotype" w:cs="Palatino Linotype"/>
        </w:rPr>
      </w:pPr>
      <w:r w:rsidRPr="00D82BA9">
        <w:rPr>
          <w:rFonts w:ascii="Palatino Linotype" w:eastAsia="Palatino Linotype" w:hAnsi="Palatino Linotype" w:cs="Palatino Linotype"/>
          <w:i/>
        </w:rPr>
        <w:lastRenderedPageBreak/>
        <w:t>"</w:t>
      </w:r>
      <w:r w:rsidRPr="00D82BA9">
        <w:rPr>
          <w:rFonts w:ascii="Palatino Linotype" w:eastAsia="Palatino Linotype" w:hAnsi="Palatino Linotype" w:cs="Palatino Linotype"/>
          <w:b/>
          <w:i/>
        </w:rPr>
        <w:t>Las solicitudes anónimas</w:t>
      </w:r>
      <w:r w:rsidRPr="00D82BA9">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453F1309" w14:textId="77777777" w:rsidR="00A74431" w:rsidRPr="00D82BA9" w:rsidRDefault="00A74431">
      <w:pPr>
        <w:spacing w:after="0" w:line="360" w:lineRule="auto"/>
        <w:ind w:right="49"/>
        <w:jc w:val="both"/>
        <w:rPr>
          <w:rFonts w:ascii="Palatino Linotype" w:eastAsia="Palatino Linotype" w:hAnsi="Palatino Linotype" w:cs="Palatino Linotype"/>
        </w:rPr>
      </w:pPr>
    </w:p>
    <w:p w14:paraId="1FCA28CC"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I de la Ley de la materia, que a la letra dice:</w:t>
      </w:r>
    </w:p>
    <w:p w14:paraId="298BDC7F" w14:textId="77777777" w:rsidR="00A74431" w:rsidRPr="00D82BA9" w:rsidRDefault="00A74431">
      <w:pPr>
        <w:spacing w:after="0" w:line="360" w:lineRule="auto"/>
        <w:ind w:right="49"/>
        <w:jc w:val="both"/>
        <w:rPr>
          <w:rFonts w:ascii="Palatino Linotype" w:eastAsia="Palatino Linotype" w:hAnsi="Palatino Linotype" w:cs="Palatino Linotype"/>
        </w:rPr>
      </w:pPr>
    </w:p>
    <w:p w14:paraId="7596CB6D"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Artículo 179.</w:t>
      </w:r>
      <w:r w:rsidRPr="00D82BA9">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50705E4"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 Negativa de entrega de la información;</w:t>
      </w:r>
    </w:p>
    <w:p w14:paraId="6979C7E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7FF5EA96" w14:textId="77777777" w:rsidR="00A74431" w:rsidRPr="00D82BA9" w:rsidRDefault="00A74431">
      <w:pPr>
        <w:spacing w:after="0" w:line="360" w:lineRule="auto"/>
        <w:ind w:left="567" w:right="560"/>
        <w:jc w:val="both"/>
        <w:rPr>
          <w:rFonts w:ascii="Palatino Linotype" w:eastAsia="Palatino Linotype" w:hAnsi="Palatino Linotype" w:cs="Palatino Linotype"/>
          <w:i/>
        </w:rPr>
      </w:pPr>
    </w:p>
    <w:p w14:paraId="18357342"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b/>
        </w:rPr>
        <w:t>Tercero. Materia de la revisión</w:t>
      </w:r>
      <w:r w:rsidRPr="00D82BA9">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14:paraId="55935AB4" w14:textId="77777777" w:rsidR="00A74431" w:rsidRPr="00D82BA9" w:rsidRDefault="00A74431">
      <w:pPr>
        <w:spacing w:after="0" w:line="360" w:lineRule="auto"/>
        <w:ind w:right="49"/>
        <w:jc w:val="both"/>
        <w:rPr>
          <w:rFonts w:ascii="Palatino Linotype" w:eastAsia="Palatino Linotype" w:hAnsi="Palatino Linotype" w:cs="Palatino Linotype"/>
        </w:rPr>
      </w:pPr>
    </w:p>
    <w:p w14:paraId="110BA048"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b/>
        </w:rPr>
        <w:t>Cuarto.</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Estudio de fondo del asunto.</w:t>
      </w:r>
      <w:r w:rsidRPr="00D82BA9">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10AB6C" w14:textId="77777777" w:rsidR="00A74431" w:rsidRPr="00D82BA9" w:rsidRDefault="00A74431">
      <w:pPr>
        <w:spacing w:after="0"/>
        <w:ind w:left="567" w:right="560"/>
        <w:jc w:val="both"/>
        <w:rPr>
          <w:rFonts w:ascii="Palatino Linotype" w:eastAsia="Palatino Linotype" w:hAnsi="Palatino Linotype" w:cs="Palatino Linotype"/>
          <w:i/>
        </w:rPr>
      </w:pPr>
    </w:p>
    <w:p w14:paraId="488D09B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w:t>
      </w:r>
      <w:r w:rsidRPr="00D82BA9">
        <w:rPr>
          <w:rFonts w:ascii="Palatino Linotype" w:eastAsia="Palatino Linotype" w:hAnsi="Palatino Linotype" w:cs="Palatino Linotype"/>
          <w:b/>
          <w:i/>
        </w:rPr>
        <w:t>Artículo 1o.</w:t>
      </w:r>
      <w:r w:rsidRPr="00D82BA9">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BB06F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5306851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C2BF9D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7E1CF2C3"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“Artículo 6o.</w:t>
      </w:r>
    </w:p>
    <w:p w14:paraId="379A297D"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3036639F"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3198A1FB"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8ADE25"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14:paraId="3579019E"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r w:rsidRPr="00D82BA9">
        <w:rPr>
          <w:rFonts w:ascii="Palatino Linotype" w:eastAsia="Palatino Linotype" w:hAnsi="Palatino Linotype" w:cs="Palatino Linotype"/>
          <w:i/>
        </w:rPr>
        <w:br/>
        <w:t xml:space="preserve"> III. Toda persona, sin necesidad de acreditar interés alguno o justificar su utilización, tendrá acceso gratuito a la información pública, a sus datos personales o a la rectificación de éstos.</w:t>
      </w:r>
    </w:p>
    <w:p w14:paraId="7E3FCB8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 IV. Se establecerán mecanismos de acceso a la información pública y procedimientos de revisión expeditos que se sustanciarán ante las instancias competentes en los términos que fija esta Constitución y las leyes.</w:t>
      </w:r>
    </w:p>
    <w:p w14:paraId="706F348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53E49D9"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14:paraId="71A3F5F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VII. La inobservancia a las disposiciones en materia de acceso a la información pública será sancionada en los términos que dispongan las leyes. [...]”</w:t>
      </w:r>
    </w:p>
    <w:p w14:paraId="3A1F6FAD" w14:textId="77777777" w:rsidR="00A74431" w:rsidRPr="00D82BA9" w:rsidRDefault="00A74431">
      <w:pPr>
        <w:spacing w:after="0"/>
        <w:ind w:left="567" w:right="560"/>
        <w:jc w:val="both"/>
        <w:rPr>
          <w:rFonts w:ascii="Palatino Linotype" w:eastAsia="Palatino Linotype" w:hAnsi="Palatino Linotype" w:cs="Palatino Linotype"/>
          <w:i/>
        </w:rPr>
      </w:pPr>
    </w:p>
    <w:p w14:paraId="630C1830"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208C932" w14:textId="77777777" w:rsidR="00A74431" w:rsidRPr="00D82BA9" w:rsidRDefault="00A74431">
      <w:pPr>
        <w:spacing w:after="0" w:line="360" w:lineRule="auto"/>
        <w:ind w:right="49"/>
        <w:jc w:val="both"/>
        <w:rPr>
          <w:rFonts w:ascii="Palatino Linotype" w:eastAsia="Palatino Linotype" w:hAnsi="Palatino Linotype" w:cs="Palatino Linotype"/>
        </w:rPr>
      </w:pPr>
    </w:p>
    <w:p w14:paraId="061B6240"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w:t>
      </w:r>
      <w:r w:rsidRPr="00D82BA9">
        <w:rPr>
          <w:rFonts w:ascii="Palatino Linotype" w:eastAsia="Palatino Linotype" w:hAnsi="Palatino Linotype" w:cs="Palatino Linotype"/>
          <w:b/>
          <w:i/>
        </w:rPr>
        <w:t>Artículo 4.</w:t>
      </w:r>
      <w:r w:rsidRPr="00D82BA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394F7FB"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4FA440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700FC2D0" w14:textId="77777777" w:rsidR="00A74431" w:rsidRPr="00D82BA9" w:rsidRDefault="00A74431">
      <w:pPr>
        <w:spacing w:after="0" w:line="360" w:lineRule="auto"/>
        <w:ind w:left="567" w:right="560"/>
        <w:jc w:val="both"/>
        <w:rPr>
          <w:rFonts w:ascii="Palatino Linotype" w:eastAsia="Palatino Linotype" w:hAnsi="Palatino Linotype" w:cs="Palatino Linotype"/>
          <w:i/>
        </w:rPr>
      </w:pPr>
    </w:p>
    <w:p w14:paraId="27B18759"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0A21674" w14:textId="77777777" w:rsidR="00A74431" w:rsidRPr="00D82BA9" w:rsidRDefault="00A74431">
      <w:pPr>
        <w:spacing w:after="0" w:line="360" w:lineRule="auto"/>
        <w:ind w:right="49"/>
        <w:jc w:val="both"/>
        <w:rPr>
          <w:rFonts w:ascii="Palatino Linotype" w:eastAsia="Palatino Linotype" w:hAnsi="Palatino Linotype" w:cs="Palatino Linotype"/>
        </w:rPr>
      </w:pPr>
    </w:p>
    <w:p w14:paraId="45445807"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Artículo 12.</w:t>
      </w:r>
      <w:r w:rsidRPr="00D82BA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9F1CFFE"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CC5401A" w14:textId="77777777" w:rsidR="00A74431" w:rsidRPr="00D82BA9" w:rsidRDefault="00A74431">
      <w:pPr>
        <w:spacing w:after="0" w:line="360" w:lineRule="auto"/>
        <w:ind w:right="49"/>
        <w:jc w:val="both"/>
        <w:rPr>
          <w:rFonts w:ascii="Palatino Linotype" w:eastAsia="Palatino Linotype" w:hAnsi="Palatino Linotype" w:cs="Palatino Linotype"/>
        </w:rPr>
      </w:pPr>
    </w:p>
    <w:p w14:paraId="363916D0"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472CFCA8" w14:textId="77777777" w:rsidR="00A74431" w:rsidRPr="00D82BA9" w:rsidRDefault="00A74431">
      <w:pPr>
        <w:spacing w:after="0" w:line="360" w:lineRule="auto"/>
        <w:ind w:right="49"/>
        <w:jc w:val="both"/>
        <w:rPr>
          <w:rFonts w:ascii="Palatino Linotype" w:eastAsia="Palatino Linotype" w:hAnsi="Palatino Linotype" w:cs="Palatino Linotype"/>
        </w:rPr>
      </w:pPr>
    </w:p>
    <w:p w14:paraId="23E5A3BB"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Criterio 03/17</w:t>
      </w:r>
    </w:p>
    <w:p w14:paraId="3BC70996"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 xml:space="preserve">“NO EXISTE OBLIGACIÓN DE ELABORAR DOCUMENTOS AD HOC PARA ATENDER LAS SOLICITUDES DE ACCESO A LA INFORMACIÓN. </w:t>
      </w:r>
      <w:r w:rsidRPr="00D82BA9">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DC7925D" w14:textId="77777777" w:rsidR="00A74431" w:rsidRPr="00D82BA9" w:rsidRDefault="00A74431">
      <w:pPr>
        <w:spacing w:after="0" w:line="360" w:lineRule="auto"/>
        <w:ind w:left="567" w:right="560"/>
        <w:jc w:val="both"/>
        <w:rPr>
          <w:rFonts w:ascii="Palatino Linotype" w:eastAsia="Palatino Linotype" w:hAnsi="Palatino Linotype" w:cs="Palatino Linotype"/>
          <w:b/>
          <w:i/>
        </w:rPr>
      </w:pPr>
    </w:p>
    <w:p w14:paraId="4C46CF94"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39639C8" w14:textId="77777777" w:rsidR="00A74431" w:rsidRPr="00D82BA9" w:rsidRDefault="00A74431">
      <w:pPr>
        <w:spacing w:after="0" w:line="360" w:lineRule="auto"/>
        <w:ind w:right="49"/>
        <w:jc w:val="both"/>
        <w:rPr>
          <w:rFonts w:ascii="Palatino Linotype" w:eastAsia="Palatino Linotype" w:hAnsi="Palatino Linotype" w:cs="Palatino Linotype"/>
        </w:rPr>
      </w:pPr>
    </w:p>
    <w:p w14:paraId="45337F67"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3AB72C6" w14:textId="77777777" w:rsidR="00A74431" w:rsidRPr="00D82BA9" w:rsidRDefault="00A74431">
      <w:pPr>
        <w:spacing w:after="0" w:line="360" w:lineRule="auto"/>
        <w:ind w:right="49"/>
        <w:jc w:val="both"/>
        <w:rPr>
          <w:rFonts w:ascii="Palatino Linotype" w:eastAsia="Palatino Linotype" w:hAnsi="Palatino Linotype" w:cs="Palatino Linotype"/>
        </w:rPr>
      </w:pPr>
    </w:p>
    <w:p w14:paraId="435F0666"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85432F" w14:textId="77777777" w:rsidR="00A74431" w:rsidRPr="00D82BA9" w:rsidRDefault="00A74431">
      <w:pPr>
        <w:spacing w:after="0" w:line="360" w:lineRule="auto"/>
        <w:ind w:right="49"/>
        <w:jc w:val="both"/>
        <w:rPr>
          <w:rFonts w:ascii="Palatino Linotype" w:eastAsia="Palatino Linotype" w:hAnsi="Palatino Linotype" w:cs="Palatino Linotype"/>
        </w:rPr>
      </w:pPr>
    </w:p>
    <w:p w14:paraId="266F2A88"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Artículo 3.</w:t>
      </w:r>
      <w:r w:rsidRPr="00D82BA9">
        <w:rPr>
          <w:rFonts w:ascii="Palatino Linotype" w:eastAsia="Palatino Linotype" w:hAnsi="Palatino Linotype" w:cs="Palatino Linotype"/>
          <w:i/>
        </w:rPr>
        <w:t xml:space="preserve"> Para los efectos de la presente Ley se entenderá por:</w:t>
      </w:r>
    </w:p>
    <w:p w14:paraId="11BF6FB0"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782C62F7"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XI. Documento:</w:t>
      </w:r>
      <w:r w:rsidRPr="00D82BA9">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9DD8821" w14:textId="77777777" w:rsidR="00A74431" w:rsidRPr="00D82BA9" w:rsidRDefault="00A74431">
      <w:pPr>
        <w:spacing w:after="0" w:line="360" w:lineRule="auto"/>
        <w:ind w:right="49"/>
        <w:jc w:val="both"/>
        <w:rPr>
          <w:rFonts w:ascii="Palatino Linotype" w:eastAsia="Palatino Linotype" w:hAnsi="Palatino Linotype" w:cs="Palatino Linotype"/>
        </w:rPr>
      </w:pPr>
    </w:p>
    <w:p w14:paraId="22BC3122"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w:t>
      </w:r>
      <w:r w:rsidRPr="00D82BA9">
        <w:rPr>
          <w:rFonts w:ascii="Palatino Linotype" w:eastAsia="Palatino Linotype" w:hAnsi="Palatino Linotype" w:cs="Palatino Linotype"/>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28B5A258" w14:textId="77777777" w:rsidR="00A74431" w:rsidRPr="00D82BA9" w:rsidRDefault="00A74431">
      <w:pPr>
        <w:spacing w:after="0" w:line="360" w:lineRule="auto"/>
        <w:ind w:right="49"/>
        <w:jc w:val="both"/>
        <w:rPr>
          <w:rFonts w:ascii="Palatino Linotype" w:eastAsia="Palatino Linotype" w:hAnsi="Palatino Linotype" w:cs="Palatino Linotype"/>
        </w:rPr>
      </w:pPr>
    </w:p>
    <w:p w14:paraId="5B21DE43"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CRITERIO 0002-11</w:t>
      </w:r>
    </w:p>
    <w:p w14:paraId="3D58977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82BA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B6A17F"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En consecuencia el acceso a la información se refiere a que se cumplan cualquiera de los siguientes tres supuestos:</w:t>
      </w:r>
    </w:p>
    <w:p w14:paraId="1B5E37A4"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1)</w:t>
      </w:r>
      <w:r w:rsidRPr="00D82BA9">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08895264"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2)</w:t>
      </w:r>
      <w:r w:rsidRPr="00D82BA9">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172A889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55C5EC08" w14:textId="77777777" w:rsidR="00A74431" w:rsidRPr="00D82BA9" w:rsidRDefault="00A74431">
      <w:pPr>
        <w:spacing w:after="0" w:line="360" w:lineRule="auto"/>
        <w:ind w:right="49"/>
        <w:jc w:val="both"/>
        <w:rPr>
          <w:rFonts w:ascii="Palatino Linotype" w:eastAsia="Palatino Linotype" w:hAnsi="Palatino Linotype" w:cs="Palatino Linotype"/>
        </w:rPr>
      </w:pPr>
    </w:p>
    <w:p w14:paraId="24FCC214"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De ahí que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w:t>
      </w:r>
      <w:r w:rsidRPr="00D82BA9">
        <w:rPr>
          <w:rFonts w:ascii="Palatino Linotype" w:eastAsia="Palatino Linotype" w:hAnsi="Palatino Linotype" w:cs="Palatino Linotype"/>
        </w:rPr>
        <w:lastRenderedPageBreak/>
        <w:t>la sociedad y no simplemente de interés individual y cuya divulgación resulta útil para que el público comprenda las actividades que llevan a cabo los Sujetos Obligados .</w:t>
      </w:r>
    </w:p>
    <w:p w14:paraId="0FAE4492" w14:textId="77777777" w:rsidR="00A74431" w:rsidRPr="00D82BA9" w:rsidRDefault="00A74431">
      <w:pPr>
        <w:spacing w:after="0" w:line="360" w:lineRule="auto"/>
        <w:ind w:right="49"/>
        <w:jc w:val="both"/>
        <w:rPr>
          <w:rFonts w:ascii="Palatino Linotype" w:eastAsia="Palatino Linotype" w:hAnsi="Palatino Linotype" w:cs="Palatino Linotype"/>
        </w:rPr>
      </w:pPr>
    </w:p>
    <w:p w14:paraId="2B895D92"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14:paraId="4FD77D49" w14:textId="77777777" w:rsidR="00A74431" w:rsidRPr="00D82BA9" w:rsidRDefault="00A74431">
      <w:pPr>
        <w:spacing w:after="0" w:line="360" w:lineRule="auto"/>
        <w:ind w:right="49"/>
        <w:jc w:val="both"/>
        <w:rPr>
          <w:rFonts w:ascii="Palatino Linotype" w:eastAsia="Palatino Linotype" w:hAnsi="Palatino Linotype" w:cs="Palatino Linotype"/>
        </w:rPr>
      </w:pPr>
    </w:p>
    <w:p w14:paraId="18EE2BCB"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Para ello, en principio resulta recordar que la pretensión de la ahora </w:t>
      </w:r>
      <w:r w:rsidRPr="00D82BA9">
        <w:rPr>
          <w:rFonts w:ascii="Palatino Linotype" w:eastAsia="Palatino Linotype" w:hAnsi="Palatino Linotype" w:cs="Palatino Linotype"/>
          <w:b/>
        </w:rPr>
        <w:t xml:space="preserve">Recurrente </w:t>
      </w:r>
      <w:r w:rsidRPr="00D82BA9">
        <w:rPr>
          <w:rFonts w:ascii="Palatino Linotype" w:eastAsia="Palatino Linotype" w:hAnsi="Palatino Linotype" w:cs="Palatino Linotype"/>
        </w:rPr>
        <w:t xml:space="preserve">es obtener la siguiente información: </w:t>
      </w:r>
    </w:p>
    <w:p w14:paraId="0412CF29" w14:textId="77777777" w:rsidR="00A74431" w:rsidRPr="00D82BA9" w:rsidRDefault="00A74431">
      <w:pPr>
        <w:spacing w:after="0" w:line="360" w:lineRule="auto"/>
        <w:ind w:right="49"/>
        <w:jc w:val="both"/>
        <w:rPr>
          <w:rFonts w:ascii="Palatino Linotype" w:eastAsia="Palatino Linotype" w:hAnsi="Palatino Linotype" w:cs="Palatino Linotype"/>
        </w:rPr>
      </w:pPr>
    </w:p>
    <w:p w14:paraId="60A20526" w14:textId="77777777" w:rsidR="00A74431" w:rsidRPr="00D82BA9" w:rsidRDefault="00120BB6">
      <w:pPr>
        <w:numPr>
          <w:ilvl w:val="0"/>
          <w:numId w:val="4"/>
        </w:numPr>
        <w:pBdr>
          <w:top w:val="nil"/>
          <w:left w:val="nil"/>
          <w:bottom w:val="nil"/>
          <w:right w:val="nil"/>
          <w:between w:val="nil"/>
        </w:pBdr>
        <w:tabs>
          <w:tab w:val="left" w:pos="993"/>
        </w:tabs>
        <w:spacing w:after="0" w:line="360" w:lineRule="auto"/>
        <w:ind w:right="843"/>
        <w:jc w:val="both"/>
        <w:rPr>
          <w:rFonts w:ascii="Palatino Linotype" w:eastAsia="Palatino Linotype" w:hAnsi="Palatino Linotype" w:cs="Palatino Linotype"/>
        </w:rPr>
      </w:pPr>
      <w:r w:rsidRPr="00D82BA9">
        <w:rPr>
          <w:rFonts w:ascii="Palatino Linotype" w:eastAsia="Palatino Linotype" w:hAnsi="Palatino Linotype" w:cs="Palatino Linotype"/>
        </w:rPr>
        <w:t>Las compras y adquisiciones realizadas en esta administración con todos los contratos.</w:t>
      </w:r>
    </w:p>
    <w:p w14:paraId="42AC77EB" w14:textId="77777777" w:rsidR="00A74431" w:rsidRPr="00D82BA9" w:rsidRDefault="00A7443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6D814889" w14:textId="77777777" w:rsidR="00A74431" w:rsidRPr="00D82BA9" w:rsidRDefault="00120BB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En respuesta,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a través de la Subdirección de Recursos Materiales adscrita a la Dirección de Administración, informó que después de realizar una búsqueda exhaustiva y razonable dentro de sus archivos y de sus departamentos, a la fecha de la presente no se localizó la información solicitada. </w:t>
      </w:r>
    </w:p>
    <w:p w14:paraId="13C8ABA1" w14:textId="77777777" w:rsidR="00A74431" w:rsidRPr="00D82BA9" w:rsidRDefault="00A74431">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146CFCB5" w14:textId="77777777" w:rsidR="00A74431" w:rsidRPr="00D82BA9" w:rsidRDefault="00120BB6">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Derivado de ello, 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se inconformó por la negativa a la información solicitada.</w:t>
      </w:r>
    </w:p>
    <w:p w14:paraId="34276E97" w14:textId="77777777" w:rsidR="00A74431" w:rsidRPr="00D82BA9" w:rsidRDefault="00A74431">
      <w:pPr>
        <w:spacing w:after="0" w:line="360" w:lineRule="auto"/>
        <w:ind w:right="49"/>
        <w:jc w:val="both"/>
        <w:rPr>
          <w:rFonts w:ascii="Palatino Linotype" w:eastAsia="Palatino Linotype" w:hAnsi="Palatino Linotype" w:cs="Palatino Linotype"/>
        </w:rPr>
      </w:pPr>
    </w:p>
    <w:p w14:paraId="67CA7197"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Es así que, la parte</w:t>
      </w:r>
      <w:r w:rsidRPr="00D82BA9">
        <w:rPr>
          <w:rFonts w:ascii="Palatino Linotype" w:eastAsia="Palatino Linotype" w:hAnsi="Palatino Linotype" w:cs="Palatino Linotype"/>
          <w:b/>
        </w:rPr>
        <w:t xml:space="preserve"> Recurrente</w:t>
      </w:r>
      <w:r w:rsidRPr="00D82BA9">
        <w:rPr>
          <w:rFonts w:ascii="Palatino Linotype" w:eastAsia="Palatino Linotype" w:hAnsi="Palatino Linotype" w:cs="Palatino Linotype"/>
        </w:rPr>
        <w:t xml:space="preserve"> no realizó manifestaciones, alegatos o pruebas que a su derecho convinieran y por su parte el </w:t>
      </w:r>
      <w:r w:rsidRPr="00D82BA9">
        <w:rPr>
          <w:rFonts w:ascii="Palatino Linotype" w:eastAsia="Palatino Linotype" w:hAnsi="Palatino Linotype" w:cs="Palatino Linotype"/>
          <w:b/>
        </w:rPr>
        <w:t xml:space="preserve">Sujeto Obligado </w:t>
      </w:r>
      <w:r w:rsidRPr="00D82BA9">
        <w:rPr>
          <w:rFonts w:ascii="Palatino Linotype" w:eastAsia="Palatino Linotype" w:hAnsi="Palatino Linotype" w:cs="Palatino Linotype"/>
        </w:rPr>
        <w:t xml:space="preserve">rindió su informe justificado a través de la Subdirección de Recursos Materiales adscrita a la Dirección de Administración, en el que medularmente ratificó su respuesta inicial. </w:t>
      </w:r>
    </w:p>
    <w:p w14:paraId="5C74ACC8" w14:textId="77777777" w:rsidR="00A74431" w:rsidRPr="00D82BA9" w:rsidRDefault="00A74431">
      <w:pPr>
        <w:spacing w:after="0" w:line="360" w:lineRule="auto"/>
        <w:ind w:right="49"/>
        <w:jc w:val="both"/>
        <w:rPr>
          <w:rFonts w:ascii="Palatino Linotype" w:eastAsia="Palatino Linotype" w:hAnsi="Palatino Linotype" w:cs="Palatino Linotype"/>
        </w:rPr>
      </w:pPr>
    </w:p>
    <w:p w14:paraId="03156953" w14:textId="77777777" w:rsidR="00A74431" w:rsidRPr="00D82BA9" w:rsidRDefault="00120BB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rPr>
        <w:t>Una vez expuestas las posturas de las partes, resulta importante señalar que la unidad administrativa que se pronunció desde la respuesta es la Dirección de Administración y la Dirección de Recursos Materiales, las cuales de conformidad con el Bando Municipal de Toluca vigente en su artículo 92, fracción VI; así como los artículos 3.43 fracciones XII y XIII, 3.44 y 3.46 fracciones I, II y III del Código Reglamentario Municipal de Toluca vigente, cuentan con las siguientes atribuciones:</w:t>
      </w:r>
    </w:p>
    <w:p w14:paraId="67764182" w14:textId="77777777" w:rsidR="00A74431" w:rsidRPr="00D82BA9" w:rsidRDefault="00120BB6">
      <w:pPr>
        <w:pBdr>
          <w:top w:val="nil"/>
          <w:left w:val="nil"/>
          <w:bottom w:val="nil"/>
          <w:right w:val="nil"/>
          <w:between w:val="nil"/>
        </w:pBdr>
        <w:tabs>
          <w:tab w:val="left" w:pos="284"/>
        </w:tabs>
        <w:spacing w:after="0"/>
        <w:ind w:left="851" w:right="843"/>
        <w:jc w:val="center"/>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Bando Municipal de Toluca 2025</w:t>
      </w:r>
    </w:p>
    <w:p w14:paraId="3EBC0673"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92</w:t>
      </w:r>
      <w:r w:rsidRPr="00D82BA9">
        <w:rPr>
          <w:rFonts w:ascii="Palatino Linotype" w:eastAsia="Palatino Linotype" w:hAnsi="Palatino Linotype" w:cs="Palatino Linotype"/>
          <w:i/>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 </w:t>
      </w:r>
    </w:p>
    <w:p w14:paraId="4E503BAC"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770E23C7"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VI. La persona titular de la </w:t>
      </w:r>
      <w:r w:rsidRPr="00D82BA9">
        <w:rPr>
          <w:rFonts w:ascii="Palatino Linotype" w:eastAsia="Palatino Linotype" w:hAnsi="Palatino Linotype" w:cs="Palatino Linotype"/>
          <w:b/>
          <w:i/>
        </w:rPr>
        <w:t>Dirección General de Administración es responsable</w:t>
      </w:r>
      <w:r w:rsidRPr="00D82BA9">
        <w:rPr>
          <w:rFonts w:ascii="Palatino Linotype" w:eastAsia="Palatino Linotype" w:hAnsi="Palatino Linotype" w:cs="Palatino Linotype"/>
          <w:i/>
        </w:rPr>
        <w:t xml:space="preserve"> de la gestión integral del capital humano del Ayuntamiento, coordinando el reclutamiento, contratación, capacitación y.</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i/>
        </w:rPr>
        <w:t>desarrollo del personal, así como la aplicación de las disposiciones laborales y sindicales.</w:t>
      </w:r>
    </w:p>
    <w:p w14:paraId="747F7184"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i/>
        </w:rPr>
        <w:t xml:space="preserve">Supervisará la elaboración y distribución de la nómina, garantizando su apego a la normatividad y el presupuesto autorizado. </w:t>
      </w:r>
      <w:r w:rsidRPr="00D82BA9">
        <w:rPr>
          <w:rFonts w:ascii="Palatino Linotype" w:eastAsia="Palatino Linotype" w:hAnsi="Palatino Linotype" w:cs="Palatino Linotype"/>
          <w:b/>
          <w:i/>
        </w:rPr>
        <w:t>Dirigirá los procesos de adquisición, arrendamiento y contratación de servicios</w:t>
      </w: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 xml:space="preserve"> asegurando la eficiencia y transparencia en el uso de los recursos públicos.</w:t>
      </w:r>
      <w:r w:rsidRPr="00D82BA9">
        <w:rPr>
          <w:rFonts w:ascii="Palatino Linotype" w:eastAsia="Palatino Linotype" w:hAnsi="Palatino Linotype" w:cs="Palatino Linotype"/>
          <w:i/>
        </w:rPr>
        <w:t xml:space="preserve">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5832C844"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2F39C786" w14:textId="77777777" w:rsidR="00A74431" w:rsidRPr="00D82BA9" w:rsidRDefault="00120BB6">
      <w:pPr>
        <w:pBdr>
          <w:top w:val="nil"/>
          <w:left w:val="nil"/>
          <w:bottom w:val="nil"/>
          <w:right w:val="nil"/>
          <w:between w:val="nil"/>
        </w:pBdr>
        <w:tabs>
          <w:tab w:val="left" w:pos="284"/>
        </w:tabs>
        <w:spacing w:after="0"/>
        <w:ind w:left="851" w:right="843"/>
        <w:jc w:val="center"/>
        <w:rPr>
          <w:rFonts w:ascii="Palatino Linotype" w:eastAsia="Palatino Linotype" w:hAnsi="Palatino Linotype" w:cs="Palatino Linotype"/>
          <w:b/>
          <w:i/>
        </w:rPr>
      </w:pPr>
      <w:r w:rsidRPr="00D82BA9">
        <w:rPr>
          <w:rFonts w:ascii="Palatino Linotype" w:eastAsia="Palatino Linotype" w:hAnsi="Palatino Linotype" w:cs="Palatino Linotype"/>
          <w:b/>
          <w:i/>
        </w:rPr>
        <w:t xml:space="preserve">Código Reglamentario Municipal de Toluca </w:t>
      </w:r>
    </w:p>
    <w:p w14:paraId="56A82BF5"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DE LA DIRECCIÓN GENERAL DE ADMINISTRACIÓN</w:t>
      </w:r>
    </w:p>
    <w:p w14:paraId="0CAB2C66"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 xml:space="preserve">Artículo 3.43. La o el titular de la Dirección General de Administración, tiene las siguientes atribuciones: </w:t>
      </w:r>
    </w:p>
    <w:p w14:paraId="1DD30918"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44108E7F"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w:t>
      </w:r>
    </w:p>
    <w:p w14:paraId="4A37817E"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X. Supervisar y vigilar que los procedimientos de licitaciones públicas, así como sus excepciones, se desarrollen conforme lo establece la normatividad respectiva y en estricto apego a los lineamientos establecidos de eficiencia, eficacia, honradez y transparencia;</w:t>
      </w:r>
    </w:p>
    <w:p w14:paraId="4E6F9311"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XI. Establecer los mecanismos y procedimientos necesarios para la investigación y obtención de información sobre estudios de mercado y precios de referencia;</w:t>
      </w:r>
    </w:p>
    <w:p w14:paraId="2969DA47"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XII. Revisar</w:t>
      </w:r>
      <w:r w:rsidRPr="00D82BA9">
        <w:rPr>
          <w:rFonts w:ascii="Palatino Linotype" w:eastAsia="Palatino Linotype" w:hAnsi="Palatino Linotype" w:cs="Palatino Linotype"/>
          <w:b/>
          <w:i/>
          <w:u w:val="single"/>
        </w:rPr>
        <w:t>, suscribir</w:t>
      </w:r>
      <w:r w:rsidRPr="00D82BA9">
        <w:rPr>
          <w:rFonts w:ascii="Palatino Linotype" w:eastAsia="Palatino Linotype" w:hAnsi="Palatino Linotype" w:cs="Palatino Linotype"/>
          <w:b/>
          <w:i/>
        </w:rPr>
        <w:t xml:space="preserve"> y vigilar </w:t>
      </w:r>
      <w:r w:rsidRPr="00D82BA9">
        <w:rPr>
          <w:rFonts w:ascii="Palatino Linotype" w:eastAsia="Palatino Linotype" w:hAnsi="Palatino Linotype" w:cs="Palatino Linotype"/>
          <w:b/>
          <w:i/>
          <w:u w:val="single"/>
        </w:rPr>
        <w:t>todos aquellos contratos que se formalicen con proveedores, así como su ejecución y ejercicio, relativos a fallos de adjudicación de procesos de licitación pública o de sus excepciones, mismos que deberán cumplir con la normatividad en la materia</w:t>
      </w:r>
      <w:r w:rsidRPr="00D82BA9">
        <w:rPr>
          <w:rFonts w:ascii="Palatino Linotype" w:eastAsia="Palatino Linotype" w:hAnsi="Palatino Linotype" w:cs="Palatino Linotype"/>
          <w:b/>
          <w:i/>
        </w:rPr>
        <w:t>;</w:t>
      </w:r>
    </w:p>
    <w:p w14:paraId="5CE7AD3C"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XIII. Presidir los comités instituidos para atender los procesos de adquisición</w:t>
      </w:r>
      <w:r w:rsidRPr="00D82BA9">
        <w:rPr>
          <w:rFonts w:ascii="Palatino Linotype" w:eastAsia="Palatino Linotype" w:hAnsi="Palatino Linotype" w:cs="Palatino Linotype"/>
          <w:i/>
        </w:rPr>
        <w:t xml:space="preserve"> y enajenación de bienes muebles e inmuebles, </w:t>
      </w:r>
      <w:r w:rsidRPr="00D82BA9">
        <w:rPr>
          <w:rFonts w:ascii="Palatino Linotype" w:eastAsia="Palatino Linotype" w:hAnsi="Palatino Linotype" w:cs="Palatino Linotype"/>
          <w:b/>
          <w:i/>
        </w:rPr>
        <w:t>contratación de servicios</w:t>
      </w:r>
      <w:r w:rsidRPr="00D82BA9">
        <w:rPr>
          <w:rFonts w:ascii="Palatino Linotype" w:eastAsia="Palatino Linotype" w:hAnsi="Palatino Linotype" w:cs="Palatino Linotype"/>
          <w:i/>
        </w:rPr>
        <w:t xml:space="preserve"> y arrendamientos. Convocar a sus integrantes y desahogar los asuntos que se sometan a consideración de éstos, así como llevar a cabo las funciones que establece la normatividad en la materia;</w:t>
      </w:r>
    </w:p>
    <w:p w14:paraId="3EEDAFAA"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w:t>
      </w:r>
    </w:p>
    <w:p w14:paraId="3F78D091"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p>
    <w:p w14:paraId="18E63347"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3.44</w:t>
      </w:r>
      <w:r w:rsidRPr="00D82BA9">
        <w:rPr>
          <w:rFonts w:ascii="Palatino Linotype" w:eastAsia="Palatino Linotype" w:hAnsi="Palatino Linotype" w:cs="Palatino Linotype"/>
          <w:i/>
        </w:rPr>
        <w:t xml:space="preserve">. La Dirección General de Administración, para el cumplimiento de sus atribuciones, </w:t>
      </w:r>
      <w:r w:rsidRPr="00D82BA9">
        <w:rPr>
          <w:rFonts w:ascii="Palatino Linotype" w:eastAsia="Palatino Linotype" w:hAnsi="Palatino Linotype" w:cs="Palatino Linotype"/>
          <w:b/>
          <w:i/>
        </w:rPr>
        <w:t>se auxiliará</w:t>
      </w:r>
      <w:r w:rsidRPr="00D82BA9">
        <w:rPr>
          <w:rFonts w:ascii="Palatino Linotype" w:eastAsia="Palatino Linotype" w:hAnsi="Palatino Linotype" w:cs="Palatino Linotype"/>
          <w:i/>
        </w:rPr>
        <w:t xml:space="preserve"> de la Dirección de Recursos Humanos, de la </w:t>
      </w:r>
      <w:r w:rsidRPr="00D82BA9">
        <w:rPr>
          <w:rFonts w:ascii="Palatino Linotype" w:eastAsia="Palatino Linotype" w:hAnsi="Palatino Linotype" w:cs="Palatino Linotype"/>
          <w:b/>
          <w:i/>
        </w:rPr>
        <w:t>Dirección de Recursos Materiales</w:t>
      </w:r>
      <w:r w:rsidRPr="00D82BA9">
        <w:rPr>
          <w:rFonts w:ascii="Palatino Linotype" w:eastAsia="Palatino Linotype" w:hAnsi="Palatino Linotype" w:cs="Palatino Linotype"/>
          <w:i/>
        </w:rPr>
        <w:t>, de la Dirección de Servicios Generales y de la Dirección de Tecnologías de la Información y Gobierno Digital</w:t>
      </w:r>
    </w:p>
    <w:p w14:paraId="5249F426" w14:textId="77777777" w:rsidR="00A74431" w:rsidRPr="00D82BA9" w:rsidRDefault="00A74431">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p>
    <w:p w14:paraId="7A2828F9"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lastRenderedPageBreak/>
        <w:t>Artículo 3.46.</w:t>
      </w:r>
      <w:r w:rsidRPr="00D82BA9">
        <w:rPr>
          <w:rFonts w:ascii="Palatino Linotype" w:eastAsia="Palatino Linotype" w:hAnsi="Palatino Linotype" w:cs="Palatino Linotype"/>
          <w:i/>
        </w:rPr>
        <w:t xml:space="preserve"> La o el titular de la </w:t>
      </w:r>
      <w:r w:rsidRPr="00D82BA9">
        <w:rPr>
          <w:rFonts w:ascii="Palatino Linotype" w:eastAsia="Palatino Linotype" w:hAnsi="Palatino Linotype" w:cs="Palatino Linotype"/>
          <w:b/>
          <w:i/>
          <w:u w:val="single"/>
        </w:rPr>
        <w:t>Dirección de Recursos Materiales</w:t>
      </w:r>
      <w:r w:rsidRPr="00D82BA9">
        <w:rPr>
          <w:rFonts w:ascii="Palatino Linotype" w:eastAsia="Palatino Linotype" w:hAnsi="Palatino Linotype" w:cs="Palatino Linotype"/>
          <w:i/>
        </w:rPr>
        <w:t xml:space="preserve"> cuenta con las siguientes atribuciones:</w:t>
      </w:r>
    </w:p>
    <w:p w14:paraId="71B8CA1F"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 Llevar a cabo los procedimientos para la adquisición de los bienes y servicios</w:t>
      </w:r>
      <w:r w:rsidRPr="00D82BA9">
        <w:rPr>
          <w:rFonts w:ascii="Palatino Linotype" w:eastAsia="Palatino Linotype" w:hAnsi="Palatino Linotype" w:cs="Palatino Linotype"/>
          <w:i/>
        </w:rPr>
        <w:t xml:space="preserve"> y el arrendamiento, adquisición y enajenación de inmuebles en estricto apego a las disposiciones legales aplicables;</w:t>
      </w:r>
    </w:p>
    <w:p w14:paraId="592EF63B"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b/>
          <w:i/>
        </w:rPr>
      </w:pPr>
      <w:bookmarkStart w:id="1" w:name="_heading=h.vnuvweb01qi9" w:colFirst="0" w:colLast="0"/>
      <w:bookmarkEnd w:id="1"/>
      <w:r w:rsidRPr="00D82BA9">
        <w:rPr>
          <w:rFonts w:ascii="Palatino Linotype" w:eastAsia="Palatino Linotype" w:hAnsi="Palatino Linotype" w:cs="Palatino Linotype"/>
          <w:b/>
          <w:i/>
        </w:rPr>
        <w:t>II. Autorizar y suscribir los pedidos-contrato que se finquen relativos a procedimientos de adquisiciones y compras de bienes, materiales y suministros;</w:t>
      </w:r>
    </w:p>
    <w:p w14:paraId="79A90FB8"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III. Elaborar los contratos de adquisición de los bienes y servicios</w:t>
      </w:r>
      <w:r w:rsidRPr="00D82BA9">
        <w:rPr>
          <w:rFonts w:ascii="Palatino Linotype" w:eastAsia="Palatino Linotype" w:hAnsi="Palatino Linotype" w:cs="Palatino Linotype"/>
          <w:i/>
        </w:rPr>
        <w:t xml:space="preserve"> y de arrendamiento, adquisición y enajenación de inmuebles de competencia municipal;</w:t>
      </w:r>
    </w:p>
    <w:p w14:paraId="65CD0153"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IV. Someter a consideración la autorización de prórroga para la entrega de bienes y servicios que sean solicitados por los proveedores o prestadores de servicios, de acuerdo a lo establecido en la normatividad establecida;</w:t>
      </w:r>
    </w:p>
    <w:p w14:paraId="04B8B42F"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 Mantener actualizado el padrón de proveedores; tomando en consideración, el tipo de bien y servicio que ofrece cada proveedor, este deberá cubrir los documentos y requisitos que establece la normatividad respectiva;</w:t>
      </w:r>
    </w:p>
    <w:p w14:paraId="3CE5192F"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 Solicitar las cotizaciones necesarias para realizar los precios de referencia y estudios de mercado, conforme la normatividad respectiva;</w:t>
      </w:r>
    </w:p>
    <w:p w14:paraId="3C03FD10"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VII. Llevar a cabo los trámites administrativos respectivos para la integración de los comités de adquisiciones y servicios, y arrendamientos, y adquisición y enajenación de bienes inmuebles, así mismo, deberá integrar los expedientes los temas a tratar por parte de cada comité;</w:t>
      </w:r>
    </w:p>
    <w:p w14:paraId="00101241"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VIII. Aplicar las penas convencionales a aquellos proveedores que incumplan en cuanto a las fechas establecidas en los contratos de aquellos materiales,</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i/>
        </w:rPr>
        <w:t>bienes y suministros que les fueron adjudicados, conforme a lo que establece la normatividad correspondiente;</w:t>
      </w:r>
    </w:p>
    <w:p w14:paraId="0398E703"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IX. Controlar y vigilar el manejo y operación del almacén municipal, estableciendo un sistema estricto de recepción, resguardo y entrega de materiales, bienes y suministros, así como implementar periódicamente la elaboración de inventarios;</w:t>
      </w:r>
    </w:p>
    <w:p w14:paraId="1BE315B1"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b/>
          <w:i/>
          <w:u w:val="single"/>
        </w:rPr>
      </w:pPr>
      <w:r w:rsidRPr="00D82BA9">
        <w:rPr>
          <w:rFonts w:ascii="Palatino Linotype" w:eastAsia="Palatino Linotype" w:hAnsi="Palatino Linotype" w:cs="Palatino Linotype"/>
          <w:b/>
          <w:i/>
        </w:rPr>
        <w:t>X. Integrar y elaborar el sistema anual de adquisiciones de bienes y servicios calendarizado, con base en los montos por partida, objeto de gasto del presupuesto y establecer el procedimiento para su ejecución,</w:t>
      </w:r>
      <w:r w:rsidRPr="00D82BA9">
        <w:rPr>
          <w:rFonts w:ascii="Palatino Linotype" w:eastAsia="Palatino Linotype" w:hAnsi="Palatino Linotype" w:cs="Palatino Linotype"/>
          <w:i/>
        </w:rPr>
        <w:t xml:space="preserve"> previa autorización de los comités de adquisiciones y servicios y de arrendamientos, adquisición y enajenación de inmuebles; …</w:t>
      </w:r>
      <w:r w:rsidRPr="00D82BA9">
        <w:rPr>
          <w:rFonts w:ascii="Palatino Linotype" w:eastAsia="Palatino Linotype" w:hAnsi="Palatino Linotype" w:cs="Palatino Linotype"/>
          <w:b/>
          <w:i/>
        </w:rPr>
        <w:t>”</w:t>
      </w:r>
      <w:r w:rsidRPr="00D82BA9">
        <w:rPr>
          <w:rFonts w:ascii="Palatino Linotype" w:eastAsia="Palatino Linotype" w:hAnsi="Palatino Linotype" w:cs="Palatino Linotype"/>
          <w:b/>
          <w:i/>
          <w:u w:val="single"/>
        </w:rPr>
        <w:t xml:space="preserve"> </w:t>
      </w:r>
    </w:p>
    <w:p w14:paraId="71C3DFE3" w14:textId="77777777" w:rsidR="00A74431" w:rsidRPr="00D82BA9" w:rsidRDefault="00120BB6">
      <w:pPr>
        <w:pBdr>
          <w:top w:val="nil"/>
          <w:left w:val="nil"/>
          <w:bottom w:val="nil"/>
          <w:right w:val="nil"/>
          <w:between w:val="nil"/>
        </w:pBdr>
        <w:tabs>
          <w:tab w:val="left" w:pos="284"/>
        </w:tabs>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(Énfasis añadido)</w:t>
      </w:r>
    </w:p>
    <w:p w14:paraId="02710520" w14:textId="77777777" w:rsidR="00A74431" w:rsidRPr="00D82BA9" w:rsidRDefault="00120BB6">
      <w:pPr>
        <w:spacing w:before="240" w:after="24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De lo anteriormente citado, se desprende que la Dirección General de Administración cuenta con la atribución de suscribir todos aquellos contratos que se formalicen con proveedores, así como su ejecución y ejercicio, mientras que la Dirección de Recursos Materiales se encarga de autorizar y suscribir los pedidos-contrato que se finquen relativos a procedimientos de adquisiciones y compras de bienes, materiales y suministros; destacando que dicha dirección auxilia para el cumplimiento de sus atribuciones a la Dirección de Administración, por ello es dable afirmar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44DE4144" w14:textId="77777777" w:rsidR="00A74431" w:rsidRPr="00D82BA9" w:rsidRDefault="00120BB6">
      <w:pPr>
        <w:pBdr>
          <w:top w:val="nil"/>
          <w:left w:val="nil"/>
          <w:bottom w:val="nil"/>
          <w:right w:val="nil"/>
          <w:between w:val="nil"/>
        </w:pBdr>
        <w:ind w:left="864" w:right="864"/>
        <w:jc w:val="both"/>
        <w:rPr>
          <w:rFonts w:ascii="Palatino Linotype" w:eastAsia="Palatino Linotype" w:hAnsi="Palatino Linotype" w:cs="Palatino Linotype"/>
        </w:rPr>
      </w:pPr>
      <w:r w:rsidRPr="00D82BA9">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D7AA0BA" w14:textId="77777777" w:rsidR="00A74431" w:rsidRPr="00D82BA9" w:rsidRDefault="00120BB6">
      <w:pPr>
        <w:spacing w:before="80" w:after="24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Ahora bien, respecto a la información solicitada, el particular desea conocer las compras que hayan implicado la celebración de contratos; por lo que resulta conveniente señalar que este Organismo Garante localizó dentro del Portal del Ayuntamiento de Toluca y el perfil del Presidente Municipal en la red social Instagram, que el </w:t>
      </w:r>
      <w:r w:rsidRPr="00D82BA9">
        <w:rPr>
          <w:rFonts w:ascii="Palatino Linotype" w:eastAsia="Palatino Linotype" w:hAnsi="Palatino Linotype" w:cs="Palatino Linotype"/>
          <w:b/>
        </w:rPr>
        <w:t>veinte de enero de dos mil veinticinco</w:t>
      </w:r>
      <w:r w:rsidRPr="00D82BA9">
        <w:rPr>
          <w:rFonts w:ascii="Palatino Linotype" w:eastAsia="Palatino Linotype" w:hAnsi="Palatino Linotype" w:cs="Palatino Linotype"/>
        </w:rPr>
        <w:t xml:space="preserve">, se llevó a cabo la colocación de un nuevo sistema que se basa en </w:t>
      </w:r>
      <w:proofErr w:type="spellStart"/>
      <w:r w:rsidRPr="00D82BA9">
        <w:rPr>
          <w:rFonts w:ascii="Palatino Linotype" w:eastAsia="Palatino Linotype" w:hAnsi="Palatino Linotype" w:cs="Palatino Linotype"/>
        </w:rPr>
        <w:t>geoceldas</w:t>
      </w:r>
      <w:proofErr w:type="spellEnd"/>
      <w:r w:rsidRPr="00D82BA9">
        <w:rPr>
          <w:rFonts w:ascii="Palatino Linotype" w:eastAsia="Palatino Linotype" w:hAnsi="Palatino Linotype" w:cs="Palatino Linotype"/>
        </w:rPr>
        <w:t xml:space="preserve"> de polietileno de alta densidad en San Felipe </w:t>
      </w:r>
      <w:proofErr w:type="spellStart"/>
      <w:r w:rsidRPr="00D82BA9">
        <w:rPr>
          <w:rFonts w:ascii="Palatino Linotype" w:eastAsia="Palatino Linotype" w:hAnsi="Palatino Linotype" w:cs="Palatino Linotype"/>
        </w:rPr>
        <w:t>Tlalmimilolpan</w:t>
      </w:r>
      <w:proofErr w:type="spellEnd"/>
      <w:r w:rsidRPr="00D82BA9">
        <w:rPr>
          <w:rFonts w:ascii="Palatino Linotype" w:eastAsia="Palatino Linotype" w:hAnsi="Palatino Linotype" w:cs="Palatino Linotype"/>
        </w:rPr>
        <w:t xml:space="preserve"> y que permitirán un ahorro aproximado de 30% en tiempo y material, tal y como se observa de las siguientes imágenes:</w:t>
      </w:r>
    </w:p>
    <w:p w14:paraId="0474D3F2" w14:textId="77777777" w:rsidR="00A74431" w:rsidRPr="00D82BA9" w:rsidRDefault="00120BB6">
      <w:pPr>
        <w:spacing w:before="240" w:after="240" w:line="360" w:lineRule="auto"/>
        <w:jc w:val="center"/>
        <w:rPr>
          <w:rFonts w:ascii="Palatino Linotype" w:eastAsia="Palatino Linotype" w:hAnsi="Palatino Linotype" w:cs="Palatino Linotype"/>
        </w:rPr>
      </w:pPr>
      <w:r w:rsidRPr="00D82BA9">
        <w:rPr>
          <w:rFonts w:ascii="Palatino Linotype" w:eastAsia="Palatino Linotype" w:hAnsi="Palatino Linotype" w:cs="Palatino Linotype"/>
          <w:noProof/>
        </w:rPr>
        <w:lastRenderedPageBreak/>
        <w:drawing>
          <wp:inline distT="0" distB="0" distL="0" distR="0" wp14:anchorId="11DCA4D4" wp14:editId="58AC0FDD">
            <wp:extent cx="5572125" cy="240919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784" r="712"/>
                    <a:stretch>
                      <a:fillRect/>
                    </a:stretch>
                  </pic:blipFill>
                  <pic:spPr>
                    <a:xfrm>
                      <a:off x="0" y="0"/>
                      <a:ext cx="5572125" cy="2409190"/>
                    </a:xfrm>
                    <a:prstGeom prst="rect">
                      <a:avLst/>
                    </a:prstGeom>
                    <a:ln/>
                  </pic:spPr>
                </pic:pic>
              </a:graphicData>
            </a:graphic>
          </wp:inline>
        </w:drawing>
      </w:r>
    </w:p>
    <w:p w14:paraId="10F38C43" w14:textId="77777777" w:rsidR="00A74431" w:rsidRPr="00D82BA9" w:rsidRDefault="00120BB6">
      <w:pPr>
        <w:spacing w:before="240" w:after="240" w:line="360" w:lineRule="auto"/>
        <w:jc w:val="center"/>
        <w:rPr>
          <w:rFonts w:ascii="Palatino Linotype" w:eastAsia="Palatino Linotype" w:hAnsi="Palatino Linotype" w:cs="Palatino Linotype"/>
        </w:rPr>
      </w:pPr>
      <w:r w:rsidRPr="00D82BA9">
        <w:rPr>
          <w:rFonts w:ascii="Palatino Linotype" w:eastAsia="Palatino Linotype" w:hAnsi="Palatino Linotype" w:cs="Palatino Linotype"/>
          <w:noProof/>
        </w:rPr>
        <w:drawing>
          <wp:inline distT="0" distB="0" distL="0" distR="0" wp14:anchorId="5BE969A0" wp14:editId="2485FEE3">
            <wp:extent cx="4740603" cy="4520147"/>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740603" cy="4520147"/>
                    </a:xfrm>
                    <a:prstGeom prst="rect">
                      <a:avLst/>
                    </a:prstGeom>
                    <a:ln/>
                  </pic:spPr>
                </pic:pic>
              </a:graphicData>
            </a:graphic>
          </wp:inline>
        </w:drawing>
      </w:r>
    </w:p>
    <w:p w14:paraId="6A58934B" w14:textId="77777777" w:rsidR="00A74431" w:rsidRPr="00D82BA9" w:rsidRDefault="00120BB6">
      <w:pPr>
        <w:spacing w:before="240" w:after="240" w:line="360" w:lineRule="auto"/>
        <w:jc w:val="center"/>
        <w:rPr>
          <w:rFonts w:ascii="Palatino Linotype" w:eastAsia="Palatino Linotype" w:hAnsi="Palatino Linotype" w:cs="Palatino Linotype"/>
        </w:rPr>
      </w:pPr>
      <w:r w:rsidRPr="00D82BA9">
        <w:rPr>
          <w:rFonts w:ascii="Palatino Linotype" w:eastAsia="Palatino Linotype" w:hAnsi="Palatino Linotype" w:cs="Palatino Linotype"/>
          <w:noProof/>
        </w:rPr>
        <w:lastRenderedPageBreak/>
        <w:drawing>
          <wp:inline distT="0" distB="0" distL="0" distR="0" wp14:anchorId="43900330" wp14:editId="06D70F2C">
            <wp:extent cx="5178007" cy="4710474"/>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78007" cy="4710474"/>
                    </a:xfrm>
                    <a:prstGeom prst="rect">
                      <a:avLst/>
                    </a:prstGeom>
                    <a:ln/>
                  </pic:spPr>
                </pic:pic>
              </a:graphicData>
            </a:graphic>
          </wp:inline>
        </w:drawing>
      </w:r>
    </w:p>
    <w:p w14:paraId="6317A3D9"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De tal suerte que con lo vertido anteriormente, podemos advertir que obran indicios de que el Ayuntamiento de Toluca celebró contratos para la adquisición de materiales para la construcción de calles, avenidas y caminos durante el primero de enero al diez de marzo de dos mil veinticinco, por lo que estaríamos ante un hecho notorio, el cual se sustenta conforme a las siguientes tesis jurisprudenciales:</w:t>
      </w:r>
    </w:p>
    <w:p w14:paraId="1CF5A27C" w14:textId="77777777" w:rsidR="00A74431" w:rsidRPr="00D82BA9" w:rsidRDefault="00120BB6">
      <w:pPr>
        <w:spacing w:after="0"/>
        <w:ind w:left="709" w:right="701"/>
        <w:jc w:val="center"/>
        <w:rPr>
          <w:rFonts w:ascii="Palatino Linotype" w:eastAsia="Palatino Linotype" w:hAnsi="Palatino Linotype" w:cs="Palatino Linotype"/>
          <w:b/>
          <w:i/>
        </w:rPr>
      </w:pPr>
      <w:r w:rsidRPr="00D82BA9">
        <w:rPr>
          <w:rFonts w:ascii="Palatino Linotype" w:eastAsia="Palatino Linotype" w:hAnsi="Palatino Linotype" w:cs="Palatino Linotype"/>
          <w:b/>
          <w:i/>
        </w:rPr>
        <w:t>“HECHOS NOTORIOS. CONCEPTOS GENERAL Y JURÍDICO</w:t>
      </w:r>
    </w:p>
    <w:p w14:paraId="1667430B" w14:textId="77777777" w:rsidR="00A74431" w:rsidRPr="00D82BA9" w:rsidRDefault="00120BB6">
      <w:pPr>
        <w:spacing w:after="0"/>
        <w:ind w:left="709" w:right="701"/>
        <w:jc w:val="both"/>
        <w:rPr>
          <w:rFonts w:ascii="Palatino Linotype" w:eastAsia="Palatino Linotype" w:hAnsi="Palatino Linotype" w:cs="Palatino Linotype"/>
          <w:i/>
        </w:rPr>
      </w:pPr>
      <w:r w:rsidRPr="00D82BA9">
        <w:rPr>
          <w:rFonts w:ascii="Palatino Linotype" w:eastAsia="Palatino Linotype" w:hAnsi="Palatino Linotype" w:cs="Palatino Linotype"/>
          <w:b/>
          <w:i/>
        </w:rPr>
        <w:t xml:space="preserve">Conforme al artículo </w:t>
      </w:r>
      <w:hyperlink r:id="rId11">
        <w:r w:rsidRPr="00D82BA9">
          <w:rPr>
            <w:rFonts w:ascii="Palatino Linotype" w:eastAsia="Palatino Linotype" w:hAnsi="Palatino Linotype" w:cs="Palatino Linotype"/>
            <w:b/>
            <w:i/>
          </w:rPr>
          <w:t>88 del Código Federal de Procedimientos Civiles</w:t>
        </w:r>
      </w:hyperlink>
      <w:r w:rsidRPr="00D82BA9">
        <w:rPr>
          <w:rFonts w:ascii="Palatino Linotype" w:eastAsia="Palatino Linotype" w:hAnsi="Palatino Linotype" w:cs="Palatino Linotype"/>
          <w:b/>
          <w:i/>
        </w:rPr>
        <w:t xml:space="preserve"> los tribunales pueden invocar hechos notorios aunque no hayan sido alegados ni probados por las partes.</w:t>
      </w:r>
      <w:r w:rsidRPr="00D82BA9">
        <w:rPr>
          <w:rFonts w:ascii="Palatino Linotype" w:eastAsia="Palatino Linotype" w:hAnsi="Palatino Linotype" w:cs="Palatino Linotype"/>
          <w:i/>
        </w:rPr>
        <w:t xml:space="preserve"> Por hechos notorios deben entenderse, en general, aquellos </w:t>
      </w:r>
      <w:r w:rsidRPr="00D82BA9">
        <w:rPr>
          <w:rFonts w:ascii="Palatino Linotype" w:eastAsia="Palatino Linotype" w:hAnsi="Palatino Linotype" w:cs="Palatino Linotype"/>
          <w:i/>
        </w:rPr>
        <w:lastRenderedPageBreak/>
        <w:t>que por el conocimiento humano se consideran ciertos e indiscutibles, ya sea que pertenezcan a la historia, a la ciencia, a la naturaleza</w:t>
      </w:r>
      <w:r w:rsidRPr="00D82BA9">
        <w:rPr>
          <w:rFonts w:ascii="Palatino Linotype" w:eastAsia="Palatino Linotype" w:hAnsi="Palatino Linotype" w:cs="Palatino Linotype"/>
          <w:b/>
          <w:i/>
        </w:rPr>
        <w:t>, a las vicisitudes de la vida pública actual o a circunstancias comúnmente conocidas en un determinado lugar</w:t>
      </w:r>
      <w:r w:rsidRPr="00D82BA9">
        <w:rPr>
          <w:rFonts w:ascii="Palatino Linotype" w:eastAsia="Palatino Linotype" w:hAnsi="Palatino Linotype" w:cs="Palatino Linotype"/>
          <w:i/>
        </w:rPr>
        <w:t xml:space="preserve">, </w:t>
      </w:r>
      <w:r w:rsidRPr="00D82BA9">
        <w:rPr>
          <w:rFonts w:ascii="Palatino Linotype" w:eastAsia="Palatino Linotype" w:hAnsi="Palatino Linotype" w:cs="Palatino Linotype"/>
          <w:b/>
          <w:i/>
        </w:rPr>
        <w:t>de modo que toda persona de ese medio esté en condiciones de saberlo</w:t>
      </w:r>
      <w:r w:rsidRPr="00D82BA9">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283C83A" w14:textId="77777777" w:rsidR="00A74431" w:rsidRPr="00D82BA9" w:rsidRDefault="00120BB6">
      <w:pPr>
        <w:spacing w:after="0"/>
        <w:ind w:left="709" w:right="701"/>
        <w:jc w:val="both"/>
        <w:rPr>
          <w:rFonts w:ascii="Palatino Linotype" w:eastAsia="Palatino Linotype" w:hAnsi="Palatino Linotype" w:cs="Palatino Linotype"/>
          <w:i/>
        </w:rPr>
      </w:pPr>
      <w:r w:rsidRPr="00D82BA9">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64A51AA1" w14:textId="77777777" w:rsidR="00A74431" w:rsidRPr="00D82BA9" w:rsidRDefault="00120BB6">
      <w:pPr>
        <w:spacing w:after="0"/>
        <w:ind w:left="709" w:right="701"/>
        <w:jc w:val="both"/>
        <w:rPr>
          <w:rFonts w:ascii="Palatino Linotype" w:eastAsia="Palatino Linotype" w:hAnsi="Palatino Linotype" w:cs="Palatino Linotype"/>
          <w:i/>
        </w:rPr>
      </w:pPr>
      <w:r w:rsidRPr="00D82BA9">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2CFB9038" w14:textId="77777777" w:rsidR="00A74431" w:rsidRPr="00D82BA9" w:rsidRDefault="00120BB6">
      <w:pPr>
        <w:spacing w:after="0"/>
        <w:ind w:left="709" w:right="701"/>
        <w:jc w:val="both"/>
        <w:rPr>
          <w:rFonts w:ascii="Palatino Linotype" w:eastAsia="Palatino Linotype" w:hAnsi="Palatino Linotype" w:cs="Palatino Linotype"/>
          <w:i/>
        </w:rPr>
      </w:pPr>
      <w:r w:rsidRPr="00D82BA9">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49D8863D" w14:textId="77777777" w:rsidR="00A74431" w:rsidRPr="00D82BA9" w:rsidRDefault="00A74431">
      <w:pPr>
        <w:spacing w:after="0"/>
        <w:ind w:left="709" w:right="701"/>
        <w:jc w:val="both"/>
        <w:rPr>
          <w:rFonts w:ascii="Palatino Linotype" w:eastAsia="Palatino Linotype" w:hAnsi="Palatino Linotype" w:cs="Palatino Linotype"/>
          <w:i/>
        </w:rPr>
      </w:pPr>
    </w:p>
    <w:p w14:paraId="12A2C075" w14:textId="77777777" w:rsidR="00A74431" w:rsidRPr="00D82BA9" w:rsidRDefault="00120BB6">
      <w:pPr>
        <w:widowControl w:val="0"/>
        <w:pBdr>
          <w:top w:val="nil"/>
          <w:left w:val="nil"/>
          <w:bottom w:val="nil"/>
          <w:right w:val="nil"/>
          <w:between w:val="nil"/>
        </w:pBdr>
        <w:shd w:val="clear" w:color="auto" w:fill="FFFFFF"/>
        <w:spacing w:after="0"/>
        <w:ind w:left="709" w:right="701"/>
        <w:jc w:val="both"/>
        <w:rPr>
          <w:rFonts w:ascii="Palatino Linotype" w:eastAsia="Palatino Linotype" w:hAnsi="Palatino Linotype" w:cs="Palatino Linotype"/>
          <w:i/>
        </w:rPr>
      </w:pPr>
      <w:r w:rsidRPr="00D82BA9">
        <w:rPr>
          <w:rFonts w:ascii="Palatino Linotype" w:eastAsia="Palatino Linotype" w:hAnsi="Palatino Linotype" w:cs="Palatino Linotype"/>
          <w:b/>
          <w:i/>
        </w:rPr>
        <w:t>PÁGINAS WEB O ELECTRÓNICAS. SU CONTENIDO ES UN HECHO NOTORIO Y SUSCEPTIBLE DE SER VALORADO EN UNA DECISIÓN JUDICIAL.</w:t>
      </w:r>
      <w:r w:rsidRPr="00D82BA9">
        <w:t xml:space="preserve"> </w:t>
      </w:r>
      <w:r w:rsidRPr="00D82BA9">
        <w:rPr>
          <w:rFonts w:ascii="Palatino Linotype" w:eastAsia="Palatino Linotype" w:hAnsi="Palatino Linotype" w:cs="Palatino Linotype"/>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w:t>
      </w:r>
      <w:r w:rsidRPr="00D82BA9">
        <w:rPr>
          <w:rFonts w:ascii="Palatino Linotype" w:eastAsia="Palatino Linotype" w:hAnsi="Palatino Linotype" w:cs="Palatino Linotype"/>
          <w:i/>
        </w:rPr>
        <w:lastRenderedPageBreak/>
        <w:t xml:space="preserve">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D82BA9">
        <w:rPr>
          <w:rFonts w:ascii="Palatino Linotype" w:eastAsia="Palatino Linotype" w:hAnsi="Palatino Linotype" w:cs="Palatino Linotype"/>
          <w:i/>
        </w:rPr>
        <w:t>Mardygras</w:t>
      </w:r>
      <w:proofErr w:type="spellEnd"/>
      <w:r w:rsidRPr="00D82BA9">
        <w:rPr>
          <w:rFonts w:ascii="Palatino Linotype" w:eastAsia="Palatino Linotype" w:hAnsi="Palatino Linotype" w:cs="Palatino Linotype"/>
          <w:i/>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D82BA9">
        <w:rPr>
          <w:rFonts w:ascii="Palatino Linotype" w:eastAsia="Palatino Linotype" w:hAnsi="Palatino Linotype" w:cs="Palatino Linotype"/>
          <w:i/>
        </w:rPr>
        <w:t>Pag.</w:t>
      </w:r>
      <w:proofErr w:type="spellEnd"/>
      <w:r w:rsidRPr="00D82BA9">
        <w:rPr>
          <w:rFonts w:ascii="Palatino Linotype" w:eastAsia="Palatino Linotype" w:hAnsi="Palatino Linotype" w:cs="Palatino Linotype"/>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w:t>
      </w:r>
      <w:r w:rsidRPr="00D82BA9">
        <w:rPr>
          <w:rFonts w:ascii="Palatino Linotype" w:eastAsia="Palatino Linotype" w:hAnsi="Palatino Linotype" w:cs="Palatino Linotype"/>
          <w:i/>
        </w:rPr>
        <w:lastRenderedPageBreak/>
        <w:t>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8BE0A5F" w14:textId="77777777" w:rsidR="00A74431" w:rsidRPr="00D82BA9" w:rsidRDefault="00120BB6">
      <w:pPr>
        <w:spacing w:before="240" w:after="24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Establecido lo anterior, y respecto a la naturaleza de la información, conviene señalar que la Ley de la Contratación Pública del Estado de México y Municipios, tiene por objeto regular los actos relativos a la planeación, programación, presupuestación, ejecución y control de la </w:t>
      </w:r>
      <w:r w:rsidRPr="00D82BA9">
        <w:rPr>
          <w:rFonts w:ascii="Palatino Linotype" w:eastAsia="Palatino Linotype" w:hAnsi="Palatino Linotype" w:cs="Palatino Linotype"/>
          <w:b/>
          <w:u w:val="single"/>
        </w:rPr>
        <w:t>adquisición</w:t>
      </w:r>
      <w:r w:rsidRPr="00D82BA9">
        <w:rPr>
          <w:rFonts w:ascii="Palatino Linotype" w:eastAsia="Palatino Linotype" w:hAnsi="Palatino Linotype" w:cs="Palatino Linotype"/>
        </w:rPr>
        <w:t xml:space="preserve">, enajenación y arrendamiento </w:t>
      </w:r>
      <w:r w:rsidRPr="00D82BA9">
        <w:rPr>
          <w:rFonts w:ascii="Palatino Linotype" w:eastAsia="Palatino Linotype" w:hAnsi="Palatino Linotype" w:cs="Palatino Linotype"/>
          <w:b/>
          <w:u w:val="single"/>
        </w:rPr>
        <w:t>de bienes</w:t>
      </w:r>
      <w:r w:rsidRPr="00D82BA9">
        <w:rPr>
          <w:rFonts w:ascii="Palatino Linotype" w:eastAsia="Palatino Linotype" w:hAnsi="Palatino Linotype" w:cs="Palatino Linotype"/>
        </w:rPr>
        <w:t xml:space="preserve">, y la </w:t>
      </w:r>
      <w:r w:rsidRPr="00D82BA9">
        <w:rPr>
          <w:rFonts w:ascii="Palatino Linotype" w:eastAsia="Palatino Linotype" w:hAnsi="Palatino Linotype" w:cs="Palatino Linotype"/>
          <w:b/>
          <w:u w:val="single"/>
        </w:rPr>
        <w:t>contratación de servicios de cualquier naturaleza, que realicen los Ayuntamientos del Estado</w:t>
      </w:r>
      <w:r w:rsidRPr="00D82BA9">
        <w:rPr>
          <w:rFonts w:ascii="Palatino Linotype" w:eastAsia="Palatino Linotype" w:hAnsi="Palatino Linotype" w:cs="Palatino Linotype"/>
        </w:rPr>
        <w:t>; los cuales se adjudicarán a través de licitaciones públicas, invitación restringida o adjudicación directa, mediante convocatoria pública, tal y como lo establecen los artículos 4, 26 y 27 de dicha Ley, los cuales son del tenor siguiente:</w:t>
      </w:r>
    </w:p>
    <w:p w14:paraId="7DA08505"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Artículo 4.-</w:t>
      </w:r>
      <w:r w:rsidRPr="00D82BA9">
        <w:rPr>
          <w:rFonts w:ascii="Palatino Linotype" w:eastAsia="Palatino Linotype" w:hAnsi="Palatino Linotype" w:cs="Palatino Linotype"/>
          <w:i/>
        </w:rPr>
        <w:t xml:space="preserve"> Para los efectos de esta Ley, en las adquisiciones, enajenaciones, arrendamientos y servicios, quedan comprendidos: </w:t>
      </w:r>
    </w:p>
    <w:p w14:paraId="121C1EF5" w14:textId="77777777" w:rsidR="00A74431" w:rsidRPr="00D82BA9" w:rsidRDefault="00120BB6">
      <w:pPr>
        <w:spacing w:after="0"/>
        <w:ind w:left="851" w:right="843"/>
        <w:jc w:val="both"/>
        <w:rPr>
          <w:rFonts w:ascii="Palatino Linotype" w:eastAsia="Palatino Linotype" w:hAnsi="Palatino Linotype" w:cs="Palatino Linotype"/>
          <w:b/>
          <w:i/>
          <w:u w:val="single"/>
        </w:rPr>
      </w:pPr>
      <w:r w:rsidRPr="00D82BA9">
        <w:rPr>
          <w:rFonts w:ascii="Palatino Linotype" w:eastAsia="Palatino Linotype" w:hAnsi="Palatino Linotype" w:cs="Palatino Linotype"/>
          <w:b/>
          <w:i/>
          <w:u w:val="single"/>
        </w:rPr>
        <w:t xml:space="preserve">I. La adquisición de bienes muebles. </w:t>
      </w:r>
    </w:p>
    <w:p w14:paraId="5BDC668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II. La adquisición de bienes inmuebles, a través de compraventa. </w:t>
      </w:r>
    </w:p>
    <w:p w14:paraId="31556A56"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III. La enajenación de bienes muebles e inmuebles. </w:t>
      </w:r>
    </w:p>
    <w:p w14:paraId="34DD284E"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u w:val="single"/>
        </w:rPr>
        <w:t>IV. El arrendamiento de bienes muebles</w:t>
      </w:r>
      <w:r w:rsidRPr="00D82BA9">
        <w:rPr>
          <w:rFonts w:ascii="Palatino Linotype" w:eastAsia="Palatino Linotype" w:hAnsi="Palatino Linotype" w:cs="Palatino Linotype"/>
          <w:i/>
        </w:rPr>
        <w:t xml:space="preserve"> e inmuebles. </w:t>
      </w:r>
    </w:p>
    <w:p w14:paraId="2360019E" w14:textId="77777777" w:rsidR="00A74431" w:rsidRPr="00D82BA9" w:rsidRDefault="00120BB6">
      <w:pPr>
        <w:spacing w:after="0"/>
        <w:ind w:left="851" w:right="843"/>
        <w:jc w:val="both"/>
        <w:rPr>
          <w:rFonts w:ascii="Palatino Linotype" w:eastAsia="Palatino Linotype" w:hAnsi="Palatino Linotype" w:cs="Palatino Linotype"/>
          <w:b/>
          <w:i/>
          <w:u w:val="single"/>
        </w:rPr>
      </w:pPr>
      <w:r w:rsidRPr="00D82BA9">
        <w:rPr>
          <w:rFonts w:ascii="Palatino Linotype" w:eastAsia="Palatino Linotype" w:hAnsi="Palatino Linotype" w:cs="Palatino Linotype"/>
          <w:b/>
          <w:i/>
          <w:u w:val="single"/>
        </w:rPr>
        <w:t xml:space="preserve">V. La contratación de los servicios, relacionados con bienes muebles que se encuentran incorporados o adheridos a bienes inmuebles, cuya instalación o mantenimiento no implique modificación al bien inmueble. </w:t>
      </w:r>
    </w:p>
    <w:p w14:paraId="352AD69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VI. La contratación de los servicios de reconstrucción y mantenimiento de bienes muebles. </w:t>
      </w:r>
    </w:p>
    <w:p w14:paraId="4777A15F"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u w:val="single"/>
        </w:rPr>
        <w:t xml:space="preserve">VII. La contratación de los servicios </w:t>
      </w:r>
      <w:r w:rsidRPr="00D82BA9">
        <w:rPr>
          <w:rFonts w:ascii="Palatino Linotype" w:eastAsia="Palatino Linotype" w:hAnsi="Palatino Linotype" w:cs="Palatino Linotype"/>
          <w:i/>
        </w:rPr>
        <w:t>de maquila, seguros y transportación, así como de los de limpieza y vigilancia de bienes inmuebles</w:t>
      </w:r>
    </w:p>
    <w:p w14:paraId="537681AB"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 xml:space="preserve">VIII. La prestación de servicios profesionales, la contratación de consultorías, asesorías y estudios e investigaciones, excepto la contratación de servicios personales de personas físicas bajo el régimen de honorarios. </w:t>
      </w:r>
    </w:p>
    <w:p w14:paraId="045953E4" w14:textId="77777777" w:rsidR="00A74431" w:rsidRPr="00D82BA9" w:rsidRDefault="00120BB6">
      <w:pPr>
        <w:spacing w:after="0"/>
        <w:ind w:left="851" w:right="843"/>
        <w:jc w:val="both"/>
        <w:rPr>
          <w:rFonts w:ascii="Palatino Linotype" w:eastAsia="Palatino Linotype" w:hAnsi="Palatino Linotype" w:cs="Palatino Linotype"/>
          <w:b/>
          <w:i/>
          <w:u w:val="single"/>
        </w:rPr>
      </w:pPr>
      <w:r w:rsidRPr="00D82BA9">
        <w:rPr>
          <w:rFonts w:ascii="Palatino Linotype" w:eastAsia="Palatino Linotype" w:hAnsi="Palatino Linotype" w:cs="Palatino Linotype"/>
          <w:b/>
          <w:i/>
          <w:u w:val="single"/>
        </w:rPr>
        <w:t>En general, otros actos que impliquen la contratación de servicios de cualquier naturaleza.</w:t>
      </w:r>
    </w:p>
    <w:p w14:paraId="71F41257"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Artículo 26.- Las adquisiciones, arrendamientos y servicios se adjudicarán a través de licitaciones públicas, mediante convocatoria pública.</w:t>
      </w:r>
    </w:p>
    <w:p w14:paraId="3B707C81" w14:textId="77777777" w:rsidR="00A74431" w:rsidRPr="00D82BA9" w:rsidRDefault="00A74431">
      <w:pPr>
        <w:spacing w:after="0"/>
        <w:ind w:left="851" w:right="843"/>
        <w:jc w:val="both"/>
        <w:rPr>
          <w:rFonts w:ascii="Palatino Linotype" w:eastAsia="Palatino Linotype" w:hAnsi="Palatino Linotype" w:cs="Palatino Linotype"/>
          <w:b/>
          <w:i/>
        </w:rPr>
      </w:pPr>
    </w:p>
    <w:p w14:paraId="65654617"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 xml:space="preserve">Artículo 27.- </w:t>
      </w:r>
      <w:r w:rsidRPr="00D82BA9">
        <w:rPr>
          <w:rFonts w:ascii="Palatino Linotype" w:eastAsia="Palatino Linotype" w:hAnsi="Palatino Linotype" w:cs="Palatino Linotype"/>
          <w:i/>
        </w:rPr>
        <w:t xml:space="preserve">La Secretaría, las entidades, los tribunales administrativos y </w:t>
      </w:r>
      <w:r w:rsidRPr="00D82BA9">
        <w:rPr>
          <w:rFonts w:ascii="Palatino Linotype" w:eastAsia="Palatino Linotype" w:hAnsi="Palatino Linotype" w:cs="Palatino Linotype"/>
          <w:b/>
          <w:i/>
        </w:rPr>
        <w:t xml:space="preserve">los ayuntamientos podrán adjudicar adquisiciones, arrendamientos y servicios, mediante las excepciones al procedimiento de licitación que a continuación se señalan: </w:t>
      </w:r>
    </w:p>
    <w:p w14:paraId="793EC967"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 xml:space="preserve">I. Invitación restringida. </w:t>
      </w:r>
    </w:p>
    <w:p w14:paraId="78C16794"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II. Adjudicación directa.”</w:t>
      </w:r>
    </w:p>
    <w:p w14:paraId="2EAFA003" w14:textId="77777777" w:rsidR="00A74431" w:rsidRPr="00D82BA9" w:rsidRDefault="00120BB6">
      <w:pPr>
        <w:spacing w:after="0"/>
        <w:ind w:left="851" w:right="843"/>
        <w:rPr>
          <w:rFonts w:ascii="Palatino Linotype" w:eastAsia="Palatino Linotype" w:hAnsi="Palatino Linotype" w:cs="Palatino Linotype"/>
          <w:i/>
        </w:rPr>
      </w:pPr>
      <w:r w:rsidRPr="00D82BA9">
        <w:rPr>
          <w:rFonts w:ascii="Palatino Linotype" w:eastAsia="Palatino Linotype" w:hAnsi="Palatino Linotype" w:cs="Palatino Linotype"/>
          <w:i/>
        </w:rPr>
        <w:t xml:space="preserve">(Énfasis añadido) </w:t>
      </w:r>
    </w:p>
    <w:p w14:paraId="229A67B0" w14:textId="77777777" w:rsidR="00A74431" w:rsidRPr="00D82BA9" w:rsidRDefault="00A74431">
      <w:pPr>
        <w:ind w:left="567" w:right="567"/>
        <w:jc w:val="both"/>
        <w:rPr>
          <w:rFonts w:ascii="Palatino Linotype" w:eastAsia="Palatino Linotype" w:hAnsi="Palatino Linotype" w:cs="Palatino Linotype"/>
        </w:rPr>
      </w:pPr>
    </w:p>
    <w:p w14:paraId="18888130"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47D0D565" w14:textId="77777777" w:rsidR="00A74431" w:rsidRPr="00D82BA9" w:rsidRDefault="00A74431">
      <w:pPr>
        <w:spacing w:line="360" w:lineRule="auto"/>
        <w:jc w:val="both"/>
        <w:rPr>
          <w:rFonts w:ascii="Palatino Linotype" w:eastAsia="Palatino Linotype" w:hAnsi="Palatino Linotype" w:cs="Palatino Linotype"/>
        </w:rPr>
      </w:pPr>
    </w:p>
    <w:p w14:paraId="31975E0E"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7001B2D"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Por lo que, en las licitaciones se debe seguir el procedimiento marcado en el artículo 35 del precitado ordenamiento, que literalmente establece:</w:t>
      </w:r>
    </w:p>
    <w:p w14:paraId="7A1F49E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lastRenderedPageBreak/>
        <w:t>“Artículo 35</w:t>
      </w:r>
      <w:r w:rsidRPr="00D82BA9">
        <w:rPr>
          <w:rFonts w:ascii="Palatino Linotype" w:eastAsia="Palatino Linotype" w:hAnsi="Palatino Linotype" w:cs="Palatino Linotype"/>
          <w:i/>
        </w:rPr>
        <w:t>.- En los procedimientos de licitación pública se observará lo siguiente:</w:t>
      </w:r>
    </w:p>
    <w:p w14:paraId="1D6280AE"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 El acto de presentación y apertura de propuestas se llevará a cabo por el servidor público que designe la convocante, conforme al procedimiento que se establezca en el reglamento de esta Ley.</w:t>
      </w:r>
    </w:p>
    <w:p w14:paraId="66EF466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El comité de adquisiciones y servicios evaluará y analizará las propuestas técnicas y económicas presentadas por los licitantes en el ámbito de las respectivas competencias de sus integrantes, y emitirá el dictamen de adjudicación.</w:t>
      </w:r>
    </w:p>
    <w:p w14:paraId="046C202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3195580"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14:paraId="3DF1DC3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14:paraId="029A76E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14:paraId="7AD09A50"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VII. Se emitirá el fallo dentro de los 15 días hábiles siguientes a la publicación de la convocatoria.</w:t>
      </w:r>
    </w:p>
    <w:p w14:paraId="2FBCEED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VIII. Los licitantes se podrán registrar hasta el día y la hora fijados para el acto de presentación y apertura de propuestas.</w:t>
      </w:r>
      <w:r w:rsidRPr="00D82BA9">
        <w:rPr>
          <w:rFonts w:ascii="Palatino Linotype" w:eastAsia="Palatino Linotype" w:hAnsi="Palatino Linotype" w:cs="Palatino Linotype"/>
          <w:b/>
          <w:i/>
        </w:rPr>
        <w:t>”</w:t>
      </w:r>
    </w:p>
    <w:p w14:paraId="7E22AD27" w14:textId="77777777" w:rsidR="00A74431" w:rsidRPr="00D82BA9" w:rsidRDefault="00120BB6">
      <w:pPr>
        <w:spacing w:after="0"/>
        <w:ind w:left="851" w:right="843"/>
        <w:rPr>
          <w:rFonts w:ascii="Palatino Linotype" w:eastAsia="Palatino Linotype" w:hAnsi="Palatino Linotype" w:cs="Palatino Linotype"/>
          <w:i/>
        </w:rPr>
      </w:pPr>
      <w:r w:rsidRPr="00D82BA9">
        <w:rPr>
          <w:rFonts w:ascii="Palatino Linotype" w:eastAsia="Palatino Linotype" w:hAnsi="Palatino Linotype" w:cs="Palatino Linotype"/>
          <w:i/>
        </w:rPr>
        <w:t xml:space="preserve"> (Énfasis añadido)</w:t>
      </w:r>
    </w:p>
    <w:p w14:paraId="13599A38" w14:textId="77777777" w:rsidR="00A74431" w:rsidRPr="00D82BA9" w:rsidRDefault="00A74431">
      <w:pPr>
        <w:ind w:left="851" w:right="902"/>
        <w:jc w:val="both"/>
        <w:rPr>
          <w:rFonts w:ascii="Palatino Linotype" w:eastAsia="Palatino Linotype" w:hAnsi="Palatino Linotype" w:cs="Palatino Linotype"/>
        </w:rPr>
      </w:pPr>
    </w:p>
    <w:p w14:paraId="6F7E234B"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551CE2FD"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lastRenderedPageBreak/>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503CEFBB"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4CC5C16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46.-</w:t>
      </w:r>
      <w:r w:rsidRPr="00D82BA9">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 (Sic)</w:t>
      </w:r>
    </w:p>
    <w:p w14:paraId="5998AE6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5166C103" w14:textId="77777777" w:rsidR="00A74431" w:rsidRPr="00D82BA9" w:rsidRDefault="00A74431">
      <w:pPr>
        <w:spacing w:after="0"/>
        <w:ind w:left="851" w:right="843"/>
        <w:jc w:val="both"/>
        <w:rPr>
          <w:rFonts w:ascii="Palatino Linotype" w:eastAsia="Palatino Linotype" w:hAnsi="Palatino Linotype" w:cs="Palatino Linotype"/>
          <w:b/>
          <w:i/>
        </w:rPr>
      </w:pPr>
    </w:p>
    <w:p w14:paraId="6E07810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90.-</w:t>
      </w:r>
      <w:r w:rsidRPr="00D82BA9">
        <w:rPr>
          <w:rFonts w:ascii="Palatino Linotype" w:eastAsia="Palatino Linotype" w:hAnsi="Palatino Linotype" w:cs="Palatino Linotype"/>
          <w:i/>
        </w:rPr>
        <w:t xml:space="preserve"> En el procedimiento de invitación restringida se deberá observar lo siguiente:</w:t>
      </w:r>
    </w:p>
    <w:p w14:paraId="30ECF94D" w14:textId="77777777" w:rsidR="00A74431" w:rsidRPr="00D82BA9" w:rsidRDefault="00A74431">
      <w:pPr>
        <w:spacing w:after="0"/>
        <w:ind w:left="851" w:right="843"/>
        <w:jc w:val="both"/>
        <w:rPr>
          <w:rFonts w:ascii="Palatino Linotype" w:eastAsia="Palatino Linotype" w:hAnsi="Palatino Linotype" w:cs="Palatino Linotype"/>
          <w:i/>
        </w:rPr>
      </w:pPr>
    </w:p>
    <w:p w14:paraId="0E24D538"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36147B7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14:paraId="4AD07D6F"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Las bases de la invitación restringida indicarán los aspectos de la adquisición o contratación; y</w:t>
      </w:r>
    </w:p>
    <w:p w14:paraId="3B68EDEE"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i/>
        </w:rPr>
        <w:t>III. Serán aplicables, en lo conducente, las disposiciones de la licitación pública.</w:t>
      </w:r>
      <w:r w:rsidRPr="00D82BA9">
        <w:rPr>
          <w:rFonts w:ascii="Palatino Linotype" w:eastAsia="Palatino Linotype" w:hAnsi="Palatino Linotype" w:cs="Palatino Linotype"/>
          <w:b/>
          <w:i/>
        </w:rPr>
        <w:t>”</w:t>
      </w:r>
    </w:p>
    <w:p w14:paraId="437C9ECC" w14:textId="77777777" w:rsidR="00A74431" w:rsidRPr="00D82BA9" w:rsidRDefault="00A74431">
      <w:pPr>
        <w:spacing w:after="0"/>
        <w:ind w:left="851" w:right="843"/>
        <w:jc w:val="both"/>
        <w:rPr>
          <w:rFonts w:ascii="Palatino Linotype" w:eastAsia="Palatino Linotype" w:hAnsi="Palatino Linotype" w:cs="Palatino Linotype"/>
          <w:b/>
          <w:i/>
        </w:rPr>
      </w:pPr>
    </w:p>
    <w:p w14:paraId="1EE4E20F"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En conclusión, cuando los procedimientos de adquisición o prestación de servicios materia de la Ley en cita, se hubieran llevado a cabo mediante invitación restringida, por cada </w:t>
      </w:r>
      <w:r w:rsidRPr="00D82BA9">
        <w:rPr>
          <w:rFonts w:ascii="Palatino Linotype" w:eastAsia="Palatino Linotype" w:hAnsi="Palatino Linotype" w:cs="Palatino Linotype"/>
        </w:rPr>
        <w:lastRenderedPageBreak/>
        <w:t>procedimiento se debe contar con las bases, dictámenes, fallos y en su caso, fianzas, de haber sido esta la garantía exhibida.</w:t>
      </w:r>
    </w:p>
    <w:p w14:paraId="4DC12D25"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Por último, y en cuanto hace a la adjudicación directa, el artículo 48 de la Ley de la Contratación Pública del Estado de México y Municipios y 91 del Reglamento de dicha Ley, indican en qué supuestos puede llevarse a cabo este procedimiento.</w:t>
      </w:r>
    </w:p>
    <w:p w14:paraId="06EDBA2A"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90B88F0"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Además, el artículo 94 del referido Reglamento, detalla el procedimiento que se llevará a cabo en la adjudicación directa, de la siguiente manera: </w:t>
      </w:r>
    </w:p>
    <w:p w14:paraId="7A915B6A"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 xml:space="preserve">“Artículo 94.- </w:t>
      </w:r>
      <w:r w:rsidRPr="00D82BA9">
        <w:rPr>
          <w:rFonts w:ascii="Palatino Linotype" w:eastAsia="Palatino Linotype" w:hAnsi="Palatino Linotype" w:cs="Palatino Linotype"/>
          <w:i/>
        </w:rPr>
        <w:t>En el procedimiento de adjudicación directa se observará lo siguiente:</w:t>
      </w:r>
      <w:r w:rsidRPr="00D82BA9">
        <w:rPr>
          <w:rFonts w:ascii="Palatino Linotype" w:eastAsia="Palatino Linotype" w:hAnsi="Palatino Linotype" w:cs="Palatino Linotype"/>
          <w:b/>
          <w:i/>
        </w:rPr>
        <w:t xml:space="preserve"> </w:t>
      </w:r>
    </w:p>
    <w:p w14:paraId="356CF7DB"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w:t>
      </w:r>
      <w:r w:rsidRPr="00D82BA9">
        <w:rPr>
          <w:rFonts w:ascii="Palatino Linotype" w:eastAsia="Palatino Linotype" w:hAnsi="Palatino Linotype" w:cs="Palatino Linotype"/>
          <w:i/>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306D5A4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II.</w:t>
      </w:r>
      <w:r w:rsidRPr="00D82BA9">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6E2C7DAD"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III.</w:t>
      </w:r>
      <w:r w:rsidRPr="00D82BA9">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14:paraId="3BDE3EA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IV.</w:t>
      </w:r>
      <w:r w:rsidRPr="00D82BA9">
        <w:rPr>
          <w:rFonts w:ascii="Palatino Linotype" w:eastAsia="Palatino Linotype" w:hAnsi="Palatino Linotype" w:cs="Palatino Linotype"/>
          <w:i/>
        </w:rPr>
        <w:t xml:space="preserve"> La solicitud de participación deberá señalar el día, hora y lugar en que tendrá verificativo el acto de presentación y apertura de ofertas;</w:t>
      </w:r>
    </w:p>
    <w:p w14:paraId="58172AD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lastRenderedPageBreak/>
        <w:t>V.</w:t>
      </w:r>
      <w:r w:rsidRPr="00D82BA9">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14:paraId="0BD2881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VI.</w:t>
      </w:r>
      <w:r w:rsidRPr="00D82BA9">
        <w:rPr>
          <w:rFonts w:ascii="Palatino Linotype" w:eastAsia="Palatino Linotype" w:hAnsi="Palatino Linotype" w:cs="Palatino Linotype"/>
          <w:i/>
        </w:rPr>
        <w:t xml:space="preserve"> El servidor público designado por la convocante será el responsable de llevar a cabo el acto de presentación y apertura de propuestas;</w:t>
      </w:r>
    </w:p>
    <w:p w14:paraId="26BABC7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VII.</w:t>
      </w:r>
      <w:r w:rsidRPr="00D82BA9">
        <w:rPr>
          <w:rFonts w:ascii="Palatino Linotype" w:eastAsia="Palatino Linotype" w:hAnsi="Palatino Linotype" w:cs="Palatino Linotype"/>
          <w:i/>
        </w:rPr>
        <w:t xml:space="preserve"> Se observarán, en lo conducente, las disposiciones relativas a la contraoferta; y</w:t>
      </w:r>
    </w:p>
    <w:p w14:paraId="64DD9F6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VIII.</w:t>
      </w:r>
      <w:r w:rsidRPr="00D82BA9">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sidRPr="00D82BA9">
        <w:rPr>
          <w:rFonts w:ascii="Palatino Linotype" w:eastAsia="Palatino Linotype" w:hAnsi="Palatino Linotype" w:cs="Palatino Linotype"/>
          <w:b/>
          <w:i/>
        </w:rPr>
        <w:t>”</w:t>
      </w:r>
      <w:r w:rsidRPr="00D82BA9">
        <w:rPr>
          <w:rFonts w:ascii="Palatino Linotype" w:eastAsia="Palatino Linotype" w:hAnsi="Palatino Linotype" w:cs="Palatino Linotype"/>
          <w:i/>
        </w:rPr>
        <w:t xml:space="preserve"> </w:t>
      </w:r>
    </w:p>
    <w:p w14:paraId="2538779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(Énfasis añadido)</w:t>
      </w:r>
    </w:p>
    <w:p w14:paraId="0251123C" w14:textId="77777777" w:rsidR="00A74431" w:rsidRPr="00D82BA9" w:rsidRDefault="00A74431">
      <w:pPr>
        <w:ind w:left="851" w:right="851"/>
        <w:jc w:val="both"/>
        <w:rPr>
          <w:rFonts w:ascii="Palatino Linotype" w:eastAsia="Palatino Linotype" w:hAnsi="Palatino Linotype" w:cs="Palatino Linotype"/>
          <w:i/>
        </w:rPr>
      </w:pPr>
    </w:p>
    <w:p w14:paraId="7B353F9D"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En este sentido, debe decirse que los </w:t>
      </w:r>
      <w:r w:rsidRPr="00D82BA9">
        <w:rPr>
          <w:rFonts w:ascii="Palatino Linotype" w:eastAsia="Palatino Linotype" w:hAnsi="Palatino Linotype" w:cs="Palatino Linotype"/>
          <w:b/>
          <w:u w:val="single"/>
        </w:rPr>
        <w:t>expedientes de las adquisiciones</w:t>
      </w:r>
      <w:r w:rsidRPr="00D82BA9">
        <w:rPr>
          <w:rFonts w:ascii="Palatino Linotype" w:eastAsia="Palatino Linotype" w:hAnsi="Palatino Linotype" w:cs="Palatino Linotype"/>
        </w:rPr>
        <w:t xml:space="preserve">, arrendamientos, enajenaciones </w:t>
      </w:r>
      <w:r w:rsidRPr="00D82BA9">
        <w:rPr>
          <w:rFonts w:ascii="Palatino Linotype" w:eastAsia="Palatino Linotype" w:hAnsi="Palatino Linotype" w:cs="Palatino Linotype"/>
          <w:b/>
          <w:u w:val="single"/>
        </w:rPr>
        <w:t>y servicios</w:t>
      </w:r>
      <w:r w:rsidRPr="00D82BA9">
        <w:rPr>
          <w:rFonts w:ascii="Palatino Linotype" w:eastAsia="Palatino Linotype" w:hAnsi="Palatino Linotype" w:cs="Palatino Linotype"/>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44D6769A"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“Artículo 92. </w:t>
      </w:r>
      <w:r w:rsidRPr="00D82BA9">
        <w:rPr>
          <w:rFonts w:ascii="Palatino Linotype" w:eastAsia="Palatino Linotype" w:hAnsi="Palatino Linotype" w:cs="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90D992"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w:t>
      </w:r>
    </w:p>
    <w:p w14:paraId="39F797E5" w14:textId="77777777" w:rsidR="00A74431" w:rsidRPr="00D82BA9" w:rsidRDefault="00A74431">
      <w:pPr>
        <w:spacing w:after="0"/>
        <w:ind w:left="851" w:right="843"/>
        <w:jc w:val="both"/>
        <w:rPr>
          <w:rFonts w:ascii="Palatino Linotype" w:eastAsia="Palatino Linotype" w:hAnsi="Palatino Linotype" w:cs="Palatino Linotype"/>
          <w:b/>
          <w:i/>
        </w:rPr>
      </w:pPr>
    </w:p>
    <w:p w14:paraId="6A8B0EB8"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XXIX. </w:t>
      </w:r>
      <w:r w:rsidRPr="00D82BA9">
        <w:rPr>
          <w:rFonts w:ascii="Palatino Linotype" w:eastAsia="Palatino Linotype" w:hAnsi="Palatino Linotype" w:cs="Palatino Linotype"/>
          <w:i/>
        </w:rPr>
        <w:t>La información sobre los procesos y resultados sobre procedimientos de adjudicación directa, invitación restringida y licitación de cualquier naturaleza, </w:t>
      </w:r>
      <w:r w:rsidRPr="00D82BA9">
        <w:rPr>
          <w:rFonts w:ascii="Palatino Linotype" w:eastAsia="Palatino Linotype" w:hAnsi="Palatino Linotype" w:cs="Palatino Linotype"/>
          <w:b/>
          <w:i/>
          <w:u w:val="single"/>
        </w:rPr>
        <w:t>incluyendo la versión pública del expediente respectivo y de los contratos</w:t>
      </w:r>
      <w:r w:rsidRPr="00D82BA9">
        <w:rPr>
          <w:rFonts w:ascii="Palatino Linotype" w:eastAsia="Palatino Linotype" w:hAnsi="Palatino Linotype" w:cs="Palatino Linotype"/>
          <w:i/>
        </w:rPr>
        <w:t> celebrados, que deberán contener, por los menos, lo siguiente:</w:t>
      </w:r>
    </w:p>
    <w:p w14:paraId="73C0A393"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lastRenderedPageBreak/>
        <w:t>a) </w:t>
      </w:r>
      <w:r w:rsidRPr="00D82BA9">
        <w:rPr>
          <w:rFonts w:ascii="Palatino Linotype" w:eastAsia="Palatino Linotype" w:hAnsi="Palatino Linotype" w:cs="Palatino Linotype"/>
          <w:i/>
        </w:rPr>
        <w:t>De licitaciones públicas o procedimientos de invitación restringida:</w:t>
      </w:r>
    </w:p>
    <w:p w14:paraId="40502C79"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w:t>
      </w:r>
      <w:r w:rsidRPr="00D82BA9">
        <w:rPr>
          <w:rFonts w:ascii="Palatino Linotype" w:eastAsia="Palatino Linotype" w:hAnsi="Palatino Linotype" w:cs="Palatino Linotype"/>
          <w:i/>
        </w:rPr>
        <w:t> La convocatoria o invitación emitida, así como los fundamentos legales aplicados para llevarla a cabo;</w:t>
      </w:r>
    </w:p>
    <w:p w14:paraId="5EC6F15A"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2) </w:t>
      </w:r>
      <w:r w:rsidRPr="00D82BA9">
        <w:rPr>
          <w:rFonts w:ascii="Palatino Linotype" w:eastAsia="Palatino Linotype" w:hAnsi="Palatino Linotype" w:cs="Palatino Linotype"/>
          <w:i/>
        </w:rPr>
        <w:t>Los nombres de los participantes o invitados;</w:t>
      </w:r>
    </w:p>
    <w:p w14:paraId="1125E9E8"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3) </w:t>
      </w:r>
      <w:r w:rsidRPr="00D82BA9">
        <w:rPr>
          <w:rFonts w:ascii="Palatino Linotype" w:eastAsia="Palatino Linotype" w:hAnsi="Palatino Linotype" w:cs="Palatino Linotype"/>
          <w:i/>
        </w:rPr>
        <w:t>El nombre del ganador y las razones que lo justifican;</w:t>
      </w:r>
    </w:p>
    <w:p w14:paraId="768B2572"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4) </w:t>
      </w:r>
      <w:r w:rsidRPr="00D82BA9">
        <w:rPr>
          <w:rFonts w:ascii="Palatino Linotype" w:eastAsia="Palatino Linotype" w:hAnsi="Palatino Linotype" w:cs="Palatino Linotype"/>
          <w:i/>
        </w:rPr>
        <w:t>El área solicitante y la responsable de su ejecución;</w:t>
      </w:r>
    </w:p>
    <w:p w14:paraId="53288125"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5) </w:t>
      </w:r>
      <w:r w:rsidRPr="00D82BA9">
        <w:rPr>
          <w:rFonts w:ascii="Palatino Linotype" w:eastAsia="Palatino Linotype" w:hAnsi="Palatino Linotype" w:cs="Palatino Linotype"/>
          <w:i/>
        </w:rPr>
        <w:t>Las convocatorias e invitaciones emitidas;</w:t>
      </w:r>
    </w:p>
    <w:p w14:paraId="53EF56A9"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6)</w:t>
      </w:r>
      <w:r w:rsidRPr="00D82BA9">
        <w:rPr>
          <w:rFonts w:ascii="Palatino Linotype" w:eastAsia="Palatino Linotype" w:hAnsi="Palatino Linotype" w:cs="Palatino Linotype"/>
          <w:i/>
        </w:rPr>
        <w:t> Los dictámenes y fallo de adjudicación;</w:t>
      </w:r>
    </w:p>
    <w:p w14:paraId="1FDC72A7"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u w:val="single"/>
        </w:rPr>
        <w:t xml:space="preserve">7) El contrato </w:t>
      </w:r>
      <w:r w:rsidRPr="00D82BA9">
        <w:rPr>
          <w:rFonts w:ascii="Palatino Linotype" w:eastAsia="Palatino Linotype" w:hAnsi="Palatino Linotype" w:cs="Palatino Linotype"/>
          <w:i/>
        </w:rPr>
        <w:t>y, en su caso, sus anexos;</w:t>
      </w:r>
    </w:p>
    <w:p w14:paraId="672741AA"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8) </w:t>
      </w:r>
      <w:r w:rsidRPr="00D82BA9">
        <w:rPr>
          <w:rFonts w:ascii="Palatino Linotype" w:eastAsia="Palatino Linotype" w:hAnsi="Palatino Linotype" w:cs="Palatino Linotype"/>
          <w:i/>
        </w:rPr>
        <w:t>Los mecanismos de vigilancia y supervisión, incluyendo en su caso, los estudios de impacto urbano y ambiental, según corresponda;</w:t>
      </w:r>
    </w:p>
    <w:p w14:paraId="680EFE28"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9) </w:t>
      </w:r>
      <w:r w:rsidRPr="00D82BA9">
        <w:rPr>
          <w:rFonts w:ascii="Palatino Linotype" w:eastAsia="Palatino Linotype" w:hAnsi="Palatino Linotype" w:cs="Palatino Linotype"/>
          <w:i/>
        </w:rPr>
        <w:t>La partida presupuestal, de conformidad con el clasificador por objeto del gasto, en el caso de ser aplicable;</w:t>
      </w:r>
    </w:p>
    <w:p w14:paraId="223937D9"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10) </w:t>
      </w:r>
      <w:r w:rsidRPr="00D82BA9">
        <w:rPr>
          <w:rFonts w:ascii="Palatino Linotype" w:eastAsia="Palatino Linotype" w:hAnsi="Palatino Linotype" w:cs="Palatino Linotype"/>
          <w:i/>
        </w:rPr>
        <w:t>Origen de los recursos especificando si son federales, estatales o municipales</w:t>
      </w:r>
      <w:r w:rsidRPr="00D82BA9">
        <w:rPr>
          <w:rFonts w:ascii="Palatino Linotype" w:eastAsia="Palatino Linotype" w:hAnsi="Palatino Linotype" w:cs="Palatino Linotype"/>
          <w:b/>
          <w:i/>
        </w:rPr>
        <w:t xml:space="preserve">, </w:t>
      </w:r>
      <w:r w:rsidRPr="00D82BA9">
        <w:rPr>
          <w:rFonts w:ascii="Palatino Linotype" w:eastAsia="Palatino Linotype" w:hAnsi="Palatino Linotype" w:cs="Palatino Linotype"/>
          <w:i/>
        </w:rPr>
        <w:t>así como el tipo de fondo de participación o aportación respectiva;</w:t>
      </w:r>
    </w:p>
    <w:p w14:paraId="08204837"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11) </w:t>
      </w:r>
      <w:r w:rsidRPr="00D82BA9">
        <w:rPr>
          <w:rFonts w:ascii="Palatino Linotype" w:eastAsia="Palatino Linotype" w:hAnsi="Palatino Linotype" w:cs="Palatino Linotype"/>
          <w:i/>
        </w:rPr>
        <w:t>Los convenios modificatorios que, en su caso, sean firmados, precisando el objeto y la fecha de celebración;</w:t>
      </w:r>
    </w:p>
    <w:p w14:paraId="597F2B4A"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12) </w:t>
      </w:r>
      <w:r w:rsidRPr="00D82BA9">
        <w:rPr>
          <w:rFonts w:ascii="Palatino Linotype" w:eastAsia="Palatino Linotype" w:hAnsi="Palatino Linotype" w:cs="Palatino Linotype"/>
          <w:i/>
        </w:rPr>
        <w:t>Los informes de avance físico y financiero sobre las obras o servicios contratados;</w:t>
      </w:r>
    </w:p>
    <w:p w14:paraId="7EAC9065"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13) </w:t>
      </w:r>
      <w:r w:rsidRPr="00D82BA9">
        <w:rPr>
          <w:rFonts w:ascii="Palatino Linotype" w:eastAsia="Palatino Linotype" w:hAnsi="Palatino Linotype" w:cs="Palatino Linotype"/>
          <w:i/>
        </w:rPr>
        <w:t>El convenio de terminación; y</w:t>
      </w:r>
    </w:p>
    <w:p w14:paraId="3D2C5CB7"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14) </w:t>
      </w:r>
      <w:r w:rsidRPr="00D82BA9">
        <w:rPr>
          <w:rFonts w:ascii="Palatino Linotype" w:eastAsia="Palatino Linotype" w:hAnsi="Palatino Linotype" w:cs="Palatino Linotype"/>
          <w:i/>
        </w:rPr>
        <w:t>El finiquito.</w:t>
      </w:r>
    </w:p>
    <w:p w14:paraId="69EDB337"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b) </w:t>
      </w:r>
      <w:r w:rsidRPr="00D82BA9">
        <w:rPr>
          <w:rFonts w:ascii="Palatino Linotype" w:eastAsia="Palatino Linotype" w:hAnsi="Palatino Linotype" w:cs="Palatino Linotype"/>
          <w:i/>
        </w:rPr>
        <w:t>De las adjudicaciones directas:</w:t>
      </w:r>
    </w:p>
    <w:p w14:paraId="5F0143E8"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 </w:t>
      </w:r>
      <w:r w:rsidRPr="00D82BA9">
        <w:rPr>
          <w:rFonts w:ascii="Palatino Linotype" w:eastAsia="Palatino Linotype" w:hAnsi="Palatino Linotype" w:cs="Palatino Linotype"/>
          <w:i/>
        </w:rPr>
        <w:t>La propuesta enviada por el participante;</w:t>
      </w:r>
    </w:p>
    <w:p w14:paraId="4E970FF2"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2) </w:t>
      </w:r>
      <w:r w:rsidRPr="00D82BA9">
        <w:rPr>
          <w:rFonts w:ascii="Palatino Linotype" w:eastAsia="Palatino Linotype" w:hAnsi="Palatino Linotype" w:cs="Palatino Linotype"/>
          <w:i/>
        </w:rPr>
        <w:t>Los motivos y fundamentos legales aplicados para llevarla a cabo;</w:t>
      </w:r>
    </w:p>
    <w:p w14:paraId="144B89A3"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3) </w:t>
      </w:r>
      <w:r w:rsidRPr="00D82BA9">
        <w:rPr>
          <w:rFonts w:ascii="Palatino Linotype" w:eastAsia="Palatino Linotype" w:hAnsi="Palatino Linotype" w:cs="Palatino Linotype"/>
          <w:i/>
        </w:rPr>
        <w:t>La autorización del ejercicio de la opción;</w:t>
      </w:r>
    </w:p>
    <w:p w14:paraId="30EBFA13"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4)</w:t>
      </w:r>
      <w:r w:rsidRPr="00D82BA9">
        <w:rPr>
          <w:rFonts w:ascii="Palatino Linotype" w:eastAsia="Palatino Linotype" w:hAnsi="Palatino Linotype" w:cs="Palatino Linotype"/>
          <w:i/>
        </w:rPr>
        <w:t> En su caso, las cotizaciones consideradas, especificando los nombres de los proveedores y sus montos;</w:t>
      </w:r>
    </w:p>
    <w:p w14:paraId="67E565CB"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5) </w:t>
      </w:r>
      <w:r w:rsidRPr="00D82BA9">
        <w:rPr>
          <w:rFonts w:ascii="Palatino Linotype" w:eastAsia="Palatino Linotype" w:hAnsi="Palatino Linotype" w:cs="Palatino Linotype"/>
          <w:i/>
        </w:rPr>
        <w:t>El nombre de la persona física o jurídica colectiva adjudicada;</w:t>
      </w:r>
    </w:p>
    <w:p w14:paraId="667F141B"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6) </w:t>
      </w:r>
      <w:r w:rsidRPr="00D82BA9">
        <w:rPr>
          <w:rFonts w:ascii="Palatino Linotype" w:eastAsia="Palatino Linotype" w:hAnsi="Palatino Linotype" w:cs="Palatino Linotype"/>
          <w:i/>
        </w:rPr>
        <w:t>La unidad administrativa solicitante y la responsable de su ejecución;</w:t>
      </w:r>
    </w:p>
    <w:p w14:paraId="34333736"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7)</w:t>
      </w:r>
      <w:r w:rsidRPr="00D82BA9">
        <w:rPr>
          <w:rFonts w:ascii="Palatino Linotype" w:eastAsia="Palatino Linotype" w:hAnsi="Palatino Linotype" w:cs="Palatino Linotype"/>
          <w:i/>
        </w:rPr>
        <w:t> El número, fecha, el monto del contrato y el plazo de entrega o de ejecución de los servicios u obra;</w:t>
      </w:r>
    </w:p>
    <w:p w14:paraId="2BD9DF92"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8) </w:t>
      </w:r>
      <w:r w:rsidRPr="00D82BA9">
        <w:rPr>
          <w:rFonts w:ascii="Palatino Linotype" w:eastAsia="Palatino Linotype" w:hAnsi="Palatino Linotype" w:cs="Palatino Linotype"/>
          <w:i/>
        </w:rPr>
        <w:t>Los mecanismos de vigilancia y supervisión, incluyendo, en su caso, los estudios de impacto urbano y ambiental, según corresponda;</w:t>
      </w:r>
    </w:p>
    <w:p w14:paraId="6062AC6B"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9) </w:t>
      </w:r>
      <w:r w:rsidRPr="00D82BA9">
        <w:rPr>
          <w:rFonts w:ascii="Palatino Linotype" w:eastAsia="Palatino Linotype" w:hAnsi="Palatino Linotype" w:cs="Palatino Linotype"/>
          <w:i/>
        </w:rPr>
        <w:t>Los informes de avance sobre las obras o servicios contratados;</w:t>
      </w:r>
    </w:p>
    <w:p w14:paraId="447D708B" w14:textId="77777777" w:rsidR="00A74431" w:rsidRPr="00D82BA9" w:rsidRDefault="00120BB6">
      <w:pP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10) </w:t>
      </w:r>
      <w:r w:rsidRPr="00D82BA9">
        <w:rPr>
          <w:rFonts w:ascii="Palatino Linotype" w:eastAsia="Palatino Linotype" w:hAnsi="Palatino Linotype" w:cs="Palatino Linotype"/>
          <w:i/>
        </w:rPr>
        <w:t>El convenio de terminación; y</w:t>
      </w:r>
    </w:p>
    <w:p w14:paraId="1B535F03"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lastRenderedPageBreak/>
        <w:t>11) </w:t>
      </w:r>
      <w:r w:rsidRPr="00D82BA9">
        <w:rPr>
          <w:rFonts w:ascii="Palatino Linotype" w:eastAsia="Palatino Linotype" w:hAnsi="Palatino Linotype" w:cs="Palatino Linotype"/>
          <w:i/>
        </w:rPr>
        <w:t>El finiquito.</w:t>
      </w:r>
      <w:r w:rsidRPr="00D82BA9">
        <w:rPr>
          <w:rFonts w:ascii="Palatino Linotype" w:eastAsia="Palatino Linotype" w:hAnsi="Palatino Linotype" w:cs="Palatino Linotype"/>
          <w:b/>
          <w:i/>
        </w:rPr>
        <w:t>”</w:t>
      </w:r>
    </w:p>
    <w:p w14:paraId="6870B9BF" w14:textId="77777777" w:rsidR="00A74431" w:rsidRPr="00D82BA9" w:rsidRDefault="00A74431">
      <w:pPr>
        <w:ind w:left="851" w:right="850"/>
        <w:jc w:val="both"/>
        <w:rPr>
          <w:rFonts w:ascii="Palatino Linotype" w:eastAsia="Palatino Linotype" w:hAnsi="Palatino Linotype" w:cs="Palatino Linotype"/>
        </w:rPr>
      </w:pPr>
    </w:p>
    <w:p w14:paraId="4792D56A" w14:textId="77777777" w:rsidR="00A74431" w:rsidRPr="00D82BA9" w:rsidRDefault="00120BB6">
      <w:pPr>
        <w:spacing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14:paraId="6712151A" w14:textId="77777777" w:rsidR="00A74431" w:rsidRPr="00D82BA9" w:rsidRDefault="00120BB6">
      <w:pPr>
        <w:spacing w:line="360" w:lineRule="auto"/>
        <w:jc w:val="both"/>
        <w:rPr>
          <w:rFonts w:ascii="Palatino Linotype" w:eastAsia="Palatino Linotype" w:hAnsi="Palatino Linotype" w:cs="Palatino Linotype"/>
        </w:rPr>
      </w:pPr>
      <w:bookmarkStart w:id="2" w:name="_heading=h.4d34og8" w:colFirst="0" w:colLast="0"/>
      <w:bookmarkEnd w:id="2"/>
      <w:r w:rsidRPr="00D82BA9">
        <w:rPr>
          <w:rFonts w:ascii="Palatino Linotype" w:eastAsia="Palatino Linotype" w:hAnsi="Palatino Linotype" w:cs="Palatino Linotype"/>
        </w:rPr>
        <w:t>De la interpretación armónica de los preceptos transcritos, se advierte que el</w:t>
      </w:r>
      <w:r w:rsidRPr="00D82BA9">
        <w:rPr>
          <w:rFonts w:ascii="Palatino Linotype" w:eastAsia="Palatino Linotype" w:hAnsi="Palatino Linotype" w:cs="Palatino Linotype"/>
          <w:b/>
        </w:rPr>
        <w:t xml:space="preserve"> Sujeto Obligado</w:t>
      </w:r>
      <w:r w:rsidRPr="00D82BA9">
        <w:rPr>
          <w:rFonts w:ascii="Palatino Linotype" w:eastAsia="Palatino Linotype" w:hAnsi="Palatino Linotype" w:cs="Palatino Linotype"/>
        </w:rPr>
        <w:t xml:space="preserve">, cuenta con la competencia para regular los actos relativos a la planeación, programación, presupuestación, ejecución y </w:t>
      </w:r>
      <w:r w:rsidRPr="00D82BA9">
        <w:rPr>
          <w:rFonts w:ascii="Palatino Linotype" w:eastAsia="Palatino Linotype" w:hAnsi="Palatino Linotype" w:cs="Palatino Linotype"/>
          <w:b/>
          <w:u w:val="single"/>
        </w:rPr>
        <w:t>control de la adquisición y arrendamiento de bienes, así como la contratación de servicios de cualquier naturaleza</w:t>
      </w:r>
      <w:r w:rsidRPr="00D82BA9">
        <w:rPr>
          <w:rFonts w:ascii="Palatino Linotype" w:eastAsia="Palatino Linotype" w:hAnsi="Palatino Linotype" w:cs="Palatino Linotype"/>
        </w:rPr>
        <w:t xml:space="preserve">, no obstante, resulta importante recordar que la Dirección de Recursos Materiales, unidad administrativa competente, informó que después de haber realizado una búsqueda exhaustiva y razonable dentro de sus archivos físicos y electrónicos, a la fecha de la solicitud, no se localizó la información solicitada; sin embargo, tal y como se señaló en líneas que anteceden, el Sujeto Obligado si ha realizado compras que implicaron la celebración de contratos, por lo que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no fue congruente ni exhaustivo en su respuesta de conformidad con el Criterio 02/17 emitido por el Instituto Nacional de Transparencia, Acceso a la Información y Protección de Datos Personales el cual establece lo siguiente:</w:t>
      </w:r>
    </w:p>
    <w:p w14:paraId="3BC07F3B" w14:textId="77777777" w:rsidR="00A74431" w:rsidRPr="00D82BA9" w:rsidRDefault="00A74431">
      <w:pPr>
        <w:pBdr>
          <w:top w:val="nil"/>
          <w:left w:val="nil"/>
          <w:bottom w:val="nil"/>
          <w:right w:val="nil"/>
          <w:between w:val="nil"/>
        </w:pBdr>
        <w:spacing w:after="0"/>
        <w:ind w:left="567" w:right="701"/>
        <w:jc w:val="both"/>
        <w:rPr>
          <w:rFonts w:ascii="Palatino Linotype" w:eastAsia="Palatino Linotype" w:hAnsi="Palatino Linotype" w:cs="Palatino Linotype"/>
          <w:i/>
        </w:rPr>
      </w:pPr>
    </w:p>
    <w:p w14:paraId="62DDCCC7" w14:textId="77777777" w:rsidR="00A74431" w:rsidRPr="00D82BA9" w:rsidRDefault="00120BB6">
      <w:pPr>
        <w:pBdr>
          <w:top w:val="nil"/>
          <w:left w:val="nil"/>
          <w:bottom w:val="nil"/>
          <w:right w:val="nil"/>
          <w:between w:val="nil"/>
        </w:pBdr>
        <w:spacing w:after="0"/>
        <w:ind w:left="567" w:right="701"/>
        <w:jc w:val="both"/>
        <w:rPr>
          <w:rFonts w:ascii="Palatino Linotype" w:eastAsia="Palatino Linotype" w:hAnsi="Palatino Linotype" w:cs="Palatino Linotype"/>
          <w:i/>
        </w:rPr>
      </w:pPr>
      <w:r w:rsidRPr="00D82BA9">
        <w:rPr>
          <w:rFonts w:ascii="Palatino Linotype" w:eastAsia="Palatino Linotype" w:hAnsi="Palatino Linotype" w:cs="Palatino Linotype"/>
          <w:b/>
          <w:i/>
        </w:rPr>
        <w:t>Congruencia y exhaustividad. Sus alcances para garantizar el derecho de acceso a la información.</w:t>
      </w:r>
      <w:r w:rsidRPr="00D82BA9">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w:t>
      </w:r>
      <w:r w:rsidRPr="00D82BA9">
        <w:rPr>
          <w:rFonts w:ascii="Palatino Linotype" w:eastAsia="Palatino Linotype" w:hAnsi="Palatino Linotype" w:cs="Palatino Linotype"/>
          <w:i/>
        </w:rPr>
        <w:lastRenderedPageBreak/>
        <w:t>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205E008" w14:textId="77777777" w:rsidR="00A74431" w:rsidRPr="00D82BA9" w:rsidRDefault="00A7443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67088C4" w14:textId="77777777" w:rsidR="00A74431" w:rsidRPr="00D82BA9" w:rsidRDefault="00120BB6">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D82BA9">
        <w:rPr>
          <w:rFonts w:ascii="Palatino Linotype" w:eastAsia="Palatino Linotype" w:hAnsi="Palatino Linotype" w:cs="Palatino Linotype"/>
          <w:b/>
        </w:rPr>
        <w:t>implica que exista concordancia entre el requerimiento formulado por el particular y la respuesta proporcionada por el sujeto obligado</w:t>
      </w:r>
      <w:r w:rsidRPr="00D82BA9">
        <w:rPr>
          <w:rFonts w:ascii="Palatino Linotype" w:eastAsia="Palatino Linotype" w:hAnsi="Palatino Linotype" w:cs="Palatino Linotype"/>
        </w:rPr>
        <w:t xml:space="preserve">, mientras que la exhaustividad establece que el sujeto obligado </w:t>
      </w:r>
      <w:r w:rsidRPr="00D82BA9">
        <w:rPr>
          <w:rFonts w:ascii="Palatino Linotype" w:eastAsia="Palatino Linotype" w:hAnsi="Palatino Linotype" w:cs="Palatino Linotype"/>
          <w:b/>
        </w:rPr>
        <w:t>deberá atender de manera expresa cada uno de los puntos solicitados</w:t>
      </w:r>
      <w:r w:rsidRPr="00D82BA9">
        <w:rPr>
          <w:rFonts w:ascii="Palatino Linotype" w:eastAsia="Palatino Linotype" w:hAnsi="Palatino Linotype" w:cs="Palatino Linotype"/>
        </w:rPr>
        <w:t xml:space="preserve">, situación que en el presente caso </w:t>
      </w:r>
      <w:r w:rsidRPr="00D82BA9">
        <w:rPr>
          <w:rFonts w:ascii="Palatino Linotype" w:eastAsia="Palatino Linotype" w:hAnsi="Palatino Linotype" w:cs="Palatino Linotype"/>
          <w:b/>
          <w:u w:val="single"/>
        </w:rPr>
        <w:t>no aconteció</w:t>
      </w:r>
      <w:r w:rsidRPr="00D82BA9">
        <w:rPr>
          <w:rFonts w:ascii="Palatino Linotype" w:eastAsia="Palatino Linotype" w:hAnsi="Palatino Linotype" w:cs="Palatino Linotype"/>
        </w:rPr>
        <w:t xml:space="preserve">, pues el Sujeto Obligado no fue congruente ni exhaustivo en proporcionar la información que requirió específicamente 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w:t>
      </w:r>
    </w:p>
    <w:p w14:paraId="063BBCC5" w14:textId="77777777" w:rsidR="00A74431" w:rsidRPr="00D82BA9" w:rsidRDefault="00A7443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3CC584D1" w14:textId="77777777" w:rsidR="00A74431" w:rsidRPr="00D82BA9" w:rsidRDefault="00120BB6">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De tal manera que, de la respuesta otorgada por 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no se advierte, algún pronunciamiento respecto que haya realizado contratos por motivo de compras y adquisiciones, pues únicamente se limitó a informar que no localizó la información, de modo que no fue congruente con la información solicitada; por lo que resulta conveniente ordenar una nueva búsqueda de la información, a efecto de hacer entrega de los contratos por motivo de las compras y adquisiciones realizadas del primero de enero al diez de febrero de dos mil veinticinco, de ser procedente en versión pública.</w:t>
      </w:r>
    </w:p>
    <w:p w14:paraId="0085290F" w14:textId="77777777" w:rsidR="00A74431" w:rsidRPr="00D82BA9" w:rsidRDefault="00A7443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F84E3D8" w14:textId="77777777" w:rsidR="00A74431" w:rsidRPr="00D82BA9" w:rsidRDefault="00120BB6">
      <w:pPr>
        <w:spacing w:after="0" w:line="360" w:lineRule="auto"/>
        <w:ind w:right="51"/>
        <w:jc w:val="both"/>
        <w:rPr>
          <w:rFonts w:ascii="Palatino Linotype" w:eastAsia="Palatino Linotype" w:hAnsi="Palatino Linotype" w:cs="Palatino Linotype"/>
        </w:rPr>
      </w:pPr>
      <w:bookmarkStart w:id="3" w:name="_heading=h.uuo31mlw47es" w:colFirst="0" w:colLast="0"/>
      <w:bookmarkEnd w:id="3"/>
      <w:r w:rsidRPr="00D82BA9">
        <w:rPr>
          <w:rFonts w:ascii="Palatino Linotype" w:eastAsia="Palatino Linotype" w:hAnsi="Palatino Linotype" w:cs="Palatino Linotype"/>
          <w:b/>
        </w:rPr>
        <w:t xml:space="preserve">QUINTO. VERSIÓN PÚBLICA. </w:t>
      </w:r>
      <w:r w:rsidRPr="00D82BA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w:t>
      </w:r>
      <w:r w:rsidRPr="00D82BA9">
        <w:rPr>
          <w:rFonts w:ascii="Palatino Linotype" w:eastAsia="Palatino Linotype" w:hAnsi="Palatino Linotype" w:cs="Palatino Linotype"/>
        </w:rPr>
        <w:lastRenderedPageBreak/>
        <w:t xml:space="preserve">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D82BA9">
        <w:rPr>
          <w:rFonts w:ascii="Palatino Linotype" w:eastAsia="Palatino Linotype" w:hAnsi="Palatino Linotype" w:cs="Palatino Linotype"/>
          <w:b/>
        </w:rPr>
        <w:t>LA PARTE</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sin menoscabar el derecho a la protección de los datos personales de terceros.</w:t>
      </w:r>
    </w:p>
    <w:p w14:paraId="78257C34" w14:textId="77777777" w:rsidR="00A74431" w:rsidRPr="00D82BA9" w:rsidRDefault="00A74431">
      <w:pPr>
        <w:spacing w:after="0" w:line="360" w:lineRule="auto"/>
        <w:ind w:right="51"/>
        <w:jc w:val="both"/>
        <w:rPr>
          <w:rFonts w:ascii="Palatino Linotype" w:eastAsia="Palatino Linotype" w:hAnsi="Palatino Linotype" w:cs="Palatino Linotype"/>
        </w:rPr>
      </w:pPr>
    </w:p>
    <w:p w14:paraId="511ADF12" w14:textId="77777777" w:rsidR="00A74431" w:rsidRPr="00D82BA9" w:rsidRDefault="00120BB6">
      <w:pPr>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EECA7A8"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 xml:space="preserve"> “Artículo 3. Para los efectos de la presente Ley se entenderá por:</w:t>
      </w:r>
    </w:p>
    <w:p w14:paraId="27E8A40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IX. Datos personales:</w:t>
      </w:r>
      <w:r w:rsidRPr="00D82BA9">
        <w:rPr>
          <w:rFonts w:ascii="Palatino Linotype" w:eastAsia="Palatino Linotype" w:hAnsi="Palatino Linotype" w:cs="Palatino Linotype"/>
          <w:i/>
        </w:rPr>
        <w:t xml:space="preserve"> </w:t>
      </w:r>
      <w:r w:rsidRPr="00D82BA9">
        <w:rPr>
          <w:rFonts w:ascii="Palatino Linotype" w:eastAsia="Palatino Linotype" w:hAnsi="Palatino Linotype" w:cs="Palatino Linotype"/>
          <w:b/>
          <w:i/>
        </w:rPr>
        <w:t>La información concerniente a una persona, identificada o identificable</w:t>
      </w:r>
      <w:r w:rsidRPr="00D82BA9">
        <w:rPr>
          <w:rFonts w:ascii="Palatino Linotype" w:eastAsia="Palatino Linotype" w:hAnsi="Palatino Linotype" w:cs="Palatino Linotype"/>
          <w:i/>
        </w:rPr>
        <w:t xml:space="preserve"> según lo dispuesto por la Ley de Protección de Datos Personales del Estado de México;</w:t>
      </w:r>
    </w:p>
    <w:p w14:paraId="22E8C19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XX. Información clasificada:</w:t>
      </w:r>
      <w:r w:rsidRPr="00D82BA9">
        <w:rPr>
          <w:rFonts w:ascii="Palatino Linotype" w:eastAsia="Palatino Linotype" w:hAnsi="Palatino Linotype" w:cs="Palatino Linotype"/>
          <w:i/>
        </w:rPr>
        <w:t xml:space="preserve"> Aquella considerada por la presente Ley como reservada o confidencial;</w:t>
      </w:r>
    </w:p>
    <w:p w14:paraId="56585231"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XXXII. Protección de Datos Personales:</w:t>
      </w:r>
      <w:r w:rsidRPr="00D82BA9">
        <w:rPr>
          <w:rFonts w:ascii="Palatino Linotype" w:eastAsia="Palatino Linotype" w:hAnsi="Palatino Linotype" w:cs="Palatino Linotype"/>
          <w:i/>
        </w:rPr>
        <w:t xml:space="preserve"> Derecho humano que tutela la privacidad de datos personales en poder de los sujetos obligados y sujetos particulares;</w:t>
      </w:r>
    </w:p>
    <w:p w14:paraId="1555F77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XLV. Versión pública</w:t>
      </w:r>
      <w:r w:rsidRPr="00D82BA9">
        <w:rPr>
          <w:rFonts w:ascii="Palatino Linotype" w:eastAsia="Palatino Linotype" w:hAnsi="Palatino Linotype" w:cs="Palatino Linotype"/>
          <w:i/>
        </w:rPr>
        <w:t>: Documento en el que se elimine, suprime o borra la información clasificada como reservada o confidencial para permitir su acceso.”</w:t>
      </w:r>
    </w:p>
    <w:p w14:paraId="1E029B7F" w14:textId="77777777" w:rsidR="00A74431" w:rsidRPr="00D82BA9" w:rsidRDefault="00A74431">
      <w:pPr>
        <w:spacing w:after="0"/>
        <w:ind w:left="851" w:right="843"/>
        <w:jc w:val="both"/>
        <w:rPr>
          <w:rFonts w:ascii="Palatino Linotype" w:eastAsia="Palatino Linotype" w:hAnsi="Palatino Linotype" w:cs="Palatino Linotype"/>
          <w:i/>
        </w:rPr>
      </w:pPr>
    </w:p>
    <w:p w14:paraId="65140AC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6.</w:t>
      </w:r>
      <w:r w:rsidRPr="00D82BA9">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CEDBA73" w14:textId="77777777" w:rsidR="00A74431" w:rsidRPr="00D82BA9" w:rsidRDefault="00120BB6">
      <w:pPr>
        <w:spacing w:after="0"/>
        <w:ind w:left="851" w:right="843"/>
        <w:jc w:val="both"/>
        <w:rPr>
          <w:rFonts w:ascii="Palatino Linotype" w:eastAsia="Palatino Linotype" w:hAnsi="Palatino Linotype" w:cs="Palatino Linotype"/>
          <w:b/>
          <w:i/>
        </w:rPr>
      </w:pPr>
      <w:r w:rsidRPr="00D82BA9">
        <w:rPr>
          <w:rFonts w:ascii="Palatino Linotype" w:eastAsia="Palatino Linotype" w:hAnsi="Palatino Linotype" w:cs="Palatino Linotype"/>
          <w:b/>
          <w:i/>
        </w:rPr>
        <w:t>“Artículo 137.</w:t>
      </w:r>
      <w:r w:rsidRPr="00D82BA9">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w:t>
      </w:r>
      <w:r w:rsidRPr="00D82BA9">
        <w:rPr>
          <w:rFonts w:ascii="Palatino Linotype" w:eastAsia="Palatino Linotype" w:hAnsi="Palatino Linotype" w:cs="Palatino Linotype"/>
          <w:i/>
        </w:rPr>
        <w:lastRenderedPageBreak/>
        <w:t>en la que se testen las partes o secciones clasificadas, indicando su contenido de manera genérica y fundando y motivando su clasificación.”</w:t>
      </w:r>
    </w:p>
    <w:p w14:paraId="57169EE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143</w:t>
      </w:r>
      <w:r w:rsidRPr="00D82BA9">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9DBB91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w:t>
      </w:r>
      <w:r w:rsidRPr="00D82BA9">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1D57D29D"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4D379A2A"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692221E2" w14:textId="77777777" w:rsidR="00A74431" w:rsidRPr="00D82BA9" w:rsidRDefault="00A74431">
      <w:pPr>
        <w:ind w:left="993" w:right="1041"/>
        <w:jc w:val="both"/>
        <w:rPr>
          <w:rFonts w:ascii="Palatino Linotype" w:eastAsia="Palatino Linotype" w:hAnsi="Palatino Linotype" w:cs="Palatino Linotype"/>
          <w:i/>
        </w:rPr>
      </w:pPr>
    </w:p>
    <w:p w14:paraId="5D7AD921" w14:textId="77777777" w:rsidR="00A74431" w:rsidRPr="00D82BA9" w:rsidRDefault="00120BB6">
      <w:pPr>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D82BA9">
        <w:rPr>
          <w:rFonts w:ascii="Palatino Linotype" w:eastAsia="Palatino Linotype" w:hAnsi="Palatino Linotype" w:cs="Palatino Linotype"/>
          <w:b/>
        </w:rPr>
        <w:t>EL SUJETO OBLIGADO</w:t>
      </w:r>
      <w:r w:rsidRPr="00D82BA9">
        <w:rPr>
          <w:rFonts w:ascii="Palatino Linotype" w:eastAsia="Palatino Linotype" w:hAnsi="Palatino Linotype" w:cs="Palatino Linotype"/>
        </w:rPr>
        <w:t xml:space="preserve"> deberá proceder a testar los datos personales que se encuentren contenidos en los documentos a entregar para satisfacer el derecho de acceso a la información pública de </w:t>
      </w:r>
      <w:r w:rsidRPr="00D82BA9">
        <w:rPr>
          <w:rFonts w:ascii="Palatino Linotype" w:eastAsia="Palatino Linotype" w:hAnsi="Palatino Linotype" w:cs="Palatino Linotype"/>
          <w:b/>
        </w:rPr>
        <w:t>LA PARTE</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4CE8B4C2" w14:textId="77777777" w:rsidR="00A74431" w:rsidRPr="00D82BA9" w:rsidRDefault="00A74431">
      <w:pPr>
        <w:spacing w:after="0" w:line="360" w:lineRule="auto"/>
        <w:ind w:right="51"/>
        <w:jc w:val="both"/>
        <w:rPr>
          <w:rFonts w:ascii="Palatino Linotype" w:eastAsia="Palatino Linotype" w:hAnsi="Palatino Linotype" w:cs="Palatino Linotype"/>
        </w:rPr>
      </w:pPr>
    </w:p>
    <w:p w14:paraId="166B544A"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E8D5E3F" w14:textId="77777777" w:rsidR="00A74431" w:rsidRPr="00D82BA9" w:rsidRDefault="00120BB6">
      <w:pPr>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lastRenderedPageBreak/>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006555AE" w14:textId="77777777" w:rsidR="00A74431" w:rsidRPr="00D82BA9" w:rsidRDefault="00A74431">
      <w:pPr>
        <w:spacing w:after="0" w:line="360" w:lineRule="auto"/>
        <w:ind w:right="51"/>
        <w:jc w:val="both"/>
        <w:rPr>
          <w:rFonts w:ascii="Palatino Linotype" w:eastAsia="Palatino Linotype" w:hAnsi="Palatino Linotype" w:cs="Palatino Linotype"/>
        </w:rPr>
      </w:pPr>
    </w:p>
    <w:p w14:paraId="4A94AFEE"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49.</w:t>
      </w:r>
      <w:r w:rsidRPr="00D82BA9">
        <w:rPr>
          <w:rFonts w:ascii="Palatino Linotype" w:eastAsia="Palatino Linotype" w:hAnsi="Palatino Linotype" w:cs="Palatino Linotype"/>
          <w:i/>
        </w:rPr>
        <w:t xml:space="preserve"> </w:t>
      </w:r>
      <w:r w:rsidRPr="00D82BA9">
        <w:rPr>
          <w:rFonts w:ascii="Palatino Linotype" w:eastAsia="Palatino Linotype" w:hAnsi="Palatino Linotype" w:cs="Palatino Linotype"/>
          <w:b/>
          <w:i/>
        </w:rPr>
        <w:t>Los Comités de Transparencia</w:t>
      </w:r>
      <w:r w:rsidRPr="00D82BA9">
        <w:rPr>
          <w:rFonts w:ascii="Palatino Linotype" w:eastAsia="Palatino Linotype" w:hAnsi="Palatino Linotype" w:cs="Palatino Linotype"/>
          <w:i/>
        </w:rPr>
        <w:t xml:space="preserve"> tendrán las siguientes atribuciones:</w:t>
      </w:r>
    </w:p>
    <w:p w14:paraId="452E0E6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VIII. Aprobar, modificar o revocar la clasificación de la información</w:t>
      </w:r>
      <w:r w:rsidRPr="00D82BA9">
        <w:rPr>
          <w:rFonts w:ascii="Palatino Linotype" w:eastAsia="Palatino Linotype" w:hAnsi="Palatino Linotype" w:cs="Palatino Linotype"/>
          <w:i/>
        </w:rPr>
        <w:t>…”</w:t>
      </w:r>
    </w:p>
    <w:p w14:paraId="12EAB46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Artículo 53.</w:t>
      </w:r>
      <w:r w:rsidRPr="00D82BA9">
        <w:rPr>
          <w:rFonts w:ascii="Palatino Linotype" w:eastAsia="Palatino Linotype" w:hAnsi="Palatino Linotype" w:cs="Palatino Linotype"/>
          <w:i/>
        </w:rPr>
        <w:t xml:space="preserve"> Las </w:t>
      </w:r>
      <w:r w:rsidRPr="00D82BA9">
        <w:rPr>
          <w:rFonts w:ascii="Palatino Linotype" w:eastAsia="Palatino Linotype" w:hAnsi="Palatino Linotype" w:cs="Palatino Linotype"/>
          <w:b/>
          <w:i/>
        </w:rPr>
        <w:t>Unidades de Transparencia</w:t>
      </w:r>
      <w:r w:rsidRPr="00D82BA9">
        <w:rPr>
          <w:rFonts w:ascii="Palatino Linotype" w:eastAsia="Palatino Linotype" w:hAnsi="Palatino Linotype" w:cs="Palatino Linotype"/>
          <w:i/>
        </w:rPr>
        <w:t xml:space="preserve"> tendrán las siguientes </w:t>
      </w:r>
      <w:r w:rsidRPr="00D82BA9">
        <w:rPr>
          <w:rFonts w:ascii="Palatino Linotype" w:eastAsia="Palatino Linotype" w:hAnsi="Palatino Linotype" w:cs="Palatino Linotype"/>
          <w:b/>
          <w:i/>
        </w:rPr>
        <w:t>funciones</w:t>
      </w:r>
      <w:r w:rsidRPr="00D82BA9">
        <w:rPr>
          <w:rFonts w:ascii="Palatino Linotype" w:eastAsia="Palatino Linotype" w:hAnsi="Palatino Linotype" w:cs="Palatino Linotype"/>
          <w:i/>
        </w:rPr>
        <w:t>:</w:t>
      </w:r>
    </w:p>
    <w:p w14:paraId="51185F83"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X. Presentar ante el Comité, el proyecto de clasificación de información</w:t>
      </w:r>
      <w:r w:rsidRPr="00D82BA9">
        <w:rPr>
          <w:rFonts w:ascii="Palatino Linotype" w:eastAsia="Palatino Linotype" w:hAnsi="Palatino Linotype" w:cs="Palatino Linotype"/>
          <w:i/>
        </w:rPr>
        <w:t xml:space="preserve">…” </w:t>
      </w:r>
    </w:p>
    <w:p w14:paraId="2F14FAF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“Artículo 59.</w:t>
      </w:r>
      <w:r w:rsidRPr="00D82BA9">
        <w:rPr>
          <w:rFonts w:ascii="Palatino Linotype" w:eastAsia="Palatino Linotype" w:hAnsi="Palatino Linotype" w:cs="Palatino Linotype"/>
          <w:i/>
        </w:rPr>
        <w:t xml:space="preserve"> Los </w:t>
      </w:r>
      <w:r w:rsidRPr="00D82BA9">
        <w:rPr>
          <w:rFonts w:ascii="Palatino Linotype" w:eastAsia="Palatino Linotype" w:hAnsi="Palatino Linotype" w:cs="Palatino Linotype"/>
          <w:b/>
          <w:i/>
        </w:rPr>
        <w:t>servidores públicos habilitados</w:t>
      </w:r>
      <w:r w:rsidRPr="00D82BA9">
        <w:rPr>
          <w:rFonts w:ascii="Palatino Linotype" w:eastAsia="Palatino Linotype" w:hAnsi="Palatino Linotype" w:cs="Palatino Linotype"/>
          <w:i/>
        </w:rPr>
        <w:t xml:space="preserve"> tendrán las </w:t>
      </w:r>
      <w:r w:rsidRPr="00D82BA9">
        <w:rPr>
          <w:rFonts w:ascii="Palatino Linotype" w:eastAsia="Palatino Linotype" w:hAnsi="Palatino Linotype" w:cs="Palatino Linotype"/>
          <w:b/>
          <w:i/>
        </w:rPr>
        <w:t>funciones</w:t>
      </w:r>
      <w:r w:rsidRPr="00D82BA9">
        <w:rPr>
          <w:rFonts w:ascii="Palatino Linotype" w:eastAsia="Palatino Linotype" w:hAnsi="Palatino Linotype" w:cs="Palatino Linotype"/>
          <w:i/>
        </w:rPr>
        <w:t xml:space="preserve"> siguientes:</w:t>
      </w:r>
    </w:p>
    <w:p w14:paraId="52ED5995"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V. Integrar y presentar al responsable de la Unidad de Transparencia la propuesta de clasificación de información</w:t>
      </w:r>
      <w:r w:rsidRPr="00D82BA9">
        <w:rPr>
          <w:rFonts w:ascii="Palatino Linotype" w:eastAsia="Palatino Linotype" w:hAnsi="Palatino Linotype" w:cs="Palatino Linotype"/>
          <w:i/>
        </w:rPr>
        <w:t xml:space="preserve">, la cual tendrá los fundamentos y argumentos en que se basa dicha propuesta…” </w:t>
      </w:r>
    </w:p>
    <w:p w14:paraId="76928044" w14:textId="77777777" w:rsidR="00A74431" w:rsidRPr="00D82BA9" w:rsidRDefault="00A74431">
      <w:pPr>
        <w:spacing w:after="0"/>
        <w:ind w:left="992" w:right="1043"/>
        <w:jc w:val="both"/>
        <w:rPr>
          <w:rFonts w:ascii="Palatino Linotype" w:eastAsia="Palatino Linotype" w:hAnsi="Palatino Linotype" w:cs="Palatino Linotype"/>
          <w:i/>
        </w:rPr>
      </w:pPr>
    </w:p>
    <w:p w14:paraId="6D4FBA6B"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6AF95AE" w14:textId="77777777" w:rsidR="00A74431" w:rsidRPr="00D82BA9" w:rsidRDefault="00A74431">
      <w:pPr>
        <w:spacing w:after="0" w:line="360" w:lineRule="auto"/>
        <w:jc w:val="both"/>
        <w:rPr>
          <w:rFonts w:ascii="Palatino Linotype" w:eastAsia="Palatino Linotype" w:hAnsi="Palatino Linotype" w:cs="Palatino Linotype"/>
        </w:rPr>
      </w:pPr>
    </w:p>
    <w:p w14:paraId="390E02F6"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9946D88" w14:textId="77777777" w:rsidR="00A74431" w:rsidRPr="00D82BA9" w:rsidRDefault="00A74431">
      <w:pPr>
        <w:spacing w:after="0"/>
        <w:ind w:left="851" w:right="843"/>
        <w:jc w:val="both"/>
        <w:rPr>
          <w:rFonts w:ascii="Palatino Linotype" w:eastAsia="Palatino Linotype" w:hAnsi="Palatino Linotype" w:cs="Palatino Linotype"/>
          <w:i/>
        </w:rPr>
      </w:pPr>
    </w:p>
    <w:p w14:paraId="7E3AF642"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lastRenderedPageBreak/>
        <w:t>“</w:t>
      </w:r>
      <w:r w:rsidRPr="00D82BA9">
        <w:rPr>
          <w:rFonts w:ascii="Palatino Linotype" w:eastAsia="Palatino Linotype" w:hAnsi="Palatino Linotype" w:cs="Palatino Linotype"/>
          <w:b/>
          <w:i/>
        </w:rPr>
        <w:t>Artículo 149.</w:t>
      </w:r>
      <w:r w:rsidRPr="00D82BA9">
        <w:rPr>
          <w:rFonts w:ascii="Palatino Linotype" w:eastAsia="Palatino Linotype" w:hAnsi="Palatino Linotype" w:cs="Palatino Linotype"/>
          <w:i/>
        </w:rPr>
        <w:t xml:space="preserve"> El </w:t>
      </w:r>
      <w:r w:rsidRPr="00D82BA9">
        <w:rPr>
          <w:rFonts w:ascii="Palatino Linotype" w:eastAsia="Palatino Linotype" w:hAnsi="Palatino Linotype" w:cs="Palatino Linotype"/>
          <w:b/>
          <w:i/>
        </w:rPr>
        <w:t>acuerdo que clasifique la información como confidencial</w:t>
      </w:r>
      <w:r w:rsidRPr="00D82BA9">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37064BD8" w14:textId="77777777" w:rsidR="00A74431" w:rsidRPr="00D82BA9" w:rsidRDefault="00A74431">
      <w:pPr>
        <w:spacing w:after="0"/>
        <w:ind w:left="851" w:right="843"/>
        <w:jc w:val="both"/>
        <w:rPr>
          <w:rFonts w:ascii="Palatino Linotype" w:eastAsia="Palatino Linotype" w:hAnsi="Palatino Linotype" w:cs="Palatino Linotype"/>
          <w:i/>
        </w:rPr>
      </w:pPr>
    </w:p>
    <w:p w14:paraId="07987FB4" w14:textId="77777777" w:rsidR="00A74431" w:rsidRPr="00D82BA9" w:rsidRDefault="00120BB6">
      <w:pPr>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Es decir, </w:t>
      </w:r>
      <w:r w:rsidRPr="00D82BA9">
        <w:rPr>
          <w:rFonts w:ascii="Palatino Linotype" w:eastAsia="Palatino Linotype" w:hAnsi="Palatino Linotype" w:cs="Palatino Linotype"/>
          <w:b/>
        </w:rPr>
        <w:t>EL SUJETO OBLIGADO</w:t>
      </w:r>
      <w:r w:rsidRPr="00D82BA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067D4E4" w14:textId="77777777" w:rsidR="00A74431" w:rsidRPr="00D82BA9" w:rsidRDefault="00A74431">
      <w:pPr>
        <w:spacing w:after="0" w:line="360" w:lineRule="auto"/>
        <w:ind w:right="51"/>
        <w:jc w:val="both"/>
        <w:rPr>
          <w:rFonts w:ascii="Palatino Linotype" w:eastAsia="Palatino Linotype" w:hAnsi="Palatino Linotype" w:cs="Palatino Linotype"/>
        </w:rPr>
      </w:pPr>
    </w:p>
    <w:p w14:paraId="2A5EE0A8" w14:textId="77777777" w:rsidR="00A74431" w:rsidRPr="00D82BA9" w:rsidRDefault="00120BB6">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Respecto del </w:t>
      </w:r>
      <w:r w:rsidRPr="00D82BA9">
        <w:rPr>
          <w:rFonts w:ascii="Palatino Linotype" w:eastAsia="Palatino Linotype" w:hAnsi="Palatino Linotype" w:cs="Palatino Linotype"/>
          <w:b/>
        </w:rPr>
        <w:t>nombre de las personas físicas</w:t>
      </w:r>
      <w:r w:rsidRPr="00D82BA9">
        <w:rPr>
          <w:rFonts w:ascii="Palatino Linotype" w:eastAsia="Palatino Linotype" w:hAnsi="Palatino Linotype" w:cs="Palatino Linotype"/>
        </w:rPr>
        <w:t xml:space="preserve"> o los </w:t>
      </w:r>
      <w:r w:rsidRPr="00D82BA9">
        <w:rPr>
          <w:rFonts w:ascii="Palatino Linotype" w:eastAsia="Palatino Linotype" w:hAnsi="Palatino Linotype" w:cs="Palatino Linotype"/>
          <w:b/>
        </w:rPr>
        <w:t>representantes legales de las personas morales</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en su calidad de proveedores, contratistas o prestadores de servicios, y la firma y rúbrica de estos</w:t>
      </w:r>
      <w:r w:rsidRPr="00D82BA9">
        <w:rPr>
          <w:rFonts w:ascii="Palatino Linotype" w:eastAsia="Palatino Linotype" w:hAnsi="Palatino Linotype" w:cs="Palatino Linotype"/>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14DD5EDB" w14:textId="77777777" w:rsidR="00A74431" w:rsidRPr="00D82BA9" w:rsidRDefault="00A74431">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p>
    <w:p w14:paraId="0B8CC6E9" w14:textId="77777777" w:rsidR="00A74431" w:rsidRPr="00D82BA9" w:rsidRDefault="00120BB6">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32B799D5" w14:textId="77777777" w:rsidR="00A74431" w:rsidRPr="00D82BA9" w:rsidRDefault="00A74431">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p>
    <w:p w14:paraId="48955B44" w14:textId="77777777" w:rsidR="00A74431" w:rsidRPr="00D82BA9" w:rsidRDefault="00120BB6">
      <w:pPr>
        <w:pBdr>
          <w:top w:val="nil"/>
          <w:left w:val="nil"/>
          <w:bottom w:val="nil"/>
          <w:right w:val="nil"/>
          <w:between w:val="nil"/>
        </w:pBdr>
        <w:spacing w:after="0"/>
        <w:ind w:left="851" w:right="902"/>
        <w:jc w:val="both"/>
        <w:rPr>
          <w:rFonts w:ascii="Palatino Linotype" w:eastAsia="Palatino Linotype" w:hAnsi="Palatino Linotype" w:cs="Palatino Linotype"/>
        </w:rPr>
      </w:pPr>
      <w:r w:rsidRPr="00D82BA9">
        <w:rPr>
          <w:rFonts w:ascii="Palatino Linotype" w:eastAsia="Palatino Linotype" w:hAnsi="Palatino Linotype" w:cs="Palatino Linotype"/>
          <w:i/>
        </w:rPr>
        <w:lastRenderedPageBreak/>
        <w:t>“</w:t>
      </w:r>
      <w:r w:rsidRPr="00D82BA9">
        <w:rPr>
          <w:rFonts w:ascii="Palatino Linotype" w:eastAsia="Palatino Linotype" w:hAnsi="Palatino Linotype" w:cs="Palatino Linotype"/>
          <w:b/>
          <w:i/>
        </w:rPr>
        <w:t>Artículo 23.</w:t>
      </w:r>
      <w:r w:rsidRPr="00D82BA9">
        <w:rPr>
          <w:rFonts w:ascii="Palatino Linotype" w:eastAsia="Palatino Linotype" w:hAnsi="Palatino Linotype" w:cs="Palatino Linotype"/>
          <w:i/>
        </w:rPr>
        <w:t xml:space="preserve"> (…)</w:t>
      </w:r>
    </w:p>
    <w:p w14:paraId="24DB2635" w14:textId="77777777" w:rsidR="00A74431" w:rsidRPr="00D82BA9" w:rsidRDefault="00120BB6">
      <w:pPr>
        <w:pBdr>
          <w:top w:val="nil"/>
          <w:left w:val="nil"/>
          <w:bottom w:val="nil"/>
          <w:right w:val="nil"/>
          <w:between w:val="nil"/>
        </w:pBdr>
        <w:spacing w:after="0"/>
        <w:ind w:left="851" w:right="902"/>
        <w:jc w:val="both"/>
        <w:rPr>
          <w:rFonts w:ascii="Palatino Linotype" w:eastAsia="Palatino Linotype" w:hAnsi="Palatino Linotype" w:cs="Palatino Linotype"/>
          <w:i/>
        </w:rPr>
      </w:pPr>
      <w:r w:rsidRPr="00D82BA9">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558551" w14:textId="77777777" w:rsidR="00A74431" w:rsidRPr="00D82BA9" w:rsidRDefault="00A74431">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rPr>
      </w:pPr>
    </w:p>
    <w:p w14:paraId="19E82189" w14:textId="77777777" w:rsidR="00A74431" w:rsidRPr="00D82BA9" w:rsidRDefault="00120B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795B4594" w14:textId="77777777" w:rsidR="00A74431" w:rsidRPr="00D82BA9" w:rsidRDefault="00A74431">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3D89438A" w14:textId="77777777" w:rsidR="00A74431" w:rsidRPr="00D82BA9" w:rsidRDefault="00120BB6">
      <w:pPr>
        <w:pBdr>
          <w:top w:val="nil"/>
          <w:left w:val="nil"/>
          <w:bottom w:val="nil"/>
          <w:right w:val="nil"/>
          <w:between w:val="nil"/>
        </w:pBdr>
        <w:spacing w:after="0"/>
        <w:ind w:left="851" w:right="902"/>
        <w:jc w:val="both"/>
        <w:rPr>
          <w:rFonts w:ascii="Palatino Linotype" w:eastAsia="Palatino Linotype" w:hAnsi="Palatino Linotype" w:cs="Palatino Linotype"/>
        </w:rPr>
      </w:pPr>
      <w:r w:rsidRPr="00D82BA9">
        <w:rPr>
          <w:rFonts w:ascii="Palatino Linotype" w:eastAsia="Palatino Linotype" w:hAnsi="Palatino Linotype" w:cs="Palatino Linotype"/>
          <w:b/>
          <w:i/>
        </w:rPr>
        <w:t>“Datos de identificación del representante o apoderado legal.</w:t>
      </w:r>
      <w:r w:rsidRPr="00D82BA9">
        <w:rPr>
          <w:rFonts w:ascii="Palatino Linotype" w:eastAsia="Palatino Linotype" w:hAnsi="Palatino Linotype" w:cs="Palatino Linotype"/>
          <w:i/>
        </w:rPr>
        <w:t xml:space="preserve"> </w:t>
      </w:r>
      <w:r w:rsidRPr="00D82BA9">
        <w:rPr>
          <w:rFonts w:ascii="Palatino Linotype" w:eastAsia="Palatino Linotype" w:hAnsi="Palatino Linotype" w:cs="Palatino Linotype"/>
          <w:b/>
          <w:i/>
        </w:rPr>
        <w:t xml:space="preserve">Naturaleza jurídica. El nombre, la </w:t>
      </w:r>
      <w:r w:rsidRPr="00D82BA9">
        <w:rPr>
          <w:rFonts w:ascii="Palatino Linotype" w:eastAsia="Palatino Linotype" w:hAnsi="Palatino Linotype" w:cs="Palatino Linotype"/>
          <w:b/>
          <w:i/>
          <w:u w:val="single"/>
        </w:rPr>
        <w:t>firma y la rúbrica</w:t>
      </w:r>
      <w:r w:rsidRPr="00D82BA9">
        <w:rPr>
          <w:rFonts w:ascii="Palatino Linotype" w:eastAsia="Palatino Linotype" w:hAnsi="Palatino Linotype" w:cs="Palatino Linotype"/>
          <w:i/>
        </w:rPr>
        <w:t xml:space="preserve"> de una persona física, que actúe como representante o apoderado legal de un tercero que haya celebrado un acto jurídico, con algún sujeto obligado, </w:t>
      </w:r>
      <w:r w:rsidRPr="00D82BA9">
        <w:rPr>
          <w:rFonts w:ascii="Palatino Linotype" w:eastAsia="Palatino Linotype" w:hAnsi="Palatino Linotype" w:cs="Palatino Linotype"/>
          <w:b/>
          <w:i/>
          <w:u w:val="single"/>
        </w:rPr>
        <w:t>es información pública</w:t>
      </w:r>
      <w:r w:rsidRPr="00D82BA9">
        <w:rPr>
          <w:rFonts w:ascii="Palatino Linotype" w:eastAsia="Palatino Linotype" w:hAnsi="Palatino Linotype" w:cs="Palatino Linotype"/>
          <w:b/>
          <w:i/>
        </w:rPr>
        <w:t>, en razón de que tales datos fueron proporcionados con el objeto de expresar el consentimiento obligacional del tercero y otorgar validez a dicho instrumento jurídico</w:t>
      </w:r>
      <w:r w:rsidRPr="00D82BA9">
        <w:rPr>
          <w:rFonts w:ascii="Palatino Linotype" w:eastAsia="Palatino Linotype" w:hAnsi="Palatino Linotype" w:cs="Palatino Linotype"/>
          <w:i/>
        </w:rPr>
        <w:t>.”</w:t>
      </w:r>
    </w:p>
    <w:p w14:paraId="55F0D9E0" w14:textId="77777777" w:rsidR="00A74431" w:rsidRPr="00D82BA9" w:rsidRDefault="00A74431">
      <w:pPr>
        <w:spacing w:after="0" w:line="360" w:lineRule="auto"/>
        <w:jc w:val="both"/>
        <w:rPr>
          <w:rFonts w:ascii="Palatino Linotype" w:eastAsia="Palatino Linotype" w:hAnsi="Palatino Linotype" w:cs="Palatino Linotype"/>
        </w:rPr>
      </w:pPr>
    </w:p>
    <w:p w14:paraId="13E350ED"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2A452D1" w14:textId="77777777" w:rsidR="00A74431" w:rsidRPr="00D82BA9" w:rsidRDefault="00A74431">
      <w:pPr>
        <w:spacing w:after="0" w:line="360" w:lineRule="auto"/>
        <w:ind w:right="50"/>
        <w:jc w:val="both"/>
        <w:rPr>
          <w:rFonts w:ascii="Palatino Linotype" w:eastAsia="Palatino Linotype" w:hAnsi="Palatino Linotype" w:cs="Palatino Linotype"/>
        </w:rPr>
      </w:pPr>
    </w:p>
    <w:p w14:paraId="4509D0AD" w14:textId="77777777" w:rsidR="00A74431" w:rsidRPr="00D82BA9" w:rsidRDefault="00120BB6">
      <w:pPr>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w:t>
      </w:r>
      <w:r w:rsidRPr="00D82BA9">
        <w:rPr>
          <w:rFonts w:ascii="Palatino Linotype" w:eastAsia="Palatino Linotype" w:hAnsi="Palatino Linotype" w:cs="Palatino Linotype"/>
        </w:rPr>
        <w:lastRenderedPageBreak/>
        <w:t xml:space="preserve">información no puede ser del dominio público, toda vez que se podría dar un uso inadecuado a la misma o cometer algún ilícito o fraude en contra del patrimonio de los particulares. </w:t>
      </w:r>
    </w:p>
    <w:p w14:paraId="249751E5" w14:textId="77777777" w:rsidR="00A74431" w:rsidRPr="00D82BA9" w:rsidRDefault="00A74431">
      <w:pPr>
        <w:spacing w:after="0" w:line="360" w:lineRule="auto"/>
        <w:ind w:right="51"/>
        <w:jc w:val="both"/>
        <w:rPr>
          <w:rFonts w:ascii="Palatino Linotype" w:eastAsia="Palatino Linotype" w:hAnsi="Palatino Linotype" w:cs="Palatino Linotype"/>
        </w:rPr>
      </w:pPr>
    </w:p>
    <w:p w14:paraId="5C2D77E3"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575D140F"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“Cuentas bancarias y/o CLABE interbancaria de personas físicas y morales privadas.</w:t>
      </w:r>
      <w:r w:rsidRPr="00D82BA9">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8D76010" w14:textId="77777777" w:rsidR="00A74431" w:rsidRPr="00D82BA9" w:rsidRDefault="00A74431">
      <w:pPr>
        <w:ind w:left="851" w:right="899"/>
        <w:jc w:val="both"/>
        <w:rPr>
          <w:rFonts w:ascii="Palatino Linotype" w:eastAsia="Palatino Linotype" w:hAnsi="Palatino Linotype" w:cs="Palatino Linotype"/>
        </w:rPr>
      </w:pPr>
    </w:p>
    <w:p w14:paraId="698D0CC4"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32FBBEE" w14:textId="77777777" w:rsidR="00A74431" w:rsidRPr="00D82BA9" w:rsidRDefault="00A74431">
      <w:pPr>
        <w:spacing w:after="0" w:line="360" w:lineRule="auto"/>
        <w:ind w:right="50"/>
        <w:jc w:val="both"/>
        <w:rPr>
          <w:rFonts w:ascii="Palatino Linotype" w:eastAsia="Palatino Linotype" w:hAnsi="Palatino Linotype" w:cs="Palatino Linotype"/>
        </w:rPr>
      </w:pPr>
    </w:p>
    <w:p w14:paraId="3949758C" w14:textId="77777777" w:rsidR="00A74431" w:rsidRPr="00D82BA9" w:rsidRDefault="00120BB6">
      <w:pP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Cuentas bancarias y/o CLABE interbancaria de sujetos obligados que reciben y/o transfieren recursos públicos, son información pública.</w:t>
      </w:r>
      <w:r w:rsidRPr="00D82BA9">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522F5EC4" w14:textId="77777777" w:rsidR="00A74431" w:rsidRPr="00D82BA9" w:rsidRDefault="00A74431">
      <w:pPr>
        <w:spacing w:after="0" w:line="360" w:lineRule="auto"/>
        <w:ind w:left="851" w:right="1134"/>
        <w:jc w:val="both"/>
        <w:rPr>
          <w:rFonts w:ascii="Palatino Linotype" w:eastAsia="Palatino Linotype" w:hAnsi="Palatino Linotype" w:cs="Palatino Linotype"/>
        </w:rPr>
      </w:pPr>
    </w:p>
    <w:p w14:paraId="7E53560C"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lastRenderedPageBreak/>
        <w:t xml:space="preserve">Sobre el </w:t>
      </w:r>
      <w:r w:rsidRPr="00D82BA9">
        <w:rPr>
          <w:rFonts w:ascii="Palatino Linotype" w:eastAsia="Palatino Linotype" w:hAnsi="Palatino Linotype" w:cs="Palatino Linotype"/>
          <w:b/>
        </w:rPr>
        <w:t>RFC</w:t>
      </w:r>
      <w:r w:rsidRPr="00D82BA9">
        <w:rPr>
          <w:rFonts w:ascii="Palatino Linotype" w:eastAsia="Palatino Linotype" w:hAnsi="Palatino Linotype" w:cs="Palatino Linotype"/>
        </w:rPr>
        <w:t>,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E190A2F" w14:textId="77777777" w:rsidR="00A74431" w:rsidRPr="00D82BA9" w:rsidRDefault="00A74431">
      <w:pPr>
        <w:spacing w:after="0" w:line="360" w:lineRule="auto"/>
        <w:ind w:right="50"/>
        <w:jc w:val="both"/>
        <w:rPr>
          <w:rFonts w:ascii="Palatino Linotype" w:eastAsia="Palatino Linotype" w:hAnsi="Palatino Linotype" w:cs="Palatino Linotype"/>
        </w:rPr>
      </w:pPr>
    </w:p>
    <w:p w14:paraId="01A8A8C9"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E5FD63A" w14:textId="77777777" w:rsidR="00A74431" w:rsidRPr="00D82BA9" w:rsidRDefault="00A74431">
      <w:pPr>
        <w:spacing w:after="0" w:line="360" w:lineRule="auto"/>
        <w:ind w:right="50"/>
        <w:jc w:val="both"/>
        <w:rPr>
          <w:rFonts w:ascii="Palatino Linotype" w:eastAsia="Palatino Linotype" w:hAnsi="Palatino Linotype" w:cs="Palatino Linotype"/>
        </w:rPr>
      </w:pPr>
    </w:p>
    <w:p w14:paraId="7DAA332E" w14:textId="77777777" w:rsidR="00A74431" w:rsidRPr="00D82BA9" w:rsidRDefault="00120BB6">
      <w:pPr>
        <w:spacing w:after="0" w:line="360" w:lineRule="auto"/>
        <w:ind w:right="50"/>
        <w:jc w:val="both"/>
        <w:rPr>
          <w:rFonts w:ascii="Palatino Linotype" w:eastAsia="Palatino Linotype" w:hAnsi="Palatino Linotype" w:cs="Palatino Linotype"/>
        </w:rPr>
      </w:pPr>
      <w:r w:rsidRPr="00D82BA9">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057A554A" w14:textId="77777777" w:rsidR="00A74431" w:rsidRPr="00D82BA9" w:rsidRDefault="00A74431">
      <w:pPr>
        <w:spacing w:after="0" w:line="360" w:lineRule="auto"/>
        <w:ind w:right="50"/>
        <w:jc w:val="both"/>
        <w:rPr>
          <w:rFonts w:ascii="Palatino Linotype" w:eastAsia="Palatino Linotype" w:hAnsi="Palatino Linotype" w:cs="Palatino Linotype"/>
        </w:rPr>
      </w:pPr>
    </w:p>
    <w:p w14:paraId="4126A8D0"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Al respecto, se destaca que la versión pública que elabore </w:t>
      </w:r>
      <w:r w:rsidRPr="00D82BA9">
        <w:rPr>
          <w:rFonts w:ascii="Palatino Linotype" w:eastAsia="Palatino Linotype" w:hAnsi="Palatino Linotype" w:cs="Palatino Linotype"/>
          <w:b/>
        </w:rPr>
        <w:t>EL SUJETO OBLIGADO</w:t>
      </w:r>
      <w:r w:rsidRPr="00D82BA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w:t>
      </w:r>
      <w:r w:rsidRPr="00D82BA9">
        <w:rPr>
          <w:rFonts w:ascii="Palatino Linotype" w:eastAsia="Palatino Linotype" w:hAnsi="Palatino Linotype" w:cs="Palatino Linotype"/>
        </w:rPr>
        <w:lastRenderedPageBreak/>
        <w:t xml:space="preserve">Acceso a la Información Pública del Estado de México y Municipios, ya expuesto; así como con los numerales aplicables de los </w:t>
      </w:r>
      <w:r w:rsidRPr="00D82BA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D82BA9">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326FE7F" w14:textId="77777777" w:rsidR="00A74431" w:rsidRPr="00D82BA9" w:rsidRDefault="00A74431">
      <w:pPr>
        <w:pBdr>
          <w:top w:val="nil"/>
          <w:left w:val="nil"/>
          <w:bottom w:val="nil"/>
          <w:right w:val="nil"/>
          <w:between w:val="nil"/>
        </w:pBdr>
        <w:spacing w:after="0"/>
        <w:ind w:left="709" w:right="709"/>
        <w:jc w:val="both"/>
        <w:rPr>
          <w:rFonts w:ascii="Palatino Linotype" w:eastAsia="Palatino Linotype" w:hAnsi="Palatino Linotype" w:cs="Palatino Linotype"/>
          <w:b/>
          <w:i/>
        </w:rPr>
      </w:pPr>
    </w:p>
    <w:p w14:paraId="09FDF3D4"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E7FCD81"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w:t>
      </w:r>
      <w:r w:rsidRPr="00D82BA9">
        <w:rPr>
          <w:rFonts w:ascii="Palatino Linotype" w:eastAsia="Palatino Linotype" w:hAnsi="Palatino Linotype" w:cs="Palatino Linotype"/>
          <w:b/>
          <w:i/>
        </w:rPr>
        <w:t>Segundo.-</w:t>
      </w:r>
      <w:r w:rsidRPr="00D82BA9">
        <w:rPr>
          <w:rFonts w:ascii="Palatino Linotype" w:eastAsia="Palatino Linotype" w:hAnsi="Palatino Linotype" w:cs="Palatino Linotype"/>
          <w:i/>
        </w:rPr>
        <w:t xml:space="preserve"> Para efectos de los presentes Lineamientos Generales, se entenderá por:</w:t>
      </w:r>
    </w:p>
    <w:p w14:paraId="37FBB541"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XVIII.</w:t>
      </w:r>
      <w:r w:rsidRPr="00D82BA9">
        <w:rPr>
          <w:rFonts w:ascii="Palatino Linotype" w:eastAsia="Palatino Linotype" w:hAnsi="Palatino Linotype" w:cs="Palatino Linotype"/>
          <w:i/>
        </w:rPr>
        <w:t xml:space="preserve"> </w:t>
      </w:r>
      <w:r w:rsidRPr="00D82BA9">
        <w:rPr>
          <w:rFonts w:ascii="Palatino Linotype" w:eastAsia="Palatino Linotype" w:hAnsi="Palatino Linotype" w:cs="Palatino Linotype"/>
          <w:b/>
          <w:i/>
        </w:rPr>
        <w:t>Versión pública:</w:t>
      </w:r>
      <w:r w:rsidRPr="00D82BA9">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D82BA9">
        <w:rPr>
          <w:rFonts w:ascii="Palatino Linotype" w:eastAsia="Palatino Linotype" w:hAnsi="Palatino Linotype" w:cs="Palatino Linotype"/>
          <w:b/>
          <w:i/>
          <w:u w:val="single"/>
        </w:rPr>
        <w:t>fundando y motivando la</w:t>
      </w:r>
      <w:r w:rsidRPr="00D82BA9">
        <w:rPr>
          <w:rFonts w:ascii="Palatino Linotype" w:eastAsia="Palatino Linotype" w:hAnsi="Palatino Linotype" w:cs="Palatino Linotype"/>
          <w:i/>
        </w:rPr>
        <w:t xml:space="preserve"> reserva o </w:t>
      </w:r>
      <w:r w:rsidRPr="00D82BA9">
        <w:rPr>
          <w:rFonts w:ascii="Palatino Linotype" w:eastAsia="Palatino Linotype" w:hAnsi="Palatino Linotype" w:cs="Palatino Linotype"/>
          <w:b/>
          <w:i/>
          <w:u w:val="single"/>
        </w:rPr>
        <w:t>confidencialidad</w:t>
      </w:r>
      <w:r w:rsidRPr="00D82BA9">
        <w:rPr>
          <w:rFonts w:ascii="Palatino Linotype" w:eastAsia="Palatino Linotype" w:hAnsi="Palatino Linotype" w:cs="Palatino Linotype"/>
          <w:i/>
        </w:rPr>
        <w:t>, a través de la resolución que para tal efecto emita el Comité de Transparencia.</w:t>
      </w:r>
    </w:p>
    <w:p w14:paraId="4E6562CB"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Cuarto.</w:t>
      </w:r>
      <w:r w:rsidRPr="00D82BA9">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28BD9F8"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A35B8DC"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Quinto.</w:t>
      </w:r>
      <w:r w:rsidRPr="00D82BA9">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A01D1D9"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lastRenderedPageBreak/>
        <w:t>…</w:t>
      </w:r>
    </w:p>
    <w:p w14:paraId="22DC4A53"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Séptimo.</w:t>
      </w:r>
      <w:r w:rsidRPr="00D82BA9">
        <w:rPr>
          <w:rFonts w:ascii="Palatino Linotype" w:eastAsia="Palatino Linotype" w:hAnsi="Palatino Linotype" w:cs="Palatino Linotype"/>
          <w:i/>
        </w:rPr>
        <w:t xml:space="preserve"> La clasificación de la información se llevará a cabo en el momento en que:</w:t>
      </w:r>
    </w:p>
    <w:p w14:paraId="781C197B"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I.</w:t>
      </w:r>
      <w:r w:rsidRPr="00D82BA9">
        <w:rPr>
          <w:rFonts w:ascii="Palatino Linotype" w:eastAsia="Palatino Linotype" w:hAnsi="Palatino Linotype" w:cs="Palatino Linotype"/>
          <w:i/>
        </w:rPr>
        <w:t xml:space="preserve"> Se reciba una solicitud de acceso a la información;</w:t>
      </w:r>
    </w:p>
    <w:p w14:paraId="690A80E3"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II.</w:t>
      </w:r>
      <w:r w:rsidRPr="00D82BA9">
        <w:rPr>
          <w:rFonts w:ascii="Palatino Linotype" w:eastAsia="Palatino Linotype" w:hAnsi="Palatino Linotype" w:cs="Palatino Linotype"/>
          <w:i/>
        </w:rPr>
        <w:t xml:space="preserve"> Se  determine mediante resolución del Comité de Transparencia, el órgano garante </w:t>
      </w:r>
    </w:p>
    <w:p w14:paraId="52FF726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competente, o en cumplimiento a una sentencia del Poder Judicial; o</w:t>
      </w:r>
    </w:p>
    <w:p w14:paraId="2CD4055A"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III.</w:t>
      </w:r>
      <w:r w:rsidRPr="00D82BA9">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5CDE08D0"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4D04F977"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Octavo.</w:t>
      </w:r>
      <w:r w:rsidRPr="00D82BA9">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E32544"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6F199624"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3A1C74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Noveno.</w:t>
      </w:r>
      <w:r w:rsidRPr="00D82BA9">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660346"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Décimo.</w:t>
      </w:r>
      <w:r w:rsidRPr="00D82BA9">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498552B"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lastRenderedPageBreak/>
        <w:t>En ausencia de los titulares de las áreas, la información será clasificada o desclasificada por la persona que lo supla, en términos de la normativa que rija la actuación del sujeto obligado.</w:t>
      </w:r>
    </w:p>
    <w:p w14:paraId="73082A0F"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Décimo primero.</w:t>
      </w:r>
      <w:r w:rsidRPr="00D82BA9">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B4280AE"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w:t>
      </w:r>
    </w:p>
    <w:p w14:paraId="614F572B" w14:textId="77777777" w:rsidR="00A74431" w:rsidRPr="00D82BA9" w:rsidRDefault="00120BB6">
      <w:pPr>
        <w:pBdr>
          <w:top w:val="nil"/>
          <w:left w:val="nil"/>
          <w:bottom w:val="nil"/>
          <w:right w:val="nil"/>
          <w:between w:val="nil"/>
        </w:pBdr>
        <w:spacing w:after="0"/>
        <w:ind w:left="851" w:right="843"/>
        <w:jc w:val="center"/>
        <w:rPr>
          <w:rFonts w:ascii="Palatino Linotype" w:eastAsia="Palatino Linotype" w:hAnsi="Palatino Linotype" w:cs="Palatino Linotype"/>
        </w:rPr>
      </w:pPr>
      <w:r w:rsidRPr="00D82BA9">
        <w:rPr>
          <w:rFonts w:ascii="Palatino Linotype" w:eastAsia="Palatino Linotype" w:hAnsi="Palatino Linotype" w:cs="Palatino Linotype"/>
          <w:b/>
          <w:i/>
        </w:rPr>
        <w:t>CAPÍTULO VIII</w:t>
      </w:r>
    </w:p>
    <w:p w14:paraId="3BD00329" w14:textId="77777777" w:rsidR="00A74431" w:rsidRPr="00D82BA9" w:rsidRDefault="00120BB6">
      <w:pPr>
        <w:pBdr>
          <w:top w:val="nil"/>
          <w:left w:val="nil"/>
          <w:bottom w:val="nil"/>
          <w:right w:val="nil"/>
          <w:between w:val="nil"/>
        </w:pBdr>
        <w:spacing w:after="0"/>
        <w:ind w:left="851" w:right="843"/>
        <w:jc w:val="center"/>
        <w:rPr>
          <w:rFonts w:ascii="Palatino Linotype" w:eastAsia="Palatino Linotype" w:hAnsi="Palatino Linotype" w:cs="Palatino Linotype"/>
          <w:b/>
          <w:i/>
        </w:rPr>
      </w:pPr>
      <w:r w:rsidRPr="00D82BA9">
        <w:rPr>
          <w:rFonts w:ascii="Palatino Linotype" w:eastAsia="Palatino Linotype" w:hAnsi="Palatino Linotype" w:cs="Palatino Linotype"/>
          <w:b/>
          <w:i/>
        </w:rPr>
        <w:t>DE LOS ELEMENTOS PARA LA CLASIFICACIÓN</w:t>
      </w:r>
    </w:p>
    <w:p w14:paraId="3615FD0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Quincuagésimo</w:t>
      </w:r>
      <w:r w:rsidRPr="00D82BA9">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49809A6"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t>Quincuagésimo primero</w:t>
      </w:r>
      <w:r w:rsidRPr="00D82BA9">
        <w:rPr>
          <w:rFonts w:ascii="Palatino Linotype" w:eastAsia="Palatino Linotype" w:hAnsi="Palatino Linotype" w:cs="Palatino Linotype"/>
          <w:i/>
        </w:rPr>
        <w:t>. Toda acta del Comité de Transparencia deberá contener:</w:t>
      </w:r>
    </w:p>
    <w:p w14:paraId="57B6E990"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I. El número de sesión y fecha; </w:t>
      </w:r>
    </w:p>
    <w:p w14:paraId="1F2B255D"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El nombre del área que solicitó la clasificación de información;</w:t>
      </w:r>
    </w:p>
    <w:p w14:paraId="5545116A"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III. La fundamentación legal y motivación correspondiente;</w:t>
      </w:r>
    </w:p>
    <w:p w14:paraId="55B9E4ED"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IV. La resolución o resoluciones aprobadas; y</w:t>
      </w:r>
    </w:p>
    <w:p w14:paraId="579034A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V. La rúbrica o firma digital de cada integrante del Comité de Transparencia. </w:t>
      </w:r>
    </w:p>
    <w:p w14:paraId="52401134"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7EE0D65F"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 Los motivos y razonamientos que sustenten la confirmación o modificación de la prueba de daño;</w:t>
      </w:r>
    </w:p>
    <w:p w14:paraId="128CFC97"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Descripción de las partes o secciones reservadas, en caso de clasificación parcial;</w:t>
      </w:r>
    </w:p>
    <w:p w14:paraId="45C2ECEB"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III. El periodo por el que mantendrá su clasificación y fecha de expiración; y</w:t>
      </w:r>
    </w:p>
    <w:p w14:paraId="6207D8D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IV. El nombre del titular y área encargada de realizar la versión pública del documento, en su caso.</w:t>
      </w:r>
    </w:p>
    <w:p w14:paraId="6215EE3E"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7E61A752"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35CFD16"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b/>
          <w:i/>
        </w:rPr>
        <w:lastRenderedPageBreak/>
        <w:t>Quincuagésimo segundo</w:t>
      </w:r>
      <w:r w:rsidRPr="00D82BA9">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165F80E"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5FE9FA5D"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 Fijar la fecha en que se elaboró la versión pública y la fecha en la cual el Comité de Transparencia confirmó dicha versión;</w:t>
      </w:r>
    </w:p>
    <w:p w14:paraId="2E36B45A"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03B1B020"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III. Señalar las personas o instancias autorizadas a acceder a la información clasificada.</w:t>
      </w:r>
    </w:p>
    <w:p w14:paraId="52BE5D6B"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6C12A8A3"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b/>
          <w:i/>
        </w:rPr>
        <w:t>…</w:t>
      </w:r>
    </w:p>
    <w:p w14:paraId="22DC5C18"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D82BA9">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AC5C754"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D82BA9">
        <w:rPr>
          <w:rFonts w:ascii="Palatino Linotype" w:eastAsia="Palatino Linotype" w:hAnsi="Palatino Linotype" w:cs="Palatino Linotype"/>
          <w:i/>
        </w:rPr>
        <w:t>testado</w:t>
      </w:r>
      <w:proofErr w:type="spellEnd"/>
      <w:r w:rsidRPr="00D82BA9">
        <w:rPr>
          <w:rFonts w:ascii="Palatino Linotype" w:eastAsia="Palatino Linotype" w:hAnsi="Palatino Linotype" w:cs="Palatino Linotype"/>
          <w:i/>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07CCDB7" w14:textId="77777777" w:rsidR="00A74431" w:rsidRPr="00D82BA9" w:rsidRDefault="00A74431">
      <w:pPr>
        <w:jc w:val="both"/>
        <w:rPr>
          <w:rFonts w:ascii="Palatino Linotype" w:eastAsia="Palatino Linotype" w:hAnsi="Palatino Linotype" w:cs="Palatino Linotype"/>
        </w:rPr>
      </w:pPr>
    </w:p>
    <w:p w14:paraId="1EECA40C"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75E2D88" w14:textId="77777777" w:rsidR="00A74431" w:rsidRPr="00D82BA9" w:rsidRDefault="00A74431">
      <w:pPr>
        <w:spacing w:after="0" w:line="360" w:lineRule="auto"/>
        <w:jc w:val="both"/>
        <w:rPr>
          <w:rFonts w:ascii="Palatino Linotype" w:eastAsia="Palatino Linotype" w:hAnsi="Palatino Linotype" w:cs="Palatino Linotype"/>
        </w:rPr>
      </w:pPr>
    </w:p>
    <w:p w14:paraId="7305BE0D" w14:textId="77777777" w:rsidR="00A74431" w:rsidRPr="00D82BA9" w:rsidRDefault="00120BB6">
      <w:pPr>
        <w:shd w:val="clear" w:color="auto" w:fill="FFFFFF"/>
        <w:spacing w:after="0" w:line="360" w:lineRule="auto"/>
        <w:ind w:right="51"/>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D82BA9">
        <w:rPr>
          <w:rFonts w:ascii="Palatino Linotype" w:eastAsia="Palatino Linotype" w:hAnsi="Palatino Linotype" w:cs="Palatino Linotype"/>
          <w:b/>
        </w:rPr>
        <w:t>LA PARTE</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w:t>
      </w:r>
    </w:p>
    <w:p w14:paraId="3E58FE78" w14:textId="77777777" w:rsidR="00A74431" w:rsidRPr="00D82BA9" w:rsidRDefault="00A74431">
      <w:pPr>
        <w:shd w:val="clear" w:color="auto" w:fill="FFFFFF"/>
        <w:spacing w:after="0" w:line="360" w:lineRule="auto"/>
        <w:ind w:right="51"/>
        <w:jc w:val="both"/>
        <w:rPr>
          <w:rFonts w:ascii="Palatino Linotype" w:eastAsia="Palatino Linotype" w:hAnsi="Palatino Linotype" w:cs="Palatino Linotype"/>
        </w:rPr>
      </w:pPr>
    </w:p>
    <w:p w14:paraId="77272445"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rPr>
        <w:t>Por lo anteriormente expuesto y con fundamento en lo prescrito en los artículos 5 párrafos trigésimo séptimo, trigésimo octavo y trigésimo noveno de la Constitución Política del Estado Libre y Soberano de México; 2, fracción II; 29, 36 fracciones I y II; 176, 178, 181, 185 y 186 fracción III de la Ley de Transparencia y Acceso a la Información Pública del Estado de México y Municipios, este Pleno:</w:t>
      </w:r>
    </w:p>
    <w:p w14:paraId="33A773BD" w14:textId="77777777" w:rsidR="00A74431" w:rsidRPr="00D82BA9" w:rsidRDefault="00120BB6">
      <w:pPr>
        <w:spacing w:after="0" w:line="360" w:lineRule="auto"/>
        <w:ind w:left="1080"/>
        <w:jc w:val="center"/>
        <w:rPr>
          <w:rFonts w:ascii="Palatino Linotype" w:eastAsia="Palatino Linotype" w:hAnsi="Palatino Linotype" w:cs="Palatino Linotype"/>
          <w:b/>
        </w:rPr>
      </w:pPr>
      <w:r w:rsidRPr="00D82BA9">
        <w:rPr>
          <w:rFonts w:ascii="Palatino Linotype" w:eastAsia="Palatino Linotype" w:hAnsi="Palatino Linotype" w:cs="Palatino Linotype"/>
          <w:b/>
        </w:rPr>
        <w:t>R E S U E L V E</w:t>
      </w:r>
    </w:p>
    <w:p w14:paraId="3A0FD920" w14:textId="77777777" w:rsidR="00A74431" w:rsidRPr="00D82BA9" w:rsidRDefault="00A74431">
      <w:pPr>
        <w:spacing w:after="0" w:line="360" w:lineRule="auto"/>
        <w:ind w:left="1080"/>
        <w:rPr>
          <w:rFonts w:ascii="Palatino Linotype" w:eastAsia="Palatino Linotype" w:hAnsi="Palatino Linotype" w:cs="Palatino Linotype"/>
          <w:b/>
        </w:rPr>
      </w:pPr>
    </w:p>
    <w:p w14:paraId="0D0974B3"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PRIMERO. </w:t>
      </w:r>
      <w:r w:rsidRPr="00D82BA9">
        <w:rPr>
          <w:rFonts w:ascii="Palatino Linotype" w:eastAsia="Palatino Linotype" w:hAnsi="Palatino Linotype" w:cs="Palatino Linotype"/>
        </w:rPr>
        <w:t xml:space="preserve">Resultan fundados los motivos de inconformidad hechos valer por 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xml:space="preserve"> en el Recurso de Revisión </w:t>
      </w:r>
      <w:r w:rsidRPr="00D82BA9">
        <w:rPr>
          <w:rFonts w:ascii="Palatino Linotype" w:eastAsia="Palatino Linotype" w:hAnsi="Palatino Linotype" w:cs="Palatino Linotype"/>
          <w:b/>
        </w:rPr>
        <w:t>02654/INFOEM/IP/RR/2025</w:t>
      </w:r>
      <w:r w:rsidRPr="00D82BA9">
        <w:rPr>
          <w:rFonts w:ascii="Palatino Linotype" w:eastAsia="Palatino Linotype" w:hAnsi="Palatino Linotype" w:cs="Palatino Linotype"/>
        </w:rPr>
        <w:t>,</w:t>
      </w:r>
      <w:r w:rsidRPr="00D82BA9">
        <w:rPr>
          <w:rFonts w:ascii="Palatino Linotype" w:eastAsia="Palatino Linotype" w:hAnsi="Palatino Linotype" w:cs="Palatino Linotype"/>
          <w:b/>
        </w:rPr>
        <w:t xml:space="preserve"> </w:t>
      </w:r>
      <w:r w:rsidRPr="00D82BA9">
        <w:rPr>
          <w:rFonts w:ascii="Palatino Linotype" w:eastAsia="Palatino Linotype" w:hAnsi="Palatino Linotype" w:cs="Palatino Linotype"/>
        </w:rPr>
        <w:t xml:space="preserve">por lo que, en términos del considerando </w:t>
      </w:r>
      <w:r w:rsidRPr="00D82BA9">
        <w:rPr>
          <w:rFonts w:ascii="Palatino Linotype" w:eastAsia="Palatino Linotype" w:hAnsi="Palatino Linotype" w:cs="Palatino Linotype"/>
          <w:b/>
        </w:rPr>
        <w:t xml:space="preserve">Cuarto </w:t>
      </w:r>
      <w:r w:rsidRPr="00D82BA9">
        <w:rPr>
          <w:rFonts w:ascii="Palatino Linotype" w:eastAsia="Palatino Linotype" w:hAnsi="Palatino Linotype" w:cs="Palatino Linotype"/>
        </w:rPr>
        <w:t xml:space="preserve">de esta resolución, se </w:t>
      </w:r>
      <w:r w:rsidRPr="00D82BA9">
        <w:rPr>
          <w:rFonts w:ascii="Palatino Linotype" w:eastAsia="Palatino Linotype" w:hAnsi="Palatino Linotype" w:cs="Palatino Linotype"/>
          <w:b/>
        </w:rPr>
        <w:t xml:space="preserve">REVOCA </w:t>
      </w:r>
      <w:r w:rsidRPr="00D82BA9">
        <w:rPr>
          <w:rFonts w:ascii="Palatino Linotype" w:eastAsia="Palatino Linotype" w:hAnsi="Palatino Linotype" w:cs="Palatino Linotype"/>
        </w:rPr>
        <w:t xml:space="preserve">la respuesta emitida por </w:t>
      </w:r>
      <w:r w:rsidRPr="00D82BA9">
        <w:rPr>
          <w:rFonts w:ascii="Palatino Linotype" w:eastAsia="Palatino Linotype" w:hAnsi="Palatino Linotype" w:cs="Palatino Linotype"/>
          <w:b/>
        </w:rPr>
        <w:t>EL SUJETO OBLIGADO</w:t>
      </w:r>
      <w:r w:rsidRPr="00D82BA9">
        <w:rPr>
          <w:rFonts w:ascii="Palatino Linotype" w:eastAsia="Palatino Linotype" w:hAnsi="Palatino Linotype" w:cs="Palatino Linotype"/>
        </w:rPr>
        <w:t>.</w:t>
      </w:r>
    </w:p>
    <w:p w14:paraId="3ECEA2DC" w14:textId="77777777" w:rsidR="00A74431" w:rsidRPr="00D82BA9" w:rsidRDefault="00A74431">
      <w:pPr>
        <w:spacing w:after="0" w:line="360" w:lineRule="auto"/>
        <w:jc w:val="both"/>
        <w:rPr>
          <w:rFonts w:ascii="Palatino Linotype" w:eastAsia="Palatino Linotype" w:hAnsi="Palatino Linotype" w:cs="Palatino Linotype"/>
        </w:rPr>
      </w:pPr>
    </w:p>
    <w:p w14:paraId="184AB5BB" w14:textId="77777777" w:rsidR="00A74431" w:rsidRPr="00D82BA9" w:rsidRDefault="00120BB6">
      <w:pPr>
        <w:spacing w:after="0" w:line="360" w:lineRule="auto"/>
        <w:ind w:right="49"/>
        <w:jc w:val="both"/>
        <w:rPr>
          <w:rFonts w:ascii="Palatino Linotype" w:eastAsia="Palatino Linotype" w:hAnsi="Palatino Linotype" w:cs="Palatino Linotype"/>
          <w:b/>
        </w:rPr>
      </w:pPr>
      <w:r w:rsidRPr="00D82BA9">
        <w:rPr>
          <w:rFonts w:ascii="Palatino Linotype" w:eastAsia="Palatino Linotype" w:hAnsi="Palatino Linotype" w:cs="Palatino Linotype"/>
          <w:b/>
        </w:rPr>
        <w:lastRenderedPageBreak/>
        <w:t xml:space="preserve">SEGUNDO. </w:t>
      </w:r>
      <w:r w:rsidRPr="00D82BA9">
        <w:rPr>
          <w:rFonts w:ascii="Palatino Linotype" w:eastAsia="Palatino Linotype" w:hAnsi="Palatino Linotype" w:cs="Palatino Linotype"/>
        </w:rPr>
        <w:t xml:space="preserve">Se </w:t>
      </w:r>
      <w:r w:rsidRPr="00D82BA9">
        <w:rPr>
          <w:rFonts w:ascii="Palatino Linotype" w:eastAsia="Palatino Linotype" w:hAnsi="Palatino Linotype" w:cs="Palatino Linotype"/>
          <w:b/>
        </w:rPr>
        <w:t xml:space="preserve">Ordena </w:t>
      </w:r>
      <w:r w:rsidRPr="00D82BA9">
        <w:rPr>
          <w:rFonts w:ascii="Palatino Linotype" w:eastAsia="Palatino Linotype" w:hAnsi="Palatino Linotype" w:cs="Palatino Linotype"/>
        </w:rPr>
        <w:t xml:space="preserve">al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entregue, a</w:t>
      </w:r>
      <w:r w:rsidRPr="00D82BA9">
        <w:rPr>
          <w:rFonts w:ascii="Palatino Linotype" w:eastAsia="Palatino Linotype" w:hAnsi="Palatino Linotype" w:cs="Palatino Linotype"/>
          <w:b/>
        </w:rPr>
        <w:t xml:space="preserve"> </w:t>
      </w:r>
      <w:r w:rsidRPr="00D82BA9">
        <w:rPr>
          <w:rFonts w:ascii="Palatino Linotype" w:eastAsia="Palatino Linotype" w:hAnsi="Palatino Linotype" w:cs="Palatino Linotype"/>
        </w:rPr>
        <w:t xml:space="preserve">la parte </w:t>
      </w:r>
      <w:r w:rsidRPr="00D82BA9">
        <w:rPr>
          <w:rFonts w:ascii="Palatino Linotype" w:eastAsia="Palatino Linotype" w:hAnsi="Palatino Linotype" w:cs="Palatino Linotype"/>
          <w:b/>
        </w:rPr>
        <w:t>RECURRENTE</w:t>
      </w:r>
      <w:r w:rsidRPr="00D82BA9">
        <w:rPr>
          <w:rFonts w:ascii="Palatino Linotype" w:eastAsia="Palatino Linotype" w:hAnsi="Palatino Linotype" w:cs="Palatino Linotype"/>
        </w:rPr>
        <w:t>, vía</w:t>
      </w:r>
      <w:r w:rsidRPr="00D82BA9">
        <w:rPr>
          <w:rFonts w:ascii="Palatino Linotype" w:eastAsia="Palatino Linotype" w:hAnsi="Palatino Linotype" w:cs="Palatino Linotype"/>
          <w:b/>
        </w:rPr>
        <w:t xml:space="preserve"> SAIMEX, </w:t>
      </w:r>
      <w:r w:rsidRPr="00D82BA9">
        <w:rPr>
          <w:rFonts w:ascii="Palatino Linotype" w:eastAsia="Palatino Linotype" w:hAnsi="Palatino Linotype" w:cs="Palatino Linotype"/>
        </w:rPr>
        <w:t>previa búsqueda exhaustiva y razonable, en términos de los</w:t>
      </w:r>
      <w:r w:rsidRPr="00D82BA9">
        <w:rPr>
          <w:rFonts w:ascii="Palatino Linotype" w:eastAsia="Palatino Linotype" w:hAnsi="Palatino Linotype" w:cs="Palatino Linotype"/>
          <w:b/>
        </w:rPr>
        <w:t xml:space="preserve"> Considerandos</w:t>
      </w:r>
      <w:r w:rsidRPr="00D82BA9">
        <w:rPr>
          <w:rFonts w:ascii="Palatino Linotype" w:eastAsia="Palatino Linotype" w:hAnsi="Palatino Linotype" w:cs="Palatino Linotype"/>
        </w:rPr>
        <w:t xml:space="preserve"> </w:t>
      </w:r>
      <w:r w:rsidRPr="00D82BA9">
        <w:rPr>
          <w:rFonts w:ascii="Palatino Linotype" w:eastAsia="Palatino Linotype" w:hAnsi="Palatino Linotype" w:cs="Palatino Linotype"/>
          <w:b/>
        </w:rPr>
        <w:t>Cuarto y Quinto</w:t>
      </w:r>
      <w:r w:rsidRPr="00D82BA9">
        <w:rPr>
          <w:rFonts w:ascii="Palatino Linotype" w:eastAsia="Palatino Linotype" w:hAnsi="Palatino Linotype" w:cs="Palatino Linotype"/>
        </w:rPr>
        <w:t>, de ser procedente en versión pública, lo siguiente:</w:t>
      </w:r>
      <w:r w:rsidRPr="00D82BA9">
        <w:rPr>
          <w:rFonts w:ascii="Palatino Linotype" w:eastAsia="Palatino Linotype" w:hAnsi="Palatino Linotype" w:cs="Palatino Linotype"/>
          <w:b/>
        </w:rPr>
        <w:t xml:space="preserve"> </w:t>
      </w:r>
    </w:p>
    <w:p w14:paraId="052A7851" w14:textId="77777777" w:rsidR="00A74431" w:rsidRPr="00D82BA9" w:rsidRDefault="00A74431">
      <w:pPr>
        <w:spacing w:after="0" w:line="360" w:lineRule="auto"/>
        <w:ind w:right="49"/>
        <w:jc w:val="both"/>
        <w:rPr>
          <w:rFonts w:ascii="Palatino Linotype" w:eastAsia="Palatino Linotype" w:hAnsi="Palatino Linotype" w:cs="Palatino Linotype"/>
          <w:b/>
        </w:rPr>
      </w:pPr>
    </w:p>
    <w:p w14:paraId="49566370" w14:textId="77777777" w:rsidR="00A74431" w:rsidRPr="00D82BA9" w:rsidRDefault="00120BB6">
      <w:pPr>
        <w:numPr>
          <w:ilvl w:val="0"/>
          <w:numId w:val="1"/>
        </w:numPr>
        <w:pBdr>
          <w:top w:val="nil"/>
          <w:left w:val="nil"/>
          <w:bottom w:val="nil"/>
          <w:right w:val="nil"/>
          <w:between w:val="nil"/>
        </w:pBdr>
        <w:spacing w:after="0" w:line="360" w:lineRule="auto"/>
        <w:ind w:left="851" w:right="843"/>
        <w:jc w:val="both"/>
        <w:rPr>
          <w:rFonts w:ascii="Palatino Linotype" w:eastAsia="Palatino Linotype" w:hAnsi="Palatino Linotype" w:cs="Palatino Linotype"/>
        </w:rPr>
      </w:pPr>
      <w:r w:rsidRPr="00D82BA9">
        <w:rPr>
          <w:rFonts w:ascii="Palatino Linotype" w:eastAsia="Palatino Linotype" w:hAnsi="Palatino Linotype" w:cs="Palatino Linotype"/>
        </w:rPr>
        <w:t xml:space="preserve">Los contratos por motivo de las compras y adquisiciones realizadas del primero de enero al diez de febrero de dos mil veinticinco. </w:t>
      </w:r>
    </w:p>
    <w:p w14:paraId="12319961" w14:textId="77777777" w:rsidR="00A74431" w:rsidRPr="00D82BA9" w:rsidRDefault="00A74431">
      <w:pPr>
        <w:pBdr>
          <w:top w:val="nil"/>
          <w:left w:val="nil"/>
          <w:bottom w:val="nil"/>
          <w:right w:val="nil"/>
          <w:between w:val="nil"/>
        </w:pBdr>
        <w:spacing w:after="0" w:line="360" w:lineRule="auto"/>
        <w:ind w:left="720" w:right="843"/>
        <w:jc w:val="both"/>
        <w:rPr>
          <w:rFonts w:ascii="Palatino Linotype" w:eastAsia="Palatino Linotype" w:hAnsi="Palatino Linotype" w:cs="Palatino Linotype"/>
          <w:b/>
        </w:rPr>
      </w:pPr>
    </w:p>
    <w:p w14:paraId="13D5E1FA" w14:textId="77777777" w:rsidR="00A74431" w:rsidRPr="00D82BA9" w:rsidRDefault="00120BB6">
      <w:pPr>
        <w:pBdr>
          <w:top w:val="nil"/>
          <w:left w:val="nil"/>
          <w:bottom w:val="nil"/>
          <w:right w:val="nil"/>
          <w:between w:val="nil"/>
        </w:pBdr>
        <w:spacing w:after="0"/>
        <w:ind w:left="851" w:right="843"/>
        <w:jc w:val="both"/>
        <w:rPr>
          <w:rFonts w:ascii="Palatino Linotype" w:eastAsia="Palatino Linotype" w:hAnsi="Palatino Linotype" w:cs="Palatino Linotype"/>
          <w:i/>
        </w:rPr>
      </w:pPr>
      <w:bookmarkStart w:id="4" w:name="_heading=h.pzdfzumtitwq" w:colFirst="0" w:colLast="0"/>
      <w:bookmarkEnd w:id="4"/>
      <w:r w:rsidRPr="00D82BA9">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D82BA9">
        <w:rPr>
          <w:rFonts w:ascii="Palatino Linotype" w:eastAsia="Palatino Linotype" w:hAnsi="Palatino Linotype" w:cs="Palatino Linotype"/>
          <w:b/>
          <w:i/>
        </w:rPr>
        <w:t>LA PARTE RECURRENTE</w:t>
      </w:r>
      <w:r w:rsidRPr="00D82BA9">
        <w:rPr>
          <w:rFonts w:ascii="Palatino Linotype" w:eastAsia="Palatino Linotype" w:hAnsi="Palatino Linotype" w:cs="Palatino Linotype"/>
          <w:i/>
        </w:rPr>
        <w:t>.</w:t>
      </w:r>
    </w:p>
    <w:p w14:paraId="0F4AEF18" w14:textId="77777777" w:rsidR="00A74431" w:rsidRPr="00D82BA9" w:rsidRDefault="00A74431">
      <w:pPr>
        <w:spacing w:after="0" w:line="360" w:lineRule="auto"/>
        <w:ind w:right="51"/>
        <w:jc w:val="both"/>
        <w:rPr>
          <w:rFonts w:ascii="Palatino Linotype" w:eastAsia="Palatino Linotype" w:hAnsi="Palatino Linotype" w:cs="Palatino Linotype"/>
        </w:rPr>
      </w:pPr>
    </w:p>
    <w:p w14:paraId="48C312D5" w14:textId="77777777" w:rsidR="00A74431" w:rsidRPr="00D82BA9" w:rsidRDefault="00120BB6">
      <w:pPr>
        <w:spacing w:after="0" w:line="360" w:lineRule="auto"/>
        <w:ind w:right="49"/>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TERCERO.  Notifíquese vía SAIMEX, </w:t>
      </w:r>
      <w:r w:rsidRPr="00D82BA9">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B6482C" w14:textId="77777777" w:rsidR="00A74431" w:rsidRPr="00D82BA9" w:rsidRDefault="00A74431">
      <w:pPr>
        <w:spacing w:after="0" w:line="360" w:lineRule="auto"/>
        <w:ind w:right="49"/>
        <w:jc w:val="both"/>
        <w:rPr>
          <w:rFonts w:ascii="Palatino Linotype" w:eastAsia="Palatino Linotype" w:hAnsi="Palatino Linotype" w:cs="Palatino Linotype"/>
        </w:rPr>
      </w:pPr>
    </w:p>
    <w:p w14:paraId="31FBB52C" w14:textId="77777777" w:rsidR="00A74431" w:rsidRPr="00D82BA9" w:rsidRDefault="00120BB6">
      <w:pP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CUARTO. </w:t>
      </w:r>
      <w:r w:rsidRPr="00D82BA9">
        <w:rPr>
          <w:rFonts w:ascii="Palatino Linotype" w:eastAsia="Palatino Linotype" w:hAnsi="Palatino Linotype" w:cs="Palatino Linotype"/>
        </w:rPr>
        <w:t xml:space="preserve">Notifíquese vía </w:t>
      </w:r>
      <w:r w:rsidRPr="00D82BA9">
        <w:rPr>
          <w:rFonts w:ascii="Palatino Linotype" w:eastAsia="Palatino Linotype" w:hAnsi="Palatino Linotype" w:cs="Palatino Linotype"/>
          <w:b/>
        </w:rPr>
        <w:t>SAIMEX,</w:t>
      </w:r>
      <w:r w:rsidRPr="00D82BA9">
        <w:rPr>
          <w:rFonts w:ascii="Palatino Linotype" w:eastAsia="Palatino Linotype" w:hAnsi="Palatino Linotype" w:cs="Palatino Linotype"/>
        </w:rPr>
        <w:t xml:space="preserve"> al Titular de la Unidad de Transparencia del </w:t>
      </w:r>
      <w:r w:rsidRPr="00D82BA9">
        <w:rPr>
          <w:rFonts w:ascii="Palatino Linotype" w:eastAsia="Palatino Linotype" w:hAnsi="Palatino Linotype" w:cs="Palatino Linotype"/>
          <w:b/>
        </w:rPr>
        <w:t>Sujeto Obligado</w:t>
      </w:r>
      <w:r w:rsidRPr="00D82BA9">
        <w:rPr>
          <w:rFonts w:ascii="Palatino Linotype" w:eastAsia="Palatino Linotype" w:hAnsi="Palatino Linotype" w:cs="Palatino Linotype"/>
        </w:rPr>
        <w:t xml:space="preserve">, que de conformidad con el artículo 198 de la Ley de Transparencia y Acceso a la Información Pública del Estado de México y Municipios, de considerarlo procedente, de </w:t>
      </w:r>
      <w:r w:rsidRPr="00D82BA9">
        <w:rPr>
          <w:rFonts w:ascii="Palatino Linotype" w:eastAsia="Palatino Linotype" w:hAnsi="Palatino Linotype" w:cs="Palatino Linotype"/>
        </w:rPr>
        <w:lastRenderedPageBreak/>
        <w:t>manera fundada y motivada, podrá solicitar una ampliación de plazo para el cumplimiento de la presente resolución.</w:t>
      </w:r>
    </w:p>
    <w:p w14:paraId="2062361F" w14:textId="77777777" w:rsidR="00A74431" w:rsidRPr="00D82BA9" w:rsidRDefault="00A74431">
      <w:pPr>
        <w:spacing w:after="0" w:line="360" w:lineRule="auto"/>
        <w:jc w:val="both"/>
        <w:rPr>
          <w:rFonts w:ascii="Palatino Linotype" w:eastAsia="Palatino Linotype" w:hAnsi="Palatino Linotype" w:cs="Palatino Linotype"/>
        </w:rPr>
      </w:pPr>
    </w:p>
    <w:p w14:paraId="72C314A2" w14:textId="77777777" w:rsidR="00A74431" w:rsidRPr="00D82BA9" w:rsidRDefault="00120BB6">
      <w:pPr>
        <w:pBdr>
          <w:top w:val="nil"/>
          <w:left w:val="nil"/>
          <w:bottom w:val="nil"/>
          <w:right w:val="nil"/>
          <w:between w:val="nil"/>
        </w:pBdr>
        <w:spacing w:after="0" w:line="360" w:lineRule="auto"/>
        <w:jc w:val="both"/>
        <w:rPr>
          <w:rFonts w:ascii="Palatino Linotype" w:eastAsia="Palatino Linotype" w:hAnsi="Palatino Linotype" w:cs="Palatino Linotype"/>
        </w:rPr>
      </w:pPr>
      <w:r w:rsidRPr="00D82BA9">
        <w:rPr>
          <w:rFonts w:ascii="Palatino Linotype" w:eastAsia="Palatino Linotype" w:hAnsi="Palatino Linotype" w:cs="Palatino Linotype"/>
          <w:b/>
        </w:rPr>
        <w:t xml:space="preserve">QUINTO. Notifíquese, </w:t>
      </w:r>
      <w:r w:rsidRPr="00D82BA9">
        <w:rPr>
          <w:rFonts w:ascii="Palatino Linotype" w:eastAsia="Palatino Linotype" w:hAnsi="Palatino Linotype" w:cs="Palatino Linotype"/>
        </w:rPr>
        <w:t xml:space="preserve">vía </w:t>
      </w:r>
      <w:r w:rsidRPr="00D82BA9">
        <w:rPr>
          <w:rFonts w:ascii="Palatino Linotype" w:eastAsia="Palatino Linotype" w:hAnsi="Palatino Linotype" w:cs="Palatino Linotype"/>
          <w:b/>
        </w:rPr>
        <w:t>SAIMEX</w:t>
      </w:r>
      <w:r w:rsidRPr="00D82BA9">
        <w:rPr>
          <w:rFonts w:ascii="Palatino Linotype" w:eastAsia="Palatino Linotype" w:hAnsi="Palatino Linotype" w:cs="Palatino Linotype"/>
        </w:rPr>
        <w:t>, a la parte</w:t>
      </w:r>
      <w:r w:rsidRPr="00D82BA9">
        <w:rPr>
          <w:rFonts w:ascii="Palatino Linotype" w:eastAsia="Palatino Linotype" w:hAnsi="Palatino Linotype" w:cs="Palatino Linotype"/>
          <w:b/>
        </w:rPr>
        <w:t xml:space="preserve"> RECURRENTE</w:t>
      </w:r>
      <w:r w:rsidRPr="00D82BA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0FB6EBB" w14:textId="77777777" w:rsidR="00A74431" w:rsidRPr="00D82BA9" w:rsidRDefault="00A74431">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8D3DAB9" w14:textId="77777777" w:rsidR="00A74431" w:rsidRPr="00DE7DD2" w:rsidRDefault="00120BB6">
      <w:pPr>
        <w:spacing w:after="0" w:line="360" w:lineRule="auto"/>
        <w:ind w:right="49"/>
        <w:jc w:val="both"/>
        <w:rPr>
          <w:rFonts w:ascii="Palatino Linotype" w:eastAsia="Palatino Linotype" w:hAnsi="Palatino Linotype" w:cs="Palatino Linotype"/>
        </w:rPr>
      </w:pPr>
      <w:bookmarkStart w:id="5" w:name="_heading=h.gjdgxs" w:colFirst="0" w:colLast="0"/>
      <w:bookmarkEnd w:id="5"/>
      <w:r w:rsidRPr="00D82BA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CATORCE DE MAYO DE DOS MIL VEINTICINCO, ANTE EL SECRETARIO TÉCNICO DEL PLENO ALEXIS TAPIA RAMÍREZ.</w:t>
      </w:r>
      <w:r w:rsidRPr="00DE7DD2">
        <w:rPr>
          <w:rFonts w:ascii="Palatino Linotype" w:eastAsia="Palatino Linotype" w:hAnsi="Palatino Linotype" w:cs="Palatino Linotype"/>
        </w:rPr>
        <w:t xml:space="preserve"> </w:t>
      </w:r>
    </w:p>
    <w:p w14:paraId="427A9611" w14:textId="77777777" w:rsidR="00A74431" w:rsidRPr="00DE7DD2" w:rsidRDefault="00A74431">
      <w:pPr>
        <w:spacing w:after="0" w:line="360" w:lineRule="auto"/>
        <w:ind w:right="49"/>
        <w:jc w:val="both"/>
        <w:rPr>
          <w:rFonts w:ascii="Palatino Linotype" w:eastAsia="Palatino Linotype" w:hAnsi="Palatino Linotype" w:cs="Palatino Linotype"/>
        </w:rPr>
      </w:pPr>
    </w:p>
    <w:p w14:paraId="73DBE01E" w14:textId="77777777" w:rsidR="00A74431" w:rsidRPr="00DE7DD2" w:rsidRDefault="00A74431">
      <w:pPr>
        <w:spacing w:after="0" w:line="360" w:lineRule="auto"/>
        <w:ind w:right="49"/>
        <w:jc w:val="both"/>
        <w:rPr>
          <w:rFonts w:ascii="Palatino Linotype" w:eastAsia="Palatino Linotype" w:hAnsi="Palatino Linotype" w:cs="Palatino Linotype"/>
        </w:rPr>
      </w:pPr>
    </w:p>
    <w:p w14:paraId="5531C5D9" w14:textId="77777777" w:rsidR="00A74431" w:rsidRPr="00DE7DD2" w:rsidRDefault="00A74431">
      <w:pPr>
        <w:spacing w:after="0" w:line="360" w:lineRule="auto"/>
        <w:ind w:right="49"/>
        <w:jc w:val="both"/>
        <w:rPr>
          <w:rFonts w:ascii="Palatino Linotype" w:eastAsia="Palatino Linotype" w:hAnsi="Palatino Linotype" w:cs="Palatino Linotype"/>
        </w:rPr>
      </w:pPr>
    </w:p>
    <w:p w14:paraId="718005D9" w14:textId="77777777" w:rsidR="00A74431" w:rsidRPr="00DE7DD2" w:rsidRDefault="00A74431">
      <w:pPr>
        <w:spacing w:after="0" w:line="360" w:lineRule="auto"/>
        <w:ind w:right="49"/>
        <w:jc w:val="both"/>
        <w:rPr>
          <w:rFonts w:ascii="Palatino Linotype" w:eastAsia="Palatino Linotype" w:hAnsi="Palatino Linotype" w:cs="Palatino Linotype"/>
        </w:rPr>
      </w:pPr>
    </w:p>
    <w:p w14:paraId="576D44E0" w14:textId="77777777" w:rsidR="00A74431" w:rsidRPr="00DE7DD2" w:rsidRDefault="00A74431">
      <w:pPr>
        <w:spacing w:after="0" w:line="360" w:lineRule="auto"/>
        <w:ind w:right="49"/>
        <w:jc w:val="both"/>
        <w:rPr>
          <w:rFonts w:ascii="Palatino Linotype" w:eastAsia="Palatino Linotype" w:hAnsi="Palatino Linotype" w:cs="Palatino Linotype"/>
        </w:rPr>
      </w:pPr>
    </w:p>
    <w:p w14:paraId="15F826B6" w14:textId="77777777" w:rsidR="00A74431" w:rsidRPr="00DE7DD2" w:rsidRDefault="00A74431">
      <w:pPr>
        <w:spacing w:after="0" w:line="360" w:lineRule="auto"/>
        <w:ind w:right="49"/>
        <w:jc w:val="both"/>
        <w:rPr>
          <w:rFonts w:ascii="Palatino Linotype" w:eastAsia="Palatino Linotype" w:hAnsi="Palatino Linotype" w:cs="Palatino Linotype"/>
        </w:rPr>
      </w:pPr>
    </w:p>
    <w:p w14:paraId="6BF1C5B8" w14:textId="77777777" w:rsidR="00A74431" w:rsidRPr="00DE7DD2" w:rsidRDefault="00A74431">
      <w:pPr>
        <w:spacing w:after="0" w:line="360" w:lineRule="auto"/>
        <w:ind w:right="49"/>
        <w:jc w:val="both"/>
        <w:rPr>
          <w:rFonts w:ascii="Palatino Linotype" w:eastAsia="Palatino Linotype" w:hAnsi="Palatino Linotype" w:cs="Palatino Linotype"/>
        </w:rPr>
      </w:pPr>
    </w:p>
    <w:p w14:paraId="353B0720" w14:textId="77777777" w:rsidR="00A74431" w:rsidRPr="00DE7DD2" w:rsidRDefault="00A74431">
      <w:pPr>
        <w:spacing w:after="0" w:line="360" w:lineRule="auto"/>
        <w:ind w:right="49"/>
        <w:jc w:val="both"/>
        <w:rPr>
          <w:rFonts w:ascii="Palatino Linotype" w:eastAsia="Palatino Linotype" w:hAnsi="Palatino Linotype" w:cs="Palatino Linotype"/>
        </w:rPr>
      </w:pPr>
    </w:p>
    <w:p w14:paraId="348D2407" w14:textId="77777777" w:rsidR="00A74431" w:rsidRPr="00DE7DD2" w:rsidRDefault="00A74431">
      <w:pPr>
        <w:spacing w:after="0" w:line="360" w:lineRule="auto"/>
        <w:ind w:right="49"/>
        <w:jc w:val="both"/>
        <w:rPr>
          <w:rFonts w:ascii="Palatino Linotype" w:eastAsia="Palatino Linotype" w:hAnsi="Palatino Linotype" w:cs="Palatino Linotype"/>
        </w:rPr>
      </w:pPr>
    </w:p>
    <w:p w14:paraId="25ABEC5F" w14:textId="77777777" w:rsidR="00A74431" w:rsidRPr="00DE7DD2" w:rsidRDefault="00A74431">
      <w:pPr>
        <w:spacing w:after="0" w:line="360" w:lineRule="auto"/>
        <w:ind w:right="49"/>
        <w:jc w:val="both"/>
        <w:rPr>
          <w:rFonts w:ascii="Palatino Linotype" w:eastAsia="Palatino Linotype" w:hAnsi="Palatino Linotype" w:cs="Palatino Linotype"/>
        </w:rPr>
      </w:pPr>
    </w:p>
    <w:p w14:paraId="4F97CB75" w14:textId="77777777" w:rsidR="00A74431" w:rsidRPr="00DE7DD2" w:rsidRDefault="00A74431">
      <w:pPr>
        <w:spacing w:after="0" w:line="360" w:lineRule="auto"/>
        <w:ind w:right="49"/>
        <w:jc w:val="both"/>
        <w:rPr>
          <w:rFonts w:ascii="Palatino Linotype" w:eastAsia="Palatino Linotype" w:hAnsi="Palatino Linotype" w:cs="Palatino Linotype"/>
        </w:rPr>
      </w:pPr>
    </w:p>
    <w:p w14:paraId="0D652445" w14:textId="77777777" w:rsidR="00A74431" w:rsidRPr="00DE7DD2" w:rsidRDefault="00A74431">
      <w:pPr>
        <w:spacing w:after="0" w:line="360" w:lineRule="auto"/>
        <w:ind w:right="49"/>
        <w:jc w:val="both"/>
        <w:rPr>
          <w:rFonts w:ascii="Palatino Linotype" w:eastAsia="Palatino Linotype" w:hAnsi="Palatino Linotype" w:cs="Palatino Linotype"/>
        </w:rPr>
      </w:pPr>
    </w:p>
    <w:p w14:paraId="7C2D1998" w14:textId="77777777" w:rsidR="00A74431" w:rsidRPr="00DE7DD2" w:rsidRDefault="00A74431">
      <w:pPr>
        <w:spacing w:after="0" w:line="360" w:lineRule="auto"/>
        <w:ind w:right="49"/>
        <w:jc w:val="both"/>
        <w:rPr>
          <w:rFonts w:ascii="Palatino Linotype" w:eastAsia="Palatino Linotype" w:hAnsi="Palatino Linotype" w:cs="Palatino Linotype"/>
        </w:rPr>
      </w:pPr>
    </w:p>
    <w:p w14:paraId="693BD4B4" w14:textId="77777777" w:rsidR="00A74431" w:rsidRPr="00DE7DD2" w:rsidRDefault="00A74431">
      <w:pPr>
        <w:spacing w:after="0" w:line="360" w:lineRule="auto"/>
        <w:ind w:right="49"/>
        <w:jc w:val="both"/>
        <w:rPr>
          <w:rFonts w:ascii="Palatino Linotype" w:eastAsia="Palatino Linotype" w:hAnsi="Palatino Linotype" w:cs="Palatino Linotype"/>
        </w:rPr>
      </w:pPr>
    </w:p>
    <w:p w14:paraId="375BDA3A" w14:textId="77777777" w:rsidR="00A74431" w:rsidRPr="00DE7DD2" w:rsidRDefault="00A74431">
      <w:pPr>
        <w:spacing w:after="0" w:line="360" w:lineRule="auto"/>
        <w:ind w:right="49"/>
        <w:jc w:val="both"/>
        <w:rPr>
          <w:rFonts w:ascii="Palatino Linotype" w:eastAsia="Palatino Linotype" w:hAnsi="Palatino Linotype" w:cs="Palatino Linotype"/>
        </w:rPr>
      </w:pPr>
    </w:p>
    <w:p w14:paraId="59CFBEEE" w14:textId="77777777" w:rsidR="00A74431" w:rsidRPr="00DE7DD2" w:rsidRDefault="00A74431">
      <w:pPr>
        <w:spacing w:after="0" w:line="360" w:lineRule="auto"/>
        <w:ind w:right="49"/>
        <w:jc w:val="both"/>
        <w:rPr>
          <w:rFonts w:ascii="Palatino Linotype" w:eastAsia="Palatino Linotype" w:hAnsi="Palatino Linotype" w:cs="Palatino Linotype"/>
        </w:rPr>
      </w:pPr>
    </w:p>
    <w:sectPr w:rsidR="00A74431" w:rsidRPr="00DE7DD2">
      <w:headerReference w:type="default" r:id="rId12"/>
      <w:footerReference w:type="default" r:id="rId13"/>
      <w:headerReference w:type="first" r:id="rId14"/>
      <w:footerReference w:type="first" r:id="rId15"/>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FB911" w14:textId="77777777" w:rsidR="001C6992" w:rsidRDefault="001C6992">
      <w:pPr>
        <w:spacing w:after="0" w:line="240" w:lineRule="auto"/>
      </w:pPr>
      <w:r>
        <w:separator/>
      </w:r>
    </w:p>
  </w:endnote>
  <w:endnote w:type="continuationSeparator" w:id="0">
    <w:p w14:paraId="7FD357CC" w14:textId="77777777" w:rsidR="001C6992" w:rsidRDefault="001C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DE3" w14:textId="77777777" w:rsidR="00A74431" w:rsidRDefault="00120BB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82BA9">
      <w:rPr>
        <w:b/>
        <w:noProof/>
        <w:color w:val="000000"/>
        <w:sz w:val="24"/>
        <w:szCs w:val="24"/>
      </w:rPr>
      <w:t>43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82BA9">
      <w:rPr>
        <w:b/>
        <w:noProof/>
        <w:color w:val="000000"/>
        <w:sz w:val="24"/>
        <w:szCs w:val="24"/>
      </w:rPr>
      <w:t>45</w:t>
    </w:r>
    <w:r>
      <w:rPr>
        <w:b/>
        <w:color w:val="000000"/>
        <w:sz w:val="24"/>
        <w:szCs w:val="24"/>
      </w:rPr>
      <w:fldChar w:fldCharType="end"/>
    </w:r>
  </w:p>
  <w:p w14:paraId="066AEE6E" w14:textId="77777777" w:rsidR="00A74431" w:rsidRDefault="00A7443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710AD" w14:textId="77777777" w:rsidR="00A74431" w:rsidRDefault="00120BB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D82BA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D82BA9">
      <w:rPr>
        <w:b/>
        <w:noProof/>
        <w:color w:val="000000"/>
        <w:sz w:val="24"/>
        <w:szCs w:val="24"/>
      </w:rPr>
      <w:t>45</w:t>
    </w:r>
    <w:r>
      <w:rPr>
        <w:b/>
        <w:color w:val="000000"/>
        <w:sz w:val="24"/>
        <w:szCs w:val="24"/>
      </w:rPr>
      <w:fldChar w:fldCharType="end"/>
    </w:r>
  </w:p>
  <w:p w14:paraId="26D77C17" w14:textId="77777777" w:rsidR="00A74431" w:rsidRDefault="00A7443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58602" w14:textId="77777777" w:rsidR="001C6992" w:rsidRDefault="001C6992">
      <w:pPr>
        <w:spacing w:after="0" w:line="240" w:lineRule="auto"/>
      </w:pPr>
      <w:r>
        <w:separator/>
      </w:r>
    </w:p>
  </w:footnote>
  <w:footnote w:type="continuationSeparator" w:id="0">
    <w:p w14:paraId="5D86B29A" w14:textId="77777777" w:rsidR="001C6992" w:rsidRDefault="001C69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6BFD" w14:textId="77777777" w:rsidR="00A74431" w:rsidRDefault="00120BB6">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6659750E" wp14:editId="10EC7C78">
          <wp:simplePos x="0" y="0"/>
          <wp:positionH relativeFrom="column">
            <wp:posOffset>-717547</wp:posOffset>
          </wp:positionH>
          <wp:positionV relativeFrom="paragraph">
            <wp:posOffset>-250187</wp:posOffset>
          </wp:positionV>
          <wp:extent cx="7809876" cy="10165823"/>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A74431" w14:paraId="4FF7CFEB" w14:textId="77777777">
      <w:tc>
        <w:tcPr>
          <w:tcW w:w="2551" w:type="dxa"/>
          <w:vAlign w:val="center"/>
        </w:tcPr>
        <w:p w14:paraId="5DB28048"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3F02CEA"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02654/INFOEM/IP/RR/2025</w:t>
          </w:r>
        </w:p>
      </w:tc>
    </w:tr>
    <w:tr w:rsidR="00A74431" w14:paraId="5AFA85D1" w14:textId="77777777">
      <w:trPr>
        <w:trHeight w:val="217"/>
      </w:trPr>
      <w:tc>
        <w:tcPr>
          <w:tcW w:w="2551" w:type="dxa"/>
          <w:vAlign w:val="center"/>
        </w:tcPr>
        <w:p w14:paraId="70F04C13"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DA36FB6" w14:textId="77777777" w:rsidR="00A74431" w:rsidRDefault="00A7443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20167DF" w14:textId="77777777" w:rsidR="00A74431" w:rsidRDefault="00120BB6">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A74431" w14:paraId="64E7391B" w14:textId="77777777">
      <w:tc>
        <w:tcPr>
          <w:tcW w:w="2551" w:type="dxa"/>
          <w:vAlign w:val="center"/>
        </w:tcPr>
        <w:p w14:paraId="57EC786B"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5D48461"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5869FAC" w14:textId="77777777" w:rsidR="00A74431" w:rsidRDefault="00A7443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8B6A" w14:textId="77777777" w:rsidR="00A74431" w:rsidRDefault="00120BB6">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B6FCE06" wp14:editId="6B3FB27D">
          <wp:simplePos x="0" y="0"/>
          <wp:positionH relativeFrom="column">
            <wp:posOffset>-725802</wp:posOffset>
          </wp:positionH>
          <wp:positionV relativeFrom="paragraph">
            <wp:posOffset>-29839</wp:posOffset>
          </wp:positionV>
          <wp:extent cx="7809865" cy="1016571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A74431" w14:paraId="48343B5A" w14:textId="77777777">
      <w:tc>
        <w:tcPr>
          <w:tcW w:w="2551" w:type="dxa"/>
          <w:vAlign w:val="center"/>
        </w:tcPr>
        <w:p w14:paraId="7A4B4CCD"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35CE58DF"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02654/INFOEM/IP/RR/2025</w:t>
          </w:r>
        </w:p>
      </w:tc>
    </w:tr>
    <w:tr w:rsidR="00A74431" w14:paraId="2C7477CE" w14:textId="77777777">
      <w:tc>
        <w:tcPr>
          <w:tcW w:w="2551" w:type="dxa"/>
          <w:vAlign w:val="center"/>
        </w:tcPr>
        <w:p w14:paraId="16D5CB75"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2EB003A" w14:textId="77777777" w:rsidR="00A74431" w:rsidRDefault="00A74431">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A74431" w14:paraId="5EC6EED3" w14:textId="77777777">
      <w:trPr>
        <w:trHeight w:val="152"/>
      </w:trPr>
      <w:tc>
        <w:tcPr>
          <w:tcW w:w="2551" w:type="dxa"/>
          <w:vAlign w:val="center"/>
        </w:tcPr>
        <w:p w14:paraId="0B24DF4C" w14:textId="77777777" w:rsidR="00A74431" w:rsidRDefault="00120BB6">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09728B3" w14:textId="77777777" w:rsidR="00A74431" w:rsidRDefault="00A74431">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2011672" w14:textId="77777777" w:rsidR="00A74431" w:rsidRDefault="00120BB6">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A74431" w14:paraId="77403A20" w14:textId="77777777">
      <w:tc>
        <w:tcPr>
          <w:tcW w:w="2551" w:type="dxa"/>
          <w:vAlign w:val="center"/>
        </w:tcPr>
        <w:p w14:paraId="10C50593"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173819C" w14:textId="77777777" w:rsidR="00A74431" w:rsidRDefault="00120BB6">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602D296" w14:textId="77777777" w:rsidR="00A74431" w:rsidRDefault="00120BB6">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44042"/>
    <w:multiLevelType w:val="multilevel"/>
    <w:tmpl w:val="B8262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4B6721"/>
    <w:multiLevelType w:val="multilevel"/>
    <w:tmpl w:val="5F5CB65A"/>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2E33172"/>
    <w:multiLevelType w:val="multilevel"/>
    <w:tmpl w:val="359ACB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747907CC"/>
    <w:multiLevelType w:val="multilevel"/>
    <w:tmpl w:val="7EAAE1CA"/>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431"/>
    <w:rsid w:val="00120BB6"/>
    <w:rsid w:val="00126337"/>
    <w:rsid w:val="001C6992"/>
    <w:rsid w:val="00A74431"/>
    <w:rsid w:val="00CD17AE"/>
    <w:rsid w:val="00D82BA9"/>
    <w:rsid w:val="00DE7DD2"/>
    <w:rsid w:val="00E306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33667"/>
  <w15:docId w15:val="{7ADA1EDF-FF3E-4040-9D28-273DF421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5D09"/>
  </w:style>
  <w:style w:type="table" w:customStyle="1" w:styleId="a2">
    <w:basedOn w:val="TableNormal1"/>
    <w:tblPr>
      <w:tblStyleRowBandSize w:val="1"/>
      <w:tblStyleColBandSize w:val="1"/>
      <w:tblCellMar>
        <w:top w:w="15" w:type="dxa"/>
        <w:left w:w="115" w:type="dxa"/>
        <w:bottom w:w="15" w:type="dxa"/>
        <w:right w:w="115"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 w:type="table" w:customStyle="1" w:styleId="a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9s/opU8YeCk2EToi8+0Ohnnzw==">CgMxLjAyCWguMzBqMHpsbDIOaC52bnV2d2ViMDFxaTkyCWguNGQzNG9nODIOaC51dW8zMW1sdzQ3ZXMyDmgucHpkZnp1bXRpdHdxMghoLmdqZGd4czgAciExZzBuUFY5V2g1bVJxbkUzeks3MjdxWk5vSlFXY01rYWc=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12747</Words>
  <Characters>70113</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2025-05-16T19:45:00Z</cp:lastPrinted>
  <dcterms:created xsi:type="dcterms:W3CDTF">2025-06-03T17:19:00Z</dcterms:created>
  <dcterms:modified xsi:type="dcterms:W3CDTF">2025-06-03T17:19:00Z</dcterms:modified>
</cp:coreProperties>
</file>