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EE58D" w14:textId="77777777" w:rsidR="00506B11" w:rsidRPr="006025DF" w:rsidRDefault="006025DF" w:rsidP="006025DF">
      <w:pPr>
        <w:keepNext/>
        <w:keepLines/>
        <w:pBdr>
          <w:top w:val="nil"/>
          <w:left w:val="nil"/>
          <w:bottom w:val="nil"/>
          <w:right w:val="nil"/>
          <w:between w:val="nil"/>
        </w:pBdr>
        <w:spacing w:before="240" w:line="259" w:lineRule="auto"/>
        <w:jc w:val="left"/>
        <w:rPr>
          <w:rFonts w:ascii="Calibri" w:eastAsia="Calibri" w:hAnsi="Calibri" w:cs="Calibri"/>
          <w:sz w:val="32"/>
          <w:szCs w:val="32"/>
        </w:rPr>
      </w:pPr>
      <w:r w:rsidRPr="006025DF">
        <w:rPr>
          <w:rFonts w:ascii="Calibri" w:eastAsia="Calibri" w:hAnsi="Calibri" w:cs="Calibri"/>
          <w:sz w:val="32"/>
          <w:szCs w:val="32"/>
        </w:rPr>
        <w:t>Contenido</w:t>
      </w:r>
    </w:p>
    <w:sdt>
      <w:sdtPr>
        <w:id w:val="1901476248"/>
        <w:docPartObj>
          <w:docPartGallery w:val="Table of Contents"/>
          <w:docPartUnique/>
        </w:docPartObj>
      </w:sdtPr>
      <w:sdtEndPr/>
      <w:sdtContent>
        <w:p w14:paraId="0BB92AF1" w14:textId="77777777" w:rsidR="00506B11" w:rsidRPr="006025DF" w:rsidRDefault="006025DF" w:rsidP="006025DF">
          <w:pPr>
            <w:pBdr>
              <w:top w:val="nil"/>
              <w:left w:val="nil"/>
              <w:bottom w:val="nil"/>
              <w:right w:val="nil"/>
              <w:between w:val="nil"/>
            </w:pBdr>
            <w:tabs>
              <w:tab w:val="right" w:pos="9034"/>
            </w:tabs>
            <w:spacing w:after="100"/>
            <w:rPr>
              <w:rFonts w:ascii="Cambria" w:eastAsia="Cambria" w:hAnsi="Cambria" w:cs="Cambria"/>
            </w:rPr>
          </w:pPr>
          <w:r w:rsidRPr="006025DF">
            <w:fldChar w:fldCharType="begin"/>
          </w:r>
          <w:r w:rsidRPr="006025DF">
            <w:instrText xml:space="preserve"> TOC \h \u \z \t "Heading 1,1,Heading 2,2,Heading 3,3,"</w:instrText>
          </w:r>
          <w:r w:rsidRPr="006025DF">
            <w:fldChar w:fldCharType="separate"/>
          </w:r>
          <w:hyperlink w:anchor="_dzv4qguz05qp">
            <w:r w:rsidRPr="006025DF">
              <w:t>ANTECEDENTES</w:t>
            </w:r>
            <w:r w:rsidRPr="006025DF">
              <w:tab/>
              <w:t>1</w:t>
            </w:r>
          </w:hyperlink>
        </w:p>
        <w:p w14:paraId="59B1156C" w14:textId="77777777" w:rsidR="00506B11" w:rsidRPr="006025DF" w:rsidRDefault="006D36F3" w:rsidP="006025DF">
          <w:pPr>
            <w:pBdr>
              <w:top w:val="nil"/>
              <w:left w:val="nil"/>
              <w:bottom w:val="nil"/>
              <w:right w:val="nil"/>
              <w:between w:val="nil"/>
            </w:pBdr>
            <w:tabs>
              <w:tab w:val="right" w:pos="9034"/>
            </w:tabs>
            <w:spacing w:after="100"/>
            <w:ind w:left="220"/>
            <w:rPr>
              <w:rFonts w:ascii="Cambria" w:eastAsia="Cambria" w:hAnsi="Cambria" w:cs="Cambria"/>
            </w:rPr>
          </w:pPr>
          <w:hyperlink w:anchor="_mfmvy3fbb16j">
            <w:r w:rsidR="006025DF" w:rsidRPr="006025DF">
              <w:t>DE LA SOLICITUD DE INFORMACIÓN</w:t>
            </w:r>
            <w:r w:rsidR="006025DF" w:rsidRPr="006025DF">
              <w:tab/>
              <w:t>1</w:t>
            </w:r>
          </w:hyperlink>
        </w:p>
        <w:p w14:paraId="798FC113"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8qyt7taujs3y">
            <w:r w:rsidR="006025DF" w:rsidRPr="006025DF">
              <w:t>a) Solicitud de información</w:t>
            </w:r>
            <w:r w:rsidR="006025DF" w:rsidRPr="006025DF">
              <w:tab/>
              <w:t>1</w:t>
            </w:r>
          </w:hyperlink>
        </w:p>
        <w:p w14:paraId="1AEEE4E0"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q5lplpp6nhpa">
            <w:r w:rsidR="006025DF" w:rsidRPr="006025DF">
              <w:t>b) Respuesta del Sujeto Obligado</w:t>
            </w:r>
            <w:r w:rsidR="006025DF" w:rsidRPr="006025DF">
              <w:tab/>
              <w:t>2</w:t>
            </w:r>
          </w:hyperlink>
        </w:p>
        <w:p w14:paraId="59CF194D" w14:textId="77777777" w:rsidR="00506B11" w:rsidRPr="006025DF" w:rsidRDefault="006D36F3" w:rsidP="006025DF">
          <w:pPr>
            <w:pBdr>
              <w:top w:val="nil"/>
              <w:left w:val="nil"/>
              <w:bottom w:val="nil"/>
              <w:right w:val="nil"/>
              <w:between w:val="nil"/>
            </w:pBdr>
            <w:tabs>
              <w:tab w:val="right" w:pos="9034"/>
            </w:tabs>
            <w:spacing w:after="100"/>
            <w:ind w:left="220"/>
            <w:rPr>
              <w:rFonts w:ascii="Cambria" w:eastAsia="Cambria" w:hAnsi="Cambria" w:cs="Cambria"/>
            </w:rPr>
          </w:pPr>
          <w:hyperlink w:anchor="_5cnxwh73yubm">
            <w:r w:rsidR="006025DF" w:rsidRPr="006025DF">
              <w:t>DEL RECURSO DE REVISIÓN</w:t>
            </w:r>
            <w:r w:rsidR="006025DF" w:rsidRPr="006025DF">
              <w:tab/>
              <w:t>4</w:t>
            </w:r>
          </w:hyperlink>
        </w:p>
        <w:p w14:paraId="790A7417"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ay71ogi9jh2k">
            <w:r w:rsidR="006025DF" w:rsidRPr="006025DF">
              <w:t>a) Interposición del Recurso de Revisión</w:t>
            </w:r>
            <w:r w:rsidR="006025DF" w:rsidRPr="006025DF">
              <w:tab/>
              <w:t>4</w:t>
            </w:r>
          </w:hyperlink>
        </w:p>
        <w:p w14:paraId="21147D62"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nj86fefgljmp">
            <w:r w:rsidR="006025DF" w:rsidRPr="006025DF">
              <w:t>b) Turno del Recurso de Revisión</w:t>
            </w:r>
            <w:r w:rsidR="006025DF" w:rsidRPr="006025DF">
              <w:tab/>
              <w:t>4</w:t>
            </w:r>
          </w:hyperlink>
        </w:p>
        <w:p w14:paraId="2A1AE927"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dvd1qoh0bl4g">
            <w:r w:rsidR="006025DF" w:rsidRPr="006025DF">
              <w:t>c) Admisión del Recurso de Revisión</w:t>
            </w:r>
            <w:r w:rsidR="006025DF" w:rsidRPr="006025DF">
              <w:tab/>
              <w:t>5</w:t>
            </w:r>
          </w:hyperlink>
        </w:p>
        <w:p w14:paraId="656F3AC2"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gj7otuvrz3n7">
            <w:r w:rsidR="006025DF" w:rsidRPr="006025DF">
              <w:t>d) Informe Justificado del Sujeto Obligado</w:t>
            </w:r>
            <w:r w:rsidR="006025DF" w:rsidRPr="006025DF">
              <w:tab/>
              <w:t>5</w:t>
            </w:r>
          </w:hyperlink>
        </w:p>
        <w:p w14:paraId="772E0A27"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4koy7dhdbzd2">
            <w:r w:rsidR="006025DF" w:rsidRPr="006025DF">
              <w:t>e) Manifestaciones de la Parte Recurrente</w:t>
            </w:r>
            <w:r w:rsidR="006025DF" w:rsidRPr="006025DF">
              <w:tab/>
              <w:t>6</w:t>
            </w:r>
          </w:hyperlink>
        </w:p>
        <w:p w14:paraId="3C4866AA"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13v5shpsl82w">
            <w:r w:rsidR="006025DF" w:rsidRPr="006025DF">
              <w:t>f) Cierre de instrucción</w:t>
            </w:r>
            <w:r w:rsidR="006025DF" w:rsidRPr="006025DF">
              <w:tab/>
              <w:t>6</w:t>
            </w:r>
          </w:hyperlink>
        </w:p>
        <w:p w14:paraId="40976232" w14:textId="77777777" w:rsidR="00506B11" w:rsidRPr="006025DF" w:rsidRDefault="006D36F3" w:rsidP="006025DF">
          <w:pPr>
            <w:pBdr>
              <w:top w:val="nil"/>
              <w:left w:val="nil"/>
              <w:bottom w:val="nil"/>
              <w:right w:val="nil"/>
              <w:between w:val="nil"/>
            </w:pBdr>
            <w:tabs>
              <w:tab w:val="right" w:pos="9034"/>
            </w:tabs>
            <w:spacing w:after="100"/>
            <w:rPr>
              <w:rFonts w:ascii="Cambria" w:eastAsia="Cambria" w:hAnsi="Cambria" w:cs="Cambria"/>
            </w:rPr>
          </w:pPr>
          <w:hyperlink w:anchor="_65knrzbtyxwy">
            <w:r w:rsidR="006025DF" w:rsidRPr="006025DF">
              <w:t>CONSIDERANDOS</w:t>
            </w:r>
            <w:r w:rsidR="006025DF" w:rsidRPr="006025DF">
              <w:tab/>
              <w:t>6</w:t>
            </w:r>
          </w:hyperlink>
        </w:p>
        <w:p w14:paraId="0A9EFB39" w14:textId="77777777" w:rsidR="00506B11" w:rsidRPr="006025DF" w:rsidRDefault="006D36F3" w:rsidP="006025DF">
          <w:pPr>
            <w:pBdr>
              <w:top w:val="nil"/>
              <w:left w:val="nil"/>
              <w:bottom w:val="nil"/>
              <w:right w:val="nil"/>
              <w:between w:val="nil"/>
            </w:pBdr>
            <w:tabs>
              <w:tab w:val="right" w:pos="9034"/>
            </w:tabs>
            <w:spacing w:after="100"/>
            <w:ind w:left="220"/>
            <w:rPr>
              <w:rFonts w:ascii="Cambria" w:eastAsia="Cambria" w:hAnsi="Cambria" w:cs="Cambria"/>
            </w:rPr>
          </w:pPr>
          <w:hyperlink w:anchor="_nk4ijjrzrvch">
            <w:r w:rsidR="006025DF" w:rsidRPr="006025DF">
              <w:t>PRIMERO. Procedibilidad</w:t>
            </w:r>
            <w:r w:rsidR="006025DF" w:rsidRPr="006025DF">
              <w:tab/>
              <w:t>6</w:t>
            </w:r>
          </w:hyperlink>
        </w:p>
        <w:p w14:paraId="10187222"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gb27p1scohex">
            <w:r w:rsidR="006025DF" w:rsidRPr="006025DF">
              <w:t>a) Competencia del Instituto</w:t>
            </w:r>
            <w:r w:rsidR="006025DF" w:rsidRPr="006025DF">
              <w:tab/>
              <w:t>6</w:t>
            </w:r>
          </w:hyperlink>
        </w:p>
        <w:p w14:paraId="14DF2D37"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7u14s9t0lzwu">
            <w:r w:rsidR="006025DF" w:rsidRPr="006025DF">
              <w:t>b) Legitimidad de la parte recurrente</w:t>
            </w:r>
            <w:r w:rsidR="006025DF" w:rsidRPr="006025DF">
              <w:tab/>
              <w:t>7</w:t>
            </w:r>
          </w:hyperlink>
        </w:p>
        <w:p w14:paraId="50D6468F"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aib31lnghfss">
            <w:r w:rsidR="006025DF" w:rsidRPr="006025DF">
              <w:t>c) Plazo para interponer el recurso</w:t>
            </w:r>
            <w:r w:rsidR="006025DF" w:rsidRPr="006025DF">
              <w:tab/>
              <w:t>7</w:t>
            </w:r>
          </w:hyperlink>
        </w:p>
        <w:p w14:paraId="475DC2E7"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niizhl4go6km">
            <w:r w:rsidR="006025DF" w:rsidRPr="006025DF">
              <w:t>d) Causal de Procedencia</w:t>
            </w:r>
            <w:r w:rsidR="006025DF" w:rsidRPr="006025DF">
              <w:tab/>
              <w:t>7</w:t>
            </w:r>
          </w:hyperlink>
        </w:p>
        <w:p w14:paraId="730AE16B"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d3v8vckfayoj">
            <w:r w:rsidR="006025DF" w:rsidRPr="006025DF">
              <w:t>e) Requisitos formales para la interposición del recurso</w:t>
            </w:r>
            <w:r w:rsidR="006025DF" w:rsidRPr="006025DF">
              <w:tab/>
              <w:t>7</w:t>
            </w:r>
          </w:hyperlink>
        </w:p>
        <w:p w14:paraId="0376CD58" w14:textId="77777777" w:rsidR="00506B11" w:rsidRPr="006025DF" w:rsidRDefault="006D36F3" w:rsidP="006025DF">
          <w:pPr>
            <w:pBdr>
              <w:top w:val="nil"/>
              <w:left w:val="nil"/>
              <w:bottom w:val="nil"/>
              <w:right w:val="nil"/>
              <w:between w:val="nil"/>
            </w:pBdr>
            <w:tabs>
              <w:tab w:val="right" w:pos="9034"/>
            </w:tabs>
            <w:spacing w:after="100"/>
            <w:ind w:left="220"/>
            <w:rPr>
              <w:rFonts w:ascii="Cambria" w:eastAsia="Cambria" w:hAnsi="Cambria" w:cs="Cambria"/>
            </w:rPr>
          </w:pPr>
          <w:hyperlink w:anchor="_2b1z425s6w89">
            <w:r w:rsidR="006025DF" w:rsidRPr="006025DF">
              <w:t>SEGUNDO. Estudio de Fondo</w:t>
            </w:r>
            <w:r w:rsidR="006025DF" w:rsidRPr="006025DF">
              <w:tab/>
              <w:t>8</w:t>
            </w:r>
          </w:hyperlink>
        </w:p>
        <w:p w14:paraId="7FB06C07"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fyuqy2qei3vv">
            <w:r w:rsidR="006025DF" w:rsidRPr="006025DF">
              <w:t>a) Mandato de transparencia y responsabilidad del Sujeto Obligado</w:t>
            </w:r>
            <w:r w:rsidR="006025DF" w:rsidRPr="006025DF">
              <w:tab/>
              <w:t>8</w:t>
            </w:r>
          </w:hyperlink>
        </w:p>
        <w:p w14:paraId="2E2D3830"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rrcdc4ngvr2w">
            <w:r w:rsidR="006025DF" w:rsidRPr="006025DF">
              <w:t>b) Controversia a resolver</w:t>
            </w:r>
            <w:r w:rsidR="006025DF" w:rsidRPr="006025DF">
              <w:tab/>
              <w:t>11</w:t>
            </w:r>
          </w:hyperlink>
        </w:p>
        <w:p w14:paraId="17D155CB"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p0stdzx2ivvu">
            <w:r w:rsidR="006025DF" w:rsidRPr="006025DF">
              <w:t>c) Estudio de la controversia</w:t>
            </w:r>
            <w:r w:rsidR="006025DF" w:rsidRPr="006025DF">
              <w:tab/>
              <w:t>12</w:t>
            </w:r>
          </w:hyperlink>
        </w:p>
        <w:p w14:paraId="54D503BE" w14:textId="77777777" w:rsidR="00506B11" w:rsidRPr="006025DF" w:rsidRDefault="006D36F3" w:rsidP="006025DF">
          <w:pPr>
            <w:pBdr>
              <w:top w:val="nil"/>
              <w:left w:val="nil"/>
              <w:bottom w:val="nil"/>
              <w:right w:val="nil"/>
              <w:between w:val="nil"/>
            </w:pBdr>
            <w:tabs>
              <w:tab w:val="right" w:pos="9034"/>
            </w:tabs>
            <w:spacing w:after="100"/>
            <w:ind w:left="440"/>
            <w:rPr>
              <w:rFonts w:ascii="Cambria" w:eastAsia="Cambria" w:hAnsi="Cambria" w:cs="Cambria"/>
            </w:rPr>
          </w:pPr>
          <w:hyperlink w:anchor="_tla8k5tq7imt">
            <w:r w:rsidR="006025DF" w:rsidRPr="006025DF">
              <w:t>d) Conclusión</w:t>
            </w:r>
            <w:r w:rsidR="006025DF" w:rsidRPr="006025DF">
              <w:tab/>
              <w:t>22</w:t>
            </w:r>
          </w:hyperlink>
        </w:p>
        <w:p w14:paraId="0AFD764E" w14:textId="77777777" w:rsidR="00506B11" w:rsidRPr="006025DF" w:rsidRDefault="006D36F3" w:rsidP="006025DF">
          <w:pPr>
            <w:pBdr>
              <w:top w:val="nil"/>
              <w:left w:val="nil"/>
              <w:bottom w:val="nil"/>
              <w:right w:val="nil"/>
              <w:between w:val="nil"/>
            </w:pBdr>
            <w:tabs>
              <w:tab w:val="right" w:pos="9034"/>
            </w:tabs>
            <w:spacing w:after="100"/>
            <w:rPr>
              <w:rFonts w:ascii="Cambria" w:eastAsia="Cambria" w:hAnsi="Cambria" w:cs="Cambria"/>
            </w:rPr>
          </w:pPr>
          <w:hyperlink w:anchor="_i1jusf4cjfq5">
            <w:r w:rsidR="006025DF" w:rsidRPr="006025DF">
              <w:t>RESUELVE</w:t>
            </w:r>
            <w:r w:rsidR="006025DF" w:rsidRPr="006025DF">
              <w:tab/>
              <w:t>22</w:t>
            </w:r>
          </w:hyperlink>
        </w:p>
        <w:p w14:paraId="38B03F7D" w14:textId="77777777" w:rsidR="00506B11" w:rsidRPr="006025DF" w:rsidRDefault="006025DF" w:rsidP="006025DF">
          <w:r w:rsidRPr="006025DF">
            <w:fldChar w:fldCharType="end"/>
          </w:r>
        </w:p>
      </w:sdtContent>
    </w:sdt>
    <w:p w14:paraId="5C807E3E" w14:textId="77777777" w:rsidR="00506B11" w:rsidRPr="006025DF" w:rsidRDefault="00506B11" w:rsidP="006025DF">
      <w:pPr>
        <w:pBdr>
          <w:top w:val="nil"/>
          <w:left w:val="nil"/>
          <w:bottom w:val="nil"/>
          <w:right w:val="nil"/>
          <w:between w:val="nil"/>
        </w:pBdr>
        <w:tabs>
          <w:tab w:val="right" w:pos="9034"/>
        </w:tabs>
        <w:spacing w:after="100"/>
        <w:sectPr w:rsidR="00506B11" w:rsidRPr="006025DF">
          <w:headerReference w:type="default" r:id="rId7"/>
          <w:footerReference w:type="default" r:id="rId8"/>
          <w:headerReference w:type="first" r:id="rId9"/>
          <w:pgSz w:w="12240" w:h="15840"/>
          <w:pgMar w:top="2552" w:right="1608" w:bottom="1701" w:left="1588" w:header="709" w:footer="737" w:gutter="0"/>
          <w:pgNumType w:start="1"/>
          <w:cols w:space="720"/>
          <w:titlePg/>
        </w:sectPr>
      </w:pPr>
    </w:p>
    <w:p w14:paraId="4877F693" w14:textId="77777777" w:rsidR="00506B11" w:rsidRPr="006025DF" w:rsidRDefault="006025DF" w:rsidP="006025DF">
      <w:pPr>
        <w:rPr>
          <w:b/>
        </w:rPr>
      </w:pPr>
      <w:r w:rsidRPr="006025DF">
        <w:lastRenderedPageBreak/>
        <w:t>Resolución del Pleno del Instituto de Transparencia, Acceso a la Información Pública y Protección de Datos Personales del Estado de México y Municipios, con domicilio en Metepec, Estado de México, de</w:t>
      </w:r>
      <w:r>
        <w:t>l</w:t>
      </w:r>
      <w:r w:rsidRPr="006025DF">
        <w:t xml:space="preserve"> </w:t>
      </w:r>
      <w:r w:rsidRPr="006025DF">
        <w:rPr>
          <w:b/>
        </w:rPr>
        <w:t>veintiséis de marzo de dos mil veinticinco.</w:t>
      </w:r>
    </w:p>
    <w:p w14:paraId="3D3B4E61" w14:textId="77777777" w:rsidR="00506B11" w:rsidRPr="006025DF" w:rsidRDefault="00506B11" w:rsidP="006025DF"/>
    <w:p w14:paraId="273AA513" w14:textId="72838826" w:rsidR="00506B11" w:rsidRPr="006025DF" w:rsidRDefault="006025DF" w:rsidP="006025DF">
      <w:r w:rsidRPr="006025DF">
        <w:rPr>
          <w:b/>
        </w:rPr>
        <w:t xml:space="preserve">VISTO </w:t>
      </w:r>
      <w:r w:rsidRPr="006025DF">
        <w:t xml:space="preserve">el expediente formado con motivo del Recurso de Revisión </w:t>
      </w:r>
      <w:r w:rsidRPr="006025DF">
        <w:rPr>
          <w:b/>
        </w:rPr>
        <w:t xml:space="preserve">00427/INFOEM/IP/RR/2025 </w:t>
      </w:r>
      <w:r w:rsidRPr="006025DF">
        <w:t xml:space="preserve">interpuesto por </w:t>
      </w:r>
      <w:bookmarkStart w:id="2" w:name="_GoBack"/>
      <w:r w:rsidR="00F46A1F">
        <w:rPr>
          <w:b/>
        </w:rPr>
        <w:t xml:space="preserve">XXXXXXXX XX </w:t>
      </w:r>
      <w:proofErr w:type="spellStart"/>
      <w:r w:rsidR="00F46A1F">
        <w:rPr>
          <w:b/>
        </w:rPr>
        <w:t>XX</w:t>
      </w:r>
      <w:bookmarkEnd w:id="2"/>
      <w:proofErr w:type="spellEnd"/>
      <w:r w:rsidRPr="006025DF">
        <w:t xml:space="preserve">, a quien en lo subsecuente se le denominará </w:t>
      </w:r>
      <w:r w:rsidRPr="006025DF">
        <w:rPr>
          <w:b/>
        </w:rPr>
        <w:t>LA PARTE RECURRENTE</w:t>
      </w:r>
      <w:r w:rsidRPr="006025DF">
        <w:t xml:space="preserve">, en contra de la respuesta emitida por el </w:t>
      </w:r>
      <w:r w:rsidRPr="006025DF">
        <w:rPr>
          <w:b/>
        </w:rPr>
        <w:t>Sistema Municipal Para el Desarrollo Integral de la Familia de Toluca</w:t>
      </w:r>
      <w:r w:rsidRPr="006025DF">
        <w:t xml:space="preserve">, en adelante </w:t>
      </w:r>
      <w:r w:rsidRPr="006025DF">
        <w:rPr>
          <w:b/>
        </w:rPr>
        <w:t>EL SUJETO OBLIGADO</w:t>
      </w:r>
      <w:r w:rsidRPr="006025DF">
        <w:t>, se emite la presente Resolución con base en los Antecedentes y Considerandos que se exponen a continuación:</w:t>
      </w:r>
    </w:p>
    <w:p w14:paraId="0FDB8879" w14:textId="77777777" w:rsidR="00506B11" w:rsidRPr="006025DF" w:rsidRDefault="00506B11" w:rsidP="006025DF"/>
    <w:p w14:paraId="740F30C4" w14:textId="77777777" w:rsidR="00506B11" w:rsidRPr="006025DF" w:rsidRDefault="006025DF" w:rsidP="006025DF">
      <w:pPr>
        <w:pStyle w:val="Ttulo1"/>
      </w:pPr>
      <w:bookmarkStart w:id="3" w:name="_dzv4qguz05qp" w:colFirst="0" w:colLast="0"/>
      <w:bookmarkEnd w:id="3"/>
      <w:r w:rsidRPr="006025DF">
        <w:t>ANTECEDENTES</w:t>
      </w:r>
    </w:p>
    <w:p w14:paraId="05CED2DB" w14:textId="77777777" w:rsidR="00506B11" w:rsidRPr="006025DF" w:rsidRDefault="00506B11" w:rsidP="006025DF"/>
    <w:p w14:paraId="6A7BD494" w14:textId="77777777" w:rsidR="00506B11" w:rsidRPr="006025DF" w:rsidRDefault="006025DF" w:rsidP="006025DF">
      <w:pPr>
        <w:pStyle w:val="Ttulo2"/>
      </w:pPr>
      <w:bookmarkStart w:id="4" w:name="_mfmvy3fbb16j" w:colFirst="0" w:colLast="0"/>
      <w:bookmarkEnd w:id="4"/>
      <w:r w:rsidRPr="006025DF">
        <w:t>DE LA SOLICITUD DE INFORMACIÓN</w:t>
      </w:r>
    </w:p>
    <w:p w14:paraId="2B97145F" w14:textId="77777777" w:rsidR="00506B11" w:rsidRPr="006025DF" w:rsidRDefault="006025DF" w:rsidP="006025DF">
      <w:pPr>
        <w:pStyle w:val="Ttulo3"/>
      </w:pPr>
      <w:bookmarkStart w:id="5" w:name="_8qyt7taujs3y" w:colFirst="0" w:colLast="0"/>
      <w:bookmarkEnd w:id="5"/>
      <w:r w:rsidRPr="006025DF">
        <w:t>a) Solicitud de información</w:t>
      </w:r>
    </w:p>
    <w:p w14:paraId="5DF55BD9" w14:textId="77777777" w:rsidR="00506B11" w:rsidRPr="006025DF" w:rsidRDefault="006025DF" w:rsidP="006025DF">
      <w:pPr>
        <w:pBdr>
          <w:top w:val="nil"/>
          <w:left w:val="nil"/>
          <w:bottom w:val="nil"/>
          <w:right w:val="nil"/>
          <w:between w:val="nil"/>
        </w:pBdr>
        <w:tabs>
          <w:tab w:val="left" w:pos="0"/>
        </w:tabs>
      </w:pPr>
      <w:r w:rsidRPr="006025DF">
        <w:t xml:space="preserve">El </w:t>
      </w:r>
      <w:r w:rsidRPr="006025DF">
        <w:rPr>
          <w:b/>
        </w:rPr>
        <w:t>diecisiete de enero de dos mil veinticinco,</w:t>
      </w:r>
      <w:r w:rsidRPr="006025DF">
        <w:t xml:space="preserve"> </w:t>
      </w:r>
      <w:r w:rsidRPr="006025DF">
        <w:rPr>
          <w:b/>
        </w:rPr>
        <w:t>LA PARTE RECURRENTE</w:t>
      </w:r>
      <w:r w:rsidRPr="006025DF">
        <w:t xml:space="preserve"> presentó una solicitud de acceso a la información pública ante el </w:t>
      </w:r>
      <w:r w:rsidRPr="006025DF">
        <w:rPr>
          <w:b/>
        </w:rPr>
        <w:t>SUJETO OBLIGADO</w:t>
      </w:r>
      <w:r w:rsidRPr="006025DF">
        <w:t>, a través del Sistema de Acceso a la Información Mexiquense (SAIMEX). Dicha solicitud quedó registrada con el número de folio</w:t>
      </w:r>
      <w:r w:rsidRPr="006025DF">
        <w:rPr>
          <w:b/>
        </w:rPr>
        <w:t xml:space="preserve"> 00033/DIFTOLUCA/IP/2025 </w:t>
      </w:r>
      <w:r w:rsidRPr="006025DF">
        <w:t>y en ella se requirió la siguiente información:</w:t>
      </w:r>
    </w:p>
    <w:p w14:paraId="28D17DC8" w14:textId="77777777" w:rsidR="00506B11" w:rsidRPr="006025DF" w:rsidRDefault="00506B11" w:rsidP="006025DF">
      <w:pPr>
        <w:tabs>
          <w:tab w:val="left" w:pos="4667"/>
        </w:tabs>
        <w:ind w:right="567"/>
        <w:rPr>
          <w:i/>
        </w:rPr>
      </w:pPr>
    </w:p>
    <w:p w14:paraId="07D3355B" w14:textId="77777777" w:rsidR="00506B11" w:rsidRPr="006025DF" w:rsidRDefault="006025DF" w:rsidP="006025DF">
      <w:pPr>
        <w:pStyle w:val="Puesto"/>
        <w:ind w:firstLine="567"/>
        <w:rPr>
          <w:color w:val="auto"/>
        </w:rPr>
      </w:pPr>
      <w:bookmarkStart w:id="6" w:name="_cn2sde3hgxcj" w:colFirst="0" w:colLast="0"/>
      <w:bookmarkEnd w:id="6"/>
      <w:r w:rsidRPr="006025DF">
        <w:rPr>
          <w:color w:val="auto"/>
        </w:rPr>
        <w:t xml:space="preserve">“solicito </w:t>
      </w:r>
      <w:proofErr w:type="spellStart"/>
      <w:r w:rsidRPr="006025DF">
        <w:rPr>
          <w:color w:val="auto"/>
        </w:rPr>
        <w:t>dell</w:t>
      </w:r>
      <w:proofErr w:type="spellEnd"/>
      <w:r w:rsidRPr="006025DF">
        <w:rPr>
          <w:color w:val="auto"/>
        </w:rPr>
        <w:t xml:space="preserve"> sistema </w:t>
      </w:r>
      <w:proofErr w:type="spellStart"/>
      <w:r w:rsidRPr="006025DF">
        <w:rPr>
          <w:color w:val="auto"/>
        </w:rPr>
        <w:t>nunicipal</w:t>
      </w:r>
      <w:proofErr w:type="spellEnd"/>
      <w:r w:rsidRPr="006025DF">
        <w:rPr>
          <w:color w:val="auto"/>
        </w:rPr>
        <w:t xml:space="preserve"> para el desarrollo integral de la familia, todos los documentos que integran el proceso para la </w:t>
      </w:r>
      <w:proofErr w:type="spellStart"/>
      <w:r w:rsidRPr="006025DF">
        <w:rPr>
          <w:color w:val="auto"/>
        </w:rPr>
        <w:t>realizacion</w:t>
      </w:r>
      <w:proofErr w:type="spellEnd"/>
      <w:r w:rsidRPr="006025DF">
        <w:rPr>
          <w:color w:val="auto"/>
        </w:rPr>
        <w:t xml:space="preserve"> de trabajos de mantenimiento en los diversos inmuebles que ocupa este sistema </w:t>
      </w:r>
      <w:proofErr w:type="spellStart"/>
      <w:r w:rsidRPr="006025DF">
        <w:rPr>
          <w:color w:val="auto"/>
        </w:rPr>
        <w:t>dif</w:t>
      </w:r>
      <w:proofErr w:type="spellEnd"/>
      <w:r w:rsidRPr="006025DF">
        <w:rPr>
          <w:color w:val="auto"/>
        </w:rPr>
        <w:t xml:space="preserve"> </w:t>
      </w:r>
      <w:proofErr w:type="spellStart"/>
      <w:r w:rsidRPr="006025DF">
        <w:rPr>
          <w:color w:val="auto"/>
        </w:rPr>
        <w:t>toluca</w:t>
      </w:r>
      <w:proofErr w:type="spellEnd"/>
      <w:r w:rsidRPr="006025DF">
        <w:rPr>
          <w:color w:val="auto"/>
        </w:rPr>
        <w:t xml:space="preserve">, </w:t>
      </w:r>
      <w:proofErr w:type="spellStart"/>
      <w:r w:rsidRPr="006025DF">
        <w:rPr>
          <w:color w:val="auto"/>
        </w:rPr>
        <w:t>bitacoras</w:t>
      </w:r>
      <w:proofErr w:type="spellEnd"/>
      <w:r w:rsidRPr="006025DF">
        <w:rPr>
          <w:color w:val="auto"/>
        </w:rPr>
        <w:t>, comparas , como se pagaron los insumos que se adquirieron para reparaciones, tickets, facturas, del año 2023 y 2024” Sic</w:t>
      </w:r>
    </w:p>
    <w:p w14:paraId="4CB2936A" w14:textId="77777777" w:rsidR="00506B11" w:rsidRPr="006025DF" w:rsidRDefault="00506B11" w:rsidP="006025DF"/>
    <w:p w14:paraId="79CE1B8D" w14:textId="77777777" w:rsidR="00506B11" w:rsidRPr="006025DF" w:rsidRDefault="006025DF" w:rsidP="006025DF">
      <w:pPr>
        <w:tabs>
          <w:tab w:val="left" w:pos="4667"/>
        </w:tabs>
        <w:ind w:right="567"/>
        <w:rPr>
          <w:i/>
        </w:rPr>
      </w:pPr>
      <w:r w:rsidRPr="006025DF">
        <w:rPr>
          <w:b/>
        </w:rPr>
        <w:t>Modalidad de entrega</w:t>
      </w:r>
      <w:r w:rsidRPr="006025DF">
        <w:t>: a</w:t>
      </w:r>
      <w:r w:rsidRPr="006025DF">
        <w:rPr>
          <w:i/>
        </w:rPr>
        <w:t xml:space="preserve"> través del </w:t>
      </w:r>
      <w:r w:rsidRPr="006025DF">
        <w:rPr>
          <w:b/>
          <w:i/>
        </w:rPr>
        <w:t>SAIMEX</w:t>
      </w:r>
      <w:r w:rsidRPr="006025DF">
        <w:rPr>
          <w:i/>
        </w:rPr>
        <w:t>.</w:t>
      </w:r>
    </w:p>
    <w:p w14:paraId="7303EC73" w14:textId="77777777" w:rsidR="00506B11" w:rsidRPr="006025DF" w:rsidRDefault="00506B11" w:rsidP="006025DF">
      <w:pPr>
        <w:tabs>
          <w:tab w:val="left" w:pos="4667"/>
        </w:tabs>
        <w:ind w:right="567"/>
        <w:rPr>
          <w:b/>
        </w:rPr>
      </w:pPr>
    </w:p>
    <w:p w14:paraId="7892FE45" w14:textId="77777777" w:rsidR="00506B11" w:rsidRPr="006025DF" w:rsidRDefault="006025DF" w:rsidP="006025DF">
      <w:pPr>
        <w:pStyle w:val="Ttulo3"/>
      </w:pPr>
      <w:bookmarkStart w:id="7" w:name="_q5lplpp6nhpa" w:colFirst="0" w:colLast="0"/>
      <w:bookmarkEnd w:id="7"/>
      <w:r w:rsidRPr="006025DF">
        <w:t>b) Respuesta del Sujeto Obligado</w:t>
      </w:r>
    </w:p>
    <w:p w14:paraId="3A319F11" w14:textId="77777777" w:rsidR="00506B11" w:rsidRPr="006025DF" w:rsidRDefault="006025DF" w:rsidP="006025DF">
      <w:pPr>
        <w:pBdr>
          <w:top w:val="nil"/>
          <w:left w:val="nil"/>
          <w:bottom w:val="nil"/>
          <w:right w:val="nil"/>
          <w:between w:val="nil"/>
        </w:pBdr>
      </w:pPr>
      <w:r w:rsidRPr="006025DF">
        <w:t xml:space="preserve">El </w:t>
      </w:r>
      <w:r w:rsidRPr="006025DF">
        <w:rPr>
          <w:b/>
        </w:rPr>
        <w:t xml:space="preserve">veintinueve de enero de dos mil veinticinco, </w:t>
      </w:r>
      <w:r w:rsidRPr="006025DF">
        <w:t xml:space="preserve">el Titular de la Unidad de Transparencia del </w:t>
      </w:r>
      <w:r w:rsidRPr="006025DF">
        <w:rPr>
          <w:b/>
        </w:rPr>
        <w:t>SUJETO OBLIGADO</w:t>
      </w:r>
      <w:r w:rsidRPr="006025DF">
        <w:t xml:space="preserve"> notificó a través del SAIMEX la siguiente respuesta:</w:t>
      </w:r>
    </w:p>
    <w:p w14:paraId="1CB02EB6" w14:textId="77777777" w:rsidR="00506B11" w:rsidRPr="006025DF" w:rsidRDefault="00506B11" w:rsidP="006025DF">
      <w:pPr>
        <w:pStyle w:val="Puesto"/>
        <w:ind w:left="0" w:firstLine="0"/>
        <w:rPr>
          <w:color w:val="auto"/>
        </w:rPr>
      </w:pPr>
    </w:p>
    <w:p w14:paraId="2DFCC64C" w14:textId="77777777" w:rsidR="00506B11" w:rsidRPr="006025DF" w:rsidRDefault="006025DF" w:rsidP="006025DF">
      <w:pPr>
        <w:pStyle w:val="Puesto"/>
        <w:ind w:firstLine="567"/>
        <w:jc w:val="right"/>
        <w:rPr>
          <w:color w:val="auto"/>
        </w:rPr>
      </w:pPr>
      <w:r w:rsidRPr="006025DF">
        <w:rPr>
          <w:color w:val="auto"/>
        </w:rPr>
        <w:t>“Folio de la solicitud: 00033/DIFTOLUCA/IP/2025</w:t>
      </w:r>
    </w:p>
    <w:p w14:paraId="555024B4" w14:textId="77777777" w:rsidR="00506B11" w:rsidRPr="006025DF" w:rsidRDefault="00506B11" w:rsidP="006025DF"/>
    <w:p w14:paraId="7E9CF816" w14:textId="77777777" w:rsidR="00506B11" w:rsidRPr="006025DF" w:rsidRDefault="006025DF" w:rsidP="006025DF">
      <w:pPr>
        <w:pStyle w:val="Puesto"/>
        <w:ind w:firstLine="567"/>
        <w:rPr>
          <w:color w:val="auto"/>
        </w:rPr>
      </w:pPr>
      <w:r w:rsidRPr="006025DF">
        <w:rPr>
          <w:color w:val="auto"/>
        </w:rPr>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p w14:paraId="66E65701" w14:textId="77777777" w:rsidR="00506B11" w:rsidRPr="006025DF" w:rsidRDefault="00506B11" w:rsidP="006025DF"/>
    <w:p w14:paraId="2DA4BAAC" w14:textId="77777777" w:rsidR="00506B11" w:rsidRPr="006025DF" w:rsidRDefault="006025DF" w:rsidP="006025DF">
      <w:pPr>
        <w:pStyle w:val="Puesto"/>
        <w:ind w:firstLine="567"/>
        <w:rPr>
          <w:color w:val="auto"/>
        </w:rPr>
      </w:pPr>
      <w:r w:rsidRPr="006025DF">
        <w:rPr>
          <w:color w:val="auto"/>
        </w:rPr>
        <w:t>ATENTAMENTE</w:t>
      </w:r>
    </w:p>
    <w:p w14:paraId="239A353F" w14:textId="77777777" w:rsidR="00506B11" w:rsidRPr="006025DF" w:rsidRDefault="006025DF" w:rsidP="006025DF">
      <w:pPr>
        <w:pStyle w:val="Puesto"/>
        <w:ind w:firstLine="567"/>
        <w:rPr>
          <w:color w:val="auto"/>
        </w:rPr>
      </w:pPr>
      <w:r w:rsidRPr="006025DF">
        <w:rPr>
          <w:color w:val="auto"/>
        </w:rPr>
        <w:t>Lic. Isaura Ríos Valdés” Sic.</w:t>
      </w:r>
    </w:p>
    <w:p w14:paraId="6DF986C7" w14:textId="77777777" w:rsidR="00506B11" w:rsidRPr="006025DF" w:rsidRDefault="00506B11" w:rsidP="006025DF">
      <w:pPr>
        <w:ind w:right="-28"/>
      </w:pPr>
    </w:p>
    <w:p w14:paraId="18B478C8" w14:textId="77777777" w:rsidR="00506B11" w:rsidRPr="006025DF" w:rsidRDefault="006025DF" w:rsidP="006025DF">
      <w:pPr>
        <w:ind w:right="-28"/>
      </w:pPr>
      <w:r w:rsidRPr="006025DF">
        <w:t xml:space="preserve">Asimismo, </w:t>
      </w:r>
      <w:r w:rsidRPr="006025DF">
        <w:rPr>
          <w:b/>
        </w:rPr>
        <w:t xml:space="preserve">EL SUJETO OBLIGADO </w:t>
      </w:r>
      <w:r w:rsidRPr="006025DF">
        <w:t>adjuntó a su respuesta los archivos electrónicos que se describen a continuación:</w:t>
      </w:r>
    </w:p>
    <w:p w14:paraId="5E8A4721" w14:textId="77777777" w:rsidR="00506B11" w:rsidRPr="006025DF" w:rsidRDefault="00506B11" w:rsidP="006025DF">
      <w:pPr>
        <w:ind w:right="-28"/>
      </w:pPr>
    </w:p>
    <w:p w14:paraId="79D798D9" w14:textId="77777777" w:rsidR="00506B11" w:rsidRPr="006025DF" w:rsidRDefault="006025DF" w:rsidP="006025DF">
      <w:pPr>
        <w:numPr>
          <w:ilvl w:val="0"/>
          <w:numId w:val="1"/>
        </w:numPr>
        <w:pBdr>
          <w:top w:val="nil"/>
          <w:left w:val="nil"/>
          <w:bottom w:val="nil"/>
          <w:right w:val="nil"/>
          <w:between w:val="nil"/>
        </w:pBdr>
        <w:ind w:right="-28"/>
        <w:rPr>
          <w:b/>
          <w:i/>
        </w:rPr>
      </w:pPr>
      <w:r w:rsidRPr="006025DF">
        <w:rPr>
          <w:b/>
          <w:i/>
        </w:rPr>
        <w:t xml:space="preserve">RESPUESTA UIPPE 033-2025.pdf: </w:t>
      </w:r>
      <w:r w:rsidRPr="006025DF">
        <w:t xml:space="preserve">Oficio número 200B10100/152/2025 , firmado por la Titular de la Unidad de Información, Planeación, programación y Evaluación del Sistema Municipal DIF de Toluca donde refiere adjuntar la información proporcionada por la Dirección de Administración y Tesorería. </w:t>
      </w:r>
    </w:p>
    <w:p w14:paraId="5F0FB132" w14:textId="77777777" w:rsidR="00506B11" w:rsidRPr="006025DF" w:rsidRDefault="006025DF" w:rsidP="006025DF">
      <w:pPr>
        <w:numPr>
          <w:ilvl w:val="0"/>
          <w:numId w:val="1"/>
        </w:numPr>
        <w:pBdr>
          <w:top w:val="nil"/>
          <w:left w:val="nil"/>
          <w:bottom w:val="nil"/>
          <w:right w:val="nil"/>
          <w:between w:val="nil"/>
        </w:pBdr>
        <w:ind w:right="-28"/>
        <w:rPr>
          <w:b/>
          <w:i/>
        </w:rPr>
      </w:pPr>
      <w:r w:rsidRPr="006025DF">
        <w:rPr>
          <w:b/>
          <w:i/>
        </w:rPr>
        <w:t xml:space="preserve">RESPUESTA SPH 033-2025.pdf: </w:t>
      </w:r>
      <w:r w:rsidRPr="006025DF">
        <w:t xml:space="preserve">Archivo que consta de diecisiete fojas, de las que se advierten lo siguiente: </w:t>
      </w:r>
    </w:p>
    <w:p w14:paraId="780DA872" w14:textId="77777777" w:rsidR="00506B11" w:rsidRPr="006025DF" w:rsidRDefault="006025DF" w:rsidP="006025DF">
      <w:pPr>
        <w:numPr>
          <w:ilvl w:val="1"/>
          <w:numId w:val="1"/>
        </w:numPr>
        <w:ind w:right="-28"/>
      </w:pPr>
      <w:r w:rsidRPr="006025DF">
        <w:t xml:space="preserve">Oficio número 200B10900/68/2025 firmado por el Director de Administración y Tesorería, quien refiere adjuntar la información solicitada, correspondiente a los años 2023 y 2024. </w:t>
      </w:r>
    </w:p>
    <w:p w14:paraId="3F042316" w14:textId="77777777" w:rsidR="00506B11" w:rsidRPr="006025DF" w:rsidRDefault="006025DF" w:rsidP="006025DF">
      <w:pPr>
        <w:numPr>
          <w:ilvl w:val="1"/>
          <w:numId w:val="1"/>
        </w:numPr>
        <w:pBdr>
          <w:top w:val="nil"/>
          <w:left w:val="nil"/>
          <w:bottom w:val="nil"/>
          <w:right w:val="nil"/>
          <w:between w:val="nil"/>
        </w:pBdr>
        <w:ind w:right="-28"/>
        <w:rPr>
          <w:b/>
          <w:i/>
        </w:rPr>
      </w:pPr>
      <w:r w:rsidRPr="006025DF">
        <w:lastRenderedPageBreak/>
        <w:t xml:space="preserve">Cotización realizada por concepto de suministro y colocación de </w:t>
      </w:r>
      <w:proofErr w:type="spellStart"/>
      <w:r w:rsidRPr="006025DF">
        <w:t>vidrioblocks</w:t>
      </w:r>
      <w:proofErr w:type="spellEnd"/>
      <w:r w:rsidRPr="006025DF">
        <w:t xml:space="preserve"> en instalaciones del parque Luis Donaldo Colosio. </w:t>
      </w:r>
    </w:p>
    <w:p w14:paraId="1CC2DEA2" w14:textId="77777777" w:rsidR="00506B11" w:rsidRPr="006025DF" w:rsidRDefault="006025DF" w:rsidP="006025DF">
      <w:pPr>
        <w:numPr>
          <w:ilvl w:val="1"/>
          <w:numId w:val="1"/>
        </w:numPr>
        <w:pBdr>
          <w:top w:val="nil"/>
          <w:left w:val="nil"/>
          <w:bottom w:val="nil"/>
          <w:right w:val="nil"/>
          <w:between w:val="nil"/>
        </w:pBdr>
        <w:ind w:right="-28"/>
      </w:pPr>
      <w:r w:rsidRPr="006025DF">
        <w:t xml:space="preserve">Comprobante Fiscal Digital por concepto de servicio de suministro y colocación de </w:t>
      </w:r>
      <w:proofErr w:type="spellStart"/>
      <w:r w:rsidRPr="006025DF">
        <w:t>vidrioblocks</w:t>
      </w:r>
      <w:proofErr w:type="spellEnd"/>
      <w:r w:rsidRPr="006025DF">
        <w:t xml:space="preserve"> en instalaciones del Parque Luis Donaldo Colosio de fecha veinte de junio de dos mil veintitrés.</w:t>
      </w:r>
    </w:p>
    <w:p w14:paraId="7AE3A5F2" w14:textId="77777777" w:rsidR="00506B11" w:rsidRPr="006025DF" w:rsidRDefault="006025DF" w:rsidP="006025DF">
      <w:pPr>
        <w:numPr>
          <w:ilvl w:val="1"/>
          <w:numId w:val="1"/>
        </w:numPr>
        <w:pBdr>
          <w:top w:val="nil"/>
          <w:left w:val="nil"/>
          <w:bottom w:val="nil"/>
          <w:right w:val="nil"/>
          <w:between w:val="nil"/>
        </w:pBdr>
        <w:ind w:right="-28"/>
      </w:pPr>
      <w:r w:rsidRPr="006025DF">
        <w:t xml:space="preserve">Oficio número 200B10502/027/2023 firmado por la Jefa del Departamento de Adquisiciones, quien solicitó el pago del servicio de fumigación para las 7 Instancias Infantiles, suministro y colocación de </w:t>
      </w:r>
      <w:proofErr w:type="spellStart"/>
      <w:r w:rsidRPr="006025DF">
        <w:t>vidrioblock</w:t>
      </w:r>
      <w:proofErr w:type="spellEnd"/>
      <w:r w:rsidRPr="006025DF">
        <w:t xml:space="preserve"> en instalaciones del Parque Luis Donaldo Colosio.</w:t>
      </w:r>
    </w:p>
    <w:p w14:paraId="0A621E7E" w14:textId="77777777" w:rsidR="00506B11" w:rsidRPr="006025DF" w:rsidRDefault="006025DF" w:rsidP="006025DF">
      <w:pPr>
        <w:numPr>
          <w:ilvl w:val="1"/>
          <w:numId w:val="1"/>
        </w:numPr>
        <w:pBdr>
          <w:top w:val="nil"/>
          <w:left w:val="nil"/>
          <w:bottom w:val="nil"/>
          <w:right w:val="nil"/>
          <w:between w:val="nil"/>
        </w:pBdr>
        <w:ind w:right="-28"/>
      </w:pPr>
      <w:r w:rsidRPr="006025DF">
        <w:t xml:space="preserve">Reporte de Transferencia SPEI de fecha seis de abril de dos mil veintitrés. </w:t>
      </w:r>
    </w:p>
    <w:p w14:paraId="713878B3" w14:textId="77777777" w:rsidR="00506B11" w:rsidRPr="006025DF" w:rsidRDefault="006025DF" w:rsidP="006025DF">
      <w:pPr>
        <w:numPr>
          <w:ilvl w:val="1"/>
          <w:numId w:val="1"/>
        </w:numPr>
        <w:pBdr>
          <w:top w:val="nil"/>
          <w:left w:val="nil"/>
          <w:bottom w:val="nil"/>
          <w:right w:val="nil"/>
          <w:between w:val="nil"/>
        </w:pBdr>
        <w:ind w:right="-28"/>
      </w:pPr>
      <w:r w:rsidRPr="006025DF">
        <w:t xml:space="preserve">Cotización por diversos conceptos de mantenimiento de fecha 16 de julio de dos mil veinticuatro. </w:t>
      </w:r>
    </w:p>
    <w:p w14:paraId="1E7B5C52" w14:textId="77777777" w:rsidR="00506B11" w:rsidRPr="006025DF" w:rsidRDefault="006025DF" w:rsidP="006025DF">
      <w:pPr>
        <w:numPr>
          <w:ilvl w:val="1"/>
          <w:numId w:val="1"/>
        </w:numPr>
        <w:pBdr>
          <w:top w:val="nil"/>
          <w:left w:val="nil"/>
          <w:bottom w:val="nil"/>
          <w:right w:val="nil"/>
          <w:between w:val="nil"/>
        </w:pBdr>
        <w:ind w:right="-28"/>
      </w:pPr>
      <w:r w:rsidRPr="006025DF">
        <w:t xml:space="preserve">Comprobante Fiscal Digital por Internet de fecha veintidós de octubre de dos mil veinticuatro, por concepto de retiro de impermeabilizante, suministro y colocación de membrana reforzada, pintura vinílica, suministro y colocación de lámina de policarbonato sólido transparente, entre otros servicios. </w:t>
      </w:r>
    </w:p>
    <w:p w14:paraId="7D9181D6" w14:textId="77777777" w:rsidR="00506B11" w:rsidRPr="006025DF" w:rsidRDefault="006025DF" w:rsidP="006025DF">
      <w:pPr>
        <w:numPr>
          <w:ilvl w:val="1"/>
          <w:numId w:val="1"/>
        </w:numPr>
        <w:pBdr>
          <w:top w:val="nil"/>
          <w:left w:val="nil"/>
          <w:bottom w:val="nil"/>
          <w:right w:val="nil"/>
          <w:between w:val="nil"/>
        </w:pBdr>
        <w:ind w:right="-28"/>
      </w:pPr>
      <w:r w:rsidRPr="006025DF">
        <w:t xml:space="preserve">Reporte de Transferencia SPEI de fecha quince de noviembre de dos mil veinticuatro. </w:t>
      </w:r>
    </w:p>
    <w:p w14:paraId="522EFCF5" w14:textId="77777777" w:rsidR="00506B11" w:rsidRPr="006025DF" w:rsidRDefault="006025DF" w:rsidP="006025DF">
      <w:pPr>
        <w:numPr>
          <w:ilvl w:val="1"/>
          <w:numId w:val="1"/>
        </w:numPr>
        <w:pBdr>
          <w:top w:val="nil"/>
          <w:left w:val="nil"/>
          <w:bottom w:val="nil"/>
          <w:right w:val="nil"/>
          <w:between w:val="nil"/>
        </w:pBdr>
        <w:ind w:right="-28"/>
      </w:pPr>
      <w:r w:rsidRPr="006025DF">
        <w:t xml:space="preserve">Cotización de fecha veintisiete de septiembre de dos mil veinticuatro por concepto de retiro de impermeabilizante existente y colocación de membrana. </w:t>
      </w:r>
    </w:p>
    <w:p w14:paraId="6FAB138D" w14:textId="77777777" w:rsidR="00506B11" w:rsidRPr="006025DF" w:rsidRDefault="006025DF" w:rsidP="006025DF">
      <w:pPr>
        <w:numPr>
          <w:ilvl w:val="1"/>
          <w:numId w:val="1"/>
        </w:numPr>
        <w:pBdr>
          <w:top w:val="nil"/>
          <w:left w:val="nil"/>
          <w:bottom w:val="nil"/>
          <w:right w:val="nil"/>
          <w:between w:val="nil"/>
        </w:pBdr>
        <w:ind w:right="-28"/>
      </w:pPr>
      <w:r w:rsidRPr="006025DF">
        <w:t xml:space="preserve">Comprobante Fiscal Digital por Internet  de fecha diecisiete de diciembre de dos mil veinticuatro. </w:t>
      </w:r>
    </w:p>
    <w:p w14:paraId="1119EC2E" w14:textId="77777777" w:rsidR="00506B11" w:rsidRPr="006025DF" w:rsidRDefault="006025DF" w:rsidP="006025DF">
      <w:pPr>
        <w:numPr>
          <w:ilvl w:val="1"/>
          <w:numId w:val="1"/>
        </w:numPr>
        <w:pBdr>
          <w:top w:val="nil"/>
          <w:left w:val="nil"/>
          <w:bottom w:val="nil"/>
          <w:right w:val="nil"/>
          <w:between w:val="nil"/>
        </w:pBdr>
        <w:ind w:right="-28"/>
      </w:pPr>
      <w:r w:rsidRPr="006025DF">
        <w:t xml:space="preserve">Reporte de transferencia SPEI de fecha veinte de diciembre de dos mil veinticuatro. </w:t>
      </w:r>
    </w:p>
    <w:p w14:paraId="2A86602D" w14:textId="77777777" w:rsidR="00506B11" w:rsidRPr="006025DF" w:rsidRDefault="00506B11" w:rsidP="006025DF">
      <w:pPr>
        <w:ind w:right="-28"/>
      </w:pPr>
    </w:p>
    <w:p w14:paraId="0024726C" w14:textId="77777777" w:rsidR="00506B11" w:rsidRPr="006025DF" w:rsidRDefault="006025DF" w:rsidP="006025DF">
      <w:pPr>
        <w:numPr>
          <w:ilvl w:val="0"/>
          <w:numId w:val="1"/>
        </w:numPr>
        <w:pBdr>
          <w:top w:val="nil"/>
          <w:left w:val="nil"/>
          <w:bottom w:val="nil"/>
          <w:right w:val="nil"/>
          <w:between w:val="nil"/>
        </w:pBdr>
        <w:ind w:right="-28"/>
        <w:rPr>
          <w:b/>
          <w:i/>
        </w:rPr>
      </w:pPr>
      <w:r w:rsidRPr="006025DF">
        <w:rPr>
          <w:b/>
          <w:i/>
        </w:rPr>
        <w:lastRenderedPageBreak/>
        <w:t xml:space="preserve">MANT. 2023-2024.rar: </w:t>
      </w:r>
      <w:r w:rsidRPr="006025DF">
        <w:t xml:space="preserve">Carpeta comprimida que contiene 23 archivos en formato PDF con Bitácoras de Trabajo del Departamento de Servicios Generales correspondientes a los años de dos mil vientres y dos mil veinticuatro. </w:t>
      </w:r>
    </w:p>
    <w:p w14:paraId="11464512" w14:textId="77777777" w:rsidR="00506B11" w:rsidRPr="006025DF" w:rsidRDefault="00506B11" w:rsidP="006025DF">
      <w:pPr>
        <w:ind w:right="-28"/>
      </w:pPr>
    </w:p>
    <w:p w14:paraId="4FD480FB" w14:textId="77777777" w:rsidR="00506B11" w:rsidRPr="006025DF" w:rsidRDefault="006025DF" w:rsidP="006025DF">
      <w:pPr>
        <w:pStyle w:val="Ttulo2"/>
        <w:jc w:val="left"/>
      </w:pPr>
      <w:bookmarkStart w:id="8" w:name="_5cnxwh73yubm" w:colFirst="0" w:colLast="0"/>
      <w:bookmarkEnd w:id="8"/>
      <w:r w:rsidRPr="006025DF">
        <w:t>DEL RECURSO DE REVISIÓN</w:t>
      </w:r>
    </w:p>
    <w:p w14:paraId="2665034B" w14:textId="77777777" w:rsidR="00506B11" w:rsidRPr="006025DF" w:rsidRDefault="006025DF" w:rsidP="006025DF">
      <w:pPr>
        <w:pStyle w:val="Ttulo3"/>
      </w:pPr>
      <w:bookmarkStart w:id="9" w:name="_ay71ogi9jh2k" w:colFirst="0" w:colLast="0"/>
      <w:bookmarkEnd w:id="9"/>
      <w:r w:rsidRPr="006025DF">
        <w:t>a) Interposición del Recurso de Revisión</w:t>
      </w:r>
    </w:p>
    <w:p w14:paraId="0C3C25B2" w14:textId="77777777" w:rsidR="00506B11" w:rsidRPr="006025DF" w:rsidRDefault="006025DF" w:rsidP="006025DF">
      <w:pPr>
        <w:ind w:right="-28"/>
      </w:pPr>
      <w:r w:rsidRPr="006025DF">
        <w:t xml:space="preserve">El </w:t>
      </w:r>
      <w:r w:rsidRPr="006025DF">
        <w:rPr>
          <w:b/>
        </w:rPr>
        <w:t>treinta y uno de enero de dos mil veinticinco,</w:t>
      </w:r>
      <w:r w:rsidRPr="006025DF">
        <w:t xml:space="preserve"> </w:t>
      </w:r>
      <w:r w:rsidRPr="006025DF">
        <w:rPr>
          <w:b/>
        </w:rPr>
        <w:t>LA PARTE RECURRENTE</w:t>
      </w:r>
      <w:r w:rsidRPr="006025DF">
        <w:t xml:space="preserve"> interpuso el recurso de revisión en contra de la respuesta emitida por el </w:t>
      </w:r>
      <w:r w:rsidRPr="006025DF">
        <w:rPr>
          <w:b/>
        </w:rPr>
        <w:t>SUJETO OBLIGADO</w:t>
      </w:r>
      <w:r w:rsidRPr="006025DF">
        <w:t xml:space="preserve">, mismo que fue registrado en el </w:t>
      </w:r>
      <w:r w:rsidRPr="006025DF">
        <w:rPr>
          <w:b/>
        </w:rPr>
        <w:t>SAIMEX</w:t>
      </w:r>
      <w:r w:rsidRPr="006025DF">
        <w:t xml:space="preserve"> con el número de expediente </w:t>
      </w:r>
      <w:r w:rsidRPr="006025DF">
        <w:rPr>
          <w:b/>
        </w:rPr>
        <w:t>00427/INFOEM/IP/RR/2025</w:t>
      </w:r>
      <w:r w:rsidRPr="006025DF">
        <w:t>, y en el cual manifestó lo siguiente:</w:t>
      </w:r>
    </w:p>
    <w:p w14:paraId="7A7EE225" w14:textId="77777777" w:rsidR="00506B11" w:rsidRPr="006025DF" w:rsidRDefault="00506B11" w:rsidP="006025DF">
      <w:pPr>
        <w:tabs>
          <w:tab w:val="left" w:pos="4667"/>
        </w:tabs>
        <w:ind w:right="539"/>
      </w:pPr>
    </w:p>
    <w:p w14:paraId="70B6A664" w14:textId="77777777" w:rsidR="00506B11" w:rsidRPr="006025DF" w:rsidRDefault="006025DF" w:rsidP="006025DF">
      <w:pPr>
        <w:tabs>
          <w:tab w:val="left" w:pos="4667"/>
        </w:tabs>
        <w:ind w:left="567" w:right="539"/>
        <w:rPr>
          <w:b/>
        </w:rPr>
      </w:pPr>
      <w:r w:rsidRPr="006025DF">
        <w:rPr>
          <w:b/>
        </w:rPr>
        <w:t>ACTO IMPUGNADO</w:t>
      </w:r>
    </w:p>
    <w:p w14:paraId="2A1A3B66" w14:textId="77777777" w:rsidR="00506B11" w:rsidRPr="006025DF" w:rsidRDefault="006025DF" w:rsidP="006025DF">
      <w:pPr>
        <w:tabs>
          <w:tab w:val="left" w:pos="4667"/>
        </w:tabs>
        <w:spacing w:line="240" w:lineRule="auto"/>
        <w:ind w:left="567" w:right="539"/>
        <w:rPr>
          <w:i/>
        </w:rPr>
      </w:pPr>
      <w:r w:rsidRPr="006025DF">
        <w:rPr>
          <w:i/>
        </w:rPr>
        <w:t xml:space="preserve">la respuesta del director de </w:t>
      </w:r>
      <w:proofErr w:type="spellStart"/>
      <w:r w:rsidRPr="006025DF">
        <w:rPr>
          <w:i/>
        </w:rPr>
        <w:t>administracion</w:t>
      </w:r>
      <w:proofErr w:type="spellEnd"/>
      <w:r w:rsidRPr="006025DF">
        <w:rPr>
          <w:i/>
        </w:rPr>
        <w:t xml:space="preserve"> del sistema </w:t>
      </w:r>
      <w:proofErr w:type="spellStart"/>
      <w:r w:rsidRPr="006025DF">
        <w:rPr>
          <w:i/>
        </w:rPr>
        <w:t>dif</w:t>
      </w:r>
      <w:proofErr w:type="spellEnd"/>
      <w:r w:rsidRPr="006025DF">
        <w:rPr>
          <w:i/>
        </w:rPr>
        <w:t xml:space="preserve"> </w:t>
      </w:r>
      <w:proofErr w:type="spellStart"/>
      <w:r w:rsidRPr="006025DF">
        <w:rPr>
          <w:i/>
        </w:rPr>
        <w:t>toluca</w:t>
      </w:r>
      <w:proofErr w:type="spellEnd"/>
      <w:r w:rsidRPr="006025DF">
        <w:rPr>
          <w:i/>
        </w:rPr>
        <w:t xml:space="preserve">, mediante </w:t>
      </w:r>
      <w:proofErr w:type="spellStart"/>
      <w:r w:rsidRPr="006025DF">
        <w:rPr>
          <w:i/>
        </w:rPr>
        <w:t>oficiio</w:t>
      </w:r>
      <w:proofErr w:type="spellEnd"/>
      <w:r w:rsidRPr="006025DF">
        <w:rPr>
          <w:i/>
        </w:rPr>
        <w:t xml:space="preserve"> 200B/10900/68/2025 de fecha 24 de enero 2025</w:t>
      </w:r>
    </w:p>
    <w:p w14:paraId="4B656F47" w14:textId="77777777" w:rsidR="00506B11" w:rsidRPr="006025DF" w:rsidRDefault="00506B11" w:rsidP="006025DF">
      <w:pPr>
        <w:tabs>
          <w:tab w:val="left" w:pos="4667"/>
        </w:tabs>
        <w:ind w:left="567" w:right="539"/>
        <w:rPr>
          <w:b/>
        </w:rPr>
      </w:pPr>
    </w:p>
    <w:p w14:paraId="0D6ACB9D" w14:textId="77777777" w:rsidR="00506B11" w:rsidRPr="006025DF" w:rsidRDefault="006025DF" w:rsidP="006025DF">
      <w:pPr>
        <w:tabs>
          <w:tab w:val="left" w:pos="4667"/>
        </w:tabs>
        <w:ind w:left="567" w:right="539"/>
        <w:rPr>
          <w:b/>
        </w:rPr>
      </w:pPr>
      <w:r w:rsidRPr="006025DF">
        <w:rPr>
          <w:b/>
        </w:rPr>
        <w:t>RAZONES O MOTIVOS DE LA INCONFORMIDAD</w:t>
      </w:r>
      <w:r w:rsidRPr="006025DF">
        <w:rPr>
          <w:b/>
        </w:rPr>
        <w:tab/>
      </w:r>
    </w:p>
    <w:p w14:paraId="55121130" w14:textId="77777777" w:rsidR="00506B11" w:rsidRPr="006025DF" w:rsidRDefault="006025DF" w:rsidP="006025DF">
      <w:pPr>
        <w:pStyle w:val="Puesto"/>
        <w:ind w:firstLine="0"/>
        <w:rPr>
          <w:color w:val="auto"/>
        </w:rPr>
      </w:pPr>
      <w:r w:rsidRPr="006025DF">
        <w:rPr>
          <w:color w:val="auto"/>
        </w:rPr>
        <w:t xml:space="preserve">la </w:t>
      </w:r>
      <w:proofErr w:type="spellStart"/>
      <w:r w:rsidRPr="006025DF">
        <w:rPr>
          <w:color w:val="auto"/>
        </w:rPr>
        <w:t>informacion</w:t>
      </w:r>
      <w:proofErr w:type="spellEnd"/>
      <w:r w:rsidRPr="006025DF">
        <w:rPr>
          <w:color w:val="auto"/>
        </w:rPr>
        <w:t xml:space="preserve"> no es la solicitada y falta toda la </w:t>
      </w:r>
      <w:proofErr w:type="spellStart"/>
      <w:r w:rsidRPr="006025DF">
        <w:rPr>
          <w:color w:val="auto"/>
        </w:rPr>
        <w:t>informacion</w:t>
      </w:r>
      <w:proofErr w:type="spellEnd"/>
      <w:r w:rsidRPr="006025DF">
        <w:rPr>
          <w:color w:val="auto"/>
        </w:rPr>
        <w:t>, se niegan a dar lo que se pide</w:t>
      </w:r>
    </w:p>
    <w:p w14:paraId="312A3F65" w14:textId="77777777" w:rsidR="00506B11" w:rsidRPr="006025DF" w:rsidRDefault="00506B11" w:rsidP="006025DF"/>
    <w:p w14:paraId="3CCEE12E" w14:textId="77777777" w:rsidR="00506B11" w:rsidRPr="006025DF" w:rsidRDefault="006025DF" w:rsidP="006025DF">
      <w:pPr>
        <w:pStyle w:val="Ttulo3"/>
      </w:pPr>
      <w:bookmarkStart w:id="10" w:name="_nj86fefgljmp" w:colFirst="0" w:colLast="0"/>
      <w:bookmarkEnd w:id="10"/>
      <w:r w:rsidRPr="006025DF">
        <w:t>b) Turno del Recurso de Revisión</w:t>
      </w:r>
    </w:p>
    <w:p w14:paraId="67A1733B" w14:textId="77777777" w:rsidR="00506B11" w:rsidRPr="006025DF" w:rsidRDefault="006025DF" w:rsidP="006025DF">
      <w:r w:rsidRPr="006025DF">
        <w:t>Con fundamento en el artículo 185, fracción I de la Ley de Transparencia y Acceso a la Información Pública del Estado de México y Municipios, el</w:t>
      </w:r>
      <w:r w:rsidRPr="006025DF">
        <w:rPr>
          <w:b/>
        </w:rPr>
        <w:t xml:space="preserve"> treinta y uno de enero de dos mil veinticinco,</w:t>
      </w:r>
      <w:r w:rsidRPr="006025DF">
        <w:t xml:space="preserve"> se turnó el recurso de revisión a través del SAIMEX a la </w:t>
      </w:r>
      <w:r w:rsidRPr="006025DF">
        <w:rPr>
          <w:b/>
        </w:rPr>
        <w:t>Comisionada Sharon Cristina Morales Martínez</w:t>
      </w:r>
      <w:r w:rsidRPr="006025DF">
        <w:t xml:space="preserve">, a efecto de decretar su admisión o desechamiento. </w:t>
      </w:r>
    </w:p>
    <w:p w14:paraId="37CE9040" w14:textId="77777777" w:rsidR="00506B11" w:rsidRPr="006025DF" w:rsidRDefault="00506B11" w:rsidP="006025DF"/>
    <w:p w14:paraId="0A80BDB9" w14:textId="77777777" w:rsidR="00506B11" w:rsidRPr="006025DF" w:rsidRDefault="006025DF" w:rsidP="006025DF">
      <w:pPr>
        <w:pStyle w:val="Ttulo3"/>
      </w:pPr>
      <w:bookmarkStart w:id="11" w:name="_dvd1qoh0bl4g" w:colFirst="0" w:colLast="0"/>
      <w:bookmarkEnd w:id="11"/>
      <w:r w:rsidRPr="006025DF">
        <w:lastRenderedPageBreak/>
        <w:t>c) Admisión del Recurso de Revisión</w:t>
      </w:r>
    </w:p>
    <w:p w14:paraId="07FB06DA" w14:textId="77777777" w:rsidR="00506B11" w:rsidRPr="006025DF" w:rsidRDefault="006025DF" w:rsidP="006025DF">
      <w:r w:rsidRPr="006025DF">
        <w:t xml:space="preserve">El </w:t>
      </w:r>
      <w:r w:rsidRPr="006025DF">
        <w:rPr>
          <w:b/>
        </w:rPr>
        <w:t>seis de febrero de dos mil veinticinco,</w:t>
      </w:r>
      <w:r w:rsidRPr="006025DF">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44285DA" w14:textId="77777777" w:rsidR="00506B11" w:rsidRPr="006025DF" w:rsidRDefault="00506B11" w:rsidP="006025DF"/>
    <w:p w14:paraId="4715DFED" w14:textId="77777777" w:rsidR="00506B11" w:rsidRPr="006025DF" w:rsidRDefault="006025DF" w:rsidP="006025DF">
      <w:pPr>
        <w:pStyle w:val="Ttulo3"/>
      </w:pPr>
      <w:bookmarkStart w:id="12" w:name="_gj7otuvrz3n7" w:colFirst="0" w:colLast="0"/>
      <w:bookmarkEnd w:id="12"/>
      <w:r w:rsidRPr="006025DF">
        <w:t>d) Informe Justificado del Sujeto Obligado</w:t>
      </w:r>
    </w:p>
    <w:p w14:paraId="2D3C57DF" w14:textId="77777777" w:rsidR="00506B11" w:rsidRPr="006025DF" w:rsidRDefault="006025DF" w:rsidP="006025DF">
      <w:r w:rsidRPr="006025DF">
        <w:t xml:space="preserve">El </w:t>
      </w:r>
      <w:r w:rsidRPr="006025DF">
        <w:rPr>
          <w:b/>
        </w:rPr>
        <w:t>diecisiete de febrero de dos mil veinticinco EL SUJETO OBLIGADO</w:t>
      </w:r>
      <w:r w:rsidRPr="006025DF">
        <w:t xml:space="preserve"> rindió su informe justificado a través del </w:t>
      </w:r>
      <w:r w:rsidRPr="006025DF">
        <w:rPr>
          <w:b/>
        </w:rPr>
        <w:t>SAIMEX</w:t>
      </w:r>
      <w:r w:rsidRPr="006025DF">
        <w:t>, por medio del archivo que se describe:</w:t>
      </w:r>
    </w:p>
    <w:p w14:paraId="7F03D881" w14:textId="77777777" w:rsidR="00506B11" w:rsidRPr="006025DF" w:rsidRDefault="00506B11" w:rsidP="006025DF"/>
    <w:p w14:paraId="5195CC8A" w14:textId="77777777" w:rsidR="00506B11" w:rsidRPr="006025DF" w:rsidRDefault="006025DF" w:rsidP="006025DF">
      <w:pPr>
        <w:numPr>
          <w:ilvl w:val="0"/>
          <w:numId w:val="2"/>
        </w:numPr>
        <w:pBdr>
          <w:top w:val="nil"/>
          <w:left w:val="nil"/>
          <w:bottom w:val="nil"/>
          <w:right w:val="nil"/>
          <w:between w:val="nil"/>
        </w:pBdr>
        <w:ind w:right="-28"/>
        <w:rPr>
          <w:b/>
          <w:i/>
        </w:rPr>
      </w:pPr>
      <w:r w:rsidRPr="006025DF">
        <w:rPr>
          <w:b/>
          <w:i/>
        </w:rPr>
        <w:t>Informes Justificados RR 427 S 033.pdf</w:t>
      </w:r>
    </w:p>
    <w:p w14:paraId="7AD4B7C0" w14:textId="77777777" w:rsidR="00506B11" w:rsidRPr="006025DF" w:rsidRDefault="006025DF" w:rsidP="006025DF">
      <w:pPr>
        <w:ind w:right="-28"/>
      </w:pPr>
      <w:r w:rsidRPr="006025DF">
        <w:t>Archivo constante de 8 páginas, en las que se aprecia el oficio número 200B10100/358/2025 de fecha 17 de febrero de 2025, suscrito por el Titular de la Unidad de Información, Planeación, Programación y Evaluación del Sistema Municipal DIF de Toluca, dirigido a la Comisionada Ponente, en el que hace una narración de los antecedentes de la solicitud de información, así como se pronuncia de los motivos de inconformidad aducidos por el particular manifestando que la solicitud de información fue atendida en tiempo y forma, por lo que se ratifica en todas y cada una de sus partes, solicitando se confirme dicha respuesta.</w:t>
      </w:r>
    </w:p>
    <w:p w14:paraId="4D9A36FD" w14:textId="77777777" w:rsidR="00506B11" w:rsidRPr="006025DF" w:rsidRDefault="00506B11" w:rsidP="006025DF">
      <w:pPr>
        <w:ind w:right="-28"/>
      </w:pPr>
    </w:p>
    <w:p w14:paraId="303C53AA" w14:textId="77777777" w:rsidR="00506B11" w:rsidRPr="006025DF" w:rsidRDefault="006025DF" w:rsidP="006025DF">
      <w:r w:rsidRPr="006025DF">
        <w:t xml:space="preserve">Esta información fue puesta a la vista de </w:t>
      </w:r>
      <w:r w:rsidRPr="006025DF">
        <w:rPr>
          <w:b/>
        </w:rPr>
        <w:t xml:space="preserve">LA PARTE RECURRENTE </w:t>
      </w:r>
      <w:r w:rsidRPr="006025DF">
        <w:t xml:space="preserve">el </w:t>
      </w:r>
      <w:r w:rsidRPr="006025DF">
        <w:rPr>
          <w:b/>
        </w:rPr>
        <w:t>dieciocho de febrero de dos mil veinticinco,</w:t>
      </w:r>
      <w:r w:rsidRPr="006025DF">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15626CBD" w14:textId="77777777" w:rsidR="00506B11" w:rsidRPr="006025DF" w:rsidRDefault="00506B11" w:rsidP="006025DF"/>
    <w:p w14:paraId="7BF2492D" w14:textId="77777777" w:rsidR="00506B11" w:rsidRPr="006025DF" w:rsidRDefault="006025DF" w:rsidP="006025DF">
      <w:pPr>
        <w:pStyle w:val="Ttulo3"/>
      </w:pPr>
      <w:bookmarkStart w:id="13" w:name="_4koy7dhdbzd2" w:colFirst="0" w:colLast="0"/>
      <w:bookmarkEnd w:id="13"/>
      <w:r w:rsidRPr="006025DF">
        <w:lastRenderedPageBreak/>
        <w:t>e) Manifestaciones de la Parte Recurrente</w:t>
      </w:r>
    </w:p>
    <w:p w14:paraId="18EE3E3C" w14:textId="77777777" w:rsidR="00506B11" w:rsidRPr="006025DF" w:rsidRDefault="006025DF" w:rsidP="006025DF">
      <w:r w:rsidRPr="006025DF">
        <w:rPr>
          <w:b/>
        </w:rPr>
        <w:t xml:space="preserve">LA PARTE RECURRENTE </w:t>
      </w:r>
      <w:r w:rsidRPr="006025DF">
        <w:t>no realizó manifestación alguna dentro del término legalmente concedido para tal efecto, ni presentó pruebas o alegatos.</w:t>
      </w:r>
    </w:p>
    <w:p w14:paraId="06D63315" w14:textId="77777777" w:rsidR="00506B11" w:rsidRPr="006025DF" w:rsidRDefault="00506B11" w:rsidP="006025DF"/>
    <w:p w14:paraId="62725158" w14:textId="77777777" w:rsidR="00506B11" w:rsidRPr="006025DF" w:rsidRDefault="006025DF" w:rsidP="006025DF">
      <w:pPr>
        <w:pStyle w:val="Ttulo3"/>
      </w:pPr>
      <w:bookmarkStart w:id="14" w:name="_13v5shpsl82w" w:colFirst="0" w:colLast="0"/>
      <w:bookmarkEnd w:id="14"/>
      <w:r w:rsidRPr="006025DF">
        <w:t>f) Cierre de instrucción</w:t>
      </w:r>
    </w:p>
    <w:p w14:paraId="56A776F5" w14:textId="77777777" w:rsidR="00506B11" w:rsidRPr="006025DF" w:rsidRDefault="006025DF" w:rsidP="006025DF">
      <w:r w:rsidRPr="006025DF">
        <w:t xml:space="preserve">Al no existir diligencias pendientes por desahogar, el </w:t>
      </w:r>
      <w:r w:rsidRPr="006025DF">
        <w:rPr>
          <w:b/>
        </w:rPr>
        <w:t>veinticinco de febrero de dos mil veinticinco,</w:t>
      </w:r>
      <w:r w:rsidRPr="006025DF">
        <w:t xml:space="preserve"> la </w:t>
      </w:r>
      <w:r w:rsidRPr="006025DF">
        <w:rPr>
          <w:b/>
        </w:rPr>
        <w:t xml:space="preserve">Comisionada Sharon Cristina Morales Martínez </w:t>
      </w:r>
      <w:r w:rsidRPr="006025DF">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18B749C" w14:textId="77777777" w:rsidR="00506B11" w:rsidRPr="006025DF" w:rsidRDefault="00506B11" w:rsidP="006025DF"/>
    <w:p w14:paraId="0E057C30" w14:textId="77777777" w:rsidR="00506B11" w:rsidRPr="006025DF" w:rsidRDefault="006025DF" w:rsidP="006025DF">
      <w:pPr>
        <w:rPr>
          <w:b/>
        </w:rPr>
      </w:pPr>
      <w:r w:rsidRPr="006025DF">
        <w:rPr>
          <w:b/>
        </w:rPr>
        <w:t>g) Ampliación de plazo para resolver el Recurso de Revisión</w:t>
      </w:r>
    </w:p>
    <w:p w14:paraId="0379E621" w14:textId="77777777" w:rsidR="00506B11" w:rsidRPr="006025DF" w:rsidRDefault="006025DF" w:rsidP="006025DF">
      <w:r w:rsidRPr="006025DF">
        <w:t>Con fundamento en lo dispuesto en el artículo 181, párrafo tercero, de la Ley de Transparencia y Acceso a la Información Pública del Estado de México y Municipios, el veinte de marzo de dos mil veinticinco se acordó ampliar por un periodo razonable el plazo para resolver el presente Recurso de Revisión; acuerdo que fue notificado a las partes a través del SAIMEX el quince de julio de dos mil veinticuatro</w:t>
      </w:r>
    </w:p>
    <w:p w14:paraId="767E254D" w14:textId="77777777" w:rsidR="00506B11" w:rsidRPr="006025DF" w:rsidRDefault="00506B11" w:rsidP="006025DF"/>
    <w:p w14:paraId="6069E658" w14:textId="77777777" w:rsidR="00506B11" w:rsidRPr="006025DF" w:rsidRDefault="006025DF" w:rsidP="006025DF">
      <w:pPr>
        <w:pStyle w:val="Ttulo1"/>
      </w:pPr>
      <w:bookmarkStart w:id="15" w:name="_65knrzbtyxwy" w:colFirst="0" w:colLast="0"/>
      <w:bookmarkEnd w:id="15"/>
      <w:r w:rsidRPr="006025DF">
        <w:t>CONSIDERANDOS</w:t>
      </w:r>
    </w:p>
    <w:p w14:paraId="59B6A30C" w14:textId="77777777" w:rsidR="00506B11" w:rsidRPr="006025DF" w:rsidRDefault="00506B11" w:rsidP="006025DF">
      <w:pPr>
        <w:jc w:val="center"/>
        <w:rPr>
          <w:b/>
        </w:rPr>
      </w:pPr>
    </w:p>
    <w:p w14:paraId="4E99DE79" w14:textId="77777777" w:rsidR="00506B11" w:rsidRPr="006025DF" w:rsidRDefault="006025DF" w:rsidP="006025DF">
      <w:pPr>
        <w:pStyle w:val="Ttulo2"/>
      </w:pPr>
      <w:bookmarkStart w:id="16" w:name="_nk4ijjrzrvch" w:colFirst="0" w:colLast="0"/>
      <w:bookmarkEnd w:id="16"/>
      <w:r w:rsidRPr="006025DF">
        <w:lastRenderedPageBreak/>
        <w:t>PRIMERO. Procedibilidad</w:t>
      </w:r>
    </w:p>
    <w:p w14:paraId="7FF89CFF" w14:textId="77777777" w:rsidR="00506B11" w:rsidRPr="006025DF" w:rsidRDefault="006025DF" w:rsidP="006025DF">
      <w:pPr>
        <w:pStyle w:val="Ttulo3"/>
      </w:pPr>
      <w:bookmarkStart w:id="17" w:name="_gb27p1scohex" w:colFirst="0" w:colLast="0"/>
      <w:bookmarkEnd w:id="17"/>
      <w:r w:rsidRPr="006025DF">
        <w:t>a) Competencia del Instituto</w:t>
      </w:r>
    </w:p>
    <w:p w14:paraId="7FABE90E" w14:textId="77777777" w:rsidR="00506B11" w:rsidRPr="006025DF" w:rsidRDefault="006025DF" w:rsidP="006025DF">
      <w:r w:rsidRPr="006025DF">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Instituto de Transparencia, Acceso a la Información Pública y Protección de Datos Personales del Estado de México y Municipios.</w:t>
      </w:r>
    </w:p>
    <w:p w14:paraId="0118B933" w14:textId="77777777" w:rsidR="00506B11" w:rsidRPr="006025DF" w:rsidRDefault="00506B11" w:rsidP="006025DF"/>
    <w:p w14:paraId="2C85776D" w14:textId="77777777" w:rsidR="00506B11" w:rsidRPr="006025DF" w:rsidRDefault="006025DF" w:rsidP="006025DF">
      <w:pPr>
        <w:pStyle w:val="Ttulo3"/>
      </w:pPr>
      <w:bookmarkStart w:id="18" w:name="_7u14s9t0lzwu" w:colFirst="0" w:colLast="0"/>
      <w:bookmarkEnd w:id="18"/>
      <w:r w:rsidRPr="006025DF">
        <w:t>b) Legitimidad de la parte recurrente</w:t>
      </w:r>
    </w:p>
    <w:p w14:paraId="17435649" w14:textId="77777777" w:rsidR="00506B11" w:rsidRPr="006025DF" w:rsidRDefault="006025DF" w:rsidP="006025DF">
      <w:r w:rsidRPr="006025DF">
        <w:t>El recurso de revisión fue interpuesto por parte legítima, ya que se presentó por la misma persona que formuló la solicitud de acceso a la Información Pública,</w:t>
      </w:r>
      <w:r w:rsidRPr="006025DF">
        <w:rPr>
          <w:b/>
        </w:rPr>
        <w:t xml:space="preserve"> </w:t>
      </w:r>
      <w:r w:rsidRPr="006025DF">
        <w:t>debido a que los datos de acceso</w:t>
      </w:r>
      <w:r w:rsidRPr="006025DF">
        <w:rPr>
          <w:b/>
        </w:rPr>
        <w:t xml:space="preserve"> SAIMEX</w:t>
      </w:r>
      <w:r w:rsidRPr="006025DF">
        <w:t xml:space="preserve"> son personales e irrepetibles.</w:t>
      </w:r>
    </w:p>
    <w:p w14:paraId="0D51EAA7" w14:textId="77777777" w:rsidR="00506B11" w:rsidRPr="006025DF" w:rsidRDefault="00506B11" w:rsidP="006025DF"/>
    <w:p w14:paraId="1AA3C660" w14:textId="77777777" w:rsidR="00506B11" w:rsidRPr="006025DF" w:rsidRDefault="006025DF" w:rsidP="006025DF">
      <w:pPr>
        <w:pStyle w:val="Ttulo3"/>
      </w:pPr>
      <w:bookmarkStart w:id="19" w:name="_aib31lnghfss" w:colFirst="0" w:colLast="0"/>
      <w:bookmarkEnd w:id="19"/>
      <w:r w:rsidRPr="006025DF">
        <w:t>c) Plazo para interponer el recurso</w:t>
      </w:r>
    </w:p>
    <w:p w14:paraId="17FE0777" w14:textId="77777777" w:rsidR="00506B11" w:rsidRPr="006025DF" w:rsidRDefault="006025DF" w:rsidP="006025DF">
      <w:r w:rsidRPr="006025DF">
        <w:rPr>
          <w:b/>
        </w:rPr>
        <w:t>EL SUJETO OBLIGADO</w:t>
      </w:r>
      <w:r w:rsidRPr="006025DF">
        <w:t xml:space="preserve"> notificó la respuesta a la solicitud de acceso a la Información Pública el </w:t>
      </w:r>
      <w:r w:rsidRPr="006025DF">
        <w:rPr>
          <w:b/>
        </w:rPr>
        <w:t>veintinueve de enero de dos mil veinticinco,</w:t>
      </w:r>
      <w:r w:rsidRPr="006025DF">
        <w:t xml:space="preserve"> y el recurso que nos ocupa se tuvo por presentado el </w:t>
      </w:r>
      <w:r w:rsidRPr="006025DF">
        <w:rPr>
          <w:b/>
        </w:rPr>
        <w:t>treinta y uno de enero de dos mil veinticinco</w:t>
      </w:r>
      <w:r w:rsidRPr="006025DF">
        <w:t>; por lo tanto, éste se encuentra dentro del margen temporal previsto en el artículo 178 de la Ley de Transparencia y Acceso a la Información Pública del Estado de México y Municipios.</w:t>
      </w:r>
    </w:p>
    <w:p w14:paraId="07710D01" w14:textId="77777777" w:rsidR="00506B11" w:rsidRPr="006025DF" w:rsidRDefault="00506B11" w:rsidP="006025DF"/>
    <w:p w14:paraId="170C9401" w14:textId="77777777" w:rsidR="00506B11" w:rsidRPr="006025DF" w:rsidRDefault="006025DF" w:rsidP="006025DF">
      <w:pPr>
        <w:pStyle w:val="Ttulo3"/>
      </w:pPr>
      <w:bookmarkStart w:id="20" w:name="_niizhl4go6km" w:colFirst="0" w:colLast="0"/>
      <w:bookmarkEnd w:id="20"/>
      <w:r w:rsidRPr="006025DF">
        <w:t>d) Causal de Procedencia</w:t>
      </w:r>
    </w:p>
    <w:p w14:paraId="5896A1C6" w14:textId="77777777" w:rsidR="00506B11" w:rsidRPr="006025DF" w:rsidRDefault="006025DF" w:rsidP="006025DF">
      <w:r w:rsidRPr="006025DF">
        <w:t>Resulta procedente la interposición del recurso de revisión, ya que se actualiza la causal de procedencia señalada en el artículo 179, fracción I de la Ley de Transparencia y Acceso a la Información Pública del Estado de México y Municipios.</w:t>
      </w:r>
    </w:p>
    <w:p w14:paraId="25C8FBFD" w14:textId="77777777" w:rsidR="00506B11" w:rsidRPr="006025DF" w:rsidRDefault="00506B11" w:rsidP="006025DF"/>
    <w:p w14:paraId="2A77ECFB" w14:textId="77777777" w:rsidR="00506B11" w:rsidRPr="006025DF" w:rsidRDefault="006025DF" w:rsidP="006025DF">
      <w:pPr>
        <w:pStyle w:val="Ttulo3"/>
      </w:pPr>
      <w:bookmarkStart w:id="21" w:name="_d3v8vckfayoj" w:colFirst="0" w:colLast="0"/>
      <w:bookmarkEnd w:id="21"/>
      <w:r w:rsidRPr="006025DF">
        <w:t>e) Requisitos formales para la interposición del recurso</w:t>
      </w:r>
    </w:p>
    <w:p w14:paraId="55CB2B61" w14:textId="77777777" w:rsidR="00506B11" w:rsidRPr="006025DF" w:rsidRDefault="006025DF" w:rsidP="006025DF">
      <w:r w:rsidRPr="006025DF">
        <w:t xml:space="preserve">Es importante mencionar que, de la revisión del expediente electrónico del </w:t>
      </w:r>
      <w:r w:rsidRPr="006025DF">
        <w:rPr>
          <w:b/>
        </w:rPr>
        <w:t>SAIMEX</w:t>
      </w:r>
      <w:r w:rsidRPr="006025DF">
        <w:t xml:space="preserve">, se observa que </w:t>
      </w:r>
      <w:r w:rsidRPr="006025DF">
        <w:rPr>
          <w:b/>
        </w:rPr>
        <w:t>LA PARTE RECURRENTE</w:t>
      </w:r>
      <w:r w:rsidRPr="006025DF">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025DF">
        <w:rPr>
          <w:b/>
          <w:u w:val="single"/>
        </w:rPr>
        <w:t>el nombre no es un requisito indispensable</w:t>
      </w:r>
      <w:r w:rsidRPr="006025DF">
        <w:t xml:space="preserve"> para que las y los ciudadanos ejerzan el derecho de acceso a la información pública. </w:t>
      </w:r>
    </w:p>
    <w:p w14:paraId="6E4C0C0A" w14:textId="77777777" w:rsidR="00506B11" w:rsidRPr="006025DF" w:rsidRDefault="00506B11" w:rsidP="006025DF"/>
    <w:p w14:paraId="7676D9BC" w14:textId="77777777" w:rsidR="00506B11" w:rsidRPr="006025DF" w:rsidRDefault="006025DF" w:rsidP="006025DF">
      <w:r w:rsidRPr="006025DF">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025DF">
        <w:rPr>
          <w:b/>
        </w:rPr>
        <w:t>LA PARTE RECURRENTE</w:t>
      </w:r>
      <w:r w:rsidRPr="006025DF">
        <w:t xml:space="preserve">; por lo que, en el presente caso, al haber sido presentado el recurso de revisión vía </w:t>
      </w:r>
      <w:r w:rsidRPr="006025DF">
        <w:rPr>
          <w:b/>
        </w:rPr>
        <w:t>SAIMEX</w:t>
      </w:r>
      <w:r w:rsidRPr="006025DF">
        <w:t>, dicho requisito resulta innecesario.</w:t>
      </w:r>
    </w:p>
    <w:p w14:paraId="488BF61C" w14:textId="77777777" w:rsidR="00506B11" w:rsidRPr="006025DF" w:rsidRDefault="00506B11" w:rsidP="006025DF"/>
    <w:p w14:paraId="3C6D70E8" w14:textId="77777777" w:rsidR="00506B11" w:rsidRPr="006025DF" w:rsidRDefault="006025DF" w:rsidP="006025DF">
      <w:pPr>
        <w:pStyle w:val="Ttulo2"/>
      </w:pPr>
      <w:bookmarkStart w:id="22" w:name="_2b1z425s6w89" w:colFirst="0" w:colLast="0"/>
      <w:bookmarkEnd w:id="22"/>
      <w:r w:rsidRPr="006025DF">
        <w:lastRenderedPageBreak/>
        <w:t>SEGUNDO. Estudio de Fondo</w:t>
      </w:r>
    </w:p>
    <w:p w14:paraId="4D913ADD" w14:textId="77777777" w:rsidR="00506B11" w:rsidRPr="006025DF" w:rsidRDefault="006025DF" w:rsidP="006025DF">
      <w:pPr>
        <w:pStyle w:val="Ttulo3"/>
      </w:pPr>
      <w:bookmarkStart w:id="23" w:name="_fyuqy2qei3vv" w:colFirst="0" w:colLast="0"/>
      <w:bookmarkEnd w:id="23"/>
      <w:r w:rsidRPr="006025DF">
        <w:t>a) Mandato de transparencia y responsabilidad del Sujeto Obligado</w:t>
      </w:r>
    </w:p>
    <w:p w14:paraId="578C0E2B" w14:textId="77777777" w:rsidR="00506B11" w:rsidRPr="006025DF" w:rsidRDefault="006025DF" w:rsidP="006025DF">
      <w:r w:rsidRPr="006025DF">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3087850" w14:textId="77777777" w:rsidR="00506B11" w:rsidRPr="006025DF" w:rsidRDefault="00506B11" w:rsidP="006025DF"/>
    <w:p w14:paraId="66FC7618" w14:textId="77777777" w:rsidR="00506B11" w:rsidRPr="006025DF" w:rsidRDefault="006025DF" w:rsidP="006025DF">
      <w:pPr>
        <w:spacing w:line="240" w:lineRule="auto"/>
        <w:ind w:left="567" w:right="539"/>
        <w:rPr>
          <w:b/>
          <w:i/>
        </w:rPr>
      </w:pPr>
      <w:r w:rsidRPr="006025DF">
        <w:rPr>
          <w:b/>
          <w:i/>
        </w:rPr>
        <w:t>Constitución Política de los Estados Unidos Mexicanos</w:t>
      </w:r>
    </w:p>
    <w:p w14:paraId="7E4B592C" w14:textId="77777777" w:rsidR="00506B11" w:rsidRPr="006025DF" w:rsidRDefault="006025DF" w:rsidP="006025DF">
      <w:pPr>
        <w:spacing w:line="240" w:lineRule="auto"/>
        <w:ind w:left="567" w:right="539"/>
        <w:rPr>
          <w:b/>
          <w:i/>
        </w:rPr>
      </w:pPr>
      <w:r w:rsidRPr="006025DF">
        <w:rPr>
          <w:b/>
          <w:i/>
        </w:rPr>
        <w:t>“Artículo 6.</w:t>
      </w:r>
    </w:p>
    <w:p w14:paraId="2BA8E0C0" w14:textId="77777777" w:rsidR="00506B11" w:rsidRPr="006025DF" w:rsidRDefault="006025DF" w:rsidP="006025DF">
      <w:pPr>
        <w:spacing w:line="240" w:lineRule="auto"/>
        <w:ind w:left="567" w:right="539"/>
        <w:rPr>
          <w:i/>
        </w:rPr>
      </w:pPr>
      <w:r w:rsidRPr="006025DF">
        <w:rPr>
          <w:i/>
        </w:rPr>
        <w:t>(…)</w:t>
      </w:r>
    </w:p>
    <w:p w14:paraId="08C2F1A8" w14:textId="77777777" w:rsidR="00506B11" w:rsidRPr="006025DF" w:rsidRDefault="006025DF" w:rsidP="006025DF">
      <w:pPr>
        <w:spacing w:line="240" w:lineRule="auto"/>
        <w:ind w:left="567" w:right="539"/>
        <w:rPr>
          <w:i/>
        </w:rPr>
      </w:pPr>
      <w:r w:rsidRPr="006025DF">
        <w:rPr>
          <w:i/>
        </w:rPr>
        <w:t>Para efectos de lo dispuesto en el presente artículo se observará lo siguiente:</w:t>
      </w:r>
    </w:p>
    <w:p w14:paraId="39BD6D95" w14:textId="77777777" w:rsidR="00506B11" w:rsidRPr="006025DF" w:rsidRDefault="006025DF" w:rsidP="006025DF">
      <w:pPr>
        <w:spacing w:line="240" w:lineRule="auto"/>
        <w:ind w:left="567" w:right="539"/>
        <w:rPr>
          <w:b/>
          <w:i/>
        </w:rPr>
      </w:pPr>
      <w:r w:rsidRPr="006025DF">
        <w:rPr>
          <w:b/>
          <w:i/>
        </w:rPr>
        <w:t>A</w:t>
      </w:r>
      <w:r w:rsidRPr="006025DF">
        <w:rPr>
          <w:i/>
        </w:rPr>
        <w:t xml:space="preserve">. </w:t>
      </w:r>
      <w:r w:rsidRPr="006025DF">
        <w:rPr>
          <w:b/>
          <w:i/>
        </w:rPr>
        <w:t>Para el ejercicio del derecho de acceso a la información</w:t>
      </w:r>
      <w:r w:rsidRPr="006025DF">
        <w:rPr>
          <w:i/>
        </w:rPr>
        <w:t xml:space="preserve">, la Federación y </w:t>
      </w:r>
      <w:r w:rsidRPr="006025DF">
        <w:rPr>
          <w:b/>
          <w:i/>
        </w:rPr>
        <w:t>las entidades federativas, en el ámbito de sus respectivas competencias, se regirán por los siguientes principios y bases:</w:t>
      </w:r>
    </w:p>
    <w:p w14:paraId="3321C5C5" w14:textId="77777777" w:rsidR="00506B11" w:rsidRPr="006025DF" w:rsidRDefault="006025DF" w:rsidP="006025DF">
      <w:pPr>
        <w:spacing w:line="240" w:lineRule="auto"/>
        <w:ind w:left="567" w:right="539"/>
        <w:rPr>
          <w:i/>
        </w:rPr>
      </w:pPr>
      <w:r w:rsidRPr="006025DF">
        <w:rPr>
          <w:b/>
          <w:i/>
        </w:rPr>
        <w:t xml:space="preserve">I. </w:t>
      </w:r>
      <w:r w:rsidRPr="006025DF">
        <w:rPr>
          <w:b/>
          <w:i/>
        </w:rPr>
        <w:tab/>
        <w:t>Toda la información en posesión de cualquier</w:t>
      </w:r>
      <w:r w:rsidRPr="006025DF">
        <w:rPr>
          <w:i/>
        </w:rPr>
        <w:t xml:space="preserve"> </w:t>
      </w:r>
      <w:r w:rsidRPr="006025DF">
        <w:rPr>
          <w:b/>
          <w:i/>
        </w:rPr>
        <w:t>autoridad</w:t>
      </w:r>
      <w:r w:rsidRPr="006025D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025DF">
        <w:rPr>
          <w:b/>
          <w:i/>
        </w:rPr>
        <w:t>municipal</w:t>
      </w:r>
      <w:r w:rsidRPr="006025DF">
        <w:rPr>
          <w:i/>
        </w:rPr>
        <w:t xml:space="preserve">, </w:t>
      </w:r>
      <w:r w:rsidRPr="006025DF">
        <w:rPr>
          <w:b/>
          <w:i/>
        </w:rPr>
        <w:t>es pública</w:t>
      </w:r>
      <w:r w:rsidRPr="006025DF">
        <w:rPr>
          <w:i/>
        </w:rPr>
        <w:t xml:space="preserve"> y sólo podrá ser reservada temporalmente por razones de interés público y seguridad nacional, en los términos que fijen las leyes. </w:t>
      </w:r>
      <w:r w:rsidRPr="006025DF">
        <w:rPr>
          <w:b/>
          <w:i/>
        </w:rPr>
        <w:t>En la interpretación de este derecho deberá prevalecer el principio de máxima publicidad. Los sujetos obligados deberán documentar todo acto que derive del ejercicio de sus facultades, competencias o funciones</w:t>
      </w:r>
      <w:r w:rsidRPr="006025DF">
        <w:rPr>
          <w:i/>
        </w:rPr>
        <w:t>, la ley determinará los supuestos específicos bajo los cuales procederá la declaración de inexistencia de la información.”</w:t>
      </w:r>
    </w:p>
    <w:p w14:paraId="31ACEBD6" w14:textId="77777777" w:rsidR="00506B11" w:rsidRPr="006025DF" w:rsidRDefault="00506B11" w:rsidP="006025DF">
      <w:pPr>
        <w:spacing w:line="240" w:lineRule="auto"/>
        <w:ind w:left="567" w:right="539"/>
        <w:rPr>
          <w:b/>
          <w:i/>
        </w:rPr>
      </w:pPr>
    </w:p>
    <w:p w14:paraId="51E03F57" w14:textId="77777777" w:rsidR="00506B11" w:rsidRPr="006025DF" w:rsidRDefault="006025DF" w:rsidP="006025DF">
      <w:pPr>
        <w:spacing w:line="240" w:lineRule="auto"/>
        <w:ind w:left="567" w:right="539"/>
        <w:rPr>
          <w:b/>
          <w:i/>
        </w:rPr>
      </w:pPr>
      <w:r w:rsidRPr="006025DF">
        <w:rPr>
          <w:b/>
          <w:i/>
        </w:rPr>
        <w:t>Constitución Política del Estado Libre y Soberano de México</w:t>
      </w:r>
    </w:p>
    <w:p w14:paraId="22EADB34" w14:textId="77777777" w:rsidR="00506B11" w:rsidRPr="006025DF" w:rsidRDefault="006025DF" w:rsidP="006025DF">
      <w:pPr>
        <w:spacing w:line="240" w:lineRule="auto"/>
        <w:ind w:left="567" w:right="539"/>
        <w:rPr>
          <w:i/>
        </w:rPr>
      </w:pPr>
      <w:r w:rsidRPr="006025DF">
        <w:rPr>
          <w:b/>
          <w:i/>
        </w:rPr>
        <w:t>“Artículo 5</w:t>
      </w:r>
      <w:r w:rsidRPr="006025DF">
        <w:rPr>
          <w:i/>
        </w:rPr>
        <w:t xml:space="preserve">.- </w:t>
      </w:r>
    </w:p>
    <w:p w14:paraId="26E81144" w14:textId="77777777" w:rsidR="00506B11" w:rsidRPr="006025DF" w:rsidRDefault="006025DF" w:rsidP="006025DF">
      <w:pPr>
        <w:spacing w:line="240" w:lineRule="auto"/>
        <w:ind w:left="567" w:right="539"/>
        <w:rPr>
          <w:i/>
        </w:rPr>
      </w:pPr>
      <w:r w:rsidRPr="006025DF">
        <w:rPr>
          <w:i/>
        </w:rPr>
        <w:t>(…)</w:t>
      </w:r>
    </w:p>
    <w:p w14:paraId="2FEB1A19" w14:textId="77777777" w:rsidR="00506B11" w:rsidRPr="006025DF" w:rsidRDefault="006025DF" w:rsidP="006025DF">
      <w:pPr>
        <w:spacing w:line="240" w:lineRule="auto"/>
        <w:ind w:left="567" w:right="539"/>
        <w:rPr>
          <w:i/>
        </w:rPr>
      </w:pPr>
      <w:r w:rsidRPr="006025DF">
        <w:rPr>
          <w:b/>
          <w:i/>
        </w:rPr>
        <w:t>El derecho a la información será garantizado por el Estado. La ley establecerá las previsiones que permitan asegurar la protección, el respeto y la difusión de este derecho</w:t>
      </w:r>
      <w:r w:rsidRPr="006025DF">
        <w:rPr>
          <w:i/>
        </w:rPr>
        <w:t>.</w:t>
      </w:r>
    </w:p>
    <w:p w14:paraId="6954F3FE" w14:textId="77777777" w:rsidR="00506B11" w:rsidRPr="006025DF" w:rsidRDefault="006025DF" w:rsidP="006025DF">
      <w:pPr>
        <w:spacing w:line="240" w:lineRule="auto"/>
        <w:ind w:left="567" w:right="539"/>
        <w:rPr>
          <w:i/>
        </w:rPr>
      </w:pPr>
      <w:r w:rsidRPr="006025D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2138FA" w14:textId="77777777" w:rsidR="00506B11" w:rsidRPr="006025DF" w:rsidRDefault="006025DF" w:rsidP="006025DF">
      <w:pPr>
        <w:spacing w:line="240" w:lineRule="auto"/>
        <w:ind w:left="567" w:right="539"/>
        <w:rPr>
          <w:i/>
        </w:rPr>
      </w:pPr>
      <w:r w:rsidRPr="006025DF">
        <w:rPr>
          <w:b/>
          <w:i/>
        </w:rPr>
        <w:lastRenderedPageBreak/>
        <w:t>Este derecho se regirá por los principios y bases siguientes</w:t>
      </w:r>
      <w:r w:rsidRPr="006025DF">
        <w:rPr>
          <w:i/>
        </w:rPr>
        <w:t>:</w:t>
      </w:r>
    </w:p>
    <w:p w14:paraId="4493C9A1" w14:textId="77777777" w:rsidR="00506B11" w:rsidRPr="006025DF" w:rsidRDefault="006025DF" w:rsidP="006025DF">
      <w:pPr>
        <w:spacing w:line="240" w:lineRule="auto"/>
        <w:ind w:left="567" w:right="539"/>
        <w:rPr>
          <w:i/>
        </w:rPr>
      </w:pPr>
      <w:r w:rsidRPr="006025DF">
        <w:rPr>
          <w:b/>
          <w:i/>
        </w:rPr>
        <w:t>I. Toda la información en posesión de cualquier autoridad, entidad, órgano y organismos de los</w:t>
      </w:r>
      <w:r w:rsidRPr="006025DF">
        <w:rPr>
          <w:i/>
        </w:rPr>
        <w:t xml:space="preserve"> Poderes Ejecutivo, Legislativo y Judicial, órganos autónomos, partidos políticos, fideicomisos y fondos públicos estatales y </w:t>
      </w:r>
      <w:r w:rsidRPr="006025DF">
        <w:rPr>
          <w:b/>
          <w:i/>
        </w:rPr>
        <w:t>municipales</w:t>
      </w:r>
      <w:r w:rsidRPr="006025D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025DF">
        <w:rPr>
          <w:b/>
          <w:i/>
        </w:rPr>
        <w:t>es pública</w:t>
      </w:r>
      <w:r w:rsidRPr="006025DF">
        <w:rPr>
          <w:i/>
        </w:rPr>
        <w:t xml:space="preserve"> y sólo podrá ser reservada temporalmente por razones previstas en la Constitución Política de los Estados Unidos Mexicanos de interés público y seguridad, en los términos que fijen las leyes. </w:t>
      </w:r>
      <w:r w:rsidRPr="006025DF">
        <w:rPr>
          <w:b/>
          <w:i/>
        </w:rPr>
        <w:t>En la interpretación de este derecho deberá prevalecer el principio de máxima publicidad</w:t>
      </w:r>
      <w:r w:rsidRPr="006025DF">
        <w:rPr>
          <w:i/>
        </w:rPr>
        <w:t xml:space="preserve">. </w:t>
      </w:r>
      <w:r w:rsidRPr="006025DF">
        <w:rPr>
          <w:b/>
          <w:i/>
        </w:rPr>
        <w:t>Los sujetos obligados deberán documentar todo acto que derive del ejercicio de sus facultades, competencias o funciones</w:t>
      </w:r>
      <w:r w:rsidRPr="006025DF">
        <w:rPr>
          <w:i/>
        </w:rPr>
        <w:t>, la ley determinará los supuestos específicos bajo los cuales procederá la declaración de inexistencia de la información.”</w:t>
      </w:r>
    </w:p>
    <w:p w14:paraId="74AAF43C" w14:textId="77777777" w:rsidR="00506B11" w:rsidRPr="006025DF" w:rsidRDefault="00506B11" w:rsidP="006025DF">
      <w:pPr>
        <w:rPr>
          <w:b/>
          <w:i/>
        </w:rPr>
      </w:pPr>
    </w:p>
    <w:p w14:paraId="5D689E54" w14:textId="77777777" w:rsidR="00506B11" w:rsidRPr="006025DF" w:rsidRDefault="006025DF" w:rsidP="006025DF">
      <w:pPr>
        <w:rPr>
          <w:i/>
        </w:rPr>
      </w:pPr>
      <w:r w:rsidRPr="006025DF">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025DF">
        <w:rPr>
          <w:i/>
        </w:rPr>
        <w:t>por los principios de simplicidad, rapidez, gratuidad del procedimiento, auxilio y orientación a los particulares.</w:t>
      </w:r>
    </w:p>
    <w:p w14:paraId="118ED229" w14:textId="77777777" w:rsidR="00506B11" w:rsidRPr="006025DF" w:rsidRDefault="00506B11" w:rsidP="006025DF">
      <w:pPr>
        <w:rPr>
          <w:i/>
        </w:rPr>
      </w:pPr>
    </w:p>
    <w:p w14:paraId="2F2139F9" w14:textId="77777777" w:rsidR="00506B11" w:rsidRPr="006025DF" w:rsidRDefault="006025DF" w:rsidP="006025DF">
      <w:pPr>
        <w:rPr>
          <w:i/>
        </w:rPr>
      </w:pPr>
      <w:r w:rsidRPr="006025DF">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8B9DF73" w14:textId="77777777" w:rsidR="00506B11" w:rsidRPr="006025DF" w:rsidRDefault="00506B11" w:rsidP="006025DF"/>
    <w:p w14:paraId="7DBDF805" w14:textId="77777777" w:rsidR="00506B11" w:rsidRPr="006025DF" w:rsidRDefault="006025DF" w:rsidP="006025DF">
      <w:r w:rsidRPr="006025D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BE0CF53" w14:textId="77777777" w:rsidR="00506B11" w:rsidRPr="006025DF" w:rsidRDefault="00506B11" w:rsidP="006025DF"/>
    <w:p w14:paraId="7A7E9890" w14:textId="77777777" w:rsidR="00506B11" w:rsidRPr="006025DF" w:rsidRDefault="006025DF" w:rsidP="006025DF">
      <w:r w:rsidRPr="006025DF">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5AFBE6D" w14:textId="77777777" w:rsidR="00506B11" w:rsidRPr="006025DF" w:rsidRDefault="00506B11" w:rsidP="006025DF"/>
    <w:p w14:paraId="22294E04" w14:textId="77777777" w:rsidR="00506B11" w:rsidRPr="006025DF" w:rsidRDefault="006025DF" w:rsidP="006025DF">
      <w:r w:rsidRPr="006025DF">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5A2B0F1" w14:textId="77777777" w:rsidR="00506B11" w:rsidRPr="006025DF" w:rsidRDefault="00506B11" w:rsidP="006025DF"/>
    <w:p w14:paraId="6D6ADDF2" w14:textId="77777777" w:rsidR="00506B11" w:rsidRPr="006025DF" w:rsidRDefault="006025DF" w:rsidP="006025DF">
      <w:pPr>
        <w:pStyle w:val="Ttulo3"/>
      </w:pPr>
      <w:bookmarkStart w:id="24" w:name="_rrcdc4ngvr2w" w:colFirst="0" w:colLast="0"/>
      <w:bookmarkEnd w:id="24"/>
      <w:r w:rsidRPr="006025DF">
        <w:t>b) Controversia a resolver</w:t>
      </w:r>
    </w:p>
    <w:p w14:paraId="37D1894C" w14:textId="77777777" w:rsidR="00506B11" w:rsidRPr="006025DF" w:rsidRDefault="006025DF" w:rsidP="006025DF">
      <w:r w:rsidRPr="006025DF">
        <w:t xml:space="preserve">Con el objeto de ilustrar la controversia planteada, resulta conveniente precisar que, una vez realizado el estudio de las constancias que integran el expediente en que se actúa, se desprende que </w:t>
      </w:r>
      <w:r w:rsidRPr="006025DF">
        <w:rPr>
          <w:b/>
        </w:rPr>
        <w:t>LA PARTE RECURRENTE</w:t>
      </w:r>
      <w:r w:rsidRPr="006025DF">
        <w:t xml:space="preserve"> solicitó todos los documentos que integran el proceso para la realización de trabajos de mantenimiento en los diversos inmuebles que ocupa, incluyendo bitácoras, compras, como se pagaron los insumos que se adquirieron para reparaciones, tickets, facturas, del año 2023 y 2024.</w:t>
      </w:r>
    </w:p>
    <w:p w14:paraId="7C8CF02A" w14:textId="77777777" w:rsidR="00506B11" w:rsidRPr="006025DF" w:rsidRDefault="006025DF" w:rsidP="006025DF">
      <w:pPr>
        <w:tabs>
          <w:tab w:val="left" w:pos="4962"/>
        </w:tabs>
      </w:pPr>
      <w:r w:rsidRPr="006025DF">
        <w:t xml:space="preserve"> </w:t>
      </w:r>
    </w:p>
    <w:p w14:paraId="45E66701" w14:textId="77777777" w:rsidR="00506B11" w:rsidRPr="006025DF" w:rsidRDefault="006025DF" w:rsidP="006025DF">
      <w:pPr>
        <w:ind w:right="-28"/>
      </w:pPr>
      <w:r w:rsidRPr="006025DF">
        <w:t xml:space="preserve">En respuesta, </w:t>
      </w:r>
      <w:r w:rsidRPr="006025DF">
        <w:rPr>
          <w:b/>
        </w:rPr>
        <w:t>EL SUJETO OBLIGADO</w:t>
      </w:r>
      <w:r w:rsidRPr="006025DF">
        <w:t xml:space="preserve"> se pronunció por medio de la Dirección de Administración y Tesorería, así como el área de mantenimiento quienes remitieron diversas </w:t>
      </w:r>
      <w:r w:rsidRPr="006025DF">
        <w:lastRenderedPageBreak/>
        <w:t xml:space="preserve">cotizaciones, facturas, comprobantes de transferencias bancarias y bitácoras de mantenimiento. </w:t>
      </w:r>
    </w:p>
    <w:p w14:paraId="330A72FF" w14:textId="77777777" w:rsidR="00506B11" w:rsidRPr="006025DF" w:rsidRDefault="00506B11" w:rsidP="006025DF">
      <w:pPr>
        <w:ind w:right="-28"/>
      </w:pPr>
    </w:p>
    <w:p w14:paraId="32EA6E1D" w14:textId="77777777" w:rsidR="00506B11" w:rsidRPr="006025DF" w:rsidRDefault="006025DF" w:rsidP="006025DF">
      <w:pPr>
        <w:tabs>
          <w:tab w:val="left" w:pos="4962"/>
        </w:tabs>
      </w:pPr>
      <w:r w:rsidRPr="006025DF">
        <w:t xml:space="preserve">Ahora bien, en la interposición del presente recurso, </w:t>
      </w:r>
      <w:r w:rsidRPr="006025DF">
        <w:rPr>
          <w:b/>
        </w:rPr>
        <w:t>LA PARTE RECURRENTE</w:t>
      </w:r>
      <w:r w:rsidRPr="006025DF">
        <w:t xml:space="preserve"> se inconformó manifestando que la información no es la solicitada y falta toda la información.</w:t>
      </w:r>
    </w:p>
    <w:p w14:paraId="668F2154" w14:textId="77777777" w:rsidR="00506B11" w:rsidRPr="006025DF" w:rsidRDefault="00506B11" w:rsidP="006025DF"/>
    <w:p w14:paraId="1BFE88B5" w14:textId="77777777" w:rsidR="00506B11" w:rsidRPr="006025DF" w:rsidRDefault="006025DF" w:rsidP="006025DF">
      <w:r w:rsidRPr="006025DF">
        <w:t xml:space="preserve">Abierta la etapa de instrucción, </w:t>
      </w:r>
      <w:r w:rsidRPr="006025DF">
        <w:rPr>
          <w:b/>
        </w:rPr>
        <w:t>EL SUJETO OBLIGADO</w:t>
      </w:r>
      <w:r w:rsidRPr="006025DF">
        <w:t xml:space="preserve"> rindió su Informe Justificado ratificando en términos generales su respuesta primigenia. </w:t>
      </w:r>
      <w:r w:rsidRPr="006025DF">
        <w:rPr>
          <w:b/>
        </w:rPr>
        <w:t xml:space="preserve">LA PARTE RECURRENTE </w:t>
      </w:r>
      <w:r w:rsidRPr="006025DF">
        <w:t>omitió realizar las manifestaciones que a su derecho conviniera.</w:t>
      </w:r>
    </w:p>
    <w:p w14:paraId="0ECF3E88" w14:textId="77777777" w:rsidR="00506B11" w:rsidRPr="006025DF" w:rsidRDefault="00506B11" w:rsidP="006025DF"/>
    <w:p w14:paraId="3F9E926A" w14:textId="77777777" w:rsidR="00506B11" w:rsidRPr="006025DF" w:rsidRDefault="006025DF" w:rsidP="006025DF">
      <w:r w:rsidRPr="006025DF">
        <w:t xml:space="preserve">Bajo las premisas anteriores, se concluye que la controversia a dilucidar en el presente medio de impugnación será verificar si la información proporcionada en respuesta e informe justificado por </w:t>
      </w:r>
      <w:r w:rsidRPr="006025DF">
        <w:rPr>
          <w:b/>
        </w:rPr>
        <w:t xml:space="preserve">EL SUJETO OBLIGADO </w:t>
      </w:r>
      <w:r w:rsidRPr="006025DF">
        <w:t xml:space="preserve">es adecuada y suficiente para tener por satisfecho el derecho de acceso a la información pública de </w:t>
      </w:r>
      <w:r w:rsidRPr="006025DF">
        <w:rPr>
          <w:b/>
        </w:rPr>
        <w:t>LA PARTE RECURRENTE</w:t>
      </w:r>
      <w:r w:rsidRPr="006025DF">
        <w:t>, o en su caso, ordenar la entrega de la información que corresponda.</w:t>
      </w:r>
    </w:p>
    <w:p w14:paraId="4163D063" w14:textId="77777777" w:rsidR="00506B11" w:rsidRPr="006025DF" w:rsidRDefault="00506B11" w:rsidP="006025DF"/>
    <w:p w14:paraId="2D3E44AD" w14:textId="77777777" w:rsidR="00506B11" w:rsidRPr="006025DF" w:rsidRDefault="006025DF" w:rsidP="006025DF">
      <w:pPr>
        <w:pStyle w:val="Ttulo3"/>
      </w:pPr>
      <w:bookmarkStart w:id="25" w:name="_p0stdzx2ivvu" w:colFirst="0" w:colLast="0"/>
      <w:bookmarkEnd w:id="25"/>
      <w:r w:rsidRPr="006025DF">
        <w:t>c) Estudio de la controversia</w:t>
      </w:r>
    </w:p>
    <w:p w14:paraId="48DD6B1A" w14:textId="77777777" w:rsidR="00506B11" w:rsidRPr="006025DF" w:rsidRDefault="006025DF" w:rsidP="006025DF">
      <w:r w:rsidRPr="006025DF">
        <w:t>Una vez delimitada la controversia, respecto de la naturaleza de la información solicitada, no es ocioso comentar que, el Instituto Hacendario del Estado de México, define el término “factura” como el documento fiscal que emite la persona física o moral para comprobar la venta o adquisición de un bien y/o servicio.</w:t>
      </w:r>
    </w:p>
    <w:p w14:paraId="71629E82" w14:textId="77777777" w:rsidR="00506B11" w:rsidRPr="006025DF" w:rsidRDefault="00506B11" w:rsidP="006025DF">
      <w:pPr>
        <w:ind w:left="708"/>
        <w:jc w:val="left"/>
        <w:rPr>
          <w:sz w:val="24"/>
          <w:szCs w:val="24"/>
        </w:rPr>
      </w:pPr>
    </w:p>
    <w:p w14:paraId="6F67C7CD" w14:textId="77777777" w:rsidR="00506B11" w:rsidRPr="006025DF" w:rsidRDefault="006025DF" w:rsidP="006025DF">
      <w:r w:rsidRPr="006025DF">
        <w:t xml:space="preserve">Así, las facturas o comprobantes que amparan las erogaciones que se realizan con erario público tienen naturaleza pública pues, constituyen los medios idóneos de evidencia del gasto realizado con recursos públicos, de ahí que convenga precisar que la Constitución Política del </w:t>
      </w:r>
      <w:r w:rsidRPr="006025DF">
        <w:lastRenderedPageBreak/>
        <w:t>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w:t>
      </w:r>
    </w:p>
    <w:p w14:paraId="7B68F6EF" w14:textId="77777777" w:rsidR="00506B11" w:rsidRPr="006025DF" w:rsidRDefault="00506B11" w:rsidP="006025DF"/>
    <w:p w14:paraId="04D62B95" w14:textId="77777777" w:rsidR="00506B11" w:rsidRPr="006025DF" w:rsidRDefault="006025DF" w:rsidP="006025DF">
      <w:pPr>
        <w:ind w:right="-93"/>
      </w:pPr>
      <w:r w:rsidRPr="006025DF">
        <w:t>En el caso de las facturas emitidas por el proveedor del servicio de mantenimiento, así como el registro del pago realizado a dicho proveedor. Cabe señalar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2752B73E" w14:textId="77777777" w:rsidR="00506B11" w:rsidRPr="006025DF" w:rsidRDefault="00506B11" w:rsidP="006025DF">
      <w:pPr>
        <w:spacing w:line="240" w:lineRule="auto"/>
        <w:ind w:left="708"/>
        <w:jc w:val="left"/>
        <w:rPr>
          <w:sz w:val="20"/>
          <w:szCs w:val="20"/>
        </w:rPr>
      </w:pPr>
    </w:p>
    <w:p w14:paraId="2B4C7D46" w14:textId="77777777" w:rsidR="00506B11" w:rsidRPr="006025DF" w:rsidRDefault="006025DF" w:rsidP="006025DF">
      <w:pPr>
        <w:pStyle w:val="Puesto"/>
        <w:ind w:firstLine="0"/>
        <w:rPr>
          <w:color w:val="auto"/>
        </w:rPr>
      </w:pPr>
      <w:r w:rsidRPr="006025DF">
        <w:rPr>
          <w:color w:val="auto"/>
        </w:rPr>
        <w:t>“</w:t>
      </w:r>
      <w:r w:rsidRPr="006025DF">
        <w:rPr>
          <w:b/>
          <w:color w:val="auto"/>
        </w:rPr>
        <w:t>Artículo 342.-</w:t>
      </w:r>
      <w:r w:rsidRPr="006025DF">
        <w:rPr>
          <w:color w:val="auto"/>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306E9F4D" w14:textId="77777777" w:rsidR="00506B11" w:rsidRPr="006025DF" w:rsidRDefault="00506B11" w:rsidP="006025DF"/>
    <w:p w14:paraId="1EE221A5" w14:textId="77777777" w:rsidR="00506B11" w:rsidRPr="006025DF" w:rsidRDefault="006025DF" w:rsidP="006025DF">
      <w:pPr>
        <w:pStyle w:val="Puesto"/>
        <w:ind w:firstLine="0"/>
        <w:rPr>
          <w:b/>
          <w:color w:val="auto"/>
        </w:rPr>
      </w:pPr>
      <w:r w:rsidRPr="006025DF">
        <w:rPr>
          <w:b/>
          <w:color w:val="auto"/>
        </w:rPr>
        <w:t xml:space="preserve">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 </w:t>
      </w:r>
    </w:p>
    <w:p w14:paraId="64317428" w14:textId="77777777" w:rsidR="00506B11" w:rsidRPr="006025DF" w:rsidRDefault="00506B11" w:rsidP="006025DF">
      <w:pPr>
        <w:ind w:left="851" w:right="901"/>
        <w:rPr>
          <w:b/>
          <w:i/>
        </w:rPr>
      </w:pPr>
    </w:p>
    <w:p w14:paraId="58420BBB" w14:textId="77777777" w:rsidR="00506B11" w:rsidRPr="006025DF" w:rsidRDefault="006025DF" w:rsidP="006025DF">
      <w:pPr>
        <w:pStyle w:val="Puesto"/>
        <w:ind w:firstLine="0"/>
        <w:rPr>
          <w:color w:val="auto"/>
        </w:rPr>
      </w:pPr>
      <w:r w:rsidRPr="006025DF">
        <w:rPr>
          <w:b/>
          <w:color w:val="auto"/>
        </w:rPr>
        <w:t>Artículo 343.-</w:t>
      </w:r>
      <w:r w:rsidRPr="006025DF">
        <w:rPr>
          <w:color w:val="auto"/>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8C8DFAB" w14:textId="77777777" w:rsidR="00506B11" w:rsidRPr="006025DF" w:rsidRDefault="006025DF" w:rsidP="006025DF">
      <w:pPr>
        <w:pStyle w:val="Puesto"/>
        <w:ind w:firstLine="0"/>
        <w:rPr>
          <w:b/>
          <w:color w:val="auto"/>
        </w:rPr>
      </w:pPr>
      <w:r w:rsidRPr="006025DF">
        <w:rPr>
          <w:color w:val="auto"/>
        </w:rPr>
        <w:t>El sistema de contabilidad sobre base acumulativa total, se sustentará en las normas emitidas por el Consejo Nacional de Armonización Contable.</w:t>
      </w:r>
    </w:p>
    <w:p w14:paraId="4D39A20D" w14:textId="77777777" w:rsidR="00506B11" w:rsidRPr="006025DF" w:rsidRDefault="00506B11" w:rsidP="006025DF">
      <w:pPr>
        <w:pStyle w:val="Puesto"/>
        <w:ind w:firstLine="0"/>
        <w:rPr>
          <w:b/>
          <w:color w:val="auto"/>
        </w:rPr>
      </w:pPr>
    </w:p>
    <w:p w14:paraId="370A9B2C" w14:textId="77777777" w:rsidR="00506B11" w:rsidRPr="006025DF" w:rsidRDefault="006025DF" w:rsidP="006025DF">
      <w:pPr>
        <w:pStyle w:val="Puesto"/>
        <w:ind w:firstLine="0"/>
        <w:rPr>
          <w:color w:val="auto"/>
        </w:rPr>
      </w:pPr>
      <w:r w:rsidRPr="006025DF">
        <w:rPr>
          <w:b/>
          <w:color w:val="auto"/>
        </w:rPr>
        <w:t>Artículo 344.-</w:t>
      </w:r>
      <w:r w:rsidRPr="006025DF">
        <w:rPr>
          <w:color w:val="auto"/>
        </w:rPr>
        <w:t xml:space="preserve"> Los Entes Públicos, a través de cualquiera de sus unidades administrativas, de acuerdo con su naturaleza jurídica y según corresponda, registrarán contablemente el efecto patrimonial y presupuestal de las operaciones financieras que realicen, en el </w:t>
      </w:r>
      <w:r w:rsidRPr="006025DF">
        <w:rPr>
          <w:color w:val="auto"/>
        </w:rPr>
        <w:lastRenderedPageBreak/>
        <w:t xml:space="preserve">momento en que ocurran, con base en el sistema y políticas de registro establecidas, en el caso de los Municipios, se hará por la Tesorería. 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w:t>
      </w:r>
    </w:p>
    <w:p w14:paraId="2CEFC7A5" w14:textId="77777777" w:rsidR="00506B11" w:rsidRPr="006025DF" w:rsidRDefault="006025DF" w:rsidP="006025DF">
      <w:pPr>
        <w:pStyle w:val="Puesto"/>
        <w:ind w:firstLine="0"/>
        <w:rPr>
          <w:color w:val="auto"/>
        </w:rPr>
      </w:pPr>
      <w:r w:rsidRPr="006025DF">
        <w:rPr>
          <w:color w:val="auto"/>
        </w:rPr>
        <w:t xml:space="preserve">En el caso de los Municipios, dicha obligación corresponderá a la Tesorería. Tratándose de documentos de carácter histórico, se estará a lo dispuesto por la legislación de la materia. </w:t>
      </w:r>
    </w:p>
    <w:p w14:paraId="05CAC48F" w14:textId="77777777" w:rsidR="00506B11" w:rsidRPr="006025DF" w:rsidRDefault="00506B11" w:rsidP="006025DF">
      <w:pPr>
        <w:ind w:left="851" w:right="901"/>
        <w:rPr>
          <w:b/>
          <w:i/>
        </w:rPr>
      </w:pPr>
    </w:p>
    <w:p w14:paraId="4EE35D97" w14:textId="77777777" w:rsidR="00506B11" w:rsidRPr="006025DF" w:rsidRDefault="006025DF" w:rsidP="006025DF">
      <w:pPr>
        <w:pStyle w:val="Puesto"/>
        <w:ind w:firstLine="0"/>
        <w:rPr>
          <w:color w:val="auto"/>
        </w:rPr>
      </w:pPr>
      <w:r w:rsidRPr="006025DF">
        <w:rPr>
          <w:b/>
          <w:color w:val="auto"/>
        </w:rPr>
        <w:t>Artículo 345.-</w:t>
      </w:r>
      <w:r w:rsidRPr="006025DF">
        <w:rPr>
          <w:color w:val="auto"/>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038A5A2D" w14:textId="77777777" w:rsidR="00506B11" w:rsidRPr="006025DF" w:rsidRDefault="006025DF" w:rsidP="006025DF">
      <w:pPr>
        <w:pStyle w:val="Puesto"/>
        <w:ind w:firstLine="0"/>
        <w:rPr>
          <w:color w:val="auto"/>
        </w:rPr>
      </w:pPr>
      <w:r w:rsidRPr="006025DF">
        <w:rPr>
          <w:color w:val="auto"/>
        </w:rPr>
        <w:t xml:space="preserve"> (Énfasis añadido)</w:t>
      </w:r>
    </w:p>
    <w:p w14:paraId="6DB22E89" w14:textId="77777777" w:rsidR="00506B11" w:rsidRPr="006025DF" w:rsidRDefault="00506B11" w:rsidP="006025DF">
      <w:pPr>
        <w:spacing w:line="240" w:lineRule="auto"/>
        <w:ind w:left="851" w:right="899"/>
        <w:rPr>
          <w:i/>
        </w:rPr>
      </w:pPr>
    </w:p>
    <w:p w14:paraId="67B034D4" w14:textId="77777777" w:rsidR="00506B11" w:rsidRPr="006025DF" w:rsidRDefault="006025DF" w:rsidP="006025DF">
      <w:r w:rsidRPr="006025DF">
        <w:t>De una interpretación sistemática de los artículos transcritos, se desprende, en primer lugar,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6DE79AFB" w14:textId="77777777" w:rsidR="00506B11" w:rsidRPr="006025DF" w:rsidRDefault="00506B11" w:rsidP="006025DF"/>
    <w:p w14:paraId="69317396" w14:textId="77777777" w:rsidR="00506B11" w:rsidRPr="006025DF" w:rsidRDefault="006025DF" w:rsidP="006025DF">
      <w:r w:rsidRPr="006025DF">
        <w:t xml:space="preserve">Correlativo a lo anterior, es preciso referir una definición de </w:t>
      </w:r>
      <w:r w:rsidRPr="006025DF">
        <w:rPr>
          <w:i/>
        </w:rPr>
        <w:t>póliza contable</w:t>
      </w:r>
      <w:r w:rsidRPr="006025DF">
        <w:t>, la cual, primeramente, no está definida en el Código Financiero del Estado de México y Municipios; no obstante, el ya mencionado Glosario la define como:</w:t>
      </w:r>
    </w:p>
    <w:p w14:paraId="292C2A9E" w14:textId="77777777" w:rsidR="00506B11" w:rsidRPr="006025DF" w:rsidRDefault="00506B11" w:rsidP="006025DF">
      <w:pPr>
        <w:spacing w:line="240" w:lineRule="auto"/>
        <w:ind w:left="644"/>
      </w:pPr>
    </w:p>
    <w:p w14:paraId="1E6BC32C" w14:textId="77777777" w:rsidR="00506B11" w:rsidRPr="006025DF" w:rsidRDefault="006025DF" w:rsidP="006025DF">
      <w:pPr>
        <w:spacing w:line="240" w:lineRule="auto"/>
        <w:ind w:left="851" w:right="902"/>
        <w:rPr>
          <w:b/>
          <w:i/>
        </w:rPr>
      </w:pPr>
      <w:r w:rsidRPr="006025DF">
        <w:rPr>
          <w:i/>
        </w:rPr>
        <w:t>“</w:t>
      </w:r>
      <w:r w:rsidRPr="006025DF">
        <w:rPr>
          <w:b/>
          <w:i/>
        </w:rPr>
        <w:t>PÓLIZA CONTABLE</w:t>
      </w:r>
    </w:p>
    <w:p w14:paraId="272B254F" w14:textId="77777777" w:rsidR="00506B11" w:rsidRPr="006025DF" w:rsidRDefault="006025DF" w:rsidP="006025DF">
      <w:pPr>
        <w:spacing w:line="240" w:lineRule="auto"/>
        <w:ind w:left="851" w:right="902"/>
        <w:rPr>
          <w:i/>
        </w:rPr>
      </w:pPr>
      <w:r w:rsidRPr="006025DF">
        <w:rPr>
          <w:i/>
        </w:rPr>
        <w:t xml:space="preserve">Documento en el cual se asientan en forma individual todas y cada una de las operaciones desarrolladas por una institución, así como la información necesaria para la identificación de dichas operaciones.” </w:t>
      </w:r>
    </w:p>
    <w:p w14:paraId="3D4315A0" w14:textId="77777777" w:rsidR="00506B11" w:rsidRPr="006025DF" w:rsidRDefault="00506B11" w:rsidP="006025DF">
      <w:pPr>
        <w:spacing w:line="240" w:lineRule="auto"/>
        <w:ind w:left="646" w:right="902"/>
        <w:rPr>
          <w:i/>
        </w:rPr>
      </w:pPr>
    </w:p>
    <w:p w14:paraId="51A1715E" w14:textId="77777777" w:rsidR="00506B11" w:rsidRPr="006025DF" w:rsidRDefault="006025DF" w:rsidP="006025DF">
      <w:r w:rsidRPr="006025DF">
        <w:t xml:space="preserve">Así, se advierte que la </w:t>
      </w:r>
      <w:r w:rsidRPr="006025DF">
        <w:rPr>
          <w:i/>
        </w:rPr>
        <w:t>póliza contable</w:t>
      </w:r>
      <w:r w:rsidRPr="006025DF">
        <w:t xml:space="preserve"> constituye un registro contable y presupuestal con el que cuentan los Municipios para el registro de operaciones relacionadas con ingresos y egresos y </w:t>
      </w:r>
      <w:r w:rsidRPr="006025DF">
        <w:rPr>
          <w:b/>
          <w:u w:val="single"/>
        </w:rPr>
        <w:t>se anexan los documentos o comprobantes que justifiquen las anotaciones y cantidades en ellas registradas</w:t>
      </w:r>
      <w:r w:rsidRPr="006025DF">
        <w:t>, lo que permite la identificación plena de dichas operaciones.</w:t>
      </w:r>
    </w:p>
    <w:p w14:paraId="3986FF9C" w14:textId="77777777" w:rsidR="00506B11" w:rsidRPr="006025DF" w:rsidRDefault="00506B11" w:rsidP="006025DF">
      <w:pPr>
        <w:spacing w:line="240" w:lineRule="auto"/>
        <w:ind w:left="851" w:right="899"/>
        <w:rPr>
          <w:b/>
          <w:i/>
          <w:sz w:val="20"/>
          <w:szCs w:val="20"/>
        </w:rPr>
      </w:pPr>
    </w:p>
    <w:p w14:paraId="0B08E30F" w14:textId="77777777" w:rsidR="00506B11" w:rsidRPr="006025DF" w:rsidRDefault="006025DF" w:rsidP="006025DF">
      <w:r w:rsidRPr="006025DF">
        <w:t xml:space="preserve">En este sentido, existen diversos tipos de pólizas contables de acuerdo a las operaciones realizadas, dentro de las cuales, encontramos las </w:t>
      </w:r>
      <w:r w:rsidRPr="006025DF">
        <w:rPr>
          <w:i/>
        </w:rPr>
        <w:t>pólizas de egresos e ingresos</w:t>
      </w:r>
      <w:r w:rsidRPr="006025DF">
        <w:t xml:space="preserve">, las primeras son aquellas en las cuales se anotan diariamente las operaciones que representan gastos, es decir, salidas de dinero para </w:t>
      </w:r>
      <w:r w:rsidRPr="006025DF">
        <w:rPr>
          <w:b/>
        </w:rPr>
        <w:t>EL SUJETO OBLIGADO</w:t>
      </w:r>
      <w:r w:rsidRPr="006025DF">
        <w:t xml:space="preserve">, las que además, </w:t>
      </w:r>
      <w:r w:rsidRPr="006025DF">
        <w:rPr>
          <w:b/>
          <w:u w:val="single"/>
        </w:rPr>
        <w:t>deben encontrarse acompañadas de las documentales que sirven de soporte de dicho movimiento</w:t>
      </w:r>
      <w:r w:rsidRPr="006025DF">
        <w:t>, en atención a las segundas, registran todas las entradas de dinero independientemente de la modalidad, ya sea en efectivo, transferencia, cheque o pagaré, mediante la expedición de facturas.</w:t>
      </w:r>
    </w:p>
    <w:p w14:paraId="6EFB72B0" w14:textId="77777777" w:rsidR="00506B11" w:rsidRPr="006025DF" w:rsidRDefault="00506B11" w:rsidP="006025DF">
      <w:pPr>
        <w:spacing w:line="240" w:lineRule="auto"/>
        <w:ind w:left="567" w:right="567" w:firstLine="567"/>
        <w:rPr>
          <w:b/>
          <w:i/>
        </w:rPr>
      </w:pPr>
    </w:p>
    <w:p w14:paraId="3F6BCBA4" w14:textId="77777777" w:rsidR="00506B11" w:rsidRPr="006025DF" w:rsidRDefault="006025DF" w:rsidP="006025DF">
      <w:r w:rsidRPr="006025DF">
        <w:t xml:space="preserve">Atento a lo anterior, como ya ha sido mencionado en la normatividad antes citada, todo registro contable y presupuestal deberá estar soportado con los documentos comprobatorios originales, como lo son las </w:t>
      </w:r>
      <w:r w:rsidRPr="006025DF">
        <w:rPr>
          <w:i/>
        </w:rPr>
        <w:t xml:space="preserve">facturas o comprobantes </w:t>
      </w:r>
      <w:r w:rsidRPr="006025DF">
        <w:t>fiscales</w:t>
      </w:r>
      <w:r w:rsidRPr="006025DF">
        <w:rPr>
          <w:i/>
        </w:rPr>
        <w:t xml:space="preserve"> digitales por internet,</w:t>
      </w:r>
      <w:r w:rsidRPr="006025DF">
        <w:t xml:space="preserve">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w:t>
      </w:r>
      <w:r w:rsidRPr="006025DF">
        <w:rPr>
          <w:sz w:val="24"/>
          <w:szCs w:val="24"/>
        </w:rPr>
        <w:t xml:space="preserve"> en su </w:t>
      </w:r>
      <w:r w:rsidRPr="006025DF">
        <w:t xml:space="preserve">artículo 345 que a la letra refiere: </w:t>
      </w:r>
    </w:p>
    <w:p w14:paraId="2570163E" w14:textId="77777777" w:rsidR="00506B11" w:rsidRPr="006025DF" w:rsidRDefault="00506B11" w:rsidP="006025DF"/>
    <w:p w14:paraId="5811FCD2" w14:textId="77777777" w:rsidR="00506B11" w:rsidRPr="006025DF" w:rsidRDefault="006025DF" w:rsidP="006025DF">
      <w:pPr>
        <w:pStyle w:val="Puesto"/>
        <w:ind w:firstLine="142"/>
        <w:rPr>
          <w:color w:val="auto"/>
        </w:rPr>
      </w:pPr>
      <w:r w:rsidRPr="006025DF">
        <w:rPr>
          <w:b/>
          <w:color w:val="auto"/>
        </w:rPr>
        <w:t>Artículo 345.-</w:t>
      </w:r>
      <w:r w:rsidRPr="006025DF">
        <w:rPr>
          <w:color w:val="auto"/>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w:t>
      </w:r>
      <w:r w:rsidRPr="006025DF">
        <w:rPr>
          <w:color w:val="auto"/>
        </w:rPr>
        <w:lastRenderedPageBreak/>
        <w:t xml:space="preserve">fiscales digitales, estos deberán estar agregados en forma electrónica a cada póliza de registro contable. </w:t>
      </w:r>
    </w:p>
    <w:p w14:paraId="451CFC40" w14:textId="77777777" w:rsidR="00506B11" w:rsidRPr="006025DF" w:rsidRDefault="00506B11" w:rsidP="006025DF">
      <w:pPr>
        <w:pStyle w:val="Puesto"/>
        <w:ind w:firstLine="0"/>
        <w:rPr>
          <w:i w:val="0"/>
          <w:color w:val="auto"/>
        </w:rPr>
      </w:pPr>
    </w:p>
    <w:p w14:paraId="0405F5AD" w14:textId="77777777" w:rsidR="00506B11" w:rsidRPr="006025DF" w:rsidRDefault="006025DF" w:rsidP="006025DF">
      <w:pPr>
        <w:pStyle w:val="Puesto"/>
        <w:ind w:firstLine="0"/>
        <w:rPr>
          <w:color w:val="auto"/>
        </w:rPr>
      </w:pPr>
      <w:r w:rsidRPr="006025DF">
        <w:rPr>
          <w:color w:val="auto"/>
        </w:rPr>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 El plazo señalado en este artículo empezará a contar a partir de la publicación en el Periódico Oficial, del decreto correspondiente. (Énfasis añadido)</w:t>
      </w:r>
    </w:p>
    <w:p w14:paraId="73AE99D4" w14:textId="77777777" w:rsidR="00506B11" w:rsidRPr="006025DF" w:rsidRDefault="00506B11" w:rsidP="006025DF">
      <w:pPr>
        <w:ind w:left="709"/>
        <w:rPr>
          <w:sz w:val="24"/>
          <w:szCs w:val="24"/>
        </w:rPr>
      </w:pPr>
    </w:p>
    <w:p w14:paraId="0C504BC3" w14:textId="77777777" w:rsidR="00506B11" w:rsidRPr="006025DF" w:rsidRDefault="006025DF" w:rsidP="006025DF">
      <w:r w:rsidRPr="006025DF">
        <w:t xml:space="preserve">De forma que, existe una fuente obligacional para que el </w:t>
      </w:r>
      <w:r w:rsidRPr="006025DF">
        <w:rPr>
          <w:b/>
        </w:rPr>
        <w:t>SUJETO OBLIGADO</w:t>
      </w:r>
      <w:r w:rsidRPr="006025DF">
        <w:t xml:space="preserve"> genere, posea o administre las facturas y los comprobantes de los pagos realizados a los proveedores de mantenimiento a sus bienes inmuebles en los años 2023 y 2024. </w:t>
      </w:r>
    </w:p>
    <w:p w14:paraId="7F77211F" w14:textId="77777777" w:rsidR="00506B11" w:rsidRPr="006025DF" w:rsidRDefault="00506B11" w:rsidP="006025DF"/>
    <w:p w14:paraId="183EA5B0" w14:textId="77777777" w:rsidR="00506B11" w:rsidRPr="006025DF" w:rsidRDefault="006025DF" w:rsidP="006025DF">
      <w:r w:rsidRPr="006025DF">
        <w:t xml:space="preserve">Por lo que hace a las bitácoras de mantenimiento, los Lineamientos de Control Financiero y Administrativo para las Entidades Fiscalizables Municipales del Estado de México cuyo objetivo es </w:t>
      </w:r>
      <w:r w:rsidRPr="006025DF">
        <w:rPr>
          <w:i/>
        </w:rPr>
        <w:t xml:space="preserve">establecer disposiciones para el registro y control del inventario y la conciliación y desincorporación de bienes muebles e inmuebles para las entidades fiscalizables municipales, </w:t>
      </w:r>
      <w:r w:rsidRPr="006025DF">
        <w:t xml:space="preserve">indican en su numeral vigésimo noveno que el titular del área administrativa responsable del control de las reparaciones y mantenimiento de bienes muebles e inmuebles deberá llevar un control de los gastos a través de una bitácora, como se observa a continuación: </w:t>
      </w:r>
    </w:p>
    <w:p w14:paraId="36671B7E" w14:textId="77777777" w:rsidR="00506B11" w:rsidRPr="006025DF" w:rsidRDefault="00506B11" w:rsidP="006025DF"/>
    <w:p w14:paraId="2C968059" w14:textId="77777777" w:rsidR="00506B11" w:rsidRPr="006025DF" w:rsidRDefault="006025DF" w:rsidP="006025DF">
      <w:pPr>
        <w:pStyle w:val="Puesto"/>
        <w:ind w:firstLine="0"/>
        <w:rPr>
          <w:color w:val="auto"/>
        </w:rPr>
      </w:pPr>
      <w:r w:rsidRPr="006025DF">
        <w:rPr>
          <w:b/>
          <w:color w:val="auto"/>
        </w:rPr>
        <w:t>VIGÉSIMO NOVENO:</w:t>
      </w:r>
      <w:r w:rsidRPr="006025DF">
        <w:rPr>
          <w:color w:val="auto"/>
        </w:rPr>
        <w:t xml:space="preserve"> El titular del área administrativa en los municipios, organismos públicos descentralizados y fideicomisos públicos de carácter municipal, responsable del control de las reparaciones y mantenimiento de bienes muebles e inmuebles, así como del alumbrado público y vialidades deberán llevar un control de los gastos a través de una bitácora, aplicar anexos 4A, 4B y 4C, según corresponda.</w:t>
      </w:r>
    </w:p>
    <w:p w14:paraId="24C6AC6D" w14:textId="77777777" w:rsidR="00506B11" w:rsidRPr="006025DF" w:rsidRDefault="00506B11" w:rsidP="006025DF">
      <w:pPr>
        <w:ind w:left="850" w:right="-25"/>
        <w:rPr>
          <w:i/>
        </w:rPr>
      </w:pPr>
    </w:p>
    <w:p w14:paraId="74D1A01F" w14:textId="77777777" w:rsidR="00506B11" w:rsidRPr="006025DF" w:rsidRDefault="006025DF" w:rsidP="006025DF">
      <w:pPr>
        <w:ind w:right="-25"/>
      </w:pPr>
      <w:r w:rsidRPr="006025DF">
        <w:lastRenderedPageBreak/>
        <w:t xml:space="preserve">El lineamiento anterior contempla la obligación del área administrativa de llevar a cabo un control de los gastos y procesos de manteamiento a los bienes tanto muebles como inmuebles, siendo aplicable el llevar dicho registro en una bitácora, como la que se muestra a continuación: </w:t>
      </w:r>
    </w:p>
    <w:p w14:paraId="28F8ACE4" w14:textId="77777777" w:rsidR="00506B11" w:rsidRPr="006025DF" w:rsidRDefault="00506B11" w:rsidP="006025DF">
      <w:pPr>
        <w:pStyle w:val="Ttulo3"/>
      </w:pPr>
    </w:p>
    <w:p w14:paraId="670D6265" w14:textId="77777777" w:rsidR="00506B11" w:rsidRPr="006025DF" w:rsidRDefault="006025DF" w:rsidP="006025DF">
      <w:pPr>
        <w:jc w:val="center"/>
      </w:pPr>
      <w:r w:rsidRPr="006025DF">
        <w:rPr>
          <w:noProof/>
        </w:rPr>
        <w:drawing>
          <wp:inline distT="114300" distB="114300" distL="114300" distR="114300" wp14:anchorId="73D0F3C0" wp14:editId="3224060F">
            <wp:extent cx="5143500" cy="35052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143500" cy="3505200"/>
                    </a:xfrm>
                    <a:prstGeom prst="rect">
                      <a:avLst/>
                    </a:prstGeom>
                    <a:ln/>
                  </pic:spPr>
                </pic:pic>
              </a:graphicData>
            </a:graphic>
          </wp:inline>
        </w:drawing>
      </w:r>
    </w:p>
    <w:p w14:paraId="0784A60B" w14:textId="77777777" w:rsidR="00506B11" w:rsidRPr="006025DF" w:rsidRDefault="00506B11" w:rsidP="006025DF"/>
    <w:p w14:paraId="06E2B650" w14:textId="77777777" w:rsidR="00506B11" w:rsidRPr="006025DF" w:rsidRDefault="006025DF" w:rsidP="006025DF">
      <w:r w:rsidRPr="006025DF">
        <w:t xml:space="preserve">Aunado a ello, los mismos lineamientos refieren que la entidad municipal podrá llevar a cabo trabajos de mantenimiento, conservación, adaptación y remodelación de las oficinas destinadas al cumplimiento de sus funciones, cuando se justifique y se cuente con suficiencia presupuestal autorizada por la tesorería. </w:t>
      </w:r>
    </w:p>
    <w:p w14:paraId="4278C506" w14:textId="77777777" w:rsidR="00506B11" w:rsidRPr="006025DF" w:rsidRDefault="00506B11" w:rsidP="006025DF"/>
    <w:p w14:paraId="2E2B463B" w14:textId="77777777" w:rsidR="00506B11" w:rsidRPr="006025DF" w:rsidRDefault="006025DF" w:rsidP="006025DF">
      <w:r w:rsidRPr="006025DF">
        <w:lastRenderedPageBreak/>
        <w:t xml:space="preserve">Así, se puede concluir que el ente recurrido debe poseer, generar y administrar la información solicitada, ya que hay una norma que lo obliga a ello. Además, de los lineamientos anteriores se advierte que ​​las áreas competentes para resguardar la información serán Administración y Tesorería, pues son las encargadas, según lo refieren los artículos y lineamientos en estudio, de efectuar los pagos, resguardar la información Financiera, en caso de la Tesorería y de llevar el registro o bitácora  del mantenimiento, en el caso del área de Administración, por tanto, se considera que,  las áreas que se pronunciaron en respuesta son las competentes para hacerlo. </w:t>
      </w:r>
    </w:p>
    <w:p w14:paraId="4D32111C" w14:textId="77777777" w:rsidR="00506B11" w:rsidRPr="006025DF" w:rsidRDefault="00506B11" w:rsidP="006025DF"/>
    <w:p w14:paraId="14C74A8C" w14:textId="77777777" w:rsidR="00506B11" w:rsidRPr="006025DF" w:rsidRDefault="006025DF" w:rsidP="006025DF">
      <w:r w:rsidRPr="006025DF">
        <w:t xml:space="preserve">Una vez referido lo anterior, conviene recordar que en su respuesta remitió por medio de la Dirección de Administración y Tesorería diversas cotizaciones, facturas, comprobantes de transferencias bancarias y bitácoras de mantenimiento de los años 2024 y 2023. Se insertan ejemplos para mejor referencia: </w:t>
      </w:r>
    </w:p>
    <w:p w14:paraId="3C839B80" w14:textId="77777777" w:rsidR="00506B11" w:rsidRPr="006025DF" w:rsidRDefault="00506B11" w:rsidP="006025DF"/>
    <w:p w14:paraId="1FF151A6" w14:textId="77777777" w:rsidR="00506B11" w:rsidRPr="006025DF" w:rsidRDefault="00506B11" w:rsidP="006025DF"/>
    <w:p w14:paraId="07D6001C" w14:textId="77777777" w:rsidR="00506B11" w:rsidRPr="006025DF" w:rsidRDefault="006025DF" w:rsidP="006025DF">
      <w:pPr>
        <w:jc w:val="center"/>
      </w:pPr>
      <w:r w:rsidRPr="006025DF">
        <w:rPr>
          <w:noProof/>
        </w:rPr>
        <w:drawing>
          <wp:inline distT="114300" distB="114300" distL="114300" distR="114300" wp14:anchorId="2B094A49" wp14:editId="1E73AE62">
            <wp:extent cx="5410200" cy="294322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410200" cy="2943225"/>
                    </a:xfrm>
                    <a:prstGeom prst="rect">
                      <a:avLst/>
                    </a:prstGeom>
                    <a:ln/>
                  </pic:spPr>
                </pic:pic>
              </a:graphicData>
            </a:graphic>
          </wp:inline>
        </w:drawing>
      </w:r>
    </w:p>
    <w:p w14:paraId="37CEEB7E" w14:textId="77777777" w:rsidR="00506B11" w:rsidRPr="006025DF" w:rsidRDefault="006025DF" w:rsidP="006025DF">
      <w:pPr>
        <w:jc w:val="center"/>
      </w:pPr>
      <w:r w:rsidRPr="006025DF">
        <w:rPr>
          <w:noProof/>
        </w:rPr>
        <w:lastRenderedPageBreak/>
        <w:drawing>
          <wp:inline distT="114300" distB="114300" distL="114300" distR="114300" wp14:anchorId="56F5B39A" wp14:editId="2AF7F828">
            <wp:extent cx="5742940" cy="20574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42940" cy="2057400"/>
                    </a:xfrm>
                    <a:prstGeom prst="rect">
                      <a:avLst/>
                    </a:prstGeom>
                    <a:ln/>
                  </pic:spPr>
                </pic:pic>
              </a:graphicData>
            </a:graphic>
          </wp:inline>
        </w:drawing>
      </w:r>
    </w:p>
    <w:p w14:paraId="182D18E4" w14:textId="77777777" w:rsidR="00506B11" w:rsidRPr="006025DF" w:rsidRDefault="00506B11" w:rsidP="006025DF">
      <w:pPr>
        <w:jc w:val="center"/>
      </w:pPr>
    </w:p>
    <w:p w14:paraId="1520ADAF" w14:textId="77777777" w:rsidR="00506B11" w:rsidRPr="006025DF" w:rsidRDefault="006025DF" w:rsidP="006025DF">
      <w:pPr>
        <w:jc w:val="center"/>
      </w:pPr>
      <w:r w:rsidRPr="006025DF">
        <w:rPr>
          <w:noProof/>
        </w:rPr>
        <w:drawing>
          <wp:inline distT="114300" distB="114300" distL="114300" distR="114300" wp14:anchorId="05F7EEE0" wp14:editId="1393C0C6">
            <wp:extent cx="5742940" cy="40767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742940" cy="4076700"/>
                    </a:xfrm>
                    <a:prstGeom prst="rect">
                      <a:avLst/>
                    </a:prstGeom>
                    <a:ln/>
                  </pic:spPr>
                </pic:pic>
              </a:graphicData>
            </a:graphic>
          </wp:inline>
        </w:drawing>
      </w:r>
    </w:p>
    <w:p w14:paraId="21B3D7A9" w14:textId="77777777" w:rsidR="00506B11" w:rsidRPr="006025DF" w:rsidRDefault="00506B11" w:rsidP="006025DF">
      <w:pPr>
        <w:jc w:val="left"/>
      </w:pPr>
    </w:p>
    <w:p w14:paraId="0B653402" w14:textId="77777777" w:rsidR="00506B11" w:rsidRPr="006025DF" w:rsidRDefault="006025DF" w:rsidP="006025DF">
      <w:r w:rsidRPr="006025DF">
        <w:lastRenderedPageBreak/>
        <w:t>No obstante,</w:t>
      </w:r>
      <w:r w:rsidRPr="006025DF">
        <w:rPr>
          <w:b/>
        </w:rPr>
        <w:t xml:space="preserve"> LA PARTE RECURRENTE</w:t>
      </w:r>
      <w:r w:rsidRPr="006025DF">
        <w:t xml:space="preserve"> refirió en su recurso de revisión que no le fue entregado lo que solicitó, ya que falta toda la información. Por su parte, </w:t>
      </w:r>
      <w:r w:rsidRPr="006025DF">
        <w:rPr>
          <w:b/>
        </w:rPr>
        <w:t>EL SUJETO OBLIGADO</w:t>
      </w:r>
      <w:r w:rsidRPr="006025DF">
        <w:t xml:space="preserve">, en su informe justificado, indicó que la información entregada es aquella con la que cuenta en sus archivos. </w:t>
      </w:r>
    </w:p>
    <w:p w14:paraId="4488DA63" w14:textId="77777777" w:rsidR="00506B11" w:rsidRPr="006025DF" w:rsidRDefault="00506B11" w:rsidP="006025DF"/>
    <w:p w14:paraId="512EE181" w14:textId="77777777" w:rsidR="00506B11" w:rsidRPr="006025DF" w:rsidRDefault="006025DF" w:rsidP="006025DF">
      <w:pPr>
        <w:rPr>
          <w:sz w:val="24"/>
          <w:szCs w:val="24"/>
        </w:rPr>
      </w:pPr>
      <w:r w:rsidRPr="006025DF">
        <w:t xml:space="preserve">Por lo que conviene traer a colación el contenido del artículo 12 de la Ley de Transparencia local, sujetos obligados únicamente deberán hacer entrega de la información que generen en atención a sus atribuciones, como se advierte a continuación: </w:t>
      </w:r>
    </w:p>
    <w:p w14:paraId="0E8DEE07" w14:textId="77777777" w:rsidR="00506B11" w:rsidRPr="006025DF" w:rsidRDefault="00506B11" w:rsidP="006025DF">
      <w:pPr>
        <w:rPr>
          <w:sz w:val="24"/>
          <w:szCs w:val="24"/>
        </w:rPr>
      </w:pPr>
    </w:p>
    <w:p w14:paraId="75F1460D" w14:textId="77777777" w:rsidR="00506B11" w:rsidRPr="006025DF" w:rsidRDefault="006025DF" w:rsidP="006025DF">
      <w:pPr>
        <w:pStyle w:val="Puesto"/>
        <w:ind w:firstLine="0"/>
        <w:rPr>
          <w:color w:val="auto"/>
        </w:rPr>
      </w:pPr>
      <w:r w:rsidRPr="006025DF">
        <w:rPr>
          <w:color w:val="auto"/>
        </w:rPr>
        <w:t>“</w:t>
      </w:r>
      <w:r w:rsidRPr="006025DF">
        <w:rPr>
          <w:b/>
          <w:color w:val="auto"/>
        </w:rPr>
        <w:t>Artículo 12.-</w:t>
      </w:r>
      <w:r w:rsidRPr="006025DF">
        <w:rPr>
          <w:color w:val="auto"/>
        </w:rPr>
        <w:t xml:space="preserve"> Quienes generen, recopilen, administren, manejen, procesen, archiven o conserven información pública serán responsables de la misma en los términos de las disposiciones jurídicas aplicables. </w:t>
      </w:r>
    </w:p>
    <w:p w14:paraId="441953D0" w14:textId="77777777" w:rsidR="00506B11" w:rsidRPr="006025DF" w:rsidRDefault="00506B11" w:rsidP="006025DF">
      <w:pPr>
        <w:pStyle w:val="Puesto"/>
        <w:ind w:firstLine="0"/>
        <w:rPr>
          <w:color w:val="auto"/>
        </w:rPr>
      </w:pPr>
    </w:p>
    <w:p w14:paraId="1AB12C67" w14:textId="77777777" w:rsidR="00506B11" w:rsidRPr="006025DF" w:rsidRDefault="006025DF" w:rsidP="006025DF">
      <w:pPr>
        <w:pStyle w:val="Puesto"/>
        <w:ind w:firstLine="0"/>
        <w:rPr>
          <w:color w:val="auto"/>
        </w:rPr>
      </w:pPr>
      <w:r w:rsidRPr="006025DF">
        <w:rPr>
          <w:b/>
          <w:color w:val="auto"/>
        </w:rPr>
        <w:t>Los sujetos obligados sólo proporcionarán la información pública que se les requiera y que obre en sus archivos y en el estado en que ésta se encuentre</w:t>
      </w:r>
      <w:r w:rsidRPr="006025DF">
        <w:rPr>
          <w:color w:val="auto"/>
        </w:rPr>
        <w:t xml:space="preserve">. </w:t>
      </w:r>
      <w:r w:rsidRPr="006025DF">
        <w:rPr>
          <w:b/>
          <w:color w:val="auto"/>
        </w:rPr>
        <w:t xml:space="preserve">La obligación de proporcionar información no comprende el procesamiento de la misma, ni el presentarla conforme al interés del solicitante; no estarán obligados a generarla, resumirla, efectuar cálculos o practicar investigaciones.” </w:t>
      </w:r>
    </w:p>
    <w:p w14:paraId="1A013D18" w14:textId="77777777" w:rsidR="00506B11" w:rsidRPr="006025DF" w:rsidRDefault="00506B11" w:rsidP="006025DF">
      <w:pPr>
        <w:rPr>
          <w:sz w:val="24"/>
          <w:szCs w:val="24"/>
        </w:rPr>
      </w:pPr>
    </w:p>
    <w:p w14:paraId="3C9174BF" w14:textId="77777777" w:rsidR="00506B11" w:rsidRPr="006025DF" w:rsidRDefault="006025DF" w:rsidP="006025DF">
      <w:pPr>
        <w:rPr>
          <w:b/>
        </w:rPr>
      </w:pPr>
      <w:r w:rsidRPr="006025DF">
        <w:t xml:space="preserve">En conclusión, se puede concluir que </w:t>
      </w:r>
      <w:r w:rsidRPr="006025DF">
        <w:rPr>
          <w:b/>
        </w:rPr>
        <w:t xml:space="preserve"> EL SUJETO OBLIGADO</w:t>
      </w:r>
      <w:r w:rsidRPr="006025DF">
        <w:t xml:space="preserve"> sí atendió la solicitud de información pública, al hacer entrega de la información solicitada conforme a lo requerido por el particular. </w:t>
      </w:r>
    </w:p>
    <w:p w14:paraId="3338919D" w14:textId="77777777" w:rsidR="00506B11" w:rsidRPr="006025DF" w:rsidRDefault="00506B11" w:rsidP="006025DF">
      <w:pPr>
        <w:ind w:right="49"/>
        <w:rPr>
          <w:b/>
        </w:rPr>
      </w:pPr>
    </w:p>
    <w:p w14:paraId="1C36FFCA" w14:textId="77777777" w:rsidR="00506B11" w:rsidRPr="006025DF" w:rsidRDefault="006025DF" w:rsidP="006025DF">
      <w:pPr>
        <w:ind w:right="49"/>
      </w:pPr>
      <w:r w:rsidRPr="006025DF">
        <w:t>Con relación a lo señalado en el párrafo que antecede y a fin de robustecer la determinación que se asentará en la presente resolución, conviene citar el criterio orientador 002/2017 del INAI, y la tesis 1a. CCCXXVII/2014 (10a.) emitida por la Primera Sala de la Suprema Corte de Justicia de la Nación, cuyo tenor es el siguiente:</w:t>
      </w:r>
    </w:p>
    <w:p w14:paraId="04FFB45D" w14:textId="77777777" w:rsidR="00506B11" w:rsidRPr="006025DF" w:rsidRDefault="00506B11" w:rsidP="006025DF">
      <w:pPr>
        <w:spacing w:line="240" w:lineRule="auto"/>
        <w:ind w:right="902"/>
      </w:pPr>
    </w:p>
    <w:p w14:paraId="60B70E4D" w14:textId="77777777" w:rsidR="00506B11" w:rsidRPr="006025DF" w:rsidRDefault="006025DF" w:rsidP="006025DF">
      <w:pPr>
        <w:spacing w:line="240" w:lineRule="auto"/>
        <w:ind w:left="851" w:right="902"/>
        <w:rPr>
          <w:i/>
        </w:rPr>
      </w:pPr>
      <w:r w:rsidRPr="006025DF">
        <w:rPr>
          <w:i/>
        </w:rPr>
        <w:lastRenderedPageBreak/>
        <w:t>“</w:t>
      </w:r>
      <w:r w:rsidRPr="006025DF">
        <w:rPr>
          <w:b/>
          <w:i/>
        </w:rPr>
        <w:t>Congruencia y exhaustividad</w:t>
      </w:r>
      <w:r w:rsidRPr="006025DF">
        <w:rPr>
          <w:i/>
        </w:rPr>
        <w:t>.</w:t>
      </w:r>
      <w:r w:rsidRPr="006025DF">
        <w:rPr>
          <w:b/>
          <w:i/>
        </w:rPr>
        <w:t xml:space="preserve"> Sus alcances para garantizar el derecho de acceso a la información.</w:t>
      </w:r>
      <w:r w:rsidRPr="006025DF">
        <w:rPr>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69AC9ADA" w14:textId="77777777" w:rsidR="00506B11" w:rsidRPr="006025DF" w:rsidRDefault="00506B11" w:rsidP="006025DF">
      <w:pPr>
        <w:widowControl w:val="0"/>
        <w:tabs>
          <w:tab w:val="left" w:pos="1701"/>
          <w:tab w:val="left" w:pos="1843"/>
        </w:tabs>
        <w:ind w:right="49"/>
      </w:pPr>
      <w:bookmarkStart w:id="26" w:name="_41j2zxbuvm4k" w:colFirst="0" w:colLast="0"/>
      <w:bookmarkEnd w:id="26"/>
    </w:p>
    <w:p w14:paraId="1DBD9934" w14:textId="77777777" w:rsidR="00506B11" w:rsidRPr="006025DF" w:rsidRDefault="006025DF" w:rsidP="006025DF">
      <w:pPr>
        <w:widowControl w:val="0"/>
        <w:tabs>
          <w:tab w:val="left" w:pos="1701"/>
          <w:tab w:val="left" w:pos="1843"/>
        </w:tabs>
        <w:ind w:right="49"/>
      </w:pPr>
      <w:r w:rsidRPr="006025DF">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14:paraId="0DAB2AF9" w14:textId="77777777" w:rsidR="00506B11" w:rsidRPr="006025DF" w:rsidRDefault="00506B11" w:rsidP="006025DF">
      <w:pPr>
        <w:widowControl w:val="0"/>
        <w:tabs>
          <w:tab w:val="left" w:pos="1701"/>
          <w:tab w:val="left" w:pos="1843"/>
        </w:tabs>
        <w:ind w:right="49"/>
      </w:pPr>
    </w:p>
    <w:p w14:paraId="7A9C4614" w14:textId="77777777" w:rsidR="00506B11" w:rsidRPr="006025DF" w:rsidRDefault="006025DF" w:rsidP="006025DF">
      <w:pPr>
        <w:widowControl w:val="0"/>
        <w:tabs>
          <w:tab w:val="left" w:pos="1701"/>
          <w:tab w:val="left" w:pos="1843"/>
        </w:tabs>
        <w:ind w:right="49"/>
      </w:pPr>
      <w:r w:rsidRPr="006025DF">
        <w:t xml:space="preserve">Situación que aconteció en el caso que nos ocupa, ya que remitió la información que obra en sus archivos respecto de lo solicitado por </w:t>
      </w:r>
      <w:r w:rsidRPr="006025DF">
        <w:rPr>
          <w:b/>
        </w:rPr>
        <w:t xml:space="preserve">LA PARTE RECURRENTE, </w:t>
      </w:r>
      <w:r w:rsidRPr="006025DF">
        <w:t xml:space="preserve">en atención a lo señalado tanto en su respuesta, como en su informe justificado. </w:t>
      </w:r>
    </w:p>
    <w:p w14:paraId="5839733C" w14:textId="77777777" w:rsidR="00506B11" w:rsidRPr="006025DF" w:rsidRDefault="00506B11" w:rsidP="006025DF">
      <w:pPr>
        <w:widowControl w:val="0"/>
        <w:tabs>
          <w:tab w:val="left" w:pos="1701"/>
          <w:tab w:val="left" w:pos="1843"/>
        </w:tabs>
        <w:ind w:right="49"/>
      </w:pPr>
    </w:p>
    <w:p w14:paraId="2F06BC4F" w14:textId="77777777" w:rsidR="00506B11" w:rsidRPr="006025DF" w:rsidRDefault="006025DF" w:rsidP="006025DF">
      <w:pPr>
        <w:widowControl w:val="0"/>
        <w:tabs>
          <w:tab w:val="left" w:pos="1701"/>
          <w:tab w:val="left" w:pos="1843"/>
        </w:tabs>
        <w:ind w:right="49"/>
      </w:pPr>
      <w:r w:rsidRPr="006025DF">
        <w:t xml:space="preserve">Finalmente, no se omite comentar que mediante respuesta </w:t>
      </w:r>
      <w:r w:rsidRPr="006025DF">
        <w:rPr>
          <w:b/>
        </w:rPr>
        <w:t xml:space="preserve">EL SUJETO OBLIGADO </w:t>
      </w:r>
      <w:r w:rsidRPr="006025DF">
        <w:t>adjuntó documentos en los que se advirtió que no fue testada información susceptible de ser clasificada como confidencial, la cual de manera enunciativa más no limitativa son cuentas bancarias de personas morales;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3072F1AD" w14:textId="77777777" w:rsidR="00506B11" w:rsidRPr="006025DF" w:rsidRDefault="00506B11" w:rsidP="006025DF">
      <w:pPr>
        <w:jc w:val="left"/>
      </w:pPr>
    </w:p>
    <w:p w14:paraId="44AE3E8F" w14:textId="77777777" w:rsidR="00506B11" w:rsidRPr="006025DF" w:rsidRDefault="006025DF" w:rsidP="006025DF">
      <w:pPr>
        <w:pStyle w:val="Ttulo3"/>
      </w:pPr>
      <w:bookmarkStart w:id="27" w:name="_tla8k5tq7imt" w:colFirst="0" w:colLast="0"/>
      <w:bookmarkEnd w:id="27"/>
      <w:r w:rsidRPr="006025DF">
        <w:t>d) Conclusión</w:t>
      </w:r>
    </w:p>
    <w:p w14:paraId="6BA2BD14" w14:textId="77777777" w:rsidR="00506B11" w:rsidRPr="006025DF" w:rsidRDefault="006025DF" w:rsidP="006025DF">
      <w:pPr>
        <w:widowControl w:val="0"/>
        <w:tabs>
          <w:tab w:val="left" w:pos="1701"/>
          <w:tab w:val="left" w:pos="1843"/>
        </w:tabs>
        <w:ind w:right="49"/>
      </w:pPr>
      <w:r w:rsidRPr="006025DF">
        <w:t xml:space="preserve">De forma que las razones o motivos de inconformidad señalados por la </w:t>
      </w:r>
      <w:r w:rsidRPr="006025DF">
        <w:rPr>
          <w:b/>
        </w:rPr>
        <w:t xml:space="preserve">PARTE RECURRENTE </w:t>
      </w:r>
      <w:r w:rsidRPr="006025DF">
        <w:t xml:space="preserve">resultan  </w:t>
      </w:r>
      <w:r w:rsidRPr="006025DF">
        <w:rPr>
          <w:b/>
        </w:rPr>
        <w:t xml:space="preserve">infundados, </w:t>
      </w:r>
      <w:r w:rsidRPr="006025DF">
        <w:t xml:space="preserve">ya que lo entregado por el ente recurrido sí corresponde a lo solicitado y, por tanto, se determina  </w:t>
      </w:r>
      <w:r w:rsidRPr="006025DF">
        <w:rPr>
          <w:b/>
        </w:rPr>
        <w:t>CONFIRMAR</w:t>
      </w:r>
      <w:r w:rsidRPr="006025DF">
        <w:t xml:space="preserve"> la respuesta dada por </w:t>
      </w:r>
      <w:r w:rsidRPr="006025DF">
        <w:rPr>
          <w:b/>
        </w:rPr>
        <w:t>EL</w:t>
      </w:r>
      <w:r w:rsidRPr="006025DF">
        <w:t xml:space="preserve"> </w:t>
      </w:r>
      <w:r w:rsidRPr="006025DF">
        <w:rPr>
          <w:b/>
        </w:rPr>
        <w:t xml:space="preserve">SUJETO OBLIGADO </w:t>
      </w:r>
      <w:r w:rsidRPr="006025DF">
        <w:t xml:space="preserve">a la solicitud de información que dio origen al Recurso de Revisión número </w:t>
      </w:r>
      <w:r w:rsidRPr="006025DF">
        <w:rPr>
          <w:b/>
        </w:rPr>
        <w:t>00427/INFOEM/IP/RR/2025.</w:t>
      </w:r>
    </w:p>
    <w:p w14:paraId="5D3C8CE5" w14:textId="77777777" w:rsidR="00506B11" w:rsidRPr="006025DF" w:rsidRDefault="00506B11" w:rsidP="006025DF">
      <w:pPr>
        <w:ind w:right="113"/>
      </w:pPr>
    </w:p>
    <w:p w14:paraId="76F604EE" w14:textId="77777777" w:rsidR="00506B11" w:rsidRPr="006025DF" w:rsidRDefault="006025DF" w:rsidP="006025DF">
      <w:pPr>
        <w:ind w:right="-93"/>
      </w:pPr>
      <w:r w:rsidRPr="006025DF">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7281333" w14:textId="77777777" w:rsidR="00506B11" w:rsidRPr="006025DF" w:rsidRDefault="00506B11" w:rsidP="006025DF"/>
    <w:p w14:paraId="3775655E" w14:textId="77777777" w:rsidR="00506B11" w:rsidRPr="006025DF" w:rsidRDefault="006025DF" w:rsidP="006025DF">
      <w:pPr>
        <w:pStyle w:val="Ttulo1"/>
      </w:pPr>
      <w:bookmarkStart w:id="28" w:name="_i1jusf4cjfq5" w:colFirst="0" w:colLast="0"/>
      <w:bookmarkEnd w:id="28"/>
      <w:r w:rsidRPr="006025DF">
        <w:t>RESUELVE</w:t>
      </w:r>
    </w:p>
    <w:p w14:paraId="2DBE98D2" w14:textId="77777777" w:rsidR="00506B11" w:rsidRPr="006025DF" w:rsidRDefault="00506B11" w:rsidP="006025DF">
      <w:pPr>
        <w:ind w:right="113"/>
        <w:rPr>
          <w:b/>
        </w:rPr>
      </w:pPr>
    </w:p>
    <w:p w14:paraId="03F989AF" w14:textId="77777777" w:rsidR="00506B11" w:rsidRPr="006025DF" w:rsidRDefault="006025DF" w:rsidP="006025DF">
      <w:pPr>
        <w:widowControl w:val="0"/>
      </w:pPr>
      <w:r w:rsidRPr="006025DF">
        <w:rPr>
          <w:b/>
        </w:rPr>
        <w:t>PRIMERO.</w:t>
      </w:r>
      <w:r w:rsidRPr="006025DF">
        <w:t xml:space="preserve"> Se </w:t>
      </w:r>
      <w:r w:rsidRPr="006025DF">
        <w:rPr>
          <w:b/>
        </w:rPr>
        <w:t>CONFIRMA</w:t>
      </w:r>
      <w:r w:rsidRPr="006025DF">
        <w:t xml:space="preserve"> la respuesta entregada por el </w:t>
      </w:r>
      <w:r w:rsidRPr="006025DF">
        <w:rPr>
          <w:b/>
        </w:rPr>
        <w:t>SUJETO OBLIGADO</w:t>
      </w:r>
      <w:r w:rsidRPr="006025DF">
        <w:t xml:space="preserve"> en la solicitud de información</w:t>
      </w:r>
      <w:r w:rsidRPr="006025DF">
        <w:rPr>
          <w:b/>
        </w:rPr>
        <w:t xml:space="preserve"> 00033/DIFTOLUCA/IP/2025</w:t>
      </w:r>
      <w:r w:rsidRPr="006025DF">
        <w:t xml:space="preserve">, por resultar </w:t>
      </w:r>
      <w:r w:rsidRPr="006025DF">
        <w:rPr>
          <w:b/>
        </w:rPr>
        <w:t>INFUNDADAS</w:t>
      </w:r>
      <w:r w:rsidRPr="006025DF">
        <w:t xml:space="preserve"> las razones o motivos de inconformidad hechos valer por </w:t>
      </w:r>
      <w:r w:rsidRPr="006025DF">
        <w:rPr>
          <w:b/>
        </w:rPr>
        <w:t>LA PARTE RECURRENTE</w:t>
      </w:r>
      <w:r w:rsidRPr="006025DF">
        <w:t xml:space="preserve"> en el Recurso de Revisión </w:t>
      </w:r>
      <w:r w:rsidRPr="006025DF">
        <w:rPr>
          <w:b/>
        </w:rPr>
        <w:t>00427/INFOEM/IP/RR/2025</w:t>
      </w:r>
      <w:r w:rsidRPr="006025DF">
        <w:t>,</w:t>
      </w:r>
      <w:r w:rsidRPr="006025DF">
        <w:rPr>
          <w:b/>
        </w:rPr>
        <w:t xml:space="preserve"> </w:t>
      </w:r>
      <w:r w:rsidRPr="006025DF">
        <w:t xml:space="preserve">en términos del considerando </w:t>
      </w:r>
      <w:r w:rsidRPr="006025DF">
        <w:rPr>
          <w:b/>
        </w:rPr>
        <w:t>SEGUNDO</w:t>
      </w:r>
      <w:r w:rsidRPr="006025DF">
        <w:t xml:space="preserve"> de la presente Resolución.</w:t>
      </w:r>
    </w:p>
    <w:p w14:paraId="1723A670" w14:textId="77777777" w:rsidR="00506B11" w:rsidRPr="006025DF" w:rsidRDefault="00506B11" w:rsidP="006025DF">
      <w:pPr>
        <w:widowControl w:val="0"/>
      </w:pPr>
    </w:p>
    <w:p w14:paraId="4DB4E271" w14:textId="77777777" w:rsidR="00506B11" w:rsidRPr="006025DF" w:rsidRDefault="006025DF" w:rsidP="006025DF">
      <w:pPr>
        <w:ind w:right="-93"/>
      </w:pPr>
      <w:r w:rsidRPr="006025DF">
        <w:rPr>
          <w:b/>
        </w:rPr>
        <w:t>SEGUNDO.</w:t>
      </w:r>
      <w:r w:rsidRPr="006025DF">
        <w:t xml:space="preserve"> Notifíquese la presente resolución mediante Sistema de Acceso a la Información Mexiquense al Titular de la Unidad de Transparencia del </w:t>
      </w:r>
      <w:r w:rsidRPr="006025DF">
        <w:rPr>
          <w:b/>
        </w:rPr>
        <w:t>SUJETO OBLIGADO</w:t>
      </w:r>
      <w:r w:rsidRPr="006025DF">
        <w:t>, para su conocimiento.</w:t>
      </w:r>
    </w:p>
    <w:p w14:paraId="2F5FD508" w14:textId="77777777" w:rsidR="00506B11" w:rsidRPr="006025DF" w:rsidRDefault="006025DF" w:rsidP="006025DF">
      <w:r w:rsidRPr="006025DF">
        <w:rPr>
          <w:b/>
        </w:rPr>
        <w:lastRenderedPageBreak/>
        <w:t>TERCERO.</w:t>
      </w:r>
      <w:r w:rsidRPr="006025DF">
        <w:t xml:space="preserve"> Notifíquese a </w:t>
      </w:r>
      <w:r w:rsidRPr="006025DF">
        <w:rPr>
          <w:b/>
        </w:rPr>
        <w:t>LA PARTE RECURRENTE</w:t>
      </w:r>
      <w:r w:rsidRPr="006025DF">
        <w:t xml:space="preserve"> la presente resolución vía Sistema de Acceso a la Información Mexiquense (SAIMEX).</w:t>
      </w:r>
    </w:p>
    <w:p w14:paraId="0A7C4E6E" w14:textId="77777777" w:rsidR="00506B11" w:rsidRPr="006025DF" w:rsidRDefault="00506B11" w:rsidP="006025DF"/>
    <w:p w14:paraId="5DD9801E" w14:textId="77777777" w:rsidR="00506B11" w:rsidRPr="006025DF" w:rsidRDefault="006025DF" w:rsidP="006025DF">
      <w:r w:rsidRPr="006025DF">
        <w:rPr>
          <w:b/>
        </w:rPr>
        <w:t>CUARTO</w:t>
      </w:r>
      <w:r w:rsidRPr="006025DF">
        <w:t xml:space="preserve">. Hágase del conocimiento a </w:t>
      </w:r>
      <w:r w:rsidRPr="006025DF">
        <w:rPr>
          <w:b/>
        </w:rPr>
        <w:t>LA PARTE RECURRENTE</w:t>
      </w:r>
      <w:r w:rsidRPr="006025D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C14D48A" w14:textId="77777777" w:rsidR="00506B11" w:rsidRPr="006025DF" w:rsidRDefault="00506B11" w:rsidP="006025DF"/>
    <w:p w14:paraId="462AA393" w14:textId="77777777" w:rsidR="00506B11" w:rsidRPr="006025DF" w:rsidRDefault="006025DF" w:rsidP="006025DF">
      <w:r w:rsidRPr="006025DF">
        <w:rPr>
          <w:b/>
        </w:rPr>
        <w:t>QUINTO</w:t>
      </w:r>
      <w:r w:rsidRPr="006025DF">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6025DF">
        <w:rPr>
          <w:b/>
        </w:rPr>
        <w:t>SEGUNDO</w:t>
      </w:r>
      <w:r w:rsidRPr="006025DF">
        <w:t xml:space="preserve"> de la presente resolución.</w:t>
      </w:r>
    </w:p>
    <w:p w14:paraId="6CD2188A" w14:textId="77777777" w:rsidR="00506B11" w:rsidRPr="006025DF" w:rsidRDefault="00506B11" w:rsidP="006025DF"/>
    <w:p w14:paraId="530453AD" w14:textId="77777777" w:rsidR="00506B11" w:rsidRPr="006025DF" w:rsidRDefault="006025DF" w:rsidP="006025DF">
      <w:r w:rsidRPr="006025DF">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t>DÉCIMA</w:t>
      </w:r>
      <w:r w:rsidRPr="006025DF">
        <w:t xml:space="preserve"> SESIÓN ORDINARIA, CELEBRADA EL VEINTISÉIS DE MARZO DE DOS MIL VEINTICINCO, ANTE EL SECRETARIO TÉCNICO DEL PLENO, ALEXIS TAPIA RAMÍREZ.</w:t>
      </w:r>
    </w:p>
    <w:p w14:paraId="680B0344" w14:textId="77777777" w:rsidR="00506B11" w:rsidRPr="006025DF" w:rsidRDefault="006025DF" w:rsidP="006025DF">
      <w:pPr>
        <w:ind w:right="-93"/>
      </w:pPr>
      <w:r w:rsidRPr="006025DF">
        <w:t>SCMM/AGZ/DEMF/PMRE</w:t>
      </w:r>
    </w:p>
    <w:p w14:paraId="0989255E" w14:textId="77777777" w:rsidR="00506B11" w:rsidRPr="006025DF" w:rsidRDefault="00506B11" w:rsidP="006025DF">
      <w:pPr>
        <w:ind w:right="-93"/>
      </w:pPr>
    </w:p>
    <w:p w14:paraId="6D6B3C92" w14:textId="77777777" w:rsidR="00506B11" w:rsidRPr="006025DF" w:rsidRDefault="00506B11" w:rsidP="006025DF">
      <w:pPr>
        <w:ind w:right="-93"/>
      </w:pPr>
    </w:p>
    <w:p w14:paraId="45FF9A6F" w14:textId="77777777" w:rsidR="00506B11" w:rsidRPr="006025DF" w:rsidRDefault="00506B11" w:rsidP="006025DF">
      <w:pPr>
        <w:ind w:right="-93"/>
      </w:pPr>
    </w:p>
    <w:p w14:paraId="79D475A7" w14:textId="77777777" w:rsidR="00506B11" w:rsidRPr="006025DF" w:rsidRDefault="00506B11" w:rsidP="006025DF">
      <w:pPr>
        <w:ind w:right="-93"/>
      </w:pPr>
    </w:p>
    <w:p w14:paraId="66B285FF" w14:textId="77777777" w:rsidR="00506B11" w:rsidRPr="006025DF" w:rsidRDefault="00506B11" w:rsidP="006025DF">
      <w:pPr>
        <w:ind w:right="-93"/>
      </w:pPr>
    </w:p>
    <w:p w14:paraId="69CB6B10" w14:textId="77777777" w:rsidR="00506B11" w:rsidRPr="006025DF" w:rsidRDefault="00506B11" w:rsidP="006025DF">
      <w:pPr>
        <w:ind w:right="-93"/>
      </w:pPr>
    </w:p>
    <w:p w14:paraId="3BD74670" w14:textId="77777777" w:rsidR="00506B11" w:rsidRPr="006025DF" w:rsidRDefault="00506B11" w:rsidP="006025DF">
      <w:pPr>
        <w:ind w:right="-93"/>
      </w:pPr>
    </w:p>
    <w:p w14:paraId="4CB619AB" w14:textId="77777777" w:rsidR="00506B11" w:rsidRPr="006025DF" w:rsidRDefault="00506B11" w:rsidP="006025DF">
      <w:pPr>
        <w:ind w:right="-93"/>
      </w:pPr>
    </w:p>
    <w:p w14:paraId="01038CF1" w14:textId="77777777" w:rsidR="00506B11" w:rsidRPr="006025DF" w:rsidRDefault="00506B11" w:rsidP="006025DF">
      <w:pPr>
        <w:tabs>
          <w:tab w:val="center" w:pos="4568"/>
        </w:tabs>
        <w:ind w:right="-93"/>
      </w:pPr>
    </w:p>
    <w:p w14:paraId="0042A889" w14:textId="77777777" w:rsidR="00506B11" w:rsidRPr="006025DF" w:rsidRDefault="00506B11" w:rsidP="006025DF">
      <w:pPr>
        <w:tabs>
          <w:tab w:val="center" w:pos="4568"/>
        </w:tabs>
        <w:ind w:right="-93"/>
      </w:pPr>
    </w:p>
    <w:p w14:paraId="18483EFA" w14:textId="77777777" w:rsidR="00506B11" w:rsidRPr="006025DF" w:rsidRDefault="00506B11" w:rsidP="006025DF">
      <w:pPr>
        <w:tabs>
          <w:tab w:val="center" w:pos="4568"/>
        </w:tabs>
        <w:ind w:right="-93"/>
      </w:pPr>
    </w:p>
    <w:p w14:paraId="26A4CC6E" w14:textId="77777777" w:rsidR="00506B11" w:rsidRPr="006025DF" w:rsidRDefault="00506B11" w:rsidP="006025DF">
      <w:pPr>
        <w:tabs>
          <w:tab w:val="center" w:pos="4568"/>
        </w:tabs>
        <w:ind w:right="-93"/>
      </w:pPr>
    </w:p>
    <w:p w14:paraId="1B43709B" w14:textId="77777777" w:rsidR="00506B11" w:rsidRPr="006025DF" w:rsidRDefault="00506B11" w:rsidP="006025DF">
      <w:pPr>
        <w:tabs>
          <w:tab w:val="center" w:pos="4568"/>
        </w:tabs>
        <w:ind w:right="-93"/>
      </w:pPr>
    </w:p>
    <w:p w14:paraId="05439938" w14:textId="77777777" w:rsidR="00506B11" w:rsidRPr="006025DF" w:rsidRDefault="00506B11" w:rsidP="006025DF">
      <w:pPr>
        <w:tabs>
          <w:tab w:val="center" w:pos="4568"/>
        </w:tabs>
        <w:ind w:right="-93"/>
      </w:pPr>
    </w:p>
    <w:p w14:paraId="0D59A195" w14:textId="77777777" w:rsidR="00506B11" w:rsidRPr="006025DF" w:rsidRDefault="00506B11" w:rsidP="006025DF">
      <w:pPr>
        <w:tabs>
          <w:tab w:val="center" w:pos="4568"/>
        </w:tabs>
        <w:ind w:right="-93"/>
      </w:pPr>
    </w:p>
    <w:p w14:paraId="4298995C" w14:textId="77777777" w:rsidR="00506B11" w:rsidRPr="006025DF" w:rsidRDefault="00506B11" w:rsidP="006025DF">
      <w:pPr>
        <w:tabs>
          <w:tab w:val="center" w:pos="4568"/>
        </w:tabs>
        <w:ind w:right="-93"/>
      </w:pPr>
    </w:p>
    <w:p w14:paraId="73403C28" w14:textId="77777777" w:rsidR="00506B11" w:rsidRPr="006025DF" w:rsidRDefault="00506B11" w:rsidP="006025DF">
      <w:pPr>
        <w:tabs>
          <w:tab w:val="center" w:pos="4568"/>
        </w:tabs>
        <w:ind w:right="-93"/>
      </w:pPr>
    </w:p>
    <w:p w14:paraId="0250AD4A" w14:textId="77777777" w:rsidR="00506B11" w:rsidRPr="006025DF" w:rsidRDefault="00506B11" w:rsidP="006025DF">
      <w:pPr>
        <w:tabs>
          <w:tab w:val="center" w:pos="4568"/>
        </w:tabs>
        <w:ind w:right="-93"/>
      </w:pPr>
    </w:p>
    <w:p w14:paraId="6C14B2F1" w14:textId="77777777" w:rsidR="00506B11" w:rsidRPr="006025DF" w:rsidRDefault="00506B11" w:rsidP="006025DF">
      <w:pPr>
        <w:tabs>
          <w:tab w:val="center" w:pos="4568"/>
        </w:tabs>
        <w:ind w:right="-93"/>
      </w:pPr>
    </w:p>
    <w:p w14:paraId="7121B732" w14:textId="77777777" w:rsidR="00506B11" w:rsidRPr="006025DF" w:rsidRDefault="00506B11" w:rsidP="006025DF">
      <w:pPr>
        <w:tabs>
          <w:tab w:val="center" w:pos="4568"/>
        </w:tabs>
        <w:ind w:right="-93"/>
      </w:pPr>
    </w:p>
    <w:p w14:paraId="357DDC72" w14:textId="77777777" w:rsidR="00506B11" w:rsidRPr="006025DF" w:rsidRDefault="00506B11" w:rsidP="006025DF">
      <w:pPr>
        <w:tabs>
          <w:tab w:val="center" w:pos="4568"/>
        </w:tabs>
        <w:ind w:right="-93"/>
      </w:pPr>
    </w:p>
    <w:p w14:paraId="387ECED1" w14:textId="77777777" w:rsidR="00506B11" w:rsidRPr="006025DF" w:rsidRDefault="00506B11" w:rsidP="006025DF"/>
    <w:sectPr w:rsidR="00506B11" w:rsidRPr="006025DF">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CDD9E" w14:textId="77777777" w:rsidR="006D36F3" w:rsidRDefault="006D36F3">
      <w:pPr>
        <w:spacing w:line="240" w:lineRule="auto"/>
      </w:pPr>
      <w:r>
        <w:separator/>
      </w:r>
    </w:p>
  </w:endnote>
  <w:endnote w:type="continuationSeparator" w:id="0">
    <w:p w14:paraId="43280C9D" w14:textId="77777777" w:rsidR="006D36F3" w:rsidRDefault="006D3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56FA" w14:textId="77777777" w:rsidR="00506B11" w:rsidRDefault="00506B11">
    <w:pPr>
      <w:tabs>
        <w:tab w:val="center" w:pos="4550"/>
        <w:tab w:val="left" w:pos="5818"/>
      </w:tabs>
      <w:ind w:right="260"/>
      <w:jc w:val="right"/>
      <w:rPr>
        <w:color w:val="071320"/>
        <w:sz w:val="24"/>
        <w:szCs w:val="24"/>
      </w:rPr>
    </w:pPr>
  </w:p>
  <w:p w14:paraId="0CDEA8E3" w14:textId="77777777" w:rsidR="00506B11" w:rsidRDefault="00506B1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8FE22" w14:textId="77777777" w:rsidR="00506B11" w:rsidRDefault="006025D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46A1F">
      <w:rPr>
        <w:noProof/>
        <w:color w:val="0A1D30"/>
        <w:sz w:val="24"/>
        <w:szCs w:val="24"/>
      </w:rPr>
      <w:t>14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46A1F">
      <w:rPr>
        <w:noProof/>
        <w:color w:val="0A1D30"/>
        <w:sz w:val="24"/>
        <w:szCs w:val="24"/>
      </w:rPr>
      <w:t>26</w:t>
    </w:r>
    <w:r>
      <w:rPr>
        <w:color w:val="0A1D30"/>
        <w:sz w:val="24"/>
        <w:szCs w:val="24"/>
      </w:rPr>
      <w:fldChar w:fldCharType="end"/>
    </w:r>
  </w:p>
  <w:p w14:paraId="05AA4A7A" w14:textId="77777777" w:rsidR="00506B11" w:rsidRDefault="00506B1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D2C3D" w14:textId="77777777" w:rsidR="006D36F3" w:rsidRDefault="006D36F3">
      <w:pPr>
        <w:spacing w:line="240" w:lineRule="auto"/>
      </w:pPr>
      <w:r>
        <w:separator/>
      </w:r>
    </w:p>
  </w:footnote>
  <w:footnote w:type="continuationSeparator" w:id="0">
    <w:p w14:paraId="1CC4B975" w14:textId="77777777" w:rsidR="006D36F3" w:rsidRDefault="006D36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13E3" w14:textId="77777777" w:rsidR="00506B11" w:rsidRDefault="00506B11">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06B11" w14:paraId="43D614E1" w14:textId="77777777">
      <w:trPr>
        <w:trHeight w:val="144"/>
        <w:jc w:val="right"/>
      </w:trPr>
      <w:tc>
        <w:tcPr>
          <w:tcW w:w="2727" w:type="dxa"/>
        </w:tcPr>
        <w:p w14:paraId="4A08E7D9" w14:textId="77777777" w:rsidR="00506B11" w:rsidRDefault="006025DF">
          <w:pPr>
            <w:tabs>
              <w:tab w:val="right" w:pos="8838"/>
            </w:tabs>
            <w:ind w:left="-74" w:right="-105"/>
            <w:rPr>
              <w:b/>
            </w:rPr>
          </w:pPr>
          <w:r>
            <w:rPr>
              <w:b/>
            </w:rPr>
            <w:t>Recurso de Revisión:</w:t>
          </w:r>
        </w:p>
      </w:tc>
      <w:tc>
        <w:tcPr>
          <w:tcW w:w="3402" w:type="dxa"/>
        </w:tcPr>
        <w:p w14:paraId="52B34E77" w14:textId="77777777" w:rsidR="00506B11" w:rsidRDefault="006025DF">
          <w:pPr>
            <w:tabs>
              <w:tab w:val="right" w:pos="8838"/>
            </w:tabs>
            <w:ind w:left="-74" w:right="-105"/>
          </w:pPr>
          <w:r>
            <w:t>00427/INFOEM/IP/RR/2025</w:t>
          </w:r>
        </w:p>
      </w:tc>
    </w:tr>
    <w:tr w:rsidR="00506B11" w14:paraId="1B0D7FBD" w14:textId="77777777">
      <w:trPr>
        <w:trHeight w:val="283"/>
        <w:jc w:val="right"/>
      </w:trPr>
      <w:tc>
        <w:tcPr>
          <w:tcW w:w="2727" w:type="dxa"/>
        </w:tcPr>
        <w:p w14:paraId="06EBD9ED" w14:textId="77777777" w:rsidR="00506B11" w:rsidRDefault="006025DF">
          <w:pPr>
            <w:tabs>
              <w:tab w:val="right" w:pos="8838"/>
            </w:tabs>
            <w:ind w:left="-74" w:right="-105"/>
            <w:rPr>
              <w:b/>
            </w:rPr>
          </w:pPr>
          <w:r>
            <w:rPr>
              <w:b/>
            </w:rPr>
            <w:t>Sujeto Obligado:</w:t>
          </w:r>
        </w:p>
      </w:tc>
      <w:tc>
        <w:tcPr>
          <w:tcW w:w="3402" w:type="dxa"/>
        </w:tcPr>
        <w:p w14:paraId="211418F0" w14:textId="77777777" w:rsidR="00506B11" w:rsidRDefault="006025DF">
          <w:pPr>
            <w:tabs>
              <w:tab w:val="left" w:pos="2834"/>
              <w:tab w:val="right" w:pos="8838"/>
            </w:tabs>
            <w:ind w:left="-108" w:right="-105"/>
          </w:pPr>
          <w:r>
            <w:t>Sistema Municipal Para el Desarrollo Integral de la Familia de Toluca</w:t>
          </w:r>
        </w:p>
      </w:tc>
    </w:tr>
    <w:tr w:rsidR="00506B11" w14:paraId="1C4C87AC" w14:textId="77777777">
      <w:trPr>
        <w:trHeight w:val="283"/>
        <w:jc w:val="right"/>
      </w:trPr>
      <w:tc>
        <w:tcPr>
          <w:tcW w:w="2727" w:type="dxa"/>
        </w:tcPr>
        <w:p w14:paraId="6FEA3340" w14:textId="77777777" w:rsidR="00506B11" w:rsidRDefault="006025DF">
          <w:pPr>
            <w:tabs>
              <w:tab w:val="right" w:pos="8838"/>
            </w:tabs>
            <w:ind w:left="-74" w:right="-105"/>
            <w:rPr>
              <w:b/>
            </w:rPr>
          </w:pPr>
          <w:r>
            <w:rPr>
              <w:b/>
            </w:rPr>
            <w:t>Comisionada Ponente:</w:t>
          </w:r>
        </w:p>
      </w:tc>
      <w:tc>
        <w:tcPr>
          <w:tcW w:w="3402" w:type="dxa"/>
        </w:tcPr>
        <w:p w14:paraId="06BD03EE" w14:textId="77777777" w:rsidR="00506B11" w:rsidRDefault="006025DF">
          <w:pPr>
            <w:tabs>
              <w:tab w:val="right" w:pos="8838"/>
            </w:tabs>
            <w:ind w:left="-108" w:right="-105"/>
          </w:pPr>
          <w:r>
            <w:t>Sharon Cristina Morales Martínez</w:t>
          </w:r>
        </w:p>
      </w:tc>
    </w:tr>
  </w:tbl>
  <w:p w14:paraId="3EFD8C87" w14:textId="77777777" w:rsidR="00506B11" w:rsidRDefault="006025D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1DCC7813" wp14:editId="48273BC1">
          <wp:simplePos x="0" y="0"/>
          <wp:positionH relativeFrom="margin">
            <wp:posOffset>-995041</wp:posOffset>
          </wp:positionH>
          <wp:positionV relativeFrom="margin">
            <wp:posOffset>-1782442</wp:posOffset>
          </wp:positionV>
          <wp:extent cx="8426450" cy="10972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FA2B" w14:textId="77777777" w:rsidR="00506B11" w:rsidRDefault="00506B11">
    <w:pPr>
      <w:widowControl w:val="0"/>
      <w:pBdr>
        <w:top w:val="nil"/>
        <w:left w:val="nil"/>
        <w:bottom w:val="nil"/>
        <w:right w:val="nil"/>
        <w:between w:val="nil"/>
      </w:pBdr>
      <w:spacing w:line="276" w:lineRule="auto"/>
      <w:jc w:val="left"/>
      <w:rPr>
        <w:color w:val="000000"/>
        <w:sz w:val="14"/>
        <w:szCs w:val="14"/>
      </w:rPr>
    </w:pPr>
  </w:p>
  <w:tbl>
    <w:tblPr>
      <w:tblStyle w:val="a0"/>
      <w:tblW w:w="6660" w:type="dxa"/>
      <w:tblInd w:w="2552" w:type="dxa"/>
      <w:tblLayout w:type="fixed"/>
      <w:tblLook w:val="0400" w:firstRow="0" w:lastRow="0" w:firstColumn="0" w:lastColumn="0" w:noHBand="0" w:noVBand="1"/>
    </w:tblPr>
    <w:tblGrid>
      <w:gridCol w:w="283"/>
      <w:gridCol w:w="6377"/>
    </w:tblGrid>
    <w:tr w:rsidR="00506B11" w14:paraId="0BEA64F6" w14:textId="77777777">
      <w:trPr>
        <w:trHeight w:val="1435"/>
      </w:trPr>
      <w:tc>
        <w:tcPr>
          <w:tcW w:w="283" w:type="dxa"/>
          <w:shd w:val="clear" w:color="auto" w:fill="auto"/>
        </w:tcPr>
        <w:p w14:paraId="67E11DC2" w14:textId="77777777" w:rsidR="00506B11" w:rsidRDefault="00506B11">
          <w:pPr>
            <w:tabs>
              <w:tab w:val="right" w:pos="4273"/>
            </w:tabs>
            <w:rPr>
              <w:rFonts w:ascii="Garamond" w:eastAsia="Garamond" w:hAnsi="Garamond" w:cs="Garamond"/>
            </w:rPr>
          </w:pPr>
        </w:p>
      </w:tc>
      <w:tc>
        <w:tcPr>
          <w:tcW w:w="6378" w:type="dxa"/>
          <w:shd w:val="clear" w:color="auto" w:fill="auto"/>
        </w:tcPr>
        <w:p w14:paraId="423F8906" w14:textId="77777777" w:rsidR="00506B11" w:rsidRDefault="00506B11">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506B11" w14:paraId="7833EEDF" w14:textId="77777777" w:rsidTr="00014CD4">
            <w:trPr>
              <w:trHeight w:val="144"/>
            </w:trPr>
            <w:tc>
              <w:tcPr>
                <w:tcW w:w="2581" w:type="dxa"/>
                <w:tcBorders>
                  <w:top w:val="nil"/>
                  <w:left w:val="nil"/>
                  <w:bottom w:val="nil"/>
                  <w:right w:val="nil"/>
                </w:tcBorders>
              </w:tcPr>
              <w:p w14:paraId="1A787416" w14:textId="77777777" w:rsidR="00506B11" w:rsidRDefault="006025DF">
                <w:pPr>
                  <w:tabs>
                    <w:tab w:val="right" w:pos="8838"/>
                  </w:tabs>
                  <w:ind w:left="-74" w:right="-108"/>
                  <w:rPr>
                    <w:b/>
                  </w:rPr>
                </w:pPr>
                <w:bookmarkStart w:id="0" w:name="_xjomp0ax8x73" w:colFirst="0" w:colLast="0"/>
                <w:bookmarkEnd w:id="0"/>
                <w:r>
                  <w:rPr>
                    <w:b/>
                  </w:rPr>
                  <w:t>Recurso de Revisión:</w:t>
                </w:r>
              </w:p>
            </w:tc>
            <w:tc>
              <w:tcPr>
                <w:tcW w:w="3548" w:type="dxa"/>
                <w:tcBorders>
                  <w:top w:val="nil"/>
                  <w:left w:val="nil"/>
                  <w:bottom w:val="nil"/>
                  <w:right w:val="nil"/>
                </w:tcBorders>
              </w:tcPr>
              <w:p w14:paraId="1A0A3FB8" w14:textId="1C646CE6" w:rsidR="00506B11" w:rsidRDefault="006025DF" w:rsidP="00014CD4">
                <w:pPr>
                  <w:tabs>
                    <w:tab w:val="right" w:pos="8838"/>
                  </w:tabs>
                  <w:ind w:left="-125" w:right="-108"/>
                </w:pPr>
                <w:r>
                  <w:t>00427/INFOEM/IP/RR/2025</w:t>
                </w:r>
              </w:p>
            </w:tc>
            <w:tc>
              <w:tcPr>
                <w:tcW w:w="3402" w:type="dxa"/>
                <w:tcBorders>
                  <w:left w:val="nil"/>
                </w:tcBorders>
              </w:tcPr>
              <w:p w14:paraId="163B3383" w14:textId="77777777" w:rsidR="00506B11" w:rsidRDefault="00506B11">
                <w:pPr>
                  <w:tabs>
                    <w:tab w:val="right" w:pos="8838"/>
                  </w:tabs>
                  <w:ind w:left="-74" w:right="-108"/>
                </w:pPr>
              </w:p>
            </w:tc>
          </w:tr>
          <w:tr w:rsidR="00506B11" w14:paraId="30D242F5" w14:textId="77777777" w:rsidTr="00014CD4">
            <w:trPr>
              <w:trHeight w:val="144"/>
            </w:trPr>
            <w:tc>
              <w:tcPr>
                <w:tcW w:w="2581" w:type="dxa"/>
                <w:tcBorders>
                  <w:top w:val="nil"/>
                  <w:left w:val="nil"/>
                  <w:bottom w:val="nil"/>
                  <w:right w:val="nil"/>
                </w:tcBorders>
              </w:tcPr>
              <w:p w14:paraId="7B5FC962" w14:textId="77777777" w:rsidR="00506B11" w:rsidRDefault="006025DF">
                <w:pPr>
                  <w:tabs>
                    <w:tab w:val="right" w:pos="8838"/>
                  </w:tabs>
                  <w:ind w:left="-74" w:right="-108"/>
                  <w:rPr>
                    <w:b/>
                  </w:rPr>
                </w:pPr>
                <w:bookmarkStart w:id="1" w:name="_ekai1julq4am" w:colFirst="0" w:colLast="0"/>
                <w:bookmarkEnd w:id="1"/>
                <w:r>
                  <w:rPr>
                    <w:b/>
                  </w:rPr>
                  <w:t>Recurrente:</w:t>
                </w:r>
              </w:p>
            </w:tc>
            <w:tc>
              <w:tcPr>
                <w:tcW w:w="3548" w:type="dxa"/>
                <w:tcBorders>
                  <w:top w:val="nil"/>
                  <w:left w:val="nil"/>
                  <w:bottom w:val="nil"/>
                  <w:right w:val="nil"/>
                </w:tcBorders>
              </w:tcPr>
              <w:p w14:paraId="24BDB5DB" w14:textId="191F04F6" w:rsidR="00506B11" w:rsidRDefault="00F46A1F">
                <w:pPr>
                  <w:tabs>
                    <w:tab w:val="left" w:pos="3122"/>
                    <w:tab w:val="right" w:pos="8838"/>
                  </w:tabs>
                  <w:ind w:left="-105" w:right="-108"/>
                </w:pPr>
                <w:r>
                  <w:t xml:space="preserve">XXXXXXXX XX </w:t>
                </w:r>
                <w:proofErr w:type="spellStart"/>
                <w:r>
                  <w:t>XX</w:t>
                </w:r>
                <w:proofErr w:type="spellEnd"/>
              </w:p>
            </w:tc>
            <w:tc>
              <w:tcPr>
                <w:tcW w:w="3402" w:type="dxa"/>
                <w:tcBorders>
                  <w:left w:val="nil"/>
                </w:tcBorders>
              </w:tcPr>
              <w:p w14:paraId="1CF652C6" w14:textId="77777777" w:rsidR="00506B11" w:rsidRDefault="00506B11">
                <w:pPr>
                  <w:tabs>
                    <w:tab w:val="left" w:pos="3122"/>
                    <w:tab w:val="right" w:pos="8838"/>
                  </w:tabs>
                  <w:ind w:left="-105" w:right="-108"/>
                </w:pPr>
              </w:p>
            </w:tc>
          </w:tr>
          <w:tr w:rsidR="00506B11" w14:paraId="7FCFD56E" w14:textId="77777777" w:rsidTr="00014CD4">
            <w:trPr>
              <w:trHeight w:val="283"/>
            </w:trPr>
            <w:tc>
              <w:tcPr>
                <w:tcW w:w="2581" w:type="dxa"/>
                <w:tcBorders>
                  <w:top w:val="nil"/>
                  <w:left w:val="nil"/>
                  <w:bottom w:val="nil"/>
                  <w:right w:val="nil"/>
                </w:tcBorders>
              </w:tcPr>
              <w:p w14:paraId="0D5F805B" w14:textId="77777777" w:rsidR="00506B11" w:rsidRDefault="006025DF">
                <w:pPr>
                  <w:tabs>
                    <w:tab w:val="right" w:pos="8838"/>
                  </w:tabs>
                  <w:ind w:left="-74" w:right="-108"/>
                  <w:rPr>
                    <w:b/>
                  </w:rPr>
                </w:pPr>
                <w:r>
                  <w:rPr>
                    <w:b/>
                  </w:rPr>
                  <w:t>Sujeto Obligado:</w:t>
                </w:r>
              </w:p>
            </w:tc>
            <w:tc>
              <w:tcPr>
                <w:tcW w:w="3548" w:type="dxa"/>
                <w:tcBorders>
                  <w:top w:val="nil"/>
                  <w:left w:val="nil"/>
                  <w:bottom w:val="nil"/>
                  <w:right w:val="nil"/>
                </w:tcBorders>
              </w:tcPr>
              <w:p w14:paraId="23CBE440" w14:textId="77777777" w:rsidR="00506B11" w:rsidRDefault="006025DF">
                <w:pPr>
                  <w:tabs>
                    <w:tab w:val="left" w:pos="2834"/>
                    <w:tab w:val="right" w:pos="8838"/>
                  </w:tabs>
                  <w:ind w:left="-108" w:right="-108"/>
                </w:pPr>
                <w:r>
                  <w:t>Sistema Municipal Para el Desarrollo Integral de la Familia de Toluca</w:t>
                </w:r>
              </w:p>
            </w:tc>
            <w:tc>
              <w:tcPr>
                <w:tcW w:w="3402" w:type="dxa"/>
                <w:tcBorders>
                  <w:left w:val="nil"/>
                </w:tcBorders>
              </w:tcPr>
              <w:p w14:paraId="60001FC6" w14:textId="77777777" w:rsidR="00506B11" w:rsidRDefault="00506B11">
                <w:pPr>
                  <w:tabs>
                    <w:tab w:val="left" w:pos="2834"/>
                    <w:tab w:val="right" w:pos="8838"/>
                  </w:tabs>
                  <w:ind w:left="-108" w:right="-108"/>
                </w:pPr>
              </w:p>
            </w:tc>
          </w:tr>
          <w:tr w:rsidR="00506B11" w14:paraId="545311C8" w14:textId="77777777" w:rsidTr="00014CD4">
            <w:trPr>
              <w:trHeight w:val="283"/>
            </w:trPr>
            <w:tc>
              <w:tcPr>
                <w:tcW w:w="2581" w:type="dxa"/>
                <w:tcBorders>
                  <w:top w:val="nil"/>
                  <w:left w:val="nil"/>
                  <w:bottom w:val="nil"/>
                  <w:right w:val="nil"/>
                </w:tcBorders>
              </w:tcPr>
              <w:p w14:paraId="633BC961" w14:textId="77777777" w:rsidR="00506B11" w:rsidRDefault="006025DF">
                <w:pPr>
                  <w:tabs>
                    <w:tab w:val="right" w:pos="8838"/>
                  </w:tabs>
                  <w:ind w:left="-74" w:right="-108"/>
                  <w:rPr>
                    <w:b/>
                  </w:rPr>
                </w:pPr>
                <w:r>
                  <w:rPr>
                    <w:b/>
                  </w:rPr>
                  <w:t>Comisionada Ponente:</w:t>
                </w:r>
              </w:p>
            </w:tc>
            <w:tc>
              <w:tcPr>
                <w:tcW w:w="3548" w:type="dxa"/>
                <w:tcBorders>
                  <w:top w:val="nil"/>
                  <w:left w:val="nil"/>
                  <w:bottom w:val="nil"/>
                  <w:right w:val="nil"/>
                </w:tcBorders>
              </w:tcPr>
              <w:p w14:paraId="07A98826" w14:textId="77777777" w:rsidR="00506B11" w:rsidRDefault="006025DF">
                <w:pPr>
                  <w:tabs>
                    <w:tab w:val="right" w:pos="8838"/>
                  </w:tabs>
                  <w:ind w:left="-108" w:right="-108"/>
                </w:pPr>
                <w:r>
                  <w:t>Sharon Cristina Morales Martínez</w:t>
                </w:r>
              </w:p>
            </w:tc>
            <w:tc>
              <w:tcPr>
                <w:tcW w:w="3402" w:type="dxa"/>
                <w:tcBorders>
                  <w:left w:val="nil"/>
                </w:tcBorders>
              </w:tcPr>
              <w:p w14:paraId="0DD8E197" w14:textId="77777777" w:rsidR="00506B11" w:rsidRDefault="00506B11">
                <w:pPr>
                  <w:tabs>
                    <w:tab w:val="right" w:pos="8838"/>
                  </w:tabs>
                  <w:ind w:left="-108" w:right="-108"/>
                </w:pPr>
              </w:p>
            </w:tc>
          </w:tr>
        </w:tbl>
        <w:p w14:paraId="11DDFAC7" w14:textId="77777777" w:rsidR="00506B11" w:rsidRDefault="00506B11">
          <w:pPr>
            <w:tabs>
              <w:tab w:val="right" w:pos="8838"/>
            </w:tabs>
            <w:ind w:left="-28"/>
            <w:rPr>
              <w:rFonts w:ascii="Arial" w:eastAsia="Arial" w:hAnsi="Arial" w:cs="Arial"/>
              <w:b/>
            </w:rPr>
          </w:pPr>
        </w:p>
      </w:tc>
    </w:tr>
  </w:tbl>
  <w:p w14:paraId="3A2FDB7A" w14:textId="77777777" w:rsidR="00506B11" w:rsidRDefault="006D36F3">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42C4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A33CB"/>
    <w:multiLevelType w:val="multilevel"/>
    <w:tmpl w:val="86F26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CD6D88"/>
    <w:multiLevelType w:val="multilevel"/>
    <w:tmpl w:val="8362C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11"/>
    <w:rsid w:val="00014CD4"/>
    <w:rsid w:val="002D49B0"/>
    <w:rsid w:val="003438EB"/>
    <w:rsid w:val="004233CE"/>
    <w:rsid w:val="004F15B1"/>
    <w:rsid w:val="00506B11"/>
    <w:rsid w:val="006025DF"/>
    <w:rsid w:val="006D36F3"/>
    <w:rsid w:val="00AD25E8"/>
    <w:rsid w:val="00F46A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5178C2"/>
  <w15:docId w15:val="{5C863AC4-4622-435B-BA39-0E3BC64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14C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4CD4"/>
  </w:style>
  <w:style w:type="paragraph" w:styleId="Piedepgina">
    <w:name w:val="footer"/>
    <w:basedOn w:val="Normal"/>
    <w:link w:val="PiedepginaCar"/>
    <w:uiPriority w:val="99"/>
    <w:unhideWhenUsed/>
    <w:rsid w:val="00014C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5745</Words>
  <Characters>31601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infoem607b</dc:creator>
  <cp:lastModifiedBy>INFOEM381</cp:lastModifiedBy>
  <cp:revision>5</cp:revision>
  <cp:lastPrinted>2025-03-28T20:34:00Z</cp:lastPrinted>
  <dcterms:created xsi:type="dcterms:W3CDTF">2025-03-27T16:24:00Z</dcterms:created>
  <dcterms:modified xsi:type="dcterms:W3CDTF">2025-04-28T21:04:00Z</dcterms:modified>
</cp:coreProperties>
</file>