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FA48" w14:textId="77777777" w:rsidR="00262817" w:rsidRDefault="00262817">
      <w:pPr>
        <w:widowControl w:val="0"/>
        <w:pBdr>
          <w:top w:val="nil"/>
          <w:left w:val="nil"/>
          <w:bottom w:val="nil"/>
          <w:right w:val="nil"/>
          <w:between w:val="nil"/>
        </w:pBdr>
        <w:spacing w:line="276" w:lineRule="auto"/>
      </w:pPr>
    </w:p>
    <w:p w14:paraId="66BC6DE7" w14:textId="77777777" w:rsidR="00262817" w:rsidRDefault="00262817">
      <w:pPr>
        <w:spacing w:line="360" w:lineRule="auto"/>
        <w:ind w:right="-28"/>
        <w:jc w:val="both"/>
        <w:rPr>
          <w:rFonts w:ascii="Palatino Linotype" w:eastAsia="Palatino Linotype" w:hAnsi="Palatino Linotype" w:cs="Palatino Linotype"/>
          <w:sz w:val="22"/>
          <w:szCs w:val="22"/>
        </w:rPr>
      </w:pPr>
    </w:p>
    <w:p w14:paraId="65D11746" w14:textId="77777777" w:rsidR="00262817" w:rsidRDefault="00262817">
      <w:pPr>
        <w:spacing w:line="360" w:lineRule="auto"/>
        <w:ind w:right="-28"/>
        <w:jc w:val="both"/>
        <w:rPr>
          <w:rFonts w:ascii="Palatino Linotype" w:eastAsia="Palatino Linotype" w:hAnsi="Palatino Linotype" w:cs="Palatino Linotype"/>
          <w:sz w:val="22"/>
          <w:szCs w:val="22"/>
        </w:rPr>
      </w:pPr>
    </w:p>
    <w:p w14:paraId="2176C8E6" w14:textId="77777777" w:rsidR="00B70167" w:rsidRDefault="00B70167" w:rsidP="00B70167">
      <w:pPr>
        <w:tabs>
          <w:tab w:val="left" w:pos="8931"/>
        </w:tabs>
        <w:spacing w:line="360" w:lineRule="auto"/>
      </w:pPr>
    </w:p>
    <w:p w14:paraId="6505EBAE" w14:textId="77777777" w:rsidR="00262817" w:rsidRPr="00B70167" w:rsidRDefault="00B70167" w:rsidP="00B70167">
      <w:pPr>
        <w:keepNext/>
        <w:keepLines/>
        <w:pBdr>
          <w:top w:val="nil"/>
          <w:left w:val="nil"/>
          <w:bottom w:val="nil"/>
          <w:right w:val="nil"/>
          <w:between w:val="nil"/>
        </w:pBdr>
        <w:spacing w:line="360" w:lineRule="auto"/>
        <w:jc w:val="center"/>
        <w:rPr>
          <w:color w:val="000000"/>
          <w:sz w:val="22"/>
          <w:szCs w:val="22"/>
        </w:rPr>
      </w:pPr>
      <w:r w:rsidRPr="00B70167">
        <w:rPr>
          <w:color w:val="000000"/>
          <w:sz w:val="22"/>
          <w:szCs w:val="22"/>
        </w:rPr>
        <w:t>RESOLUCIÓN DEL RECURSO DE REVISIÓN 01006/INFOEM/IP/RR/2025</w:t>
      </w:r>
    </w:p>
    <w:sdt>
      <w:sdtPr>
        <w:rPr>
          <w:lang w:val="es-ES"/>
        </w:rPr>
        <w:id w:val="-1350334537"/>
        <w:docPartObj>
          <w:docPartGallery w:val="Table of Contents"/>
          <w:docPartUnique/>
        </w:docPartObj>
      </w:sdtPr>
      <w:sdtEndPr>
        <w:rPr>
          <w:b/>
          <w:bCs/>
        </w:rPr>
      </w:sdtEndPr>
      <w:sdtContent>
        <w:p w14:paraId="2F2F6108" w14:textId="77777777" w:rsidR="00B70167" w:rsidRPr="00B70167" w:rsidRDefault="00B70167" w:rsidP="00B70167">
          <w:pPr>
            <w:keepNext/>
            <w:keepLines/>
            <w:spacing w:before="240" w:line="259" w:lineRule="auto"/>
            <w:rPr>
              <w:rFonts w:ascii="Palatino Linotype" w:hAnsi="Palatino Linotype"/>
              <w:sz w:val="22"/>
              <w:szCs w:val="22"/>
              <w:lang w:eastAsia="es-MX"/>
            </w:rPr>
          </w:pPr>
          <w:r w:rsidRPr="00B70167">
            <w:rPr>
              <w:rFonts w:ascii="Palatino Linotype" w:hAnsi="Palatino Linotype"/>
              <w:sz w:val="22"/>
              <w:szCs w:val="22"/>
              <w:lang w:val="es-ES" w:eastAsia="es-MX"/>
            </w:rPr>
            <w:t>Contenido</w:t>
          </w:r>
        </w:p>
        <w:p w14:paraId="47AA3C2F" w14:textId="2415E801"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r w:rsidRPr="00B70167">
            <w:rPr>
              <w:rFonts w:ascii="Palatino Linotype" w:hAnsi="Palatino Linotype"/>
              <w:bCs/>
              <w:sz w:val="22"/>
              <w:szCs w:val="22"/>
              <w:lang w:val="es-ES"/>
            </w:rPr>
            <w:fldChar w:fldCharType="begin"/>
          </w:r>
          <w:r w:rsidRPr="00B70167">
            <w:rPr>
              <w:rFonts w:ascii="Palatino Linotype" w:hAnsi="Palatino Linotype"/>
              <w:bCs/>
              <w:sz w:val="22"/>
              <w:szCs w:val="22"/>
              <w:lang w:val="es-ES"/>
            </w:rPr>
            <w:instrText xml:space="preserve"> TOC \o "1-3" \h \z \u </w:instrText>
          </w:r>
          <w:r w:rsidRPr="00B70167">
            <w:rPr>
              <w:rFonts w:ascii="Palatino Linotype" w:hAnsi="Palatino Linotype"/>
              <w:bCs/>
              <w:sz w:val="22"/>
              <w:szCs w:val="22"/>
              <w:lang w:val="es-ES"/>
            </w:rPr>
            <w:fldChar w:fldCharType="separate"/>
          </w:r>
          <w:hyperlink w:anchor="_Toc192783465" w:history="1">
            <w:r w:rsidRPr="00B70167">
              <w:rPr>
                <w:rStyle w:val="Hipervnculo"/>
                <w:rFonts w:ascii="Palatino Linotype" w:eastAsia="Palatino Linotype" w:hAnsi="Palatino Linotype"/>
                <w:noProof/>
              </w:rPr>
              <w:t>A N T E C E D E N T E S</w:t>
            </w:r>
            <w:r w:rsidRPr="00B70167">
              <w:rPr>
                <w:noProof/>
                <w:webHidden/>
              </w:rPr>
              <w:tab/>
            </w:r>
            <w:r w:rsidRPr="00B70167">
              <w:rPr>
                <w:noProof/>
                <w:webHidden/>
              </w:rPr>
              <w:fldChar w:fldCharType="begin"/>
            </w:r>
            <w:r w:rsidRPr="00B70167">
              <w:rPr>
                <w:noProof/>
                <w:webHidden/>
              </w:rPr>
              <w:instrText xml:space="preserve"> PAGEREF _Toc192783465 \h </w:instrText>
            </w:r>
            <w:r w:rsidRPr="00B70167">
              <w:rPr>
                <w:noProof/>
                <w:webHidden/>
              </w:rPr>
            </w:r>
            <w:r w:rsidRPr="00B70167">
              <w:rPr>
                <w:noProof/>
                <w:webHidden/>
              </w:rPr>
              <w:fldChar w:fldCharType="separate"/>
            </w:r>
            <w:r w:rsidR="00533131">
              <w:rPr>
                <w:noProof/>
                <w:webHidden/>
              </w:rPr>
              <w:t>2</w:t>
            </w:r>
            <w:r w:rsidRPr="00B70167">
              <w:rPr>
                <w:noProof/>
                <w:webHidden/>
              </w:rPr>
              <w:fldChar w:fldCharType="end"/>
            </w:r>
          </w:hyperlink>
        </w:p>
        <w:p w14:paraId="68D3AD77" w14:textId="11E5F0A9"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66" w:history="1">
            <w:r w:rsidRPr="00B70167">
              <w:rPr>
                <w:rStyle w:val="Hipervnculo"/>
                <w:rFonts w:ascii="Palatino Linotype" w:eastAsia="Palatino Linotype" w:hAnsi="Palatino Linotype"/>
                <w:noProof/>
              </w:rPr>
              <w:t>I. Presentación de la solicitud de información</w:t>
            </w:r>
            <w:r w:rsidRPr="00B70167">
              <w:rPr>
                <w:noProof/>
                <w:webHidden/>
              </w:rPr>
              <w:tab/>
            </w:r>
            <w:r w:rsidRPr="00B70167">
              <w:rPr>
                <w:noProof/>
                <w:webHidden/>
              </w:rPr>
              <w:fldChar w:fldCharType="begin"/>
            </w:r>
            <w:r w:rsidRPr="00B70167">
              <w:rPr>
                <w:noProof/>
                <w:webHidden/>
              </w:rPr>
              <w:instrText xml:space="preserve"> PAGEREF _Toc192783466 \h </w:instrText>
            </w:r>
            <w:r w:rsidRPr="00B70167">
              <w:rPr>
                <w:noProof/>
                <w:webHidden/>
              </w:rPr>
            </w:r>
            <w:r w:rsidRPr="00B70167">
              <w:rPr>
                <w:noProof/>
                <w:webHidden/>
              </w:rPr>
              <w:fldChar w:fldCharType="separate"/>
            </w:r>
            <w:r w:rsidR="00533131">
              <w:rPr>
                <w:noProof/>
                <w:webHidden/>
              </w:rPr>
              <w:t>2</w:t>
            </w:r>
            <w:r w:rsidRPr="00B70167">
              <w:rPr>
                <w:noProof/>
                <w:webHidden/>
              </w:rPr>
              <w:fldChar w:fldCharType="end"/>
            </w:r>
          </w:hyperlink>
        </w:p>
        <w:p w14:paraId="1BB298A2" w14:textId="7CC13900"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67" w:history="1">
            <w:r w:rsidRPr="00B70167">
              <w:rPr>
                <w:rStyle w:val="Hipervnculo"/>
                <w:rFonts w:ascii="Palatino Linotype" w:eastAsia="Palatino Linotype" w:hAnsi="Palatino Linotype"/>
                <w:noProof/>
              </w:rPr>
              <w:t>II. Respuesta del Sujeto Obligado</w:t>
            </w:r>
            <w:r w:rsidRPr="00B70167">
              <w:rPr>
                <w:noProof/>
                <w:webHidden/>
              </w:rPr>
              <w:tab/>
            </w:r>
            <w:r w:rsidRPr="00B70167">
              <w:rPr>
                <w:noProof/>
                <w:webHidden/>
              </w:rPr>
              <w:fldChar w:fldCharType="begin"/>
            </w:r>
            <w:r w:rsidRPr="00B70167">
              <w:rPr>
                <w:noProof/>
                <w:webHidden/>
              </w:rPr>
              <w:instrText xml:space="preserve"> PAGEREF _Toc192783467 \h </w:instrText>
            </w:r>
            <w:r w:rsidRPr="00B70167">
              <w:rPr>
                <w:noProof/>
                <w:webHidden/>
              </w:rPr>
            </w:r>
            <w:r w:rsidRPr="00B70167">
              <w:rPr>
                <w:noProof/>
                <w:webHidden/>
              </w:rPr>
              <w:fldChar w:fldCharType="separate"/>
            </w:r>
            <w:r w:rsidR="00533131">
              <w:rPr>
                <w:noProof/>
                <w:webHidden/>
              </w:rPr>
              <w:t>3</w:t>
            </w:r>
            <w:r w:rsidRPr="00B70167">
              <w:rPr>
                <w:noProof/>
                <w:webHidden/>
              </w:rPr>
              <w:fldChar w:fldCharType="end"/>
            </w:r>
          </w:hyperlink>
        </w:p>
        <w:p w14:paraId="2D962FA2" w14:textId="7C3F98BD"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68" w:history="1">
            <w:r w:rsidRPr="00B70167">
              <w:rPr>
                <w:rStyle w:val="Hipervnculo"/>
                <w:rFonts w:ascii="Palatino Linotype" w:eastAsia="Palatino Linotype" w:hAnsi="Palatino Linotype"/>
                <w:noProof/>
              </w:rPr>
              <w:t>III. Interposición del Recurso de Revisión</w:t>
            </w:r>
            <w:r w:rsidRPr="00B70167">
              <w:rPr>
                <w:noProof/>
                <w:webHidden/>
              </w:rPr>
              <w:tab/>
            </w:r>
            <w:r w:rsidRPr="00B70167">
              <w:rPr>
                <w:noProof/>
                <w:webHidden/>
              </w:rPr>
              <w:fldChar w:fldCharType="begin"/>
            </w:r>
            <w:r w:rsidRPr="00B70167">
              <w:rPr>
                <w:noProof/>
                <w:webHidden/>
              </w:rPr>
              <w:instrText xml:space="preserve"> PAGEREF _Toc192783468 \h </w:instrText>
            </w:r>
            <w:r w:rsidRPr="00B70167">
              <w:rPr>
                <w:noProof/>
                <w:webHidden/>
              </w:rPr>
            </w:r>
            <w:r w:rsidRPr="00B70167">
              <w:rPr>
                <w:noProof/>
                <w:webHidden/>
              </w:rPr>
              <w:fldChar w:fldCharType="separate"/>
            </w:r>
            <w:r w:rsidR="00533131">
              <w:rPr>
                <w:noProof/>
                <w:webHidden/>
              </w:rPr>
              <w:t>6</w:t>
            </w:r>
            <w:r w:rsidRPr="00B70167">
              <w:rPr>
                <w:noProof/>
                <w:webHidden/>
              </w:rPr>
              <w:fldChar w:fldCharType="end"/>
            </w:r>
          </w:hyperlink>
        </w:p>
        <w:p w14:paraId="75AE16D7" w14:textId="0360BF2C"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69" w:history="1">
            <w:r w:rsidRPr="00B70167">
              <w:rPr>
                <w:rStyle w:val="Hipervnculo"/>
                <w:rFonts w:ascii="Palatino Linotype" w:eastAsia="Palatino Linotype" w:hAnsi="Palatino Linotype"/>
                <w:noProof/>
              </w:rPr>
              <w:t>IV. Trámite del Recurso de Revisión ante el Instituto</w:t>
            </w:r>
            <w:r w:rsidRPr="00B70167">
              <w:rPr>
                <w:noProof/>
                <w:webHidden/>
              </w:rPr>
              <w:tab/>
            </w:r>
            <w:r w:rsidRPr="00B70167">
              <w:rPr>
                <w:noProof/>
                <w:webHidden/>
              </w:rPr>
              <w:fldChar w:fldCharType="begin"/>
            </w:r>
            <w:r w:rsidRPr="00B70167">
              <w:rPr>
                <w:noProof/>
                <w:webHidden/>
              </w:rPr>
              <w:instrText xml:space="preserve"> PAGEREF _Toc192783469 \h </w:instrText>
            </w:r>
            <w:r w:rsidRPr="00B70167">
              <w:rPr>
                <w:noProof/>
                <w:webHidden/>
              </w:rPr>
            </w:r>
            <w:r w:rsidRPr="00B70167">
              <w:rPr>
                <w:noProof/>
                <w:webHidden/>
              </w:rPr>
              <w:fldChar w:fldCharType="separate"/>
            </w:r>
            <w:r w:rsidR="00533131">
              <w:rPr>
                <w:noProof/>
                <w:webHidden/>
              </w:rPr>
              <w:t>7</w:t>
            </w:r>
            <w:r w:rsidRPr="00B70167">
              <w:rPr>
                <w:noProof/>
                <w:webHidden/>
              </w:rPr>
              <w:fldChar w:fldCharType="end"/>
            </w:r>
          </w:hyperlink>
        </w:p>
        <w:p w14:paraId="32AF30C4" w14:textId="6463C937"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0" w:history="1">
            <w:r w:rsidRPr="00B70167">
              <w:rPr>
                <w:rStyle w:val="Hipervnculo"/>
                <w:rFonts w:ascii="Palatino Linotype" w:eastAsia="Palatino Linotype" w:hAnsi="Palatino Linotype"/>
                <w:noProof/>
              </w:rPr>
              <w:t>C O N S I D E R A N D O S</w:t>
            </w:r>
            <w:r w:rsidRPr="00B70167">
              <w:rPr>
                <w:noProof/>
                <w:webHidden/>
              </w:rPr>
              <w:tab/>
            </w:r>
            <w:r w:rsidRPr="00B70167">
              <w:rPr>
                <w:noProof/>
                <w:webHidden/>
              </w:rPr>
              <w:fldChar w:fldCharType="begin"/>
            </w:r>
            <w:r w:rsidRPr="00B70167">
              <w:rPr>
                <w:noProof/>
                <w:webHidden/>
              </w:rPr>
              <w:instrText xml:space="preserve"> PAGEREF _Toc192783470 \h </w:instrText>
            </w:r>
            <w:r w:rsidRPr="00B70167">
              <w:rPr>
                <w:noProof/>
                <w:webHidden/>
              </w:rPr>
            </w:r>
            <w:r w:rsidRPr="00B70167">
              <w:rPr>
                <w:noProof/>
                <w:webHidden/>
              </w:rPr>
              <w:fldChar w:fldCharType="separate"/>
            </w:r>
            <w:r w:rsidR="00533131">
              <w:rPr>
                <w:noProof/>
                <w:webHidden/>
              </w:rPr>
              <w:t>8</w:t>
            </w:r>
            <w:r w:rsidRPr="00B70167">
              <w:rPr>
                <w:noProof/>
                <w:webHidden/>
              </w:rPr>
              <w:fldChar w:fldCharType="end"/>
            </w:r>
          </w:hyperlink>
        </w:p>
        <w:p w14:paraId="05EE9005" w14:textId="0D4D18CB"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1" w:history="1">
            <w:r w:rsidRPr="00B70167">
              <w:rPr>
                <w:rStyle w:val="Hipervnculo"/>
                <w:rFonts w:ascii="Palatino Linotype" w:eastAsia="Palatino Linotype" w:hAnsi="Palatino Linotype"/>
                <w:noProof/>
              </w:rPr>
              <w:t>PRIMERO. Competencia</w:t>
            </w:r>
            <w:r w:rsidRPr="00B70167">
              <w:rPr>
                <w:noProof/>
                <w:webHidden/>
              </w:rPr>
              <w:tab/>
            </w:r>
            <w:r w:rsidRPr="00B70167">
              <w:rPr>
                <w:noProof/>
                <w:webHidden/>
              </w:rPr>
              <w:fldChar w:fldCharType="begin"/>
            </w:r>
            <w:r w:rsidRPr="00B70167">
              <w:rPr>
                <w:noProof/>
                <w:webHidden/>
              </w:rPr>
              <w:instrText xml:space="preserve"> PAGEREF _Toc192783471 \h </w:instrText>
            </w:r>
            <w:r w:rsidRPr="00B70167">
              <w:rPr>
                <w:noProof/>
                <w:webHidden/>
              </w:rPr>
            </w:r>
            <w:r w:rsidRPr="00B70167">
              <w:rPr>
                <w:noProof/>
                <w:webHidden/>
              </w:rPr>
              <w:fldChar w:fldCharType="separate"/>
            </w:r>
            <w:r w:rsidR="00533131">
              <w:rPr>
                <w:noProof/>
                <w:webHidden/>
              </w:rPr>
              <w:t>8</w:t>
            </w:r>
            <w:r w:rsidRPr="00B70167">
              <w:rPr>
                <w:noProof/>
                <w:webHidden/>
              </w:rPr>
              <w:fldChar w:fldCharType="end"/>
            </w:r>
          </w:hyperlink>
        </w:p>
        <w:p w14:paraId="2C17C7DD" w14:textId="259F0B9D"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2" w:history="1">
            <w:r w:rsidRPr="00B70167">
              <w:rPr>
                <w:rStyle w:val="Hipervnculo"/>
                <w:rFonts w:ascii="Palatino Linotype" w:eastAsia="Palatino Linotype" w:hAnsi="Palatino Linotype"/>
                <w:noProof/>
              </w:rPr>
              <w:t>SEGUNDO. Causales de improcedencia y sobreseimiento</w:t>
            </w:r>
            <w:r w:rsidRPr="00B70167">
              <w:rPr>
                <w:noProof/>
                <w:webHidden/>
              </w:rPr>
              <w:tab/>
            </w:r>
            <w:r w:rsidRPr="00B70167">
              <w:rPr>
                <w:noProof/>
                <w:webHidden/>
              </w:rPr>
              <w:fldChar w:fldCharType="begin"/>
            </w:r>
            <w:r w:rsidRPr="00B70167">
              <w:rPr>
                <w:noProof/>
                <w:webHidden/>
              </w:rPr>
              <w:instrText xml:space="preserve"> PAGEREF _Toc192783472 \h </w:instrText>
            </w:r>
            <w:r w:rsidRPr="00B70167">
              <w:rPr>
                <w:noProof/>
                <w:webHidden/>
              </w:rPr>
            </w:r>
            <w:r w:rsidRPr="00B70167">
              <w:rPr>
                <w:noProof/>
                <w:webHidden/>
              </w:rPr>
              <w:fldChar w:fldCharType="separate"/>
            </w:r>
            <w:r w:rsidR="00533131">
              <w:rPr>
                <w:noProof/>
                <w:webHidden/>
              </w:rPr>
              <w:t>9</w:t>
            </w:r>
            <w:r w:rsidRPr="00B70167">
              <w:rPr>
                <w:noProof/>
                <w:webHidden/>
              </w:rPr>
              <w:fldChar w:fldCharType="end"/>
            </w:r>
          </w:hyperlink>
        </w:p>
        <w:p w14:paraId="275B3E08" w14:textId="031D7A2B"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3" w:history="1">
            <w:r w:rsidRPr="00B70167">
              <w:rPr>
                <w:rStyle w:val="Hipervnculo"/>
                <w:rFonts w:ascii="Palatino Linotype" w:eastAsia="Palatino Linotype" w:hAnsi="Palatino Linotype"/>
                <w:noProof/>
              </w:rPr>
              <w:t>TERCERO. Determinación de la Controversia</w:t>
            </w:r>
            <w:r w:rsidRPr="00B70167">
              <w:rPr>
                <w:noProof/>
                <w:webHidden/>
              </w:rPr>
              <w:tab/>
            </w:r>
            <w:r w:rsidRPr="00B70167">
              <w:rPr>
                <w:noProof/>
                <w:webHidden/>
              </w:rPr>
              <w:fldChar w:fldCharType="begin"/>
            </w:r>
            <w:r w:rsidRPr="00B70167">
              <w:rPr>
                <w:noProof/>
                <w:webHidden/>
              </w:rPr>
              <w:instrText xml:space="preserve"> PAGEREF _Toc192783473 \h </w:instrText>
            </w:r>
            <w:r w:rsidRPr="00B70167">
              <w:rPr>
                <w:noProof/>
                <w:webHidden/>
              </w:rPr>
            </w:r>
            <w:r w:rsidRPr="00B70167">
              <w:rPr>
                <w:noProof/>
                <w:webHidden/>
              </w:rPr>
              <w:fldChar w:fldCharType="separate"/>
            </w:r>
            <w:r w:rsidR="00533131">
              <w:rPr>
                <w:noProof/>
                <w:webHidden/>
              </w:rPr>
              <w:t>10</w:t>
            </w:r>
            <w:r w:rsidRPr="00B70167">
              <w:rPr>
                <w:noProof/>
                <w:webHidden/>
              </w:rPr>
              <w:fldChar w:fldCharType="end"/>
            </w:r>
          </w:hyperlink>
        </w:p>
        <w:p w14:paraId="72677D17" w14:textId="0554D944"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4" w:history="1">
            <w:r w:rsidRPr="00B70167">
              <w:rPr>
                <w:rStyle w:val="Hipervnculo"/>
                <w:rFonts w:ascii="Palatino Linotype" w:eastAsia="Palatino Linotype" w:hAnsi="Palatino Linotype"/>
                <w:noProof/>
              </w:rPr>
              <w:t>CUARTO. Marco normativo aplicable en materia de transparencia y acceso a la información pública</w:t>
            </w:r>
            <w:r w:rsidRPr="00B70167">
              <w:rPr>
                <w:noProof/>
                <w:webHidden/>
              </w:rPr>
              <w:tab/>
            </w:r>
            <w:r w:rsidRPr="00B70167">
              <w:rPr>
                <w:noProof/>
                <w:webHidden/>
              </w:rPr>
              <w:fldChar w:fldCharType="begin"/>
            </w:r>
            <w:r w:rsidRPr="00B70167">
              <w:rPr>
                <w:noProof/>
                <w:webHidden/>
              </w:rPr>
              <w:instrText xml:space="preserve"> PAGEREF _Toc192783474 \h </w:instrText>
            </w:r>
            <w:r w:rsidRPr="00B70167">
              <w:rPr>
                <w:noProof/>
                <w:webHidden/>
              </w:rPr>
            </w:r>
            <w:r w:rsidRPr="00B70167">
              <w:rPr>
                <w:noProof/>
                <w:webHidden/>
              </w:rPr>
              <w:fldChar w:fldCharType="separate"/>
            </w:r>
            <w:r w:rsidR="00533131">
              <w:rPr>
                <w:noProof/>
                <w:webHidden/>
              </w:rPr>
              <w:t>13</w:t>
            </w:r>
            <w:r w:rsidRPr="00B70167">
              <w:rPr>
                <w:noProof/>
                <w:webHidden/>
              </w:rPr>
              <w:fldChar w:fldCharType="end"/>
            </w:r>
          </w:hyperlink>
        </w:p>
        <w:p w14:paraId="0736C070" w14:textId="145D5C62"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5" w:history="1">
            <w:r w:rsidRPr="00B70167">
              <w:rPr>
                <w:rStyle w:val="Hipervnculo"/>
                <w:rFonts w:ascii="Palatino Linotype" w:eastAsia="Palatino Linotype" w:hAnsi="Palatino Linotype"/>
                <w:noProof/>
              </w:rPr>
              <w:t>QUINTO. Estudio de Fondo</w:t>
            </w:r>
            <w:r w:rsidRPr="00B70167">
              <w:rPr>
                <w:noProof/>
                <w:webHidden/>
              </w:rPr>
              <w:tab/>
            </w:r>
            <w:r w:rsidRPr="00B70167">
              <w:rPr>
                <w:noProof/>
                <w:webHidden/>
              </w:rPr>
              <w:fldChar w:fldCharType="begin"/>
            </w:r>
            <w:r w:rsidRPr="00B70167">
              <w:rPr>
                <w:noProof/>
                <w:webHidden/>
              </w:rPr>
              <w:instrText xml:space="preserve"> PAGEREF _Toc192783475 \h </w:instrText>
            </w:r>
            <w:r w:rsidRPr="00B70167">
              <w:rPr>
                <w:noProof/>
                <w:webHidden/>
              </w:rPr>
            </w:r>
            <w:r w:rsidRPr="00B70167">
              <w:rPr>
                <w:noProof/>
                <w:webHidden/>
              </w:rPr>
              <w:fldChar w:fldCharType="separate"/>
            </w:r>
            <w:r w:rsidR="00533131">
              <w:rPr>
                <w:noProof/>
                <w:webHidden/>
              </w:rPr>
              <w:t>14</w:t>
            </w:r>
            <w:r w:rsidRPr="00B70167">
              <w:rPr>
                <w:noProof/>
                <w:webHidden/>
              </w:rPr>
              <w:fldChar w:fldCharType="end"/>
            </w:r>
          </w:hyperlink>
        </w:p>
        <w:p w14:paraId="5A813D83" w14:textId="15F62106"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6" w:history="1">
            <w:r w:rsidRPr="00B70167">
              <w:rPr>
                <w:rStyle w:val="Hipervnculo"/>
                <w:rFonts w:ascii="Palatino Linotype" w:eastAsia="Palatino Linotype" w:hAnsi="Palatino Linotype"/>
                <w:noProof/>
              </w:rPr>
              <w:t>SEXTO. Decisión</w:t>
            </w:r>
            <w:r w:rsidRPr="00B70167">
              <w:rPr>
                <w:noProof/>
                <w:webHidden/>
              </w:rPr>
              <w:tab/>
            </w:r>
            <w:r w:rsidRPr="00B70167">
              <w:rPr>
                <w:noProof/>
                <w:webHidden/>
              </w:rPr>
              <w:fldChar w:fldCharType="begin"/>
            </w:r>
            <w:r w:rsidRPr="00B70167">
              <w:rPr>
                <w:noProof/>
                <w:webHidden/>
              </w:rPr>
              <w:instrText xml:space="preserve"> PAGEREF _Toc192783476 \h </w:instrText>
            </w:r>
            <w:r w:rsidRPr="00B70167">
              <w:rPr>
                <w:noProof/>
                <w:webHidden/>
              </w:rPr>
            </w:r>
            <w:r w:rsidRPr="00B70167">
              <w:rPr>
                <w:noProof/>
                <w:webHidden/>
              </w:rPr>
              <w:fldChar w:fldCharType="separate"/>
            </w:r>
            <w:r w:rsidR="00533131">
              <w:rPr>
                <w:noProof/>
                <w:webHidden/>
              </w:rPr>
              <w:t>38</w:t>
            </w:r>
            <w:r w:rsidRPr="00B70167">
              <w:rPr>
                <w:noProof/>
                <w:webHidden/>
              </w:rPr>
              <w:fldChar w:fldCharType="end"/>
            </w:r>
          </w:hyperlink>
        </w:p>
        <w:p w14:paraId="2B21A69A" w14:textId="07527DBE" w:rsidR="00B70167" w:rsidRPr="00B70167" w:rsidRDefault="00B70167">
          <w:pPr>
            <w:pStyle w:val="TDC1"/>
            <w:tabs>
              <w:tab w:val="right" w:leader="dot" w:pos="9034"/>
            </w:tabs>
            <w:rPr>
              <w:rFonts w:asciiTheme="minorHAnsi" w:eastAsiaTheme="minorEastAsia" w:hAnsiTheme="minorHAnsi" w:cstheme="minorBidi"/>
              <w:noProof/>
              <w:sz w:val="22"/>
              <w:szCs w:val="22"/>
              <w:lang w:eastAsia="es-MX"/>
            </w:rPr>
          </w:pPr>
          <w:hyperlink w:anchor="_Toc192783477" w:history="1">
            <w:r w:rsidRPr="00B70167">
              <w:rPr>
                <w:rStyle w:val="Hipervnculo"/>
                <w:rFonts w:ascii="Palatino Linotype" w:eastAsia="Palatino Linotype" w:hAnsi="Palatino Linotype"/>
                <w:noProof/>
              </w:rPr>
              <w:t>R E S U E L V E</w:t>
            </w:r>
            <w:r w:rsidRPr="00B70167">
              <w:rPr>
                <w:noProof/>
                <w:webHidden/>
              </w:rPr>
              <w:tab/>
            </w:r>
            <w:r w:rsidRPr="00B70167">
              <w:rPr>
                <w:noProof/>
                <w:webHidden/>
              </w:rPr>
              <w:fldChar w:fldCharType="begin"/>
            </w:r>
            <w:r w:rsidRPr="00B70167">
              <w:rPr>
                <w:noProof/>
                <w:webHidden/>
              </w:rPr>
              <w:instrText xml:space="preserve"> PAGEREF _Toc192783477 \h </w:instrText>
            </w:r>
            <w:r w:rsidRPr="00B70167">
              <w:rPr>
                <w:noProof/>
                <w:webHidden/>
              </w:rPr>
            </w:r>
            <w:r w:rsidRPr="00B70167">
              <w:rPr>
                <w:noProof/>
                <w:webHidden/>
              </w:rPr>
              <w:fldChar w:fldCharType="separate"/>
            </w:r>
            <w:r w:rsidR="00533131">
              <w:rPr>
                <w:noProof/>
                <w:webHidden/>
              </w:rPr>
              <w:t>39</w:t>
            </w:r>
            <w:r w:rsidRPr="00B70167">
              <w:rPr>
                <w:noProof/>
                <w:webHidden/>
              </w:rPr>
              <w:fldChar w:fldCharType="end"/>
            </w:r>
          </w:hyperlink>
        </w:p>
        <w:p w14:paraId="45013DE2" w14:textId="77777777" w:rsidR="00B70167" w:rsidRPr="00B70167" w:rsidRDefault="00B70167" w:rsidP="00B70167">
          <w:pPr>
            <w:rPr>
              <w:b/>
              <w:bCs/>
              <w:lang w:val="es-ES"/>
            </w:rPr>
          </w:pPr>
          <w:r w:rsidRPr="00B70167">
            <w:rPr>
              <w:rFonts w:ascii="Palatino Linotype" w:hAnsi="Palatino Linotype"/>
              <w:bCs/>
              <w:sz w:val="22"/>
              <w:szCs w:val="22"/>
              <w:lang w:val="es-ES"/>
            </w:rPr>
            <w:fldChar w:fldCharType="end"/>
          </w:r>
        </w:p>
      </w:sdtContent>
    </w:sdt>
    <w:p w14:paraId="5BAFDC12" w14:textId="77777777" w:rsidR="00262817" w:rsidRDefault="00262817">
      <w:pPr>
        <w:spacing w:line="360" w:lineRule="auto"/>
        <w:ind w:right="-28"/>
        <w:jc w:val="both"/>
        <w:rPr>
          <w:rFonts w:ascii="Palatino Linotype" w:eastAsia="Palatino Linotype" w:hAnsi="Palatino Linotype" w:cs="Palatino Linotype"/>
          <w:sz w:val="22"/>
          <w:szCs w:val="22"/>
        </w:rPr>
      </w:pPr>
    </w:p>
    <w:p w14:paraId="049A77A2" w14:textId="77777777" w:rsidR="00262817" w:rsidRDefault="00262817">
      <w:pPr>
        <w:spacing w:line="360" w:lineRule="auto"/>
        <w:ind w:right="-28"/>
        <w:jc w:val="both"/>
        <w:rPr>
          <w:rFonts w:ascii="Palatino Linotype" w:eastAsia="Palatino Linotype" w:hAnsi="Palatino Linotype" w:cs="Palatino Linotype"/>
          <w:sz w:val="22"/>
          <w:szCs w:val="22"/>
        </w:rPr>
      </w:pPr>
    </w:p>
    <w:p w14:paraId="34EC3434" w14:textId="77777777" w:rsidR="00262817" w:rsidRDefault="00262817">
      <w:pPr>
        <w:spacing w:line="360" w:lineRule="auto"/>
        <w:ind w:right="-28"/>
        <w:jc w:val="both"/>
        <w:rPr>
          <w:rFonts w:ascii="Palatino Linotype" w:eastAsia="Palatino Linotype" w:hAnsi="Palatino Linotype" w:cs="Palatino Linotype"/>
          <w:sz w:val="22"/>
          <w:szCs w:val="22"/>
        </w:rPr>
      </w:pPr>
    </w:p>
    <w:p w14:paraId="649B8B20" w14:textId="77777777" w:rsidR="00262817" w:rsidRDefault="00262817">
      <w:pPr>
        <w:spacing w:line="360" w:lineRule="auto"/>
        <w:ind w:right="-28"/>
        <w:jc w:val="both"/>
        <w:rPr>
          <w:rFonts w:ascii="Palatino Linotype" w:eastAsia="Palatino Linotype" w:hAnsi="Palatino Linotype" w:cs="Palatino Linotype"/>
          <w:sz w:val="22"/>
          <w:szCs w:val="22"/>
        </w:rPr>
      </w:pPr>
    </w:p>
    <w:p w14:paraId="3E353B78" w14:textId="77777777" w:rsidR="00B70167" w:rsidRDefault="00B70167">
      <w:pPr>
        <w:spacing w:line="360" w:lineRule="auto"/>
        <w:ind w:right="-28"/>
        <w:jc w:val="both"/>
        <w:rPr>
          <w:rFonts w:ascii="Palatino Linotype" w:eastAsia="Palatino Linotype" w:hAnsi="Palatino Linotype" w:cs="Palatino Linotype"/>
          <w:sz w:val="22"/>
          <w:szCs w:val="22"/>
        </w:rPr>
      </w:pPr>
    </w:p>
    <w:p w14:paraId="1B373334" w14:textId="77777777" w:rsidR="00B70167" w:rsidRDefault="00B70167">
      <w:pPr>
        <w:spacing w:line="360" w:lineRule="auto"/>
        <w:ind w:right="-28"/>
        <w:jc w:val="both"/>
        <w:rPr>
          <w:rFonts w:ascii="Palatino Linotype" w:eastAsia="Palatino Linotype" w:hAnsi="Palatino Linotype" w:cs="Palatino Linotype"/>
          <w:sz w:val="22"/>
          <w:szCs w:val="22"/>
        </w:rPr>
      </w:pPr>
    </w:p>
    <w:p w14:paraId="2FB405BE" w14:textId="77777777" w:rsidR="00B70167" w:rsidRDefault="00B70167">
      <w:pPr>
        <w:spacing w:line="360" w:lineRule="auto"/>
        <w:ind w:right="-28"/>
        <w:jc w:val="both"/>
        <w:rPr>
          <w:rFonts w:ascii="Palatino Linotype" w:eastAsia="Palatino Linotype" w:hAnsi="Palatino Linotype" w:cs="Palatino Linotype"/>
          <w:sz w:val="22"/>
          <w:szCs w:val="22"/>
        </w:rPr>
      </w:pPr>
    </w:p>
    <w:p w14:paraId="284D182D"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doce de marzo de dos mil veinticinco.</w:t>
      </w:r>
    </w:p>
    <w:p w14:paraId="30A53B22" w14:textId="77777777" w:rsidR="00262817" w:rsidRDefault="00262817">
      <w:pPr>
        <w:spacing w:line="360" w:lineRule="auto"/>
        <w:ind w:right="-28"/>
        <w:jc w:val="both"/>
        <w:rPr>
          <w:rFonts w:ascii="Palatino Linotype" w:eastAsia="Palatino Linotype" w:hAnsi="Palatino Linotype" w:cs="Palatino Linotype"/>
          <w:sz w:val="22"/>
          <w:szCs w:val="22"/>
        </w:rPr>
      </w:pPr>
    </w:p>
    <w:p w14:paraId="4DDA5773"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F21D88">
        <w:rPr>
          <w:rFonts w:ascii="Palatino Linotype" w:eastAsia="Palatino Linotype" w:hAnsi="Palatino Linotype" w:cs="Palatino Linotype"/>
          <w:b/>
          <w:bCs/>
          <w:color w:val="0D0D0D"/>
          <w:sz w:val="22"/>
          <w:szCs w:val="22"/>
        </w:rPr>
        <w:t>01006/INFOEM/IP/RR/2025</w:t>
      </w:r>
      <w:r>
        <w:rPr>
          <w:rFonts w:ascii="Palatino Linotype" w:eastAsia="Palatino Linotype" w:hAnsi="Palatino Linotype" w:cs="Palatino Linotype"/>
          <w:sz w:val="22"/>
          <w:szCs w:val="22"/>
        </w:rPr>
        <w:t xml:space="preserve">, interpuesto por el Recurrente o Particular, en contra de la respuesta del Sujeto Obligado, </w:t>
      </w:r>
      <w:r w:rsidRPr="00F21D88">
        <w:rPr>
          <w:rFonts w:ascii="Palatino Linotype" w:eastAsia="Palatino Linotype" w:hAnsi="Palatino Linotype" w:cs="Palatino Linotype"/>
          <w:b/>
          <w:bCs/>
          <w:color w:val="000000"/>
          <w:sz w:val="22"/>
          <w:szCs w:val="22"/>
        </w:rPr>
        <w:t>Consejo Estatal para el Desarrollo Integral de los Pueblos Indígenas del Estado de México</w:t>
      </w:r>
      <w:r>
        <w:rPr>
          <w:rFonts w:ascii="Palatino Linotype" w:eastAsia="Palatino Linotype" w:hAnsi="Palatino Linotype" w:cs="Palatino Linotype"/>
          <w:sz w:val="22"/>
          <w:szCs w:val="22"/>
        </w:rPr>
        <w:t>, a la solicitud de acceso a la información pública con número de folio 00044/CEDIPIEM/IP/2024, se emite la presente Resolución, con base en los Antecedentes y Considerandos que se exponen a continuación:</w:t>
      </w:r>
    </w:p>
    <w:p w14:paraId="4C59B749" w14:textId="77777777" w:rsidR="00262817" w:rsidRDefault="00262817">
      <w:pPr>
        <w:spacing w:line="360" w:lineRule="auto"/>
        <w:ind w:right="-28"/>
        <w:jc w:val="both"/>
        <w:rPr>
          <w:rFonts w:ascii="Palatino Linotype" w:eastAsia="Palatino Linotype" w:hAnsi="Palatino Linotype" w:cs="Palatino Linotype"/>
          <w:b/>
          <w:color w:val="0D0D0D"/>
          <w:sz w:val="22"/>
          <w:szCs w:val="22"/>
        </w:rPr>
      </w:pPr>
    </w:p>
    <w:p w14:paraId="28D94390" w14:textId="77777777" w:rsidR="00262817" w:rsidRPr="00B70167" w:rsidRDefault="00EB2E3F" w:rsidP="00B70167">
      <w:pPr>
        <w:pStyle w:val="Ttulo1"/>
        <w:jc w:val="center"/>
        <w:rPr>
          <w:rFonts w:ascii="Palatino Linotype" w:eastAsia="Palatino Linotype" w:hAnsi="Palatino Linotype"/>
          <w:b/>
          <w:color w:val="auto"/>
          <w:sz w:val="22"/>
          <w:szCs w:val="22"/>
        </w:rPr>
      </w:pPr>
      <w:bookmarkStart w:id="0" w:name="_Toc192783465"/>
      <w:r w:rsidRPr="00B70167">
        <w:rPr>
          <w:rFonts w:ascii="Palatino Linotype" w:eastAsia="Palatino Linotype" w:hAnsi="Palatino Linotype"/>
          <w:b/>
          <w:color w:val="auto"/>
          <w:sz w:val="22"/>
          <w:szCs w:val="22"/>
        </w:rPr>
        <w:t>A N T E C E D E N T E S</w:t>
      </w:r>
      <w:bookmarkEnd w:id="0"/>
    </w:p>
    <w:p w14:paraId="3201AF33" w14:textId="77777777" w:rsidR="00262817" w:rsidRDefault="00262817">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05AB00BC" w14:textId="77777777" w:rsidR="00262817" w:rsidRPr="00B70167" w:rsidRDefault="00EB2E3F" w:rsidP="00B70167">
      <w:pPr>
        <w:pStyle w:val="Ttulo1"/>
        <w:rPr>
          <w:rFonts w:ascii="Palatino Linotype" w:eastAsia="Palatino Linotype" w:hAnsi="Palatino Linotype"/>
          <w:b/>
          <w:color w:val="auto"/>
          <w:sz w:val="22"/>
          <w:szCs w:val="22"/>
        </w:rPr>
      </w:pPr>
      <w:bookmarkStart w:id="1" w:name="_Toc192783466"/>
      <w:r w:rsidRPr="00B70167">
        <w:rPr>
          <w:rFonts w:ascii="Palatino Linotype" w:eastAsia="Palatino Linotype" w:hAnsi="Palatino Linotype"/>
          <w:b/>
          <w:color w:val="auto"/>
          <w:sz w:val="22"/>
          <w:szCs w:val="22"/>
        </w:rPr>
        <w:t>I. Presentación de la solicitud de información</w:t>
      </w:r>
      <w:bookmarkEnd w:id="1"/>
    </w:p>
    <w:p w14:paraId="0C47F189" w14:textId="77777777" w:rsidR="00262817" w:rsidRDefault="00262817">
      <w:pPr>
        <w:spacing w:line="360" w:lineRule="auto"/>
        <w:jc w:val="both"/>
        <w:rPr>
          <w:rFonts w:ascii="Palatino Linotype" w:eastAsia="Palatino Linotype" w:hAnsi="Palatino Linotype" w:cs="Palatino Linotype"/>
          <w:sz w:val="22"/>
          <w:szCs w:val="22"/>
        </w:rPr>
      </w:pPr>
    </w:p>
    <w:p w14:paraId="3F09C1F4"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once de diciembre de dos mil veinticuatro,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sz w:val="22"/>
          <w:szCs w:val="22"/>
        </w:rPr>
        <w:t>Consejo Estatal para el Desarrollo Integral de los Pueblos Indígenas del Estado de México,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14:paraId="7462756B" w14:textId="77777777" w:rsidR="00262817" w:rsidRDefault="00262817">
      <w:pPr>
        <w:tabs>
          <w:tab w:val="left" w:pos="4667"/>
        </w:tabs>
        <w:spacing w:line="360" w:lineRule="auto"/>
        <w:ind w:right="567"/>
        <w:jc w:val="both"/>
        <w:rPr>
          <w:rFonts w:ascii="Palatino Linotype" w:eastAsia="Palatino Linotype" w:hAnsi="Palatino Linotype" w:cs="Palatino Linotype"/>
          <w:b/>
          <w:i/>
        </w:rPr>
      </w:pPr>
    </w:p>
    <w:p w14:paraId="003F8A87" w14:textId="77777777" w:rsidR="00262817" w:rsidRDefault="00EB2E3F">
      <w:pPr>
        <w:tabs>
          <w:tab w:val="left" w:pos="4667"/>
        </w:tabs>
        <w:spacing w:line="360" w:lineRule="auto"/>
        <w:ind w:left="567" w:right="567"/>
        <w:jc w:val="both"/>
        <w:rPr>
          <w:rFonts w:ascii="Palatino Linotype" w:eastAsia="Palatino Linotype" w:hAnsi="Palatino Linotype" w:cs="Palatino Linotype"/>
          <w:b/>
          <w:i/>
        </w:rPr>
      </w:pPr>
      <w:bookmarkStart w:id="2" w:name="_heading=h.gjdgxs" w:colFirst="0" w:colLast="0"/>
      <w:bookmarkEnd w:id="2"/>
      <w:r>
        <w:rPr>
          <w:rFonts w:ascii="Palatino Linotype" w:eastAsia="Palatino Linotype" w:hAnsi="Palatino Linotype" w:cs="Palatino Linotype"/>
          <w:b/>
          <w:i/>
        </w:rPr>
        <w:t>“DESCRIPCIÓN CLARA Y PRECISA DE LA INFORMACIÓN SOLICITADA:</w:t>
      </w:r>
    </w:p>
    <w:p w14:paraId="20B20BE0"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Pido me remitan todos los contratos de </w:t>
      </w:r>
      <w:proofErr w:type="spellStart"/>
      <w:r>
        <w:rPr>
          <w:rFonts w:ascii="Palatino Linotype" w:eastAsia="Palatino Linotype" w:hAnsi="Palatino Linotype" w:cs="Palatino Linotype"/>
          <w:i/>
        </w:rPr>
        <w:t>adquisiones</w:t>
      </w:r>
      <w:proofErr w:type="spellEnd"/>
      <w:r>
        <w:rPr>
          <w:rFonts w:ascii="Palatino Linotype" w:eastAsia="Palatino Linotype" w:hAnsi="Palatino Linotype" w:cs="Palatino Linotype"/>
          <w:i/>
        </w:rPr>
        <w:t xml:space="preserve"> o </w:t>
      </w:r>
      <w:proofErr w:type="spellStart"/>
      <w:r>
        <w:rPr>
          <w:rFonts w:ascii="Palatino Linotype" w:eastAsia="Palatino Linotype" w:hAnsi="Palatino Linotype" w:cs="Palatino Linotype"/>
          <w:i/>
        </w:rPr>
        <w:t>analogos</w:t>
      </w:r>
      <w:proofErr w:type="spellEnd"/>
      <w:r>
        <w:rPr>
          <w:rFonts w:ascii="Palatino Linotype" w:eastAsia="Palatino Linotype" w:hAnsi="Palatino Linotype" w:cs="Palatino Linotype"/>
          <w:i/>
        </w:rPr>
        <w:t xml:space="preserve"> celebrados por el sujeto obligado en el año 2024, </w:t>
      </w:r>
      <w:proofErr w:type="spellStart"/>
      <w:r>
        <w:rPr>
          <w:rFonts w:ascii="Palatino Linotype" w:eastAsia="Palatino Linotype" w:hAnsi="Palatino Linotype" w:cs="Palatino Linotype"/>
          <w:i/>
        </w:rPr>
        <w:t>asi</w:t>
      </w:r>
      <w:proofErr w:type="spellEnd"/>
      <w:r>
        <w:rPr>
          <w:rFonts w:ascii="Palatino Linotype" w:eastAsia="Palatino Linotype" w:hAnsi="Palatino Linotype" w:cs="Palatino Linotype"/>
          <w:i/>
        </w:rPr>
        <w:t xml:space="preserve"> como el </w:t>
      </w:r>
      <w:proofErr w:type="spellStart"/>
      <w:r>
        <w:rPr>
          <w:rFonts w:ascii="Palatino Linotype" w:eastAsia="Palatino Linotype" w:hAnsi="Palatino Linotype" w:cs="Palatino Linotype"/>
          <w:i/>
        </w:rPr>
        <w:t>padron</w:t>
      </w:r>
      <w:proofErr w:type="spellEnd"/>
      <w:r>
        <w:rPr>
          <w:rFonts w:ascii="Palatino Linotype" w:eastAsia="Palatino Linotype" w:hAnsi="Palatino Linotype" w:cs="Palatino Linotype"/>
          <w:i/>
        </w:rPr>
        <w:t xml:space="preserve"> de proveedores</w:t>
      </w:r>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14:paraId="697E5801" w14:textId="77777777" w:rsidR="00262817" w:rsidRDefault="00262817">
      <w:pPr>
        <w:tabs>
          <w:tab w:val="left" w:pos="4667"/>
        </w:tabs>
        <w:spacing w:line="360" w:lineRule="auto"/>
        <w:ind w:left="567" w:right="567"/>
        <w:jc w:val="both"/>
        <w:rPr>
          <w:rFonts w:ascii="Palatino Linotype" w:eastAsia="Palatino Linotype" w:hAnsi="Palatino Linotype" w:cs="Palatino Linotype"/>
          <w:i/>
        </w:rPr>
      </w:pPr>
    </w:p>
    <w:p w14:paraId="2F031F77" w14:textId="77777777" w:rsidR="00262817" w:rsidRDefault="00262817">
      <w:pPr>
        <w:tabs>
          <w:tab w:val="left" w:pos="4667"/>
        </w:tabs>
        <w:spacing w:line="360" w:lineRule="auto"/>
        <w:ind w:left="567" w:right="567"/>
        <w:jc w:val="both"/>
        <w:rPr>
          <w:rFonts w:ascii="Palatino Linotype" w:eastAsia="Palatino Linotype" w:hAnsi="Palatino Linotype" w:cs="Palatino Linotype"/>
          <w:i/>
        </w:rPr>
      </w:pPr>
    </w:p>
    <w:p w14:paraId="25DAF0CC" w14:textId="77777777" w:rsidR="00262817" w:rsidRDefault="00EB2E3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14:paraId="5B549068" w14:textId="77777777" w:rsidR="00262817" w:rsidRDefault="00EB2E3F">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través de SAIMEX”  </w:t>
      </w:r>
    </w:p>
    <w:p w14:paraId="5634DEDD" w14:textId="77777777" w:rsidR="00262817" w:rsidRDefault="00262817">
      <w:pPr>
        <w:spacing w:line="360" w:lineRule="auto"/>
        <w:rPr>
          <w:rFonts w:ascii="Palatino Linotype" w:eastAsia="Palatino Linotype" w:hAnsi="Palatino Linotype" w:cs="Palatino Linotype"/>
          <w:b/>
          <w:sz w:val="22"/>
          <w:szCs w:val="22"/>
        </w:rPr>
      </w:pPr>
      <w:bookmarkStart w:id="3" w:name="_heading=h.30j0zll" w:colFirst="0" w:colLast="0"/>
      <w:bookmarkEnd w:id="3"/>
    </w:p>
    <w:p w14:paraId="4556B281" w14:textId="77777777" w:rsidR="00262817" w:rsidRPr="00B70167" w:rsidRDefault="00EB2E3F" w:rsidP="00B70167">
      <w:pPr>
        <w:pStyle w:val="Ttulo1"/>
        <w:rPr>
          <w:rFonts w:ascii="Palatino Linotype" w:eastAsia="Palatino Linotype" w:hAnsi="Palatino Linotype"/>
          <w:b/>
          <w:color w:val="auto"/>
          <w:sz w:val="22"/>
          <w:szCs w:val="22"/>
        </w:rPr>
      </w:pPr>
      <w:bookmarkStart w:id="4" w:name="_Toc192783467"/>
      <w:r w:rsidRPr="00B70167">
        <w:rPr>
          <w:rFonts w:ascii="Palatino Linotype" w:eastAsia="Palatino Linotype" w:hAnsi="Palatino Linotype"/>
          <w:b/>
          <w:color w:val="auto"/>
          <w:sz w:val="22"/>
          <w:szCs w:val="22"/>
        </w:rPr>
        <w:t>II. Respuesta del Sujeto Obligado</w:t>
      </w:r>
      <w:bookmarkEnd w:id="4"/>
    </w:p>
    <w:p w14:paraId="2A0AE01F" w14:textId="77777777" w:rsidR="00262817" w:rsidRDefault="00262817">
      <w:pPr>
        <w:tabs>
          <w:tab w:val="left" w:pos="4667"/>
        </w:tabs>
        <w:spacing w:line="360" w:lineRule="auto"/>
        <w:ind w:right="567"/>
        <w:jc w:val="both"/>
        <w:rPr>
          <w:rFonts w:ascii="Palatino Linotype" w:eastAsia="Palatino Linotype" w:hAnsi="Palatino Linotype" w:cs="Palatino Linotype"/>
          <w:b/>
          <w:sz w:val="22"/>
          <w:szCs w:val="22"/>
        </w:rPr>
      </w:pPr>
    </w:p>
    <w:p w14:paraId="7E44D641"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diecisiete de enero de dos mil veinticinco,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14:paraId="31DC8961" w14:textId="77777777" w:rsidR="00262817" w:rsidRDefault="00262817">
      <w:pPr>
        <w:spacing w:line="360" w:lineRule="auto"/>
        <w:jc w:val="both"/>
        <w:rPr>
          <w:rFonts w:ascii="Palatino Linotype" w:eastAsia="Palatino Linotype" w:hAnsi="Palatino Linotype" w:cs="Palatino Linotype"/>
          <w:sz w:val="22"/>
          <w:szCs w:val="22"/>
        </w:rPr>
      </w:pPr>
    </w:p>
    <w:p w14:paraId="748F1B30"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CEDIPIEM/UT/44/2025, de fecha de su recepción, suscrito por el Titular de la Unidad de Transparencia, dirigido al Solicitante por medio del cual manifiesta y expone lo siguiente:</w:t>
      </w:r>
    </w:p>
    <w:p w14:paraId="3112EF2F" w14:textId="77777777" w:rsidR="00262817" w:rsidRDefault="00262817">
      <w:pPr>
        <w:spacing w:line="360" w:lineRule="auto"/>
        <w:jc w:val="both"/>
        <w:rPr>
          <w:rFonts w:ascii="Palatino Linotype" w:eastAsia="Palatino Linotype" w:hAnsi="Palatino Linotype" w:cs="Palatino Linotype"/>
          <w:sz w:val="22"/>
          <w:szCs w:val="22"/>
        </w:rPr>
      </w:pPr>
    </w:p>
    <w:p w14:paraId="3E6EA388"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“…y con información proporcionada que obra en los archivos del Departamento de Recursos Humanos y Materiales adscrito a la Unidad de Apoyo Administrativo del </w:t>
      </w:r>
      <w:r>
        <w:rPr>
          <w:rFonts w:ascii="Palatino Linotype" w:eastAsia="Palatino Linotype" w:hAnsi="Palatino Linotype" w:cs="Palatino Linotype"/>
          <w:i/>
          <w:color w:val="000000"/>
        </w:rPr>
        <w:t>Consejo Estatal para el Desarrollo Integral de los Pueblos Indígenas del Estado de México (CEDIMIEM), adjunto a la presente en formato PDF y en versión pública catorce contratos de adquisiciones o análogos celebrados por este organismo público descentralizado, durante el Ejercicio Fiscal 2024; así como, el padrón de proveedores</w:t>
      </w:r>
      <w:r>
        <w:rPr>
          <w:rFonts w:ascii="Palatino Linotype" w:eastAsia="Palatino Linotype" w:hAnsi="Palatino Linotype" w:cs="Palatino Linotype"/>
          <w:i/>
        </w:rPr>
        <w:t>.</w:t>
      </w:r>
    </w:p>
    <w:p w14:paraId="358480DB" w14:textId="77777777" w:rsidR="00262817" w:rsidRDefault="00262817">
      <w:pPr>
        <w:spacing w:line="360" w:lineRule="auto"/>
        <w:ind w:left="567" w:right="567"/>
        <w:jc w:val="both"/>
        <w:rPr>
          <w:rFonts w:ascii="Palatino Linotype" w:eastAsia="Palatino Linotype" w:hAnsi="Palatino Linotype" w:cs="Palatino Linotype"/>
          <w:i/>
        </w:rPr>
      </w:pPr>
    </w:p>
    <w:p w14:paraId="37503357"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Es importante comentar que en las versiones públicas de dichos instrumentos jurídico que la compra de bienes, servicios o arrendamientos, se bloquean los campos correspondientes a: Registro Federal de Causantes (RFC), nombre y firma del particular, conformidad domicilio particular, con correos electrónicos personales y teléfonos particulares, de los artículos 3 fracciones IX, XX, XXI, XXIII, XXXII у XXXIX, 59 fracción V, 139, Estado 143 de fracción I y 149 de la Ley de Transparencia y </w:t>
      </w:r>
      <w:r>
        <w:rPr>
          <w:rFonts w:ascii="Palatino Linotype" w:eastAsia="Palatino Linotype" w:hAnsi="Palatino Linotype" w:cs="Palatino Linotype"/>
          <w:i/>
        </w:rPr>
        <w:lastRenderedPageBreak/>
        <w:t>Acceso a la Información Pública del México y Municipios y 4 fracciones XI y L de la Ley de Protección de Datos establecido Personales en Posesión de Sujetos Obligados del Estado de México y Municipios; por lo en los numerales Trigésimo Octavo y Quincuagésimo Sexto de los Lineamientos Generales en Materia de Clasificación y Desclasificación de la Información; así como, Federación para la elaboración de versiones públicas; publicados en el Diario Oficial de la Trigésimo el 15 de abril de 2016 y reformado el 17 de enero de 2023, Vigésimo Octavo, Clasificación fracciones de II, VII, XVII у XVIII y Trigésimo Primero de los Criterios para la Fideicomisos Públicos la Información de Pública de las Dependencias, Organismos Auxiliares y Periódico Oficial la Administración Pública del Estado de México, publicados en el "Gaceta de Gobierno" el 31 de enero de 2005…”</w:t>
      </w:r>
    </w:p>
    <w:p w14:paraId="1ACE6C05" w14:textId="77777777" w:rsidR="00262817" w:rsidRDefault="00262817">
      <w:pPr>
        <w:spacing w:line="360" w:lineRule="auto"/>
        <w:ind w:left="567" w:right="567"/>
        <w:jc w:val="both"/>
        <w:rPr>
          <w:rFonts w:ascii="Palatino Linotype" w:eastAsia="Palatino Linotype" w:hAnsi="Palatino Linotype" w:cs="Palatino Linotype"/>
          <w:i/>
        </w:rPr>
      </w:pPr>
    </w:p>
    <w:p w14:paraId="7C12C65E"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ii</w:t>
      </w:r>
      <w:proofErr w:type="spellEnd"/>
      <w:r>
        <w:rPr>
          <w:rFonts w:ascii="Palatino Linotype" w:eastAsia="Palatino Linotype" w:hAnsi="Palatino Linotype" w:cs="Palatino Linotype"/>
          <w:sz w:val="22"/>
          <w:szCs w:val="22"/>
        </w:rPr>
        <w:t>) Contrato de adjudicación para la contratación de servicio de limpieza número CED-AD-01-2024, en versión pública, del diecisiete de enero de dos mil veinticuatro.</w:t>
      </w:r>
    </w:p>
    <w:p w14:paraId="7750FA15" w14:textId="77777777" w:rsidR="00262817" w:rsidRDefault="00262817">
      <w:pPr>
        <w:spacing w:line="360" w:lineRule="auto"/>
        <w:jc w:val="both"/>
        <w:rPr>
          <w:rFonts w:ascii="Palatino Linotype" w:eastAsia="Palatino Linotype" w:hAnsi="Palatino Linotype" w:cs="Palatino Linotype"/>
          <w:sz w:val="22"/>
          <w:szCs w:val="22"/>
        </w:rPr>
      </w:pPr>
    </w:p>
    <w:p w14:paraId="7896F43B"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iii</w:t>
      </w:r>
      <w:proofErr w:type="spellEnd"/>
      <w:r>
        <w:rPr>
          <w:rFonts w:ascii="Palatino Linotype" w:eastAsia="Palatino Linotype" w:hAnsi="Palatino Linotype" w:cs="Palatino Linotype"/>
          <w:sz w:val="22"/>
          <w:szCs w:val="22"/>
        </w:rPr>
        <w:t>) Contrato de adjudicación para la contratación de servicio de fotocopiado número CED-AD-02-2024, en versión pública, del diecisiete de enero de dos mil veinticuatro.</w:t>
      </w:r>
    </w:p>
    <w:p w14:paraId="52247E55" w14:textId="77777777" w:rsidR="00262817" w:rsidRDefault="00262817">
      <w:pPr>
        <w:spacing w:line="360" w:lineRule="auto"/>
        <w:jc w:val="both"/>
        <w:rPr>
          <w:rFonts w:ascii="Palatino Linotype" w:eastAsia="Palatino Linotype" w:hAnsi="Palatino Linotype" w:cs="Palatino Linotype"/>
          <w:sz w:val="22"/>
          <w:szCs w:val="22"/>
        </w:rPr>
      </w:pPr>
    </w:p>
    <w:p w14:paraId="5D0F694E"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iv</w:t>
      </w:r>
      <w:proofErr w:type="spellEnd"/>
      <w:r>
        <w:rPr>
          <w:rFonts w:ascii="Palatino Linotype" w:eastAsia="Palatino Linotype" w:hAnsi="Palatino Linotype" w:cs="Palatino Linotype"/>
          <w:sz w:val="22"/>
          <w:szCs w:val="22"/>
        </w:rPr>
        <w:t>) Contrato de adjudicación para la contratación de servicio de aseguramiento del parque vehicular número CED-AD-02-2024, en versión pública, del diecisiete de enero de dos mil veinticuatro.</w:t>
      </w:r>
    </w:p>
    <w:p w14:paraId="3347BACA" w14:textId="77777777" w:rsidR="00262817" w:rsidRDefault="00262817">
      <w:pPr>
        <w:spacing w:line="360" w:lineRule="auto"/>
        <w:jc w:val="both"/>
        <w:rPr>
          <w:rFonts w:ascii="Palatino Linotype" w:eastAsia="Palatino Linotype" w:hAnsi="Palatino Linotype" w:cs="Palatino Linotype"/>
          <w:sz w:val="22"/>
          <w:szCs w:val="22"/>
        </w:rPr>
      </w:pPr>
    </w:p>
    <w:p w14:paraId="61D5AEF9"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v) Contrato de adjudicación para la adquisición de chalecos institucionales número CED-AD-02-2024, en versión pública, del treinta de septiembre de dos mil veinticuatro.</w:t>
      </w:r>
    </w:p>
    <w:p w14:paraId="5DA66D42" w14:textId="77777777" w:rsidR="00262817" w:rsidRDefault="00262817">
      <w:pPr>
        <w:spacing w:line="360" w:lineRule="auto"/>
        <w:jc w:val="both"/>
        <w:rPr>
          <w:rFonts w:ascii="Palatino Linotype" w:eastAsia="Palatino Linotype" w:hAnsi="Palatino Linotype" w:cs="Palatino Linotype"/>
          <w:sz w:val="22"/>
          <w:szCs w:val="22"/>
        </w:rPr>
      </w:pPr>
    </w:p>
    <w:p w14:paraId="54BA5EE8"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vi) Contrato de adjudicación para la adquisición de materiales complementarios número CED-AD-02-2024, en versión pública, del dieciséis de octubre de dos mil veinticuatro.</w:t>
      </w:r>
    </w:p>
    <w:p w14:paraId="0CD7D3A2" w14:textId="77777777" w:rsidR="00262817" w:rsidRDefault="00262817">
      <w:pPr>
        <w:spacing w:line="360" w:lineRule="auto"/>
        <w:jc w:val="both"/>
        <w:rPr>
          <w:rFonts w:ascii="Palatino Linotype" w:eastAsia="Palatino Linotype" w:hAnsi="Palatino Linotype" w:cs="Palatino Linotype"/>
          <w:sz w:val="22"/>
          <w:szCs w:val="22"/>
        </w:rPr>
      </w:pPr>
    </w:p>
    <w:p w14:paraId="4EDEB02A"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vii</w:t>
      </w:r>
      <w:proofErr w:type="spellEnd"/>
      <w:r>
        <w:rPr>
          <w:rFonts w:ascii="Palatino Linotype" w:eastAsia="Palatino Linotype" w:hAnsi="Palatino Linotype" w:cs="Palatino Linotype"/>
          <w:sz w:val="22"/>
          <w:szCs w:val="22"/>
        </w:rPr>
        <w:t>) Contrato administrativo de adquisición de cobijas número CED-AD-02-2024, en versión pública, del veinticinco de noviembre de dos mil veinticuatro.</w:t>
      </w:r>
    </w:p>
    <w:p w14:paraId="50190B95" w14:textId="77777777" w:rsidR="00262817" w:rsidRDefault="00262817">
      <w:pPr>
        <w:spacing w:line="360" w:lineRule="auto"/>
        <w:jc w:val="both"/>
        <w:rPr>
          <w:rFonts w:ascii="Palatino Linotype" w:eastAsia="Palatino Linotype" w:hAnsi="Palatino Linotype" w:cs="Palatino Linotype"/>
          <w:sz w:val="22"/>
          <w:szCs w:val="22"/>
        </w:rPr>
      </w:pPr>
    </w:p>
    <w:p w14:paraId="6BDE222D"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viii</w:t>
      </w:r>
      <w:proofErr w:type="spellEnd"/>
      <w:r>
        <w:rPr>
          <w:rFonts w:ascii="Palatino Linotype" w:eastAsia="Palatino Linotype" w:hAnsi="Palatino Linotype" w:cs="Palatino Linotype"/>
          <w:sz w:val="22"/>
          <w:szCs w:val="22"/>
        </w:rPr>
        <w:t>) Contrato de adquisición de bienes número CED-LPNP-04-2024, en versión pública, del cinco de septiembre de dos mil veinticuatro.</w:t>
      </w:r>
    </w:p>
    <w:p w14:paraId="43D20A63" w14:textId="77777777" w:rsidR="00262817" w:rsidRDefault="00262817">
      <w:pPr>
        <w:spacing w:line="360" w:lineRule="auto"/>
        <w:jc w:val="both"/>
        <w:rPr>
          <w:rFonts w:ascii="Palatino Linotype" w:eastAsia="Palatino Linotype" w:hAnsi="Palatino Linotype" w:cs="Palatino Linotype"/>
          <w:sz w:val="22"/>
          <w:szCs w:val="22"/>
        </w:rPr>
      </w:pPr>
    </w:p>
    <w:p w14:paraId="6BE5637C" w14:textId="77777777" w:rsidR="00262817" w:rsidRDefault="00EB2E3F">
      <w:pPr>
        <w:spacing w:line="360" w:lineRule="auto"/>
        <w:jc w:val="both"/>
        <w:rPr>
          <w:rFonts w:ascii="Palatino Linotype" w:eastAsia="Palatino Linotype" w:hAnsi="Palatino Linotype" w:cs="Palatino Linotype"/>
          <w:i/>
        </w:rPr>
      </w:pPr>
      <w:proofErr w:type="spellStart"/>
      <w:r>
        <w:rPr>
          <w:rFonts w:ascii="Palatino Linotype" w:eastAsia="Palatino Linotype" w:hAnsi="Palatino Linotype" w:cs="Palatino Linotype"/>
          <w:sz w:val="22"/>
          <w:szCs w:val="22"/>
        </w:rPr>
        <w:t>ix</w:t>
      </w:r>
      <w:proofErr w:type="spellEnd"/>
      <w:r>
        <w:rPr>
          <w:rFonts w:ascii="Palatino Linotype" w:eastAsia="Palatino Linotype" w:hAnsi="Palatino Linotype" w:cs="Palatino Linotype"/>
          <w:sz w:val="22"/>
          <w:szCs w:val="22"/>
        </w:rPr>
        <w:t>) Contrato pedido administrativo de adquisición de bienes número CP-001/2024, en versión pública, del dieciséis de enero de dos mil veinticuatro.</w:t>
      </w:r>
    </w:p>
    <w:p w14:paraId="5A267EFC" w14:textId="77777777" w:rsidR="00262817" w:rsidRDefault="00262817">
      <w:pPr>
        <w:spacing w:line="360" w:lineRule="auto"/>
        <w:jc w:val="both"/>
        <w:rPr>
          <w:rFonts w:ascii="Palatino Linotype" w:eastAsia="Palatino Linotype" w:hAnsi="Palatino Linotype" w:cs="Palatino Linotype"/>
          <w:sz w:val="22"/>
          <w:szCs w:val="22"/>
        </w:rPr>
      </w:pPr>
    </w:p>
    <w:p w14:paraId="11E27BF7"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 Contrato pedido administrativo de adquisición de bienes “Mantenimiento al Sistema SIFI Nómina” número CP-001/2024, en versión pública, del dieciséis de enero de dos mil veinticuatro.</w:t>
      </w:r>
    </w:p>
    <w:p w14:paraId="38BA7438" w14:textId="77777777" w:rsidR="00262817" w:rsidRDefault="00262817">
      <w:pPr>
        <w:spacing w:line="360" w:lineRule="auto"/>
        <w:jc w:val="both"/>
        <w:rPr>
          <w:rFonts w:ascii="Palatino Linotype" w:eastAsia="Palatino Linotype" w:hAnsi="Palatino Linotype" w:cs="Palatino Linotype"/>
          <w:sz w:val="22"/>
          <w:szCs w:val="22"/>
        </w:rPr>
      </w:pPr>
    </w:p>
    <w:p w14:paraId="640958BD"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xi) Contrato de adquisición de bienes “Materiales y Enceres de Limpieza” número CP-003/2024, en versión pública, del veintidós de marzo de dos mil veinticuatro.</w:t>
      </w:r>
    </w:p>
    <w:p w14:paraId="559E470A" w14:textId="77777777" w:rsidR="00262817" w:rsidRDefault="00262817">
      <w:pPr>
        <w:spacing w:line="360" w:lineRule="auto"/>
        <w:jc w:val="both"/>
        <w:rPr>
          <w:rFonts w:ascii="Palatino Linotype" w:eastAsia="Palatino Linotype" w:hAnsi="Palatino Linotype" w:cs="Palatino Linotype"/>
          <w:sz w:val="22"/>
          <w:szCs w:val="22"/>
        </w:rPr>
      </w:pPr>
    </w:p>
    <w:p w14:paraId="3418388E"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xii</w:t>
      </w:r>
      <w:proofErr w:type="spellEnd"/>
      <w:r>
        <w:rPr>
          <w:rFonts w:ascii="Palatino Linotype" w:eastAsia="Palatino Linotype" w:hAnsi="Palatino Linotype" w:cs="Palatino Linotype"/>
          <w:sz w:val="22"/>
          <w:szCs w:val="22"/>
        </w:rPr>
        <w:t>) Contrato de adquisición “Servicios de Logística” número CP-004/2024, en versión pública, del siete de agosto de dos mil veinticuatro.</w:t>
      </w:r>
    </w:p>
    <w:p w14:paraId="203E64F9" w14:textId="77777777" w:rsidR="00262817" w:rsidRDefault="00262817">
      <w:pPr>
        <w:spacing w:line="360" w:lineRule="auto"/>
        <w:jc w:val="both"/>
        <w:rPr>
          <w:rFonts w:ascii="Palatino Linotype" w:eastAsia="Palatino Linotype" w:hAnsi="Palatino Linotype" w:cs="Palatino Linotype"/>
          <w:sz w:val="22"/>
          <w:szCs w:val="22"/>
        </w:rPr>
      </w:pPr>
    </w:p>
    <w:p w14:paraId="14B45F94"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xiii</w:t>
      </w:r>
      <w:proofErr w:type="spellEnd"/>
      <w:r>
        <w:rPr>
          <w:rFonts w:ascii="Palatino Linotype" w:eastAsia="Palatino Linotype" w:hAnsi="Palatino Linotype" w:cs="Palatino Linotype"/>
          <w:sz w:val="22"/>
          <w:szCs w:val="22"/>
        </w:rPr>
        <w:t>) Contrato de adquisición y “Suministro de Materiales y Útiles de Oficina” número CP-001/2024, en versión pública, del veintidós de agosto de dos mil veinticuatro.</w:t>
      </w:r>
    </w:p>
    <w:p w14:paraId="66C3704E" w14:textId="77777777" w:rsidR="00262817" w:rsidRDefault="00262817">
      <w:pPr>
        <w:spacing w:line="360" w:lineRule="auto"/>
        <w:jc w:val="both"/>
        <w:rPr>
          <w:rFonts w:ascii="Palatino Linotype" w:eastAsia="Palatino Linotype" w:hAnsi="Palatino Linotype" w:cs="Palatino Linotype"/>
          <w:sz w:val="22"/>
          <w:szCs w:val="22"/>
        </w:rPr>
      </w:pPr>
    </w:p>
    <w:p w14:paraId="72B83B5F"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lastRenderedPageBreak/>
        <w:t>xiv</w:t>
      </w:r>
      <w:proofErr w:type="spellEnd"/>
      <w:r>
        <w:rPr>
          <w:rFonts w:ascii="Palatino Linotype" w:eastAsia="Palatino Linotype" w:hAnsi="Palatino Linotype" w:cs="Palatino Linotype"/>
          <w:sz w:val="22"/>
          <w:szCs w:val="22"/>
        </w:rPr>
        <w:t xml:space="preserve">) Contrato pedido administrativo de “Adquisición de Impresos para el Aniversario CEDIPIEM” número CP-007/2024, en versión pública, del diecisiete de </w:t>
      </w:r>
      <w:proofErr w:type="gramStart"/>
      <w:r>
        <w:rPr>
          <w:rFonts w:ascii="Palatino Linotype" w:eastAsia="Palatino Linotype" w:hAnsi="Palatino Linotype" w:cs="Palatino Linotype"/>
          <w:sz w:val="22"/>
          <w:szCs w:val="22"/>
        </w:rPr>
        <w:t>Octubre</w:t>
      </w:r>
      <w:proofErr w:type="gramEnd"/>
      <w:r>
        <w:rPr>
          <w:rFonts w:ascii="Palatino Linotype" w:eastAsia="Palatino Linotype" w:hAnsi="Palatino Linotype" w:cs="Palatino Linotype"/>
          <w:sz w:val="22"/>
          <w:szCs w:val="22"/>
        </w:rPr>
        <w:t xml:space="preserve"> de dos mil veinticuatro.</w:t>
      </w:r>
    </w:p>
    <w:p w14:paraId="20CA9FF4" w14:textId="77777777" w:rsidR="00262817" w:rsidRDefault="00262817">
      <w:pPr>
        <w:spacing w:line="360" w:lineRule="auto"/>
        <w:jc w:val="both"/>
        <w:rPr>
          <w:rFonts w:ascii="Palatino Linotype" w:eastAsia="Palatino Linotype" w:hAnsi="Palatino Linotype" w:cs="Palatino Linotype"/>
          <w:sz w:val="22"/>
          <w:szCs w:val="22"/>
        </w:rPr>
      </w:pPr>
    </w:p>
    <w:p w14:paraId="1867119C" w14:textId="77777777" w:rsidR="00262817" w:rsidRDefault="00EB2E3F">
      <w:pPr>
        <w:spacing w:line="360" w:lineRule="auto"/>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xv</w:t>
      </w:r>
      <w:proofErr w:type="spellEnd"/>
      <w:r>
        <w:rPr>
          <w:rFonts w:ascii="Palatino Linotype" w:eastAsia="Palatino Linotype" w:hAnsi="Palatino Linotype" w:cs="Palatino Linotype"/>
          <w:sz w:val="22"/>
          <w:szCs w:val="22"/>
        </w:rPr>
        <w:t>) Contrato pedido administrativo de adquisición de bienes “Auditoría para la Dictaminación de Estados Financieros y Programáticos Presupuestales para el Ejercicio 2024” número CP-008/2024, en versión pública, del veintidós de noviembre de dos mil veinticuatro.</w:t>
      </w:r>
    </w:p>
    <w:p w14:paraId="451B4977" w14:textId="77777777" w:rsidR="00262817" w:rsidRDefault="00262817">
      <w:pPr>
        <w:spacing w:line="360" w:lineRule="auto"/>
        <w:jc w:val="both"/>
        <w:rPr>
          <w:rFonts w:ascii="Palatino Linotype" w:eastAsia="Palatino Linotype" w:hAnsi="Palatino Linotype" w:cs="Palatino Linotype"/>
          <w:sz w:val="22"/>
          <w:szCs w:val="22"/>
        </w:rPr>
      </w:pPr>
    </w:p>
    <w:p w14:paraId="42DE321F" w14:textId="77777777" w:rsidR="00262817" w:rsidRDefault="00EB2E3F">
      <w:pPr>
        <w:spacing w:line="360" w:lineRule="auto"/>
        <w:jc w:val="both"/>
        <w:rPr>
          <w:rFonts w:ascii="Palatino Linotype" w:eastAsia="Palatino Linotype" w:hAnsi="Palatino Linotype" w:cs="Palatino Linotype"/>
          <w:i/>
        </w:rPr>
      </w:pPr>
      <w:proofErr w:type="spellStart"/>
      <w:r>
        <w:rPr>
          <w:rFonts w:ascii="Palatino Linotype" w:eastAsia="Palatino Linotype" w:hAnsi="Palatino Linotype" w:cs="Palatino Linotype"/>
          <w:sz w:val="22"/>
          <w:szCs w:val="22"/>
        </w:rPr>
        <w:t>xvi</w:t>
      </w:r>
      <w:proofErr w:type="spellEnd"/>
      <w:r>
        <w:rPr>
          <w:rFonts w:ascii="Palatino Linotype" w:eastAsia="Palatino Linotype" w:hAnsi="Palatino Linotype" w:cs="Palatino Linotype"/>
          <w:sz w:val="22"/>
          <w:szCs w:val="22"/>
        </w:rPr>
        <w:t>) Padrón de proveedores en versión pública.</w:t>
      </w:r>
    </w:p>
    <w:p w14:paraId="6135AB92" w14:textId="77777777" w:rsidR="00262817" w:rsidRDefault="00262817">
      <w:pPr>
        <w:spacing w:line="360" w:lineRule="auto"/>
        <w:jc w:val="both"/>
        <w:rPr>
          <w:rFonts w:ascii="Palatino Linotype" w:eastAsia="Palatino Linotype" w:hAnsi="Palatino Linotype" w:cs="Palatino Linotype"/>
          <w:sz w:val="22"/>
          <w:szCs w:val="22"/>
        </w:rPr>
      </w:pPr>
    </w:p>
    <w:p w14:paraId="6303F7D9" w14:textId="77777777" w:rsidR="00262817" w:rsidRPr="00B70167" w:rsidRDefault="00EB2E3F" w:rsidP="00B70167">
      <w:pPr>
        <w:pStyle w:val="Ttulo1"/>
        <w:rPr>
          <w:rFonts w:ascii="Palatino Linotype" w:eastAsia="Palatino Linotype" w:hAnsi="Palatino Linotype"/>
          <w:b/>
          <w:color w:val="auto"/>
          <w:sz w:val="22"/>
          <w:szCs w:val="22"/>
        </w:rPr>
      </w:pPr>
      <w:bookmarkStart w:id="5" w:name="_Toc192783468"/>
      <w:r w:rsidRPr="00B70167">
        <w:rPr>
          <w:rFonts w:ascii="Palatino Linotype" w:eastAsia="Palatino Linotype" w:hAnsi="Palatino Linotype"/>
          <w:b/>
          <w:color w:val="auto"/>
          <w:sz w:val="22"/>
          <w:szCs w:val="22"/>
        </w:rPr>
        <w:t>III. Interposición del Recurso de Revisión</w:t>
      </w:r>
      <w:bookmarkEnd w:id="5"/>
    </w:p>
    <w:p w14:paraId="2A482AAE" w14:textId="77777777" w:rsidR="00262817" w:rsidRDefault="00262817">
      <w:pPr>
        <w:spacing w:line="360" w:lineRule="auto"/>
        <w:ind w:right="-28"/>
        <w:jc w:val="both"/>
        <w:rPr>
          <w:rFonts w:ascii="Palatino Linotype" w:eastAsia="Palatino Linotype" w:hAnsi="Palatino Linotype" w:cs="Palatino Linotype"/>
          <w:sz w:val="22"/>
          <w:szCs w:val="22"/>
        </w:rPr>
      </w:pPr>
    </w:p>
    <w:p w14:paraId="2D9A2FCD"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diez de febrero de dos mil veinticinco, se recibió en este Instituto, a través del Sistema de Acceso a la Información Mexiquense (SAIMEX), el Recurso de Revisión interpuesto por la parte Recurrente, en contra de la respuesta del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los siguientes términos:</w:t>
      </w:r>
    </w:p>
    <w:p w14:paraId="0F28961B" w14:textId="77777777" w:rsidR="00262817" w:rsidRDefault="00262817">
      <w:pPr>
        <w:spacing w:line="360" w:lineRule="auto"/>
        <w:ind w:right="-28"/>
        <w:jc w:val="both"/>
        <w:rPr>
          <w:rFonts w:ascii="Palatino Linotype" w:eastAsia="Palatino Linotype" w:hAnsi="Palatino Linotype" w:cs="Palatino Linotype"/>
          <w:i/>
        </w:rPr>
      </w:pPr>
    </w:p>
    <w:p w14:paraId="231339FD" w14:textId="77777777" w:rsidR="00262817" w:rsidRDefault="00EB2E3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33A470E2"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La respuesta.</w:t>
      </w:r>
      <w:r>
        <w:rPr>
          <w:rFonts w:ascii="Palatino Linotype" w:eastAsia="Palatino Linotype" w:hAnsi="Palatino Linotype" w:cs="Palatino Linotype"/>
          <w:i/>
        </w:rPr>
        <w:t>” (Sic)</w:t>
      </w:r>
    </w:p>
    <w:p w14:paraId="468B5D00" w14:textId="77777777" w:rsidR="00262817" w:rsidRDefault="00262817">
      <w:pPr>
        <w:tabs>
          <w:tab w:val="left" w:pos="4667"/>
        </w:tabs>
        <w:spacing w:line="360" w:lineRule="auto"/>
        <w:ind w:left="567" w:right="567"/>
        <w:jc w:val="both"/>
        <w:rPr>
          <w:rFonts w:ascii="Palatino Linotype" w:eastAsia="Palatino Linotype" w:hAnsi="Palatino Linotype" w:cs="Palatino Linotype"/>
          <w:i/>
        </w:rPr>
      </w:pPr>
    </w:p>
    <w:p w14:paraId="6B7BAD1A" w14:textId="77777777" w:rsidR="00262817" w:rsidRDefault="00EB2E3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02ACB210"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El sujeto obligado omite remitir el Acuerdo y Resolución del </w:t>
      </w:r>
      <w:proofErr w:type="spellStart"/>
      <w:r>
        <w:rPr>
          <w:rFonts w:ascii="Palatino Linotype" w:eastAsia="Palatino Linotype" w:hAnsi="Palatino Linotype" w:cs="Palatino Linotype"/>
          <w:i/>
          <w:color w:val="000000"/>
        </w:rPr>
        <w:t>Comite</w:t>
      </w:r>
      <w:proofErr w:type="spellEnd"/>
      <w:r>
        <w:rPr>
          <w:rFonts w:ascii="Palatino Linotype" w:eastAsia="Palatino Linotype" w:hAnsi="Palatino Linotype" w:cs="Palatino Linotype"/>
          <w:i/>
          <w:color w:val="000000"/>
        </w:rPr>
        <w:t xml:space="preserve"> del Transparencia donde se clasifica la </w:t>
      </w:r>
      <w:proofErr w:type="spellStart"/>
      <w:r>
        <w:rPr>
          <w:rFonts w:ascii="Palatino Linotype" w:eastAsia="Palatino Linotype" w:hAnsi="Palatino Linotype" w:cs="Palatino Linotype"/>
          <w:i/>
          <w:color w:val="000000"/>
        </w:rPr>
        <w:t>informaición</w:t>
      </w:r>
      <w:proofErr w:type="spellEnd"/>
      <w:r>
        <w:rPr>
          <w:rFonts w:ascii="Palatino Linotype" w:eastAsia="Palatino Linotype" w:hAnsi="Palatino Linotype" w:cs="Palatino Linotype"/>
          <w:i/>
          <w:color w:val="000000"/>
        </w:rPr>
        <w:t xml:space="preserve">, no tengo certeza respecto de la clasificación. El titular de la Unidad de </w:t>
      </w:r>
      <w:proofErr w:type="spellStart"/>
      <w:r>
        <w:rPr>
          <w:rFonts w:ascii="Palatino Linotype" w:eastAsia="Palatino Linotype" w:hAnsi="Palatino Linotype" w:cs="Palatino Linotype"/>
          <w:i/>
          <w:color w:val="000000"/>
        </w:rPr>
        <w:t>Tranparencia</w:t>
      </w:r>
      <w:proofErr w:type="spellEnd"/>
      <w:r>
        <w:rPr>
          <w:rFonts w:ascii="Palatino Linotype" w:eastAsia="Palatino Linotype" w:hAnsi="Palatino Linotype" w:cs="Palatino Linotype"/>
          <w:i/>
          <w:color w:val="000000"/>
        </w:rPr>
        <w:t xml:space="preserve"> carece de atribuciones para clasificar de manera unilateral la información, sólo puede hacerlo el </w:t>
      </w:r>
      <w:proofErr w:type="spellStart"/>
      <w:r>
        <w:rPr>
          <w:rFonts w:ascii="Palatino Linotype" w:eastAsia="Palatino Linotype" w:hAnsi="Palatino Linotype" w:cs="Palatino Linotype"/>
          <w:i/>
          <w:color w:val="000000"/>
        </w:rPr>
        <w:t>Comite</w:t>
      </w:r>
      <w:proofErr w:type="spellEnd"/>
      <w:r>
        <w:rPr>
          <w:rFonts w:ascii="Palatino Linotype" w:eastAsia="Palatino Linotype" w:hAnsi="Palatino Linotype" w:cs="Palatino Linotype"/>
          <w:i/>
          <w:color w:val="000000"/>
        </w:rPr>
        <w:t xml:space="preserve"> de Transparencia.</w:t>
      </w:r>
      <w:r>
        <w:rPr>
          <w:rFonts w:ascii="Palatino Linotype" w:eastAsia="Palatino Linotype" w:hAnsi="Palatino Linotype" w:cs="Palatino Linotype"/>
          <w:i/>
        </w:rPr>
        <w:t>” (Sic)</w:t>
      </w:r>
    </w:p>
    <w:p w14:paraId="3637CDC7" w14:textId="77777777" w:rsidR="00262817" w:rsidRDefault="00262817">
      <w:pPr>
        <w:spacing w:line="360" w:lineRule="auto"/>
        <w:ind w:right="-28"/>
        <w:jc w:val="both"/>
        <w:rPr>
          <w:rFonts w:ascii="Palatino Linotype" w:eastAsia="Palatino Linotype" w:hAnsi="Palatino Linotype" w:cs="Palatino Linotype"/>
          <w:b/>
          <w:sz w:val="22"/>
          <w:szCs w:val="22"/>
        </w:rPr>
      </w:pPr>
    </w:p>
    <w:p w14:paraId="15DE2D74" w14:textId="77777777" w:rsidR="00262817" w:rsidRPr="00B70167" w:rsidRDefault="00EB2E3F" w:rsidP="00B70167">
      <w:pPr>
        <w:pStyle w:val="Ttulo1"/>
        <w:rPr>
          <w:rFonts w:ascii="Palatino Linotype" w:eastAsia="Palatino Linotype" w:hAnsi="Palatino Linotype"/>
          <w:b/>
          <w:sz w:val="22"/>
          <w:szCs w:val="22"/>
        </w:rPr>
      </w:pPr>
      <w:bookmarkStart w:id="6" w:name="_Toc192783469"/>
      <w:r w:rsidRPr="00B70167">
        <w:rPr>
          <w:rFonts w:ascii="Palatino Linotype" w:eastAsia="Palatino Linotype" w:hAnsi="Palatino Linotype"/>
          <w:b/>
          <w:color w:val="auto"/>
          <w:sz w:val="22"/>
          <w:szCs w:val="22"/>
        </w:rPr>
        <w:t>IV. Trámite del Recurso de Revisión ante el Instituto</w:t>
      </w:r>
      <w:bookmarkEnd w:id="6"/>
    </w:p>
    <w:p w14:paraId="078283AD" w14:textId="77777777" w:rsidR="00262817" w:rsidRDefault="00262817">
      <w:pPr>
        <w:spacing w:line="360" w:lineRule="auto"/>
        <w:ind w:right="-28"/>
        <w:jc w:val="both"/>
        <w:rPr>
          <w:rFonts w:ascii="Palatino Linotype" w:eastAsia="Palatino Linotype" w:hAnsi="Palatino Linotype" w:cs="Palatino Linotype"/>
          <w:b/>
          <w:sz w:val="22"/>
          <w:szCs w:val="22"/>
        </w:rPr>
      </w:pPr>
    </w:p>
    <w:p w14:paraId="350230BB"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diez de febrero de dos mil veinticinco, el Sistema de Acceso a la Información Mexiquense (SAIMEX), asignó el número de expediente </w:t>
      </w:r>
      <w:r>
        <w:rPr>
          <w:rFonts w:ascii="Palatino Linotype" w:eastAsia="Palatino Linotype" w:hAnsi="Palatino Linotype" w:cs="Palatino Linotype"/>
          <w:b/>
          <w:sz w:val="22"/>
          <w:szCs w:val="22"/>
        </w:rPr>
        <w:t xml:space="preserve">01006/INFOEM/IP/RR/2025,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30144835" w14:textId="77777777" w:rsidR="00262817" w:rsidRDefault="00262817">
      <w:pPr>
        <w:spacing w:line="360" w:lineRule="auto"/>
        <w:ind w:right="-28"/>
        <w:jc w:val="both"/>
        <w:rPr>
          <w:rFonts w:ascii="Palatino Linotype" w:eastAsia="Palatino Linotype" w:hAnsi="Palatino Linotype" w:cs="Palatino Linotype"/>
          <w:sz w:val="22"/>
          <w:szCs w:val="22"/>
        </w:rPr>
      </w:pPr>
    </w:p>
    <w:p w14:paraId="1522DDAB"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trece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759E9660" w14:textId="77777777" w:rsidR="00262817" w:rsidRDefault="00262817">
      <w:pPr>
        <w:spacing w:line="360" w:lineRule="auto"/>
        <w:jc w:val="both"/>
        <w:rPr>
          <w:rFonts w:ascii="Palatino Linotype" w:eastAsia="Palatino Linotype" w:hAnsi="Palatino Linotype" w:cs="Palatino Linotype"/>
          <w:sz w:val="22"/>
          <w:szCs w:val="22"/>
        </w:rPr>
      </w:pPr>
    </w:p>
    <w:p w14:paraId="5FFBD5FC" w14:textId="77777777" w:rsidR="00262817" w:rsidRDefault="00EB2E3F">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Informe Justificado o Manifestaciones. </w:t>
      </w:r>
      <w:r>
        <w:rPr>
          <w:rFonts w:ascii="Palatino Linotype" w:eastAsia="Palatino Linotype" w:hAnsi="Palatino Linotype" w:cs="Palatino Linotype"/>
          <w:sz w:val="22"/>
          <w:szCs w:val="22"/>
        </w:rPr>
        <w:t>Las partes fueron omisas en realizar manifestaciones o alegatos.</w:t>
      </w:r>
    </w:p>
    <w:p w14:paraId="5B4D2127" w14:textId="77777777" w:rsidR="00262817" w:rsidRDefault="00262817">
      <w:pPr>
        <w:spacing w:line="360" w:lineRule="auto"/>
        <w:jc w:val="both"/>
        <w:rPr>
          <w:rFonts w:ascii="Palatino Linotype" w:eastAsia="Palatino Linotype" w:hAnsi="Palatino Linotype" w:cs="Palatino Linotype"/>
          <w:sz w:val="22"/>
          <w:szCs w:val="22"/>
        </w:rPr>
      </w:pPr>
    </w:p>
    <w:p w14:paraId="38FDB1A1" w14:textId="77777777" w:rsidR="00262817" w:rsidRDefault="00EB2E3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 xml:space="preserve">El seis 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w:t>
      </w:r>
      <w:r>
        <w:rPr>
          <w:rFonts w:ascii="Palatino Linotype" w:eastAsia="Palatino Linotype" w:hAnsi="Palatino Linotype" w:cs="Palatino Linotype"/>
          <w:sz w:val="22"/>
          <w:szCs w:val="22"/>
        </w:rPr>
        <w:lastRenderedPageBreak/>
        <w:t>del Estado de México y Municipios, mismo que fue notificado a las partes el mismo día, a través del Sistema de Acceso a la Información Mexiquense (SAIMEX).</w:t>
      </w:r>
    </w:p>
    <w:p w14:paraId="77944CDE" w14:textId="77777777" w:rsidR="00262817" w:rsidRDefault="00262817">
      <w:pPr>
        <w:spacing w:line="360" w:lineRule="auto"/>
        <w:ind w:right="-28"/>
        <w:jc w:val="both"/>
        <w:rPr>
          <w:rFonts w:ascii="Palatino Linotype" w:eastAsia="Palatino Linotype" w:hAnsi="Palatino Linotype" w:cs="Palatino Linotype"/>
          <w:sz w:val="22"/>
          <w:szCs w:val="22"/>
        </w:rPr>
      </w:pPr>
    </w:p>
    <w:p w14:paraId="0F55E99F" w14:textId="77777777" w:rsidR="00262817" w:rsidRDefault="00EB2E3F">
      <w:pPr>
        <w:spacing w:line="360" w:lineRule="auto"/>
        <w:ind w:right="-28"/>
        <w:jc w:val="both"/>
        <w:rPr>
          <w:rFonts w:ascii="Palatino Linotype" w:eastAsia="Palatino Linotype" w:hAnsi="Palatino Linotype" w:cs="Palatino Linotype"/>
          <w:color w:val="000000"/>
          <w:sz w:val="22"/>
          <w:szCs w:val="22"/>
        </w:rPr>
      </w:pPr>
      <w:proofErr w:type="gramStart"/>
      <w:r>
        <w:rPr>
          <w:rFonts w:ascii="Palatino Linotype" w:eastAsia="Palatino Linotype" w:hAnsi="Palatino Linotype" w:cs="Palatino Linotype"/>
          <w:color w:val="000000"/>
          <w:sz w:val="22"/>
          <w:szCs w:val="22"/>
        </w:rPr>
        <w:t>En razón de</w:t>
      </w:r>
      <w:proofErr w:type="gramEnd"/>
      <w:r>
        <w:rPr>
          <w:rFonts w:ascii="Palatino Linotype" w:eastAsia="Palatino Linotype" w:hAnsi="Palatino Linotype" w:cs="Palatino Linotype"/>
          <w:color w:val="000000"/>
          <w:sz w:val="22"/>
          <w:szCs w:val="22"/>
        </w:rPr>
        <w:t xml:space="preserve"> que fue debidamente sustanciado el expediente electrónico y no existe diligencia pendiente de desahogo, se emite la resolución que conforme a Derecho proceda, de acuerdo a los siguientes:</w:t>
      </w:r>
    </w:p>
    <w:p w14:paraId="6DF02DBC" w14:textId="77777777" w:rsidR="00262817" w:rsidRDefault="00262817">
      <w:pPr>
        <w:spacing w:line="360" w:lineRule="auto"/>
        <w:ind w:right="-28"/>
        <w:jc w:val="both"/>
        <w:rPr>
          <w:rFonts w:ascii="Palatino Linotype" w:eastAsia="Palatino Linotype" w:hAnsi="Palatino Linotype" w:cs="Palatino Linotype"/>
          <w:color w:val="000000"/>
          <w:sz w:val="22"/>
          <w:szCs w:val="22"/>
        </w:rPr>
      </w:pPr>
    </w:p>
    <w:p w14:paraId="32176F3F" w14:textId="77777777" w:rsidR="00262817" w:rsidRPr="00B70167" w:rsidRDefault="00EB2E3F" w:rsidP="00B70167">
      <w:pPr>
        <w:pStyle w:val="Ttulo1"/>
        <w:jc w:val="center"/>
        <w:rPr>
          <w:rFonts w:ascii="Palatino Linotype" w:eastAsia="Palatino Linotype" w:hAnsi="Palatino Linotype"/>
          <w:b/>
          <w:color w:val="auto"/>
          <w:sz w:val="22"/>
          <w:szCs w:val="22"/>
        </w:rPr>
      </w:pPr>
      <w:bookmarkStart w:id="8" w:name="_Toc192783470"/>
      <w:r w:rsidRPr="00B70167">
        <w:rPr>
          <w:rFonts w:ascii="Palatino Linotype" w:eastAsia="Palatino Linotype" w:hAnsi="Palatino Linotype"/>
          <w:b/>
          <w:color w:val="auto"/>
          <w:sz w:val="22"/>
          <w:szCs w:val="22"/>
        </w:rPr>
        <w:t>C O N S I D E R A N D O S</w:t>
      </w:r>
      <w:bookmarkEnd w:id="8"/>
    </w:p>
    <w:p w14:paraId="481397BB" w14:textId="77777777" w:rsidR="00262817" w:rsidRDefault="00262817">
      <w:pPr>
        <w:spacing w:line="360" w:lineRule="auto"/>
        <w:ind w:right="-28"/>
        <w:jc w:val="center"/>
        <w:rPr>
          <w:rFonts w:ascii="Palatino Linotype" w:eastAsia="Palatino Linotype" w:hAnsi="Palatino Linotype" w:cs="Palatino Linotype"/>
          <w:b/>
          <w:sz w:val="22"/>
          <w:szCs w:val="22"/>
        </w:rPr>
      </w:pPr>
    </w:p>
    <w:p w14:paraId="32B0C497" w14:textId="77777777" w:rsidR="00262817" w:rsidRPr="00B70167" w:rsidRDefault="00EB2E3F" w:rsidP="00B70167">
      <w:pPr>
        <w:pStyle w:val="Ttulo1"/>
        <w:rPr>
          <w:rFonts w:ascii="Palatino Linotype" w:eastAsia="Palatino Linotype" w:hAnsi="Palatino Linotype"/>
          <w:b/>
          <w:color w:val="auto"/>
          <w:sz w:val="22"/>
          <w:szCs w:val="22"/>
        </w:rPr>
      </w:pPr>
      <w:bookmarkStart w:id="9" w:name="_Toc192783471"/>
      <w:r w:rsidRPr="00B70167">
        <w:rPr>
          <w:rFonts w:ascii="Palatino Linotype" w:eastAsia="Palatino Linotype" w:hAnsi="Palatino Linotype"/>
          <w:b/>
          <w:color w:val="auto"/>
          <w:sz w:val="22"/>
          <w:szCs w:val="22"/>
        </w:rPr>
        <w:t>PRIMERO. Competencia</w:t>
      </w:r>
      <w:bookmarkEnd w:id="9"/>
    </w:p>
    <w:p w14:paraId="42729EA9" w14:textId="77777777" w:rsidR="00262817" w:rsidRDefault="00262817">
      <w:pPr>
        <w:spacing w:line="360" w:lineRule="auto"/>
        <w:ind w:right="-28"/>
        <w:jc w:val="both"/>
        <w:rPr>
          <w:rFonts w:ascii="Palatino Linotype" w:eastAsia="Palatino Linotype" w:hAnsi="Palatino Linotype" w:cs="Palatino Linotype"/>
          <w:b/>
          <w:sz w:val="22"/>
          <w:szCs w:val="22"/>
        </w:rPr>
      </w:pPr>
    </w:p>
    <w:p w14:paraId="423D9003" w14:textId="77777777" w:rsidR="00262817" w:rsidRDefault="00EB2E3F">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rFonts w:ascii="Palatino Linotype" w:eastAsia="Palatino Linotype" w:hAnsi="Palatino Linotype" w:cs="Palatino Linotype"/>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4ECA9C07" w14:textId="77777777" w:rsidR="00262817" w:rsidRPr="00B70167" w:rsidRDefault="00262817" w:rsidP="00B70167">
      <w:pPr>
        <w:pStyle w:val="Ttulo1"/>
        <w:rPr>
          <w:rFonts w:ascii="Palatino Linotype" w:eastAsia="Palatino Linotype" w:hAnsi="Palatino Linotype"/>
          <w:b/>
          <w:color w:val="auto"/>
          <w:sz w:val="22"/>
          <w:szCs w:val="22"/>
        </w:rPr>
      </w:pPr>
    </w:p>
    <w:p w14:paraId="4DD0A9AF" w14:textId="77777777" w:rsidR="00262817" w:rsidRPr="00B70167" w:rsidRDefault="00EB2E3F" w:rsidP="00B70167">
      <w:pPr>
        <w:pStyle w:val="Ttulo1"/>
        <w:rPr>
          <w:rFonts w:ascii="Palatino Linotype" w:eastAsia="Palatino Linotype" w:hAnsi="Palatino Linotype"/>
          <w:b/>
          <w:color w:val="auto"/>
          <w:sz w:val="22"/>
          <w:szCs w:val="22"/>
        </w:rPr>
      </w:pPr>
      <w:bookmarkStart w:id="10" w:name="_Toc192783472"/>
      <w:r w:rsidRPr="00B70167">
        <w:rPr>
          <w:rFonts w:ascii="Palatino Linotype" w:eastAsia="Palatino Linotype" w:hAnsi="Palatino Linotype"/>
          <w:b/>
          <w:color w:val="auto"/>
          <w:sz w:val="22"/>
          <w:szCs w:val="22"/>
        </w:rPr>
        <w:t>SEGUNDO. Causales de improcedencia y sobreseimiento</w:t>
      </w:r>
      <w:bookmarkEnd w:id="10"/>
    </w:p>
    <w:p w14:paraId="590A830D" w14:textId="77777777" w:rsidR="00262817" w:rsidRDefault="00262817">
      <w:pPr>
        <w:spacing w:line="360" w:lineRule="auto"/>
        <w:ind w:right="-28"/>
        <w:jc w:val="both"/>
        <w:rPr>
          <w:rFonts w:ascii="Palatino Linotype" w:eastAsia="Palatino Linotype" w:hAnsi="Palatino Linotype" w:cs="Palatino Linotype"/>
          <w:b/>
          <w:color w:val="000000"/>
          <w:sz w:val="22"/>
          <w:szCs w:val="22"/>
        </w:rPr>
      </w:pPr>
    </w:p>
    <w:p w14:paraId="035279D2"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0E181694" w14:textId="77777777" w:rsidR="00262817" w:rsidRDefault="00262817">
      <w:pPr>
        <w:spacing w:line="360" w:lineRule="auto"/>
        <w:jc w:val="both"/>
        <w:rPr>
          <w:rFonts w:ascii="Palatino Linotype" w:eastAsia="Palatino Linotype" w:hAnsi="Palatino Linotype" w:cs="Palatino Linotype"/>
          <w:b/>
          <w:color w:val="000000"/>
          <w:sz w:val="22"/>
          <w:szCs w:val="22"/>
        </w:rPr>
      </w:pPr>
    </w:p>
    <w:p w14:paraId="4D26E277" w14:textId="77777777" w:rsidR="00262817" w:rsidRDefault="00EB2E3F">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67CAD0A3"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6AB2DC26" w14:textId="77777777" w:rsidR="00262817" w:rsidRDefault="00EB2E3F">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AB47CF6" w14:textId="77777777" w:rsidR="00262817" w:rsidRDefault="00262817">
      <w:pPr>
        <w:spacing w:line="360" w:lineRule="auto"/>
        <w:ind w:right="-28"/>
        <w:jc w:val="both"/>
        <w:rPr>
          <w:rFonts w:ascii="Palatino Linotype" w:eastAsia="Palatino Linotype" w:hAnsi="Palatino Linotype" w:cs="Palatino Linotype"/>
          <w:color w:val="000000"/>
          <w:sz w:val="22"/>
          <w:szCs w:val="22"/>
        </w:rPr>
      </w:pPr>
    </w:p>
    <w:p w14:paraId="292ADD6F"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w:t>
      </w:r>
      <w:r>
        <w:rPr>
          <w:rFonts w:ascii="Palatino Linotype" w:eastAsia="Palatino Linotype" w:hAnsi="Palatino Linotype" w:cs="Palatino Linotype"/>
          <w:sz w:val="22"/>
          <w:szCs w:val="22"/>
        </w:rPr>
        <w:lastRenderedPageBreak/>
        <w:t xml:space="preserve">requerimiento informativo; además de que </w:t>
      </w:r>
      <w:r>
        <w:rPr>
          <w:rFonts w:ascii="Palatino Linotype" w:eastAsia="Palatino Linotype" w:hAnsi="Palatino Linotype" w:cs="Palatino Linotype"/>
          <w:color w:val="000000"/>
          <w:sz w:val="22"/>
          <w:szCs w:val="22"/>
        </w:rPr>
        <w:t>el medio de impugnación fue presentado en tiempo.</w:t>
      </w:r>
    </w:p>
    <w:p w14:paraId="6C7DACA9"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2C55B839" w14:textId="77777777" w:rsidR="00262817" w:rsidRDefault="00EB2E3F">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II,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clasificación de la información.</w:t>
      </w:r>
    </w:p>
    <w:p w14:paraId="6F891AAD" w14:textId="77777777" w:rsidR="00262817" w:rsidRDefault="00262817">
      <w:pPr>
        <w:spacing w:line="360" w:lineRule="auto"/>
        <w:jc w:val="both"/>
        <w:rPr>
          <w:rFonts w:ascii="Palatino Linotype" w:eastAsia="Palatino Linotype" w:hAnsi="Palatino Linotype" w:cs="Palatino Linotype"/>
          <w:b/>
          <w:color w:val="0D0D0D"/>
          <w:sz w:val="22"/>
          <w:szCs w:val="22"/>
        </w:rPr>
      </w:pPr>
    </w:p>
    <w:p w14:paraId="79D152F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6E697C5D" w14:textId="77777777" w:rsidR="00262817" w:rsidRDefault="00262817">
      <w:pPr>
        <w:spacing w:line="360" w:lineRule="auto"/>
        <w:jc w:val="both"/>
        <w:rPr>
          <w:rFonts w:ascii="Palatino Linotype" w:eastAsia="Palatino Linotype" w:hAnsi="Palatino Linotype" w:cs="Palatino Linotype"/>
          <w:color w:val="0D0D0D"/>
          <w:sz w:val="22"/>
          <w:szCs w:val="22"/>
        </w:rPr>
      </w:pPr>
    </w:p>
    <w:p w14:paraId="5FD4EE80"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06CE81F0" w14:textId="77777777" w:rsidR="00262817" w:rsidRDefault="00262817">
      <w:pPr>
        <w:spacing w:line="360" w:lineRule="auto"/>
        <w:jc w:val="both"/>
        <w:rPr>
          <w:rFonts w:ascii="Palatino Linotype" w:eastAsia="Palatino Linotype" w:hAnsi="Palatino Linotype" w:cs="Palatino Linotype"/>
          <w:sz w:val="22"/>
          <w:szCs w:val="22"/>
        </w:rPr>
      </w:pPr>
    </w:p>
    <w:p w14:paraId="3B5B9B12"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458D4EF" w14:textId="77777777" w:rsidR="00262817" w:rsidRDefault="00262817">
      <w:pPr>
        <w:spacing w:line="360" w:lineRule="auto"/>
        <w:jc w:val="both"/>
        <w:rPr>
          <w:rFonts w:ascii="Palatino Linotype" w:eastAsia="Palatino Linotype" w:hAnsi="Palatino Linotype" w:cs="Palatino Linotype"/>
          <w:sz w:val="22"/>
          <w:szCs w:val="22"/>
        </w:rPr>
      </w:pPr>
    </w:p>
    <w:p w14:paraId="1EEDB509" w14:textId="77777777" w:rsidR="00262817" w:rsidRDefault="00EB2E3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2046D670" w14:textId="77777777" w:rsidR="00262817" w:rsidRDefault="00262817">
      <w:pPr>
        <w:tabs>
          <w:tab w:val="left" w:pos="4962"/>
        </w:tabs>
        <w:spacing w:line="360" w:lineRule="auto"/>
        <w:jc w:val="both"/>
        <w:rPr>
          <w:rFonts w:ascii="Palatino Linotype" w:eastAsia="Palatino Linotype" w:hAnsi="Palatino Linotype" w:cs="Palatino Linotype"/>
          <w:sz w:val="22"/>
          <w:szCs w:val="22"/>
        </w:rPr>
      </w:pPr>
    </w:p>
    <w:p w14:paraId="589D5B0E" w14:textId="77777777" w:rsidR="00262817" w:rsidRPr="00B70167" w:rsidRDefault="00EB2E3F" w:rsidP="00B70167">
      <w:pPr>
        <w:pStyle w:val="Ttulo1"/>
        <w:rPr>
          <w:rFonts w:ascii="Palatino Linotype" w:eastAsia="Palatino Linotype" w:hAnsi="Palatino Linotype"/>
          <w:b/>
          <w:color w:val="auto"/>
          <w:sz w:val="22"/>
          <w:szCs w:val="22"/>
        </w:rPr>
      </w:pPr>
      <w:bookmarkStart w:id="11" w:name="_Toc192783473"/>
      <w:r w:rsidRPr="00B70167">
        <w:rPr>
          <w:rFonts w:ascii="Palatino Linotype" w:eastAsia="Palatino Linotype" w:hAnsi="Palatino Linotype"/>
          <w:b/>
          <w:color w:val="auto"/>
          <w:sz w:val="22"/>
          <w:szCs w:val="22"/>
        </w:rPr>
        <w:t>TERCERO. Determinación de la Controversia</w:t>
      </w:r>
      <w:bookmarkEnd w:id="11"/>
    </w:p>
    <w:p w14:paraId="27BB1628" w14:textId="77777777" w:rsidR="00262817" w:rsidRDefault="00262817">
      <w:pPr>
        <w:tabs>
          <w:tab w:val="left" w:pos="4962"/>
        </w:tabs>
        <w:spacing w:line="360" w:lineRule="auto"/>
        <w:jc w:val="both"/>
        <w:rPr>
          <w:rFonts w:ascii="Palatino Linotype" w:eastAsia="Palatino Linotype" w:hAnsi="Palatino Linotype" w:cs="Palatino Linotype"/>
          <w:b/>
          <w:sz w:val="22"/>
          <w:szCs w:val="22"/>
        </w:rPr>
      </w:pPr>
    </w:p>
    <w:p w14:paraId="4F4DCFDA"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realizado el estudio de las constancias que integran el expediente en que se actúa, se desprende que el Particular requirió, del primero de enero al treinta y uno de diciembre de dos mil veinticuatro, lo siguiente.</w:t>
      </w:r>
    </w:p>
    <w:p w14:paraId="772BB76F" w14:textId="77777777" w:rsidR="00262817" w:rsidRDefault="00262817">
      <w:pPr>
        <w:spacing w:line="360" w:lineRule="auto"/>
        <w:jc w:val="both"/>
        <w:rPr>
          <w:rFonts w:ascii="Palatino Linotype" w:eastAsia="Palatino Linotype" w:hAnsi="Palatino Linotype" w:cs="Palatino Linotype"/>
          <w:sz w:val="22"/>
          <w:szCs w:val="22"/>
        </w:rPr>
      </w:pPr>
    </w:p>
    <w:p w14:paraId="632903F9" w14:textId="77777777" w:rsidR="00262817" w:rsidRDefault="00EB2E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Contratos de adquisiciones o análogos celebrados; y</w:t>
      </w:r>
    </w:p>
    <w:p w14:paraId="378A61F7" w14:textId="77777777" w:rsidR="00262817" w:rsidRDefault="0026281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52DD19E5" w14:textId="77777777" w:rsidR="00262817" w:rsidRDefault="00EB2E3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Padrón de proveedores.</w:t>
      </w:r>
    </w:p>
    <w:p w14:paraId="073745E1" w14:textId="77777777" w:rsidR="00262817" w:rsidRDefault="0026281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6E807A7D"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respuesta, el Sujeto Obligado a través del Departamento de Recursos Humanos y Materiales, proporcionó catorce contratos de adquisiciones, y el padrón de proveedores en versiones públicas al indicar que contenían datos personales susceptibles de clasificación conforme a las leyes en la materia; Ante dicha circunstancia, el Particular se agravió con la clasificación de la información, al precisar que no le habían proporcionado el acuerdo de clasificación que sustentara las versiones públicas, por lo que no tenía certeza de que la información actualizara alguna causal de clasificación, lo cual actualiza la causal de procedencia prevista en la fracción II, del artículo 179 de la Ley de Transparencia y Acceso a la Información Pública del Estado de México y Municipios. </w:t>
      </w:r>
    </w:p>
    <w:p w14:paraId="51E7FEA0" w14:textId="77777777" w:rsidR="00262817" w:rsidRDefault="00262817">
      <w:pPr>
        <w:spacing w:line="360" w:lineRule="auto"/>
        <w:jc w:val="both"/>
        <w:rPr>
          <w:rFonts w:ascii="Palatino Linotype" w:eastAsia="Palatino Linotype" w:hAnsi="Palatino Linotype" w:cs="Palatino Linotype"/>
          <w:sz w:val="22"/>
          <w:szCs w:val="22"/>
        </w:rPr>
      </w:pPr>
    </w:p>
    <w:p w14:paraId="4C202BA6"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se logra vislumbrar que el ahora Recurrente no se agravió de los contratos y del padrón de proveedores proporcionados, sino de los datos testados en dichos documentos;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Pr>
          <w:rFonts w:ascii="Palatino Linotype" w:eastAsia="Palatino Linotype" w:hAnsi="Palatino Linotype" w:cs="Palatino Linotype"/>
          <w:b/>
          <w:color w:val="000000"/>
          <w:sz w:val="22"/>
          <w:szCs w:val="22"/>
        </w:rPr>
        <w:lastRenderedPageBreak/>
        <w:t>los actos que se hayan consentido tácitamente,</w:t>
      </w:r>
      <w:r>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09374BE3"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2966E901"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Pr>
          <w:rFonts w:ascii="Palatino Linotype" w:eastAsia="Palatino Linotype" w:hAnsi="Palatino Linotype" w:cs="Palatino Linotype"/>
          <w:b/>
          <w:color w:val="000000"/>
          <w:sz w:val="22"/>
          <w:szCs w:val="22"/>
        </w:rPr>
        <w:t>ACTOS CONSENTIDOS TÁCITAMENTE</w:t>
      </w:r>
      <w:r>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C05A546"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2FA26D6F"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054D10AC"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788545B0"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si las versiones públicas de la información se encuentran debidamente clasificadas. </w:t>
      </w:r>
    </w:p>
    <w:p w14:paraId="2BCF5B6A"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4CF2A954"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lastRenderedPageBreak/>
        <w:t xml:space="preserve">Lo anterior, se desprende de las documentales que obran en el expediente de referencia, materia de la presente resolución, consistente en: la solicitud de acceso a la información, la respuesta proporcionada,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 Así, las cosas, una vez admitido y notificado el Recurso de Revisión a las partes, estas fueron omisas en realizar manifestaciones o alegatos.</w:t>
      </w:r>
      <w:r>
        <w:rPr>
          <w:rFonts w:ascii="Palatino Linotype" w:eastAsia="Palatino Linotype" w:hAnsi="Palatino Linotype" w:cs="Palatino Linotype"/>
          <w:b/>
          <w:sz w:val="22"/>
          <w:szCs w:val="22"/>
        </w:rPr>
        <w:t xml:space="preserve"> </w:t>
      </w:r>
    </w:p>
    <w:p w14:paraId="1456E1B9" w14:textId="77777777" w:rsidR="00262817" w:rsidRDefault="00262817">
      <w:pPr>
        <w:spacing w:line="360" w:lineRule="auto"/>
        <w:jc w:val="both"/>
        <w:rPr>
          <w:rFonts w:ascii="Palatino Linotype" w:eastAsia="Palatino Linotype" w:hAnsi="Palatino Linotype" w:cs="Palatino Linotype"/>
          <w:b/>
          <w:sz w:val="22"/>
          <w:szCs w:val="22"/>
        </w:rPr>
      </w:pPr>
    </w:p>
    <w:p w14:paraId="641E2064" w14:textId="77777777" w:rsidR="00262817" w:rsidRPr="00B70167" w:rsidRDefault="00EB2E3F" w:rsidP="00B70167">
      <w:pPr>
        <w:pStyle w:val="Ttulo1"/>
        <w:jc w:val="both"/>
        <w:rPr>
          <w:rFonts w:ascii="Palatino Linotype" w:eastAsia="Palatino Linotype" w:hAnsi="Palatino Linotype"/>
          <w:b/>
          <w:color w:val="auto"/>
          <w:sz w:val="22"/>
          <w:szCs w:val="22"/>
        </w:rPr>
      </w:pPr>
      <w:bookmarkStart w:id="12" w:name="_Toc192783474"/>
      <w:r w:rsidRPr="00B70167">
        <w:rPr>
          <w:rFonts w:ascii="Palatino Linotype" w:eastAsia="Palatino Linotype" w:hAnsi="Palatino Linotype"/>
          <w:b/>
          <w:color w:val="auto"/>
          <w:sz w:val="22"/>
          <w:szCs w:val="22"/>
        </w:rPr>
        <w:t>CUARTO. Marco normativo aplicable en materia de transparencia y acceso a la información pública</w:t>
      </w:r>
      <w:bookmarkEnd w:id="12"/>
    </w:p>
    <w:p w14:paraId="72CD8048" w14:textId="77777777" w:rsidR="00262817" w:rsidRDefault="00262817">
      <w:pPr>
        <w:spacing w:line="360" w:lineRule="auto"/>
        <w:jc w:val="both"/>
        <w:rPr>
          <w:rFonts w:ascii="Palatino Linotype" w:eastAsia="Palatino Linotype" w:hAnsi="Palatino Linotype" w:cs="Palatino Linotype"/>
          <w:b/>
          <w:sz w:val="22"/>
          <w:szCs w:val="22"/>
        </w:rPr>
      </w:pPr>
    </w:p>
    <w:p w14:paraId="50BF2FD5"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Mexicanos, establece que toda la información en posesión de cualquier </w:t>
      </w:r>
      <w:proofErr w:type="gramStart"/>
      <w:r>
        <w:rPr>
          <w:rFonts w:ascii="Palatino Linotype" w:eastAsia="Palatino Linotype" w:hAnsi="Palatino Linotype" w:cs="Palatino Linotype"/>
          <w:sz w:val="22"/>
          <w:szCs w:val="22"/>
        </w:rPr>
        <w:t>autoridad,</w:t>
      </w:r>
      <w:proofErr w:type="gramEnd"/>
      <w:r>
        <w:rPr>
          <w:rFonts w:ascii="Palatino Linotype" w:eastAsia="Palatino Linotype" w:hAnsi="Palatino Linotype" w:cs="Palatino Linotype"/>
          <w:sz w:val="22"/>
          <w:szCs w:val="22"/>
        </w:rPr>
        <w:t xml:space="preserve"> es pública y sólo podrá ser reservada temporalmente por razones de interés público.</w:t>
      </w:r>
    </w:p>
    <w:p w14:paraId="519AEAF3" w14:textId="77777777" w:rsidR="00262817" w:rsidRDefault="00262817">
      <w:pPr>
        <w:spacing w:line="360" w:lineRule="auto"/>
        <w:jc w:val="both"/>
        <w:rPr>
          <w:rFonts w:ascii="Palatino Linotype" w:eastAsia="Palatino Linotype" w:hAnsi="Palatino Linotype" w:cs="Palatino Linotype"/>
          <w:sz w:val="22"/>
          <w:szCs w:val="22"/>
        </w:rPr>
      </w:pPr>
    </w:p>
    <w:p w14:paraId="3F344DAF"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4951182" w14:textId="77777777" w:rsidR="00262817" w:rsidRDefault="00262817">
      <w:pPr>
        <w:spacing w:line="360" w:lineRule="auto"/>
        <w:jc w:val="both"/>
        <w:rPr>
          <w:rFonts w:ascii="Palatino Linotype" w:eastAsia="Palatino Linotype" w:hAnsi="Palatino Linotype" w:cs="Palatino Linotype"/>
          <w:sz w:val="22"/>
          <w:szCs w:val="22"/>
        </w:rPr>
      </w:pPr>
    </w:p>
    <w:p w14:paraId="75CD8762"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68CFAEAA" w14:textId="77777777" w:rsidR="00262817" w:rsidRDefault="00262817">
      <w:pPr>
        <w:spacing w:line="360" w:lineRule="auto"/>
        <w:jc w:val="both"/>
        <w:rPr>
          <w:rFonts w:ascii="Palatino Linotype" w:eastAsia="Palatino Linotype" w:hAnsi="Palatino Linotype" w:cs="Palatino Linotype"/>
          <w:sz w:val="22"/>
          <w:szCs w:val="22"/>
        </w:rPr>
      </w:pPr>
    </w:p>
    <w:p w14:paraId="026C978A"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la Ley de Transparencia y Acceso a la Información Pública del Estado de México y Municipios (Reglamentaria del artículo 5° de la Constitución Local), establece lo siguiente:</w:t>
      </w:r>
    </w:p>
    <w:p w14:paraId="1AFE2C34" w14:textId="77777777" w:rsidR="00262817" w:rsidRDefault="00262817">
      <w:pPr>
        <w:spacing w:line="360" w:lineRule="auto"/>
        <w:jc w:val="both"/>
        <w:rPr>
          <w:rFonts w:ascii="Palatino Linotype" w:eastAsia="Palatino Linotype" w:hAnsi="Palatino Linotype" w:cs="Palatino Linotype"/>
          <w:sz w:val="22"/>
          <w:szCs w:val="22"/>
        </w:rPr>
      </w:pPr>
    </w:p>
    <w:p w14:paraId="23F27AAC"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2858D04F" w14:textId="77777777" w:rsidR="00262817" w:rsidRDefault="00262817">
      <w:pPr>
        <w:spacing w:line="360" w:lineRule="auto"/>
        <w:jc w:val="both"/>
        <w:rPr>
          <w:rFonts w:ascii="Palatino Linotype" w:eastAsia="Palatino Linotype" w:hAnsi="Palatino Linotype" w:cs="Palatino Linotype"/>
          <w:sz w:val="22"/>
          <w:szCs w:val="22"/>
        </w:rPr>
      </w:pPr>
    </w:p>
    <w:p w14:paraId="723C2689"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89F4CAF" w14:textId="77777777" w:rsidR="00262817" w:rsidRDefault="00262817">
      <w:pPr>
        <w:spacing w:line="360" w:lineRule="auto"/>
        <w:jc w:val="both"/>
        <w:rPr>
          <w:rFonts w:ascii="Palatino Linotype" w:eastAsia="Palatino Linotype" w:hAnsi="Palatino Linotype" w:cs="Palatino Linotype"/>
          <w:sz w:val="22"/>
          <w:szCs w:val="22"/>
        </w:rPr>
      </w:pPr>
    </w:p>
    <w:p w14:paraId="624D933D"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51677CE" w14:textId="77777777" w:rsidR="00262817" w:rsidRDefault="00262817">
      <w:pPr>
        <w:spacing w:line="360" w:lineRule="auto"/>
        <w:jc w:val="both"/>
        <w:rPr>
          <w:rFonts w:ascii="Palatino Linotype" w:eastAsia="Palatino Linotype" w:hAnsi="Palatino Linotype" w:cs="Palatino Linotype"/>
          <w:b/>
          <w:sz w:val="22"/>
          <w:szCs w:val="22"/>
        </w:rPr>
      </w:pPr>
    </w:p>
    <w:p w14:paraId="59FF0236" w14:textId="77777777" w:rsidR="00262817" w:rsidRPr="00B70167" w:rsidRDefault="00EB2E3F" w:rsidP="00B70167">
      <w:pPr>
        <w:pStyle w:val="Ttulo1"/>
        <w:rPr>
          <w:rFonts w:ascii="Palatino Linotype" w:eastAsia="Palatino Linotype" w:hAnsi="Palatino Linotype"/>
          <w:b/>
          <w:color w:val="auto"/>
          <w:sz w:val="22"/>
          <w:szCs w:val="22"/>
        </w:rPr>
      </w:pPr>
      <w:bookmarkStart w:id="13" w:name="_Toc192783475"/>
      <w:r w:rsidRPr="00B70167">
        <w:rPr>
          <w:rFonts w:ascii="Palatino Linotype" w:eastAsia="Palatino Linotype" w:hAnsi="Palatino Linotype"/>
          <w:b/>
          <w:color w:val="auto"/>
          <w:sz w:val="22"/>
          <w:szCs w:val="22"/>
        </w:rPr>
        <w:t>QUINTO. Estudio de Fondo</w:t>
      </w:r>
      <w:bookmarkEnd w:id="13"/>
    </w:p>
    <w:p w14:paraId="2704AC6F" w14:textId="77777777" w:rsidR="00262817" w:rsidRDefault="00262817">
      <w:pPr>
        <w:spacing w:line="360" w:lineRule="auto"/>
        <w:jc w:val="both"/>
        <w:rPr>
          <w:rFonts w:ascii="Palatino Linotype" w:eastAsia="Palatino Linotype" w:hAnsi="Palatino Linotype" w:cs="Palatino Linotype"/>
          <w:sz w:val="22"/>
          <w:szCs w:val="22"/>
        </w:rPr>
      </w:pPr>
    </w:p>
    <w:p w14:paraId="7957D77E" w14:textId="77777777" w:rsidR="00262817" w:rsidRDefault="00EB2E3F">
      <w:pPr>
        <w:widowControl w:val="0"/>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Expuestas las posturas de las partes, se procede a realizar el análisis del agravio hecho valer por el ahora Recurrente, concerniente a la clasificación de la información; por lo que, de la revisión de </w:t>
      </w:r>
      <w:r>
        <w:rPr>
          <w:rFonts w:ascii="Palatino Linotype" w:eastAsia="Palatino Linotype" w:hAnsi="Palatino Linotype" w:cs="Palatino Linotype"/>
          <w:color w:val="0D0D0D"/>
          <w:sz w:val="22"/>
          <w:szCs w:val="22"/>
        </w:rPr>
        <w:t>los documentos proporcionados, clasificó los siguientes datos:</w:t>
      </w:r>
    </w:p>
    <w:p w14:paraId="39F2ED51" w14:textId="77777777" w:rsidR="00262817" w:rsidRDefault="00EB2E3F">
      <w:pPr>
        <w:numPr>
          <w:ilvl w:val="0"/>
          <w:numId w:val="3"/>
        </w:numPr>
        <w:pBdr>
          <w:top w:val="nil"/>
          <w:left w:val="nil"/>
          <w:bottom w:val="nil"/>
          <w:right w:val="nil"/>
          <w:between w:val="nil"/>
        </w:pBdr>
        <w:spacing w:before="280"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Acta Constitutiva e instrumentos notariales;</w:t>
      </w:r>
    </w:p>
    <w:p w14:paraId="37870FAC" w14:textId="77777777" w:rsidR="00262817" w:rsidRDefault="00EB2E3F">
      <w:pPr>
        <w:numPr>
          <w:ilvl w:val="0"/>
          <w:numId w:val="3"/>
        </w:numPr>
        <w:pBdr>
          <w:top w:val="nil"/>
          <w:left w:val="nil"/>
          <w:bottom w:val="nil"/>
          <w:right w:val="nil"/>
          <w:between w:val="nil"/>
        </w:pBdr>
        <w:spacing w:line="360" w:lineRule="auto"/>
        <w:ind w:left="714" w:hanging="35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Registro Federal de Contribuyentes de proveedor o contratista;</w:t>
      </w:r>
    </w:p>
    <w:p w14:paraId="53710BC1" w14:textId="77777777" w:rsidR="00262817" w:rsidRDefault="00EB2E3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Clave Única de Registro de Población (CURP) de proveedores;</w:t>
      </w:r>
    </w:p>
    <w:p w14:paraId="32DCD5E3"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de personas físicas proveedores;</w:t>
      </w:r>
    </w:p>
    <w:p w14:paraId="5D063915"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Denominación o razón Social de proveedores;</w:t>
      </w:r>
    </w:p>
    <w:p w14:paraId="52C8CFBE"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Número de teléfono y correo electrónico de proveedor;</w:t>
      </w:r>
    </w:p>
    <w:p w14:paraId="7CD68230"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Domicilio Fiscal o legal para recibir y oír notificaciones (proveedor persona física o moral).</w:t>
      </w:r>
    </w:p>
    <w:p w14:paraId="4C4D674B"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Firma del proveedor o representante legal;</w:t>
      </w:r>
    </w:p>
    <w:p w14:paraId="50808BD3" w14:textId="77777777" w:rsidR="00262817" w:rsidRDefault="00EB2E3F">
      <w:pPr>
        <w:numPr>
          <w:ilvl w:val="0"/>
          <w:numId w:val="3"/>
        </w:numPr>
        <w:spacing w:line="360" w:lineRule="auto"/>
        <w:ind w:left="714" w:hanging="3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Cuenta bancaria y clave interbancaria del proveedor.</w:t>
      </w:r>
    </w:p>
    <w:p w14:paraId="6E8106D9" w14:textId="77777777" w:rsidR="00262817" w:rsidRDefault="00262817">
      <w:pPr>
        <w:spacing w:line="360" w:lineRule="auto"/>
        <w:jc w:val="both"/>
        <w:rPr>
          <w:rFonts w:ascii="Palatino Linotype" w:eastAsia="Palatino Linotype" w:hAnsi="Palatino Linotype" w:cs="Palatino Linotype"/>
          <w:color w:val="0D0D0D"/>
        </w:rPr>
      </w:pPr>
    </w:p>
    <w:p w14:paraId="66F0B3E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B33B07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9059A80"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 o bien, la que presenten los particulares con dicho carácter.</w:t>
      </w:r>
    </w:p>
    <w:p w14:paraId="7704EF1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35580A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w:t>
      </w:r>
      <w:r>
        <w:rPr>
          <w:rFonts w:ascii="Palatino Linotype" w:eastAsia="Palatino Linotype" w:hAnsi="Palatino Linotype" w:cs="Palatino Linotype"/>
          <w:color w:val="0D0D0D"/>
          <w:sz w:val="22"/>
          <w:szCs w:val="22"/>
        </w:rPr>
        <w:lastRenderedPageBreak/>
        <w:t>las personas, será protegida a través de un marco jurídico rígido, de tratamiento y manejo de datos personales.</w:t>
      </w:r>
    </w:p>
    <w:p w14:paraId="52364A9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7D818E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83F7F6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7066796"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concordancia con lo previo, el artículo 143, fracciones I y III, de la Ley previamente citada, establece que la información privada y los datos personales, concernientes a una persona física o jurídica colectiva identificada o identificables, son confidenciales; así como, aquella presentada por los particulares con dicho carácter.</w:t>
      </w:r>
    </w:p>
    <w:p w14:paraId="1BC0939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5EA3D1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Pr>
          <w:rFonts w:ascii="Palatino Linotype" w:eastAsia="Palatino Linotype" w:hAnsi="Palatino Linotype" w:cs="Palatino Linotype"/>
          <w:color w:val="0D0D0D"/>
          <w:sz w:val="22"/>
          <w:szCs w:val="22"/>
        </w:rPr>
        <w:t>ii</w:t>
      </w:r>
      <w:proofErr w:type="spellEnd"/>
      <w:r>
        <w:rPr>
          <w:rFonts w:ascii="Palatino Linotype" w:eastAsia="Palatino Linotype" w:hAnsi="Palatino Linotype" w:cs="Palatino Linotype"/>
          <w:color w:val="0D0D0D"/>
          <w:sz w:val="22"/>
          <w:szCs w:val="22"/>
        </w:rPr>
        <w:t xml:space="preserve">) por ley tenga el carácter de pública, </w:t>
      </w:r>
      <w:proofErr w:type="spellStart"/>
      <w:r>
        <w:rPr>
          <w:rFonts w:ascii="Palatino Linotype" w:eastAsia="Palatino Linotype" w:hAnsi="Palatino Linotype" w:cs="Palatino Linotype"/>
          <w:color w:val="0D0D0D"/>
          <w:sz w:val="22"/>
          <w:szCs w:val="22"/>
        </w:rPr>
        <w:t>iii</w:t>
      </w:r>
      <w:proofErr w:type="spellEnd"/>
      <w:r>
        <w:rPr>
          <w:rFonts w:ascii="Palatino Linotype" w:eastAsia="Palatino Linotype" w:hAnsi="Palatino Linotype" w:cs="Palatino Linotype"/>
          <w:color w:val="0D0D0D"/>
          <w:sz w:val="22"/>
          <w:szCs w:val="22"/>
        </w:rPr>
        <w:t xml:space="preserve">) exista una orden judicial, </w:t>
      </w:r>
      <w:proofErr w:type="spellStart"/>
      <w:r>
        <w:rPr>
          <w:rFonts w:ascii="Palatino Linotype" w:eastAsia="Palatino Linotype" w:hAnsi="Palatino Linotype" w:cs="Palatino Linotype"/>
          <w:color w:val="0D0D0D"/>
          <w:sz w:val="22"/>
          <w:szCs w:val="22"/>
        </w:rPr>
        <w:t>iv</w:t>
      </w:r>
      <w:proofErr w:type="spellEnd"/>
      <w:r>
        <w:rPr>
          <w:rFonts w:ascii="Palatino Linotype" w:eastAsia="Palatino Linotype" w:hAnsi="Palatino Linotype" w:cs="Palatino Linotype"/>
          <w:color w:val="0D0D0D"/>
          <w:sz w:val="22"/>
          <w:szCs w:val="22"/>
        </w:rPr>
        <w:t>) por razones de seguridad nacional y salubridad general o v) para proteger los derechos de terceros o cuando se transmita entre sujetos obligados en términos de los tratados y los acuerdos interinstitucionales.</w:t>
      </w:r>
    </w:p>
    <w:p w14:paraId="4635F77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F6369D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términos de lo expuesto, la documentación y aquellos datos que se consideren confidenciales, serán una limitante del derecho de acceso a la información, siempre y cuando:</w:t>
      </w:r>
    </w:p>
    <w:p w14:paraId="43E0669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2CCE156" w14:textId="77777777" w:rsidR="00262817" w:rsidRDefault="00EB2E3F">
      <w:pPr>
        <w:numPr>
          <w:ilvl w:val="0"/>
          <w:numId w:val="4"/>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Se trate de datos personales o información privada; esto es, información concerniente a una persona física o jurídico colectiva y que esta sea identificada o identificable. </w:t>
      </w:r>
    </w:p>
    <w:p w14:paraId="58ED6D5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Para la difusión de los datos, se requiera el consentimiento del titular. </w:t>
      </w:r>
    </w:p>
    <w:p w14:paraId="27889F4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F5396F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04D2C38B"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4A4681D" w14:textId="77777777" w:rsidR="00262817" w:rsidRDefault="00EB2E3F">
      <w:pPr>
        <w:numPr>
          <w:ilvl w:val="0"/>
          <w:numId w:val="5"/>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Datos del Acta Constitutiva e instrumentos notariales</w:t>
      </w:r>
    </w:p>
    <w:p w14:paraId="523AF85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B566A0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Sobre este documento, se debe señalar que debe ser analizado en su integridad, al ser este un acto que emana de la libertad de las personas para asociarse, derecho humano, que es reconocido en el artículo 9° de la Constitución Política de los Estados Unidos Mexicanos. En esa tesitura, debe entenderse que las personas físicas pueden asociarse para crear personas morales, y con este acto dotarlas de personalidad jurídica. </w:t>
      </w:r>
    </w:p>
    <w:p w14:paraId="7D2ED73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902AA0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Es necesario precisar que la Doctrina Jurídica, ha reconocido que las personas morales </w:t>
      </w:r>
      <w:r>
        <w:rPr>
          <w:rFonts w:ascii="Palatino Linotype" w:eastAsia="Palatino Linotype" w:hAnsi="Palatino Linotype" w:cs="Palatino Linotype"/>
          <w:i/>
          <w:color w:val="0D0D0D"/>
          <w:sz w:val="22"/>
          <w:szCs w:val="22"/>
        </w:rPr>
        <w:t xml:space="preserve">son realidades orgánicas que nacen de un acto social constitutivo, en el que la voluntad de las partes se proyecta unilateralmente y crea un complejo de derechos y deberes de las partes entre </w:t>
      </w:r>
      <w:proofErr w:type="spellStart"/>
      <w:r>
        <w:rPr>
          <w:rFonts w:ascii="Palatino Linotype" w:eastAsia="Palatino Linotype" w:hAnsi="Palatino Linotype" w:cs="Palatino Linotype"/>
          <w:i/>
          <w:color w:val="0D0D0D"/>
          <w:sz w:val="22"/>
          <w:szCs w:val="22"/>
        </w:rPr>
        <w:t>si</w:t>
      </w:r>
      <w:proofErr w:type="spellEnd"/>
      <w:r>
        <w:rPr>
          <w:rFonts w:ascii="Palatino Linotype" w:eastAsia="Palatino Linotype" w:hAnsi="Palatino Linotype" w:cs="Palatino Linotype"/>
          <w:i/>
          <w:color w:val="0D0D0D"/>
          <w:sz w:val="22"/>
          <w:szCs w:val="22"/>
        </w:rPr>
        <w:t xml:space="preserve"> y de estas con la corporación y, sobre todo, crea la norma jurídica objetiva, es decir, los estatutos que constituyen la </w:t>
      </w:r>
      <w:r>
        <w:rPr>
          <w:rFonts w:ascii="Palatino Linotype" w:eastAsia="Palatino Linotype" w:hAnsi="Palatino Linotype" w:cs="Palatino Linotype"/>
          <w:i/>
          <w:color w:val="0D0D0D"/>
          <w:sz w:val="22"/>
          <w:szCs w:val="22"/>
        </w:rPr>
        <w:lastRenderedPageBreak/>
        <w:t>ley de la sociedad</w:t>
      </w:r>
      <w:r>
        <w:rPr>
          <w:rFonts w:ascii="Palatino Linotype" w:eastAsia="Palatino Linotype" w:hAnsi="Palatino Linotype" w:cs="Palatino Linotype"/>
          <w:color w:val="0D0D0D"/>
          <w:sz w:val="22"/>
          <w:szCs w:val="22"/>
        </w:rPr>
        <w:t xml:space="preserve">., (Manuel García Rendón. (2016). Sociedades Mercantiles. Ciudad de México. Oxford. Pág. 18). De lo anterior, se puede inferir que las sociedades no nacen de un contrato ordinario, si no, de un contrato de organización. </w:t>
      </w:r>
    </w:p>
    <w:p w14:paraId="4640A02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84E114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No debe perderse de vista, que el contrato social de una sociedad mercantil está sujeto a diversas formalidades de entre las cuales destaca la prevista en el artículo 5°, primer párrafo de la Ley General de Sociedad Mercantiles, al señalar: </w:t>
      </w:r>
    </w:p>
    <w:p w14:paraId="25F9A15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4AF6A8F" w14:textId="77777777" w:rsidR="00262817" w:rsidRDefault="00EB2E3F">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“Artículo 5o</w:t>
      </w:r>
      <w:r>
        <w:rPr>
          <w:rFonts w:ascii="Palatino Linotype" w:eastAsia="Palatino Linotype" w:hAnsi="Palatino Linotype" w:cs="Palatino Linotype"/>
          <w:i/>
          <w:color w:val="0D0D0D"/>
        </w:rPr>
        <w:t>. Las sociedades se constituirán ante fedatario público y en la misma forma se harán constar con sus modificaciones. El fedatario público no autorizará la escritura o póliza cuando los estatutos o sus modificaciones contravengan lo dispuesto por esta Ley.”</w:t>
      </w:r>
    </w:p>
    <w:p w14:paraId="0897D5A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3EB47B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Asimismo, debe entenderse que la constitución de una sociedad mercantil emana de un acuerdo de voluntades de sus socios, del cual deriva un contrato social y que, a su vez, la Ley le establece formalidades. </w:t>
      </w:r>
    </w:p>
    <w:p w14:paraId="342A591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57A7E679" w14:textId="77777777" w:rsidR="00262817" w:rsidRDefault="00EB2E3F">
      <w:pPr>
        <w:spacing w:line="360" w:lineRule="auto"/>
        <w:jc w:val="both"/>
        <w:rPr>
          <w:rFonts w:ascii="Palatino Linotype" w:eastAsia="Palatino Linotype" w:hAnsi="Palatino Linotype" w:cs="Palatino Linotype"/>
          <w:i/>
          <w:color w:val="0D0D0D"/>
          <w:sz w:val="22"/>
          <w:szCs w:val="22"/>
        </w:rPr>
      </w:pPr>
      <w:r>
        <w:rPr>
          <w:rFonts w:ascii="Palatino Linotype" w:eastAsia="Palatino Linotype" w:hAnsi="Palatino Linotype" w:cs="Palatino Linotype"/>
          <w:color w:val="0D0D0D"/>
          <w:sz w:val="22"/>
          <w:szCs w:val="22"/>
        </w:rPr>
        <w:t>Al respecto, dicho contrato social, también conocido como acta constitutiva, conforme al artículo 6° de la Ley General de Sociedades Mercantiles, se conforma de los siguientes datos:</w:t>
      </w:r>
      <w:r>
        <w:rPr>
          <w:rFonts w:ascii="Palatino Linotype" w:eastAsia="Palatino Linotype" w:hAnsi="Palatino Linotype" w:cs="Palatino Linotype"/>
          <w:i/>
          <w:color w:val="0D0D0D"/>
          <w:sz w:val="22"/>
          <w:szCs w:val="22"/>
        </w:rPr>
        <w:t xml:space="preserve">  </w:t>
      </w:r>
    </w:p>
    <w:p w14:paraId="5F418F1D" w14:textId="77777777" w:rsidR="00262817" w:rsidRDefault="00EB2E3F">
      <w:pPr>
        <w:spacing w:line="360" w:lineRule="auto"/>
        <w:jc w:val="both"/>
        <w:rPr>
          <w:rFonts w:ascii="Palatino Linotype" w:eastAsia="Palatino Linotype" w:hAnsi="Palatino Linotype" w:cs="Palatino Linotype"/>
          <w:i/>
          <w:color w:val="0D0D0D"/>
          <w:sz w:val="22"/>
          <w:szCs w:val="22"/>
        </w:rPr>
      </w:pPr>
      <w:r>
        <w:rPr>
          <w:rFonts w:ascii="Palatino Linotype" w:eastAsia="Palatino Linotype" w:hAnsi="Palatino Linotype" w:cs="Palatino Linotype"/>
          <w:i/>
          <w:color w:val="0D0D0D"/>
          <w:sz w:val="22"/>
          <w:szCs w:val="22"/>
        </w:rPr>
        <w:t xml:space="preserve"> </w:t>
      </w:r>
    </w:p>
    <w:p w14:paraId="711C3F99"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Los nombres, nacionalidad y domicilio de las personas físicas o morales que constituyan la sociedad;</w:t>
      </w:r>
    </w:p>
    <w:p w14:paraId="63C0B848"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objeto de la sociedad;</w:t>
      </w:r>
    </w:p>
    <w:p w14:paraId="736A8AFA"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Su razón social o denominación;</w:t>
      </w:r>
    </w:p>
    <w:p w14:paraId="59629D71"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Su duración, misma que podrá ser indefinida;</w:t>
      </w:r>
    </w:p>
    <w:p w14:paraId="373EE55F"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importe del capital social;</w:t>
      </w:r>
    </w:p>
    <w:p w14:paraId="02F247E1"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La expresión de lo que cada socio aporte en dinero o en otros bienes; el valor atribuido a éstos y el criterio seguido para su valorización. </w:t>
      </w:r>
    </w:p>
    <w:p w14:paraId="23BC3877"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Cuando el capital sea variable, así se expresará indicándose el mínimo que se fije;</w:t>
      </w:r>
    </w:p>
    <w:p w14:paraId="06CEE9C7"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domicilio de la sociedad;</w:t>
      </w:r>
    </w:p>
    <w:p w14:paraId="4AEB38C8"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manera conforme a la cual haya de administrarse la sociedad y las facultades de los administradores;</w:t>
      </w:r>
    </w:p>
    <w:p w14:paraId="3CEE210E"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nombramiento de los administradores y la designación de los que han de llevar la firma social;</w:t>
      </w:r>
    </w:p>
    <w:p w14:paraId="1676EC1B"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manera de hacer la distribución de las utilidades y pérdidas entre los miembros de la sociedad:</w:t>
      </w:r>
    </w:p>
    <w:p w14:paraId="6B4C8F5D"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importe del fondo de reserva;</w:t>
      </w:r>
    </w:p>
    <w:p w14:paraId="7324CE87"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Los casos en que la sociedad haya de disolverse anticipadamente, y</w:t>
      </w:r>
    </w:p>
    <w:p w14:paraId="66141909" w14:textId="77777777" w:rsidR="00262817" w:rsidRDefault="00EB2E3F">
      <w:pPr>
        <w:numPr>
          <w:ilvl w:val="0"/>
          <w:numId w:val="6"/>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Las bases para practicar la liquidación de la sociedad y el modo de proceder a la elección de los liquidadores, cuando no hayan sido designados anticipadamente.</w:t>
      </w:r>
    </w:p>
    <w:p w14:paraId="2C11622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1F07ED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ese contexto, es necesario precisar que </w:t>
      </w:r>
      <w:r>
        <w:rPr>
          <w:rFonts w:ascii="Palatino Linotype" w:eastAsia="Palatino Linotype" w:hAnsi="Palatino Linotype" w:cs="Palatino Linotype"/>
          <w:b/>
          <w:color w:val="0D0D0D"/>
          <w:sz w:val="22"/>
          <w:szCs w:val="22"/>
        </w:rPr>
        <w:t>la publicidad de información relativa a la constitución legal de una empresa proveedora del Estado, debe considerarse de interés público</w:t>
      </w:r>
      <w:r>
        <w:rPr>
          <w:rFonts w:ascii="Palatino Linotype" w:eastAsia="Palatino Linotype" w:hAnsi="Palatino Linotype" w:cs="Palatino Linotype"/>
          <w:color w:val="0D0D0D"/>
          <w:sz w:val="22"/>
          <w:szCs w:val="22"/>
        </w:rPr>
        <w:t>, lo anterior es así, pues debe privilegiarse el principio de máxima publicidad y rendición de cuentas; pues su publicidad radica en que permite a la ciudadanía conocer de manera clara y precisa, que una empresa que está obteniendo recursos públicos, se encuentra debidamente registrada y constituida; por lo que, se considera correcto que se haya entregado en versión pública, sin embargo, es necesario analizar si los datos testados actualizan la clasificación o no.</w:t>
      </w:r>
    </w:p>
    <w:p w14:paraId="723EC8C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DAA8AB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Sobre el tema, el artículo 116, último párrafo de la Ley General de Transparencia y Acceso a la Información Pública y el 143, fracción III, de la Ley de Transparencia y Acceso a la Información Pública del Estado de México y Municipios, establecen que será información confidencial, aquella que presenten los particulares con dicho carácter.</w:t>
      </w:r>
    </w:p>
    <w:p w14:paraId="429835F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Además, el Cuadragésimo de los Lineamientos Generales en Materia de Clasificación y Desclasificación de la Información, así́ como, para la Elaboración de Versiones Públicas, establece que la información susceptible a ser clasificada por dicha </w:t>
      </w:r>
      <w:proofErr w:type="gramStart"/>
      <w:r>
        <w:rPr>
          <w:rFonts w:ascii="Palatino Linotype" w:eastAsia="Palatino Linotype" w:hAnsi="Palatino Linotype" w:cs="Palatino Linotype"/>
          <w:color w:val="0D0D0D"/>
          <w:sz w:val="22"/>
          <w:szCs w:val="22"/>
        </w:rPr>
        <w:t>causal,</w:t>
      </w:r>
      <w:proofErr w:type="gramEnd"/>
      <w:r>
        <w:rPr>
          <w:rFonts w:ascii="Palatino Linotype" w:eastAsia="Palatino Linotype" w:hAnsi="Palatino Linotype" w:cs="Palatino Linotype"/>
          <w:color w:val="0D0D0D"/>
          <w:sz w:val="22"/>
          <w:szCs w:val="22"/>
        </w:rPr>
        <w:t xml:space="preserve"> es la siguiente:</w:t>
      </w:r>
    </w:p>
    <w:p w14:paraId="645B3A7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ADDE89B" w14:textId="77777777" w:rsidR="00262817" w:rsidRDefault="00EB2E3F">
      <w:pPr>
        <w:numPr>
          <w:ilvl w:val="0"/>
          <w:numId w:val="7"/>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que se refiera al patrimonio de una persona moral, y</w:t>
      </w:r>
    </w:p>
    <w:p w14:paraId="4E3136D5" w14:textId="77777777" w:rsidR="00262817" w:rsidRDefault="00EB2E3F">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que comprenda hechos y actos de carácter económico, contable, jurídico o administrativo relativos a una persona, que pudiera ser útil para un competidor; así como, aquella relativa a detalles sobre el manejo de una empresa, sobre su proceso de toma de decisiones o información que pudiera afectar sus negociaciones.</w:t>
      </w:r>
    </w:p>
    <w:p w14:paraId="51116FE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4FDF72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Conforme a dicha circunstancia, se logra observar que los únicos datos que son clasificables por dicha </w:t>
      </w:r>
      <w:proofErr w:type="gramStart"/>
      <w:r>
        <w:rPr>
          <w:rFonts w:ascii="Palatino Linotype" w:eastAsia="Palatino Linotype" w:hAnsi="Palatino Linotype" w:cs="Palatino Linotype"/>
          <w:color w:val="0D0D0D"/>
          <w:sz w:val="22"/>
          <w:szCs w:val="22"/>
        </w:rPr>
        <w:t>causal,</w:t>
      </w:r>
      <w:proofErr w:type="gramEnd"/>
      <w:r>
        <w:rPr>
          <w:rFonts w:ascii="Palatino Linotype" w:eastAsia="Palatino Linotype" w:hAnsi="Palatino Linotype" w:cs="Palatino Linotype"/>
          <w:color w:val="0D0D0D"/>
          <w:sz w:val="22"/>
          <w:szCs w:val="22"/>
        </w:rPr>
        <w:t xml:space="preserve"> son aquellos que den pauta del patrimonio de la persona moral y de los socios, pues corresponden al conjunto de bienes, derechos y obligaciones correspondientes a una persona moral y física, que constituyen una universalidad jurídica; por lo que, revelar dicha información se estaría vulnerando su privacidad, al ser el conjunto de bienes y activos con los que cuenta.</w:t>
      </w:r>
    </w:p>
    <w:p w14:paraId="3DFFB35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590DDF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Así mismo, resultaría procedente la clasificación de los datos de carácter económico, contable, jurídico o administrativo que de ventaja a un tercero; así como, aquellos que den detalles sobre el manejo de una empresa, el proceso de toma de decisiones o información que afecten sus negociaciones.</w:t>
      </w:r>
    </w:p>
    <w:p w14:paraId="71A004C6"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 </w:t>
      </w:r>
    </w:p>
    <w:p w14:paraId="22E41B0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No obstante, por lo que, hace al nombre de los socios y sus datos de contacto, ubicación e identificación, no son susceptibles a ser clasificados en términos del artículo 143, fracción III, de la Ley de Transparencia y Acceso a la Información Pública del Estado de México, pues son datos personales que los hacen identificables, por lo que, no entran en la categoría de la causal referida.</w:t>
      </w:r>
    </w:p>
    <w:p w14:paraId="23EE12E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F57A0D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Sin embargo, este instituto considera que los datos de contacto y ubicación, así como, la Clave Única de Registro de Población y el Registro Federal de Contribuyentes de los socios, actualizan la causal de clasificación establecida en el artículo 143, fracción I, de la Ley de la materia, por lo que, es necesario analizar algunos de los datos que pudieran obran en dicha acta constitutiva.</w:t>
      </w:r>
    </w:p>
    <w:p w14:paraId="5FC3885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B5353A4" w14:textId="77777777" w:rsidR="00262817" w:rsidRDefault="00EB2E3F">
      <w:pPr>
        <w:numPr>
          <w:ilvl w:val="0"/>
          <w:numId w:val="8"/>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Clave Única de Registro de Población (CURP) de proveedores personas físicas</w:t>
      </w:r>
    </w:p>
    <w:p w14:paraId="76BC9E1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D096DD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El artículo 36 de la Constitución Política de los Estados Unidos Mexicanos, dispone la obligación de los ciudadanos de inscribirse en el Registro Nacional de Ciudadanos. </w:t>
      </w:r>
    </w:p>
    <w:p w14:paraId="2DC86FD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D7803B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El artículo 85 de la Ley General de Población, prevé que corresponde a </w:t>
      </w:r>
      <w:proofErr w:type="gramStart"/>
      <w:r>
        <w:rPr>
          <w:rFonts w:ascii="Palatino Linotype" w:eastAsia="Palatino Linotype" w:hAnsi="Palatino Linotype" w:cs="Palatino Linotype"/>
          <w:color w:val="0D0D0D"/>
          <w:sz w:val="22"/>
          <w:szCs w:val="22"/>
        </w:rPr>
        <w:t>la  Secretaría</w:t>
      </w:r>
      <w:proofErr w:type="gramEnd"/>
      <w:r>
        <w:rPr>
          <w:rFonts w:ascii="Palatino Linotype" w:eastAsia="Palatino Linotype" w:hAnsi="Palatino Linotype" w:cs="Palatino Linotype"/>
          <w:color w:val="0D0D0D"/>
          <w:sz w:val="22"/>
          <w:szCs w:val="22"/>
        </w:rPr>
        <w:t xml:space="preserve"> de Gobernación el registro y acreditación de la identidad de todas las personas residentes en el país y de los nacionales que residan en el extranjero.</w:t>
      </w:r>
    </w:p>
    <w:p w14:paraId="0033778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517DF74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Pr>
          <w:rFonts w:ascii="Palatino Linotype" w:eastAsia="Palatino Linotype" w:hAnsi="Palatino Linotype" w:cs="Palatino Linotype"/>
          <w:color w:val="0D0D0D"/>
          <w:sz w:val="22"/>
          <w:szCs w:val="22"/>
        </w:rPr>
        <w:lastRenderedPageBreak/>
        <w:t>Población a todas las personas residentes en el país, así como a los mexicanos que residan en el extranjero.</w:t>
      </w:r>
    </w:p>
    <w:p w14:paraId="688401D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B483D7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De conformidad con lo precisado por la propia Secretaría de Gobernación en la dirección </w:t>
      </w:r>
      <w:hyperlink r:id="rId8">
        <w:r>
          <w:rPr>
            <w:rFonts w:ascii="Palatino Linotype" w:eastAsia="Palatino Linotype" w:hAnsi="Palatino Linotype" w:cs="Palatino Linotype"/>
            <w:color w:val="0563C1"/>
            <w:sz w:val="22"/>
            <w:szCs w:val="22"/>
            <w:u w:val="single"/>
          </w:rPr>
          <w:t>https://consultas.curp.gob.mx/CurpSP/html/informacionecurpPS.html</w:t>
        </w:r>
      </w:hyperlink>
      <w:r>
        <w:rPr>
          <w:rFonts w:ascii="Palatino Linotype" w:eastAsia="Palatino Linotype" w:hAnsi="Palatino Linotype" w:cs="Palatino Linotype"/>
          <w:color w:val="0D0D0D"/>
          <w:sz w:val="22"/>
          <w:szCs w:val="22"/>
          <w:u w:val="single"/>
        </w:rPr>
        <w:t xml:space="preserve"> </w:t>
      </w:r>
      <w:r>
        <w:rPr>
          <w:rFonts w:ascii="Palatino Linotype" w:eastAsia="Palatino Linotype" w:hAnsi="Palatino Linotype" w:cs="Palatino Linotype"/>
          <w:color w:val="0D0D0D"/>
          <w:sz w:val="22"/>
          <w:szCs w:val="22"/>
        </w:rPr>
        <w:t xml:space="preserve">(consultada el veinticinco de marzo de dos mil diecinueve a las once horas con cuarenta minutos),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D0D0D"/>
          <w:sz w:val="22"/>
          <w:szCs w:val="22"/>
        </w:rPr>
        <w:t>se generan a partir de los datos contenidos en el documento probatorio de la identidad</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b/>
          <w:color w:val="0D0D0D"/>
          <w:sz w:val="22"/>
          <w:szCs w:val="22"/>
        </w:rPr>
        <w:t xml:space="preserve">del interesado </w:t>
      </w:r>
      <w:r>
        <w:rPr>
          <w:rFonts w:ascii="Palatino Linotype" w:eastAsia="Palatino Linotype" w:hAnsi="Palatino Linotype" w:cs="Palatino Linotype"/>
          <w:color w:val="0D0D0D"/>
          <w:sz w:val="22"/>
          <w:szCs w:val="22"/>
        </w:rPr>
        <w:t>(acta de nacimiento, carta de naturalización o documento migratorio) de la siguiente forma:</w:t>
      </w:r>
    </w:p>
    <w:p w14:paraId="0D6A272B"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C6D4D8D" w14:textId="77777777" w:rsidR="00262817" w:rsidRDefault="00EB2E3F">
      <w:pPr>
        <w:spacing w:line="360" w:lineRule="auto"/>
        <w:ind w:left="426"/>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 El primero y segundo apellidos, así como al nombre de pila.</w:t>
      </w:r>
    </w:p>
    <w:p w14:paraId="4844E527" w14:textId="77777777" w:rsidR="00262817" w:rsidRDefault="00EB2E3F">
      <w:pPr>
        <w:spacing w:line="360" w:lineRule="auto"/>
        <w:ind w:left="426"/>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 La fecha de nacimiento.</w:t>
      </w:r>
    </w:p>
    <w:p w14:paraId="1617D539" w14:textId="77777777" w:rsidR="00262817" w:rsidRDefault="00EB2E3F">
      <w:pPr>
        <w:spacing w:line="360" w:lineRule="auto"/>
        <w:ind w:left="426"/>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 El sexo.</w:t>
      </w:r>
    </w:p>
    <w:p w14:paraId="2B5BAD32" w14:textId="77777777" w:rsidR="00262817" w:rsidRDefault="00EB2E3F">
      <w:pPr>
        <w:spacing w:line="360" w:lineRule="auto"/>
        <w:ind w:left="426"/>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 La entidad federativa de nacimiento.</w:t>
      </w:r>
    </w:p>
    <w:p w14:paraId="7710278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1CA955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Los dos últimos elementos de la Clave Única de Registro de Población evitan la duplicidad de la Clave y garantizan su correcta integración.</w:t>
      </w:r>
    </w:p>
    <w:p w14:paraId="13CFA570"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00A7F1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w:t>
      </w:r>
      <w:r>
        <w:rPr>
          <w:rFonts w:ascii="Palatino Linotype" w:eastAsia="Palatino Linotype" w:hAnsi="Palatino Linotype" w:cs="Palatino Linotype"/>
          <w:color w:val="0D0D0D"/>
          <w:sz w:val="22"/>
          <w:szCs w:val="22"/>
        </w:rPr>
        <w:lastRenderedPageBreak/>
        <w:t>de un trámite administrativo requerido por la autoridad federal para hacer identificables a las personas.</w:t>
      </w:r>
    </w:p>
    <w:p w14:paraId="4DB9B70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8AF20B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Resulta aplicable en la especie, como argumento orientador, el Criterio de </w:t>
      </w:r>
      <w:proofErr w:type="spellStart"/>
      <w:r>
        <w:rPr>
          <w:rFonts w:ascii="Palatino Linotype" w:eastAsia="Palatino Linotype" w:hAnsi="Palatino Linotype" w:cs="Palatino Linotype"/>
          <w:color w:val="0D0D0D"/>
          <w:sz w:val="22"/>
          <w:szCs w:val="22"/>
        </w:rPr>
        <w:t>Interpreteación</w:t>
      </w:r>
      <w:proofErr w:type="spellEnd"/>
      <w:r>
        <w:rPr>
          <w:rFonts w:ascii="Palatino Linotype" w:eastAsia="Palatino Linotype" w:hAnsi="Palatino Linotype" w:cs="Palatino Linotype"/>
          <w:color w:val="0D0D0D"/>
          <w:sz w:val="22"/>
          <w:szCs w:val="22"/>
        </w:rPr>
        <w:t xml:space="preserve"> con clave de control SO/018/2017, de la Segunda </w:t>
      </w:r>
      <w:proofErr w:type="spellStart"/>
      <w:r>
        <w:rPr>
          <w:rFonts w:ascii="Palatino Linotype" w:eastAsia="Palatino Linotype" w:hAnsi="Palatino Linotype" w:cs="Palatino Linotype"/>
          <w:color w:val="0D0D0D"/>
          <w:sz w:val="22"/>
          <w:szCs w:val="22"/>
        </w:rPr>
        <w:t>Épcoca</w:t>
      </w:r>
      <w:proofErr w:type="spellEnd"/>
      <w:r>
        <w:rPr>
          <w:rFonts w:ascii="Palatino Linotype" w:eastAsia="Palatino Linotype" w:hAnsi="Palatino Linotype" w:cs="Palatino Linotype"/>
          <w:color w:val="0D0D0D"/>
          <w:sz w:val="22"/>
          <w:szCs w:val="22"/>
        </w:rPr>
        <w:t>, emitido por el Instituto Nacional de Transparencia, Acceso a la Información y Protección de Datos Personales.</w:t>
      </w:r>
    </w:p>
    <w:p w14:paraId="21870DE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552C652D" w14:textId="77777777" w:rsidR="00262817" w:rsidRDefault="00EB2E3F">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“Clave Única de Registro de Población (CURP). </w:t>
      </w:r>
      <w:r>
        <w:rPr>
          <w:rFonts w:ascii="Palatino Linotype" w:eastAsia="Palatino Linotype" w:hAnsi="Palatino Linotype" w:cs="Palatino Linotype"/>
          <w:i/>
          <w:color w:val="0D0D0D"/>
        </w:rPr>
        <w:t xml:space="preserve">La Clave Única de Registro de Población se integra por datos personales que sólo conciernen al particular titular de </w:t>
      </w:r>
      <w:proofErr w:type="gramStart"/>
      <w:r>
        <w:rPr>
          <w:rFonts w:ascii="Palatino Linotype" w:eastAsia="Palatino Linotype" w:hAnsi="Palatino Linotype" w:cs="Palatino Linotype"/>
          <w:i/>
          <w:color w:val="0D0D0D"/>
        </w:rPr>
        <w:t>la misma</w:t>
      </w:r>
      <w:proofErr w:type="gramEnd"/>
      <w:r>
        <w:rPr>
          <w:rFonts w:ascii="Palatino Linotype" w:eastAsia="Palatino Linotype" w:hAnsi="Palatino Linotype" w:cs="Palatino Linotype"/>
          <w:i/>
          <w:color w:val="0D0D0D"/>
        </w:rPr>
        <w:t xml:space="preserve">,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332538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5CBB364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De acuerdo con lo anterior, se confirma la clasificación de la Clave Única de Registro de Población, por tratarse de un dato personal confidencial, en términos del artículo 143, fracción I de la Ley de Transparencia y Acceso a la Información Pública del Estado de México y Municipios. </w:t>
      </w:r>
    </w:p>
    <w:p w14:paraId="151D887A" w14:textId="77777777" w:rsidR="00262817" w:rsidRDefault="00262817">
      <w:pPr>
        <w:spacing w:line="360" w:lineRule="auto"/>
        <w:jc w:val="both"/>
        <w:rPr>
          <w:rFonts w:ascii="Palatino Linotype" w:eastAsia="Palatino Linotype" w:hAnsi="Palatino Linotype" w:cs="Palatino Linotype"/>
          <w:color w:val="0D0D0D"/>
          <w:sz w:val="22"/>
          <w:szCs w:val="22"/>
        </w:rPr>
      </w:pPr>
    </w:p>
    <w:p w14:paraId="29096585" w14:textId="77777777" w:rsidR="00262817" w:rsidRDefault="00EB2E3F">
      <w:pPr>
        <w:numPr>
          <w:ilvl w:val="0"/>
          <w:numId w:val="9"/>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Nombre de personas físicas proveedores</w:t>
      </w:r>
    </w:p>
    <w:p w14:paraId="688877CE"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5669078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Al respecto, cabe precisar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Pr>
          <w:rFonts w:ascii="Palatino Linotype" w:eastAsia="Palatino Linotype" w:hAnsi="Palatino Linotype" w:cs="Palatino Linotype"/>
          <w:i/>
          <w:color w:val="0D0D0D"/>
          <w:sz w:val="22"/>
          <w:szCs w:val="22"/>
        </w:rPr>
        <w:t>per se</w:t>
      </w:r>
      <w:r>
        <w:rPr>
          <w:rFonts w:ascii="Palatino Linotype" w:eastAsia="Palatino Linotype" w:hAnsi="Palatino Linotype" w:cs="Palatino Linotype"/>
          <w:color w:val="0D0D0D"/>
          <w:sz w:val="22"/>
          <w:szCs w:val="22"/>
        </w:rPr>
        <w:t xml:space="preserve"> es un elemento que hace a una persona física identificada o identificable.</w:t>
      </w:r>
    </w:p>
    <w:p w14:paraId="1652C340"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01935B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En ese contexto, es importante mencionar que si bien es cierto que el nombre de una persona es atributo de la personalidad, de conformidad con la legislación civil, al tratarse de un dato personal hace identificable a su titular, además la Ley de Transparencia y Acceso a la Información Pública del Estado de México y Municipios ha establecido un régimen de excepción tratándose de </w:t>
      </w:r>
      <w:r>
        <w:rPr>
          <w:rFonts w:ascii="Palatino Linotype" w:eastAsia="Palatino Linotype" w:hAnsi="Palatino Linotype" w:cs="Palatino Linotype"/>
          <w:b/>
          <w:color w:val="0D0D0D"/>
          <w:sz w:val="22"/>
          <w:szCs w:val="22"/>
        </w:rPr>
        <w:t>los nombres de aquellos que reciben recursos públicos (proveedores),</w:t>
      </w:r>
      <w:r>
        <w:rPr>
          <w:rFonts w:ascii="Palatino Linotype" w:eastAsia="Palatino Linotype" w:hAnsi="Palatino Linotype" w:cs="Palatino Linotype"/>
          <w:color w:val="0D0D0D"/>
          <w:sz w:val="22"/>
          <w:szCs w:val="22"/>
        </w:rPr>
        <w:t xml:space="preserve"> ya que la difusión de dicho dato constituye una obligación de transparencia por parte de los sujetos obligados.</w:t>
      </w:r>
    </w:p>
    <w:p w14:paraId="622F2BB6"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6ACCAB9"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Toma sustento con el artículo 92, fracciones XXXI, de la Ley de la materia, el cual establece que los sujetos obligados tienen la obligación de poner a disposición del público y mantener actualizada de acuerdo con sus facultades, atribuciones, funciones u objeto social, según corresponda el </w:t>
      </w:r>
      <w:r>
        <w:rPr>
          <w:rFonts w:ascii="Palatino Linotype" w:eastAsia="Palatino Linotype" w:hAnsi="Palatino Linotype" w:cs="Palatino Linotype"/>
          <w:b/>
          <w:color w:val="0D0D0D"/>
          <w:sz w:val="22"/>
          <w:szCs w:val="22"/>
        </w:rPr>
        <w:t>Padrón de proveedores y contratistas.</w:t>
      </w:r>
    </w:p>
    <w:p w14:paraId="6DE9E802"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4176758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Además,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7887D65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E35E18E"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4B4E3607" wp14:editId="127B85E2">
            <wp:extent cx="5742940" cy="752475"/>
            <wp:effectExtent l="0" t="0" r="0" b="0"/>
            <wp:docPr id="19050770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742940" cy="752475"/>
                    </a:xfrm>
                    <a:prstGeom prst="rect">
                      <a:avLst/>
                    </a:prstGeom>
                    <a:ln/>
                  </pic:spPr>
                </pic:pic>
              </a:graphicData>
            </a:graphic>
          </wp:inline>
        </w:drawing>
      </w:r>
      <w:r>
        <w:rPr>
          <w:rFonts w:ascii="Palatino Linotype" w:eastAsia="Palatino Linotype" w:hAnsi="Palatino Linotype" w:cs="Palatino Linotype"/>
          <w:b/>
          <w:color w:val="0D0D0D"/>
          <w:sz w:val="22"/>
          <w:szCs w:val="22"/>
        </w:rPr>
        <w:t xml:space="preserve"> </w:t>
      </w:r>
    </w:p>
    <w:p w14:paraId="441ACF70"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27CBF2B0" wp14:editId="562A1DA2">
            <wp:extent cx="5742940" cy="495300"/>
            <wp:effectExtent l="0" t="0" r="0" b="0"/>
            <wp:docPr id="19050770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42940" cy="495300"/>
                    </a:xfrm>
                    <a:prstGeom prst="rect">
                      <a:avLst/>
                    </a:prstGeom>
                    <a:ln/>
                  </pic:spPr>
                </pic:pic>
              </a:graphicData>
            </a:graphic>
          </wp:inline>
        </w:drawing>
      </w:r>
      <w:r>
        <w:rPr>
          <w:rFonts w:ascii="Palatino Linotype" w:eastAsia="Palatino Linotype" w:hAnsi="Palatino Linotype" w:cs="Palatino Linotype"/>
          <w:b/>
          <w:color w:val="0D0D0D"/>
          <w:sz w:val="22"/>
          <w:szCs w:val="22"/>
        </w:rPr>
        <w:t xml:space="preserve"> </w:t>
      </w:r>
    </w:p>
    <w:p w14:paraId="5394E722"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lastRenderedPageBreak/>
        <w:t xml:space="preserve"> </w:t>
      </w:r>
    </w:p>
    <w:p w14:paraId="1273EF54"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Por lo tanto, la Ley de Transparencia y Acceso a la Información Pública del Estado de México y Municipios, considera que </w:t>
      </w:r>
      <w:r>
        <w:rPr>
          <w:rFonts w:ascii="Palatino Linotype" w:eastAsia="Palatino Linotype" w:hAnsi="Palatino Linotype" w:cs="Palatino Linotype"/>
          <w:b/>
          <w:color w:val="0D0D0D"/>
          <w:sz w:val="22"/>
          <w:szCs w:val="22"/>
        </w:rPr>
        <w:t xml:space="preserve">los datos de aquellas personas que recibieron recursos públicos, por regla general, </w:t>
      </w:r>
      <w:r>
        <w:rPr>
          <w:rFonts w:ascii="Palatino Linotype" w:eastAsia="Palatino Linotype" w:hAnsi="Palatino Linotype" w:cs="Palatino Linotype"/>
          <w:color w:val="0D0D0D"/>
          <w:sz w:val="22"/>
          <w:szCs w:val="22"/>
        </w:rPr>
        <w:t xml:space="preserve">son de naturaleza pública, ya que su publicidad orienta a cumplir los objetivos que persigue la Ley; toda vez, </w:t>
      </w:r>
      <w:r>
        <w:rPr>
          <w:rFonts w:ascii="Palatino Linotype" w:eastAsia="Palatino Linotype" w:hAnsi="Palatino Linotype" w:cs="Palatino Linotype"/>
          <w:b/>
          <w:color w:val="0D0D0D"/>
          <w:sz w:val="22"/>
          <w:szCs w:val="22"/>
        </w:rPr>
        <w:t>que ayuda a transparentar a quienes se les han otorgado recursos públicos, así como, porque razones se les otorgaron dichos montos.</w:t>
      </w:r>
    </w:p>
    <w:p w14:paraId="04B1132E"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18397EE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lo que, se considera que no procede la clasificación del nombre de los proveedores, en términos del artículo 143, fracción I de la Ley de Transparencia y Acceso a la Información Pública del Estado de México y Municipios.</w:t>
      </w:r>
    </w:p>
    <w:p w14:paraId="70C5A6A0"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699631FF" w14:textId="77777777" w:rsidR="00262817" w:rsidRDefault="00EB2E3F">
      <w:pPr>
        <w:numPr>
          <w:ilvl w:val="0"/>
          <w:numId w:val="9"/>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Denominación o razón Social de proveedores personas morales.</w:t>
      </w:r>
    </w:p>
    <w:p w14:paraId="4208F6CD"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6CF0F74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se considera que la denominación o razón social de una persona moral, es pública, pues dichos datos se encuentran inscritos en el Registro Público del Comercio; lo anterior, toma sustento en el Criterio de Interpretación, de la Segunda Época, con número de registro SO/008/2019, emitido por el Instituto Nacional de Transparencia, Acceso a la Información y Protección de Datos Personales, que precisa lo siguiente:</w:t>
      </w:r>
    </w:p>
    <w:p w14:paraId="734B52B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BB0C398" w14:textId="77777777" w:rsidR="00262817" w:rsidRDefault="00EB2E3F">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“Razón social y RFC de personas morales. </w:t>
      </w:r>
      <w:r>
        <w:rPr>
          <w:rFonts w:ascii="Palatino Linotype" w:eastAsia="Palatino Linotype" w:hAnsi="Palatino Linotype" w:cs="Palatino Linotype"/>
          <w:i/>
          <w:color w:val="0D0D0D"/>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374C6FF7"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0A70371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Lo anterior, se robustece con el hecho de que el Ente Recurrido tiene como obligación común de transparencia, poner a disposición del público el padrón de proveedores y contratistas, que como se advirtió en párrafos anteriores debe incluir la denominación o razón social del proveedor o contratista,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DFE377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CA275F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lo tanto, no procede la clasificación de la denominación o razón social de los proveedores personas morales, en términos del artículo 143, fracción I de la Ley de Transparencia y Acceso a la Información Pública del Estado de México y Municipios.</w:t>
      </w:r>
    </w:p>
    <w:p w14:paraId="2F95801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55FE513" w14:textId="77777777" w:rsidR="00262817" w:rsidRDefault="00EB2E3F">
      <w:pPr>
        <w:numPr>
          <w:ilvl w:val="0"/>
          <w:numId w:val="10"/>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Registro Federal de Contribuyentes de proveedor</w:t>
      </w:r>
    </w:p>
    <w:p w14:paraId="1AE3C0E7"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2E6C1DD5"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Persona física:</w:t>
      </w:r>
    </w:p>
    <w:p w14:paraId="04C14BE6"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0689700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Al respecto, es necesario precisar que el proveedor de cualquier Sujeto Obligado de la Ley de la materia, que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Pr>
          <w:rFonts w:ascii="Palatino Linotype" w:eastAsia="Palatino Linotype" w:hAnsi="Palatino Linotype" w:cs="Palatino Linotype"/>
          <w:b/>
          <w:color w:val="0D0D0D"/>
          <w:sz w:val="22"/>
          <w:szCs w:val="22"/>
        </w:rPr>
        <w:t>la cédula de identificación fiscal (Registro Federal de Contribuyentes);</w:t>
      </w:r>
      <w:r>
        <w:rPr>
          <w:rFonts w:ascii="Palatino Linotype" w:eastAsia="Palatino Linotype" w:hAnsi="Palatino Linotype" w:cs="Palatino Linotype"/>
          <w:color w:val="0D0D0D"/>
          <w:sz w:val="22"/>
          <w:szCs w:val="22"/>
        </w:rPr>
        <w:t xml:space="preserve"> por lo que la entrega de dicho dato permite verificar cumplimiento de esta disposición legal.</w:t>
      </w:r>
    </w:p>
    <w:p w14:paraId="619B7C3B"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 xml:space="preserve"> </w:t>
      </w:r>
    </w:p>
    <w:p w14:paraId="24F9CC69"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 xml:space="preserve">Por lo tanto, </w:t>
      </w:r>
      <w:r>
        <w:rPr>
          <w:rFonts w:ascii="Palatino Linotype" w:eastAsia="Palatino Linotype" w:hAnsi="Palatino Linotype" w:cs="Palatino Linotype"/>
          <w:b/>
          <w:color w:val="0D0D0D"/>
          <w:sz w:val="22"/>
          <w:szCs w:val="22"/>
        </w:rPr>
        <w:t>en el presente caso, si bien el Registro Federal de Contribuyentes de personas físicas es un dato personal, también lo es, que corresponde a un requisito indispensable para ser proveedor y poder llevar a cabo actividades comerciales con la Entidad</w:t>
      </w:r>
      <w:r>
        <w:rPr>
          <w:rFonts w:ascii="Palatino Linotype" w:eastAsia="Palatino Linotype" w:hAnsi="Palatino Linotype" w:cs="Palatino Linotype"/>
          <w:color w:val="0D0D0D"/>
          <w:sz w:val="22"/>
          <w:szCs w:val="22"/>
        </w:rPr>
        <w:t xml:space="preserve">, ya que, sin este, no se pueden realizar dichas acciones, </w:t>
      </w:r>
      <w:r>
        <w:rPr>
          <w:rFonts w:ascii="Palatino Linotype" w:eastAsia="Palatino Linotype" w:hAnsi="Palatino Linotype" w:cs="Palatino Linotype"/>
          <w:b/>
          <w:color w:val="0D0D0D"/>
          <w:sz w:val="22"/>
          <w:szCs w:val="22"/>
        </w:rPr>
        <w:t>por lo que su entrega es un elemento adicional que respalda la legalidad de los procesos adquisitivos.</w:t>
      </w:r>
    </w:p>
    <w:p w14:paraId="1E239DFB"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577064B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ese contexto, entregar el Registro Federal de Contribuyentes aún de personas físicas cuando son proveedores de instituciones públicas, </w:t>
      </w:r>
      <w:r>
        <w:rPr>
          <w:rFonts w:ascii="Palatino Linotype" w:eastAsia="Palatino Linotype" w:hAnsi="Palatino Linotype" w:cs="Palatino Linotype"/>
          <w:b/>
          <w:color w:val="0D0D0D"/>
          <w:sz w:val="22"/>
          <w:szCs w:val="22"/>
        </w:rPr>
        <w:t>propiciaría la rendición de cuentas</w:t>
      </w:r>
      <w:r>
        <w:rPr>
          <w:rFonts w:ascii="Palatino Linotype" w:eastAsia="Palatino Linotype" w:hAnsi="Palatino Linotype" w:cs="Palatino Linotype"/>
          <w:color w:val="0D0D0D"/>
          <w:sz w:val="22"/>
          <w:szCs w:val="22"/>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0DD5E6E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208EF6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 anterior, se robustece con el Criterio de Interpretación, de la Segunda Época, con número de registro SO/004/2021, emitido por el Instituto Nacional de Transparencia, Acceso a la Información y Protección de Datos Personales, en el cual se señala lo siguiente:</w:t>
      </w:r>
    </w:p>
    <w:p w14:paraId="0BD461E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DBD0348" w14:textId="77777777" w:rsidR="00262817" w:rsidRDefault="00EB2E3F">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“Registro Federal de Contribuyentes (RFC) de personas físicas proveedores o contratistas. </w:t>
      </w:r>
      <w:r>
        <w:rPr>
          <w:rFonts w:ascii="Palatino Linotype" w:eastAsia="Palatino Linotype" w:hAnsi="Palatino Linotype" w:cs="Palatino Linotype"/>
          <w:i/>
          <w:color w:val="0D0D0D"/>
        </w:rPr>
        <w:t xml:space="preserve">El RFC de contratistas o proveedores de sujetos obligados debe ser público, </w:t>
      </w:r>
      <w:proofErr w:type="gramStart"/>
      <w:r>
        <w:rPr>
          <w:rFonts w:ascii="Palatino Linotype" w:eastAsia="Palatino Linotype" w:hAnsi="Palatino Linotype" w:cs="Palatino Linotype"/>
          <w:i/>
          <w:color w:val="0D0D0D"/>
        </w:rPr>
        <w:t>ya que</w:t>
      </w:r>
      <w:proofErr w:type="gramEnd"/>
      <w:r>
        <w:rPr>
          <w:rFonts w:ascii="Palatino Linotype" w:eastAsia="Palatino Linotype" w:hAnsi="Palatino Linotype" w:cs="Palatino Linotype"/>
          <w:i/>
          <w:color w:val="0D0D0D"/>
        </w:rPr>
        <w:t xml:space="preserve"> al tratarse de personas relacionadas con contrataciones públicas, su difusión favorece la transparencia con la que deben administrarse los recursos públicos, en términos del artículo 134 de la Constitución Política de los Estados Unidos Mexicanos. “</w:t>
      </w:r>
    </w:p>
    <w:p w14:paraId="0733C09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77130C2" w14:textId="77777777" w:rsidR="00262817" w:rsidRDefault="00EB2E3F">
      <w:pPr>
        <w:spacing w:line="360" w:lineRule="auto"/>
        <w:jc w:val="both"/>
        <w:rPr>
          <w:rFonts w:ascii="Palatino Linotype" w:eastAsia="Palatino Linotype" w:hAnsi="Palatino Linotype" w:cs="Palatino Linotype"/>
          <w:b/>
          <w:color w:val="0D0D0D"/>
          <w:sz w:val="22"/>
          <w:szCs w:val="22"/>
          <w:u w:val="single"/>
        </w:rPr>
      </w:pPr>
      <w:r>
        <w:rPr>
          <w:rFonts w:ascii="Palatino Linotype" w:eastAsia="Palatino Linotype" w:hAnsi="Palatino Linotype" w:cs="Palatino Linotype"/>
          <w:color w:val="0D0D0D"/>
          <w:sz w:val="22"/>
          <w:szCs w:val="22"/>
        </w:rPr>
        <w:t xml:space="preserve">En conclusión, toda vez, que el Registro Federal de Contribuyentes de proveedores, es un requisito indispensable, para poder participar en adquisiciones públicas y contracción de </w:t>
      </w:r>
      <w:r>
        <w:rPr>
          <w:rFonts w:ascii="Palatino Linotype" w:eastAsia="Palatino Linotype" w:hAnsi="Palatino Linotype" w:cs="Palatino Linotype"/>
          <w:color w:val="0D0D0D"/>
          <w:sz w:val="22"/>
          <w:szCs w:val="22"/>
        </w:rPr>
        <w:lastRenderedPageBreak/>
        <w:t>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7C6867A0"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4C5C6D92"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Persona Moral</w:t>
      </w:r>
    </w:p>
    <w:p w14:paraId="10E44B0A"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211F7FA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5071B66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570AF1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ende, la información correspondiente al Registro Federal de Contribuyentes de una persona moral da cuenta del cumplimiento o no en sus obligaciones fiscales; por tanto, no se actualiza su clasificación como confidencial.</w:t>
      </w:r>
    </w:p>
    <w:p w14:paraId="3EF90AD9"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322015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Además, resulta aplicable por analogía el Criterio de Interpretación, de la Segunda Época, con número de registro SO/008/2019, emitido por el Instituto Nacional de Transparencia, Acceso a la Información y Protección de Datos Personales, que precisa que el Registro Federal de Contribuyentes de personas morales, es público, al no referir a hechos o actos de carácter </w:t>
      </w:r>
      <w:r>
        <w:rPr>
          <w:rFonts w:ascii="Palatino Linotype" w:eastAsia="Palatino Linotype" w:hAnsi="Palatino Linotype" w:cs="Palatino Linotype"/>
          <w:color w:val="0D0D0D"/>
          <w:sz w:val="22"/>
          <w:szCs w:val="22"/>
        </w:rPr>
        <w:lastRenderedPageBreak/>
        <w:t>económico, contable, jurídico o administrativo que sean útiles o representen una ventaja a sus competidores.</w:t>
      </w:r>
    </w:p>
    <w:p w14:paraId="7A9A76F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2D3C90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61D350BA"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02CCEB35" w14:textId="77777777" w:rsidR="00262817" w:rsidRDefault="00EB2E3F">
      <w:pPr>
        <w:numPr>
          <w:ilvl w:val="0"/>
          <w:numId w:val="9"/>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Número de teléfono y correo electrónico de proveedor.</w:t>
      </w:r>
    </w:p>
    <w:p w14:paraId="0A67F87E"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51B4C20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El número asignado a un </w:t>
      </w:r>
      <w:proofErr w:type="gramStart"/>
      <w:r>
        <w:rPr>
          <w:rFonts w:ascii="Palatino Linotype" w:eastAsia="Palatino Linotype" w:hAnsi="Palatino Linotype" w:cs="Palatino Linotype"/>
          <w:color w:val="0D0D0D"/>
          <w:sz w:val="22"/>
          <w:szCs w:val="22"/>
        </w:rPr>
        <w:t>teléfono,</w:t>
      </w:r>
      <w:proofErr w:type="gramEnd"/>
      <w:r>
        <w:rPr>
          <w:rFonts w:ascii="Palatino Linotype" w:eastAsia="Palatino Linotype" w:hAnsi="Palatino Linotype" w:cs="Palatino Linotype"/>
          <w:color w:val="0D0D0D"/>
          <w:sz w:val="22"/>
          <w:szCs w:val="22"/>
        </w:rPr>
        <w:t xml:space="preserve"> permite localizar, en el presente caso, de un proveedor, ya sea a través de un dispositivo móvil o bien, en un lugar como el domicilio; mientras que correo electrónico es un sistema de transmisión de mensajes por computadora a través de redes informáticas. Dicho dato se puede asimilar al teléfono o domicilio, toda vez que es un medio para comunicarse con un proveedor, en el presente caso.</w:t>
      </w:r>
    </w:p>
    <w:p w14:paraId="1E83951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8FB8420"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Como se refirió, en el presente caso, los datos en </w:t>
      </w:r>
      <w:proofErr w:type="gramStart"/>
      <w:r>
        <w:rPr>
          <w:rFonts w:ascii="Palatino Linotype" w:eastAsia="Palatino Linotype" w:hAnsi="Palatino Linotype" w:cs="Palatino Linotype"/>
          <w:color w:val="0D0D0D"/>
          <w:sz w:val="22"/>
          <w:szCs w:val="22"/>
        </w:rPr>
        <w:t>comento,</w:t>
      </w:r>
      <w:proofErr w:type="gramEnd"/>
      <w:r>
        <w:rPr>
          <w:rFonts w:ascii="Palatino Linotype" w:eastAsia="Palatino Linotype" w:hAnsi="Palatino Linotype" w:cs="Palatino Linotype"/>
          <w:color w:val="0D0D0D"/>
          <w:sz w:val="22"/>
          <w:szCs w:val="22"/>
        </w:rPr>
        <w:t xml:space="preserve"> se tratan de los medios de contacto de los proveedores que tiene la Secretaría de Cultura y Turismo, los cuales, si bien hacen identificable a una persona, en el presente caso, se trata de una persona proveedora que recibe recursos públicos, derivado de los contratos celebrados con la Dependencia y, por lo tanto, dichos datos guardan la naturaleza de públicos.</w:t>
      </w:r>
    </w:p>
    <w:p w14:paraId="24088144"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553C5A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Lo anterior, se robustece con los formatos de los Lineamientos técnicos generales para la publicación, homologación y estandarización de la información de las obligaciones establecidas en el título quinto y en la fracción IV del artículo 31 de la Ley General de </w:t>
      </w:r>
      <w:r>
        <w:rPr>
          <w:rFonts w:ascii="Palatino Linotype" w:eastAsia="Palatino Linotype" w:hAnsi="Palatino Linotype" w:cs="Palatino Linotype"/>
          <w:color w:val="0D0D0D"/>
          <w:sz w:val="22"/>
          <w:szCs w:val="22"/>
        </w:rPr>
        <w:lastRenderedPageBreak/>
        <w:t>Transparencia y Acceso a la Información Pública, que deben de difundir los sujetos obligados en los portales de Internet y en la Plataforma Nacional de Transparencia, tal como se muestran a continuación:</w:t>
      </w:r>
    </w:p>
    <w:p w14:paraId="29D34BA0"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2A090195" w14:textId="77777777" w:rsidR="00262817" w:rsidRDefault="00EB2E3F">
      <w:pPr>
        <w:spacing w:line="360" w:lineRule="auto"/>
        <w:jc w:val="center"/>
        <w:rPr>
          <w:rFonts w:ascii="Palatino Linotype" w:eastAsia="Palatino Linotype" w:hAnsi="Palatino Linotype" w:cs="Palatino Linotype"/>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28BFA592" wp14:editId="5B3FA416">
            <wp:extent cx="5686425" cy="1457325"/>
            <wp:effectExtent l="0" t="0" r="0" b="0"/>
            <wp:docPr id="19050770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5686425" cy="1457325"/>
                    </a:xfrm>
                    <a:prstGeom prst="rect">
                      <a:avLst/>
                    </a:prstGeom>
                    <a:ln/>
                  </pic:spPr>
                </pic:pic>
              </a:graphicData>
            </a:graphic>
          </wp:inline>
        </w:drawing>
      </w:r>
    </w:p>
    <w:p w14:paraId="368E7D6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36DD52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Como se logra observar, el correo electrónico y teléfono de los proveedores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7797E36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8FAFDBF" w14:textId="77777777" w:rsidR="00262817" w:rsidRDefault="00EB2E3F">
      <w:pPr>
        <w:numPr>
          <w:ilvl w:val="0"/>
          <w:numId w:val="9"/>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Domicilio Fiscal o legal para recibir y oír notificaciones (proveedor persona física o moral).</w:t>
      </w:r>
    </w:p>
    <w:p w14:paraId="6FE5457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9A64E6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De acuerdo a lo señalado en los artículos 2.17 y 2.21 del Código Civil del Estado de México, el domicilio de una persona </w:t>
      </w:r>
      <w:proofErr w:type="gramStart"/>
      <w:r>
        <w:rPr>
          <w:rFonts w:ascii="Palatino Linotype" w:eastAsia="Palatino Linotype" w:hAnsi="Palatino Linotype" w:cs="Palatino Linotype"/>
          <w:color w:val="0D0D0D"/>
          <w:sz w:val="22"/>
          <w:szCs w:val="22"/>
        </w:rPr>
        <w:t>física,</w:t>
      </w:r>
      <w:proofErr w:type="gramEnd"/>
      <w:r>
        <w:rPr>
          <w:rFonts w:ascii="Palatino Linotype" w:eastAsia="Palatino Linotype" w:hAnsi="Palatino Linotype" w:cs="Palatino Linotype"/>
          <w:color w:val="0D0D0D"/>
          <w:sz w:val="22"/>
          <w:szCs w:val="22"/>
        </w:rPr>
        <w:t xml:space="preserve"> es el lugar donde reside, en donde tiene el principal asiente de negocios, o en su caso, el dónde se halle; mientras, que el de personas jurídicas colectivas, es aquel donde se halle establecida su administración o ejerza sus actividades.</w:t>
      </w:r>
    </w:p>
    <w:p w14:paraId="0C1AA88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5C0E89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De la misma manera, lo establece los diversos 29 y 33 del Código Civil Federal, al precisar que el domicilio de personas físicas</w:t>
      </w:r>
      <w:r>
        <w:rPr>
          <w:rFonts w:ascii="Palatino Linotype" w:eastAsia="Palatino Linotype" w:hAnsi="Palatino Linotype" w:cs="Palatino Linotype"/>
          <w:b/>
          <w:color w:val="0D0D0D"/>
          <w:sz w:val="22"/>
          <w:szCs w:val="22"/>
        </w:rPr>
        <w:t xml:space="preserve">, es el lugar donde residen habitualmente, el lugar del centro principal de sus negocios, donde residan o el lugar donde se encuentren; </w:t>
      </w:r>
      <w:r>
        <w:rPr>
          <w:rFonts w:ascii="Palatino Linotype" w:eastAsia="Palatino Linotype" w:hAnsi="Palatino Linotype" w:cs="Palatino Linotype"/>
          <w:color w:val="0D0D0D"/>
          <w:sz w:val="22"/>
          <w:szCs w:val="22"/>
        </w:rPr>
        <w:t>mientras que, de las personas morales, aquel donde se halle su administración.</w:t>
      </w:r>
    </w:p>
    <w:p w14:paraId="04A89C24" w14:textId="77777777" w:rsidR="00262817" w:rsidRDefault="00EB2E3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537AC11B"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Además, respecto al domicilio fiscal, resulta necesario traer el artículo 10 del Código Fiscal de la Federación, que establece que, tratándose de personas físicas, corresponderá dicho dato:</w:t>
      </w:r>
    </w:p>
    <w:p w14:paraId="274F133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FA0AF66" w14:textId="77777777" w:rsidR="00262817" w:rsidRDefault="00EB2E3F">
      <w:pPr>
        <w:numPr>
          <w:ilvl w:val="0"/>
          <w:numId w:val="11"/>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lugar donde realizan actividades empresariales, el local, en que se encuentre el principal asiente de sus negocios, y</w:t>
      </w:r>
    </w:p>
    <w:p w14:paraId="7275990B" w14:textId="77777777" w:rsidR="00262817" w:rsidRDefault="00EB2E3F">
      <w:pPr>
        <w:numPr>
          <w:ilvl w:val="0"/>
          <w:numId w:val="11"/>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La casa habitación, cuando no cuenta con un local o lugar donde realice las acciones previamente señaladas.</w:t>
      </w:r>
    </w:p>
    <w:p w14:paraId="247D35A8"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72802ED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3A91F2E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C1F767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w:t>
      </w:r>
      <w:r>
        <w:rPr>
          <w:rFonts w:ascii="Palatino Linotype" w:eastAsia="Palatino Linotype" w:hAnsi="Palatino Linotype" w:cs="Palatino Linotype"/>
          <w:color w:val="0D0D0D"/>
          <w:sz w:val="22"/>
          <w:szCs w:val="22"/>
        </w:rPr>
        <w:lastRenderedPageBreak/>
        <w:t>menor, respecto del resto de las personas, en razón de obtener el beneficio de vender sus productos o servicios y recibir por ellos dinero del erario, situación que debe ser transparentada.</w:t>
      </w:r>
    </w:p>
    <w:p w14:paraId="2E11373C"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580B783"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Ahora bien, en el caso de que el domicilio corresponda al lugar donde realiza sus actividades empresariales, como es el caso de las personas morales,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160CF7B5"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A878970" w14:textId="77777777" w:rsidR="00262817" w:rsidRDefault="00EB2E3F">
      <w:pPr>
        <w:spacing w:line="360" w:lineRule="auto"/>
        <w:jc w:val="center"/>
        <w:rPr>
          <w:rFonts w:ascii="Palatino Linotype" w:eastAsia="Palatino Linotype" w:hAnsi="Palatino Linotype" w:cs="Palatino Linotype"/>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3386B5DC" wp14:editId="51FB98E7">
            <wp:extent cx="4250702" cy="571378"/>
            <wp:effectExtent l="0" t="0" r="0" b="0"/>
            <wp:docPr id="190507702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4250702" cy="571378"/>
                    </a:xfrm>
                    <a:prstGeom prst="rect">
                      <a:avLst/>
                    </a:prstGeom>
                    <a:ln/>
                  </pic:spPr>
                </pic:pic>
              </a:graphicData>
            </a:graphic>
          </wp:inline>
        </w:drawing>
      </w:r>
    </w:p>
    <w:p w14:paraId="0CB04763" w14:textId="77777777" w:rsidR="00262817" w:rsidRDefault="00EB2E3F">
      <w:pPr>
        <w:spacing w:line="360" w:lineRule="auto"/>
        <w:jc w:val="center"/>
        <w:rPr>
          <w:rFonts w:ascii="Palatino Linotype" w:eastAsia="Palatino Linotype" w:hAnsi="Palatino Linotype" w:cs="Palatino Linotype"/>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3C25C9E8" wp14:editId="10BFAA04">
            <wp:extent cx="4202003" cy="2514383"/>
            <wp:effectExtent l="0" t="0" r="0" b="0"/>
            <wp:docPr id="19050770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4202003" cy="2514383"/>
                    </a:xfrm>
                    <a:prstGeom prst="rect">
                      <a:avLst/>
                    </a:prstGeom>
                    <a:ln/>
                  </pic:spPr>
                </pic:pic>
              </a:graphicData>
            </a:graphic>
          </wp:inline>
        </w:drawing>
      </w:r>
    </w:p>
    <w:p w14:paraId="61AF4F32"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D7E0DC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Como se logra observar, es obligación de transparencia proporcionar el domicilio fiscal de los proveedores, por lo que, se considera que, en el caso, de que dicho dato, corresponda a un local o lugar donde realice sus actividades empresariales, se debe entregar.</w:t>
      </w:r>
    </w:p>
    <w:p w14:paraId="07E35241"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6D73B9D"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7A16D21E"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5887D22A" w14:textId="77777777" w:rsidR="00262817" w:rsidRDefault="00EB2E3F">
      <w:pPr>
        <w:numPr>
          <w:ilvl w:val="0"/>
          <w:numId w:val="9"/>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Firma del proveedor o representante legal</w:t>
      </w:r>
    </w:p>
    <w:p w14:paraId="6D968C77"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397B10F"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la firma es considerada un dato personal, al tratarse de información gráfica a través de la cual su titular exterioriza su voluntad en actos públicos y privados; dicho dato  exterioriza la voluntad en un acto público y que lo realiza una persona física identificada o identificable, en su calidad de proveedor o representante legal, por lo que, expresa el consentimiento del contratista para realizar o recibir ciertas obligaciones; además, que le otorga validez al instrumento jurídico, en el presente caso, la celebración de contratos para la adquisición  o arrendamiento de bienes y servicios.</w:t>
      </w:r>
    </w:p>
    <w:p w14:paraId="2D7061CB"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4B647E50" w14:textId="77777777" w:rsidR="00262817" w:rsidRDefault="00EB2E3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no procede la clasificación de la firma del proveedor o representante legal, localizados en los documentos que den cuenta de la información solicitada, en términos del artículo 143, fracción I de la Ley de Transparencia y Acceso a la Información Pública del Estado de México y Municipios.</w:t>
      </w:r>
    </w:p>
    <w:p w14:paraId="694EAD89" w14:textId="77777777" w:rsidR="00262817" w:rsidRDefault="00262817">
      <w:pPr>
        <w:spacing w:line="360" w:lineRule="auto"/>
        <w:ind w:right="-93"/>
        <w:jc w:val="both"/>
        <w:rPr>
          <w:rFonts w:ascii="Palatino Linotype" w:eastAsia="Palatino Linotype" w:hAnsi="Palatino Linotype" w:cs="Palatino Linotype"/>
          <w:color w:val="0D0D0D"/>
          <w:sz w:val="22"/>
          <w:szCs w:val="22"/>
        </w:rPr>
      </w:pPr>
    </w:p>
    <w:p w14:paraId="0A643EE2" w14:textId="77777777" w:rsidR="00262817" w:rsidRDefault="00EB2E3F">
      <w:pPr>
        <w:numPr>
          <w:ilvl w:val="0"/>
          <w:numId w:val="12"/>
        </w:num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Cuenta bancaria y clave interbancaria del proveedor</w:t>
      </w:r>
    </w:p>
    <w:p w14:paraId="42CD1CF9"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p>
    <w:p w14:paraId="51DD5120"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se estima que dichos datos se relacionan con hechos y actos de carácter económico, pues los mismos darían cuenta, de la relación que tiene una institución financiero con un particular, ya sea persona física o moral; además, que con dicha información se podría obtener los recursos enviados a las órdenes de cargo, pago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327E1C35"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B0CE017"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mayor abundamiento, resulta necesario traer a colación el Criterio de Interpretación, de la Segunda Época, con número de registro SO/010/2017, emitido por el Instituto Nacional de Transparencia, Acceso a la Información y Protección de Datos Personales, mismo que establece lo siguiente:</w:t>
      </w:r>
    </w:p>
    <w:p w14:paraId="27FDAD18"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9E64A49" w14:textId="77777777" w:rsidR="00262817" w:rsidRDefault="00EB2E3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2BCA0D2"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9726B03"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proveedor y procede su </w:t>
      </w:r>
      <w:r>
        <w:rPr>
          <w:rFonts w:ascii="Palatino Linotype" w:eastAsia="Palatino Linotype" w:hAnsi="Palatino Linotype" w:cs="Palatino Linotype"/>
          <w:sz w:val="22"/>
          <w:szCs w:val="22"/>
        </w:rPr>
        <w:lastRenderedPageBreak/>
        <w:t xml:space="preserve">eliminación de conformidad con el artículo 143, fracción I, de la Ley de Transparencia y Acceso a la Información Pública del Estado de México y Municipios. </w:t>
      </w:r>
    </w:p>
    <w:p w14:paraId="758019F1"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4E703A2C" w14:textId="77777777" w:rsidR="00262817" w:rsidRDefault="00EB2E3F">
      <w:pPr>
        <w:numPr>
          <w:ilvl w:val="0"/>
          <w:numId w:val="13"/>
        </w:num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Nombre de institución bancaria</w:t>
      </w:r>
    </w:p>
    <w:p w14:paraId="42747B22"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9A49654"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0A27D93A"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5C54F34"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en el portal de la Comisión Nacional para la Protección y Defensa de los Usuarios de Servicios Financieros, se establece que los bancos son instituciones financieras; conforme a lo anterior, se puede advertir que las instituciones bancarias, son personas morales.</w:t>
      </w:r>
    </w:p>
    <w:p w14:paraId="6D7C3C27" w14:textId="77777777" w:rsidR="00262817" w:rsidRDefault="00262817">
      <w:pPr>
        <w:spacing w:line="360" w:lineRule="auto"/>
        <w:ind w:right="-28"/>
        <w:jc w:val="both"/>
        <w:rPr>
          <w:rFonts w:ascii="Palatino Linotype" w:eastAsia="Palatino Linotype" w:hAnsi="Palatino Linotype" w:cs="Palatino Linotype"/>
          <w:sz w:val="22"/>
          <w:szCs w:val="22"/>
        </w:rPr>
      </w:pPr>
    </w:p>
    <w:p w14:paraId="521CA232"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se considera que la denominación o razón social de una persona moral, es pública, pues dichos datos se encuentran inscritos en el Registro Público del Comercio; lo </w:t>
      </w:r>
      <w:r>
        <w:rPr>
          <w:rFonts w:ascii="Palatino Linotype" w:eastAsia="Palatino Linotype" w:hAnsi="Palatino Linotype" w:cs="Palatino Linotype"/>
          <w:sz w:val="22"/>
          <w:szCs w:val="22"/>
        </w:rPr>
        <w:lastRenderedPageBreak/>
        <w:t>anterior, toma sustento en el Criterio de Interpretación, de la Segunda Época, con número de registro SO/008/2019, emitido por el Instituto Nacional de Transparencia, Acceso a la Información y Protección de Datos Personales, previamente referido.</w:t>
      </w:r>
    </w:p>
    <w:p w14:paraId="2F874616"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3987F5F"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robustece con el hecho de que existe el Sistema de Registro de Prestadores de Servicios Financieros, que es un registro de </w:t>
      </w:r>
      <w:r>
        <w:rPr>
          <w:rFonts w:ascii="Palatino Linotype" w:eastAsia="Palatino Linotype" w:hAnsi="Palatino Linotype" w:cs="Palatino Linotype"/>
          <w:b/>
          <w:sz w:val="22"/>
          <w:szCs w:val="22"/>
        </w:rPr>
        <w:t xml:space="preserve">carácter público, </w:t>
      </w:r>
      <w:r>
        <w:rPr>
          <w:rFonts w:ascii="Palatino Linotype" w:eastAsia="Palatino Linotype" w:hAnsi="Palatino Linotype" w:cs="Palatino Linotype"/>
          <w:sz w:val="22"/>
          <w:szCs w:val="22"/>
        </w:rPr>
        <w:t>cuyo objetivo principal, consiste en proporcionar información corporativa y general de las instituciones financieras</w:t>
      </w:r>
      <w:r>
        <w:rPr>
          <w:rFonts w:ascii="Palatino Linotype" w:eastAsia="Palatino Linotype" w:hAnsi="Palatino Linotype" w:cs="Palatino Linotype"/>
          <w:b/>
          <w:sz w:val="22"/>
          <w:szCs w:val="22"/>
        </w:rPr>
        <w:t xml:space="preserve">; además, que permite conocer al público general, información de dichos entes, </w:t>
      </w:r>
      <w:r>
        <w:rPr>
          <w:rFonts w:ascii="Palatino Linotype" w:eastAsia="Palatino Linotype" w:hAnsi="Palatino Linotype" w:cs="Palatino Linotype"/>
          <w:sz w:val="22"/>
          <w:szCs w:val="22"/>
        </w:rPr>
        <w:t xml:space="preserve">se muestra un ejemplo a continuación: </w:t>
      </w:r>
    </w:p>
    <w:p w14:paraId="3C5B675B"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998F40A" w14:textId="77777777" w:rsidR="00262817" w:rsidRDefault="00EB2E3F">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23EA220A" wp14:editId="68289127">
            <wp:extent cx="4781550" cy="2486025"/>
            <wp:effectExtent l="0" t="0" r="0" b="0"/>
            <wp:docPr id="19050770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4781550" cy="2486025"/>
                    </a:xfrm>
                    <a:prstGeom prst="rect">
                      <a:avLst/>
                    </a:prstGeom>
                    <a:ln/>
                  </pic:spPr>
                </pic:pic>
              </a:graphicData>
            </a:graphic>
          </wp:inline>
        </w:drawing>
      </w:r>
    </w:p>
    <w:p w14:paraId="1BD6DF47"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D4070C0"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logra vislumbrar que el nombre de las instituciones bancarias en primera instancia es de naturaleza pública; sin embargo, en el presente caso, se relacionada con el hecho de que corresponde al banco en el cual un proveedor decidió recibir el pago de sus servicios; es decir, daría cuenta de la decisión voluntaria de la persona moral de recibir el </w:t>
      </w:r>
      <w:r>
        <w:rPr>
          <w:rFonts w:ascii="Palatino Linotype" w:eastAsia="Palatino Linotype" w:hAnsi="Palatino Linotype" w:cs="Palatino Linotype"/>
          <w:sz w:val="22"/>
          <w:szCs w:val="22"/>
        </w:rPr>
        <w:lastRenderedPageBreak/>
        <w:t xml:space="preserve">pago de sus servicios en una determinada institución; lo cual se relaciona con la cuenta y </w:t>
      </w:r>
      <w:proofErr w:type="spellStart"/>
      <w:r>
        <w:rPr>
          <w:rFonts w:ascii="Palatino Linotype" w:eastAsia="Palatino Linotype" w:hAnsi="Palatino Linotype" w:cs="Palatino Linotype"/>
          <w:sz w:val="22"/>
          <w:szCs w:val="22"/>
        </w:rPr>
        <w:t>clabe</w:t>
      </w:r>
      <w:proofErr w:type="spellEnd"/>
      <w:r>
        <w:rPr>
          <w:rFonts w:ascii="Palatino Linotype" w:eastAsia="Palatino Linotype" w:hAnsi="Palatino Linotype" w:cs="Palatino Linotype"/>
          <w:sz w:val="22"/>
          <w:szCs w:val="22"/>
        </w:rPr>
        <w:t xml:space="preserve"> interbancaria, mismos que son confidenciales.</w:t>
      </w:r>
    </w:p>
    <w:p w14:paraId="4C3233F1"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3CFF7540"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revelaría el lugar en donde el proveedor recibió los recursos por prestar sus servicios, lo cual únicamente está relacionado a su vida íntima o privada; por lo que, este Instituto considera que el nombre de la institución </w:t>
      </w:r>
      <w:proofErr w:type="gramStart"/>
      <w:r>
        <w:rPr>
          <w:rFonts w:ascii="Palatino Linotype" w:eastAsia="Palatino Linotype" w:hAnsi="Palatino Linotype" w:cs="Palatino Linotype"/>
          <w:sz w:val="22"/>
          <w:szCs w:val="22"/>
        </w:rPr>
        <w:t>bancaria,</w:t>
      </w:r>
      <w:proofErr w:type="gramEnd"/>
      <w:r>
        <w:rPr>
          <w:rFonts w:ascii="Palatino Linotype" w:eastAsia="Palatino Linotype" w:hAnsi="Palatino Linotype" w:cs="Palatino Linotype"/>
          <w:sz w:val="22"/>
          <w:szCs w:val="22"/>
        </w:rPr>
        <w:t xml:space="preserve"> actualiza la causal de clasificación prevista en el artículo 143, fracción I, de la Ley de Transparencia y Acceso a la Información Pública del Estado de México y Municipios.</w:t>
      </w:r>
    </w:p>
    <w:p w14:paraId="2F41E3C7"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DCC26BB" w14:textId="77777777" w:rsidR="00262817" w:rsidRDefault="00EB2E3F">
      <w:pPr>
        <w:tabs>
          <w:tab w:val="left" w:pos="3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Ahora bien, el artículo 168 de la Ley de Transparencia y Acceso a la Información Pública del Estado de México y Municipios, que precisa que</w:t>
      </w:r>
      <w:r>
        <w:rPr>
          <w:rFonts w:ascii="Arial" w:eastAsia="Arial" w:hAnsi="Arial" w:cs="Arial"/>
          <w:color w:val="000000"/>
          <w:sz w:val="24"/>
          <w:szCs w:val="24"/>
        </w:rPr>
        <w:t xml:space="preserve"> </w:t>
      </w:r>
      <w:r>
        <w:rPr>
          <w:rFonts w:ascii="Palatino Linotype" w:eastAsia="Palatino Linotype" w:hAnsi="Palatino Linotype" w:cs="Palatino Linotype"/>
          <w:color w:val="000000"/>
          <w:sz w:val="22"/>
          <w:szCs w:val="22"/>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6BF69AD0" w14:textId="77777777" w:rsidR="00262817" w:rsidRDefault="00262817">
      <w:pPr>
        <w:tabs>
          <w:tab w:val="left" w:pos="3962"/>
        </w:tabs>
        <w:spacing w:line="360" w:lineRule="auto"/>
        <w:jc w:val="both"/>
        <w:rPr>
          <w:rFonts w:ascii="Palatino Linotype" w:eastAsia="Palatino Linotype" w:hAnsi="Palatino Linotype" w:cs="Palatino Linotype"/>
          <w:color w:val="000000"/>
          <w:sz w:val="22"/>
          <w:szCs w:val="22"/>
        </w:rPr>
      </w:pPr>
    </w:p>
    <w:p w14:paraId="6E9E1752" w14:textId="77777777" w:rsidR="00262817" w:rsidRDefault="00EB2E3F">
      <w:pPr>
        <w:numPr>
          <w:ilvl w:val="0"/>
          <w:numId w:val="14"/>
        </w:numPr>
        <w:tabs>
          <w:tab w:val="left" w:pos="3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Confirmar la clasificación;</w:t>
      </w:r>
    </w:p>
    <w:p w14:paraId="41F18512" w14:textId="77777777" w:rsidR="00262817" w:rsidRDefault="00EB2E3F">
      <w:pPr>
        <w:numPr>
          <w:ilvl w:val="0"/>
          <w:numId w:val="14"/>
        </w:numPr>
        <w:tabs>
          <w:tab w:val="left" w:pos="3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Modificar la clasificación y, otorgar total o parcialmente el acceso a la información, o</w:t>
      </w:r>
    </w:p>
    <w:p w14:paraId="698AED1C" w14:textId="77777777" w:rsidR="00262817" w:rsidRDefault="00EB2E3F">
      <w:pPr>
        <w:numPr>
          <w:ilvl w:val="0"/>
          <w:numId w:val="14"/>
        </w:numPr>
        <w:tabs>
          <w:tab w:val="left" w:pos="3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Revocar la clasificación y conceder el acceso a la información.</w:t>
      </w:r>
    </w:p>
    <w:p w14:paraId="11B748C1" w14:textId="77777777" w:rsidR="00262817" w:rsidRDefault="00262817">
      <w:pPr>
        <w:tabs>
          <w:tab w:val="left" w:pos="3962"/>
        </w:tabs>
        <w:spacing w:line="360" w:lineRule="auto"/>
        <w:jc w:val="both"/>
        <w:rPr>
          <w:rFonts w:ascii="Palatino Linotype" w:eastAsia="Palatino Linotype" w:hAnsi="Palatino Linotype" w:cs="Palatino Linotype"/>
          <w:color w:val="000000"/>
          <w:sz w:val="22"/>
          <w:szCs w:val="22"/>
        </w:rPr>
      </w:pPr>
    </w:p>
    <w:p w14:paraId="3F6ED813" w14:textId="77777777" w:rsidR="00262817" w:rsidRDefault="00EB2E3F">
      <w:pPr>
        <w:tabs>
          <w:tab w:val="left" w:pos="3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w:t>
      </w:r>
    </w:p>
    <w:p w14:paraId="1A642114" w14:textId="77777777" w:rsidR="00262817" w:rsidRDefault="00262817">
      <w:pPr>
        <w:spacing w:line="360" w:lineRule="auto"/>
        <w:jc w:val="both"/>
        <w:rPr>
          <w:rFonts w:ascii="Palatino Linotype" w:eastAsia="Palatino Linotype" w:hAnsi="Palatino Linotype" w:cs="Palatino Linotype"/>
          <w:b/>
          <w:color w:val="000000"/>
          <w:sz w:val="22"/>
          <w:szCs w:val="22"/>
        </w:rPr>
      </w:pPr>
    </w:p>
    <w:p w14:paraId="0E55BD62"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tal suerte, se logra vislumbrar que el Sujeto Obligado clasificó datos de naturaleza pública, a saber, </w:t>
      </w:r>
      <w:r>
        <w:rPr>
          <w:rFonts w:ascii="Palatino Linotype" w:eastAsia="Palatino Linotype" w:hAnsi="Palatino Linotype" w:cs="Palatino Linotype"/>
          <w:sz w:val="22"/>
          <w:szCs w:val="22"/>
        </w:rPr>
        <w:t xml:space="preserve">el nombre o razón social, el Registro Federal de Contribuyentes, datos de contacto, </w:t>
      </w:r>
      <w:r>
        <w:rPr>
          <w:rFonts w:ascii="Palatino Linotype" w:eastAsia="Palatino Linotype" w:hAnsi="Palatino Linotype" w:cs="Palatino Linotype"/>
          <w:sz w:val="22"/>
          <w:szCs w:val="22"/>
        </w:rPr>
        <w:lastRenderedPageBreak/>
        <w:t>domicilio legal o fiscal y firma de proveedores o contratistas, así como, el nombre y firma del presentante legal, así como, los datos de identificación de las actas constitutivas o instrumentos notariales</w:t>
      </w:r>
      <w:r>
        <w:rPr>
          <w:rFonts w:ascii="Palatino Linotype" w:eastAsia="Palatino Linotype" w:hAnsi="Palatino Linotype" w:cs="Palatino Linotype"/>
          <w:color w:val="000000"/>
          <w:sz w:val="22"/>
          <w:szCs w:val="22"/>
        </w:rPr>
        <w:t xml:space="preserve">; aunado a que omitió entregar el Acuerdo emitido por el Comité de Transparencia, donde se confirmará la clasificación de los datos personales, lo cual da como resultado que el agravio sea </w:t>
      </w:r>
      <w:r>
        <w:rPr>
          <w:rFonts w:ascii="Palatino Linotype" w:eastAsia="Palatino Linotype" w:hAnsi="Palatino Linotype" w:cs="Palatino Linotype"/>
          <w:b/>
          <w:color w:val="000000"/>
          <w:sz w:val="22"/>
          <w:szCs w:val="22"/>
        </w:rPr>
        <w:t>FUNDADO.</w:t>
      </w:r>
    </w:p>
    <w:p w14:paraId="0A4F0629" w14:textId="77777777" w:rsidR="00262817" w:rsidRDefault="00262817">
      <w:pPr>
        <w:spacing w:line="360" w:lineRule="auto"/>
        <w:jc w:val="both"/>
        <w:rPr>
          <w:rFonts w:ascii="Palatino Linotype" w:eastAsia="Palatino Linotype" w:hAnsi="Palatino Linotype" w:cs="Palatino Linotype"/>
          <w:b/>
          <w:color w:val="000000"/>
          <w:sz w:val="22"/>
          <w:szCs w:val="22"/>
        </w:rPr>
      </w:pPr>
    </w:p>
    <w:p w14:paraId="14AC1728" w14:textId="77777777" w:rsidR="00262817" w:rsidRDefault="00EB2E3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Por lo que, para atender el requerimiento </w:t>
      </w:r>
      <w:r>
        <w:rPr>
          <w:rFonts w:ascii="Palatino Linotype" w:eastAsia="Palatino Linotype" w:hAnsi="Palatino Linotype" w:cs="Palatino Linotype"/>
          <w:sz w:val="22"/>
          <w:szCs w:val="22"/>
        </w:rPr>
        <w:t>entregar la versión íntegra del Padrón de Proveedores y de los contratos que no contengan datos confidenciales; y en su caso, en versión pública aquellos que contengan la Clava Única de Registro de Población de proveedores personas físicas, junto con el respectivo acuerdo de Clasificación.</w:t>
      </w:r>
    </w:p>
    <w:p w14:paraId="29011F37" w14:textId="77777777" w:rsidR="00262817" w:rsidRDefault="00262817">
      <w:pPr>
        <w:spacing w:line="360" w:lineRule="auto"/>
        <w:ind w:right="-28"/>
        <w:jc w:val="both"/>
        <w:rPr>
          <w:rFonts w:ascii="Palatino Linotype" w:eastAsia="Palatino Linotype" w:hAnsi="Palatino Linotype" w:cs="Palatino Linotype"/>
          <w:sz w:val="22"/>
          <w:szCs w:val="22"/>
        </w:rPr>
      </w:pPr>
    </w:p>
    <w:p w14:paraId="2B1757F9" w14:textId="77777777" w:rsidR="00262817" w:rsidRPr="00B70167" w:rsidRDefault="00EB2E3F" w:rsidP="00B70167">
      <w:pPr>
        <w:pStyle w:val="Ttulo1"/>
        <w:rPr>
          <w:rFonts w:ascii="Palatino Linotype" w:eastAsia="Palatino Linotype" w:hAnsi="Palatino Linotype"/>
          <w:b/>
          <w:color w:val="auto"/>
          <w:sz w:val="22"/>
          <w:szCs w:val="22"/>
        </w:rPr>
      </w:pPr>
      <w:bookmarkStart w:id="14" w:name="_Toc192783476"/>
      <w:r w:rsidRPr="00B70167">
        <w:rPr>
          <w:rFonts w:ascii="Palatino Linotype" w:eastAsia="Palatino Linotype" w:hAnsi="Palatino Linotype"/>
          <w:b/>
          <w:color w:val="auto"/>
          <w:sz w:val="22"/>
          <w:szCs w:val="22"/>
        </w:rPr>
        <w:t>SEXTO. Decisión</w:t>
      </w:r>
      <w:bookmarkEnd w:id="14"/>
    </w:p>
    <w:p w14:paraId="3996C0E0" w14:textId="77777777" w:rsidR="00262817" w:rsidRDefault="00262817">
      <w:pPr>
        <w:spacing w:line="360" w:lineRule="auto"/>
        <w:ind w:right="-28"/>
        <w:jc w:val="both"/>
        <w:rPr>
          <w:rFonts w:ascii="Palatino Linotype" w:eastAsia="Palatino Linotype" w:hAnsi="Palatino Linotype" w:cs="Palatino Linotype"/>
          <w:b/>
          <w:color w:val="000000"/>
          <w:sz w:val="22"/>
          <w:szCs w:val="22"/>
        </w:rPr>
      </w:pPr>
    </w:p>
    <w:p w14:paraId="67722DE9" w14:textId="77777777" w:rsidR="00262817" w:rsidRDefault="00EB2E3F">
      <w:pP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MODIFICAR</w:t>
      </w:r>
      <w:r>
        <w:rPr>
          <w:rFonts w:ascii="Palatino Linotype" w:eastAsia="Palatino Linotype" w:hAnsi="Palatino Linotype" w:cs="Palatino Linotype"/>
          <w:color w:val="000000"/>
          <w:sz w:val="22"/>
          <w:szCs w:val="22"/>
        </w:rPr>
        <w:t xml:space="preserve"> la respuesta otorgada a la solicitud de información, a efecto de que el Sujeto Obligado proporcione la información remitida en respuesta, además del el Acuerdo emitido por el Comité de Transparencia, en donde de manera fundada y motivada, confirme la clasificación de la información, de conformidad con los artículos 49, fracción II, 132, fracción II, 143, fracción I, y 149 de la Ley de Transparencia y Acceso a la Información Pública del Estado de México y Municipios.</w:t>
      </w:r>
    </w:p>
    <w:p w14:paraId="22582A00" w14:textId="77777777" w:rsidR="00262817" w:rsidRDefault="00262817">
      <w:pPr>
        <w:spacing w:line="360" w:lineRule="auto"/>
        <w:ind w:right="-93"/>
        <w:jc w:val="both"/>
        <w:rPr>
          <w:rFonts w:ascii="Palatino Linotype" w:eastAsia="Palatino Linotype" w:hAnsi="Palatino Linotype" w:cs="Palatino Linotype"/>
          <w:color w:val="000000"/>
          <w:sz w:val="22"/>
          <w:szCs w:val="22"/>
        </w:rPr>
      </w:pPr>
    </w:p>
    <w:p w14:paraId="2B4FFA1F" w14:textId="77777777" w:rsidR="00262817" w:rsidRDefault="00EB2E3F">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para el Recurrente</w:t>
      </w:r>
    </w:p>
    <w:p w14:paraId="363B52FA"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Se le hace del conocimiento al ahora Recurrente, que, en el presente caso, se le concede parcialmente la razón, pues el Ente Recurrido no proporcionó el Acuerdo de Clasificación que </w:t>
      </w:r>
      <w:r>
        <w:rPr>
          <w:rFonts w:ascii="Palatino Linotype" w:eastAsia="Palatino Linotype" w:hAnsi="Palatino Linotype" w:cs="Palatino Linotype"/>
          <w:color w:val="000000"/>
          <w:sz w:val="22"/>
          <w:szCs w:val="22"/>
        </w:rPr>
        <w:lastRenderedPageBreak/>
        <w:t>fundará y motivará los datos localizados en los contratos y el padrón de proveedores entregados en respuesta, por lo que, deberá proporcionarle la documental respectiva. La labor del Instituto es apoyar a la población a acceder a la información pública y garantizar la protección de los datos personales.</w:t>
      </w:r>
    </w:p>
    <w:p w14:paraId="1CEB00E3"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7E8DC38D" w14:textId="77777777" w:rsidR="00262817" w:rsidRDefault="00EB2E3F">
      <w:pPr>
        <w:spacing w:line="360" w:lineRule="auto"/>
        <w:ind w:right="-9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expuesto y fundado, este Pleno:</w:t>
      </w:r>
    </w:p>
    <w:p w14:paraId="1F93F62E" w14:textId="77777777" w:rsidR="00262817" w:rsidRPr="00B70167" w:rsidRDefault="00262817" w:rsidP="00B70167">
      <w:pPr>
        <w:pStyle w:val="Ttulo1"/>
        <w:jc w:val="center"/>
        <w:rPr>
          <w:rFonts w:ascii="Palatino Linotype" w:eastAsia="Palatino Linotype" w:hAnsi="Palatino Linotype"/>
          <w:b/>
          <w:color w:val="auto"/>
          <w:sz w:val="22"/>
          <w:szCs w:val="22"/>
        </w:rPr>
      </w:pPr>
    </w:p>
    <w:p w14:paraId="0A58033A" w14:textId="77777777" w:rsidR="00262817" w:rsidRPr="00B70167" w:rsidRDefault="00EB2E3F" w:rsidP="00B70167">
      <w:pPr>
        <w:pStyle w:val="Ttulo1"/>
        <w:jc w:val="center"/>
        <w:rPr>
          <w:rFonts w:ascii="Palatino Linotype" w:eastAsia="Palatino Linotype" w:hAnsi="Palatino Linotype"/>
          <w:b/>
          <w:color w:val="auto"/>
          <w:sz w:val="22"/>
          <w:szCs w:val="22"/>
        </w:rPr>
      </w:pPr>
      <w:bookmarkStart w:id="15" w:name="_Toc192783477"/>
      <w:r w:rsidRPr="00B70167">
        <w:rPr>
          <w:rFonts w:ascii="Palatino Linotype" w:eastAsia="Palatino Linotype" w:hAnsi="Palatino Linotype"/>
          <w:b/>
          <w:color w:val="auto"/>
          <w:sz w:val="22"/>
          <w:szCs w:val="22"/>
        </w:rPr>
        <w:t>R E S U E L V E</w:t>
      </w:r>
      <w:bookmarkEnd w:id="15"/>
    </w:p>
    <w:p w14:paraId="6D808A9B" w14:textId="77777777" w:rsidR="00262817" w:rsidRDefault="00262817">
      <w:pPr>
        <w:spacing w:line="360" w:lineRule="auto"/>
        <w:jc w:val="both"/>
        <w:rPr>
          <w:rFonts w:ascii="Palatino Linotype" w:eastAsia="Palatino Linotype" w:hAnsi="Palatino Linotype" w:cs="Palatino Linotype"/>
          <w:b/>
          <w:color w:val="FF0000"/>
          <w:sz w:val="22"/>
          <w:szCs w:val="22"/>
        </w:rPr>
      </w:pPr>
    </w:p>
    <w:p w14:paraId="77524189"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MODIFICA </w:t>
      </w:r>
      <w:r>
        <w:rPr>
          <w:rFonts w:ascii="Palatino Linotype" w:eastAsia="Palatino Linotype" w:hAnsi="Palatino Linotype" w:cs="Palatino Linotype"/>
          <w:color w:val="000000"/>
          <w:sz w:val="22"/>
          <w:szCs w:val="22"/>
        </w:rPr>
        <w:t xml:space="preserve">la respuesta otorgada por el Consejo Estatal para el Desarrollo Integral de los Pueblos Indígenas del Estado de México, a la solicitud de acceso a la información </w:t>
      </w:r>
      <w:r>
        <w:rPr>
          <w:rFonts w:ascii="Palatino Linotype" w:eastAsia="Palatino Linotype" w:hAnsi="Palatino Linotype" w:cs="Palatino Linotype"/>
          <w:sz w:val="22"/>
          <w:szCs w:val="22"/>
        </w:rPr>
        <w:t>00044/CEDIPIEM/IP/2024</w:t>
      </w:r>
      <w:r>
        <w:rPr>
          <w:rFonts w:ascii="Palatino Linotype" w:eastAsia="Palatino Linotype" w:hAnsi="Palatino Linotype" w:cs="Palatino Linotype"/>
          <w:color w:val="000000"/>
          <w:sz w:val="22"/>
          <w:szCs w:val="22"/>
        </w:rPr>
        <w:t xml:space="preserve">, por resultar parcialmente </w:t>
      </w:r>
      <w:r>
        <w:rPr>
          <w:rFonts w:ascii="Palatino Linotype" w:eastAsia="Palatino Linotype" w:hAnsi="Palatino Linotype" w:cs="Palatino Linotype"/>
          <w:b/>
          <w:color w:val="000000"/>
          <w:sz w:val="22"/>
          <w:szCs w:val="22"/>
        </w:rPr>
        <w:t xml:space="preserve">FUNDADOS </w:t>
      </w:r>
      <w:r>
        <w:rPr>
          <w:rFonts w:ascii="Palatino Linotype" w:eastAsia="Palatino Linotype" w:hAnsi="Palatino Linotype" w:cs="Palatino Linotype"/>
          <w:color w:val="000000"/>
          <w:sz w:val="22"/>
          <w:szCs w:val="22"/>
        </w:rPr>
        <w:t>los agravios</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hechos valer por el Particular, en el Recurso de Revisión</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en términos de los Considerandos QUINTO y SEXTO de la presente Resolución.  </w:t>
      </w:r>
    </w:p>
    <w:p w14:paraId="29A90DE5" w14:textId="77777777" w:rsidR="00262817" w:rsidRDefault="00262817">
      <w:pPr>
        <w:spacing w:line="360" w:lineRule="auto"/>
        <w:jc w:val="both"/>
        <w:rPr>
          <w:rFonts w:ascii="Palatino Linotype" w:eastAsia="Palatino Linotype" w:hAnsi="Palatino Linotype" w:cs="Palatino Linotype"/>
          <w:color w:val="FF0000"/>
          <w:sz w:val="22"/>
          <w:szCs w:val="22"/>
        </w:rPr>
      </w:pPr>
    </w:p>
    <w:p w14:paraId="5586DE09" w14:textId="77777777" w:rsidR="00262817" w:rsidRDefault="00EB2E3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que entregue a través del Sistema de Acceso a la Información Mexiquense (SAIMEX), </w:t>
      </w:r>
      <w:r>
        <w:rPr>
          <w:rFonts w:ascii="Palatino Linotype" w:eastAsia="Palatino Linotype" w:hAnsi="Palatino Linotype" w:cs="Palatino Linotype"/>
          <w:sz w:val="22"/>
          <w:szCs w:val="22"/>
        </w:rPr>
        <w:t>lo siguiente.</w:t>
      </w:r>
    </w:p>
    <w:p w14:paraId="3200E2ED" w14:textId="77777777" w:rsidR="00262817" w:rsidRDefault="00262817">
      <w:pPr>
        <w:spacing w:line="360" w:lineRule="auto"/>
        <w:jc w:val="both"/>
        <w:rPr>
          <w:rFonts w:ascii="Palatino Linotype" w:eastAsia="Palatino Linotype" w:hAnsi="Palatino Linotype" w:cs="Palatino Linotype"/>
          <w:sz w:val="22"/>
          <w:szCs w:val="22"/>
        </w:rPr>
      </w:pPr>
    </w:p>
    <w:p w14:paraId="670E67E6" w14:textId="77777777" w:rsidR="00262817" w:rsidRDefault="00EB2E3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versión íntegra, el Padrón de Proveedores entregado en respuesta;</w:t>
      </w:r>
    </w:p>
    <w:p w14:paraId="2EB4DF89" w14:textId="77777777" w:rsidR="00262817" w:rsidRDefault="0026281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BF063B5" w14:textId="77777777" w:rsidR="00262817" w:rsidRDefault="00EB2E3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su caso, en versión pública, los contratos proporcionados en contestación, en términos de lo establecido en el Considerando QUINTO.</w:t>
      </w:r>
    </w:p>
    <w:p w14:paraId="002E07E6" w14:textId="77777777" w:rsidR="00262817" w:rsidRDefault="0026281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00F1C0D3"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Además, deberá proporcionar el Acuerdo de Clasificación donde el Comité de Transparencia, confirme la eliminación de los datos confidenciales, en términos del Considerando QUINTO, en la versión pública, de conformidad con los artículos 49, fracciones II y VIII y 132, fracción II de la Ley de Transparencia y Acceso a la Información Pública del Estado de México y Municipios.</w:t>
      </w:r>
    </w:p>
    <w:p w14:paraId="557F0FF5"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0693FFCA"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TERCERO. NOTIFÍQUESE POR SAIMEX</w:t>
      </w:r>
      <w:r>
        <w:rPr>
          <w:rFonts w:ascii="Palatino Linotype" w:eastAsia="Palatino Linotype" w:hAnsi="Palatino Linotype" w:cs="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76C88FA4"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073B8DAD"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12B6EC82"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0E9BF5B8"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NOTIFÍQUESE POR SAIMEX</w:t>
      </w:r>
      <w:r>
        <w:rPr>
          <w:rFonts w:ascii="Palatino Linotype" w:eastAsia="Palatino Linotype" w:hAnsi="Palatino Linotype" w:cs="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02E5A0E" w14:textId="77777777" w:rsidR="00262817" w:rsidRDefault="00262817">
      <w:pPr>
        <w:spacing w:line="360" w:lineRule="auto"/>
        <w:jc w:val="both"/>
        <w:rPr>
          <w:rFonts w:ascii="Palatino Linotype" w:eastAsia="Palatino Linotype" w:hAnsi="Palatino Linotype" w:cs="Palatino Linotype"/>
          <w:color w:val="000000"/>
          <w:sz w:val="22"/>
          <w:szCs w:val="22"/>
        </w:rPr>
      </w:pPr>
    </w:p>
    <w:p w14:paraId="5D418621" w14:textId="77777777" w:rsidR="00262817" w:rsidRDefault="00EB2E3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ASÍ LO RESUELVE, POR </w:t>
      </w:r>
      <w:r>
        <w:rPr>
          <w:rFonts w:ascii="Palatino Linotype" w:eastAsia="Palatino Linotype" w:hAnsi="Palatino Linotype" w:cs="Palatino Linotype"/>
          <w:b/>
          <w:color w:val="000000"/>
          <w:sz w:val="22"/>
          <w:szCs w:val="22"/>
        </w:rPr>
        <w:t>UNANIMIDAD</w:t>
      </w:r>
      <w:r>
        <w:rPr>
          <w:rFonts w:ascii="Palatino Linotype" w:eastAsia="Palatino Linotype" w:hAnsi="Palatino Linotype" w:cs="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35C37EEC" w14:textId="77777777" w:rsidR="00262817" w:rsidRDefault="00262817">
      <w:pPr>
        <w:spacing w:line="360" w:lineRule="auto"/>
        <w:jc w:val="both"/>
        <w:rPr>
          <w:rFonts w:ascii="Palatino Linotype" w:eastAsia="Palatino Linotype" w:hAnsi="Palatino Linotype" w:cs="Palatino Linotype"/>
          <w:sz w:val="22"/>
          <w:szCs w:val="22"/>
        </w:rPr>
      </w:pPr>
    </w:p>
    <w:p w14:paraId="27E902E5" w14:textId="77777777" w:rsidR="00262817" w:rsidRDefault="00262817">
      <w:pPr>
        <w:spacing w:line="360" w:lineRule="auto"/>
        <w:ind w:right="-28"/>
        <w:jc w:val="both"/>
        <w:rPr>
          <w:rFonts w:ascii="Palatino Linotype" w:eastAsia="Palatino Linotype" w:hAnsi="Palatino Linotype" w:cs="Palatino Linotype"/>
          <w:sz w:val="22"/>
          <w:szCs w:val="22"/>
        </w:rPr>
      </w:pPr>
    </w:p>
    <w:p w14:paraId="3120D8E5" w14:textId="77777777" w:rsidR="00262817" w:rsidRDefault="00262817">
      <w:pPr>
        <w:spacing w:line="360" w:lineRule="auto"/>
        <w:rPr>
          <w:rFonts w:ascii="Palatino Linotype" w:eastAsia="Palatino Linotype" w:hAnsi="Palatino Linotype" w:cs="Palatino Linotype"/>
        </w:rPr>
      </w:pPr>
    </w:p>
    <w:p w14:paraId="542D8A87" w14:textId="77777777" w:rsidR="00262817" w:rsidRDefault="00262817">
      <w:pPr>
        <w:spacing w:line="360" w:lineRule="auto"/>
        <w:rPr>
          <w:rFonts w:ascii="Palatino Linotype" w:eastAsia="Palatino Linotype" w:hAnsi="Palatino Linotype" w:cs="Palatino Linotype"/>
        </w:rPr>
      </w:pPr>
    </w:p>
    <w:p w14:paraId="722845DD" w14:textId="77777777" w:rsidR="00262817" w:rsidRDefault="00262817">
      <w:pPr>
        <w:spacing w:line="360" w:lineRule="auto"/>
        <w:rPr>
          <w:rFonts w:ascii="Palatino Linotype" w:eastAsia="Palatino Linotype" w:hAnsi="Palatino Linotype" w:cs="Palatino Linotype"/>
        </w:rPr>
      </w:pPr>
    </w:p>
    <w:p w14:paraId="0E0D33E9" w14:textId="77777777" w:rsidR="00262817" w:rsidRDefault="00262817">
      <w:pPr>
        <w:spacing w:line="360" w:lineRule="auto"/>
        <w:rPr>
          <w:rFonts w:ascii="Palatino Linotype" w:eastAsia="Palatino Linotype" w:hAnsi="Palatino Linotype" w:cs="Palatino Linotype"/>
        </w:rPr>
      </w:pPr>
    </w:p>
    <w:p w14:paraId="2B8D389A" w14:textId="77777777" w:rsidR="00262817" w:rsidRDefault="00262817">
      <w:pPr>
        <w:spacing w:line="360" w:lineRule="auto"/>
        <w:rPr>
          <w:rFonts w:ascii="Palatino Linotype" w:eastAsia="Palatino Linotype" w:hAnsi="Palatino Linotype" w:cs="Palatino Linotype"/>
        </w:rPr>
      </w:pPr>
    </w:p>
    <w:p w14:paraId="63C1464F" w14:textId="77777777" w:rsidR="00262817" w:rsidRDefault="00262817">
      <w:pPr>
        <w:spacing w:line="360" w:lineRule="auto"/>
        <w:rPr>
          <w:rFonts w:ascii="Palatino Linotype" w:eastAsia="Palatino Linotype" w:hAnsi="Palatino Linotype" w:cs="Palatino Linotype"/>
        </w:rPr>
      </w:pPr>
    </w:p>
    <w:p w14:paraId="08B320CA" w14:textId="77777777" w:rsidR="00262817" w:rsidRDefault="00262817">
      <w:pPr>
        <w:spacing w:line="360" w:lineRule="auto"/>
        <w:rPr>
          <w:rFonts w:ascii="Palatino Linotype" w:eastAsia="Palatino Linotype" w:hAnsi="Palatino Linotype" w:cs="Palatino Linotype"/>
        </w:rPr>
      </w:pPr>
    </w:p>
    <w:p w14:paraId="5AFDA1EC" w14:textId="77777777" w:rsidR="00262817" w:rsidRDefault="00262817">
      <w:pPr>
        <w:spacing w:line="360" w:lineRule="auto"/>
        <w:rPr>
          <w:rFonts w:ascii="Palatino Linotype" w:eastAsia="Palatino Linotype" w:hAnsi="Palatino Linotype" w:cs="Palatino Linotype"/>
        </w:rPr>
      </w:pPr>
    </w:p>
    <w:p w14:paraId="4F39D1F2" w14:textId="77777777" w:rsidR="00262817" w:rsidRDefault="00262817">
      <w:pPr>
        <w:spacing w:line="360" w:lineRule="auto"/>
        <w:rPr>
          <w:rFonts w:ascii="Palatino Linotype" w:eastAsia="Palatino Linotype" w:hAnsi="Palatino Linotype" w:cs="Palatino Linotype"/>
        </w:rPr>
      </w:pPr>
    </w:p>
    <w:p w14:paraId="78380A60" w14:textId="77777777" w:rsidR="00262817" w:rsidRDefault="00262817">
      <w:pPr>
        <w:spacing w:line="360" w:lineRule="auto"/>
        <w:rPr>
          <w:rFonts w:ascii="Palatino Linotype" w:eastAsia="Palatino Linotype" w:hAnsi="Palatino Linotype" w:cs="Palatino Linotype"/>
        </w:rPr>
      </w:pPr>
    </w:p>
    <w:p w14:paraId="18F3006F" w14:textId="77777777" w:rsidR="00262817" w:rsidRDefault="00262817">
      <w:pPr>
        <w:spacing w:line="360" w:lineRule="auto"/>
        <w:rPr>
          <w:rFonts w:ascii="Palatino Linotype" w:eastAsia="Palatino Linotype" w:hAnsi="Palatino Linotype" w:cs="Palatino Linotype"/>
        </w:rPr>
      </w:pPr>
    </w:p>
    <w:p w14:paraId="3D646A08" w14:textId="77777777" w:rsidR="00262817" w:rsidRDefault="00262817">
      <w:pPr>
        <w:spacing w:line="360" w:lineRule="auto"/>
        <w:rPr>
          <w:rFonts w:ascii="Palatino Linotype" w:eastAsia="Palatino Linotype" w:hAnsi="Palatino Linotype" w:cs="Palatino Linotype"/>
        </w:rPr>
      </w:pPr>
    </w:p>
    <w:p w14:paraId="5044883A" w14:textId="77777777" w:rsidR="00262817" w:rsidRDefault="00262817">
      <w:pPr>
        <w:spacing w:line="360" w:lineRule="auto"/>
        <w:rPr>
          <w:rFonts w:ascii="Palatino Linotype" w:eastAsia="Palatino Linotype" w:hAnsi="Palatino Linotype" w:cs="Palatino Linotype"/>
        </w:rPr>
      </w:pPr>
    </w:p>
    <w:p w14:paraId="702AF24F" w14:textId="77777777" w:rsidR="00262817" w:rsidRDefault="00262817">
      <w:pPr>
        <w:spacing w:line="360" w:lineRule="auto"/>
        <w:rPr>
          <w:rFonts w:ascii="Palatino Linotype" w:eastAsia="Palatino Linotype" w:hAnsi="Palatino Linotype" w:cs="Palatino Linotype"/>
        </w:rPr>
      </w:pPr>
    </w:p>
    <w:p w14:paraId="3A9EA75A" w14:textId="77777777" w:rsidR="00262817" w:rsidRDefault="00262817">
      <w:pPr>
        <w:spacing w:line="360" w:lineRule="auto"/>
        <w:rPr>
          <w:rFonts w:ascii="Palatino Linotype" w:eastAsia="Palatino Linotype" w:hAnsi="Palatino Linotype" w:cs="Palatino Linotype"/>
        </w:rPr>
      </w:pPr>
    </w:p>
    <w:p w14:paraId="7386FBD6" w14:textId="77777777" w:rsidR="00262817" w:rsidRDefault="00262817">
      <w:pPr>
        <w:spacing w:line="360" w:lineRule="auto"/>
        <w:rPr>
          <w:rFonts w:ascii="Palatino Linotype" w:eastAsia="Palatino Linotype" w:hAnsi="Palatino Linotype" w:cs="Palatino Linotype"/>
        </w:rPr>
      </w:pPr>
    </w:p>
    <w:p w14:paraId="1C784046" w14:textId="77777777" w:rsidR="00262817" w:rsidRDefault="00262817">
      <w:pPr>
        <w:spacing w:line="360" w:lineRule="auto"/>
        <w:rPr>
          <w:rFonts w:ascii="Palatino Linotype" w:eastAsia="Palatino Linotype" w:hAnsi="Palatino Linotype" w:cs="Palatino Linotype"/>
        </w:rPr>
      </w:pPr>
    </w:p>
    <w:p w14:paraId="4C4676E6" w14:textId="77777777" w:rsidR="00262817" w:rsidRDefault="00262817">
      <w:pPr>
        <w:spacing w:line="360" w:lineRule="auto"/>
        <w:rPr>
          <w:rFonts w:ascii="Palatino Linotype" w:eastAsia="Palatino Linotype" w:hAnsi="Palatino Linotype" w:cs="Palatino Linotype"/>
        </w:rPr>
      </w:pPr>
    </w:p>
    <w:p w14:paraId="464C3B9B" w14:textId="77777777" w:rsidR="00262817" w:rsidRDefault="00262817">
      <w:pPr>
        <w:spacing w:line="360" w:lineRule="auto"/>
        <w:rPr>
          <w:rFonts w:ascii="Palatino Linotype" w:eastAsia="Palatino Linotype" w:hAnsi="Palatino Linotype" w:cs="Palatino Linotype"/>
        </w:rPr>
      </w:pPr>
    </w:p>
    <w:p w14:paraId="75979248" w14:textId="77777777" w:rsidR="00262817" w:rsidRDefault="00262817">
      <w:pPr>
        <w:spacing w:line="360" w:lineRule="auto"/>
        <w:rPr>
          <w:rFonts w:ascii="Palatino Linotype" w:eastAsia="Palatino Linotype" w:hAnsi="Palatino Linotype" w:cs="Palatino Linotype"/>
        </w:rPr>
      </w:pPr>
    </w:p>
    <w:p w14:paraId="52D3C05A" w14:textId="77777777" w:rsidR="00262817" w:rsidRDefault="00262817">
      <w:pPr>
        <w:spacing w:line="360" w:lineRule="auto"/>
        <w:rPr>
          <w:rFonts w:ascii="Palatino Linotype" w:eastAsia="Palatino Linotype" w:hAnsi="Palatino Linotype" w:cs="Palatino Linotype"/>
        </w:rPr>
      </w:pPr>
    </w:p>
    <w:p w14:paraId="208721A0" w14:textId="77777777" w:rsidR="00262817" w:rsidRDefault="00262817">
      <w:pPr>
        <w:spacing w:line="360" w:lineRule="auto"/>
        <w:rPr>
          <w:rFonts w:ascii="Palatino Linotype" w:eastAsia="Palatino Linotype" w:hAnsi="Palatino Linotype" w:cs="Palatino Linotype"/>
        </w:rPr>
      </w:pPr>
    </w:p>
    <w:p w14:paraId="7B21C44C" w14:textId="77777777" w:rsidR="00262817" w:rsidRDefault="00262817">
      <w:pPr>
        <w:spacing w:line="360" w:lineRule="auto"/>
      </w:pPr>
    </w:p>
    <w:p w14:paraId="59749B42" w14:textId="77777777" w:rsidR="00262817" w:rsidRDefault="00262817">
      <w:pPr>
        <w:spacing w:line="360" w:lineRule="auto"/>
      </w:pPr>
    </w:p>
    <w:p w14:paraId="6975125C" w14:textId="77777777" w:rsidR="00262817" w:rsidRDefault="00262817">
      <w:pPr>
        <w:spacing w:line="360" w:lineRule="auto"/>
      </w:pPr>
    </w:p>
    <w:sectPr w:rsidR="00262817">
      <w:headerReference w:type="even" r:id="rId15"/>
      <w:headerReference w:type="default" r:id="rId16"/>
      <w:footerReference w:type="default" r:id="rId17"/>
      <w:headerReference w:type="first" r:id="rId18"/>
      <w:footerReference w:type="first" r:id="rId19"/>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30DE" w14:textId="77777777" w:rsidR="005E036D" w:rsidRDefault="005E036D">
      <w:r>
        <w:separator/>
      </w:r>
    </w:p>
  </w:endnote>
  <w:endnote w:type="continuationSeparator" w:id="0">
    <w:p w14:paraId="3EFF7825" w14:textId="77777777" w:rsidR="005E036D" w:rsidRDefault="005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C14B" w14:textId="77777777" w:rsidR="00262817" w:rsidRDefault="00262817">
    <w:pPr>
      <w:pBdr>
        <w:top w:val="nil"/>
        <w:left w:val="nil"/>
        <w:bottom w:val="nil"/>
        <w:right w:val="nil"/>
        <w:between w:val="nil"/>
      </w:pBdr>
      <w:tabs>
        <w:tab w:val="center" w:pos="4419"/>
        <w:tab w:val="right" w:pos="8838"/>
      </w:tabs>
      <w:jc w:val="right"/>
      <w:rPr>
        <w:color w:val="000000"/>
        <w:sz w:val="26"/>
        <w:szCs w:val="26"/>
      </w:rPr>
    </w:pPr>
  </w:p>
  <w:p w14:paraId="392F23E7" w14:textId="77777777" w:rsidR="00262817" w:rsidRDefault="00EB2E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0167">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0167">
      <w:rPr>
        <w:b/>
        <w:noProof/>
        <w:color w:val="000000"/>
        <w:sz w:val="24"/>
        <w:szCs w:val="24"/>
      </w:rPr>
      <w:t>42</w:t>
    </w:r>
    <w:r>
      <w:rPr>
        <w:b/>
        <w:color w:val="000000"/>
        <w:sz w:val="24"/>
        <w:szCs w:val="24"/>
      </w:rPr>
      <w:fldChar w:fldCharType="end"/>
    </w:r>
  </w:p>
  <w:p w14:paraId="60811D99" w14:textId="77777777" w:rsidR="00262817" w:rsidRDefault="0026281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8A38" w14:textId="77777777" w:rsidR="00262817" w:rsidRDefault="00262817">
    <w:pPr>
      <w:pBdr>
        <w:top w:val="nil"/>
        <w:left w:val="nil"/>
        <w:bottom w:val="nil"/>
        <w:right w:val="nil"/>
        <w:between w:val="nil"/>
      </w:pBdr>
      <w:tabs>
        <w:tab w:val="center" w:pos="4419"/>
        <w:tab w:val="right" w:pos="8838"/>
      </w:tabs>
      <w:jc w:val="right"/>
      <w:rPr>
        <w:color w:val="000000"/>
      </w:rPr>
    </w:pPr>
  </w:p>
  <w:p w14:paraId="5A9A4548" w14:textId="77777777" w:rsidR="00262817" w:rsidRDefault="00262817">
    <w:pPr>
      <w:pBdr>
        <w:top w:val="nil"/>
        <w:left w:val="nil"/>
        <w:bottom w:val="nil"/>
        <w:right w:val="nil"/>
        <w:between w:val="nil"/>
      </w:pBdr>
      <w:tabs>
        <w:tab w:val="center" w:pos="4419"/>
        <w:tab w:val="right" w:pos="8838"/>
      </w:tabs>
      <w:jc w:val="right"/>
      <w:rPr>
        <w:color w:val="000000"/>
      </w:rPr>
    </w:pPr>
  </w:p>
  <w:p w14:paraId="6B60CB2C" w14:textId="77777777" w:rsidR="00262817" w:rsidRDefault="00262817">
    <w:pPr>
      <w:pBdr>
        <w:top w:val="nil"/>
        <w:left w:val="nil"/>
        <w:bottom w:val="nil"/>
        <w:right w:val="nil"/>
        <w:between w:val="nil"/>
      </w:pBdr>
      <w:tabs>
        <w:tab w:val="center" w:pos="4419"/>
        <w:tab w:val="right" w:pos="8838"/>
      </w:tabs>
      <w:jc w:val="right"/>
      <w:rPr>
        <w:color w:val="000000"/>
      </w:rPr>
    </w:pPr>
  </w:p>
  <w:p w14:paraId="7B5F4606" w14:textId="77777777" w:rsidR="00262817" w:rsidRDefault="00EB2E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016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0167">
      <w:rPr>
        <w:b/>
        <w:noProof/>
        <w:color w:val="000000"/>
        <w:sz w:val="24"/>
        <w:szCs w:val="24"/>
      </w:rPr>
      <w:t>42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BEB8" w14:textId="77777777" w:rsidR="005E036D" w:rsidRDefault="005E036D">
      <w:r>
        <w:separator/>
      </w:r>
    </w:p>
  </w:footnote>
  <w:footnote w:type="continuationSeparator" w:id="0">
    <w:p w14:paraId="3967C6FB" w14:textId="77777777" w:rsidR="005E036D" w:rsidRDefault="005E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3293" w14:textId="77777777" w:rsidR="00262817" w:rsidRDefault="00000000">
    <w:pPr>
      <w:pBdr>
        <w:top w:val="nil"/>
        <w:left w:val="nil"/>
        <w:bottom w:val="nil"/>
        <w:right w:val="nil"/>
        <w:between w:val="nil"/>
      </w:pBdr>
      <w:tabs>
        <w:tab w:val="center" w:pos="4419"/>
        <w:tab w:val="right" w:pos="8838"/>
      </w:tabs>
      <w:rPr>
        <w:color w:val="000000"/>
      </w:rPr>
    </w:pPr>
    <w:r>
      <w:rPr>
        <w:color w:val="000000"/>
      </w:rPr>
      <w:pict w14:anchorId="41036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82F5" w14:textId="77777777" w:rsidR="00262817" w:rsidRDefault="00262817">
    <w:pPr>
      <w:widowControl w:val="0"/>
      <w:pBdr>
        <w:top w:val="nil"/>
        <w:left w:val="nil"/>
        <w:bottom w:val="nil"/>
        <w:right w:val="nil"/>
        <w:between w:val="nil"/>
      </w:pBdr>
      <w:spacing w:line="276" w:lineRule="auto"/>
      <w:rPr>
        <w:color w:val="000000"/>
      </w:rPr>
    </w:pPr>
  </w:p>
  <w:tbl>
    <w:tblPr>
      <w:tblStyle w:val="a"/>
      <w:tblW w:w="8931" w:type="dxa"/>
      <w:tblInd w:w="0" w:type="dxa"/>
      <w:tblLayout w:type="fixed"/>
      <w:tblLook w:val="0400" w:firstRow="0" w:lastRow="0" w:firstColumn="0" w:lastColumn="0" w:noHBand="0" w:noVBand="1"/>
    </w:tblPr>
    <w:tblGrid>
      <w:gridCol w:w="284"/>
      <w:gridCol w:w="8647"/>
    </w:tblGrid>
    <w:tr w:rsidR="00262817" w14:paraId="37F353AE" w14:textId="77777777">
      <w:trPr>
        <w:trHeight w:val="70"/>
      </w:trPr>
      <w:tc>
        <w:tcPr>
          <w:tcW w:w="284" w:type="dxa"/>
          <w:shd w:val="clear" w:color="auto" w:fill="auto"/>
        </w:tcPr>
        <w:p w14:paraId="4734C9F2" w14:textId="77777777" w:rsidR="00262817" w:rsidRDefault="00262817">
          <w:pPr>
            <w:tabs>
              <w:tab w:val="right" w:pos="4273"/>
            </w:tabs>
            <w:rPr>
              <w:rFonts w:ascii="Garamond" w:eastAsia="Garamond" w:hAnsi="Garamond" w:cs="Garamond"/>
              <w:sz w:val="16"/>
              <w:szCs w:val="16"/>
            </w:rPr>
          </w:pPr>
        </w:p>
      </w:tc>
      <w:tc>
        <w:tcPr>
          <w:tcW w:w="8647" w:type="dxa"/>
          <w:shd w:val="clear" w:color="auto" w:fill="auto"/>
        </w:tcPr>
        <w:p w14:paraId="4F3413B1" w14:textId="77777777" w:rsidR="00262817" w:rsidRDefault="0026281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34"/>
            <w:gridCol w:w="3938"/>
          </w:tblGrid>
          <w:tr w:rsidR="00262817" w14:paraId="3780B89D" w14:textId="77777777">
            <w:trPr>
              <w:trHeight w:val="171"/>
            </w:trPr>
            <w:tc>
              <w:tcPr>
                <w:tcW w:w="5134" w:type="dxa"/>
                <w:vAlign w:val="bottom"/>
              </w:tcPr>
              <w:p w14:paraId="1BE451C8"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938" w:type="dxa"/>
              </w:tcPr>
              <w:p w14:paraId="21222F63" w14:textId="77777777" w:rsidR="00262817" w:rsidRDefault="00EB2E3F">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01006/INFOEM/IP/RR/2025</w:t>
                </w:r>
              </w:p>
            </w:tc>
          </w:tr>
          <w:tr w:rsidR="00262817" w14:paraId="7B215E0B" w14:textId="77777777">
            <w:trPr>
              <w:trHeight w:val="338"/>
            </w:trPr>
            <w:tc>
              <w:tcPr>
                <w:tcW w:w="5134" w:type="dxa"/>
              </w:tcPr>
              <w:p w14:paraId="60373C18"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938" w:type="dxa"/>
              </w:tcPr>
              <w:p w14:paraId="4209557C" w14:textId="77777777" w:rsidR="00262817" w:rsidRDefault="00EB2E3F">
                <w:pPr>
                  <w:tabs>
                    <w:tab w:val="right" w:pos="8838"/>
                  </w:tabs>
                  <w:ind w:left="-28" w:right="429"/>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Consejo Estatal para el Desarrollo Integral de Los Pueblos Indígenas del Estado de México</w:t>
                </w:r>
              </w:p>
            </w:tc>
          </w:tr>
          <w:tr w:rsidR="00262817" w14:paraId="2FB0393B" w14:textId="77777777">
            <w:trPr>
              <w:trHeight w:val="80"/>
            </w:trPr>
            <w:tc>
              <w:tcPr>
                <w:tcW w:w="5134" w:type="dxa"/>
              </w:tcPr>
              <w:p w14:paraId="4A21D0B2"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938" w:type="dxa"/>
              </w:tcPr>
              <w:p w14:paraId="0E500A85" w14:textId="77777777" w:rsidR="00262817" w:rsidRDefault="00EB2E3F">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169046A8" w14:textId="77777777" w:rsidR="00262817" w:rsidRDefault="00262817">
          <w:pPr>
            <w:tabs>
              <w:tab w:val="right" w:pos="8838"/>
            </w:tabs>
            <w:ind w:left="-28"/>
            <w:rPr>
              <w:rFonts w:ascii="Arial" w:eastAsia="Arial" w:hAnsi="Arial" w:cs="Arial"/>
              <w:b/>
            </w:rPr>
          </w:pPr>
        </w:p>
      </w:tc>
    </w:tr>
  </w:tbl>
  <w:p w14:paraId="0CDDF9FA" w14:textId="77777777" w:rsidR="00262817" w:rsidRDefault="0000000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A3D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aguaINFOEM" style="position:absolute;margin-left:-78.8pt;margin-top:-123.05pt;width:663.5pt;height:12in;z-index:-251659776;mso-position-horizontal:absolute;mso-position-horizontal-relative:margin;mso-position-vertical:absolute;mso-position-vertical-relative:margin">
          <v:imagedata r:id="rId1" o:title="image2"/>
          <w10:wrap anchorx="margin" anchory="margin"/>
        </v:shape>
      </w:pict>
    </w:r>
  </w:p>
  <w:p w14:paraId="3ACBB567" w14:textId="77777777" w:rsidR="00262817" w:rsidRDefault="00262817">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C43D" w14:textId="77777777" w:rsidR="00262817" w:rsidRDefault="00262817">
    <w:pPr>
      <w:widowControl w:val="0"/>
      <w:pBdr>
        <w:top w:val="nil"/>
        <w:left w:val="nil"/>
        <w:bottom w:val="nil"/>
        <w:right w:val="nil"/>
        <w:between w:val="nil"/>
      </w:pBdr>
      <w:spacing w:line="276" w:lineRule="auto"/>
      <w:rPr>
        <w:color w:val="000000"/>
        <w:sz w:val="14"/>
        <w:szCs w:val="14"/>
      </w:rPr>
    </w:pPr>
  </w:p>
  <w:tbl>
    <w:tblPr>
      <w:tblStyle w:val="a1"/>
      <w:tblW w:w="7797"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4252"/>
      <w:gridCol w:w="3545"/>
    </w:tblGrid>
    <w:tr w:rsidR="00262817" w14:paraId="59ACF408" w14:textId="77777777">
      <w:trPr>
        <w:trHeight w:val="302"/>
      </w:trPr>
      <w:tc>
        <w:tcPr>
          <w:tcW w:w="4252" w:type="dxa"/>
        </w:tcPr>
        <w:p w14:paraId="53DCF6F4"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545" w:type="dxa"/>
        </w:tcPr>
        <w:p w14:paraId="5EFAE195" w14:textId="77777777" w:rsidR="00262817" w:rsidRDefault="00EB2E3F">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01006/INFOEM/IP/RR/2025</w:t>
          </w:r>
        </w:p>
      </w:tc>
    </w:tr>
    <w:tr w:rsidR="00262817" w14:paraId="07997AFB" w14:textId="77777777">
      <w:trPr>
        <w:trHeight w:val="110"/>
      </w:trPr>
      <w:tc>
        <w:tcPr>
          <w:tcW w:w="4252" w:type="dxa"/>
        </w:tcPr>
        <w:p w14:paraId="5B1ACE1E"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545" w:type="dxa"/>
        </w:tcPr>
        <w:p w14:paraId="2E622E5D" w14:textId="77777777" w:rsidR="00262817" w:rsidRDefault="00262817">
          <w:pPr>
            <w:jc w:val="both"/>
            <w:rPr>
              <w:rFonts w:ascii="Palatino Linotype" w:eastAsia="Palatino Linotype" w:hAnsi="Palatino Linotype" w:cs="Palatino Linotype"/>
              <w:sz w:val="22"/>
              <w:szCs w:val="22"/>
            </w:rPr>
          </w:pPr>
        </w:p>
      </w:tc>
    </w:tr>
    <w:tr w:rsidR="00262817" w14:paraId="4C464D27" w14:textId="77777777">
      <w:trPr>
        <w:trHeight w:val="248"/>
      </w:trPr>
      <w:tc>
        <w:tcPr>
          <w:tcW w:w="4252" w:type="dxa"/>
        </w:tcPr>
        <w:p w14:paraId="260FB6D1"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545" w:type="dxa"/>
        </w:tcPr>
        <w:p w14:paraId="43E53C47" w14:textId="77777777" w:rsidR="00262817" w:rsidRDefault="00EB2E3F">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Consejo Estatal para el Desarrollo Integral de Los Pueblos Indígenas del Estado de México</w:t>
          </w:r>
        </w:p>
      </w:tc>
    </w:tr>
    <w:tr w:rsidR="00262817" w14:paraId="209BF54C" w14:textId="77777777">
      <w:trPr>
        <w:trHeight w:val="248"/>
      </w:trPr>
      <w:tc>
        <w:tcPr>
          <w:tcW w:w="4252" w:type="dxa"/>
        </w:tcPr>
        <w:p w14:paraId="400AB772" w14:textId="77777777" w:rsidR="00262817" w:rsidRDefault="00EB2E3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545" w:type="dxa"/>
        </w:tcPr>
        <w:p w14:paraId="762C67ED" w14:textId="77777777" w:rsidR="00262817" w:rsidRDefault="00EB2E3F">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A1E2460" w14:textId="77777777" w:rsidR="00262817" w:rsidRDefault="00000000">
    <w:pPr>
      <w:ind w:right="-312"/>
    </w:pPr>
    <w:r>
      <w:pict w14:anchorId="5860D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0.3pt;margin-top:-123.2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3F1D"/>
    <w:multiLevelType w:val="multilevel"/>
    <w:tmpl w:val="D5FCA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250540"/>
    <w:multiLevelType w:val="multilevel"/>
    <w:tmpl w:val="4DB21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E0118"/>
    <w:multiLevelType w:val="multilevel"/>
    <w:tmpl w:val="40042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8D399C"/>
    <w:multiLevelType w:val="multilevel"/>
    <w:tmpl w:val="A99A1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676780"/>
    <w:multiLevelType w:val="multilevel"/>
    <w:tmpl w:val="D5DCD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276156"/>
    <w:multiLevelType w:val="multilevel"/>
    <w:tmpl w:val="C5E46CE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D3251A"/>
    <w:multiLevelType w:val="multilevel"/>
    <w:tmpl w:val="1A8029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3475A8"/>
    <w:multiLevelType w:val="multilevel"/>
    <w:tmpl w:val="0CEE5C7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8" w15:restartNumberingAfterBreak="0">
    <w:nsid w:val="626D4DF2"/>
    <w:multiLevelType w:val="multilevel"/>
    <w:tmpl w:val="172EA34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9C734E"/>
    <w:multiLevelType w:val="multilevel"/>
    <w:tmpl w:val="73E80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2047BA"/>
    <w:multiLevelType w:val="multilevel"/>
    <w:tmpl w:val="01569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E6D8D"/>
    <w:multiLevelType w:val="multilevel"/>
    <w:tmpl w:val="13C4BBB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4A4779"/>
    <w:multiLevelType w:val="multilevel"/>
    <w:tmpl w:val="5CD4A0F6"/>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3" w15:restartNumberingAfterBreak="0">
    <w:nsid w:val="7E8343DC"/>
    <w:multiLevelType w:val="multilevel"/>
    <w:tmpl w:val="4748257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8253329">
    <w:abstractNumId w:val="3"/>
  </w:num>
  <w:num w:numId="2" w16cid:durableId="2072072563">
    <w:abstractNumId w:val="10"/>
  </w:num>
  <w:num w:numId="3" w16cid:durableId="786002739">
    <w:abstractNumId w:val="2"/>
  </w:num>
  <w:num w:numId="4" w16cid:durableId="1774281799">
    <w:abstractNumId w:val="12"/>
  </w:num>
  <w:num w:numId="5" w16cid:durableId="225838950">
    <w:abstractNumId w:val="4"/>
  </w:num>
  <w:num w:numId="6" w16cid:durableId="297496335">
    <w:abstractNumId w:val="7"/>
  </w:num>
  <w:num w:numId="7" w16cid:durableId="1661612522">
    <w:abstractNumId w:val="9"/>
  </w:num>
  <w:num w:numId="8" w16cid:durableId="1420325378">
    <w:abstractNumId w:val="8"/>
  </w:num>
  <w:num w:numId="9" w16cid:durableId="197162294">
    <w:abstractNumId w:val="11"/>
  </w:num>
  <w:num w:numId="10" w16cid:durableId="1561747541">
    <w:abstractNumId w:val="1"/>
  </w:num>
  <w:num w:numId="11" w16cid:durableId="1980064957">
    <w:abstractNumId w:val="0"/>
  </w:num>
  <w:num w:numId="12" w16cid:durableId="1546092491">
    <w:abstractNumId w:val="13"/>
  </w:num>
  <w:num w:numId="13" w16cid:durableId="520626886">
    <w:abstractNumId w:val="5"/>
  </w:num>
  <w:num w:numId="14" w16cid:durableId="1760560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17"/>
    <w:rsid w:val="00262817"/>
    <w:rsid w:val="003D7C8B"/>
    <w:rsid w:val="00533131"/>
    <w:rsid w:val="005E036D"/>
    <w:rsid w:val="00B70167"/>
    <w:rsid w:val="00EB2E3F"/>
    <w:rsid w:val="00F21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D893"/>
  <w15:docId w15:val="{B2F6E11D-AD4E-4E2C-91A6-C9A8D62A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D2"/>
    <w:rPr>
      <w:lang w:eastAsia="es-ES"/>
    </w:rPr>
  </w:style>
  <w:style w:type="paragraph" w:styleId="Ttulo1">
    <w:name w:val="heading 1"/>
    <w:basedOn w:val="Normal"/>
    <w:next w:val="Normal"/>
    <w:link w:val="Ttulo1Car"/>
    <w:uiPriority w:val="9"/>
    <w:qFormat/>
    <w:rsid w:val="00126B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26B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6BD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26BD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26BD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26BD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6BD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6BD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6BD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26BD2"/>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26BD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26BD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6BD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26BD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26BD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26B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6B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6B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6BD2"/>
    <w:rPr>
      <w:rFonts w:eastAsiaTheme="majorEastAsia" w:cstheme="majorBidi"/>
      <w:color w:val="272727" w:themeColor="text1" w:themeTint="D8"/>
    </w:rPr>
  </w:style>
  <w:style w:type="character" w:customStyle="1" w:styleId="TtuloCar">
    <w:name w:val="Título Car"/>
    <w:basedOn w:val="Fuentedeprrafopredeter"/>
    <w:link w:val="Ttulo"/>
    <w:uiPriority w:val="10"/>
    <w:rsid w:val="00126B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126B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6BD2"/>
    <w:pPr>
      <w:spacing w:before="160"/>
      <w:jc w:val="center"/>
    </w:pPr>
    <w:rPr>
      <w:i/>
      <w:iCs/>
      <w:color w:val="404040" w:themeColor="text1" w:themeTint="BF"/>
    </w:rPr>
  </w:style>
  <w:style w:type="character" w:customStyle="1" w:styleId="CitaCar">
    <w:name w:val="Cita Car"/>
    <w:basedOn w:val="Fuentedeprrafopredeter"/>
    <w:link w:val="Cita"/>
    <w:uiPriority w:val="29"/>
    <w:rsid w:val="00126BD2"/>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26BD2"/>
    <w:pPr>
      <w:ind w:left="720"/>
      <w:contextualSpacing/>
    </w:pPr>
  </w:style>
  <w:style w:type="character" w:styleId="nfasisintenso">
    <w:name w:val="Intense Emphasis"/>
    <w:basedOn w:val="Fuentedeprrafopredeter"/>
    <w:uiPriority w:val="21"/>
    <w:qFormat/>
    <w:rsid w:val="00126BD2"/>
    <w:rPr>
      <w:i/>
      <w:iCs/>
      <w:color w:val="2F5496" w:themeColor="accent1" w:themeShade="BF"/>
    </w:rPr>
  </w:style>
  <w:style w:type="paragraph" w:styleId="Citadestacada">
    <w:name w:val="Intense Quote"/>
    <w:basedOn w:val="Normal"/>
    <w:next w:val="Normal"/>
    <w:link w:val="CitadestacadaCar"/>
    <w:uiPriority w:val="30"/>
    <w:qFormat/>
    <w:rsid w:val="00126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26BD2"/>
    <w:rPr>
      <w:i/>
      <w:iCs/>
      <w:color w:val="2F5496" w:themeColor="accent1" w:themeShade="BF"/>
    </w:rPr>
  </w:style>
  <w:style w:type="character" w:styleId="Referenciaintensa">
    <w:name w:val="Intense Reference"/>
    <w:basedOn w:val="Fuentedeprrafopredeter"/>
    <w:uiPriority w:val="32"/>
    <w:qFormat/>
    <w:rsid w:val="00126BD2"/>
    <w:rPr>
      <w:b/>
      <w:bCs/>
      <w:smallCaps/>
      <w:color w:val="2F5496" w:themeColor="accent1" w:themeShade="BF"/>
      <w:spacing w:val="5"/>
    </w:rPr>
  </w:style>
  <w:style w:type="paragraph" w:styleId="Encabezado">
    <w:name w:val="header"/>
    <w:basedOn w:val="Normal"/>
    <w:link w:val="EncabezadoCar"/>
    <w:uiPriority w:val="99"/>
    <w:unhideWhenUsed/>
    <w:rsid w:val="00126BD2"/>
    <w:pPr>
      <w:tabs>
        <w:tab w:val="center" w:pos="4419"/>
        <w:tab w:val="right" w:pos="8838"/>
      </w:tabs>
    </w:pPr>
  </w:style>
  <w:style w:type="character" w:customStyle="1" w:styleId="EncabezadoCar">
    <w:name w:val="Encabezado Car"/>
    <w:basedOn w:val="Fuentedeprrafopredeter"/>
    <w:link w:val="Encabezado"/>
    <w:uiPriority w:val="99"/>
    <w:rsid w:val="00126BD2"/>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126BD2"/>
    <w:pPr>
      <w:tabs>
        <w:tab w:val="center" w:pos="4419"/>
        <w:tab w:val="right" w:pos="8838"/>
      </w:tabs>
    </w:pPr>
  </w:style>
  <w:style w:type="character" w:customStyle="1" w:styleId="PiedepginaCar">
    <w:name w:val="Pie de página Car"/>
    <w:basedOn w:val="Fuentedeprrafopredeter"/>
    <w:link w:val="Piedepgina"/>
    <w:uiPriority w:val="99"/>
    <w:rsid w:val="00126BD2"/>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126BD2"/>
  </w:style>
  <w:style w:type="table" w:styleId="Tablaconcuadrcula">
    <w:name w:val="Table Grid"/>
    <w:basedOn w:val="Tablanormal"/>
    <w:uiPriority w:val="39"/>
    <w:rsid w:val="00126BD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6BD2"/>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26BD2"/>
    <w:rPr>
      <w:color w:val="0563C1" w:themeColor="hyperlink"/>
      <w:u w:val="single"/>
    </w:rPr>
  </w:style>
  <w:style w:type="paragraph" w:customStyle="1" w:styleId="Prrafodelista1">
    <w:name w:val="Párrafo de lista1"/>
    <w:basedOn w:val="Normal"/>
    <w:rsid w:val="0076509C"/>
    <w:pPr>
      <w:spacing w:before="100" w:beforeAutospacing="1"/>
      <w:ind w:left="720"/>
      <w:contextualSpacing/>
    </w:pPr>
    <w:rPr>
      <w:rFonts w:ascii="Century Gothic" w:hAnsi="Century Gothic"/>
      <w:sz w:val="22"/>
      <w:szCs w:val="22"/>
      <w:lang w:eastAsia="es-MX"/>
    </w:rPr>
  </w:style>
  <w:style w:type="character" w:customStyle="1" w:styleId="Mencinsinresolver1">
    <w:name w:val="Mención sin resolver1"/>
    <w:basedOn w:val="Fuentedeprrafopredeter"/>
    <w:uiPriority w:val="99"/>
    <w:semiHidden/>
    <w:unhideWhenUsed/>
    <w:rsid w:val="0076509C"/>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DC1">
    <w:name w:val="toc 1"/>
    <w:basedOn w:val="Normal"/>
    <w:next w:val="Normal"/>
    <w:autoRedefine/>
    <w:uiPriority w:val="39"/>
    <w:unhideWhenUsed/>
    <w:rsid w:val="00B701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Y1oDOuav2XcaeNBjt/otqrxJw==">CgMxLjAyCGguZ2pkZ3hzMgloLjMwajB6bGwyCWguMWZvYjl0ZTIJaC4zem55c2g3OAByITFSSHA0Z2ZTeDFfeEZKd2hOLXlPM3ZqYXByaVlkTVBhSQ==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9426</Words>
  <Characters>51849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Office</cp:lastModifiedBy>
  <cp:revision>3</cp:revision>
  <cp:lastPrinted>2025-03-14T05:23:00Z</cp:lastPrinted>
  <dcterms:created xsi:type="dcterms:W3CDTF">2025-03-14T05:22:00Z</dcterms:created>
  <dcterms:modified xsi:type="dcterms:W3CDTF">2025-03-14T05:24:00Z</dcterms:modified>
</cp:coreProperties>
</file>