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C71" w:rsidRPr="0024200F" w:rsidRDefault="00DB1C71" w:rsidP="00DB1C71">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sidR="005E45F7">
        <w:rPr>
          <w:rFonts w:ascii="Palatino Linotype" w:hAnsi="Palatino Linotype"/>
        </w:rPr>
        <w:t>seis de febrero de dos mil veinticinco</w:t>
      </w:r>
      <w:r>
        <w:rPr>
          <w:rFonts w:ascii="Palatino Linotype" w:hAnsi="Palatino Linotype"/>
        </w:rPr>
        <w:t>.</w:t>
      </w:r>
    </w:p>
    <w:p w:rsidR="00DB1C71" w:rsidRPr="0024200F" w:rsidRDefault="00DB1C71" w:rsidP="00DB1C71">
      <w:pPr>
        <w:spacing w:line="360" w:lineRule="auto"/>
        <w:jc w:val="both"/>
        <w:rPr>
          <w:rFonts w:ascii="Palatino Linotype" w:hAnsi="Palatino Linotype"/>
        </w:rPr>
      </w:pPr>
    </w:p>
    <w:p w:rsidR="00DB1C71" w:rsidRPr="002C3EC8" w:rsidRDefault="00DB1C71" w:rsidP="00DB1C71">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r>
        <w:rPr>
          <w:rFonts w:ascii="Palatino Linotype" w:hAnsi="Palatino Linotype" w:cs="Arial"/>
          <w:b/>
          <w:bCs/>
          <w:lang w:eastAsia="es-MX"/>
        </w:rPr>
        <w:t>0</w:t>
      </w:r>
      <w:r w:rsidR="00DB1293">
        <w:rPr>
          <w:rFonts w:ascii="Palatino Linotype" w:hAnsi="Palatino Linotype" w:cs="Arial"/>
          <w:b/>
          <w:bCs/>
          <w:lang w:eastAsia="es-MX"/>
        </w:rPr>
        <w:t>0</w:t>
      </w:r>
      <w:r>
        <w:rPr>
          <w:rFonts w:ascii="Palatino Linotype" w:hAnsi="Palatino Linotype" w:cs="Arial"/>
          <w:b/>
          <w:bCs/>
          <w:lang w:eastAsia="es-MX"/>
        </w:rPr>
        <w:t>115/INFOEM/IP/RR/2025</w:t>
      </w:r>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por</w:t>
      </w:r>
      <w:r w:rsidRPr="00DB1C71">
        <w:rPr>
          <w:rFonts w:ascii="Palatino Linotype" w:hAnsi="Palatino Linotype"/>
        </w:rPr>
        <w:t xml:space="preserve"> </w:t>
      </w:r>
      <w:r>
        <w:rPr>
          <w:rFonts w:ascii="Palatino Linotype" w:hAnsi="Palatino Linotype"/>
        </w:rPr>
        <w:t>“</w:t>
      </w:r>
      <w:r w:rsidR="0065133A">
        <w:rPr>
          <w:rFonts w:ascii="Palatino Linotype" w:hAnsi="Palatino Linotype"/>
        </w:rPr>
        <w:t>XXXXXXXXXXXXXXXXXXXXXX</w:t>
      </w:r>
      <w:r>
        <w:rPr>
          <w:rFonts w:ascii="Palatino Linotype" w:hAnsi="Palatino Linotype"/>
        </w:rPr>
        <w:t>”</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w:t>
      </w:r>
      <w:bookmarkStart w:id="0" w:name="_GoBack"/>
      <w:bookmarkEnd w:id="0"/>
      <w:r>
        <w:rPr>
          <w:rFonts w:ascii="Palatino Linotype" w:hAnsi="Palatino Linotype"/>
        </w:rPr>
        <w:t>a</w:t>
      </w:r>
      <w:r w:rsidRPr="002C3EC8">
        <w:rPr>
          <w:rFonts w:ascii="Palatino Linotype" w:hAnsi="Palatino Linotype"/>
        </w:rPr>
        <w:t xml:space="preserve"> del </w:t>
      </w:r>
      <w:r w:rsidRPr="00DB1C71">
        <w:rPr>
          <w:rFonts w:ascii="Palatino Linotype" w:hAnsi="Palatino Linotype"/>
          <w:b/>
        </w:rPr>
        <w:t xml:space="preserve">Ayuntamiento de </w:t>
      </w:r>
      <w:proofErr w:type="spellStart"/>
      <w:r w:rsidRPr="00DB1C71">
        <w:rPr>
          <w:rFonts w:ascii="Palatino Linotype" w:hAnsi="Palatino Linotype"/>
          <w:b/>
        </w:rPr>
        <w:t>Mexicaltzingo</w:t>
      </w:r>
      <w:proofErr w:type="spellEnd"/>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rsidR="00DB1C71" w:rsidRPr="002C3EC8" w:rsidRDefault="00DB1C71" w:rsidP="00DB1C71">
      <w:pPr>
        <w:tabs>
          <w:tab w:val="left" w:pos="1701"/>
        </w:tabs>
        <w:spacing w:before="240" w:line="360" w:lineRule="auto"/>
        <w:jc w:val="both"/>
        <w:rPr>
          <w:rFonts w:ascii="Palatino Linotype" w:hAnsi="Palatino Linotype" w:cs="Arial"/>
          <w:b/>
        </w:rPr>
      </w:pPr>
    </w:p>
    <w:p w:rsidR="00DB1C71" w:rsidRDefault="00DB1C71" w:rsidP="00DB1C71">
      <w:pPr>
        <w:pStyle w:val="infoemcitas"/>
        <w:jc w:val="center"/>
        <w:rPr>
          <w:b/>
          <w:bCs/>
          <w:i w:val="0"/>
          <w:iCs/>
          <w:sz w:val="28"/>
          <w:szCs w:val="28"/>
        </w:rPr>
      </w:pPr>
      <w:r w:rsidRPr="002C3EC8">
        <w:rPr>
          <w:b/>
          <w:bCs/>
          <w:i w:val="0"/>
          <w:iCs/>
          <w:sz w:val="28"/>
          <w:szCs w:val="28"/>
        </w:rPr>
        <w:t>A N T E C E D E N T E S   D E L   A S U N T O</w:t>
      </w:r>
    </w:p>
    <w:p w:rsidR="00DB1C71" w:rsidRPr="002C3EC8" w:rsidRDefault="00DB1C71" w:rsidP="00DB1C71">
      <w:pPr>
        <w:pStyle w:val="infoemcitas"/>
        <w:jc w:val="center"/>
        <w:rPr>
          <w:b/>
          <w:bCs/>
          <w:i w:val="0"/>
          <w:iCs/>
          <w:sz w:val="28"/>
          <w:szCs w:val="28"/>
        </w:rPr>
      </w:pPr>
    </w:p>
    <w:p w:rsidR="00DB1C71" w:rsidRPr="002C3EC8" w:rsidRDefault="00DB1C71" w:rsidP="00DB1C71">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DB1C71" w:rsidRPr="00D705FF" w:rsidRDefault="00DB1C71" w:rsidP="00DB1C71">
      <w:pPr>
        <w:spacing w:before="240" w:line="360" w:lineRule="auto"/>
        <w:jc w:val="both"/>
        <w:rPr>
          <w:rFonts w:ascii="Palatino Linotype" w:hAnsi="Palatino Linotype" w:cs="Arial"/>
        </w:rPr>
      </w:pPr>
      <w:r w:rsidRPr="00D705FF">
        <w:rPr>
          <w:rFonts w:ascii="Palatino Linotype" w:hAnsi="Palatino Linotype" w:cs="Arial"/>
        </w:rPr>
        <w:t xml:space="preserve">Con fecha </w:t>
      </w:r>
      <w:r>
        <w:rPr>
          <w:rFonts w:ascii="Palatino Linotype" w:hAnsi="Palatino Linotype" w:cs="Arial"/>
        </w:rPr>
        <w:t xml:space="preserve">quince de noviembre de dos mil veinticuatro,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 xml:space="preserve">presentó a través </w:t>
      </w:r>
      <w:r>
        <w:rPr>
          <w:rFonts w:ascii="Palatino Linotype" w:hAnsi="Palatino Linotype" w:cs="Arial"/>
        </w:rPr>
        <w:t xml:space="preserve">del </w:t>
      </w:r>
      <w:r w:rsidRPr="00D705FF">
        <w:rPr>
          <w:rFonts w:ascii="Palatino Linotype" w:hAnsi="Palatino Linotype" w:cs="Arial"/>
        </w:rPr>
        <w:t>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expediente </w:t>
      </w:r>
      <w:r>
        <w:rPr>
          <w:rFonts w:ascii="Palatino Linotype" w:hAnsi="Palatino Linotype" w:cs="Arial"/>
          <w:b/>
        </w:rPr>
        <w:t>00196/MEXICAL/IP/2024</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rsidR="00DB1C71" w:rsidRPr="001C7F6F" w:rsidRDefault="00DB1C71" w:rsidP="00DB1C71">
      <w:pPr>
        <w:pStyle w:val="INFOEM"/>
        <w:rPr>
          <w:lang w:val="es-ES_tradnl" w:eastAsia="es-ES"/>
        </w:rPr>
      </w:pPr>
      <w:r w:rsidRPr="00D705FF">
        <w:rPr>
          <w:lang w:val="es-ES_tradnl" w:eastAsia="es-ES"/>
        </w:rPr>
        <w:t>“</w:t>
      </w:r>
      <w:r w:rsidRPr="00DB1C71">
        <w:rPr>
          <w:lang w:val="es-ES" w:eastAsia="es-ES"/>
        </w:rPr>
        <w:t>NUMERO DE QUEJAS RECIBIDAS</w:t>
      </w:r>
      <w:r w:rsidRPr="00D705FF">
        <w:rPr>
          <w:lang w:val="es-ES_tradnl" w:eastAsia="es-ES"/>
        </w:rPr>
        <w:t>” (Sic)</w:t>
      </w:r>
    </w:p>
    <w:p w:rsidR="00DB1C71" w:rsidRPr="002C3EC8" w:rsidRDefault="00DB1C71" w:rsidP="00DB1C71">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r>
        <w:rPr>
          <w:rFonts w:ascii="Palatino Linotype" w:hAnsi="Palatino Linotype"/>
          <w:b/>
        </w:rPr>
        <w:t>.</w:t>
      </w:r>
    </w:p>
    <w:p w:rsidR="00DB1C71" w:rsidRDefault="00DB1C71" w:rsidP="00DB1C71">
      <w:pPr>
        <w:spacing w:before="240" w:line="360" w:lineRule="auto"/>
        <w:jc w:val="both"/>
        <w:rPr>
          <w:rFonts w:ascii="Palatino Linotype" w:hAnsi="Palatino Linotype" w:cs="Arial"/>
          <w:b/>
          <w:sz w:val="28"/>
        </w:rPr>
      </w:pPr>
    </w:p>
    <w:p w:rsidR="00DB1C71" w:rsidRDefault="00DB1C71" w:rsidP="00DB1C71">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o entrega de la información</w:t>
      </w:r>
      <w:r w:rsidRPr="00165D6E">
        <w:rPr>
          <w:rFonts w:ascii="Palatino Linotype" w:hAnsi="Palatino Linotype" w:cs="Arial"/>
          <w:b/>
          <w:sz w:val="28"/>
          <w:szCs w:val="20"/>
        </w:rPr>
        <w:t>.</w:t>
      </w:r>
    </w:p>
    <w:p w:rsidR="00DB1C71" w:rsidRPr="009062B2" w:rsidRDefault="00DB1C71" w:rsidP="00DB1C71">
      <w:pPr>
        <w:pStyle w:val="Sinespaciado"/>
        <w:spacing w:line="360" w:lineRule="auto"/>
        <w:jc w:val="both"/>
        <w:rPr>
          <w:rFonts w:ascii="Palatino Linotype" w:hAnsi="Palatino Linotype" w:cs="Arial"/>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Pr>
          <w:rFonts w:ascii="Palatino Linotype" w:hAnsi="Palatino Linotype" w:cs="Arial"/>
          <w:b/>
          <w:sz w:val="24"/>
        </w:rPr>
        <w:t>nueve de diciembre de dos mil veinticuatro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rsidR="00DB1C71" w:rsidRPr="00E818A5" w:rsidRDefault="00DB1C71" w:rsidP="00DB1C71">
      <w:pPr>
        <w:spacing w:line="360" w:lineRule="auto"/>
        <w:jc w:val="both"/>
        <w:rPr>
          <w:rFonts w:ascii="Palatino Linotype" w:hAnsi="Palatino Linotype" w:cs="Arial"/>
        </w:rPr>
      </w:pPr>
    </w:p>
    <w:p w:rsidR="00DB1C71" w:rsidRPr="00DB1C71" w:rsidRDefault="00DB1C71" w:rsidP="00DB1C71">
      <w:pPr>
        <w:ind w:left="567" w:right="567"/>
        <w:jc w:val="both"/>
        <w:rPr>
          <w:rFonts w:ascii="Palatino Linotype" w:hAnsi="Palatino Linotype" w:cs="Arial"/>
          <w:i/>
        </w:rPr>
      </w:pPr>
      <w:r>
        <w:rPr>
          <w:rFonts w:ascii="Palatino Linotype" w:hAnsi="Palatino Linotype" w:cs="Arial"/>
          <w:i/>
        </w:rPr>
        <w:t>“</w:t>
      </w:r>
      <w:r w:rsidRPr="00DB1C71">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DB1C71" w:rsidRDefault="00DB1C71" w:rsidP="00DB1C71">
      <w:pPr>
        <w:ind w:left="567" w:right="567"/>
        <w:jc w:val="both"/>
        <w:rPr>
          <w:rFonts w:ascii="Palatino Linotype" w:hAnsi="Palatino Linotype" w:cs="Arial"/>
          <w:i/>
        </w:rPr>
      </w:pPr>
      <w:r w:rsidRPr="00DB1C71">
        <w:rPr>
          <w:rFonts w:ascii="Palatino Linotype" w:hAnsi="Palatino Linotype" w:cs="Arial"/>
          <w:b/>
          <w:i/>
        </w:rPr>
        <w:t xml:space="preserve">Ciudadano le solicito de la manera </w:t>
      </w:r>
      <w:proofErr w:type="spellStart"/>
      <w:r w:rsidRPr="00DB1C71">
        <w:rPr>
          <w:rFonts w:ascii="Palatino Linotype" w:hAnsi="Palatino Linotype" w:cs="Arial"/>
          <w:b/>
          <w:i/>
        </w:rPr>
        <w:t>mas</w:t>
      </w:r>
      <w:proofErr w:type="spellEnd"/>
      <w:r w:rsidRPr="00DB1C71">
        <w:rPr>
          <w:rFonts w:ascii="Palatino Linotype" w:hAnsi="Palatino Linotype" w:cs="Arial"/>
          <w:b/>
          <w:i/>
        </w:rPr>
        <w:t xml:space="preserve"> atenta indique el periodo sobre el que le gustaría saber el número de quejas recibidas</w:t>
      </w:r>
      <w:r w:rsidRPr="00DB1C71">
        <w:rPr>
          <w:rFonts w:ascii="Palatino Linotype" w:hAnsi="Palatino Linotype" w:cs="Arial"/>
          <w:i/>
        </w:rPr>
        <w:t xml:space="preserve">. </w:t>
      </w:r>
      <w:r w:rsidRPr="00667998">
        <w:rPr>
          <w:rFonts w:ascii="Palatino Linotype" w:hAnsi="Palatino Linotype" w:cs="Arial"/>
          <w:i/>
        </w:rPr>
        <w:t>“(Sic).</w:t>
      </w:r>
    </w:p>
    <w:p w:rsidR="00DB1C71" w:rsidRDefault="00DB1C71" w:rsidP="00DB1C71">
      <w:pPr>
        <w:spacing w:line="360" w:lineRule="auto"/>
        <w:ind w:right="567"/>
        <w:jc w:val="both"/>
        <w:rPr>
          <w:rFonts w:ascii="Palatino Linotype" w:hAnsi="Palatino Linotype" w:cs="Arial"/>
        </w:rPr>
      </w:pPr>
    </w:p>
    <w:p w:rsidR="00DB1C71" w:rsidRDefault="00DB1C71" w:rsidP="00DB1C71">
      <w:pPr>
        <w:spacing w:line="360" w:lineRule="auto"/>
        <w:jc w:val="both"/>
        <w:rPr>
          <w:rFonts w:ascii="Palatino Linotype" w:hAnsi="Palatino Linotype" w:cs="Arial"/>
        </w:rPr>
      </w:pPr>
      <w:r>
        <w:rPr>
          <w:rFonts w:ascii="Palatino Linotype" w:hAnsi="Palatino Linotype" w:cs="Arial"/>
        </w:rPr>
        <w:t xml:space="preserve"> </w:t>
      </w:r>
    </w:p>
    <w:p w:rsidR="00DB1C71" w:rsidRPr="002C3EC8" w:rsidRDefault="00DB1C71" w:rsidP="00DB1C71">
      <w:pPr>
        <w:spacing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DB1C71" w:rsidRDefault="00DB1C71" w:rsidP="00DB1C71">
      <w:pPr>
        <w:spacing w:before="240"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Pr>
          <w:rFonts w:ascii="Palatino Linotype" w:hAnsi="Palatino Linotype" w:cs="Arial"/>
          <w:b/>
        </w:rPr>
        <w:t>dieciséis de enero de dos mil veinticinco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Pr>
          <w:rFonts w:ascii="Palatino Linotype" w:hAnsi="Palatino Linotype" w:cs="Arial"/>
          <w:b/>
        </w:rPr>
        <w:t>0</w:t>
      </w:r>
      <w:r w:rsidR="00DB1293">
        <w:rPr>
          <w:rFonts w:ascii="Palatino Linotype" w:hAnsi="Palatino Linotype" w:cs="Arial"/>
          <w:b/>
        </w:rPr>
        <w:t>00</w:t>
      </w:r>
      <w:r>
        <w:rPr>
          <w:rFonts w:ascii="Palatino Linotype" w:hAnsi="Palatino Linotype" w:cs="Arial"/>
          <w:b/>
        </w:rPr>
        <w:t>115/INFOEM/IP/RR/2025</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rsidR="00DB1C71" w:rsidRPr="0033050B" w:rsidRDefault="00DB1C71" w:rsidP="00DB1C71">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y </w:t>
      </w:r>
      <w:r w:rsidRPr="0033050B">
        <w:rPr>
          <w:rFonts w:ascii="Palatino Linotype" w:hAnsi="Palatino Linotype" w:cs="Arial"/>
          <w:b/>
          <w:i/>
        </w:rPr>
        <w:t>Razones o motivos de inconformidad</w:t>
      </w:r>
    </w:p>
    <w:p w:rsidR="00DB1C71" w:rsidRPr="007E4713" w:rsidRDefault="00DB1C71" w:rsidP="00DB1C71">
      <w:pPr>
        <w:pStyle w:val="INFOEM"/>
      </w:pPr>
      <w:r w:rsidRPr="007E4713">
        <w:t>“</w:t>
      </w:r>
      <w:r w:rsidRPr="00DB1C71">
        <w:t>INFORMACION INCOMPLETA</w:t>
      </w:r>
      <w:r>
        <w:t>” (sic)</w:t>
      </w:r>
    </w:p>
    <w:p w:rsidR="00DB1C71" w:rsidRDefault="00DB1C71" w:rsidP="00DB1C71">
      <w:pPr>
        <w:spacing w:line="360" w:lineRule="auto"/>
        <w:jc w:val="both"/>
        <w:rPr>
          <w:rFonts w:ascii="Palatino Linotype" w:hAnsi="Palatino Linotype" w:cs="Arial"/>
        </w:rPr>
      </w:pPr>
    </w:p>
    <w:p w:rsidR="00DB1C71" w:rsidRPr="002C3EC8" w:rsidRDefault="00DB1C71" w:rsidP="00DB1C71">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DB1C71" w:rsidRDefault="00DB1C71" w:rsidP="00DB1C71">
      <w:pPr>
        <w:spacing w:before="240" w:line="360" w:lineRule="auto"/>
        <w:jc w:val="both"/>
        <w:rPr>
          <w:rFonts w:ascii="Palatino Linotype" w:hAnsi="Palatino Linotype" w:cs="Arial"/>
          <w:sz w:val="28"/>
        </w:rPr>
      </w:pPr>
      <w:r>
        <w:rPr>
          <w:rFonts w:ascii="Palatino Linotype" w:hAnsi="Palatino Linotype"/>
        </w:rPr>
        <w:lastRenderedPageBreak/>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Pr>
          <w:rFonts w:ascii="Palatino Linotype" w:hAnsi="Palatino Linotype"/>
          <w:b/>
        </w:rPr>
        <w:t>diecisiete de enero de dos mil veinticinco</w:t>
      </w:r>
      <w:r w:rsidRPr="002C3EC8">
        <w:rPr>
          <w:rFonts w:ascii="Palatino Linotype" w:hAnsi="Palatino Linotype"/>
        </w:rPr>
        <w:t>, determinándose en ellos, un plazo de siete días para que las partes manifestaran lo que a su derecho corresponda en términos del numeral ya citado.</w:t>
      </w:r>
    </w:p>
    <w:p w:rsidR="00DB1C71" w:rsidRPr="004C20B7" w:rsidRDefault="00DB1C71" w:rsidP="00DB1C71">
      <w:pPr>
        <w:spacing w:before="240" w:line="360" w:lineRule="auto"/>
        <w:jc w:val="both"/>
        <w:rPr>
          <w:rFonts w:ascii="Palatino Linotype" w:hAnsi="Palatino Linotype" w:cs="Arial"/>
          <w:sz w:val="28"/>
        </w:rPr>
      </w:pPr>
    </w:p>
    <w:p w:rsidR="00DB1C71" w:rsidRPr="00E52C83" w:rsidRDefault="00DB1C71" w:rsidP="00DB1C71">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rsidR="00DB1C71" w:rsidRPr="00D32665" w:rsidRDefault="00DB1C71" w:rsidP="00DB1C71">
      <w:pPr>
        <w:spacing w:line="360" w:lineRule="auto"/>
        <w:jc w:val="both"/>
        <w:rPr>
          <w:rFonts w:ascii="Palatino Linotype" w:hAnsi="Palatino Linotype"/>
        </w:rPr>
      </w:pPr>
      <w:r w:rsidRPr="00D32665">
        <w:rPr>
          <w:rFonts w:ascii="Palatino Linotype" w:hAnsi="Palatino Linotype" w:cs="Arial"/>
        </w:rPr>
        <w:t xml:space="preserve">De las constancias que obran en el expediente electrónico del SAIMEX, se advierte que el </w:t>
      </w:r>
      <w:r w:rsidRPr="000D6209">
        <w:rPr>
          <w:rFonts w:ascii="Palatino Linotype" w:hAnsi="Palatino Linotype" w:cs="Arial"/>
          <w:b/>
        </w:rPr>
        <w:t>Sujeto Obligado</w:t>
      </w:r>
      <w:r w:rsidRPr="00D32665">
        <w:rPr>
          <w:rFonts w:ascii="Palatino Linotype" w:hAnsi="Palatino Linotype" w:cs="Arial"/>
        </w:rPr>
        <w:t xml:space="preserve"> rindió su informe justificado en fecha </w:t>
      </w:r>
      <w:r w:rsidR="00957049">
        <w:rPr>
          <w:rFonts w:ascii="Palatino Linotype" w:hAnsi="Palatino Linotype" w:cs="Arial"/>
        </w:rPr>
        <w:t>veintiuno de enero de dos mil veinticinco</w:t>
      </w:r>
      <w:r w:rsidRPr="00D32665">
        <w:rPr>
          <w:rFonts w:ascii="Palatino Linotype" w:hAnsi="Palatino Linotype" w:cs="Arial"/>
        </w:rPr>
        <w:t>, por medio del archivo electrónico “</w:t>
      </w:r>
      <w:r w:rsidR="00957049" w:rsidRPr="00957049">
        <w:rPr>
          <w:rFonts w:ascii="Palatino Linotype" w:hAnsi="Palatino Linotype" w:cs="Arial"/>
          <w:b/>
          <w:i/>
        </w:rPr>
        <w:t>OBSERVACIONES R.R..</w:t>
      </w:r>
      <w:proofErr w:type="spellStart"/>
      <w:proofErr w:type="gramStart"/>
      <w:r w:rsidR="00957049" w:rsidRPr="00957049">
        <w:rPr>
          <w:rFonts w:ascii="Palatino Linotype" w:hAnsi="Palatino Linotype" w:cs="Arial"/>
          <w:b/>
          <w:i/>
        </w:rPr>
        <w:t>pdf</w:t>
      </w:r>
      <w:proofErr w:type="spellEnd"/>
      <w:proofErr w:type="gramEnd"/>
      <w:r w:rsidRPr="00D32665">
        <w:rPr>
          <w:rFonts w:ascii="Palatino Linotype" w:hAnsi="Palatino Linotype" w:cs="Arial"/>
          <w:b/>
          <w:i/>
        </w:rPr>
        <w:t>”</w:t>
      </w:r>
      <w:r w:rsidRPr="00D32665">
        <w:rPr>
          <w:rFonts w:ascii="Palatino Linotype" w:hAnsi="Palatino Linotype" w:cs="Arial"/>
        </w:rPr>
        <w:t xml:space="preserve">, el cual fue puesto a la vista en fecha </w:t>
      </w:r>
      <w:r w:rsidR="00957049">
        <w:rPr>
          <w:rFonts w:ascii="Palatino Linotype" w:hAnsi="Palatino Linotype" w:cs="Arial"/>
        </w:rPr>
        <w:t>veintiocho de enero de dos mil veinticinco</w:t>
      </w:r>
      <w:r w:rsidRPr="00D32665">
        <w:rPr>
          <w:rFonts w:ascii="Palatino Linotype" w:hAnsi="Palatino Linotype" w:cs="Arial"/>
          <w:b/>
          <w:i/>
        </w:rPr>
        <w:t>.</w:t>
      </w:r>
    </w:p>
    <w:p w:rsidR="00DB1C71" w:rsidRPr="00D32665" w:rsidRDefault="00DB1C71" w:rsidP="00DB1C71">
      <w:pPr>
        <w:spacing w:line="360" w:lineRule="auto"/>
        <w:jc w:val="both"/>
        <w:rPr>
          <w:rFonts w:ascii="Palatino Linotype" w:hAnsi="Palatino Linotype"/>
        </w:rPr>
      </w:pPr>
    </w:p>
    <w:p w:rsidR="00DB1C71" w:rsidRPr="00D32665" w:rsidRDefault="00DB1C71" w:rsidP="00DB1C71">
      <w:pPr>
        <w:spacing w:line="360" w:lineRule="auto"/>
        <w:jc w:val="both"/>
        <w:rPr>
          <w:rFonts w:ascii="Palatino Linotype" w:hAnsi="Palatino Linotype" w:cs="Arial"/>
        </w:rPr>
      </w:pPr>
      <w:r w:rsidRPr="00D32665">
        <w:rPr>
          <w:rFonts w:ascii="Palatino Linotype" w:hAnsi="Palatino Linotype" w:cs="Arial"/>
        </w:rPr>
        <w:t xml:space="preserve">Así mismo, se aprecia que no se llevaron a cabo audiencias durante la sustanciación del recurso de revisión, ni se ofrecieron pruebas por parte del </w:t>
      </w:r>
      <w:r w:rsidRPr="00D32665">
        <w:rPr>
          <w:rFonts w:ascii="Palatino Linotype" w:hAnsi="Palatino Linotype" w:cs="Arial"/>
          <w:b/>
        </w:rPr>
        <w:t>Recurrente</w:t>
      </w:r>
      <w:r w:rsidRPr="00D32665">
        <w:rPr>
          <w:rFonts w:ascii="Palatino Linotype" w:hAnsi="Palatino Linotype" w:cs="Arial"/>
        </w:rPr>
        <w:t>; todo lo anterior en términos de los artículos 185 fracciones II y IV, y 195 de la Ley de Transparencia y Acceso a la Información Pública del Estado de México y Municipios.</w:t>
      </w:r>
    </w:p>
    <w:p w:rsidR="00DB1C71" w:rsidRDefault="00DB1C71" w:rsidP="00DB1C71">
      <w:pPr>
        <w:spacing w:line="360" w:lineRule="auto"/>
        <w:jc w:val="both"/>
        <w:rPr>
          <w:rFonts w:ascii="Palatino Linotype" w:hAnsi="Palatino Linotype" w:cs="Arial"/>
          <w:b/>
          <w:sz w:val="28"/>
          <w:szCs w:val="28"/>
        </w:rPr>
      </w:pPr>
    </w:p>
    <w:p w:rsidR="00DB1C71" w:rsidRDefault="00DB1C71" w:rsidP="00DB1C71">
      <w:pPr>
        <w:spacing w:line="360" w:lineRule="auto"/>
        <w:jc w:val="both"/>
        <w:rPr>
          <w:rFonts w:ascii="Palatino Linotype" w:hAnsi="Palatino Linotype" w:cs="Arial"/>
          <w:b/>
          <w:sz w:val="28"/>
          <w:szCs w:val="28"/>
        </w:rPr>
      </w:pPr>
    </w:p>
    <w:p w:rsidR="00DB1C71" w:rsidRPr="002C3EC8" w:rsidRDefault="00DB1C71" w:rsidP="00DB1C71">
      <w:pPr>
        <w:spacing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DB1C71" w:rsidRDefault="00DB1C71" w:rsidP="00DB1C71">
      <w:pPr>
        <w:spacing w:line="360" w:lineRule="auto"/>
        <w:jc w:val="both"/>
        <w:rPr>
          <w:rFonts w:ascii="Palatino Linotype" w:hAnsi="Palatino Linotype" w:cs="Arial"/>
        </w:rPr>
      </w:pPr>
      <w:r w:rsidRPr="002C3EC8">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w:t>
      </w:r>
      <w:r w:rsidRPr="002C3EC8">
        <w:rPr>
          <w:rFonts w:ascii="Palatino Linotype" w:hAnsi="Palatino Linotype" w:cs="Arial"/>
        </w:rPr>
        <w:lastRenderedPageBreak/>
        <w:t>decretó el</w:t>
      </w:r>
      <w:r>
        <w:rPr>
          <w:rFonts w:ascii="Palatino Linotype" w:hAnsi="Palatino Linotype" w:cs="Arial"/>
        </w:rPr>
        <w:t xml:space="preserve"> cierre de instrucción en fecha </w:t>
      </w:r>
      <w:r w:rsidR="00957049">
        <w:rPr>
          <w:rFonts w:ascii="Palatino Linotype" w:hAnsi="Palatino Linotype" w:cs="Arial"/>
          <w:b/>
        </w:rPr>
        <w:t>cuatro de febrero de dos mil veinti</w:t>
      </w:r>
      <w:r w:rsidR="009235B2">
        <w:rPr>
          <w:rFonts w:ascii="Palatino Linotype" w:hAnsi="Palatino Linotype" w:cs="Arial"/>
          <w:b/>
        </w:rPr>
        <w:t>ci</w:t>
      </w:r>
      <w:r w:rsidR="00957049">
        <w:rPr>
          <w:rFonts w:ascii="Palatino Linotype" w:hAnsi="Palatino Linotype" w:cs="Arial"/>
          <w:b/>
        </w:rPr>
        <w:t>nco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w:t>
      </w:r>
      <w:r>
        <w:rPr>
          <w:rFonts w:ascii="Palatino Linotype" w:hAnsi="Palatino Linotype" w:cs="Arial"/>
        </w:rPr>
        <w:t>solución que en derecho proceda.</w:t>
      </w:r>
    </w:p>
    <w:p w:rsidR="00DB1C71" w:rsidRPr="009A3812" w:rsidRDefault="00DB1C71" w:rsidP="00DB1C71">
      <w:pPr>
        <w:spacing w:line="360" w:lineRule="auto"/>
        <w:jc w:val="both"/>
        <w:rPr>
          <w:rFonts w:ascii="Palatino Linotype" w:hAnsi="Palatino Linotype" w:cs="Arial"/>
        </w:rPr>
      </w:pPr>
    </w:p>
    <w:p w:rsidR="00DB1C71" w:rsidRPr="0024200F" w:rsidRDefault="00DB1C71" w:rsidP="00DB1C71">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rsidR="00DB1C71" w:rsidRPr="00825F67" w:rsidRDefault="00DB1C71" w:rsidP="00DB1C71">
      <w:pPr>
        <w:spacing w:line="360" w:lineRule="auto"/>
        <w:ind w:right="49"/>
        <w:jc w:val="both"/>
        <w:rPr>
          <w:rFonts w:ascii="Palatino Linotype" w:hAnsi="Palatino Linotype"/>
          <w:szCs w:val="28"/>
        </w:rPr>
      </w:pPr>
    </w:p>
    <w:p w:rsidR="00DB1C71" w:rsidRPr="002C3EC8" w:rsidRDefault="00DB1C71" w:rsidP="00DB1C71">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DB1C71" w:rsidRPr="007C6AB6" w:rsidRDefault="00DB1C71" w:rsidP="00DB1C71">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DB1C71" w:rsidRPr="002C3EC8" w:rsidRDefault="00DB1C71" w:rsidP="00DB1C71">
      <w:pPr>
        <w:spacing w:before="240" w:line="360" w:lineRule="auto"/>
        <w:jc w:val="both"/>
        <w:rPr>
          <w:rFonts w:ascii="Palatino Linotype" w:eastAsia="Calibri" w:hAnsi="Palatino Linotype"/>
          <w:b/>
          <w:color w:val="000000" w:themeColor="text1"/>
        </w:rPr>
      </w:pPr>
    </w:p>
    <w:p w:rsidR="00DB1C71" w:rsidRPr="002C3EC8" w:rsidRDefault="00DB1C71" w:rsidP="00DB1C71">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DB1C71" w:rsidRDefault="00DB1C71" w:rsidP="00DB1C71">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lastRenderedPageBreak/>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DB1C71" w:rsidRPr="00FF46DA" w:rsidRDefault="00DB1C71" w:rsidP="00DB1C71">
      <w:pPr>
        <w:pStyle w:val="Prrafodelista"/>
        <w:autoSpaceDE w:val="0"/>
        <w:autoSpaceDN w:val="0"/>
        <w:adjustRightInd w:val="0"/>
        <w:spacing w:before="240" w:after="160" w:line="360" w:lineRule="auto"/>
        <w:ind w:left="0"/>
        <w:jc w:val="both"/>
        <w:rPr>
          <w:rFonts w:ascii="Palatino Linotype" w:hAnsi="Palatino Linotype" w:cs="Arial"/>
        </w:rPr>
      </w:pPr>
    </w:p>
    <w:p w:rsidR="00DB1C71" w:rsidRPr="002C3EC8" w:rsidRDefault="00DB1C71" w:rsidP="00DB1C71">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DB1C71" w:rsidRPr="002C3EC8" w:rsidRDefault="00DB1C71" w:rsidP="00DB1C71">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DB1C71" w:rsidRPr="002C3EC8" w:rsidRDefault="00DB1C71" w:rsidP="00DB1C71">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w:t>
      </w:r>
      <w:r w:rsidRPr="002C3EC8">
        <w:rPr>
          <w:rFonts w:ascii="Palatino Linotype" w:hAnsi="Palatino Linotype" w:cs="Arial"/>
        </w:rPr>
        <w:lastRenderedPageBreak/>
        <w:t>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DB1C71" w:rsidRDefault="00DB1C71" w:rsidP="00DB1C71">
      <w:pPr>
        <w:tabs>
          <w:tab w:val="left" w:pos="709"/>
        </w:tabs>
        <w:spacing w:before="240" w:line="360" w:lineRule="auto"/>
        <w:ind w:right="51"/>
        <w:jc w:val="both"/>
        <w:rPr>
          <w:rFonts w:ascii="Palatino Linotype" w:hAnsi="Palatino Linotype"/>
          <w:b/>
          <w:sz w:val="28"/>
          <w:szCs w:val="28"/>
        </w:rPr>
      </w:pPr>
    </w:p>
    <w:p w:rsidR="00DB1C71" w:rsidRPr="002C3EC8" w:rsidRDefault="00DB1C71" w:rsidP="00DB1C71">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DB1C71" w:rsidRPr="007379EE" w:rsidRDefault="00DB1C71" w:rsidP="00DB1C71">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DB1C71" w:rsidRDefault="00DB1C71" w:rsidP="00DB1C71">
      <w:pPr>
        <w:autoSpaceDE w:val="0"/>
        <w:autoSpaceDN w:val="0"/>
        <w:adjustRightInd w:val="0"/>
        <w:ind w:right="567"/>
        <w:rPr>
          <w:rFonts w:ascii="Palatino Linotype" w:eastAsia="Calibri" w:hAnsi="Palatino Linotype" w:cs="Arial"/>
        </w:rPr>
      </w:pPr>
    </w:p>
    <w:p w:rsidR="00DB1C71" w:rsidRDefault="00DB1C71" w:rsidP="00DB1C71">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Ahora bien, el artículo 179 de la Ley de Transparencia establece las causales para la procedencia del recurso de revisión, tal como se transcribe:</w:t>
      </w:r>
    </w:p>
    <w:p w:rsidR="00DB1C71" w:rsidRDefault="00DB1C71" w:rsidP="00DB1C71">
      <w:pPr>
        <w:pStyle w:val="Citas"/>
      </w:pPr>
      <w:r w:rsidRPr="00957049">
        <w:rPr>
          <w:b/>
        </w:rPr>
        <w:t>Artículo 179.</w:t>
      </w:r>
      <w:r w:rsidRPr="002E7A81">
        <w:t xml:space="preserve"> El recurso de revisión es un medio de protección que la Ley otorga a los particulares, para hacer valer su derecho de acceso a la información pública, y procederá en contra de las siguientes causas: </w:t>
      </w:r>
    </w:p>
    <w:p w:rsidR="00DB1C71" w:rsidRDefault="00DB1C71" w:rsidP="00DB1C71">
      <w:pPr>
        <w:pStyle w:val="Citas"/>
        <w:numPr>
          <w:ilvl w:val="0"/>
          <w:numId w:val="4"/>
        </w:numPr>
        <w:spacing w:line="240" w:lineRule="auto"/>
      </w:pPr>
      <w:r w:rsidRPr="002E7A81">
        <w:t xml:space="preserve">La negativa a la información solicitada; </w:t>
      </w:r>
    </w:p>
    <w:p w:rsidR="00DB1C71" w:rsidRDefault="00DB1C71" w:rsidP="00DB1C71">
      <w:pPr>
        <w:pStyle w:val="Citas"/>
        <w:numPr>
          <w:ilvl w:val="0"/>
          <w:numId w:val="4"/>
        </w:numPr>
        <w:spacing w:line="240" w:lineRule="auto"/>
      </w:pPr>
      <w:r w:rsidRPr="002E7A81">
        <w:t xml:space="preserve">La clasificación de la información; </w:t>
      </w:r>
    </w:p>
    <w:p w:rsidR="00DB1C71" w:rsidRDefault="00DB1C71" w:rsidP="00DB1C71">
      <w:pPr>
        <w:pStyle w:val="Citas"/>
        <w:numPr>
          <w:ilvl w:val="0"/>
          <w:numId w:val="4"/>
        </w:numPr>
        <w:spacing w:line="240" w:lineRule="auto"/>
      </w:pPr>
      <w:r w:rsidRPr="002E7A81">
        <w:t xml:space="preserve">La declaración de inexistencia de la información; </w:t>
      </w:r>
    </w:p>
    <w:p w:rsidR="00DB1C71" w:rsidRDefault="00DB1C71" w:rsidP="00DB1C71">
      <w:pPr>
        <w:pStyle w:val="Citas"/>
        <w:numPr>
          <w:ilvl w:val="0"/>
          <w:numId w:val="4"/>
        </w:numPr>
        <w:spacing w:line="240" w:lineRule="auto"/>
      </w:pPr>
      <w:r w:rsidRPr="002E7A81">
        <w:t xml:space="preserve">La declaración de incompetencia por el sujeto obligado; </w:t>
      </w:r>
    </w:p>
    <w:p w:rsidR="00DB1C71" w:rsidRPr="00957049" w:rsidRDefault="00DB1C71" w:rsidP="00DB1C71">
      <w:pPr>
        <w:pStyle w:val="Citas"/>
        <w:numPr>
          <w:ilvl w:val="0"/>
          <w:numId w:val="4"/>
        </w:numPr>
        <w:spacing w:line="240" w:lineRule="auto"/>
        <w:rPr>
          <w:b/>
        </w:rPr>
      </w:pPr>
      <w:r w:rsidRPr="00957049">
        <w:rPr>
          <w:b/>
        </w:rPr>
        <w:t xml:space="preserve">La entrega de información incompleta; </w:t>
      </w:r>
    </w:p>
    <w:p w:rsidR="00DB1C71" w:rsidRDefault="00DB1C71" w:rsidP="00DB1C71">
      <w:pPr>
        <w:pStyle w:val="Citas"/>
        <w:numPr>
          <w:ilvl w:val="0"/>
          <w:numId w:val="4"/>
        </w:numPr>
        <w:spacing w:line="240" w:lineRule="auto"/>
      </w:pPr>
      <w:r w:rsidRPr="002E7A81">
        <w:t xml:space="preserve">La entrega de información que no corresponda con lo solicitado; </w:t>
      </w:r>
    </w:p>
    <w:p w:rsidR="00DB1C71" w:rsidRDefault="00DB1C71" w:rsidP="00DB1C71">
      <w:pPr>
        <w:pStyle w:val="Citas"/>
        <w:numPr>
          <w:ilvl w:val="0"/>
          <w:numId w:val="4"/>
        </w:numPr>
        <w:spacing w:line="240" w:lineRule="auto"/>
      </w:pPr>
      <w:r w:rsidRPr="002E7A81">
        <w:t xml:space="preserve">La falta de respuesta a una solicitud de acceso a la información; </w:t>
      </w:r>
    </w:p>
    <w:p w:rsidR="00DB1C71" w:rsidRDefault="00DB1C71" w:rsidP="00DB1C71">
      <w:pPr>
        <w:pStyle w:val="Citas"/>
        <w:numPr>
          <w:ilvl w:val="0"/>
          <w:numId w:val="4"/>
        </w:numPr>
        <w:spacing w:line="240" w:lineRule="auto"/>
      </w:pPr>
      <w:r w:rsidRPr="002E7A81">
        <w:t xml:space="preserve">La notificación, entrega o puesta a disposición de información en una modalidad o formato distinto al solicitado; </w:t>
      </w:r>
    </w:p>
    <w:p w:rsidR="00DB1C71" w:rsidRDefault="00DB1C71" w:rsidP="00DB1C71">
      <w:pPr>
        <w:pStyle w:val="Citas"/>
        <w:numPr>
          <w:ilvl w:val="0"/>
          <w:numId w:val="4"/>
        </w:numPr>
        <w:spacing w:line="240" w:lineRule="auto"/>
      </w:pPr>
      <w:r w:rsidRPr="002E7A81">
        <w:t xml:space="preserve">La entrega o puesta a disposición de información en un formato incomprensible y/o no accesible para el solicitante; </w:t>
      </w:r>
    </w:p>
    <w:p w:rsidR="00DB1C71" w:rsidRDefault="00DB1C71" w:rsidP="00DB1C71">
      <w:pPr>
        <w:pStyle w:val="Citas"/>
        <w:numPr>
          <w:ilvl w:val="0"/>
          <w:numId w:val="4"/>
        </w:numPr>
        <w:spacing w:line="240" w:lineRule="auto"/>
      </w:pPr>
      <w:r w:rsidRPr="002E7A81">
        <w:t xml:space="preserve">Los costos o tiempos de entrega de la información; </w:t>
      </w:r>
    </w:p>
    <w:p w:rsidR="00DB1C71" w:rsidRDefault="00DB1C71" w:rsidP="00DB1C71">
      <w:pPr>
        <w:pStyle w:val="Citas"/>
        <w:numPr>
          <w:ilvl w:val="0"/>
          <w:numId w:val="4"/>
        </w:numPr>
        <w:spacing w:line="240" w:lineRule="auto"/>
      </w:pPr>
      <w:r w:rsidRPr="002E7A81">
        <w:t xml:space="preserve">La falta de trámite a una solicitud; </w:t>
      </w:r>
    </w:p>
    <w:p w:rsidR="00DB1C71" w:rsidRDefault="00DB1C71" w:rsidP="00DB1C71">
      <w:pPr>
        <w:pStyle w:val="Citas"/>
        <w:numPr>
          <w:ilvl w:val="0"/>
          <w:numId w:val="4"/>
        </w:numPr>
        <w:spacing w:line="240" w:lineRule="auto"/>
      </w:pPr>
      <w:r w:rsidRPr="002E7A81">
        <w:t xml:space="preserve">La negativa a permitir la consulta directa de la información; </w:t>
      </w:r>
    </w:p>
    <w:p w:rsidR="00DB1C71" w:rsidRDefault="00DB1C71" w:rsidP="00DB1C71">
      <w:pPr>
        <w:pStyle w:val="Citas"/>
        <w:numPr>
          <w:ilvl w:val="0"/>
          <w:numId w:val="4"/>
        </w:numPr>
        <w:spacing w:line="240" w:lineRule="auto"/>
      </w:pPr>
      <w:r w:rsidRPr="002E7A81">
        <w:t xml:space="preserve">La falta, deficiencia o insuficiencia de la fundamentación y/o motivación en la respuesta; y </w:t>
      </w:r>
    </w:p>
    <w:p w:rsidR="00DB1C71" w:rsidRDefault="00DB1C71" w:rsidP="00DB1C71">
      <w:pPr>
        <w:pStyle w:val="Citas"/>
        <w:numPr>
          <w:ilvl w:val="0"/>
          <w:numId w:val="4"/>
        </w:numPr>
        <w:spacing w:line="240" w:lineRule="auto"/>
      </w:pPr>
      <w:r w:rsidRPr="002E7A81">
        <w:t xml:space="preserve">La orientación a un trámite específico. </w:t>
      </w:r>
    </w:p>
    <w:p w:rsidR="00DB1C71" w:rsidRPr="007379EE" w:rsidRDefault="00DB1C71" w:rsidP="00DB1C71">
      <w:pPr>
        <w:pStyle w:val="Citas"/>
        <w:spacing w:line="240" w:lineRule="auto"/>
      </w:pPr>
      <w:r w:rsidRPr="002E7A81">
        <w:t xml:space="preserve">La respuesta que den los sujetos obligados derivada de la resolución a un recurso de revisión que proceda por las causales señaladas en las fracciones IV, VII, IX, X, XI y </w:t>
      </w:r>
      <w:r w:rsidRPr="002E7A81">
        <w:lastRenderedPageBreak/>
        <w:t>XII es susceptible de ser impugnada de nueva cuenta, mediante recurso de revisión, ante el Instituto.</w:t>
      </w:r>
    </w:p>
    <w:p w:rsidR="00DB1C71" w:rsidRDefault="00DB1C71" w:rsidP="00DB1C71">
      <w:pPr>
        <w:autoSpaceDE w:val="0"/>
        <w:autoSpaceDN w:val="0"/>
        <w:adjustRightInd w:val="0"/>
        <w:ind w:right="567"/>
        <w:rPr>
          <w:rFonts w:ascii="Palatino Linotype" w:eastAsia="Calibri" w:hAnsi="Palatino Linotype" w:cs="Arial"/>
        </w:rPr>
      </w:pPr>
    </w:p>
    <w:p w:rsidR="00DB1C71" w:rsidRDefault="00DB1C71" w:rsidP="00DB1C71">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los requerimientos del ahora </w:t>
      </w:r>
      <w:r w:rsidRPr="000A4CB6">
        <w:rPr>
          <w:rFonts w:ascii="Palatino Linotype" w:hAnsi="Palatino Linotype" w:cs="Tahoma"/>
          <w:b/>
          <w:bCs/>
        </w:rPr>
        <w:t>Recurrente</w:t>
      </w:r>
      <w:r w:rsidRPr="00A779C7">
        <w:rPr>
          <w:rFonts w:ascii="Palatino Linotype" w:hAnsi="Palatino Linotype" w:cs="Tahoma"/>
          <w:bCs/>
        </w:rPr>
        <w:t>, de manera objetiva se precisa que requiere la siguiente información:</w:t>
      </w:r>
    </w:p>
    <w:p w:rsidR="00DB1C71" w:rsidRPr="009A3812" w:rsidRDefault="00DB1C71" w:rsidP="00DB1C71">
      <w:pPr>
        <w:tabs>
          <w:tab w:val="left" w:pos="1828"/>
        </w:tabs>
        <w:spacing w:line="360" w:lineRule="auto"/>
        <w:jc w:val="both"/>
        <w:rPr>
          <w:rFonts w:ascii="Palatino Linotype" w:hAnsi="Palatino Linotype" w:cs="Tahoma"/>
          <w:bCs/>
        </w:rPr>
      </w:pPr>
    </w:p>
    <w:p w:rsidR="00DB1C71" w:rsidRPr="00E16922" w:rsidRDefault="00957049" w:rsidP="00E16922">
      <w:pPr>
        <w:pStyle w:val="Prrafodelista"/>
        <w:numPr>
          <w:ilvl w:val="0"/>
          <w:numId w:val="2"/>
        </w:numPr>
        <w:tabs>
          <w:tab w:val="left" w:pos="1828"/>
        </w:tabs>
        <w:spacing w:line="360" w:lineRule="auto"/>
        <w:jc w:val="both"/>
        <w:rPr>
          <w:rFonts w:ascii="Palatino Linotype" w:hAnsi="Palatino Linotype" w:cs="Tahoma"/>
          <w:bCs/>
        </w:rPr>
      </w:pPr>
      <w:r>
        <w:rPr>
          <w:rFonts w:ascii="Palatino Linotype" w:hAnsi="Palatino Linotype" w:cs="Tahoma"/>
          <w:bCs/>
        </w:rPr>
        <w:t>Número de quejas recibidas.</w:t>
      </w:r>
    </w:p>
    <w:p w:rsidR="00E16922" w:rsidRDefault="00E16922" w:rsidP="00DB1C71">
      <w:pPr>
        <w:spacing w:before="240" w:line="360" w:lineRule="auto"/>
        <w:jc w:val="both"/>
        <w:rPr>
          <w:rFonts w:ascii="Palatino Linotype" w:hAnsi="Palatino Linotype" w:cs="Arial"/>
        </w:rPr>
      </w:pPr>
    </w:p>
    <w:p w:rsidR="00DB1C71" w:rsidRPr="001106D5" w:rsidRDefault="00DB1C71" w:rsidP="00DB1C71">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Pr>
          <w:rFonts w:ascii="Palatino Linotype" w:hAnsi="Palatino Linotype" w:cs="Arial"/>
          <w:b/>
        </w:rPr>
        <w:t>00196/MEXICAL/IP/2024</w:t>
      </w:r>
      <w:r w:rsidR="00957049">
        <w:rPr>
          <w:rFonts w:ascii="Palatino Linotype" w:hAnsi="Palatino Linotype" w:cs="Arial"/>
          <w:b/>
        </w:rPr>
        <w:t xml:space="preserve">, </w:t>
      </w:r>
      <w:r w:rsidR="00957049">
        <w:rPr>
          <w:rFonts w:ascii="Palatino Linotype" w:hAnsi="Palatino Linotype" w:cs="Arial"/>
        </w:rPr>
        <w:t>en el tenor siguiente</w:t>
      </w:r>
      <w:r w:rsidRPr="001106D5">
        <w:rPr>
          <w:rFonts w:ascii="Palatino Linotype" w:hAnsi="Palatino Linotype" w:cs="Arial"/>
          <w:b/>
        </w:rPr>
        <w:t>:</w:t>
      </w:r>
    </w:p>
    <w:p w:rsidR="00DB1C71" w:rsidRDefault="00DB1C71" w:rsidP="00DB1C71">
      <w:pPr>
        <w:pStyle w:val="INFOEM"/>
      </w:pPr>
      <w:r>
        <w:t>“(…)</w:t>
      </w:r>
    </w:p>
    <w:p w:rsidR="00957049" w:rsidRPr="00957049" w:rsidRDefault="00957049" w:rsidP="00957049">
      <w:pPr>
        <w:pStyle w:val="INFOEM"/>
        <w:rPr>
          <w:lang w:val="es-ES"/>
        </w:rPr>
      </w:pPr>
      <w:r w:rsidRPr="00957049">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DB1C71" w:rsidRDefault="00957049" w:rsidP="00957049">
      <w:pPr>
        <w:pStyle w:val="INFOEM"/>
        <w:rPr>
          <w:b/>
          <w:u w:val="single"/>
          <w:lang w:val="es-ES"/>
        </w:rPr>
      </w:pPr>
      <w:r w:rsidRPr="00957049">
        <w:rPr>
          <w:b/>
          <w:u w:val="single"/>
          <w:lang w:val="es-ES"/>
        </w:rPr>
        <w:t xml:space="preserve">Ciudadano le solicito de la manera </w:t>
      </w:r>
      <w:proofErr w:type="spellStart"/>
      <w:r w:rsidRPr="00957049">
        <w:rPr>
          <w:b/>
          <w:u w:val="single"/>
          <w:lang w:val="es-ES"/>
        </w:rPr>
        <w:t>mas</w:t>
      </w:r>
      <w:proofErr w:type="spellEnd"/>
      <w:r w:rsidRPr="00957049">
        <w:rPr>
          <w:b/>
          <w:u w:val="single"/>
          <w:lang w:val="es-ES"/>
        </w:rPr>
        <w:t xml:space="preserve"> atenta indique el periodo sobre el que le gustaría saber el número de quejas recibidas.</w:t>
      </w:r>
    </w:p>
    <w:p w:rsidR="00DB1C71" w:rsidRPr="00957049" w:rsidRDefault="00DB1C71" w:rsidP="00957049">
      <w:pPr>
        <w:pStyle w:val="INFOEM"/>
        <w:rPr>
          <w:rFonts w:cs="Arial"/>
          <w:b/>
          <w:sz w:val="24"/>
        </w:rPr>
      </w:pPr>
      <w:r>
        <w:t xml:space="preserve"> (…)” (Sic)</w:t>
      </w:r>
    </w:p>
    <w:p w:rsidR="00DB1C71" w:rsidRPr="00AA5BB2" w:rsidRDefault="00DB1C71" w:rsidP="00DB1C71">
      <w:pPr>
        <w:spacing w:line="360" w:lineRule="auto"/>
        <w:jc w:val="both"/>
        <w:rPr>
          <w:rFonts w:ascii="Palatino Linotype" w:hAnsi="Palatino Linotype" w:cs="Arial"/>
          <w:b/>
          <w:bCs/>
          <w:i/>
        </w:rPr>
      </w:pPr>
    </w:p>
    <w:p w:rsidR="00DB1C71" w:rsidRDefault="00DB1C71" w:rsidP="00DB1C71">
      <w:pPr>
        <w:spacing w:line="360" w:lineRule="auto"/>
        <w:jc w:val="both"/>
        <w:rPr>
          <w:rFonts w:ascii="Palatino Linotype" w:hAnsi="Palatino Linotype"/>
          <w:i/>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00957049" w:rsidRPr="00957049">
        <w:rPr>
          <w:rFonts w:ascii="Palatino Linotype" w:hAnsi="Palatino Linotype"/>
          <w:i/>
        </w:rPr>
        <w:t>INFORMACION INCOMPLETA</w:t>
      </w:r>
      <w:r>
        <w:rPr>
          <w:rFonts w:ascii="Palatino Linotype" w:hAnsi="Palatino Linotype"/>
          <w:i/>
        </w:rPr>
        <w:t>” (Sic).</w:t>
      </w:r>
    </w:p>
    <w:p w:rsidR="00DB1C71" w:rsidRPr="00E16922" w:rsidRDefault="00DB1C71" w:rsidP="00DB1C71">
      <w:pPr>
        <w:spacing w:line="360" w:lineRule="auto"/>
        <w:jc w:val="both"/>
        <w:rPr>
          <w:rFonts w:ascii="Palatino Linotype" w:hAnsi="Palatino Linotype"/>
        </w:rPr>
      </w:pPr>
    </w:p>
    <w:p w:rsidR="00DB1C71" w:rsidRDefault="00DB1C71" w:rsidP="00DB1C71">
      <w:pPr>
        <w:spacing w:line="360" w:lineRule="auto"/>
        <w:jc w:val="both"/>
        <w:rPr>
          <w:rFonts w:ascii="Palatino Linotype" w:hAnsi="Palatino Linotype"/>
        </w:rPr>
      </w:pPr>
      <w:r w:rsidRPr="00255F60">
        <w:rPr>
          <w:rFonts w:ascii="Palatino Linotype" w:hAnsi="Palatino Linotype"/>
          <w:lang w:val="es-ES_tradnl"/>
        </w:rPr>
        <w:t xml:space="preserve">Asimismo, en la etapa de manifestaciones </w:t>
      </w:r>
      <w:r w:rsidRPr="00255F60">
        <w:rPr>
          <w:rFonts w:ascii="Palatino Linotype" w:hAnsi="Palatino Linotype"/>
        </w:rPr>
        <w:t xml:space="preserve">se advierte que el </w:t>
      </w:r>
      <w:r w:rsidRPr="00255F60">
        <w:rPr>
          <w:rFonts w:ascii="Palatino Linotype" w:hAnsi="Palatino Linotype"/>
          <w:b/>
        </w:rPr>
        <w:t>Sujeto Obligado</w:t>
      </w:r>
      <w:r w:rsidRPr="00255F60">
        <w:rPr>
          <w:rFonts w:ascii="Palatino Linotype" w:hAnsi="Palatino Linotype"/>
        </w:rPr>
        <w:t xml:space="preserve"> rindió su informe justificado mediante el archivo electrónico </w:t>
      </w:r>
      <w:r w:rsidR="00957049">
        <w:rPr>
          <w:rFonts w:ascii="Palatino Linotype" w:hAnsi="Palatino Linotype"/>
        </w:rPr>
        <w:t>siguiente:</w:t>
      </w:r>
    </w:p>
    <w:p w:rsidR="004B60AD" w:rsidRDefault="004B60AD" w:rsidP="004B60AD">
      <w:pPr>
        <w:pStyle w:val="Prrafodelista"/>
        <w:numPr>
          <w:ilvl w:val="0"/>
          <w:numId w:val="7"/>
        </w:numPr>
        <w:spacing w:line="360" w:lineRule="auto"/>
        <w:jc w:val="both"/>
        <w:rPr>
          <w:rFonts w:ascii="Palatino Linotype" w:hAnsi="Palatino Linotype"/>
        </w:rPr>
      </w:pPr>
      <w:r w:rsidRPr="00957049">
        <w:rPr>
          <w:rFonts w:ascii="Palatino Linotype" w:hAnsi="Palatino Linotype"/>
          <w:b/>
          <w:i/>
        </w:rPr>
        <w:t xml:space="preserve">OBSERVACIONES </w:t>
      </w:r>
      <w:proofErr w:type="gramStart"/>
      <w:r w:rsidRPr="00957049">
        <w:rPr>
          <w:rFonts w:ascii="Palatino Linotype" w:hAnsi="Palatino Linotype"/>
          <w:b/>
          <w:i/>
        </w:rPr>
        <w:t>R.R..</w:t>
      </w:r>
      <w:proofErr w:type="spellStart"/>
      <w:proofErr w:type="gramEnd"/>
      <w:r w:rsidRPr="00957049">
        <w:rPr>
          <w:rFonts w:ascii="Palatino Linotype" w:hAnsi="Palatino Linotype"/>
          <w:b/>
          <w:i/>
        </w:rPr>
        <w:t>pdf</w:t>
      </w:r>
      <w:proofErr w:type="spellEnd"/>
      <w:r>
        <w:rPr>
          <w:rFonts w:ascii="Palatino Linotype" w:hAnsi="Palatino Linotype"/>
          <w:b/>
          <w:i/>
        </w:rPr>
        <w:t xml:space="preserve">: </w:t>
      </w:r>
      <w:r w:rsidR="00E0367E">
        <w:rPr>
          <w:rFonts w:ascii="Palatino Linotype" w:hAnsi="Palatino Linotype"/>
        </w:rPr>
        <w:t xml:space="preserve">constante de ocho fojas, en formato </w:t>
      </w:r>
      <w:proofErr w:type="spellStart"/>
      <w:r w:rsidR="00E0367E">
        <w:rPr>
          <w:rFonts w:ascii="Palatino Linotype" w:hAnsi="Palatino Linotype"/>
        </w:rPr>
        <w:t>pdf</w:t>
      </w:r>
      <w:proofErr w:type="spellEnd"/>
      <w:r w:rsidR="00E0367E">
        <w:rPr>
          <w:rFonts w:ascii="Palatino Linotype" w:hAnsi="Palatino Linotype"/>
        </w:rPr>
        <w:t>, contiene el oficio número PMM/CTAI/008/2025, de fecha veinte de enero de dos mil veinticinco, firmado por la Coordinadora de Transparencia y Acceso a la Información, dirigido al Contralor Interno Municipal, en el sustancialmente refiere el estatus de los recursos de revisión</w:t>
      </w:r>
      <w:r w:rsidR="00D43C25">
        <w:rPr>
          <w:rFonts w:ascii="Palatino Linotype" w:hAnsi="Palatino Linotype"/>
        </w:rPr>
        <w:t>, por otro lado entrega una relación de los recursos de revisión de la administración 2022-2024.</w:t>
      </w:r>
    </w:p>
    <w:p w:rsidR="009235B2" w:rsidRDefault="009235B2" w:rsidP="009235B2">
      <w:pPr>
        <w:pStyle w:val="Prrafodelista"/>
        <w:numPr>
          <w:ilvl w:val="0"/>
          <w:numId w:val="7"/>
        </w:numPr>
        <w:spacing w:line="360" w:lineRule="auto"/>
        <w:jc w:val="both"/>
        <w:rPr>
          <w:rFonts w:ascii="Palatino Linotype" w:hAnsi="Palatino Linotype"/>
        </w:rPr>
      </w:pPr>
      <w:r w:rsidRPr="009235B2">
        <w:rPr>
          <w:rFonts w:ascii="Palatino Linotype" w:hAnsi="Palatino Linotype"/>
          <w:b/>
          <w:i/>
        </w:rPr>
        <w:t>MANIF. R.R. 00115-2025.pdf</w:t>
      </w:r>
      <w:r>
        <w:rPr>
          <w:rFonts w:ascii="Palatino Linotype" w:hAnsi="Palatino Linotype"/>
        </w:rPr>
        <w:t xml:space="preserve">: constante de una foja, en formato </w:t>
      </w:r>
      <w:proofErr w:type="spellStart"/>
      <w:r>
        <w:rPr>
          <w:rFonts w:ascii="Palatino Linotype" w:hAnsi="Palatino Linotype"/>
        </w:rPr>
        <w:t>pdf</w:t>
      </w:r>
      <w:proofErr w:type="spellEnd"/>
      <w:r>
        <w:rPr>
          <w:rFonts w:ascii="Palatino Linotype" w:hAnsi="Palatino Linotype"/>
        </w:rPr>
        <w:t>, sin número de oficio, sin firma, en el que refieren lo siguiente:</w:t>
      </w:r>
    </w:p>
    <w:p w:rsidR="009235B2" w:rsidRPr="004B60AD" w:rsidRDefault="009235B2" w:rsidP="009235B2">
      <w:pPr>
        <w:pStyle w:val="Prrafodelista"/>
        <w:spacing w:line="360" w:lineRule="auto"/>
        <w:ind w:left="720"/>
        <w:jc w:val="center"/>
        <w:rPr>
          <w:rFonts w:ascii="Palatino Linotype" w:hAnsi="Palatino Linotype"/>
        </w:rPr>
      </w:pPr>
      <w:r>
        <w:rPr>
          <w:rFonts w:ascii="Palatino Linotype" w:hAnsi="Palatino Linotype"/>
          <w:noProof/>
          <w:lang w:val="es-MX" w:eastAsia="es-MX"/>
        </w:rPr>
        <w:drawing>
          <wp:inline distT="0" distB="0" distL="0" distR="0">
            <wp:extent cx="4543425" cy="2017419"/>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092FA.tmp"/>
                    <pic:cNvPicPr/>
                  </pic:nvPicPr>
                  <pic:blipFill>
                    <a:blip r:embed="rId7">
                      <a:extLst>
                        <a:ext uri="{28A0092B-C50C-407E-A947-70E740481C1C}">
                          <a14:useLocalDpi xmlns:a14="http://schemas.microsoft.com/office/drawing/2010/main" val="0"/>
                        </a:ext>
                      </a:extLst>
                    </a:blip>
                    <a:stretch>
                      <a:fillRect/>
                    </a:stretch>
                  </pic:blipFill>
                  <pic:spPr>
                    <a:xfrm>
                      <a:off x="0" y="0"/>
                      <a:ext cx="4587251" cy="2036879"/>
                    </a:xfrm>
                    <a:prstGeom prst="rect">
                      <a:avLst/>
                    </a:prstGeom>
                  </pic:spPr>
                </pic:pic>
              </a:graphicData>
            </a:graphic>
          </wp:inline>
        </w:drawing>
      </w:r>
    </w:p>
    <w:p w:rsidR="00957049" w:rsidRDefault="00957049" w:rsidP="00DB1C71">
      <w:pPr>
        <w:spacing w:line="360" w:lineRule="auto"/>
        <w:jc w:val="both"/>
        <w:rPr>
          <w:rFonts w:ascii="Palatino Linotype" w:hAnsi="Palatino Linotype"/>
        </w:rPr>
      </w:pPr>
    </w:p>
    <w:p w:rsidR="00DB1C71" w:rsidRDefault="00DB1C71" w:rsidP="00DB1C71">
      <w:pPr>
        <w:rPr>
          <w:rFonts w:ascii="Palatino Linotype" w:eastAsia="Calibri" w:hAnsi="Palatino Linotype" w:cs="Calibri"/>
          <w:lang w:val="es-ES_tradnl" w:eastAsia="es-MX"/>
        </w:rPr>
      </w:pPr>
    </w:p>
    <w:p w:rsidR="00DB1C71" w:rsidRDefault="00DB1C71" w:rsidP="00DB1C71">
      <w:pPr>
        <w:spacing w:line="360" w:lineRule="auto"/>
        <w:ind w:right="214"/>
        <w:jc w:val="both"/>
        <w:rPr>
          <w:rFonts w:ascii="Palatino Linotype" w:hAnsi="Palatino Linotype"/>
        </w:rPr>
      </w:pPr>
      <w:r>
        <w:rPr>
          <w:rFonts w:ascii="Palatino Linotype" w:hAnsi="Palatino Linotype"/>
        </w:rPr>
        <w:t xml:space="preserve">Ahora bien, para delimitar esferas competenciales es necesario traer a colación el </w:t>
      </w:r>
      <w:r w:rsidR="00D43C25">
        <w:rPr>
          <w:rFonts w:ascii="Palatino Linotype" w:hAnsi="Palatino Linotype"/>
        </w:rPr>
        <w:t>Organigrama del Sujeto Obligado</w:t>
      </w:r>
      <w:r>
        <w:rPr>
          <w:rFonts w:ascii="Palatino Linotype" w:hAnsi="Palatino Linotype"/>
        </w:rPr>
        <w:t>, tal como se ilustra</w:t>
      </w:r>
      <w:r w:rsidRPr="00112C93">
        <w:rPr>
          <w:rFonts w:ascii="Palatino Linotype" w:hAnsi="Palatino Linotype"/>
        </w:rPr>
        <w:t>:</w:t>
      </w:r>
    </w:p>
    <w:p w:rsidR="00D43C25" w:rsidRDefault="00DC14C1" w:rsidP="00D43C25">
      <w:pPr>
        <w:spacing w:line="360" w:lineRule="auto"/>
        <w:ind w:right="214"/>
        <w:jc w:val="center"/>
        <w:rPr>
          <w:rFonts w:ascii="Palatino Linotype" w:hAnsi="Palatino Linotype"/>
        </w:rPr>
      </w:pPr>
      <w:r>
        <w:rPr>
          <w:rFonts w:ascii="Palatino Linotype" w:hAnsi="Palatino Linotype"/>
          <w:noProof/>
          <w:lang w:val="es-MX" w:eastAsia="es-MX"/>
        </w:rPr>
        <w:lastRenderedPageBreak/>
        <mc:AlternateContent>
          <mc:Choice Requires="wps">
            <w:drawing>
              <wp:anchor distT="0" distB="0" distL="114300" distR="114300" simplePos="0" relativeHeight="251659264" behindDoc="0" locked="0" layoutInCell="1" allowOverlap="1">
                <wp:simplePos x="0" y="0"/>
                <wp:positionH relativeFrom="column">
                  <wp:posOffset>2291715</wp:posOffset>
                </wp:positionH>
                <wp:positionV relativeFrom="paragraph">
                  <wp:posOffset>1200151</wp:posOffset>
                </wp:positionV>
                <wp:extent cx="1343025" cy="247650"/>
                <wp:effectExtent l="19050" t="19050" r="28575" b="19050"/>
                <wp:wrapNone/>
                <wp:docPr id="11" name="Rectángulo 11"/>
                <wp:cNvGraphicFramePr/>
                <a:graphic xmlns:a="http://schemas.openxmlformats.org/drawingml/2006/main">
                  <a:graphicData uri="http://schemas.microsoft.com/office/word/2010/wordprocessingShape">
                    <wps:wsp>
                      <wps:cNvSpPr/>
                      <wps:spPr>
                        <a:xfrm>
                          <a:off x="0" y="0"/>
                          <a:ext cx="1343025" cy="2476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9778867" id="Rectángulo 11" o:spid="_x0000_s1026" style="position:absolute;margin-left:180.45pt;margin-top:94.5pt;width:105.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" filled="f" strokecolor="red" strokeweight="2.25pt"/>
            </w:pict>
          </mc:Fallback>
        </mc:AlternateContent>
      </w:r>
      <w:r w:rsidR="00D43C25">
        <w:rPr>
          <w:rFonts w:ascii="Palatino Linotype" w:hAnsi="Palatino Linotype"/>
          <w:noProof/>
          <w:lang w:val="es-MX" w:eastAsia="es-MX"/>
        </w:rPr>
        <w:drawing>
          <wp:inline distT="0" distB="0" distL="0" distR="0">
            <wp:extent cx="4553585" cy="188621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D01DE6.tmp"/>
                    <pic:cNvPicPr/>
                  </pic:nvPicPr>
                  <pic:blipFill>
                    <a:blip r:embed="rId8">
                      <a:extLst>
                        <a:ext uri="{28A0092B-C50C-407E-A947-70E740481C1C}">
                          <a14:useLocalDpi xmlns:a14="http://schemas.microsoft.com/office/drawing/2010/main" val="0"/>
                        </a:ext>
                      </a:extLst>
                    </a:blip>
                    <a:stretch>
                      <a:fillRect/>
                    </a:stretch>
                  </pic:blipFill>
                  <pic:spPr>
                    <a:xfrm>
                      <a:off x="0" y="0"/>
                      <a:ext cx="4553585" cy="1886213"/>
                    </a:xfrm>
                    <a:prstGeom prst="rect">
                      <a:avLst/>
                    </a:prstGeom>
                  </pic:spPr>
                </pic:pic>
              </a:graphicData>
            </a:graphic>
          </wp:inline>
        </w:drawing>
      </w:r>
    </w:p>
    <w:p w:rsidR="00DB1C71" w:rsidRPr="00112C93" w:rsidRDefault="00DB1C71" w:rsidP="00DB1C71">
      <w:pPr>
        <w:spacing w:line="360" w:lineRule="auto"/>
        <w:ind w:right="214"/>
        <w:jc w:val="center"/>
        <w:rPr>
          <w:rFonts w:ascii="Palatino Linotype" w:hAnsi="Palatino Linotype"/>
        </w:rPr>
      </w:pPr>
    </w:p>
    <w:p w:rsidR="00DB1C71" w:rsidRDefault="00DB1C71" w:rsidP="00DB1C71">
      <w:pPr>
        <w:spacing w:before="240" w:after="240" w:line="276" w:lineRule="auto"/>
        <w:ind w:left="567" w:right="900"/>
        <w:jc w:val="both"/>
        <w:rPr>
          <w:rFonts w:ascii="Palatino Linotype" w:eastAsia="Palatino Linotype" w:hAnsi="Palatino Linotype" w:cs="Palatino Linotype"/>
          <w:i/>
          <w:sz w:val="22"/>
          <w:szCs w:val="22"/>
        </w:rPr>
      </w:pPr>
    </w:p>
    <w:p w:rsidR="00DC14C1" w:rsidRDefault="00DC14C1" w:rsidP="00DC14C1">
      <w:pPr>
        <w:spacing w:line="360" w:lineRule="auto"/>
        <w:ind w:right="214"/>
        <w:jc w:val="both"/>
        <w:rPr>
          <w:rFonts w:ascii="Palatino Linotype" w:hAnsi="Palatino Linotype"/>
        </w:rPr>
      </w:pPr>
      <w:r>
        <w:rPr>
          <w:rFonts w:ascii="Palatino Linotype" w:hAnsi="Palatino Linotype"/>
        </w:rPr>
        <w:t xml:space="preserve">En ese orden de ideas, el Bando Municipal de </w:t>
      </w:r>
      <w:proofErr w:type="spellStart"/>
      <w:r>
        <w:rPr>
          <w:rFonts w:ascii="Palatino Linotype" w:hAnsi="Palatino Linotype"/>
        </w:rPr>
        <w:t>Mexicaltzingo</w:t>
      </w:r>
      <w:proofErr w:type="spellEnd"/>
      <w:r w:rsidRPr="00112C93">
        <w:rPr>
          <w:rFonts w:ascii="Palatino Linotype" w:hAnsi="Palatino Linotype"/>
        </w:rPr>
        <w:t xml:space="preserve">, </w:t>
      </w:r>
      <w:r>
        <w:rPr>
          <w:rFonts w:ascii="Palatino Linotype" w:hAnsi="Palatino Linotype"/>
        </w:rPr>
        <w:t>establece la forma en que se integra la Contraloría Municipal, tal como se cita:</w:t>
      </w:r>
    </w:p>
    <w:p w:rsidR="00DC14C1" w:rsidRPr="00112C93" w:rsidRDefault="00DC14C1" w:rsidP="00DC14C1">
      <w:pPr>
        <w:spacing w:line="360" w:lineRule="auto"/>
        <w:ind w:right="214"/>
        <w:jc w:val="center"/>
        <w:rPr>
          <w:rFonts w:ascii="Palatino Linotype" w:hAnsi="Palatino Linotype"/>
        </w:rPr>
      </w:pPr>
    </w:p>
    <w:p w:rsidR="00692D83" w:rsidRDefault="00DC14C1" w:rsidP="00DC14C1">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sidR="00692D83" w:rsidRPr="00692D83">
        <w:rPr>
          <w:rFonts w:ascii="Palatino Linotype" w:eastAsia="Palatino Linotype" w:hAnsi="Palatino Linotype" w:cs="Palatino Linotype"/>
          <w:i/>
          <w:sz w:val="22"/>
          <w:szCs w:val="22"/>
        </w:rPr>
        <w:t xml:space="preserve">Articulo 68.- Las autoridades auxiliares observaran lo dispuesto por los artículos 57 y 58 de la Ley Orgánica Municipal, pudiendo ser sujetos de </w:t>
      </w:r>
      <w:r w:rsidR="00692D83" w:rsidRPr="00692D83">
        <w:rPr>
          <w:rFonts w:ascii="Palatino Linotype" w:eastAsia="Palatino Linotype" w:hAnsi="Palatino Linotype" w:cs="Palatino Linotype"/>
          <w:b/>
          <w:i/>
          <w:sz w:val="22"/>
          <w:szCs w:val="22"/>
        </w:rPr>
        <w:t>queja o denuncia ante la Contraloría Interna Municipal</w:t>
      </w:r>
      <w:r w:rsidR="00692D83" w:rsidRPr="00692D83">
        <w:rPr>
          <w:rFonts w:ascii="Palatino Linotype" w:eastAsia="Palatino Linotype" w:hAnsi="Palatino Linotype" w:cs="Palatino Linotype"/>
          <w:i/>
          <w:sz w:val="22"/>
          <w:szCs w:val="22"/>
        </w:rPr>
        <w:t xml:space="preserve"> en caso de incumplimiento.</w:t>
      </w:r>
    </w:p>
    <w:p w:rsidR="00DC14C1" w:rsidRPr="007D7317" w:rsidRDefault="00DC14C1" w:rsidP="00DC14C1">
      <w:pPr>
        <w:spacing w:before="240" w:after="240" w:line="276" w:lineRule="auto"/>
        <w:ind w:left="567" w:right="900"/>
        <w:jc w:val="both"/>
        <w:rPr>
          <w:rFonts w:ascii="Palatino Linotype" w:eastAsia="Palatino Linotype" w:hAnsi="Palatino Linotype" w:cs="Palatino Linotype"/>
          <w:b/>
          <w:i/>
          <w:sz w:val="22"/>
          <w:szCs w:val="22"/>
        </w:rPr>
      </w:pPr>
      <w:r w:rsidRPr="007D7317">
        <w:rPr>
          <w:rFonts w:ascii="Palatino Linotype" w:eastAsia="Palatino Linotype" w:hAnsi="Palatino Linotype" w:cs="Palatino Linotype"/>
          <w:b/>
          <w:i/>
          <w:sz w:val="22"/>
          <w:szCs w:val="22"/>
        </w:rPr>
        <w:t xml:space="preserve">Artículo 88.- La Contraloría Municipal contará con un titular denominado Contralor Interno Municipal, el cual será designado por el Ayuntamiento a propuesta de la Presidenta Municipal. </w:t>
      </w:r>
    </w:p>
    <w:p w:rsidR="00DC14C1" w:rsidRDefault="00DC14C1" w:rsidP="00DC14C1">
      <w:pPr>
        <w:spacing w:before="240" w:after="240" w:line="276" w:lineRule="auto"/>
        <w:ind w:left="567" w:right="900"/>
        <w:jc w:val="both"/>
        <w:rPr>
          <w:rFonts w:ascii="Palatino Linotype" w:eastAsia="Palatino Linotype" w:hAnsi="Palatino Linotype" w:cs="Palatino Linotype"/>
          <w:i/>
          <w:sz w:val="22"/>
          <w:szCs w:val="22"/>
        </w:rPr>
      </w:pPr>
      <w:r w:rsidRPr="007D7317">
        <w:rPr>
          <w:rFonts w:ascii="Palatino Linotype" w:eastAsia="Palatino Linotype" w:hAnsi="Palatino Linotype" w:cs="Palatino Linotype"/>
          <w:b/>
          <w:i/>
          <w:sz w:val="22"/>
          <w:szCs w:val="22"/>
        </w:rPr>
        <w:t>Artículo 89.- El Contralor Interno Municipal</w:t>
      </w:r>
      <w:r w:rsidRPr="007D7317">
        <w:rPr>
          <w:rFonts w:ascii="Palatino Linotype" w:eastAsia="Palatino Linotype" w:hAnsi="Palatino Linotype" w:cs="Palatino Linotype"/>
          <w:i/>
          <w:sz w:val="22"/>
          <w:szCs w:val="22"/>
        </w:rPr>
        <w:t>, establecerá y ejecutará los sistemas de control y fiscalización, vigilará que la administración de la Hacienda Pública Municipal y las acciones de los servidores públicos se conduzcan en cumplimiento a las disposiciones legales vigentes aplicables; así mismo, planeará y programará el sistema de control y evaluación de la gestión pública municipal; establecerá las bases generales para la realización de auditorías, inspecciones y supervisiones, además de vigilar el cumplimiento de las obligaciones de proveedores y contratistas de la Administración Pública Municipal, independientemente de las demás atribuciones que le señale el artículo 112 de la Ley Orgánica Municipal y demás disposiciones legales vigentes aplicables</w:t>
      </w:r>
      <w:r>
        <w:rPr>
          <w:rFonts w:ascii="Palatino Linotype" w:eastAsia="Palatino Linotype" w:hAnsi="Palatino Linotype" w:cs="Palatino Linotype"/>
          <w:i/>
          <w:sz w:val="22"/>
          <w:szCs w:val="22"/>
        </w:rPr>
        <w:t>.</w:t>
      </w:r>
    </w:p>
    <w:p w:rsidR="00DC14C1" w:rsidRDefault="00DC14C1" w:rsidP="00DC14C1">
      <w:pPr>
        <w:spacing w:before="240" w:after="240" w:line="276" w:lineRule="auto"/>
        <w:ind w:left="567" w:right="900"/>
        <w:jc w:val="both"/>
        <w:rPr>
          <w:rFonts w:ascii="Palatino Linotype" w:eastAsia="Palatino Linotype" w:hAnsi="Palatino Linotype" w:cs="Palatino Linotype"/>
          <w:i/>
          <w:sz w:val="22"/>
          <w:szCs w:val="22"/>
        </w:rPr>
      </w:pPr>
      <w:r w:rsidRPr="00037F2B">
        <w:rPr>
          <w:rFonts w:ascii="Palatino Linotype" w:eastAsia="Palatino Linotype" w:hAnsi="Palatino Linotype" w:cs="Palatino Linotype"/>
          <w:i/>
          <w:sz w:val="22"/>
          <w:szCs w:val="22"/>
        </w:rPr>
        <w:lastRenderedPageBreak/>
        <w:t xml:space="preserve">Artículo 90.- La Contraloría Municipal se encontrará conformada por: </w:t>
      </w:r>
    </w:p>
    <w:p w:rsidR="00DC14C1" w:rsidRDefault="00DC14C1" w:rsidP="00DC14C1">
      <w:pPr>
        <w:spacing w:before="240" w:after="240" w:line="276" w:lineRule="auto"/>
        <w:ind w:left="567" w:right="900"/>
        <w:jc w:val="both"/>
        <w:rPr>
          <w:rFonts w:ascii="Palatino Linotype" w:eastAsia="Palatino Linotype" w:hAnsi="Palatino Linotype" w:cs="Palatino Linotype"/>
          <w:i/>
          <w:sz w:val="22"/>
          <w:szCs w:val="22"/>
        </w:rPr>
      </w:pPr>
      <w:r w:rsidRPr="00425592">
        <w:rPr>
          <w:rFonts w:ascii="Palatino Linotype" w:eastAsia="Palatino Linotype" w:hAnsi="Palatino Linotype" w:cs="Palatino Linotype"/>
          <w:b/>
          <w:i/>
          <w:sz w:val="22"/>
          <w:szCs w:val="22"/>
        </w:rPr>
        <w:t>a) Autoridad Investigadora:</w:t>
      </w:r>
      <w:r w:rsidRPr="00037F2B">
        <w:rPr>
          <w:rFonts w:ascii="Palatino Linotype" w:eastAsia="Palatino Linotype" w:hAnsi="Palatino Linotype" w:cs="Palatino Linotype"/>
          <w:i/>
          <w:sz w:val="22"/>
          <w:szCs w:val="22"/>
        </w:rPr>
        <w:t xml:space="preserve"> quien será la encargada de la investigación de las faltas administrativas graves y no graves, quien para el cumplimiento de sus requerimientos y sus determinaciones podrá emplear las siguientes medidas de apremio (multa de 100 a 150 veces el valor diario de la unidad de medida y actualización, la cual podrá duplicarse o triplicarse en cada ocasión hasta alcanzar 200 veces el valor diario de la unidad de medida o actualización, solicitar el auxilio de la fuerza pública a cualquier orden de gobierno, arresto hasta por 36 horas); derivado de las atribuciones con las que cuenta la autoridad investigadora. En el </w:t>
      </w:r>
      <w:proofErr w:type="spellStart"/>
      <w:r w:rsidRPr="00037F2B">
        <w:rPr>
          <w:rFonts w:ascii="Palatino Linotype" w:eastAsia="Palatino Linotype" w:hAnsi="Palatino Linotype" w:cs="Palatino Linotype"/>
          <w:i/>
          <w:sz w:val="22"/>
          <w:szCs w:val="22"/>
        </w:rPr>
        <w:t>articulo</w:t>
      </w:r>
      <w:proofErr w:type="spellEnd"/>
      <w:r w:rsidRPr="00037F2B">
        <w:rPr>
          <w:rFonts w:ascii="Palatino Linotype" w:eastAsia="Palatino Linotype" w:hAnsi="Palatino Linotype" w:cs="Palatino Linotype"/>
          <w:i/>
          <w:sz w:val="22"/>
          <w:szCs w:val="22"/>
        </w:rPr>
        <w:t xml:space="preserve"> 101 de la Ley de Responsabilidades Administrativas del Estado de México y Municipios.</w:t>
      </w:r>
    </w:p>
    <w:p w:rsidR="00DC14C1" w:rsidRDefault="00DC14C1" w:rsidP="00DC14C1">
      <w:pPr>
        <w:spacing w:before="240" w:after="240" w:line="276" w:lineRule="auto"/>
        <w:ind w:left="567" w:right="900"/>
        <w:jc w:val="both"/>
        <w:rPr>
          <w:rFonts w:ascii="Palatino Linotype" w:eastAsia="Palatino Linotype" w:hAnsi="Palatino Linotype" w:cs="Palatino Linotype"/>
          <w:i/>
          <w:sz w:val="22"/>
          <w:szCs w:val="22"/>
        </w:rPr>
      </w:pPr>
      <w:r w:rsidRPr="00425592">
        <w:rPr>
          <w:rFonts w:ascii="Palatino Linotype" w:eastAsia="Palatino Linotype" w:hAnsi="Palatino Linotype" w:cs="Palatino Linotype"/>
          <w:b/>
          <w:i/>
          <w:sz w:val="22"/>
          <w:szCs w:val="22"/>
        </w:rPr>
        <w:t>b) Autoridad Substanciadora:</w:t>
      </w:r>
      <w:r w:rsidRPr="00037F2B">
        <w:rPr>
          <w:rFonts w:ascii="Palatino Linotype" w:eastAsia="Palatino Linotype" w:hAnsi="Palatino Linotype" w:cs="Palatino Linotype"/>
          <w:i/>
          <w:sz w:val="22"/>
          <w:szCs w:val="22"/>
        </w:rPr>
        <w:t xml:space="preserve"> que será en el ámbito de su competencia, la que dirija y conduzca el procedimiento de responsabilidades administrativas desde la admisión del informe de presunta responsabilidad administrativa y hasta la conclusión de la audiencia inicial. Su función en ningún caso podrá ser ejercida por una autoridad investigadora; y </w:t>
      </w:r>
    </w:p>
    <w:p w:rsidR="00DC14C1" w:rsidRDefault="00DC14C1" w:rsidP="00DC14C1">
      <w:pPr>
        <w:spacing w:before="240" w:after="240" w:line="276" w:lineRule="auto"/>
        <w:ind w:left="567" w:right="900"/>
        <w:jc w:val="both"/>
        <w:rPr>
          <w:rFonts w:ascii="Palatino Linotype" w:eastAsia="Palatino Linotype" w:hAnsi="Palatino Linotype" w:cs="Palatino Linotype"/>
          <w:i/>
          <w:sz w:val="22"/>
          <w:szCs w:val="22"/>
        </w:rPr>
      </w:pPr>
      <w:r w:rsidRPr="00425592">
        <w:rPr>
          <w:rFonts w:ascii="Palatino Linotype" w:eastAsia="Palatino Linotype" w:hAnsi="Palatino Linotype" w:cs="Palatino Linotype"/>
          <w:b/>
          <w:i/>
          <w:sz w:val="22"/>
          <w:szCs w:val="22"/>
        </w:rPr>
        <w:t xml:space="preserve">c) Autoridad </w:t>
      </w:r>
      <w:proofErr w:type="spellStart"/>
      <w:r w:rsidRPr="00425592">
        <w:rPr>
          <w:rFonts w:ascii="Palatino Linotype" w:eastAsia="Palatino Linotype" w:hAnsi="Palatino Linotype" w:cs="Palatino Linotype"/>
          <w:b/>
          <w:i/>
          <w:sz w:val="22"/>
          <w:szCs w:val="22"/>
        </w:rPr>
        <w:t>Resolutora</w:t>
      </w:r>
      <w:proofErr w:type="spellEnd"/>
      <w:r w:rsidRPr="00425592">
        <w:rPr>
          <w:rFonts w:ascii="Palatino Linotype" w:eastAsia="Palatino Linotype" w:hAnsi="Palatino Linotype" w:cs="Palatino Linotype"/>
          <w:b/>
          <w:i/>
          <w:sz w:val="22"/>
          <w:szCs w:val="22"/>
        </w:rPr>
        <w:t>:</w:t>
      </w:r>
      <w:r w:rsidRPr="00037F2B">
        <w:rPr>
          <w:rFonts w:ascii="Palatino Linotype" w:eastAsia="Palatino Linotype" w:hAnsi="Palatino Linotype" w:cs="Palatino Linotype"/>
          <w:i/>
          <w:sz w:val="22"/>
          <w:szCs w:val="22"/>
        </w:rPr>
        <w:t xml:space="preserve"> unidad de responsabilidades administrativas adscrita a la Secretaría de la Contraloría y a los órganos internos de control o al servidor público que éstos últimos asignen, así como la de las empresas de participación estatal y municipal, tratándose de faltas administrativas no graves. En el supuesto de faltas administrativas graves, así como para las faltas de particulares lo será el Tribunal de Justicia Administrativa. </w:t>
      </w:r>
    </w:p>
    <w:p w:rsidR="00D6009B" w:rsidRDefault="00DC14C1" w:rsidP="00DC14C1">
      <w:pPr>
        <w:spacing w:before="240" w:after="240" w:line="276" w:lineRule="auto"/>
        <w:ind w:left="567" w:right="900"/>
        <w:jc w:val="both"/>
        <w:rPr>
          <w:rFonts w:ascii="Palatino Linotype" w:eastAsia="Palatino Linotype" w:hAnsi="Palatino Linotype" w:cs="Palatino Linotype"/>
          <w:i/>
          <w:sz w:val="22"/>
          <w:szCs w:val="22"/>
        </w:rPr>
      </w:pPr>
      <w:r w:rsidRPr="00037F2B">
        <w:rPr>
          <w:rFonts w:ascii="Palatino Linotype" w:eastAsia="Palatino Linotype" w:hAnsi="Palatino Linotype" w:cs="Palatino Linotype"/>
          <w:i/>
          <w:sz w:val="22"/>
          <w:szCs w:val="22"/>
        </w:rPr>
        <w:t xml:space="preserve">Artículo 91.- La Autoridad Investigadora, Substanciadora y </w:t>
      </w:r>
      <w:proofErr w:type="spellStart"/>
      <w:r w:rsidRPr="00037F2B">
        <w:rPr>
          <w:rFonts w:ascii="Palatino Linotype" w:eastAsia="Palatino Linotype" w:hAnsi="Palatino Linotype" w:cs="Palatino Linotype"/>
          <w:i/>
          <w:sz w:val="22"/>
          <w:szCs w:val="22"/>
        </w:rPr>
        <w:t>Resolutora</w:t>
      </w:r>
      <w:proofErr w:type="spellEnd"/>
      <w:r w:rsidRPr="00037F2B">
        <w:rPr>
          <w:rFonts w:ascii="Palatino Linotype" w:eastAsia="Palatino Linotype" w:hAnsi="Palatino Linotype" w:cs="Palatino Linotype"/>
          <w:i/>
          <w:sz w:val="22"/>
          <w:szCs w:val="22"/>
        </w:rPr>
        <w:t xml:space="preserve"> aludidas, serán designadas por la Presidenta Municipal mediante la expedición del nombramiento respectivo, derivado de la potestad otorgada a ésta por el artículo 128 fracción VIII, de la Constitución Local.</w:t>
      </w:r>
    </w:p>
    <w:p w:rsidR="00D9207C" w:rsidRPr="00D9207C" w:rsidRDefault="00D9207C" w:rsidP="00DC14C1">
      <w:pPr>
        <w:spacing w:before="240" w:after="240" w:line="276" w:lineRule="auto"/>
        <w:ind w:left="567" w:right="900"/>
        <w:jc w:val="both"/>
        <w:rPr>
          <w:rFonts w:ascii="Palatino Linotype" w:eastAsia="Palatino Linotype" w:hAnsi="Palatino Linotype" w:cs="Palatino Linotype"/>
          <w:i/>
          <w:sz w:val="22"/>
          <w:szCs w:val="22"/>
          <w:highlight w:val="yellow"/>
        </w:rPr>
      </w:pPr>
      <w:r w:rsidRPr="00D9207C">
        <w:rPr>
          <w:rFonts w:ascii="Palatino Linotype" w:eastAsia="Palatino Linotype" w:hAnsi="Palatino Linotype" w:cs="Palatino Linotype"/>
          <w:b/>
          <w:i/>
          <w:sz w:val="22"/>
          <w:szCs w:val="22"/>
          <w:highlight w:val="yellow"/>
        </w:rPr>
        <w:t>Artículo 152.-</w:t>
      </w:r>
      <w:r w:rsidRPr="00D9207C">
        <w:rPr>
          <w:rFonts w:ascii="Palatino Linotype" w:eastAsia="Palatino Linotype" w:hAnsi="Palatino Linotype" w:cs="Palatino Linotype"/>
          <w:i/>
          <w:sz w:val="22"/>
          <w:szCs w:val="22"/>
          <w:highlight w:val="yellow"/>
        </w:rPr>
        <w:t xml:space="preserve"> </w:t>
      </w:r>
      <w:r w:rsidRPr="00D9207C">
        <w:rPr>
          <w:rFonts w:ascii="Palatino Linotype" w:eastAsia="Palatino Linotype" w:hAnsi="Palatino Linotype" w:cs="Palatino Linotype"/>
          <w:b/>
          <w:i/>
          <w:sz w:val="22"/>
          <w:szCs w:val="22"/>
          <w:highlight w:val="yellow"/>
        </w:rPr>
        <w:t>Toda persona podrá presentar queja y/o denuncia ante las autoridades correspondientes, de hechos, actos u omisiones que constituyan faltas o infracciones a las disposiciones legales en materia de ecología y medio ambiente</w:t>
      </w:r>
      <w:r w:rsidRPr="00D9207C">
        <w:rPr>
          <w:rFonts w:ascii="Palatino Linotype" w:eastAsia="Palatino Linotype" w:hAnsi="Palatino Linotype" w:cs="Palatino Linotype"/>
          <w:i/>
          <w:sz w:val="22"/>
          <w:szCs w:val="22"/>
          <w:highlight w:val="yellow"/>
        </w:rPr>
        <w:t xml:space="preserve">. Para dar curso a la acción ciudadana basta el señalamiento de los hechos que constituyan la causa de la queja y/o denuncia. </w:t>
      </w:r>
    </w:p>
    <w:p w:rsidR="00D9207C" w:rsidRPr="00D9207C" w:rsidRDefault="00D9207C" w:rsidP="00DC14C1">
      <w:pPr>
        <w:spacing w:before="240" w:after="240" w:line="276" w:lineRule="auto"/>
        <w:ind w:left="567" w:right="900"/>
        <w:jc w:val="both"/>
        <w:rPr>
          <w:rFonts w:ascii="Palatino Linotype" w:eastAsia="Palatino Linotype" w:hAnsi="Palatino Linotype" w:cs="Palatino Linotype"/>
          <w:i/>
          <w:sz w:val="22"/>
          <w:szCs w:val="22"/>
          <w:highlight w:val="yellow"/>
        </w:rPr>
      </w:pPr>
    </w:p>
    <w:p w:rsidR="00D9207C" w:rsidRDefault="00D9207C" w:rsidP="00DC14C1">
      <w:pPr>
        <w:spacing w:before="240" w:after="240" w:line="276" w:lineRule="auto"/>
        <w:ind w:left="567" w:right="900"/>
        <w:jc w:val="both"/>
        <w:rPr>
          <w:rFonts w:ascii="Palatino Linotype" w:eastAsia="Palatino Linotype" w:hAnsi="Palatino Linotype" w:cs="Palatino Linotype"/>
          <w:i/>
          <w:sz w:val="22"/>
          <w:szCs w:val="22"/>
        </w:rPr>
      </w:pPr>
      <w:r w:rsidRPr="00D9207C">
        <w:rPr>
          <w:rFonts w:ascii="Palatino Linotype" w:eastAsia="Palatino Linotype" w:hAnsi="Palatino Linotype" w:cs="Palatino Linotype"/>
          <w:i/>
          <w:sz w:val="22"/>
          <w:szCs w:val="22"/>
          <w:highlight w:val="yellow"/>
        </w:rPr>
        <w:lastRenderedPageBreak/>
        <w:t>Artículo 153.- De igual forma la Dirección de Ecología y Medio Ambiente, Desarrollo Agropecuario, Rural, Empleo y Turístico creará y organizará el Sistema Municipal de Atención a la Denuncia Ciudadana Ambiental en coordinación con las autoridades Federales y Estatales.</w:t>
      </w:r>
    </w:p>
    <w:p w:rsidR="00D6009B" w:rsidRDefault="00DC14C1" w:rsidP="00DC14C1">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r w:rsidR="00D6009B" w:rsidRPr="00D6009B">
        <w:rPr>
          <w:rFonts w:ascii="Palatino Linotype" w:eastAsia="Palatino Linotype" w:hAnsi="Palatino Linotype" w:cs="Palatino Linotype"/>
          <w:i/>
          <w:sz w:val="22"/>
          <w:szCs w:val="22"/>
        </w:rPr>
        <w:t xml:space="preserve">Artículo 276.- Son atribuciones del Defensor Municipal de Derechos Humanos las siguientes: </w:t>
      </w:r>
    </w:p>
    <w:p w:rsidR="00D6009B" w:rsidRDefault="00D6009B" w:rsidP="00D6009B">
      <w:pPr>
        <w:pStyle w:val="Prrafodelista"/>
        <w:numPr>
          <w:ilvl w:val="0"/>
          <w:numId w:val="8"/>
        </w:numPr>
        <w:spacing w:before="240" w:after="240" w:line="276" w:lineRule="auto"/>
        <w:ind w:right="900"/>
        <w:jc w:val="both"/>
        <w:rPr>
          <w:rFonts w:ascii="Palatino Linotype" w:eastAsia="Palatino Linotype" w:hAnsi="Palatino Linotype" w:cs="Palatino Linotype"/>
          <w:i/>
          <w:sz w:val="22"/>
          <w:szCs w:val="22"/>
        </w:rPr>
      </w:pPr>
      <w:r w:rsidRPr="00511B9E">
        <w:rPr>
          <w:rFonts w:ascii="Palatino Linotype" w:eastAsia="Palatino Linotype" w:hAnsi="Palatino Linotype" w:cs="Palatino Linotype"/>
          <w:b/>
          <w:i/>
          <w:sz w:val="22"/>
          <w:szCs w:val="22"/>
        </w:rPr>
        <w:t>Recibir las quejas de la población</w:t>
      </w:r>
      <w:r w:rsidRPr="00D6009B">
        <w:rPr>
          <w:rFonts w:ascii="Palatino Linotype" w:eastAsia="Palatino Linotype" w:hAnsi="Palatino Linotype" w:cs="Palatino Linotype"/>
          <w:i/>
          <w:sz w:val="22"/>
          <w:szCs w:val="22"/>
        </w:rPr>
        <w:t xml:space="preserve"> y remitirlas a la CODHEM, por conducto de la </w:t>
      </w:r>
      <w:proofErr w:type="spellStart"/>
      <w:r w:rsidRPr="00D6009B">
        <w:rPr>
          <w:rFonts w:ascii="Palatino Linotype" w:eastAsia="Palatino Linotype" w:hAnsi="Palatino Linotype" w:cs="Palatino Linotype"/>
          <w:i/>
          <w:sz w:val="22"/>
          <w:szCs w:val="22"/>
        </w:rPr>
        <w:t>Visitaduria</w:t>
      </w:r>
      <w:proofErr w:type="spellEnd"/>
      <w:r w:rsidRPr="00D6009B">
        <w:rPr>
          <w:rFonts w:ascii="Palatino Linotype" w:eastAsia="Palatino Linotype" w:hAnsi="Palatino Linotype" w:cs="Palatino Linotype"/>
          <w:i/>
          <w:sz w:val="22"/>
          <w:szCs w:val="22"/>
        </w:rPr>
        <w:t xml:space="preserve"> General de la Región, en términos de la normatividad aplicable e informar su intervención y cumplimiento al Ayuntamiento; </w:t>
      </w:r>
    </w:p>
    <w:p w:rsidR="00D6009B" w:rsidRDefault="00D6009B" w:rsidP="00D6009B">
      <w:pPr>
        <w:pStyle w:val="Prrafodelista"/>
        <w:numPr>
          <w:ilvl w:val="0"/>
          <w:numId w:val="8"/>
        </w:numPr>
        <w:spacing w:before="240" w:after="240" w:line="276" w:lineRule="auto"/>
        <w:ind w:right="900"/>
        <w:jc w:val="both"/>
        <w:rPr>
          <w:rFonts w:ascii="Palatino Linotype" w:eastAsia="Palatino Linotype" w:hAnsi="Palatino Linotype" w:cs="Palatino Linotype"/>
          <w:i/>
          <w:sz w:val="22"/>
          <w:szCs w:val="22"/>
        </w:rPr>
      </w:pPr>
      <w:r w:rsidRPr="00D6009B">
        <w:rPr>
          <w:rFonts w:ascii="Palatino Linotype" w:eastAsia="Palatino Linotype" w:hAnsi="Palatino Linotype" w:cs="Palatino Linotype"/>
          <w:i/>
          <w:sz w:val="22"/>
          <w:szCs w:val="22"/>
        </w:rPr>
        <w:t xml:space="preserve">Informar a la CODHEM y al Ayuntamiento, acerca de presumibles violaciones a los Derechos Humanos por actos u omisiones de naturaleza administrativa de cualquier autoridad o servidor público que residan en el Municipio de su adscripción; </w:t>
      </w:r>
    </w:p>
    <w:p w:rsidR="00D6009B" w:rsidRDefault="00D6009B" w:rsidP="00D6009B">
      <w:pPr>
        <w:pStyle w:val="Prrafodelista"/>
        <w:numPr>
          <w:ilvl w:val="0"/>
          <w:numId w:val="8"/>
        </w:numPr>
        <w:spacing w:before="240" w:after="240" w:line="276" w:lineRule="auto"/>
        <w:ind w:right="900"/>
        <w:jc w:val="both"/>
        <w:rPr>
          <w:rFonts w:ascii="Palatino Linotype" w:eastAsia="Palatino Linotype" w:hAnsi="Palatino Linotype" w:cs="Palatino Linotype"/>
          <w:i/>
          <w:sz w:val="22"/>
          <w:szCs w:val="22"/>
        </w:rPr>
      </w:pPr>
      <w:r w:rsidRPr="00D6009B">
        <w:rPr>
          <w:rFonts w:ascii="Palatino Linotype" w:eastAsia="Palatino Linotype" w:hAnsi="Palatino Linotype" w:cs="Palatino Linotype"/>
          <w:i/>
          <w:sz w:val="22"/>
          <w:szCs w:val="22"/>
        </w:rPr>
        <w:t xml:space="preserve">Observar que la autoridad municipal rinda de manera oportuna y veraz los informes que soliciten la CODHEM y la CNDH; </w:t>
      </w:r>
    </w:p>
    <w:p w:rsidR="00D6009B" w:rsidRDefault="00D6009B" w:rsidP="00D6009B">
      <w:pPr>
        <w:pStyle w:val="Prrafodelista"/>
        <w:numPr>
          <w:ilvl w:val="0"/>
          <w:numId w:val="8"/>
        </w:numPr>
        <w:spacing w:before="240" w:after="240" w:line="276" w:lineRule="auto"/>
        <w:ind w:right="900"/>
        <w:jc w:val="both"/>
        <w:rPr>
          <w:rFonts w:ascii="Palatino Linotype" w:eastAsia="Palatino Linotype" w:hAnsi="Palatino Linotype" w:cs="Palatino Linotype"/>
          <w:i/>
          <w:sz w:val="22"/>
          <w:szCs w:val="22"/>
        </w:rPr>
      </w:pPr>
      <w:r w:rsidRPr="00D6009B">
        <w:rPr>
          <w:rFonts w:ascii="Palatino Linotype" w:eastAsia="Palatino Linotype" w:hAnsi="Palatino Linotype" w:cs="Palatino Linotype"/>
          <w:i/>
          <w:sz w:val="22"/>
          <w:szCs w:val="22"/>
        </w:rPr>
        <w:t xml:space="preserve">Verificar que las medidas precautorias o cautelares solicitadas por la CODHEM sean cumplidas en sus términos, una vez aceptadas por la autoridad dentro de su municipio; </w:t>
      </w:r>
    </w:p>
    <w:p w:rsidR="00D6009B" w:rsidRPr="00D6009B" w:rsidRDefault="00D6009B" w:rsidP="00D6009B">
      <w:pPr>
        <w:pStyle w:val="Prrafodelista"/>
        <w:numPr>
          <w:ilvl w:val="0"/>
          <w:numId w:val="8"/>
        </w:numPr>
        <w:spacing w:before="240" w:after="240" w:line="276" w:lineRule="auto"/>
        <w:ind w:right="900"/>
        <w:jc w:val="both"/>
        <w:rPr>
          <w:rFonts w:ascii="Palatino Linotype" w:eastAsia="Palatino Linotype" w:hAnsi="Palatino Linotype" w:cs="Palatino Linotype"/>
          <w:i/>
          <w:sz w:val="22"/>
          <w:szCs w:val="22"/>
        </w:rPr>
      </w:pPr>
      <w:r w:rsidRPr="00D6009B">
        <w:rPr>
          <w:rFonts w:ascii="Palatino Linotype" w:eastAsia="Palatino Linotype" w:hAnsi="Palatino Linotype" w:cs="Palatino Linotype"/>
          <w:i/>
          <w:sz w:val="22"/>
          <w:szCs w:val="22"/>
        </w:rPr>
        <w:t xml:space="preserve">Elaborar acta circunstanciada por hechos que puedan ser considerados violatorios de Derechos Humanos, que ocurran dentro de su adscripción, teniendo fe pública solo para ese efecto, debiendo remitirla a la </w:t>
      </w:r>
      <w:proofErr w:type="spellStart"/>
      <w:r w:rsidRPr="00D6009B">
        <w:rPr>
          <w:rFonts w:ascii="Palatino Linotype" w:eastAsia="Palatino Linotype" w:hAnsi="Palatino Linotype" w:cs="Palatino Linotype"/>
          <w:i/>
          <w:sz w:val="22"/>
          <w:szCs w:val="22"/>
        </w:rPr>
        <w:t>visitaduría</w:t>
      </w:r>
      <w:proofErr w:type="spellEnd"/>
      <w:r w:rsidRPr="00D6009B">
        <w:rPr>
          <w:rFonts w:ascii="Palatino Linotype" w:eastAsia="Palatino Linotype" w:hAnsi="Palatino Linotype" w:cs="Palatino Linotype"/>
          <w:i/>
          <w:sz w:val="22"/>
          <w:szCs w:val="22"/>
        </w:rPr>
        <w:t xml:space="preserve"> correspondiente, dentro de las veinticuatro horas siguientes; </w:t>
      </w:r>
    </w:p>
    <w:p w:rsidR="00DC14C1" w:rsidRPr="00D6009B" w:rsidRDefault="00D6009B" w:rsidP="00D6009B">
      <w:pPr>
        <w:pStyle w:val="Prrafodelista"/>
        <w:numPr>
          <w:ilvl w:val="0"/>
          <w:numId w:val="8"/>
        </w:numPr>
        <w:spacing w:before="240" w:after="240" w:line="276" w:lineRule="auto"/>
        <w:ind w:right="900"/>
        <w:jc w:val="both"/>
        <w:rPr>
          <w:rFonts w:ascii="Palatino Linotype" w:eastAsia="Palatino Linotype" w:hAnsi="Palatino Linotype" w:cs="Palatino Linotype"/>
          <w:i/>
          <w:sz w:val="22"/>
          <w:szCs w:val="22"/>
        </w:rPr>
      </w:pPr>
      <w:r w:rsidRPr="00692D83">
        <w:rPr>
          <w:rFonts w:ascii="Palatino Linotype" w:eastAsia="Palatino Linotype" w:hAnsi="Palatino Linotype" w:cs="Palatino Linotype"/>
          <w:b/>
          <w:i/>
          <w:sz w:val="22"/>
          <w:szCs w:val="22"/>
        </w:rPr>
        <w:t>Practicar conjuntamente con el visitador respectivo las conciliaciones y mediaciones que se deriven de las quejas de las que tenga conocimiento</w:t>
      </w:r>
      <w:r w:rsidRPr="00D6009B">
        <w:rPr>
          <w:rFonts w:ascii="Palatino Linotype" w:eastAsia="Palatino Linotype" w:hAnsi="Palatino Linotype" w:cs="Palatino Linotype"/>
          <w:i/>
          <w:sz w:val="22"/>
          <w:szCs w:val="22"/>
        </w:rPr>
        <w:t>, conforme lo establece la Ley de la CODHEM y su reglamento;</w:t>
      </w:r>
    </w:p>
    <w:p w:rsidR="00D6009B" w:rsidRDefault="00D6009B" w:rsidP="00DC14C1">
      <w:pPr>
        <w:spacing w:before="240" w:after="240" w:line="276" w:lineRule="auto"/>
        <w:ind w:left="567" w:right="900"/>
        <w:jc w:val="both"/>
        <w:rPr>
          <w:rFonts w:ascii="Palatino Linotype" w:eastAsia="Palatino Linotype" w:hAnsi="Palatino Linotype" w:cs="Palatino Linotype"/>
          <w:i/>
          <w:sz w:val="22"/>
          <w:szCs w:val="22"/>
        </w:rPr>
      </w:pPr>
    </w:p>
    <w:p w:rsidR="00DC14C1" w:rsidRDefault="00692D83" w:rsidP="00DB1C71">
      <w:pPr>
        <w:spacing w:before="240" w:after="240" w:line="360" w:lineRule="auto"/>
        <w:ind w:right="49"/>
        <w:jc w:val="both"/>
        <w:rPr>
          <w:rFonts w:ascii="Palatino Linotype" w:eastAsia="Palatino Linotype" w:hAnsi="Palatino Linotype" w:cs="Palatino Linotype"/>
          <w:szCs w:val="22"/>
        </w:rPr>
      </w:pPr>
      <w:r>
        <w:rPr>
          <w:rFonts w:ascii="Palatino Linotype" w:eastAsia="Palatino Linotype" w:hAnsi="Palatino Linotype" w:cs="Palatino Linotype"/>
          <w:szCs w:val="22"/>
        </w:rPr>
        <w:t xml:space="preserve">Por otro lado, la Ley Orgánica Municipal del Estado de México en su artículo 112, establece las funciones del Órgano Interno de Control Municipal, entre las que destaca </w:t>
      </w:r>
      <w:r>
        <w:rPr>
          <w:rFonts w:ascii="Palatino Linotype" w:eastAsia="Palatino Linotype" w:hAnsi="Palatino Linotype" w:cs="Palatino Linotype"/>
          <w:szCs w:val="22"/>
        </w:rPr>
        <w:lastRenderedPageBreak/>
        <w:t>la atribución de establecer y operar un sistema de atención de quejas, denuncias y sugerencias, sin embargo, el articulo 147 K, establece como atribución del Defensor de Derechos Municipal de Derechos Humanos recibir quejas de la población, tal como se transcribe:</w:t>
      </w:r>
    </w:p>
    <w:p w:rsidR="00692D83" w:rsidRDefault="00692D83" w:rsidP="00692D83">
      <w:pPr>
        <w:pStyle w:val="Citas"/>
      </w:pPr>
      <w:r w:rsidRPr="00692D83">
        <w:t>Artículo 112. El órgano interno de control municipal tendrá a su cargo las funciones siguientes:</w:t>
      </w:r>
    </w:p>
    <w:p w:rsidR="00692D83" w:rsidRDefault="00692D83" w:rsidP="00692D83">
      <w:pPr>
        <w:pStyle w:val="Citas"/>
      </w:pPr>
      <w:r>
        <w:t>…</w:t>
      </w:r>
    </w:p>
    <w:p w:rsidR="00692D83" w:rsidRDefault="00692D83" w:rsidP="00692D83">
      <w:pPr>
        <w:pStyle w:val="Citas"/>
      </w:pPr>
      <w:r w:rsidRPr="00692D83">
        <w:rPr>
          <w:b/>
        </w:rPr>
        <w:t>X. Establecer y operar un sistema de atención de quejas, denuncias y sugerencias</w:t>
      </w:r>
      <w:r w:rsidRPr="00692D83">
        <w:t>;</w:t>
      </w:r>
    </w:p>
    <w:p w:rsidR="00692D83" w:rsidRDefault="00692D83" w:rsidP="00692D83">
      <w:pPr>
        <w:pStyle w:val="Citas"/>
      </w:pPr>
      <w:r>
        <w:t>…</w:t>
      </w:r>
    </w:p>
    <w:p w:rsidR="00512065" w:rsidRDefault="00692D83" w:rsidP="00692D83">
      <w:pPr>
        <w:pStyle w:val="Citas"/>
      </w:pPr>
      <w:r w:rsidRPr="00692D83">
        <w:t xml:space="preserve">Artículo 147 K.- Son atribuciones del Defensor Municipal de Derechos Humanos: </w:t>
      </w:r>
    </w:p>
    <w:p w:rsidR="00692D83" w:rsidRDefault="00692D83" w:rsidP="00512065">
      <w:pPr>
        <w:pStyle w:val="Citas"/>
        <w:numPr>
          <w:ilvl w:val="0"/>
          <w:numId w:val="9"/>
        </w:numPr>
      </w:pPr>
      <w:r w:rsidRPr="00512065">
        <w:rPr>
          <w:b/>
        </w:rPr>
        <w:t>Recibir las quejas de la población de su municipalidad</w:t>
      </w:r>
      <w:r w:rsidRPr="00692D83">
        <w:t xml:space="preserve"> y remitirlas a la Comisión de Derechos Humanos del Estado de México, por conducto de sus </w:t>
      </w:r>
      <w:proofErr w:type="spellStart"/>
      <w:r w:rsidRPr="00692D83">
        <w:t>visitadurías</w:t>
      </w:r>
      <w:proofErr w:type="spellEnd"/>
      <w:r w:rsidRPr="00692D83">
        <w:t>, en términos de la normatividad aplicable;</w:t>
      </w:r>
    </w:p>
    <w:p w:rsidR="00512065" w:rsidRDefault="00512065" w:rsidP="00512065">
      <w:pPr>
        <w:pStyle w:val="Citas"/>
        <w:ind w:left="1571"/>
      </w:pPr>
      <w:r>
        <w:rPr>
          <w:b/>
        </w:rPr>
        <w:t>…</w:t>
      </w:r>
    </w:p>
    <w:p w:rsidR="00DB1C71" w:rsidRDefault="00DB1C71" w:rsidP="00DB1C71">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highlight w:val="yellow"/>
          <w:lang w:val="es-ES_tradnl" w:eastAsia="es-MX"/>
        </w:rPr>
      </w:pPr>
    </w:p>
    <w:p w:rsidR="00733227" w:rsidRDefault="00733227" w:rsidP="00DB1C71">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Pr>
          <w:rFonts w:ascii="Palatino Linotype" w:eastAsia="Palatino Linotype" w:hAnsi="Palatino Linotype" w:cs="Palatino Linotype"/>
          <w:color w:val="000000"/>
          <w:lang w:val="es-ES_tradnl" w:eastAsia="es-MX"/>
        </w:rPr>
        <w:t xml:space="preserve">De lo anterior, se tiene que las áreas competentes para conocer </w:t>
      </w:r>
      <w:r w:rsidR="008B75DA">
        <w:rPr>
          <w:rFonts w:ascii="Palatino Linotype" w:eastAsia="Palatino Linotype" w:hAnsi="Palatino Linotype" w:cs="Palatino Linotype"/>
          <w:color w:val="000000"/>
          <w:lang w:val="es-ES_tradnl" w:eastAsia="es-MX"/>
        </w:rPr>
        <w:t xml:space="preserve">y atender </w:t>
      </w:r>
      <w:r>
        <w:rPr>
          <w:rFonts w:ascii="Palatino Linotype" w:eastAsia="Palatino Linotype" w:hAnsi="Palatino Linotype" w:cs="Palatino Linotype"/>
          <w:color w:val="000000"/>
          <w:lang w:val="es-ES_tradnl" w:eastAsia="es-MX"/>
        </w:rPr>
        <w:t xml:space="preserve">la solicitud de información son la Contraloría Interna Municipal y la Defensoría Municipal de Derechos Humanos, de manera enunciativa más no limitativa. </w:t>
      </w:r>
      <w:r w:rsidR="00DC0E0E">
        <w:rPr>
          <w:rFonts w:ascii="Palatino Linotype" w:eastAsia="Palatino Linotype" w:hAnsi="Palatino Linotype" w:cs="Palatino Linotype"/>
          <w:color w:val="000000"/>
          <w:lang w:val="es-ES_tradnl" w:eastAsia="es-MX"/>
        </w:rPr>
        <w:t xml:space="preserve">Si bien, quien dio respuesta fue la Contraloría Interna Municipal, lo cierto es que, se debe turnar a la Defensoría para que se pronuncie al respecto. </w:t>
      </w:r>
    </w:p>
    <w:p w:rsidR="00733227" w:rsidRDefault="00733227" w:rsidP="00DB1C71">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rsidR="00DB1C71" w:rsidRPr="00177253" w:rsidRDefault="00DB1C71" w:rsidP="00DB1C71">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CD225B">
        <w:rPr>
          <w:rFonts w:ascii="Palatino Linotype" w:eastAsia="Palatino Linotype" w:hAnsi="Palatino Linotype" w:cs="Palatino Linotype"/>
          <w:color w:val="000000"/>
          <w:lang w:val="es-ES_tradnl" w:eastAsia="es-MX"/>
        </w:rPr>
        <w:lastRenderedPageBreak/>
        <w:t>Ahora bien, quedando establecido lo anterior, este Órgano Garante considera viable realizar el estudio en aras de establecer si la respuesta del Sujeto Obligado colma la pretensión del Recurrente, así como calificar los motivos de inconformidad del particular.</w:t>
      </w:r>
      <w:r w:rsidRPr="00177253">
        <w:rPr>
          <w:rFonts w:ascii="Palatino Linotype" w:eastAsia="Palatino Linotype" w:hAnsi="Palatino Linotype" w:cs="Palatino Linotype"/>
          <w:color w:val="000000"/>
          <w:lang w:val="es-ES_tradnl" w:eastAsia="es-MX"/>
        </w:rPr>
        <w:t xml:space="preserve"> </w:t>
      </w:r>
    </w:p>
    <w:p w:rsidR="00DB1C71" w:rsidRDefault="00DB1C71" w:rsidP="00DB1C71">
      <w:pPr>
        <w:spacing w:line="360" w:lineRule="auto"/>
        <w:jc w:val="both"/>
        <w:rPr>
          <w:rFonts w:ascii="Palatino Linotype" w:hAnsi="Palatino Linotype"/>
          <w:color w:val="00000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14"/>
        <w:gridCol w:w="4201"/>
        <w:gridCol w:w="1829"/>
      </w:tblGrid>
      <w:tr w:rsidR="00DB1C71" w:rsidTr="00957049">
        <w:trPr>
          <w:trHeight w:val="828"/>
        </w:trPr>
        <w:tc>
          <w:tcPr>
            <w:tcW w:w="3014" w:type="dxa"/>
            <w:shd w:val="clear" w:color="auto" w:fill="E7E6E6" w:themeFill="background2"/>
          </w:tcPr>
          <w:p w:rsidR="00DB1C71" w:rsidRPr="00B94808" w:rsidRDefault="00DB1C71" w:rsidP="00957049">
            <w:pPr>
              <w:spacing w:line="360" w:lineRule="auto"/>
              <w:jc w:val="center"/>
              <w:rPr>
                <w:rFonts w:ascii="Palatino Linotype" w:hAnsi="Palatino Linotype"/>
                <w:b/>
                <w:i/>
                <w:color w:val="000000"/>
              </w:rPr>
            </w:pPr>
            <w:r w:rsidRPr="00B94808">
              <w:rPr>
                <w:rFonts w:ascii="Palatino Linotype" w:hAnsi="Palatino Linotype"/>
                <w:b/>
                <w:i/>
                <w:color w:val="000000"/>
              </w:rPr>
              <w:t>Requerimientos</w:t>
            </w:r>
          </w:p>
        </w:tc>
        <w:tc>
          <w:tcPr>
            <w:tcW w:w="4201" w:type="dxa"/>
            <w:shd w:val="clear" w:color="auto" w:fill="E7E6E6" w:themeFill="background2"/>
          </w:tcPr>
          <w:p w:rsidR="00DB1C71" w:rsidRPr="00B94808" w:rsidRDefault="00DB1C71" w:rsidP="00957049">
            <w:pPr>
              <w:spacing w:line="360" w:lineRule="auto"/>
              <w:jc w:val="center"/>
              <w:rPr>
                <w:rFonts w:ascii="Palatino Linotype" w:hAnsi="Palatino Linotype"/>
                <w:b/>
                <w:i/>
                <w:color w:val="000000"/>
              </w:rPr>
            </w:pPr>
            <w:r w:rsidRPr="00B94808">
              <w:rPr>
                <w:rFonts w:ascii="Palatino Linotype" w:hAnsi="Palatino Linotype"/>
                <w:b/>
                <w:i/>
                <w:color w:val="000000"/>
              </w:rPr>
              <w:t>Respuesta</w:t>
            </w:r>
          </w:p>
        </w:tc>
        <w:tc>
          <w:tcPr>
            <w:tcW w:w="1829" w:type="dxa"/>
            <w:shd w:val="clear" w:color="auto" w:fill="E7E6E6" w:themeFill="background2"/>
          </w:tcPr>
          <w:p w:rsidR="00DB1C71" w:rsidRPr="00B94808" w:rsidRDefault="00DB1C71" w:rsidP="00957049">
            <w:pPr>
              <w:spacing w:line="360" w:lineRule="auto"/>
              <w:jc w:val="center"/>
              <w:rPr>
                <w:rFonts w:ascii="Palatino Linotype" w:hAnsi="Palatino Linotype"/>
                <w:b/>
                <w:i/>
                <w:color w:val="000000"/>
              </w:rPr>
            </w:pPr>
            <w:r w:rsidRPr="00B94808">
              <w:rPr>
                <w:rFonts w:ascii="Palatino Linotype" w:hAnsi="Palatino Linotype"/>
                <w:b/>
                <w:i/>
                <w:color w:val="000000"/>
              </w:rPr>
              <w:t>Colma</w:t>
            </w:r>
          </w:p>
        </w:tc>
      </w:tr>
      <w:tr w:rsidR="00DB1C71" w:rsidRPr="00C73DD1" w:rsidTr="00957049">
        <w:trPr>
          <w:trHeight w:val="1044"/>
        </w:trPr>
        <w:tc>
          <w:tcPr>
            <w:tcW w:w="3014" w:type="dxa"/>
          </w:tcPr>
          <w:p w:rsidR="00DB1C71" w:rsidRPr="00512065" w:rsidRDefault="00512065" w:rsidP="00957049">
            <w:pPr>
              <w:jc w:val="both"/>
              <w:rPr>
                <w:rFonts w:ascii="Palatino Linotype" w:hAnsi="Palatino Linotype" w:cs="Tahoma"/>
                <w:sz w:val="22"/>
              </w:rPr>
            </w:pPr>
            <w:r w:rsidRPr="00512065">
              <w:rPr>
                <w:rFonts w:ascii="Palatino Linotype" w:hAnsi="Palatino Linotype" w:cs="Tahoma"/>
                <w:sz w:val="22"/>
              </w:rPr>
              <w:t>Número de quejas recibidas</w:t>
            </w:r>
          </w:p>
        </w:tc>
        <w:tc>
          <w:tcPr>
            <w:tcW w:w="4201" w:type="dxa"/>
          </w:tcPr>
          <w:p w:rsidR="00DB1C71" w:rsidRPr="00512065" w:rsidRDefault="00512065" w:rsidP="00957049">
            <w:pPr>
              <w:pStyle w:val="INFOEM"/>
              <w:ind w:left="0" w:right="0"/>
              <w:rPr>
                <w:i w:val="0"/>
                <w:lang w:val="es-ES"/>
              </w:rPr>
            </w:pPr>
            <w:r>
              <w:rPr>
                <w:i w:val="0"/>
                <w:lang w:val="es-ES"/>
              </w:rPr>
              <w:t>“</w:t>
            </w:r>
            <w:r w:rsidRPr="00512065">
              <w:rPr>
                <w:i w:val="0"/>
                <w:lang w:val="es-ES"/>
              </w:rPr>
              <w:t>Ciudadano le solicito de la manera más atenta indique el periodo sobre el que le gustaría saber el número de quejas recibidas.</w:t>
            </w:r>
            <w:r>
              <w:rPr>
                <w:i w:val="0"/>
                <w:lang w:val="es-ES"/>
              </w:rPr>
              <w:t>”</w:t>
            </w:r>
          </w:p>
        </w:tc>
        <w:tc>
          <w:tcPr>
            <w:tcW w:w="1829" w:type="dxa"/>
          </w:tcPr>
          <w:p w:rsidR="00DB1C71" w:rsidRPr="00CD225B" w:rsidRDefault="00DB1C71" w:rsidP="00957049">
            <w:pPr>
              <w:jc w:val="center"/>
              <w:rPr>
                <w:rFonts w:ascii="Palatino Linotype" w:hAnsi="Palatino Linotype"/>
                <w:b/>
                <w:i/>
                <w:color w:val="000000"/>
              </w:rPr>
            </w:pPr>
            <w:r w:rsidRPr="00CD225B">
              <w:rPr>
                <w:rFonts w:ascii="Palatino Linotype" w:hAnsi="Palatino Linotype"/>
                <w:b/>
                <w:i/>
                <w:color w:val="000000"/>
              </w:rPr>
              <w:t>No</w:t>
            </w:r>
          </w:p>
        </w:tc>
      </w:tr>
    </w:tbl>
    <w:p w:rsidR="00DB1C71" w:rsidRDefault="00DB1C71" w:rsidP="00DB1C71">
      <w:pPr>
        <w:spacing w:line="360" w:lineRule="auto"/>
        <w:jc w:val="both"/>
        <w:rPr>
          <w:rFonts w:ascii="Palatino Linotype" w:hAnsi="Palatino Linotype" w:cs="Arial"/>
        </w:rPr>
      </w:pPr>
    </w:p>
    <w:p w:rsidR="00F4796C" w:rsidRPr="00F4796C" w:rsidRDefault="00F4796C" w:rsidP="00F4796C">
      <w:pPr>
        <w:autoSpaceDE w:val="0"/>
        <w:autoSpaceDN w:val="0"/>
        <w:adjustRightInd w:val="0"/>
        <w:spacing w:before="240" w:after="160" w:line="360" w:lineRule="auto"/>
        <w:jc w:val="both"/>
        <w:rPr>
          <w:rFonts w:ascii="Palatino Linotype" w:hAnsi="Palatino Linotype" w:cs="Arial"/>
        </w:rPr>
      </w:pPr>
      <w:r>
        <w:rPr>
          <w:rFonts w:ascii="Palatino Linotype" w:hAnsi="Palatino Linotype" w:cs="Arial"/>
        </w:rPr>
        <w:t>El</w:t>
      </w:r>
      <w:r w:rsidRPr="00F4796C">
        <w:rPr>
          <w:rFonts w:ascii="Palatino Linotype" w:hAnsi="Palatino Linotype" w:cs="Arial"/>
        </w:rPr>
        <w:t xml:space="preserve"> derecho de acceso a la información pública estriba en la prerrogativa de carácter constitucional que reconoce la potestad de los ciudadanos para solicitar soportes documentales generados, poseídos o administrados por los </w:t>
      </w:r>
      <w:r w:rsidRPr="00F4796C">
        <w:rPr>
          <w:rFonts w:ascii="Palatino Linotype" w:hAnsi="Palatino Linotype" w:cs="Arial"/>
          <w:b/>
          <w:bCs/>
        </w:rPr>
        <w:t xml:space="preserve">Sujetos Obligados. </w:t>
      </w:r>
    </w:p>
    <w:p w:rsidR="00F4796C" w:rsidRPr="00F4796C" w:rsidRDefault="00F4796C" w:rsidP="00F4796C">
      <w:pPr>
        <w:spacing w:before="240" w:after="160" w:line="360" w:lineRule="auto"/>
        <w:jc w:val="both"/>
        <w:rPr>
          <w:rFonts w:ascii="Palatino Linotype" w:hAnsi="Palatino Linotype"/>
        </w:rPr>
      </w:pPr>
      <w:r>
        <w:rPr>
          <w:rFonts w:ascii="Palatino Linotype" w:hAnsi="Palatino Linotype" w:cs="Arial"/>
        </w:rPr>
        <w:t>C</w:t>
      </w:r>
      <w:r w:rsidRPr="00F4796C">
        <w:rPr>
          <w:rFonts w:ascii="Palatino Linotype" w:hAnsi="Palatino Linotype" w:cs="Arial"/>
        </w:rPr>
        <w:t xml:space="preserve">uando los particulares no identifican </w:t>
      </w:r>
      <w:r w:rsidRPr="00F4796C">
        <w:rPr>
          <w:rFonts w:ascii="Palatino Linotype" w:hAnsi="Palatino Linotype"/>
        </w:rPr>
        <w:t xml:space="preserve">de forma precisa el documento requerido bastará con que se remita cualquiera que refleje la información requerida. Al respecto cobra relevancia el criterio emitido por el Órgano Garante Nacional con número </w:t>
      </w:r>
      <w:r w:rsidRPr="00F4796C">
        <w:rPr>
          <w:rFonts w:ascii="Palatino Linotype" w:hAnsi="Palatino Linotype"/>
          <w:b/>
          <w:bCs/>
        </w:rPr>
        <w:t xml:space="preserve">16/17 </w:t>
      </w:r>
      <w:r w:rsidRPr="00F4796C">
        <w:rPr>
          <w:rFonts w:ascii="Palatino Linotype" w:hAnsi="Palatino Linotype"/>
        </w:rPr>
        <w:t>cuyo rubro y texto disponen a la literalidad lo siguiente:</w:t>
      </w:r>
    </w:p>
    <w:p w:rsidR="00F4796C" w:rsidRPr="00AB5B4A" w:rsidRDefault="00F4796C" w:rsidP="00F4796C">
      <w:pPr>
        <w:pStyle w:val="Citas"/>
        <w:jc w:val="center"/>
        <w:rPr>
          <w:b/>
          <w:bCs/>
          <w:sz w:val="24"/>
          <w:szCs w:val="24"/>
        </w:rPr>
      </w:pPr>
      <w:r w:rsidRPr="00AB5B4A">
        <w:rPr>
          <w:b/>
          <w:bCs/>
          <w:sz w:val="24"/>
          <w:szCs w:val="24"/>
        </w:rPr>
        <w:t>“EXPRESIÓN DOCUMENTAL.</w:t>
      </w:r>
    </w:p>
    <w:p w:rsidR="00F4796C" w:rsidRPr="00AB5B4A" w:rsidRDefault="00F4796C" w:rsidP="00F4796C">
      <w:pPr>
        <w:pStyle w:val="Citas"/>
        <w:rPr>
          <w:szCs w:val="24"/>
        </w:rPr>
      </w:pPr>
      <w:r w:rsidRPr="00AB5B4A">
        <w:rPr>
          <w:bCs/>
          <w:szCs w:val="24"/>
        </w:rPr>
        <w:t>Cuando</w:t>
      </w:r>
      <w:r w:rsidRPr="00AB5B4A">
        <w:rPr>
          <w:lang w:val="es-ES"/>
        </w:rPr>
        <w:t xml:space="preserve"> los particulares presenten solicitudes de acceso a la información sin identificar de forma precisa la documentación que pudiera contener la información de su interés, </w:t>
      </w:r>
      <w:r w:rsidRPr="00AB5B4A">
        <w:rPr>
          <w:szCs w:val="24"/>
        </w:rPr>
        <w:t>o bien, la solicitud constituya una consulta,</w:t>
      </w:r>
      <w:r w:rsidRPr="00AB5B4A">
        <w:rPr>
          <w:lang w:val="es-ES"/>
        </w:rPr>
        <w:t xml:space="preserve"> pero la respuesta pudiera </w:t>
      </w:r>
      <w:r w:rsidRPr="00AB5B4A">
        <w:rPr>
          <w:lang w:val="es-ES"/>
        </w:rPr>
        <w:lastRenderedPageBreak/>
        <w:t xml:space="preserve">obrar en algún documento en poder de los sujetos obligados, éstos deben dar a dichas solicitudes una interpretación que les otorgue una expresión documental. </w:t>
      </w:r>
    </w:p>
    <w:p w:rsidR="00F4796C" w:rsidRPr="00AB5B4A" w:rsidRDefault="00F4796C" w:rsidP="00F4796C">
      <w:pPr>
        <w:pStyle w:val="Citas"/>
        <w:rPr>
          <w:b/>
        </w:rPr>
      </w:pPr>
      <w:r w:rsidRPr="00AB5B4A">
        <w:rPr>
          <w:b/>
        </w:rPr>
        <w:t>Precedentes:</w:t>
      </w:r>
    </w:p>
    <w:p w:rsidR="00F4796C" w:rsidRPr="00AB5B4A" w:rsidRDefault="00F4796C" w:rsidP="00F4796C">
      <w:pPr>
        <w:pStyle w:val="Citas"/>
        <w:numPr>
          <w:ilvl w:val="0"/>
          <w:numId w:val="10"/>
        </w:numPr>
        <w:rPr>
          <w:color w:val="000000"/>
        </w:rPr>
      </w:pPr>
      <w:r w:rsidRPr="00AB5B4A">
        <w:t xml:space="preserve">Acceso a la información pública. RRA 0774/16. Sesión del 31 de agosto de 2016. Votación por unanimidad. </w:t>
      </w:r>
      <w:r w:rsidRPr="00AB5B4A">
        <w:rPr>
          <w:rFonts w:eastAsia="Arial"/>
        </w:rPr>
        <w:t>Sin votos disidentes o particulares.</w:t>
      </w:r>
      <w:r w:rsidRPr="00AB5B4A">
        <w:t xml:space="preserve"> Secretaría de Salud. Comisionada Ponente María Patricia </w:t>
      </w:r>
      <w:proofErr w:type="spellStart"/>
      <w:r w:rsidRPr="00AB5B4A">
        <w:t>Kurczyn</w:t>
      </w:r>
      <w:proofErr w:type="spellEnd"/>
      <w:r w:rsidRPr="00AB5B4A">
        <w:t xml:space="preserve"> Villalobos.</w:t>
      </w:r>
    </w:p>
    <w:p w:rsidR="00F4796C" w:rsidRPr="00AB5B4A" w:rsidRDefault="00F4796C" w:rsidP="00F4796C">
      <w:pPr>
        <w:pStyle w:val="Citas"/>
        <w:numPr>
          <w:ilvl w:val="0"/>
          <w:numId w:val="10"/>
        </w:numPr>
        <w:rPr>
          <w:color w:val="000000"/>
        </w:rPr>
      </w:pPr>
      <w:r w:rsidRPr="00AB5B4A">
        <w:t xml:space="preserve">Acceso a la información pública. RRA 0143/17. Sesión del 22 de febrero de 2017. Votación por unanimidad. </w:t>
      </w:r>
      <w:r w:rsidRPr="00AB5B4A">
        <w:rPr>
          <w:rFonts w:eastAsia="Arial"/>
        </w:rPr>
        <w:t>Sin votos disidentes o particulares.</w:t>
      </w:r>
      <w:r w:rsidRPr="00AB5B4A">
        <w:t xml:space="preserve"> Universidad Autónoma Agraria Antonio Narro. Comisionado Ponente Oscar Mauricio Guerra Ford. </w:t>
      </w:r>
    </w:p>
    <w:p w:rsidR="00F4796C" w:rsidRPr="00877912" w:rsidRDefault="00F4796C" w:rsidP="00F4796C">
      <w:pPr>
        <w:pStyle w:val="Citas"/>
        <w:numPr>
          <w:ilvl w:val="0"/>
          <w:numId w:val="10"/>
        </w:numPr>
        <w:rPr>
          <w:color w:val="000000"/>
        </w:rPr>
      </w:pPr>
      <w:r w:rsidRPr="00AB5B4A">
        <w:t xml:space="preserve">Acceso a la información pública. RRA 0540/17. Sesión del 08 de marzo del 2017. Votación por unanimidad. </w:t>
      </w:r>
      <w:r w:rsidRPr="00AB5B4A">
        <w:rPr>
          <w:rFonts w:eastAsia="Arial"/>
        </w:rPr>
        <w:t>Sin votos disidentes o particulares.</w:t>
      </w:r>
      <w:r w:rsidRPr="00AB5B4A">
        <w:t xml:space="preserve"> Secretaría de Economía. Comisionado Ponente Francisco Javier Acuña Llamas. “ </w:t>
      </w:r>
      <w:r w:rsidRPr="00AB5B4A">
        <w:rPr>
          <w:b/>
          <w:bCs/>
        </w:rPr>
        <w:t>(Sic)</w:t>
      </w:r>
    </w:p>
    <w:p w:rsidR="00F4796C" w:rsidRPr="00AB5B4A" w:rsidRDefault="00F4796C" w:rsidP="00F4796C">
      <w:pPr>
        <w:pStyle w:val="Citas"/>
        <w:ind w:left="1571"/>
        <w:rPr>
          <w:color w:val="000000"/>
        </w:rPr>
      </w:pPr>
    </w:p>
    <w:p w:rsidR="00F4796C" w:rsidRPr="001F36EE" w:rsidRDefault="00F4796C" w:rsidP="00F4796C">
      <w:pPr>
        <w:pStyle w:val="Sinespaciado"/>
        <w:spacing w:line="360" w:lineRule="auto"/>
        <w:jc w:val="both"/>
        <w:rPr>
          <w:rFonts w:ascii="Palatino Linotype" w:hAnsi="Palatino Linotype"/>
          <w:sz w:val="24"/>
        </w:rPr>
      </w:pPr>
      <w:r>
        <w:rPr>
          <w:rFonts w:ascii="Palatino Linotype" w:hAnsi="Palatino Linotype" w:cs="Arial"/>
          <w:sz w:val="24"/>
        </w:rPr>
        <w:t xml:space="preserve">Por otro lado, no </w:t>
      </w:r>
      <w:r w:rsidRPr="001F36EE">
        <w:rPr>
          <w:rFonts w:ascii="Palatino Linotype" w:hAnsi="Palatino Linotype" w:cs="Arial"/>
          <w:sz w:val="24"/>
        </w:rPr>
        <w:t xml:space="preserve">fue delimitado un parámetro de inicio y conclusión de búsqueda de la información. En este tenor, debe de ser fijado del periodo </w:t>
      </w:r>
      <w:r w:rsidRPr="00512065">
        <w:rPr>
          <w:rFonts w:ascii="Palatino Linotype" w:eastAsia="Calibri" w:hAnsi="Palatino Linotype" w:cs="Arial"/>
          <w:b/>
          <w:lang w:val="es-ES_tradnl" w:eastAsia="es-MX"/>
        </w:rPr>
        <w:t xml:space="preserve">del </w:t>
      </w:r>
      <w:r>
        <w:rPr>
          <w:rFonts w:ascii="Palatino Linotype" w:eastAsia="Calibri" w:hAnsi="Palatino Linotype" w:cs="Arial"/>
          <w:b/>
          <w:lang w:val="es-ES_tradnl" w:eastAsia="es-MX"/>
        </w:rPr>
        <w:t>15</w:t>
      </w:r>
      <w:r w:rsidRPr="00512065">
        <w:rPr>
          <w:rFonts w:ascii="Palatino Linotype" w:eastAsia="Calibri" w:hAnsi="Palatino Linotype" w:cs="Arial"/>
          <w:b/>
          <w:lang w:val="es-ES_tradnl" w:eastAsia="es-MX"/>
        </w:rPr>
        <w:t xml:space="preserve"> de </w:t>
      </w:r>
      <w:r>
        <w:rPr>
          <w:rFonts w:ascii="Palatino Linotype" w:eastAsia="Calibri" w:hAnsi="Palatino Linotype" w:cs="Arial"/>
          <w:b/>
          <w:lang w:val="es-ES_tradnl" w:eastAsia="es-MX"/>
        </w:rPr>
        <w:t xml:space="preserve">noviembre de </w:t>
      </w:r>
      <w:proofErr w:type="gramStart"/>
      <w:r>
        <w:rPr>
          <w:rFonts w:ascii="Palatino Linotype" w:eastAsia="Calibri" w:hAnsi="Palatino Linotype" w:cs="Arial"/>
          <w:b/>
          <w:lang w:val="es-ES_tradnl" w:eastAsia="es-MX"/>
        </w:rPr>
        <w:t>2023</w:t>
      </w:r>
      <w:r w:rsidRPr="00512065">
        <w:rPr>
          <w:rFonts w:ascii="Palatino Linotype" w:eastAsia="Calibri" w:hAnsi="Palatino Linotype" w:cs="Arial"/>
          <w:b/>
          <w:lang w:val="es-ES_tradnl" w:eastAsia="es-MX"/>
        </w:rPr>
        <w:t xml:space="preserve">  al</w:t>
      </w:r>
      <w:proofErr w:type="gramEnd"/>
      <w:r w:rsidRPr="00512065">
        <w:rPr>
          <w:rFonts w:ascii="Palatino Linotype" w:eastAsia="Calibri" w:hAnsi="Palatino Linotype" w:cs="Arial"/>
          <w:b/>
          <w:lang w:val="es-ES_tradnl" w:eastAsia="es-MX"/>
        </w:rPr>
        <w:t xml:space="preserve"> </w:t>
      </w:r>
      <w:r>
        <w:rPr>
          <w:rFonts w:ascii="Palatino Linotype" w:eastAsia="Calibri" w:hAnsi="Palatino Linotype" w:cs="Arial"/>
          <w:b/>
          <w:lang w:val="es-ES_tradnl" w:eastAsia="es-MX"/>
        </w:rPr>
        <w:t>15</w:t>
      </w:r>
      <w:r w:rsidRPr="00512065">
        <w:rPr>
          <w:rFonts w:ascii="Palatino Linotype" w:eastAsia="Calibri" w:hAnsi="Palatino Linotype" w:cs="Arial"/>
          <w:b/>
          <w:lang w:val="es-ES_tradnl" w:eastAsia="es-MX"/>
        </w:rPr>
        <w:t xml:space="preserve"> de </w:t>
      </w:r>
      <w:r>
        <w:rPr>
          <w:rFonts w:ascii="Palatino Linotype" w:eastAsia="Calibri" w:hAnsi="Palatino Linotype" w:cs="Arial"/>
          <w:b/>
          <w:lang w:val="es-ES_tradnl" w:eastAsia="es-MX"/>
        </w:rPr>
        <w:t>noviembre</w:t>
      </w:r>
      <w:r w:rsidRPr="00512065">
        <w:rPr>
          <w:rFonts w:ascii="Palatino Linotype" w:eastAsia="Calibri" w:hAnsi="Palatino Linotype" w:cs="Arial"/>
          <w:b/>
          <w:lang w:val="es-ES_tradnl" w:eastAsia="es-MX"/>
        </w:rPr>
        <w:t xml:space="preserve"> d</w:t>
      </w:r>
      <w:r>
        <w:rPr>
          <w:rFonts w:ascii="Palatino Linotype" w:eastAsia="Calibri" w:hAnsi="Palatino Linotype" w:cs="Arial"/>
          <w:b/>
          <w:lang w:val="es-ES_tradnl" w:eastAsia="es-MX"/>
        </w:rPr>
        <w:t>e 2024.</w:t>
      </w:r>
      <w:r w:rsidRPr="001F36EE">
        <w:rPr>
          <w:rFonts w:ascii="Palatino Linotype" w:hAnsi="Palatino Linotype" w:cs="Arial"/>
          <w:sz w:val="24"/>
        </w:rPr>
        <w:t xml:space="preserve"> </w:t>
      </w:r>
      <w:r w:rsidRPr="001F36EE">
        <w:rPr>
          <w:rFonts w:ascii="Palatino Linotype" w:hAnsi="Palatino Linotype"/>
          <w:sz w:val="24"/>
        </w:rPr>
        <w:t xml:space="preserve">Robustece lo anterior el criterio </w:t>
      </w:r>
      <w:r w:rsidRPr="001F36EE">
        <w:rPr>
          <w:rFonts w:ascii="Palatino Linotype" w:hAnsi="Palatino Linotype"/>
          <w:b/>
          <w:sz w:val="24"/>
        </w:rPr>
        <w:t xml:space="preserve">3/19 </w:t>
      </w:r>
      <w:r w:rsidRPr="001F36EE">
        <w:rPr>
          <w:rFonts w:ascii="Palatino Linotype" w:hAnsi="Palatino Linotype"/>
          <w:sz w:val="24"/>
        </w:rPr>
        <w:t xml:space="preserve">emitido por el Instituto Nacional de Transparencia, Acceso a la Información y Protección de Datos Personales, que dispone a la literalidad lo siguiente: </w:t>
      </w:r>
    </w:p>
    <w:p w:rsidR="00F4796C" w:rsidRDefault="00F4796C" w:rsidP="00F4796C">
      <w:pPr>
        <w:pStyle w:val="Citas"/>
        <w:jc w:val="center"/>
        <w:rPr>
          <w:b/>
        </w:rPr>
      </w:pPr>
      <w:r>
        <w:rPr>
          <w:b/>
        </w:rPr>
        <w:t>“</w:t>
      </w:r>
      <w:r w:rsidRPr="007603E6">
        <w:rPr>
          <w:b/>
        </w:rPr>
        <w:t>PERIODO DE BÚSQUEDA DE LA INFORMACIÓN.</w:t>
      </w:r>
    </w:p>
    <w:p w:rsidR="00F4796C" w:rsidRDefault="00F4796C" w:rsidP="00F4796C">
      <w:pPr>
        <w:pStyle w:val="Citas"/>
      </w:pPr>
      <w:r w:rsidRPr="007603E6">
        <w:lastRenderedPageBreak/>
        <w:t xml:space="preserve">En el supuesto de que el particular no haya señalado el periodo </w:t>
      </w:r>
      <w:r w:rsidRPr="00F8264F">
        <w:t xml:space="preserve">respecto del cual </w:t>
      </w:r>
      <w:r w:rsidRPr="007603E6">
        <w:t>requiere la información, o bien, de la solicitud presentada no se adviertan elementos que permitan identificarlo, deberá considerarse</w:t>
      </w:r>
      <w:r>
        <w:t>,</w:t>
      </w:r>
      <w:r w:rsidRPr="007603E6">
        <w:t xml:space="preserve"> para efectos de la búsqueda de la información, que el requerimiento se refiere al año inmediato anterior, contado a partir de la fecha en que se presentó la solicitud.</w:t>
      </w:r>
    </w:p>
    <w:p w:rsidR="00F4796C" w:rsidRPr="00A15759" w:rsidRDefault="00F4796C" w:rsidP="00F4796C">
      <w:pPr>
        <w:pStyle w:val="Citas"/>
      </w:pPr>
      <w:r w:rsidRPr="00A15759">
        <w:rPr>
          <w:b/>
          <w:spacing w:val="-1"/>
        </w:rPr>
        <w:t>R</w:t>
      </w:r>
      <w:r w:rsidRPr="00A15759">
        <w:rPr>
          <w:b/>
        </w:rPr>
        <w:t>e</w:t>
      </w:r>
      <w:r w:rsidRPr="00A15759">
        <w:rPr>
          <w:b/>
          <w:spacing w:val="-1"/>
        </w:rPr>
        <w:t>s</w:t>
      </w:r>
      <w:r w:rsidRPr="00A15759">
        <w:rPr>
          <w:b/>
        </w:rPr>
        <w:t>olucion</w:t>
      </w:r>
      <w:r w:rsidRPr="00A15759">
        <w:rPr>
          <w:b/>
          <w:spacing w:val="-1"/>
        </w:rPr>
        <w:t>e</w:t>
      </w:r>
      <w:r>
        <w:rPr>
          <w:b/>
          <w:spacing w:val="-1"/>
        </w:rPr>
        <w:t>s</w:t>
      </w:r>
    </w:p>
    <w:p w:rsidR="00F4796C" w:rsidRPr="005177EB" w:rsidRDefault="00F4796C" w:rsidP="00F4796C">
      <w:pPr>
        <w:pStyle w:val="Citas"/>
        <w:rPr>
          <w:rFonts w:eastAsia="Symbol"/>
        </w:rPr>
      </w:pPr>
      <w:r w:rsidRPr="00A15759">
        <w:rPr>
          <w:b/>
          <w:spacing w:val="-1"/>
        </w:rPr>
        <w:t>R</w:t>
      </w:r>
      <w:r w:rsidRPr="00A15759">
        <w:rPr>
          <w:b/>
          <w:spacing w:val="3"/>
        </w:rPr>
        <w:t>R</w:t>
      </w:r>
      <w:r w:rsidRPr="00A15759">
        <w:rPr>
          <w:b/>
        </w:rPr>
        <w:t>A</w:t>
      </w:r>
      <w:r w:rsidRPr="00A15759">
        <w:rPr>
          <w:b/>
          <w:spacing w:val="5"/>
        </w:rPr>
        <w:t xml:space="preserve"> </w:t>
      </w:r>
      <w:r>
        <w:rPr>
          <w:b/>
          <w:spacing w:val="5"/>
        </w:rPr>
        <w:t>0022</w:t>
      </w:r>
      <w:r w:rsidRPr="00A15759">
        <w:rPr>
          <w:b/>
          <w:spacing w:val="-1"/>
        </w:rPr>
        <w:t>/1</w:t>
      </w:r>
      <w:r>
        <w:rPr>
          <w:b/>
          <w:spacing w:val="-1"/>
        </w:rPr>
        <w:t>7</w:t>
      </w:r>
      <w:r w:rsidRPr="00A15759">
        <w:rPr>
          <w:b/>
        </w:rPr>
        <w:t>.</w:t>
      </w:r>
      <w:r w:rsidRPr="00A15759">
        <w:rPr>
          <w:b/>
          <w:spacing w:val="15"/>
        </w:rPr>
        <w:t xml:space="preserve"> </w:t>
      </w:r>
      <w:r>
        <w:rPr>
          <w:spacing w:val="-1"/>
        </w:rPr>
        <w:t>Instituto Mexicano de la Propiedad Industrial</w:t>
      </w:r>
      <w:r w:rsidRPr="00A15759">
        <w:t>.</w:t>
      </w:r>
      <w:r w:rsidRPr="00A15759">
        <w:rPr>
          <w:spacing w:val="4"/>
        </w:rPr>
        <w:t xml:space="preserve"> </w:t>
      </w:r>
      <w:r>
        <w:rPr>
          <w:spacing w:val="4"/>
        </w:rPr>
        <w:t xml:space="preserve">16 de febrero de 2017. Por unanimidad. </w:t>
      </w:r>
      <w:r w:rsidRPr="00A15759">
        <w:rPr>
          <w:spacing w:val="-1"/>
        </w:rPr>
        <w:t>C</w:t>
      </w:r>
      <w:r w:rsidRPr="00A15759">
        <w:t>omis</w:t>
      </w:r>
      <w:r w:rsidRPr="00A15759">
        <w:rPr>
          <w:spacing w:val="-2"/>
        </w:rPr>
        <w:t>i</w:t>
      </w:r>
      <w:r w:rsidRPr="00A15759">
        <w:t>o</w:t>
      </w:r>
      <w:r w:rsidRPr="00A15759">
        <w:rPr>
          <w:spacing w:val="1"/>
        </w:rPr>
        <w:t>n</w:t>
      </w:r>
      <w:r w:rsidRPr="00A15759">
        <w:t>a</w:t>
      </w:r>
      <w:r w:rsidRPr="00A15759">
        <w:rPr>
          <w:spacing w:val="-1"/>
        </w:rPr>
        <w:t>d</w:t>
      </w:r>
      <w:r w:rsidRPr="00A15759">
        <w:t>o</w:t>
      </w:r>
      <w:r w:rsidRPr="00A15759">
        <w:rPr>
          <w:spacing w:val="3"/>
        </w:rPr>
        <w:t xml:space="preserve"> </w:t>
      </w:r>
      <w:r w:rsidRPr="00A15759">
        <w:rPr>
          <w:spacing w:val="-1"/>
        </w:rPr>
        <w:t>P</w:t>
      </w:r>
      <w:r w:rsidRPr="00A15759">
        <w:t>o</w:t>
      </w:r>
      <w:r w:rsidRPr="00A15759">
        <w:rPr>
          <w:spacing w:val="-1"/>
        </w:rPr>
        <w:t>n</w:t>
      </w:r>
      <w:r w:rsidRPr="00A15759">
        <w:t>e</w:t>
      </w:r>
      <w:r w:rsidRPr="00A15759">
        <w:rPr>
          <w:spacing w:val="-1"/>
        </w:rPr>
        <w:t>n</w:t>
      </w:r>
      <w:r w:rsidRPr="00A15759">
        <w:rPr>
          <w:spacing w:val="1"/>
        </w:rPr>
        <w:t>t</w:t>
      </w:r>
      <w:r w:rsidRPr="00A15759">
        <w:t>e Francisco Javier Acuña Llamas.</w:t>
      </w:r>
    </w:p>
    <w:p w:rsidR="00F4796C" w:rsidRPr="004938E6" w:rsidRDefault="0065133A" w:rsidP="00F4796C">
      <w:pPr>
        <w:pStyle w:val="Citas"/>
        <w:rPr>
          <w:rFonts w:eastAsia="Symbol"/>
        </w:rPr>
      </w:pPr>
      <w:hyperlink r:id="rId9" w:history="1">
        <w:r w:rsidR="00F4796C" w:rsidRPr="004938E6">
          <w:rPr>
            <w:rStyle w:val="Hipervnculo"/>
            <w:rFonts w:eastAsia="Symbol"/>
          </w:rPr>
          <w:t>http://consultas.ifai.org.mx/descargar.php?r=./pdf/resoluciones/2017/&amp;a=RRA%2022.pdf</w:t>
        </w:r>
      </w:hyperlink>
      <w:r w:rsidR="00F4796C" w:rsidRPr="004938E6">
        <w:rPr>
          <w:rFonts w:eastAsia="Symbol"/>
        </w:rPr>
        <w:t xml:space="preserve"> </w:t>
      </w:r>
    </w:p>
    <w:p w:rsidR="00F4796C" w:rsidRPr="005177EB" w:rsidRDefault="00F4796C" w:rsidP="00F4796C">
      <w:pPr>
        <w:pStyle w:val="Citas"/>
        <w:rPr>
          <w:b/>
          <w:spacing w:val="-1"/>
        </w:rPr>
      </w:pPr>
      <w:r w:rsidRPr="00A15759">
        <w:rPr>
          <w:b/>
          <w:spacing w:val="-1"/>
        </w:rPr>
        <w:t>R</w:t>
      </w:r>
      <w:r w:rsidRPr="00A15759">
        <w:rPr>
          <w:b/>
          <w:spacing w:val="3"/>
        </w:rPr>
        <w:t>R</w:t>
      </w:r>
      <w:r w:rsidRPr="00A15759">
        <w:rPr>
          <w:b/>
        </w:rPr>
        <w:t>A</w:t>
      </w:r>
      <w:r w:rsidRPr="00A15759">
        <w:rPr>
          <w:b/>
          <w:spacing w:val="43"/>
        </w:rPr>
        <w:t xml:space="preserve"> </w:t>
      </w:r>
      <w:r w:rsidRPr="007E1426">
        <w:rPr>
          <w:b/>
          <w:spacing w:val="5"/>
        </w:rPr>
        <w:t>2536</w:t>
      </w:r>
      <w:r w:rsidRPr="00A15759">
        <w:rPr>
          <w:b/>
          <w:spacing w:val="1"/>
        </w:rPr>
        <w:t>/</w:t>
      </w:r>
      <w:r w:rsidRPr="00A15759">
        <w:rPr>
          <w:b/>
        </w:rPr>
        <w:t>1</w:t>
      </w:r>
      <w:r>
        <w:rPr>
          <w:b/>
        </w:rPr>
        <w:t>7</w:t>
      </w:r>
      <w:r w:rsidRPr="00A15759">
        <w:rPr>
          <w:b/>
        </w:rPr>
        <w:t xml:space="preserve">. </w:t>
      </w:r>
      <w:r>
        <w:rPr>
          <w:spacing w:val="-1"/>
        </w:rPr>
        <w:t>Secretaría de Gobernación</w:t>
      </w:r>
      <w:r w:rsidRPr="00A15759">
        <w:t>.</w:t>
      </w:r>
      <w:r>
        <w:t xml:space="preserve"> 07 de junio de 2017. Por unanimidad. Comisionada Ponente Areli Cano Guadiana.</w:t>
      </w:r>
      <w:r w:rsidRPr="00A15759">
        <w:rPr>
          <w:spacing w:val="-1"/>
          <w:position w:val="5"/>
        </w:rPr>
        <w:t xml:space="preserve"> </w:t>
      </w:r>
    </w:p>
    <w:p w:rsidR="00F4796C" w:rsidRPr="004938E6" w:rsidRDefault="0065133A" w:rsidP="00F4796C">
      <w:pPr>
        <w:pStyle w:val="Citas"/>
        <w:rPr>
          <w:spacing w:val="-1"/>
        </w:rPr>
      </w:pPr>
      <w:hyperlink r:id="rId10" w:history="1">
        <w:r w:rsidR="00F4796C" w:rsidRPr="004938E6">
          <w:rPr>
            <w:rStyle w:val="Hipervnculo"/>
            <w:rFonts w:eastAsia="Arial"/>
            <w:spacing w:val="-1"/>
          </w:rPr>
          <w:t>http://consultas.ifai.org.mx/descargar.php?r=./pdf/resoluciones/2017/&amp;a=RRA%202536.pdf</w:t>
        </w:r>
      </w:hyperlink>
      <w:r w:rsidR="00F4796C" w:rsidRPr="004938E6">
        <w:rPr>
          <w:spacing w:val="-1"/>
        </w:rPr>
        <w:t xml:space="preserve"> </w:t>
      </w:r>
    </w:p>
    <w:p w:rsidR="00F4796C" w:rsidRDefault="00F4796C" w:rsidP="00F4796C">
      <w:pPr>
        <w:pStyle w:val="Citas"/>
        <w:rPr>
          <w:bCs/>
        </w:rPr>
      </w:pPr>
      <w:r w:rsidRPr="00A15759">
        <w:rPr>
          <w:b/>
          <w:spacing w:val="-1"/>
          <w:position w:val="-1"/>
        </w:rPr>
        <w:t>R</w:t>
      </w:r>
      <w:r w:rsidRPr="00A15759">
        <w:rPr>
          <w:b/>
          <w:spacing w:val="3"/>
          <w:position w:val="-1"/>
        </w:rPr>
        <w:t>R</w:t>
      </w:r>
      <w:r w:rsidRPr="00A15759">
        <w:rPr>
          <w:b/>
          <w:position w:val="-1"/>
        </w:rPr>
        <w:t xml:space="preserve">A </w:t>
      </w:r>
      <w:r w:rsidRPr="00A15759">
        <w:rPr>
          <w:b/>
          <w:spacing w:val="-1"/>
          <w:position w:val="-1"/>
        </w:rPr>
        <w:t>3482/17</w:t>
      </w:r>
      <w:r w:rsidRPr="00A15759">
        <w:rPr>
          <w:b/>
          <w:position w:val="-1"/>
        </w:rPr>
        <w:t xml:space="preserve">. </w:t>
      </w:r>
      <w:r w:rsidRPr="00A15759">
        <w:rPr>
          <w:spacing w:val="-1"/>
          <w:position w:val="-1"/>
        </w:rPr>
        <w:t>Secretaría de Comunicaciones y Transportes</w:t>
      </w:r>
      <w:r w:rsidRPr="00A15759">
        <w:rPr>
          <w:position w:val="-1"/>
        </w:rPr>
        <w:t>.</w:t>
      </w:r>
      <w:r>
        <w:rPr>
          <w:position w:val="-1"/>
        </w:rPr>
        <w:t xml:space="preserve"> 02 de agosto de 2017. Por unanimidad. Comisionado Ponente Oscar Mauricio Guerra Ford</w:t>
      </w:r>
      <w:r w:rsidRPr="00F5357E">
        <w:rPr>
          <w:bCs/>
        </w:rPr>
        <w:t>.</w:t>
      </w:r>
    </w:p>
    <w:p w:rsidR="00512065" w:rsidRDefault="00DC0E0E" w:rsidP="00DB1C71">
      <w:pPr>
        <w:spacing w:line="360" w:lineRule="auto"/>
        <w:jc w:val="both"/>
        <w:rPr>
          <w:rFonts w:ascii="Palatino Linotype" w:hAnsi="Palatino Linotype" w:cs="Arial"/>
        </w:rPr>
      </w:pPr>
      <w:r>
        <w:rPr>
          <w:rFonts w:ascii="Palatino Linotype" w:eastAsia="Calibri" w:hAnsi="Palatino Linotype" w:cs="Arial"/>
          <w:szCs w:val="22"/>
          <w:lang w:val="es-ES_tradnl" w:eastAsia="es-MX"/>
        </w:rPr>
        <w:t xml:space="preserve"> </w:t>
      </w:r>
    </w:p>
    <w:p w:rsidR="00DB1C71" w:rsidRPr="009E63DA" w:rsidRDefault="00DB1C71" w:rsidP="00DB1C71">
      <w:pPr>
        <w:spacing w:line="360" w:lineRule="auto"/>
        <w:jc w:val="both"/>
        <w:rPr>
          <w:rFonts w:ascii="Palatino Linotype" w:hAnsi="Palatino Linotype" w:cs="Arial"/>
        </w:rPr>
      </w:pPr>
      <w:r w:rsidRPr="009E63DA">
        <w:rPr>
          <w:rFonts w:ascii="Palatino Linotype" w:hAnsi="Palatino Linotype" w:cs="Arial"/>
        </w:rPr>
        <w:t xml:space="preserve">Ahora bien, en atención a lo dispuesto por los artículos 3, fracción XI 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rsidR="00DB1C71" w:rsidRPr="009E63DA" w:rsidRDefault="00DB1C71" w:rsidP="00DB1C71">
      <w:pPr>
        <w:ind w:left="567" w:right="567"/>
        <w:jc w:val="both"/>
        <w:rPr>
          <w:rFonts w:ascii="Palatino Linotype" w:hAnsi="Palatino Linotype"/>
        </w:rPr>
      </w:pPr>
    </w:p>
    <w:p w:rsidR="00DB1C71" w:rsidRPr="009E63DA" w:rsidRDefault="00DB1C71" w:rsidP="00DB1C71">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rsidR="00DB1C71" w:rsidRPr="009E63DA" w:rsidRDefault="00DB1C71" w:rsidP="00DB1C71">
      <w:pPr>
        <w:ind w:left="851" w:right="851"/>
        <w:jc w:val="both"/>
        <w:rPr>
          <w:rFonts w:ascii="Palatino Linotype" w:hAnsi="Palatino Linotype"/>
          <w:i/>
        </w:rPr>
      </w:pPr>
      <w:r w:rsidRPr="009E63DA">
        <w:rPr>
          <w:rFonts w:ascii="Palatino Linotype" w:hAnsi="Palatino Linotype"/>
          <w:i/>
        </w:rPr>
        <w:t>…</w:t>
      </w:r>
    </w:p>
    <w:p w:rsidR="00DB1C71" w:rsidRPr="009E63DA" w:rsidRDefault="00DB1C71" w:rsidP="00DB1C71">
      <w:pPr>
        <w:ind w:left="851" w:right="851"/>
        <w:jc w:val="both"/>
        <w:rPr>
          <w:rFonts w:ascii="Palatino Linotype" w:hAnsi="Palatino Linotype"/>
          <w:i/>
        </w:rPr>
      </w:pPr>
      <w:r w:rsidRPr="009E63DA">
        <w:rPr>
          <w:rFonts w:ascii="Palatino Linotype" w:hAnsi="Palatino Linotype"/>
          <w:b/>
          <w:i/>
        </w:rPr>
        <w:lastRenderedPageBreak/>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rsidR="00DB1C71" w:rsidRPr="009E63DA" w:rsidRDefault="00DB1C71" w:rsidP="00DB1C71">
      <w:pPr>
        <w:ind w:left="851" w:right="851"/>
        <w:jc w:val="both"/>
        <w:rPr>
          <w:rFonts w:ascii="Palatino Linotype" w:hAnsi="Palatino Linotype"/>
          <w:i/>
        </w:rPr>
      </w:pPr>
    </w:p>
    <w:p w:rsidR="00DB1C71" w:rsidRPr="009E63DA" w:rsidRDefault="00DB1C71" w:rsidP="00DB1C71">
      <w:pPr>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DB1C71" w:rsidRPr="009E63DA" w:rsidRDefault="00DB1C71" w:rsidP="00DB1C71">
      <w:pPr>
        <w:ind w:left="851" w:right="851"/>
        <w:jc w:val="both"/>
        <w:rPr>
          <w:rFonts w:ascii="Palatino Linotype" w:hAnsi="Palatino Linotype"/>
          <w:bCs/>
          <w:i/>
        </w:rPr>
      </w:pPr>
    </w:p>
    <w:p w:rsidR="00DB1C71" w:rsidRPr="009E63DA" w:rsidRDefault="00DB1C71" w:rsidP="00DB1C71">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DB1C71" w:rsidRPr="009E63DA" w:rsidRDefault="00DB1C71" w:rsidP="00DB1C71">
      <w:pPr>
        <w:ind w:left="851" w:right="851"/>
        <w:jc w:val="both"/>
        <w:rPr>
          <w:rFonts w:ascii="Palatino Linotype" w:hAnsi="Palatino Linotype"/>
          <w:bCs/>
          <w:i/>
        </w:rPr>
      </w:pPr>
    </w:p>
    <w:p w:rsidR="00DB1C71" w:rsidRPr="009E63DA" w:rsidRDefault="00DB1C71" w:rsidP="00DB1C71">
      <w:pPr>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rsidR="00DB1C71" w:rsidRPr="009E63DA" w:rsidRDefault="00DB1C71" w:rsidP="00DB1C71">
      <w:pPr>
        <w:ind w:left="851" w:right="851"/>
        <w:jc w:val="both"/>
        <w:rPr>
          <w:rFonts w:ascii="Palatino Linotype" w:hAnsi="Palatino Linotype"/>
          <w:i/>
        </w:rPr>
      </w:pPr>
    </w:p>
    <w:p w:rsidR="00DB1C71" w:rsidRPr="009E63DA" w:rsidRDefault="00DB1C71" w:rsidP="00DB1C71">
      <w:pPr>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DB1C71" w:rsidRPr="009E63DA" w:rsidRDefault="00DB1C71" w:rsidP="00DB1C71">
      <w:pPr>
        <w:ind w:left="851" w:right="851"/>
        <w:jc w:val="both"/>
        <w:rPr>
          <w:rFonts w:ascii="Palatino Linotype" w:hAnsi="Palatino Linotype"/>
          <w:i/>
        </w:rPr>
      </w:pPr>
    </w:p>
    <w:p w:rsidR="00DB1C71" w:rsidRPr="009E63DA" w:rsidRDefault="00DB1C71" w:rsidP="00DB1C71">
      <w:pPr>
        <w:ind w:left="851" w:right="851"/>
        <w:jc w:val="both"/>
        <w:rPr>
          <w:rFonts w:ascii="Palatino Linotype" w:hAnsi="Palatino Linotype"/>
          <w:i/>
          <w:u w:val="single"/>
        </w:rPr>
      </w:pPr>
      <w:r w:rsidRPr="009E63DA">
        <w:rPr>
          <w:rFonts w:ascii="Palatino Linotype" w:hAnsi="Palatino Linotype"/>
          <w:b/>
          <w:i/>
          <w:u w:val="single"/>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w:t>
      </w:r>
      <w:r w:rsidRPr="009E63DA">
        <w:rPr>
          <w:rFonts w:ascii="Palatino Linotype" w:hAnsi="Palatino Linotype"/>
          <w:b/>
          <w:i/>
          <w:u w:val="single"/>
        </w:rPr>
        <w:lastRenderedPageBreak/>
        <w:t>solicitante; no estarán obligados a generarla, resumirla, efectuar cálculos o practicar investigaciones</w:t>
      </w:r>
      <w:r w:rsidRPr="009E63DA">
        <w:rPr>
          <w:rFonts w:ascii="Palatino Linotype" w:hAnsi="Palatino Linotype"/>
          <w:i/>
        </w:rPr>
        <w:t>.</w:t>
      </w:r>
    </w:p>
    <w:p w:rsidR="00DB1C71" w:rsidRPr="009E63DA" w:rsidRDefault="00DB1C71" w:rsidP="00DB1C71">
      <w:pPr>
        <w:jc w:val="both"/>
        <w:rPr>
          <w:rFonts w:ascii="Palatino Linotype" w:hAnsi="Palatino Linotype"/>
        </w:rPr>
      </w:pPr>
    </w:p>
    <w:p w:rsidR="00DB1C71" w:rsidRDefault="00DB1C71" w:rsidP="00DB1C71">
      <w:pPr>
        <w:spacing w:line="360" w:lineRule="auto"/>
        <w:jc w:val="both"/>
        <w:rPr>
          <w:rFonts w:ascii="Palatino Linotype" w:eastAsia="Calibri" w:hAnsi="Palatino Linotype" w:cs="Arial"/>
          <w:color w:val="000000"/>
          <w:lang w:val="es-ES_tradnl" w:eastAsia="es-MX"/>
        </w:rPr>
      </w:pPr>
    </w:p>
    <w:p w:rsidR="00DB1C71" w:rsidRDefault="00DB1C71" w:rsidP="00DB1C71">
      <w:pPr>
        <w:spacing w:line="360" w:lineRule="auto"/>
        <w:jc w:val="both"/>
        <w:rPr>
          <w:rFonts w:ascii="Palatino Linotype" w:eastAsia="Calibri" w:hAnsi="Palatino Linotype" w:cs="Arial"/>
          <w:color w:val="000000"/>
          <w:lang w:val="es-ES_tradnl" w:eastAsia="es-MX"/>
        </w:rPr>
      </w:pPr>
      <w:r w:rsidRPr="009E63DA">
        <w:rPr>
          <w:rFonts w:ascii="Palatino Linotype" w:eastAsia="Calibri" w:hAnsi="Palatino Linotype" w:cs="Arial"/>
          <w:color w:val="000000"/>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lang w:val="es-ES_tradnl" w:eastAsia="es-MX"/>
        </w:rPr>
        <w:t xml:space="preserve"> </w:t>
      </w:r>
      <w:r w:rsidRPr="009E63DA">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de generar un documento </w:t>
      </w:r>
      <w:r w:rsidRPr="009E63DA">
        <w:rPr>
          <w:rFonts w:ascii="Palatino Linotype" w:eastAsia="Calibri" w:hAnsi="Palatino Linotype" w:cs="Arial"/>
          <w:i/>
          <w:color w:val="000000"/>
          <w:lang w:val="es-ES_tradnl" w:eastAsia="es-MX"/>
        </w:rPr>
        <w:t>ad hoc</w:t>
      </w:r>
      <w:r w:rsidRPr="009E63DA">
        <w:rPr>
          <w:rFonts w:ascii="Palatino Linotype" w:eastAsia="Calibri" w:hAnsi="Palatino Linotype" w:cs="Arial"/>
          <w:color w:val="000000"/>
          <w:lang w:val="es-ES_tradnl" w:eastAsia="es-MX"/>
        </w:rPr>
        <w:t xml:space="preserve">, para satisfacer el derecho de acceso a la información </w:t>
      </w:r>
      <w:r w:rsidRPr="00DE65DA">
        <w:rPr>
          <w:rFonts w:ascii="Palatino Linotype" w:eastAsia="Calibri" w:hAnsi="Palatino Linotype" w:cs="Arial"/>
          <w:color w:val="000000"/>
          <w:lang w:val="es-ES_tradnl" w:eastAsia="es-MX"/>
        </w:rPr>
        <w:t>pública.</w:t>
      </w:r>
    </w:p>
    <w:p w:rsidR="00DC0E0E" w:rsidRPr="00DC0E0E" w:rsidRDefault="00DC0E0E" w:rsidP="00DC0E0E">
      <w:pPr>
        <w:pStyle w:val="Citas"/>
        <w:tabs>
          <w:tab w:val="left" w:pos="7470"/>
        </w:tabs>
        <w:ind w:left="0" w:right="72"/>
        <w:rPr>
          <w:bCs/>
          <w:i w:val="0"/>
          <w:sz w:val="24"/>
          <w:szCs w:val="24"/>
        </w:rPr>
      </w:pPr>
      <w:r w:rsidRPr="00DC0E0E">
        <w:rPr>
          <w:rFonts w:eastAsia="Calibri"/>
          <w:i w:val="0"/>
          <w:sz w:val="24"/>
          <w:szCs w:val="24"/>
        </w:rPr>
        <w:t xml:space="preserve">Por lo anterior, debe </w:t>
      </w:r>
      <w:r w:rsidRPr="00DC0E0E">
        <w:rPr>
          <w:bCs/>
          <w:i w:val="0"/>
          <w:sz w:val="24"/>
          <w:szCs w:val="24"/>
        </w:rPr>
        <w:t>arribarse a las siguientes consideraciones:</w:t>
      </w:r>
    </w:p>
    <w:p w:rsidR="00DC0E0E" w:rsidRPr="00DC0E0E" w:rsidRDefault="00DC0E0E" w:rsidP="00DC0E0E">
      <w:pPr>
        <w:pStyle w:val="Sinespaciado"/>
        <w:numPr>
          <w:ilvl w:val="0"/>
          <w:numId w:val="14"/>
        </w:numPr>
        <w:spacing w:line="360" w:lineRule="auto"/>
        <w:jc w:val="both"/>
        <w:rPr>
          <w:rFonts w:ascii="Palatino Linotype" w:hAnsi="Palatino Linotype"/>
          <w:sz w:val="24"/>
          <w:szCs w:val="24"/>
        </w:rPr>
      </w:pPr>
      <w:r w:rsidRPr="00DC0E0E">
        <w:rPr>
          <w:rFonts w:ascii="Palatino Linotype" w:hAnsi="Palatino Linotype"/>
          <w:sz w:val="24"/>
          <w:szCs w:val="24"/>
        </w:rPr>
        <w:t xml:space="preserve">El derecho de acceso a la información versa esencialmente en acceder a información registrada en cualquier soporte documental que en ejercicio de las atribuciones conferidas sea generada, poseída o administrada por los </w:t>
      </w:r>
      <w:r w:rsidRPr="00DC0E0E">
        <w:rPr>
          <w:rFonts w:ascii="Palatino Linotype" w:hAnsi="Palatino Linotype"/>
          <w:b/>
          <w:bCs/>
          <w:sz w:val="24"/>
          <w:szCs w:val="24"/>
        </w:rPr>
        <w:t xml:space="preserve">Sujetos Obligados. </w:t>
      </w:r>
    </w:p>
    <w:p w:rsidR="00DC0E0E" w:rsidRPr="00DC0E0E" w:rsidRDefault="00DC0E0E" w:rsidP="00DC0E0E">
      <w:pPr>
        <w:pStyle w:val="Sinespaciado"/>
        <w:numPr>
          <w:ilvl w:val="0"/>
          <w:numId w:val="14"/>
        </w:numPr>
        <w:spacing w:line="360" w:lineRule="auto"/>
        <w:jc w:val="both"/>
        <w:rPr>
          <w:rFonts w:ascii="Palatino Linotype" w:hAnsi="Palatino Linotype"/>
          <w:sz w:val="24"/>
          <w:szCs w:val="24"/>
        </w:rPr>
      </w:pPr>
      <w:r w:rsidRPr="00DC0E0E">
        <w:rPr>
          <w:rFonts w:ascii="Palatino Linotype" w:hAnsi="Palatino Linotype"/>
          <w:sz w:val="24"/>
          <w:szCs w:val="24"/>
        </w:rPr>
        <w:t xml:space="preserve">En términos del numeral 162 de la Ley de Transparencia local, las unidades de transparencia deberán de garantizar que las solicitudes de información formuladas por la ciudadanía sean turnadas a todas las áreas administrativas en razón de las facultades, competencias y funciones reservadas, porción normativa inobservada por </w:t>
      </w:r>
      <w:r w:rsidRPr="00DC0E0E">
        <w:rPr>
          <w:rFonts w:ascii="Palatino Linotype" w:hAnsi="Palatino Linotype"/>
          <w:b/>
          <w:bCs/>
          <w:sz w:val="24"/>
          <w:szCs w:val="24"/>
        </w:rPr>
        <w:t xml:space="preserve">El Sujeto Obligado. </w:t>
      </w:r>
    </w:p>
    <w:p w:rsidR="00DC0E0E" w:rsidRPr="00DC0E0E" w:rsidRDefault="00DC0E0E" w:rsidP="00DC0E0E">
      <w:pPr>
        <w:pStyle w:val="Prrafodelista"/>
        <w:numPr>
          <w:ilvl w:val="0"/>
          <w:numId w:val="14"/>
        </w:numPr>
        <w:spacing w:line="360" w:lineRule="auto"/>
        <w:jc w:val="both"/>
        <w:rPr>
          <w:rFonts w:ascii="Palatino Linotype" w:hAnsi="Palatino Linotype" w:cs="Arial"/>
        </w:rPr>
      </w:pPr>
      <w:r w:rsidRPr="00DC0E0E">
        <w:rPr>
          <w:rFonts w:ascii="Palatino Linotype" w:hAnsi="Palatino Linotype" w:cs="Arial"/>
        </w:rPr>
        <w:t xml:space="preserve">Resulta evidente para esta Ponencia que la Unidad de Transparencia del </w:t>
      </w:r>
      <w:r w:rsidRPr="00DC0E0E">
        <w:rPr>
          <w:rFonts w:ascii="Palatino Linotype" w:hAnsi="Palatino Linotype" w:cs="Arial"/>
          <w:b/>
        </w:rPr>
        <w:t>Sujeto Obligado</w:t>
      </w:r>
      <w:r w:rsidRPr="00DC0E0E">
        <w:rPr>
          <w:rFonts w:ascii="Palatino Linotype" w:hAnsi="Palatino Linotype" w:cs="Arial"/>
        </w:rPr>
        <w:t xml:space="preserve"> dejo de observar la normativa en la materia, toda vez que no dio el trámite correspondiente a la solicitud de acceso a la información, limitando el derecho de acceso a la información, del hoy </w:t>
      </w:r>
      <w:r w:rsidRPr="00DC0E0E">
        <w:rPr>
          <w:rFonts w:ascii="Palatino Linotype" w:hAnsi="Palatino Linotype" w:cs="Arial"/>
          <w:b/>
        </w:rPr>
        <w:t>Recurrente</w:t>
      </w:r>
      <w:r w:rsidRPr="00DC0E0E">
        <w:rPr>
          <w:rFonts w:ascii="Palatino Linotype" w:hAnsi="Palatino Linotype" w:cs="Arial"/>
        </w:rPr>
        <w:t>.</w:t>
      </w:r>
    </w:p>
    <w:p w:rsidR="00DC0E0E" w:rsidRPr="00DC0E0E" w:rsidRDefault="00DC0E0E" w:rsidP="0071114A">
      <w:pPr>
        <w:pStyle w:val="Prrafodelista"/>
        <w:numPr>
          <w:ilvl w:val="0"/>
          <w:numId w:val="14"/>
        </w:numPr>
        <w:spacing w:line="360" w:lineRule="auto"/>
        <w:jc w:val="both"/>
        <w:rPr>
          <w:rFonts w:ascii="Palatino Linotype" w:eastAsia="Calibri" w:hAnsi="Palatino Linotype" w:cs="Arial"/>
          <w:b/>
        </w:rPr>
      </w:pPr>
      <w:r w:rsidRPr="00DC0E0E">
        <w:rPr>
          <w:rFonts w:ascii="Palatino Linotype" w:hAnsi="Palatino Linotype"/>
        </w:rPr>
        <w:lastRenderedPageBreak/>
        <w:t xml:space="preserve">Que, de una interpretación sistemática al Organigrama del Ayuntamiento de </w:t>
      </w:r>
      <w:proofErr w:type="spellStart"/>
      <w:r>
        <w:rPr>
          <w:rFonts w:ascii="Palatino Linotype" w:hAnsi="Palatino Linotype"/>
        </w:rPr>
        <w:t>Mexicaltzingo</w:t>
      </w:r>
      <w:proofErr w:type="spellEnd"/>
      <w:r w:rsidRPr="00DC0E0E">
        <w:rPr>
          <w:rFonts w:ascii="Palatino Linotype" w:hAnsi="Palatino Linotype"/>
        </w:rPr>
        <w:t xml:space="preserve">, se advierte que </w:t>
      </w:r>
      <w:r>
        <w:rPr>
          <w:rFonts w:ascii="Palatino Linotype" w:hAnsi="Palatino Linotype"/>
        </w:rPr>
        <w:t>la</w:t>
      </w:r>
      <w:r w:rsidR="0071114A">
        <w:rPr>
          <w:rFonts w:ascii="Palatino Linotype" w:hAnsi="Palatino Linotype"/>
        </w:rPr>
        <w:t xml:space="preserve"> Contraloría Interna Municipal, </w:t>
      </w:r>
      <w:r>
        <w:rPr>
          <w:rFonts w:ascii="Palatino Linotype" w:hAnsi="Palatino Linotype"/>
        </w:rPr>
        <w:t>la Defensoría Municipal de Derechos Humanos</w:t>
      </w:r>
      <w:r w:rsidRPr="00DC0E0E">
        <w:rPr>
          <w:rFonts w:ascii="Palatino Linotype" w:hAnsi="Palatino Linotype"/>
        </w:rPr>
        <w:t xml:space="preserve"> </w:t>
      </w:r>
      <w:r w:rsidR="0071114A">
        <w:rPr>
          <w:rFonts w:ascii="Palatino Linotype" w:hAnsi="Palatino Linotype"/>
        </w:rPr>
        <w:t xml:space="preserve">y la </w:t>
      </w:r>
      <w:r w:rsidR="0071114A" w:rsidRPr="0071114A">
        <w:rPr>
          <w:rFonts w:ascii="Palatino Linotype" w:hAnsi="Palatino Linotype"/>
        </w:rPr>
        <w:t>Dirección de Ecología y Medio Ambiente, Desarrollo Agropecuario, R</w:t>
      </w:r>
      <w:r w:rsidR="0071114A">
        <w:rPr>
          <w:rFonts w:ascii="Palatino Linotype" w:hAnsi="Palatino Linotype"/>
        </w:rPr>
        <w:t xml:space="preserve">ural, Empleo y Turístico, </w:t>
      </w:r>
      <w:r w:rsidRPr="00DC0E0E">
        <w:rPr>
          <w:rFonts w:ascii="Palatino Linotype" w:hAnsi="Palatino Linotype"/>
        </w:rPr>
        <w:t>resulta</w:t>
      </w:r>
      <w:r>
        <w:rPr>
          <w:rFonts w:ascii="Palatino Linotype" w:hAnsi="Palatino Linotype"/>
        </w:rPr>
        <w:t>n</w:t>
      </w:r>
      <w:r w:rsidRPr="00DC0E0E">
        <w:rPr>
          <w:rFonts w:ascii="Palatino Linotype" w:hAnsi="Palatino Linotype"/>
        </w:rPr>
        <w:t xml:space="preserve"> competente</w:t>
      </w:r>
      <w:r>
        <w:rPr>
          <w:rFonts w:ascii="Palatino Linotype" w:hAnsi="Palatino Linotype"/>
        </w:rPr>
        <w:t>s</w:t>
      </w:r>
      <w:r w:rsidRPr="00DC0E0E">
        <w:rPr>
          <w:rFonts w:ascii="Palatino Linotype" w:hAnsi="Palatino Linotype"/>
        </w:rPr>
        <w:t xml:space="preserve"> para conocer y atender la solicitud de información número </w:t>
      </w:r>
      <w:r w:rsidRPr="00DC0E0E">
        <w:rPr>
          <w:rFonts w:ascii="Palatino Linotype" w:hAnsi="Palatino Linotype"/>
          <w:b/>
        </w:rPr>
        <w:t>00196/MEXICAL/IP/2024.</w:t>
      </w:r>
    </w:p>
    <w:p w:rsidR="00DC0E0E" w:rsidRPr="00DC0E0E" w:rsidRDefault="00DC0E0E" w:rsidP="00DB1C71">
      <w:pPr>
        <w:spacing w:line="360" w:lineRule="auto"/>
        <w:jc w:val="both"/>
        <w:rPr>
          <w:rFonts w:ascii="Palatino Linotype" w:eastAsia="Calibri" w:hAnsi="Palatino Linotype" w:cs="Arial"/>
          <w:color w:val="000000"/>
          <w:lang w:val="es-ES_tradnl" w:eastAsia="es-MX"/>
        </w:rPr>
      </w:pPr>
    </w:p>
    <w:p w:rsidR="00DB1C71" w:rsidRDefault="00DB1C71" w:rsidP="00DB1C71">
      <w:pPr>
        <w:tabs>
          <w:tab w:val="left" w:pos="2130"/>
        </w:tabs>
        <w:spacing w:line="360" w:lineRule="auto"/>
        <w:jc w:val="both"/>
        <w:rPr>
          <w:rFonts w:ascii="Palatino Linotype" w:eastAsia="Calibri" w:hAnsi="Palatino Linotype" w:cs="Tahoma"/>
          <w:bCs/>
        </w:rPr>
      </w:pPr>
    </w:p>
    <w:p w:rsidR="00DB1C71" w:rsidRPr="007C7D03" w:rsidRDefault="00DB1C71" w:rsidP="00DB1C71">
      <w:pPr>
        <w:spacing w:line="360" w:lineRule="auto"/>
        <w:jc w:val="both"/>
        <w:rPr>
          <w:rFonts w:ascii="Palatino Linotype" w:hAnsi="Palatino Linotype" w:cs="Palatino Linotype"/>
          <w:b/>
          <w:i/>
          <w:color w:val="000000"/>
          <w:sz w:val="28"/>
        </w:rPr>
      </w:pPr>
      <w:r w:rsidRPr="007C7D03">
        <w:rPr>
          <w:rFonts w:ascii="Palatino Linotype" w:hAnsi="Palatino Linotype" w:cs="Palatino Linotype"/>
          <w:b/>
          <w:i/>
          <w:color w:val="000000"/>
          <w:sz w:val="28"/>
        </w:rPr>
        <w:t xml:space="preserve">De la Versión Pública </w:t>
      </w:r>
    </w:p>
    <w:p w:rsidR="00DB1C71" w:rsidRPr="00F54FF7" w:rsidRDefault="00DB1C71" w:rsidP="00DB1C71">
      <w:pPr>
        <w:tabs>
          <w:tab w:val="left" w:pos="7938"/>
        </w:tabs>
        <w:spacing w:before="240" w:after="240" w:line="360" w:lineRule="auto"/>
        <w:jc w:val="both"/>
        <w:rPr>
          <w:rFonts w:ascii="Palatino Linotype" w:eastAsia="Arial Unicode MS" w:hAnsi="Palatino Linotype" w:cs="Arial"/>
          <w:lang w:val="es-ES_tradnl" w:eastAsia="es-MX"/>
        </w:rPr>
      </w:pPr>
      <w:r w:rsidRPr="00F54FF7">
        <w:rPr>
          <w:rFonts w:ascii="Palatino Linotype" w:eastAsia="Arial Unicode MS" w:hAnsi="Palatino Linotype" w:cs="Arial"/>
          <w:lang w:val="es-ES_tradnl" w:eastAsia="es-MX"/>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DB1C71" w:rsidRPr="00F54FF7" w:rsidRDefault="00DB1C71" w:rsidP="00DB1C71">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“Artículo 3. Para los efectos de la presente Ley se entenderá por:</w:t>
      </w:r>
    </w:p>
    <w:p w:rsidR="00DB1C71" w:rsidRPr="00F54FF7" w:rsidRDefault="00DB1C71" w:rsidP="00DB1C71">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w:t>
      </w:r>
    </w:p>
    <w:p w:rsidR="00DB1C71" w:rsidRPr="00F54FF7" w:rsidRDefault="00DB1C71" w:rsidP="00DB1C71">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u w:val="single"/>
          <w:lang w:val="es-ES_tradnl" w:eastAsia="es-MX"/>
        </w:rPr>
        <w:t>IX. Datos personales:</w:t>
      </w:r>
      <w:r w:rsidRPr="00F54FF7">
        <w:rPr>
          <w:rFonts w:ascii="Palatino Linotype" w:eastAsia="Calibri" w:hAnsi="Palatino Linotype" w:cs="Arial"/>
          <w:b/>
          <w:i/>
          <w:lang w:val="es-ES_tradnl" w:eastAsia="es-MX"/>
        </w:rPr>
        <w:t xml:space="preserve"> </w:t>
      </w:r>
      <w:r w:rsidRPr="00F54FF7">
        <w:rPr>
          <w:rFonts w:ascii="Palatino Linotype" w:eastAsia="Calibri" w:hAnsi="Palatino Linotype" w:cs="Arial"/>
          <w:i/>
          <w:lang w:val="es-ES_tradnl" w:eastAsia="es-MX"/>
        </w:rPr>
        <w:t>La información concerniente a una persona, identificada o identificable según lo dispuesto por la Ley de Protección de Datos Personales del Estado de México;</w:t>
      </w:r>
    </w:p>
    <w:p w:rsidR="00DB1C71" w:rsidRPr="00F54FF7" w:rsidRDefault="00DB1C71" w:rsidP="00DB1C71">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lang w:val="es-ES_tradnl" w:eastAsia="es-MX"/>
        </w:rPr>
        <w:lastRenderedPageBreak/>
        <w:t>(…)</w:t>
      </w:r>
    </w:p>
    <w:p w:rsidR="00DB1C71" w:rsidRPr="00F54FF7" w:rsidRDefault="00DB1C71" w:rsidP="00DB1C71">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u w:val="single"/>
          <w:lang w:val="es-ES_tradnl" w:eastAsia="es-MX"/>
        </w:rPr>
        <w:t>XLV. Versión pública:</w:t>
      </w:r>
      <w:r w:rsidRPr="00F54FF7">
        <w:rPr>
          <w:rFonts w:ascii="Palatino Linotype" w:eastAsia="Calibri" w:hAnsi="Palatino Linotype" w:cs="Arial"/>
          <w:b/>
          <w:i/>
          <w:lang w:val="es-ES_tradnl" w:eastAsia="es-MX"/>
        </w:rPr>
        <w:t xml:space="preserve"> </w:t>
      </w:r>
      <w:r w:rsidRPr="00F54FF7">
        <w:rPr>
          <w:rFonts w:ascii="Palatino Linotype" w:eastAsia="Calibri" w:hAnsi="Palatino Linotype" w:cs="Arial"/>
          <w:i/>
          <w:lang w:val="es-ES_tradnl" w:eastAsia="es-MX"/>
        </w:rPr>
        <w:t>Documento en el que se elimine, suprime o borra la información clasificada como reservada o confidencial para permitir su acceso.</w:t>
      </w:r>
    </w:p>
    <w:p w:rsidR="00DB1C71" w:rsidRPr="00F54FF7" w:rsidRDefault="00DB1C71" w:rsidP="00DB1C71">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i/>
          <w:lang w:val="es-ES_tradnl" w:eastAsia="es-MX"/>
        </w:rPr>
        <w:t xml:space="preserve">Artículo 122. </w:t>
      </w:r>
      <w:r w:rsidRPr="00F54FF7">
        <w:rPr>
          <w:rFonts w:ascii="Palatino Linotype" w:eastAsia="Calibri" w:hAnsi="Palatino Linotype" w:cs="Arial"/>
          <w:b/>
          <w:i/>
          <w:u w:val="single"/>
          <w:lang w:val="es-ES_tradnl" w:eastAsia="es-MX"/>
        </w:rPr>
        <w:t xml:space="preserve">La clasificación es el proceso mediante el cual el sujeto obligado determina que la información en su poder </w:t>
      </w:r>
      <w:proofErr w:type="spellStart"/>
      <w:r w:rsidRPr="00F54FF7">
        <w:rPr>
          <w:rFonts w:ascii="Palatino Linotype" w:eastAsia="Calibri" w:hAnsi="Palatino Linotype" w:cs="Arial"/>
          <w:b/>
          <w:i/>
          <w:u w:val="single"/>
          <w:lang w:val="es-ES_tradnl" w:eastAsia="es-MX"/>
        </w:rPr>
        <w:t>actualiza</w:t>
      </w:r>
      <w:proofErr w:type="spellEnd"/>
      <w:r w:rsidRPr="00F54FF7">
        <w:rPr>
          <w:rFonts w:ascii="Palatino Linotype" w:eastAsia="Calibri" w:hAnsi="Palatino Linotype" w:cs="Arial"/>
          <w:b/>
          <w:i/>
          <w:u w:val="single"/>
          <w:lang w:val="es-ES_tradnl" w:eastAsia="es-MX"/>
        </w:rPr>
        <w:t xml:space="preserve"> alguno de los supuestos de reserva o confidencialidad, de conformidad con lo dispuesto en el presente título.</w:t>
      </w:r>
    </w:p>
    <w:p w:rsidR="00DB1C71" w:rsidRPr="00F54FF7" w:rsidRDefault="00DB1C71" w:rsidP="00DB1C71">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w:t>
      </w:r>
    </w:p>
    <w:p w:rsidR="00DB1C71" w:rsidRPr="00F54FF7" w:rsidRDefault="00DB1C71" w:rsidP="00DB1C71">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Artículo 132. La clasificación de la información se llevará a cabo en el momento en que:</w:t>
      </w:r>
    </w:p>
    <w:p w:rsidR="00DB1C71" w:rsidRPr="00F54FF7" w:rsidRDefault="00DB1C71" w:rsidP="00DB1C71">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w:t>
      </w:r>
    </w:p>
    <w:p w:rsidR="00DB1C71" w:rsidRPr="00F54FF7" w:rsidRDefault="00DB1C71" w:rsidP="00DB1C71">
      <w:pPr>
        <w:spacing w:before="240" w:line="360" w:lineRule="auto"/>
        <w:ind w:left="851" w:right="851"/>
        <w:jc w:val="both"/>
        <w:rPr>
          <w:rFonts w:ascii="Palatino Linotype" w:eastAsia="Calibri" w:hAnsi="Palatino Linotype" w:cs="Arial"/>
          <w:b/>
          <w:i/>
          <w:u w:val="single"/>
          <w:lang w:val="es-ES_tradnl" w:eastAsia="es-MX"/>
        </w:rPr>
      </w:pPr>
      <w:r w:rsidRPr="00F54FF7">
        <w:rPr>
          <w:rFonts w:ascii="Palatino Linotype" w:eastAsia="Calibri" w:hAnsi="Palatino Linotype" w:cs="Arial"/>
          <w:b/>
          <w:i/>
          <w:u w:val="single"/>
          <w:lang w:val="es-ES_tradnl" w:eastAsia="es-MX"/>
        </w:rPr>
        <w:t>II. Se determine mediante resolución de autoridad competente; o</w:t>
      </w:r>
    </w:p>
    <w:p w:rsidR="00DB1C71" w:rsidRPr="00F54FF7" w:rsidRDefault="00DB1C71" w:rsidP="00DB1C71">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lang w:val="es-ES_tradnl" w:eastAsia="es-MX"/>
        </w:rPr>
        <w:t>(…)</w:t>
      </w:r>
    </w:p>
    <w:p w:rsidR="00DB1C71" w:rsidRPr="00F54FF7" w:rsidRDefault="00DB1C71" w:rsidP="00DB1C71">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i/>
          <w:lang w:val="es-ES_tradnl"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F54FF7">
        <w:rPr>
          <w:rFonts w:ascii="Palatino Linotype" w:eastAsia="Calibri" w:hAnsi="Palatino Linotype" w:cs="Arial"/>
          <w:b/>
          <w:i/>
          <w:lang w:val="es-ES_tradnl" w:eastAsia="es-MX"/>
        </w:rPr>
        <w:t xml:space="preserve"> </w:t>
      </w:r>
      <w:r w:rsidRPr="00F54FF7">
        <w:rPr>
          <w:rFonts w:ascii="Palatino Linotype" w:eastAsia="Calibri" w:hAnsi="Palatino Linotype" w:cs="Arial"/>
          <w:b/>
          <w:i/>
          <w:u w:val="single"/>
          <w:lang w:val="es-ES_tradnl" w:eastAsia="es-MX"/>
        </w:rPr>
        <w:t xml:space="preserve">de manera genérica y fundando y motivando su clasificación.” </w:t>
      </w:r>
      <w:r w:rsidRPr="00F54FF7">
        <w:rPr>
          <w:rFonts w:ascii="Palatino Linotype" w:eastAsia="Calibri" w:hAnsi="Palatino Linotype" w:cs="Arial"/>
          <w:b/>
          <w:i/>
          <w:lang w:val="es-ES_tradnl" w:eastAsia="es-MX"/>
        </w:rPr>
        <w:t>[Sic]</w:t>
      </w:r>
    </w:p>
    <w:p w:rsidR="00DB1C71" w:rsidRPr="00F54FF7" w:rsidRDefault="00DB1C71" w:rsidP="00DB1C71">
      <w:pPr>
        <w:spacing w:line="360" w:lineRule="auto"/>
        <w:ind w:right="51"/>
        <w:jc w:val="both"/>
        <w:rPr>
          <w:rFonts w:ascii="Palatino Linotype" w:eastAsia="Arial Unicode MS" w:hAnsi="Palatino Linotype" w:cs="Arial"/>
          <w:lang w:val="es-ES_tradnl" w:eastAsia="es-MX"/>
        </w:rPr>
      </w:pPr>
    </w:p>
    <w:p w:rsidR="00DB1C71" w:rsidRDefault="00DB1C71" w:rsidP="00DB1C71">
      <w:pPr>
        <w:spacing w:line="360" w:lineRule="auto"/>
        <w:ind w:right="51"/>
        <w:jc w:val="both"/>
        <w:rPr>
          <w:rFonts w:ascii="Palatino Linotype" w:eastAsia="Arial Unicode MS" w:hAnsi="Palatino Linotype" w:cs="Arial"/>
          <w:lang w:val="es-ES_tradnl" w:eastAsia="es-MX"/>
        </w:rPr>
      </w:pPr>
      <w:r w:rsidRPr="00F54FF7">
        <w:rPr>
          <w:rFonts w:ascii="Palatino Linotype" w:eastAsia="Calibri" w:hAnsi="Palatino Linotype" w:cs="Arial"/>
          <w:lang w:val="es-ES_tradnl" w:eastAsia="es-MX"/>
        </w:rPr>
        <w:lastRenderedPageBreak/>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F54FF7">
        <w:rPr>
          <w:rFonts w:ascii="Palatino Linotype" w:eastAsia="Calibri" w:hAnsi="Palatino Linotype" w:cs="Arial"/>
          <w:b/>
          <w:lang w:val="es-ES_tradnl" w:eastAsia="es-MX"/>
        </w:rPr>
        <w:t>LINEAMIENTOS GENERALES EN MATERIA DE CLASIFICACIÓN Y DESCLASIFICACIÓN DE LA INFORMACIÓN, ASÍ COMO PARA LA ELABORACIÓN DE VERSIONES PÚBLICAS,</w:t>
      </w:r>
      <w:r w:rsidRPr="00F54FF7">
        <w:rPr>
          <w:rFonts w:ascii="Palatino Linotype" w:eastAsia="Calibri" w:hAnsi="Palatino Linotype" w:cs="Arial"/>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rsidR="00DB1C71" w:rsidRPr="009A71E1" w:rsidRDefault="00DB1C71" w:rsidP="00DB1C71">
      <w:pPr>
        <w:spacing w:line="360" w:lineRule="auto"/>
        <w:jc w:val="both"/>
        <w:rPr>
          <w:rFonts w:ascii="Palatino Linotype" w:eastAsiaTheme="minorHAnsi" w:hAnsi="Palatino Linotype" w:cstheme="minorBidi"/>
          <w:lang w:val="es-MX" w:eastAsia="en-US"/>
        </w:rPr>
      </w:pPr>
    </w:p>
    <w:p w:rsidR="00DB1C71" w:rsidRDefault="00DB1C71" w:rsidP="00DB1C71">
      <w:pPr>
        <w:spacing w:line="360" w:lineRule="auto"/>
        <w:jc w:val="both"/>
        <w:rPr>
          <w:rFonts w:ascii="Palatino Linotype" w:hAnsi="Palatino Linotype"/>
          <w:lang w:val="es-MX"/>
        </w:rPr>
      </w:pPr>
      <w:r w:rsidRPr="009A71E1">
        <w:rPr>
          <w:rFonts w:ascii="Palatino Linotype" w:hAnsi="Palatino Linotype"/>
          <w:lang w:val="es-MX"/>
        </w:rPr>
        <w:t>Por lo antes expuesto y fundado es de resolverse y,</w:t>
      </w:r>
    </w:p>
    <w:p w:rsidR="00DB1C71" w:rsidRDefault="00DB1C71" w:rsidP="00DB1C71">
      <w:pPr>
        <w:spacing w:line="360" w:lineRule="auto"/>
        <w:jc w:val="both"/>
        <w:rPr>
          <w:rFonts w:ascii="Palatino Linotype" w:hAnsi="Palatino Linotype"/>
          <w:lang w:val="es-MX"/>
        </w:rPr>
      </w:pPr>
    </w:p>
    <w:p w:rsidR="00DB1C71" w:rsidRPr="009A71E1" w:rsidRDefault="00DB1C71" w:rsidP="00DB1C71">
      <w:pPr>
        <w:spacing w:line="360" w:lineRule="auto"/>
        <w:jc w:val="both"/>
        <w:rPr>
          <w:rFonts w:ascii="Palatino Linotype" w:hAnsi="Palatino Linotype"/>
          <w:lang w:val="es-MX"/>
        </w:rPr>
      </w:pPr>
    </w:p>
    <w:p w:rsidR="00DB1C71" w:rsidRPr="009A71E1" w:rsidRDefault="00DB1C71" w:rsidP="00DB1C71">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t>SE    RESUELVE</w:t>
      </w:r>
    </w:p>
    <w:p w:rsidR="00DB1C71" w:rsidRDefault="00DB1C71" w:rsidP="00DB1C71">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rsidR="00DB1C71" w:rsidRPr="00165D42" w:rsidRDefault="00DB1C71" w:rsidP="00DB1C71">
      <w:pPr>
        <w:spacing w:line="360" w:lineRule="auto"/>
        <w:jc w:val="both"/>
        <w:rPr>
          <w:rFonts w:ascii="Palatino Linotype" w:hAnsi="Palatino Linotype" w:cs="Arial"/>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rPr>
        <w:t xml:space="preserve"> </w:t>
      </w:r>
      <w:r w:rsidRPr="00165D42">
        <w:rPr>
          <w:rFonts w:ascii="Palatino Linotype" w:hAnsi="Palatino Linotype" w:cs="Arial"/>
        </w:rPr>
        <w:t>Se</w:t>
      </w:r>
      <w:r w:rsidRPr="00165D42">
        <w:rPr>
          <w:rFonts w:ascii="Palatino Linotype" w:hAnsi="Palatino Linotype" w:cs="Arial"/>
          <w:b/>
        </w:rPr>
        <w:t xml:space="preserve"> </w:t>
      </w:r>
      <w:r>
        <w:rPr>
          <w:rFonts w:ascii="Palatino Linotype" w:hAnsi="Palatino Linotype" w:cs="Arial"/>
          <w:b/>
        </w:rPr>
        <w:t>REVO</w:t>
      </w:r>
      <w:r w:rsidRPr="00165D42">
        <w:rPr>
          <w:rFonts w:ascii="Palatino Linotype" w:hAnsi="Palatino Linotype" w:cs="Arial"/>
          <w:b/>
        </w:rPr>
        <w:t xml:space="preserve">CA </w:t>
      </w:r>
      <w:r w:rsidRPr="00165D42">
        <w:rPr>
          <w:rFonts w:ascii="Palatino Linotype" w:hAnsi="Palatino Linotype" w:cs="Arial"/>
        </w:rPr>
        <w:t xml:space="preserve">la respuesta del </w:t>
      </w:r>
      <w:r w:rsidRPr="00165D42">
        <w:rPr>
          <w:rFonts w:ascii="Palatino Linotype" w:hAnsi="Palatino Linotype" w:cs="Arial"/>
          <w:b/>
        </w:rPr>
        <w:t>Sujeto Obligado</w:t>
      </w:r>
      <w:r w:rsidRPr="00165D42">
        <w:rPr>
          <w:rFonts w:ascii="Palatino Linotype" w:hAnsi="Palatino Linotype" w:cs="Arial"/>
        </w:rPr>
        <w:t xml:space="preserve"> a la solicitud de acceso a la información pública</w:t>
      </w:r>
      <w:r>
        <w:rPr>
          <w:rFonts w:ascii="Palatino Linotype" w:hAnsi="Palatino Linotype" w:cs="Arial"/>
          <w:b/>
        </w:rPr>
        <w:t xml:space="preserve"> </w:t>
      </w:r>
      <w:r>
        <w:rPr>
          <w:rFonts w:ascii="Palatino Linotype" w:hAnsi="Palatino Linotype"/>
          <w:b/>
          <w:bCs/>
        </w:rPr>
        <w:t>00196/MEXICAL/IP/2024</w:t>
      </w:r>
      <w:r w:rsidRPr="00165D42">
        <w:rPr>
          <w:rFonts w:ascii="Palatino Linotype" w:hAnsi="Palatino Linotype" w:cs="Arial"/>
        </w:rPr>
        <w:t>,</w:t>
      </w:r>
      <w:r w:rsidRPr="00165D42">
        <w:rPr>
          <w:rFonts w:ascii="Palatino Linotype" w:hAnsi="Palatino Linotype" w:cs="Tahoma"/>
          <w:b/>
        </w:rPr>
        <w:t xml:space="preserve"> </w:t>
      </w:r>
      <w:r w:rsidRPr="00165D42">
        <w:rPr>
          <w:rFonts w:ascii="Palatino Linotype" w:hAnsi="Palatino Linotype" w:cs="Arial"/>
        </w:rPr>
        <w:t>por resultar</w:t>
      </w:r>
      <w:r>
        <w:rPr>
          <w:rFonts w:ascii="Palatino Linotype" w:hAnsi="Palatino Linotype" w:cs="Arial"/>
        </w:rPr>
        <w:t xml:space="preserve"> fundados</w:t>
      </w:r>
      <w:r w:rsidRPr="00165D42">
        <w:rPr>
          <w:rFonts w:ascii="Palatino Linotype" w:hAnsi="Palatino Linotype" w:cs="Arial"/>
          <w:b/>
        </w:rPr>
        <w:t xml:space="preserve"> </w:t>
      </w:r>
      <w:r w:rsidRPr="00165D42">
        <w:rPr>
          <w:rFonts w:ascii="Palatino Linotype" w:hAnsi="Palatino Linotype" w:cs="Arial"/>
        </w:rPr>
        <w:t>los motivos de inconformidad vertidos por la</w:t>
      </w:r>
      <w:r>
        <w:rPr>
          <w:rFonts w:ascii="Palatino Linotype" w:hAnsi="Palatino Linotype" w:cs="Arial"/>
        </w:rPr>
        <w:t xml:space="preserve"> parte</w:t>
      </w:r>
      <w:r w:rsidRPr="00165D42">
        <w:rPr>
          <w:rFonts w:ascii="Palatino Linotype" w:hAnsi="Palatino Linotype" w:cs="Arial"/>
        </w:rPr>
        <w:t xml:space="preserve"> </w:t>
      </w:r>
      <w:r w:rsidRPr="00165D42">
        <w:rPr>
          <w:rFonts w:ascii="Palatino Linotype" w:hAnsi="Palatino Linotype" w:cs="Arial"/>
          <w:b/>
        </w:rPr>
        <w:t>Recurrente</w:t>
      </w:r>
      <w:r>
        <w:rPr>
          <w:rFonts w:ascii="Palatino Linotype" w:hAnsi="Palatino Linotype" w:cs="Arial"/>
        </w:rPr>
        <w:t>, en términos del considerando</w:t>
      </w:r>
      <w:r w:rsidRPr="00165D42">
        <w:rPr>
          <w:rFonts w:ascii="Palatino Linotype" w:hAnsi="Palatino Linotype" w:cs="Arial"/>
          <w:b/>
        </w:rPr>
        <w:t xml:space="preserve"> CUARTO </w:t>
      </w:r>
      <w:r w:rsidRPr="00165D42">
        <w:rPr>
          <w:rFonts w:ascii="Palatino Linotype" w:hAnsi="Palatino Linotype" w:cs="Arial"/>
        </w:rPr>
        <w:t>de la presente Resolución.</w:t>
      </w:r>
    </w:p>
    <w:p w:rsidR="00DB1C71" w:rsidRPr="00165D42" w:rsidRDefault="00DB1C71" w:rsidP="00DB1C71">
      <w:pPr>
        <w:spacing w:line="360" w:lineRule="auto"/>
        <w:jc w:val="both"/>
        <w:rPr>
          <w:rFonts w:ascii="Palatino Linotype" w:hAnsi="Palatino Linotype" w:cs="Arial"/>
        </w:rPr>
      </w:pPr>
    </w:p>
    <w:p w:rsidR="00DB1C71" w:rsidRDefault="00DB1C71" w:rsidP="00DB1C71">
      <w:pPr>
        <w:spacing w:line="360" w:lineRule="auto"/>
        <w:jc w:val="both"/>
        <w:rPr>
          <w:rFonts w:ascii="Palatino Linotype" w:hAnsi="Palatino Linotype" w:cs="Tahoma"/>
        </w:rPr>
      </w:pPr>
      <w:r w:rsidRPr="00165D42">
        <w:rPr>
          <w:rFonts w:ascii="Palatino Linotype" w:hAnsi="Palatino Linotype" w:cs="Arial"/>
          <w:b/>
          <w:sz w:val="28"/>
        </w:rPr>
        <w:t>SEGUNDO</w:t>
      </w:r>
      <w:r w:rsidRPr="00165D42">
        <w:rPr>
          <w:rFonts w:ascii="Palatino Linotype" w:hAnsi="Palatino Linotype" w:cs="Arial"/>
          <w:b/>
        </w:rPr>
        <w:t>.</w:t>
      </w:r>
      <w:r w:rsidRPr="00165D42">
        <w:rPr>
          <w:rFonts w:ascii="Palatino Linotype" w:hAnsi="Palatino Linotype" w:cs="Tahoma"/>
        </w:rPr>
        <w:t xml:space="preserve"> Se </w:t>
      </w:r>
      <w:r w:rsidRPr="00165D42">
        <w:rPr>
          <w:rFonts w:ascii="Palatino Linotype" w:hAnsi="Palatino Linotype" w:cs="Tahoma"/>
          <w:b/>
        </w:rPr>
        <w:t>ORDENA</w:t>
      </w:r>
      <w:r w:rsidRPr="00165D42">
        <w:rPr>
          <w:rFonts w:ascii="Palatino Linotype" w:hAnsi="Palatino Linotype" w:cs="Tahoma"/>
        </w:rPr>
        <w:t xml:space="preserve"> al </w:t>
      </w:r>
      <w:r w:rsidRPr="00165D42">
        <w:rPr>
          <w:rFonts w:ascii="Palatino Linotype" w:hAnsi="Palatino Linotype" w:cs="Tahoma"/>
          <w:b/>
        </w:rPr>
        <w:t>Sujeto Obligado,</w:t>
      </w:r>
      <w:r w:rsidRPr="00165D42">
        <w:rPr>
          <w:rFonts w:ascii="Palatino Linotype" w:hAnsi="Palatino Linotype" w:cs="Tahoma"/>
        </w:rPr>
        <w:t xml:space="preserve"> </w:t>
      </w:r>
      <w:r>
        <w:rPr>
          <w:rFonts w:ascii="Palatino Linotype" w:hAnsi="Palatino Linotype" w:cs="Tahoma"/>
        </w:rPr>
        <w:t>haga entrega a la parte</w:t>
      </w:r>
      <w:r w:rsidRPr="00165D42">
        <w:rPr>
          <w:rFonts w:ascii="Palatino Linotype" w:hAnsi="Palatino Linotype" w:cs="Tahoma"/>
        </w:rPr>
        <w:t xml:space="preserve"> </w:t>
      </w:r>
      <w:r w:rsidRPr="00165D42">
        <w:rPr>
          <w:rFonts w:ascii="Palatino Linotype" w:hAnsi="Palatino Linotype" w:cs="Tahoma"/>
          <w:b/>
        </w:rPr>
        <w:t>Recurrente</w:t>
      </w:r>
      <w:r w:rsidRPr="00165D42">
        <w:rPr>
          <w:rFonts w:ascii="Palatino Linotype" w:hAnsi="Palatino Linotype" w:cs="Tahoma"/>
        </w:rPr>
        <w:t xml:space="preserve">, </w:t>
      </w:r>
      <w:r>
        <w:rPr>
          <w:rFonts w:ascii="Palatino Linotype" w:hAnsi="Palatino Linotype" w:cs="Tahoma"/>
        </w:rPr>
        <w:t xml:space="preserve">previa búsqueda exhaustiva y razonable, </w:t>
      </w:r>
      <w:r w:rsidRPr="00165D42">
        <w:rPr>
          <w:rFonts w:ascii="Palatino Linotype" w:hAnsi="Palatino Linotype" w:cs="Tahoma"/>
        </w:rPr>
        <w:t xml:space="preserve">a través del Sistema de Acceso a la </w:t>
      </w:r>
      <w:r w:rsidRPr="00165D42">
        <w:rPr>
          <w:rFonts w:ascii="Palatino Linotype" w:hAnsi="Palatino Linotype" w:cs="Tahoma"/>
        </w:rPr>
        <w:lastRenderedPageBreak/>
        <w:t>Información Mexiquense (</w:t>
      </w:r>
      <w:r w:rsidRPr="00165D42">
        <w:rPr>
          <w:rFonts w:ascii="Palatino Linotype" w:hAnsi="Palatino Linotype" w:cs="Tahoma"/>
          <w:b/>
        </w:rPr>
        <w:t>SAIMEX</w:t>
      </w:r>
      <w:r w:rsidRPr="00165D42">
        <w:rPr>
          <w:rFonts w:ascii="Palatino Linotype" w:hAnsi="Palatino Linotype" w:cs="Tahoma"/>
        </w:rPr>
        <w:t xml:space="preserve">), </w:t>
      </w:r>
      <w:r>
        <w:rPr>
          <w:rFonts w:ascii="Palatino Linotype" w:hAnsi="Palatino Linotype" w:cs="Tahoma"/>
        </w:rPr>
        <w:t xml:space="preserve">en versión pública de ser procedente, de </w:t>
      </w:r>
      <w:r w:rsidRPr="00165D42">
        <w:rPr>
          <w:rFonts w:ascii="Palatino Linotype" w:hAnsi="Palatino Linotype" w:cs="Tahoma"/>
        </w:rPr>
        <w:t>lo siguiente:</w:t>
      </w:r>
    </w:p>
    <w:p w:rsidR="00DB1C71" w:rsidRPr="008735FA" w:rsidRDefault="00DB1C71" w:rsidP="00DB1C71">
      <w:pPr>
        <w:pStyle w:val="Prrafodelista"/>
        <w:tabs>
          <w:tab w:val="left" w:pos="1828"/>
        </w:tabs>
        <w:spacing w:line="360" w:lineRule="auto"/>
        <w:ind w:left="720"/>
        <w:jc w:val="both"/>
        <w:rPr>
          <w:rFonts w:ascii="Palatino Linotype" w:hAnsi="Palatino Linotype" w:cs="Tahoma"/>
          <w:bCs/>
        </w:rPr>
      </w:pPr>
    </w:p>
    <w:p w:rsidR="00DB1C71" w:rsidRPr="001D1808" w:rsidRDefault="00DB1C71" w:rsidP="00D9207C">
      <w:pPr>
        <w:pStyle w:val="INFOEM"/>
        <w:numPr>
          <w:ilvl w:val="0"/>
          <w:numId w:val="6"/>
        </w:numPr>
        <w:spacing w:before="0" w:after="0"/>
        <w:ind w:left="567" w:right="567"/>
        <w:rPr>
          <w:i w:val="0"/>
          <w:sz w:val="28"/>
          <w:szCs w:val="24"/>
        </w:rPr>
      </w:pPr>
      <w:r>
        <w:rPr>
          <w:rFonts w:cs="Tahoma"/>
          <w:bCs/>
          <w:i w:val="0"/>
          <w:sz w:val="24"/>
        </w:rPr>
        <w:t xml:space="preserve">Documentos donde consten </w:t>
      </w:r>
      <w:r w:rsidR="00733227">
        <w:rPr>
          <w:rFonts w:cs="Tahoma"/>
          <w:bCs/>
          <w:i w:val="0"/>
          <w:sz w:val="24"/>
        </w:rPr>
        <w:t>el número de quejas recibidas en la Contraloría Interna Municipal</w:t>
      </w:r>
      <w:r w:rsidR="00D9207C">
        <w:rPr>
          <w:rFonts w:cs="Tahoma"/>
          <w:bCs/>
          <w:i w:val="0"/>
          <w:sz w:val="24"/>
        </w:rPr>
        <w:t xml:space="preserve">, </w:t>
      </w:r>
      <w:r w:rsidR="00733227">
        <w:rPr>
          <w:rFonts w:cs="Tahoma"/>
          <w:bCs/>
          <w:i w:val="0"/>
          <w:sz w:val="24"/>
        </w:rPr>
        <w:t>Defensoría Municipal de Derechos Humanos</w:t>
      </w:r>
      <w:r w:rsidR="00D9207C">
        <w:rPr>
          <w:rFonts w:cs="Tahoma"/>
          <w:bCs/>
          <w:i w:val="0"/>
          <w:sz w:val="24"/>
        </w:rPr>
        <w:t xml:space="preserve"> y en la</w:t>
      </w:r>
      <w:r w:rsidR="00D9207C" w:rsidRPr="00D9207C">
        <w:t xml:space="preserve"> </w:t>
      </w:r>
      <w:r w:rsidR="00D9207C" w:rsidRPr="00D9207C">
        <w:rPr>
          <w:rFonts w:cs="Tahoma"/>
          <w:bCs/>
          <w:i w:val="0"/>
          <w:sz w:val="24"/>
          <w:highlight w:val="yellow"/>
        </w:rPr>
        <w:t>Dirección de Ecología y Medio Ambiente, Desarrollo Agropecuario, Rural, Empleo y Turístico</w:t>
      </w:r>
      <w:r w:rsidR="00733227">
        <w:rPr>
          <w:rFonts w:cs="Tahoma"/>
          <w:bCs/>
          <w:i w:val="0"/>
          <w:sz w:val="24"/>
        </w:rPr>
        <w:t xml:space="preserve">, del quince de noviembre de dos mil </w:t>
      </w:r>
      <w:r w:rsidR="00DC0E0E">
        <w:rPr>
          <w:rFonts w:cs="Tahoma"/>
          <w:bCs/>
          <w:i w:val="0"/>
          <w:sz w:val="24"/>
        </w:rPr>
        <w:t>veintitrés</w:t>
      </w:r>
      <w:r w:rsidR="00733227">
        <w:rPr>
          <w:rFonts w:cs="Tahoma"/>
          <w:bCs/>
          <w:i w:val="0"/>
          <w:sz w:val="24"/>
        </w:rPr>
        <w:t xml:space="preserve"> al quince de noviembre de dos mil </w:t>
      </w:r>
      <w:r w:rsidR="00DC0E0E">
        <w:rPr>
          <w:rFonts w:cs="Tahoma"/>
          <w:bCs/>
          <w:i w:val="0"/>
          <w:sz w:val="24"/>
        </w:rPr>
        <w:t>veinticuatro</w:t>
      </w:r>
      <w:r w:rsidR="00733227">
        <w:rPr>
          <w:rFonts w:cs="Tahoma"/>
          <w:bCs/>
          <w:i w:val="0"/>
          <w:sz w:val="24"/>
        </w:rPr>
        <w:t xml:space="preserve">. </w:t>
      </w:r>
    </w:p>
    <w:p w:rsidR="00DB1C71" w:rsidRDefault="00DB1C71" w:rsidP="00DB1C71">
      <w:pPr>
        <w:pStyle w:val="Citas"/>
      </w:pPr>
      <w:r w:rsidRPr="00C960DD">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DB1C71" w:rsidRPr="00DC5E29" w:rsidRDefault="00DB1C71" w:rsidP="00DB1C71">
      <w:pPr>
        <w:spacing w:line="360" w:lineRule="auto"/>
        <w:jc w:val="both"/>
        <w:rPr>
          <w:rFonts w:ascii="Palatino Linotype" w:hAnsi="Palatino Linotype" w:cs="Arial"/>
        </w:rPr>
      </w:pPr>
    </w:p>
    <w:p w:rsidR="00DB1C71" w:rsidRPr="00DC5E29" w:rsidRDefault="00DB1C71" w:rsidP="00DB1C71">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w:t>
      </w:r>
      <w:r w:rsidRPr="002F26BB">
        <w:rPr>
          <w:rFonts w:ascii="Palatino Linotype" w:hAnsi="Palatino Linotype" w:cs="Arial"/>
          <w:b/>
        </w:rPr>
        <w:t>(SAIMEX)</w:t>
      </w:r>
      <w:r>
        <w:rPr>
          <w:rFonts w:ascii="Palatino Linotype" w:hAnsi="Palatino Linotype" w:cs="Arial"/>
        </w:rPr>
        <w:t xml:space="preserve">,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E24C8E">
        <w:rPr>
          <w:rFonts w:ascii="Palatino Linotype" w:eastAsia="Palatino Linotype" w:hAnsi="Palatino Linotype" w:cs="Palatino Linotype"/>
          <w:b/>
          <w:color w:val="000000"/>
          <w:lang w:val="es-ES_tradnl" w:eastAsia="es-MX"/>
        </w:rPr>
        <w:t xml:space="preserve">se le apercibe que en caso de negarse a cumplir la presente resolución o hacerlo de manera parcial, se le impondrá una medida de apremio de conformidad con lo previsto en los artículos 198, 200, </w:t>
      </w:r>
      <w:r w:rsidRPr="00E24C8E">
        <w:rPr>
          <w:rFonts w:ascii="Palatino Linotype" w:eastAsia="Palatino Linotype" w:hAnsi="Palatino Linotype" w:cs="Palatino Linotype"/>
          <w:b/>
          <w:color w:val="000000"/>
          <w:lang w:val="es-ES_tradnl" w:eastAsia="es-MX"/>
        </w:rPr>
        <w:lastRenderedPageBreak/>
        <w:t>fracción III; 214, 215 y 216 de la Ley  de Transparencia y Acceso a la Información Pública del Estado de México y Municipios.</w:t>
      </w:r>
    </w:p>
    <w:p w:rsidR="00DB1C71" w:rsidRPr="00DC5E29" w:rsidRDefault="00DB1C71" w:rsidP="00DB1C71">
      <w:pPr>
        <w:spacing w:line="360" w:lineRule="auto"/>
        <w:ind w:right="-595"/>
        <w:jc w:val="both"/>
        <w:rPr>
          <w:rFonts w:ascii="Palatino Linotype" w:hAnsi="Palatino Linotype" w:cs="Tahoma"/>
          <w:bCs/>
        </w:rPr>
      </w:pPr>
    </w:p>
    <w:p w:rsidR="00DB1C71" w:rsidRDefault="00DB1C71" w:rsidP="00DB1C71">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rsidR="00DB1C71" w:rsidRPr="00DC5E29" w:rsidRDefault="00DB1C71" w:rsidP="00DB1C71">
      <w:pPr>
        <w:autoSpaceDE w:val="0"/>
        <w:autoSpaceDN w:val="0"/>
        <w:adjustRightInd w:val="0"/>
        <w:spacing w:line="360" w:lineRule="auto"/>
        <w:jc w:val="both"/>
        <w:rPr>
          <w:rFonts w:ascii="Palatino Linotype" w:hAnsi="Palatino Linotype" w:cs="Arial"/>
        </w:rPr>
      </w:pPr>
    </w:p>
    <w:p w:rsidR="00DB1C71" w:rsidRDefault="00DB1C71" w:rsidP="00DB1C71">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 xml:space="preserve">ormación Mexiquense </w:t>
      </w:r>
      <w:r w:rsidRPr="00E27DC5">
        <w:rPr>
          <w:rFonts w:ascii="Palatino Linotype" w:hAnsi="Palatino Linotype" w:cs="Arial"/>
          <w:b/>
        </w:rPr>
        <w:t>(SAIMEX)</w:t>
      </w:r>
      <w:r>
        <w:rPr>
          <w:rFonts w:ascii="Palatino Linotype" w:hAnsi="Palatino Linotype" w:cs="Arial"/>
        </w:rPr>
        <w:t>,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DB1C71" w:rsidRPr="007C3942" w:rsidRDefault="00DB1C71" w:rsidP="00DB1C71">
      <w:pPr>
        <w:spacing w:line="360" w:lineRule="auto"/>
        <w:jc w:val="both"/>
        <w:rPr>
          <w:rFonts w:ascii="Palatino Linotype" w:hAnsi="Palatino Linotype"/>
          <w:lang w:eastAsia="es-ES_tradnl"/>
        </w:rPr>
      </w:pPr>
    </w:p>
    <w:p w:rsidR="00DB1C71" w:rsidRPr="00A151D0" w:rsidRDefault="00DB1C71" w:rsidP="00DB1293">
      <w:pPr>
        <w:spacing w:line="360" w:lineRule="auto"/>
        <w:jc w:val="both"/>
        <w:rPr>
          <w:rFonts w:ascii="Palatino Linotype" w:hAnsi="Palatino Linotype" w:cs="Arial"/>
          <w:sz w:val="20"/>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CONFORMADO POR LOS COMISIONADOS JOSÉ MARTÍNEZ VILCHIS, MARÍA DEL ROSARIO MEJÍA AYALA, SHARON CRISTINA MORALES MARTÍNEZ, LUIS GUSTAVO PARRA NORIEGA Y GUADALUPE RAMÍREZ PEÑA</w:t>
      </w:r>
      <w:r w:rsidR="007F6B42">
        <w:rPr>
          <w:rFonts w:ascii="Palatino Linotype" w:hAnsi="Palatino Linotype" w:cs="Arial"/>
        </w:rPr>
        <w:t xml:space="preserve"> </w:t>
      </w:r>
      <w:r w:rsidR="007F6B42">
        <w:rPr>
          <w:rFonts w:ascii="Palatino Linotype" w:eastAsiaTheme="minorEastAsia" w:hAnsi="Palatino Linotype"/>
          <w:color w:val="000000" w:themeColor="text1"/>
          <w:lang w:val="es-ES_tradnl"/>
        </w:rPr>
        <w:t>(</w:t>
      </w:r>
      <w:r w:rsidR="00DB1293">
        <w:rPr>
          <w:rFonts w:ascii="Palatino Linotype" w:eastAsiaTheme="minorEastAsia" w:hAnsi="Palatino Linotype"/>
          <w:color w:val="000000" w:themeColor="text1"/>
          <w:lang w:val="es-ES_tradnl"/>
        </w:rPr>
        <w:t xml:space="preserve">EMITIENDO </w:t>
      </w:r>
      <w:r w:rsidR="007F6B42">
        <w:rPr>
          <w:rFonts w:ascii="Palatino Linotype" w:eastAsiaTheme="minorEastAsia" w:hAnsi="Palatino Linotype"/>
          <w:color w:val="000000" w:themeColor="text1"/>
          <w:lang w:val="es-ES_tradnl"/>
        </w:rPr>
        <w:t>VOTO PARTICULAR)</w:t>
      </w:r>
      <w:r w:rsidRPr="007C3942">
        <w:rPr>
          <w:rFonts w:ascii="Palatino Linotype" w:hAnsi="Palatino Linotype" w:cs="Arial"/>
        </w:rPr>
        <w:t xml:space="preserve">, EN LA </w:t>
      </w:r>
      <w:r>
        <w:rPr>
          <w:rFonts w:ascii="Palatino Linotype" w:hAnsi="Palatino Linotype" w:cs="Arial"/>
        </w:rPr>
        <w:t xml:space="preserve">CUARTA </w:t>
      </w:r>
      <w:r w:rsidRPr="007C3942">
        <w:rPr>
          <w:rFonts w:ascii="Palatino Linotype" w:hAnsi="Palatino Linotype" w:cs="Arial"/>
        </w:rPr>
        <w:t>SESIÓN ORDINARIA CELEBRADA EL</w:t>
      </w:r>
      <w:r>
        <w:rPr>
          <w:rFonts w:ascii="Palatino Linotype" w:hAnsi="Palatino Linotype" w:cs="Arial"/>
        </w:rPr>
        <w:t xml:space="preserve"> SEIS DE FEBRERO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p>
    <w:p w:rsidR="00DB1C71" w:rsidRPr="00E23C8F" w:rsidRDefault="00DB1C71" w:rsidP="00DB1C71">
      <w:pPr>
        <w:spacing w:line="360" w:lineRule="auto"/>
        <w:jc w:val="both"/>
        <w:rPr>
          <w:rFonts w:ascii="Palatino Linotype" w:hAnsi="Palatino Linotype" w:cs="Arial"/>
          <w:sz w:val="16"/>
        </w:rPr>
      </w:pPr>
      <w:r>
        <w:rPr>
          <w:rFonts w:ascii="Palatino Linotype" w:hAnsi="Palatino Linotype" w:cs="Arial"/>
          <w:sz w:val="16"/>
        </w:rPr>
        <w:t>JMV/CCR/</w:t>
      </w:r>
      <w:r w:rsidR="00ED51A4">
        <w:rPr>
          <w:rFonts w:ascii="Palatino Linotype" w:hAnsi="Palatino Linotype" w:cs="Arial"/>
          <w:sz w:val="16"/>
        </w:rPr>
        <w:t>LMST</w:t>
      </w:r>
    </w:p>
    <w:p w:rsidR="00DB1C71" w:rsidRDefault="00DB1C71" w:rsidP="00DB1C71"/>
    <w:p w:rsidR="00DB1C71" w:rsidRDefault="00DB1C71" w:rsidP="00DB1C71"/>
    <w:p w:rsidR="00DB1C71" w:rsidRDefault="00DB1C71" w:rsidP="00DB1C71"/>
    <w:p w:rsidR="00DB1C71" w:rsidRDefault="00DB1C71" w:rsidP="00DB1C71"/>
    <w:p w:rsidR="00DB1C71" w:rsidRDefault="00DB1C71" w:rsidP="00DB1C71"/>
    <w:p w:rsidR="00DB1C71" w:rsidRDefault="00DB1C71" w:rsidP="00DB1C71"/>
    <w:p w:rsidR="00DB1C71" w:rsidRDefault="00DB1C71" w:rsidP="00DB1C71"/>
    <w:p w:rsidR="00DB1C71" w:rsidRDefault="00DB1C71" w:rsidP="00DB1C71"/>
    <w:p w:rsidR="00DB1C71" w:rsidRDefault="00DB1C71" w:rsidP="00DB1C71"/>
    <w:p w:rsidR="00DB1C71" w:rsidRDefault="00DB1C71" w:rsidP="00DB1C71"/>
    <w:p w:rsidR="00DB1C71" w:rsidRDefault="00DB1C71" w:rsidP="00DB1C71"/>
    <w:p w:rsidR="00DB1C71" w:rsidRDefault="00DB1C71" w:rsidP="00DB1C71"/>
    <w:p w:rsidR="00DB1C71" w:rsidRDefault="00DB1C71" w:rsidP="00DB1C71"/>
    <w:p w:rsidR="00DB1C71" w:rsidRDefault="00DB1C71" w:rsidP="00DB1C71"/>
    <w:p w:rsidR="00DB1C71" w:rsidRDefault="00DB1C71" w:rsidP="00DB1C71"/>
    <w:p w:rsidR="00DB1C71" w:rsidRDefault="00DB1C71" w:rsidP="00DB1C71"/>
    <w:p w:rsidR="00DB1C71" w:rsidRDefault="00DB1C71" w:rsidP="00DB1C71"/>
    <w:p w:rsidR="00DB1C71" w:rsidRDefault="00DB1C71" w:rsidP="00DB1C71"/>
    <w:p w:rsidR="00DB1C71" w:rsidRDefault="00DB1C71" w:rsidP="00DB1C71"/>
    <w:p w:rsidR="00ED51A4" w:rsidRDefault="00ED51A4" w:rsidP="00DB1C71"/>
    <w:p w:rsidR="00ED51A4" w:rsidRDefault="00ED51A4" w:rsidP="00DB1C71"/>
    <w:p w:rsidR="00ED51A4" w:rsidRDefault="00ED51A4" w:rsidP="00DB1C71"/>
    <w:p w:rsidR="00ED51A4" w:rsidRDefault="00ED51A4" w:rsidP="00DB1C71"/>
    <w:p w:rsidR="00ED51A4" w:rsidRDefault="00ED51A4" w:rsidP="00DB1C71"/>
    <w:p w:rsidR="00ED51A4" w:rsidRDefault="00ED51A4" w:rsidP="00DB1C71"/>
    <w:p w:rsidR="00ED51A4" w:rsidRDefault="00ED51A4" w:rsidP="00DB1C71"/>
    <w:p w:rsidR="00ED51A4" w:rsidRDefault="00ED51A4" w:rsidP="00DB1C71"/>
    <w:p w:rsidR="00ED51A4" w:rsidRDefault="00ED51A4" w:rsidP="00DB1C71"/>
    <w:p w:rsidR="00ED51A4" w:rsidRDefault="00ED51A4" w:rsidP="00DB1C71"/>
    <w:p w:rsidR="00ED51A4" w:rsidRDefault="00ED51A4" w:rsidP="00DB1C71"/>
    <w:p w:rsidR="00ED51A4" w:rsidRDefault="00ED51A4" w:rsidP="00DB1C71"/>
    <w:p w:rsidR="00ED51A4" w:rsidRDefault="00ED51A4" w:rsidP="00DB1C71"/>
    <w:p w:rsidR="00ED51A4" w:rsidRDefault="00ED51A4" w:rsidP="00DB1C71"/>
    <w:p w:rsidR="00ED51A4" w:rsidRDefault="00ED51A4" w:rsidP="00DB1C71"/>
    <w:p w:rsidR="00ED51A4" w:rsidRDefault="00ED51A4" w:rsidP="00DB1C71"/>
    <w:p w:rsidR="00ED51A4" w:rsidRDefault="00ED51A4" w:rsidP="00DB1C71"/>
    <w:p w:rsidR="00ED51A4" w:rsidRDefault="00ED51A4" w:rsidP="00DB1C71"/>
    <w:p w:rsidR="00ED51A4" w:rsidRDefault="00ED51A4" w:rsidP="00DB1C71"/>
    <w:p w:rsidR="00DB1C71" w:rsidRDefault="00DB1C71" w:rsidP="00DB1C71"/>
    <w:p w:rsidR="00DB1C71" w:rsidRDefault="00DB1C71" w:rsidP="00DB1C71"/>
    <w:p w:rsidR="00DB1C71" w:rsidRDefault="00DB1C71" w:rsidP="00DB1C71"/>
    <w:p w:rsidR="00925165" w:rsidRDefault="00925165"/>
    <w:sectPr w:rsidR="00925165" w:rsidSect="00957049">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065" w:rsidRDefault="00512065" w:rsidP="00DB1C71">
      <w:r>
        <w:separator/>
      </w:r>
    </w:p>
  </w:endnote>
  <w:endnote w:type="continuationSeparator" w:id="0">
    <w:p w:rsidR="00512065" w:rsidRDefault="00512065" w:rsidP="00DB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65" w:rsidRPr="00A2780F" w:rsidRDefault="00512065" w:rsidP="00957049">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65133A">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65133A">
      <w:rPr>
        <w:rFonts w:ascii="Arial" w:hAnsi="Arial" w:cs="Arial"/>
        <w:b/>
        <w:bCs/>
        <w:noProof/>
        <w:sz w:val="20"/>
        <w:szCs w:val="20"/>
      </w:rPr>
      <w:t>24</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65" w:rsidRPr="00070856" w:rsidRDefault="00512065" w:rsidP="00957049">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65133A">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65133A">
      <w:rPr>
        <w:rFonts w:ascii="Arial" w:hAnsi="Arial" w:cs="Arial"/>
        <w:b/>
        <w:bCs/>
        <w:noProof/>
        <w:sz w:val="20"/>
        <w:szCs w:val="20"/>
      </w:rPr>
      <w:t>24</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065" w:rsidRDefault="00512065" w:rsidP="00DB1C71">
      <w:r>
        <w:separator/>
      </w:r>
    </w:p>
  </w:footnote>
  <w:footnote w:type="continuationSeparator" w:id="0">
    <w:p w:rsidR="00512065" w:rsidRDefault="00512065" w:rsidP="00DB1C71">
      <w:r>
        <w:continuationSeparator/>
      </w:r>
    </w:p>
  </w:footnote>
  <w:footnote w:id="1">
    <w:p w:rsidR="00512065" w:rsidRPr="005552A8" w:rsidRDefault="00512065" w:rsidP="00DB1C71">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512065" w:rsidRPr="005552A8" w:rsidRDefault="00512065" w:rsidP="00DB1C71">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512065" w:rsidRPr="008F2CCC" w:rsidTr="00957049">
      <w:tc>
        <w:tcPr>
          <w:tcW w:w="3620" w:type="dxa"/>
          <w:shd w:val="clear" w:color="auto" w:fill="auto"/>
        </w:tcPr>
        <w:p w:rsidR="00512065" w:rsidRPr="007E5FC4" w:rsidRDefault="00512065" w:rsidP="0095704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512065" w:rsidRPr="00664658" w:rsidRDefault="00512065" w:rsidP="00957049">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DB1293">
            <w:rPr>
              <w:rFonts w:ascii="Palatino Linotype" w:hAnsi="Palatino Linotype"/>
              <w:b/>
              <w:sz w:val="22"/>
              <w:szCs w:val="22"/>
              <w:lang w:val="es-ES_tradnl"/>
            </w:rPr>
            <w:t>0</w:t>
          </w:r>
          <w:r>
            <w:rPr>
              <w:rFonts w:ascii="Palatino Linotype" w:hAnsi="Palatino Linotype"/>
              <w:b/>
              <w:sz w:val="22"/>
              <w:szCs w:val="22"/>
              <w:lang w:val="es-ES_tradnl"/>
            </w:rPr>
            <w:t>115/INFOEM/IP/RR/2025</w:t>
          </w:r>
        </w:p>
      </w:tc>
    </w:tr>
    <w:tr w:rsidR="00512065" w:rsidRPr="008F2CCC" w:rsidTr="00957049">
      <w:tc>
        <w:tcPr>
          <w:tcW w:w="3620" w:type="dxa"/>
          <w:shd w:val="clear" w:color="auto" w:fill="auto"/>
        </w:tcPr>
        <w:p w:rsidR="00512065" w:rsidRPr="007E5FC4" w:rsidRDefault="00512065" w:rsidP="0095704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512065" w:rsidRPr="00664658" w:rsidRDefault="00512065" w:rsidP="00957049">
          <w:pPr>
            <w:spacing w:line="276" w:lineRule="auto"/>
            <w:jc w:val="right"/>
            <w:rPr>
              <w:rFonts w:ascii="Palatino Linotype" w:hAnsi="Palatino Linotype"/>
              <w:b/>
              <w:sz w:val="22"/>
              <w:szCs w:val="22"/>
              <w:lang w:val="es-ES_tradnl"/>
            </w:rPr>
          </w:pPr>
          <w:r w:rsidRPr="00DB1C71">
            <w:rPr>
              <w:rFonts w:ascii="Palatino Linotype" w:hAnsi="Palatino Linotype"/>
              <w:b/>
              <w:sz w:val="22"/>
              <w:szCs w:val="22"/>
            </w:rPr>
            <w:t xml:space="preserve">Ayuntamiento de </w:t>
          </w:r>
          <w:proofErr w:type="spellStart"/>
          <w:r w:rsidRPr="00DB1C71">
            <w:rPr>
              <w:rFonts w:ascii="Palatino Linotype" w:hAnsi="Palatino Linotype"/>
              <w:b/>
              <w:sz w:val="22"/>
              <w:szCs w:val="22"/>
            </w:rPr>
            <w:t>Mexicaltzingo</w:t>
          </w:r>
          <w:proofErr w:type="spellEnd"/>
        </w:p>
      </w:tc>
    </w:tr>
    <w:tr w:rsidR="00512065" w:rsidRPr="008F2CCC" w:rsidTr="00957049">
      <w:trPr>
        <w:trHeight w:val="228"/>
      </w:trPr>
      <w:tc>
        <w:tcPr>
          <w:tcW w:w="3620" w:type="dxa"/>
          <w:shd w:val="clear" w:color="auto" w:fill="auto"/>
        </w:tcPr>
        <w:p w:rsidR="00512065" w:rsidRPr="007E5FC4" w:rsidRDefault="00512065" w:rsidP="0095704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512065" w:rsidRPr="00664658" w:rsidRDefault="00512065" w:rsidP="00957049">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512065" w:rsidRDefault="00512065" w:rsidP="00957049">
    <w:pPr>
      <w:pStyle w:val="Encabezado"/>
      <w:tabs>
        <w:tab w:val="clear" w:pos="4252"/>
        <w:tab w:val="clear" w:pos="8504"/>
        <w:tab w:val="left" w:pos="2326"/>
      </w:tabs>
      <w:rPr>
        <w:rFonts w:ascii="Palatino Linotype" w:hAnsi="Palatino Linotype"/>
        <w:sz w:val="20"/>
      </w:rPr>
    </w:pPr>
  </w:p>
  <w:p w:rsidR="00512065" w:rsidRPr="001779E0" w:rsidRDefault="00512065" w:rsidP="00957049">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403312F" wp14:editId="3982D2A8">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512065" w:rsidRPr="008F2CCC" w:rsidTr="00957049">
      <w:tc>
        <w:tcPr>
          <w:tcW w:w="2977" w:type="dxa"/>
          <w:shd w:val="clear" w:color="auto" w:fill="auto"/>
        </w:tcPr>
        <w:p w:rsidR="00512065" w:rsidRPr="007E5FC4" w:rsidRDefault="00512065" w:rsidP="0095704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512065" w:rsidRPr="008F2CCC" w:rsidRDefault="00512065" w:rsidP="0095704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DB1293">
            <w:rPr>
              <w:rFonts w:ascii="Palatino Linotype" w:hAnsi="Palatino Linotype"/>
              <w:b/>
              <w:sz w:val="22"/>
              <w:szCs w:val="22"/>
              <w:lang w:val="es-ES_tradnl"/>
            </w:rPr>
            <w:t>0</w:t>
          </w:r>
          <w:r>
            <w:rPr>
              <w:rFonts w:ascii="Palatino Linotype" w:hAnsi="Palatino Linotype"/>
              <w:b/>
              <w:sz w:val="22"/>
              <w:szCs w:val="22"/>
              <w:lang w:val="es-ES_tradnl"/>
            </w:rPr>
            <w:t>115/INFOEM/IP/RR/2025</w:t>
          </w:r>
        </w:p>
      </w:tc>
    </w:tr>
    <w:tr w:rsidR="00512065" w:rsidRPr="008F2CCC" w:rsidTr="00957049">
      <w:tc>
        <w:tcPr>
          <w:tcW w:w="2977" w:type="dxa"/>
          <w:shd w:val="clear" w:color="auto" w:fill="auto"/>
          <w:vAlign w:val="center"/>
        </w:tcPr>
        <w:p w:rsidR="00512065" w:rsidRPr="007E5FC4" w:rsidRDefault="00512065" w:rsidP="0095704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512065" w:rsidRPr="008F2CCC" w:rsidRDefault="0065133A" w:rsidP="0095704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XXXXXXXXXXXXXXXXXXXX</w:t>
          </w:r>
        </w:p>
      </w:tc>
    </w:tr>
    <w:tr w:rsidR="00512065" w:rsidRPr="008F2CCC" w:rsidTr="00957049">
      <w:trPr>
        <w:trHeight w:val="228"/>
      </w:trPr>
      <w:tc>
        <w:tcPr>
          <w:tcW w:w="2977" w:type="dxa"/>
          <w:shd w:val="clear" w:color="auto" w:fill="auto"/>
        </w:tcPr>
        <w:p w:rsidR="00512065" w:rsidRPr="007E5FC4" w:rsidRDefault="00512065" w:rsidP="0095704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512065" w:rsidRPr="00DC41C8" w:rsidRDefault="00512065" w:rsidP="00957049">
          <w:pPr>
            <w:spacing w:line="360" w:lineRule="auto"/>
            <w:jc w:val="right"/>
            <w:rPr>
              <w:rFonts w:ascii="Palatino Linotype" w:hAnsi="Palatino Linotype"/>
              <w:b/>
              <w:sz w:val="22"/>
              <w:szCs w:val="22"/>
            </w:rPr>
          </w:pPr>
          <w:r w:rsidRPr="00DB1C71">
            <w:rPr>
              <w:rFonts w:ascii="Palatino Linotype" w:hAnsi="Palatino Linotype"/>
              <w:b/>
              <w:sz w:val="22"/>
              <w:szCs w:val="22"/>
            </w:rPr>
            <w:t xml:space="preserve">Ayuntamiento de </w:t>
          </w:r>
          <w:proofErr w:type="spellStart"/>
          <w:r w:rsidRPr="00DB1C71">
            <w:rPr>
              <w:rFonts w:ascii="Palatino Linotype" w:hAnsi="Palatino Linotype"/>
              <w:b/>
              <w:sz w:val="22"/>
              <w:szCs w:val="22"/>
            </w:rPr>
            <w:t>Mexicaltzingo</w:t>
          </w:r>
          <w:proofErr w:type="spellEnd"/>
        </w:p>
      </w:tc>
    </w:tr>
    <w:tr w:rsidR="00512065" w:rsidRPr="008F2CCC" w:rsidTr="00957049">
      <w:tc>
        <w:tcPr>
          <w:tcW w:w="2977" w:type="dxa"/>
          <w:shd w:val="clear" w:color="auto" w:fill="auto"/>
        </w:tcPr>
        <w:p w:rsidR="00512065" w:rsidRPr="007E5FC4" w:rsidRDefault="00512065" w:rsidP="0095704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512065" w:rsidRPr="008F2CCC" w:rsidRDefault="00512065" w:rsidP="0095704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512065" w:rsidRPr="009F1AB6" w:rsidRDefault="00512065">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AD85729" wp14:editId="0894C1D3">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47CF"/>
    <w:multiLevelType w:val="hybridMultilevel"/>
    <w:tmpl w:val="F93E593E"/>
    <w:lvl w:ilvl="0" w:tplc="7F72D2C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5F95500"/>
    <w:multiLevelType w:val="hybridMultilevel"/>
    <w:tmpl w:val="5AFAB19E"/>
    <w:lvl w:ilvl="0" w:tplc="ABB26EDC">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7769F2"/>
    <w:multiLevelType w:val="hybridMultilevel"/>
    <w:tmpl w:val="604E0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22803773"/>
    <w:multiLevelType w:val="hybridMultilevel"/>
    <w:tmpl w:val="F9D06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527D5B"/>
    <w:multiLevelType w:val="hybridMultilevel"/>
    <w:tmpl w:val="D240986A"/>
    <w:lvl w:ilvl="0" w:tplc="A908054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62121746"/>
    <w:multiLevelType w:val="hybridMultilevel"/>
    <w:tmpl w:val="14740990"/>
    <w:lvl w:ilvl="0" w:tplc="6DAE4F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70431809"/>
    <w:multiLevelType w:val="hybridMultilevel"/>
    <w:tmpl w:val="C2BC350E"/>
    <w:lvl w:ilvl="0" w:tplc="8006CE3E">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0"/>
  </w:num>
  <w:num w:numId="6">
    <w:abstractNumId w:val="11"/>
  </w:num>
  <w:num w:numId="7">
    <w:abstractNumId w:val="1"/>
  </w:num>
  <w:num w:numId="8">
    <w:abstractNumId w:val="10"/>
  </w:num>
  <w:num w:numId="9">
    <w:abstractNumId w:val="12"/>
  </w:num>
  <w:num w:numId="10">
    <w:abstractNumId w:val="5"/>
  </w:num>
  <w:num w:numId="11">
    <w:abstractNumId w:val="9"/>
  </w:num>
  <w:num w:numId="12">
    <w:abstractNumId w:val="13"/>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C71"/>
    <w:rsid w:val="004B60AD"/>
    <w:rsid w:val="00511B9E"/>
    <w:rsid w:val="00512065"/>
    <w:rsid w:val="005E45F7"/>
    <w:rsid w:val="0065133A"/>
    <w:rsid w:val="00692D83"/>
    <w:rsid w:val="0071114A"/>
    <w:rsid w:val="00733227"/>
    <w:rsid w:val="00786BC7"/>
    <w:rsid w:val="007F6B42"/>
    <w:rsid w:val="008B75DA"/>
    <w:rsid w:val="009235B2"/>
    <w:rsid w:val="00925165"/>
    <w:rsid w:val="00957049"/>
    <w:rsid w:val="00B92CE6"/>
    <w:rsid w:val="00D43C25"/>
    <w:rsid w:val="00D6009B"/>
    <w:rsid w:val="00D9207C"/>
    <w:rsid w:val="00DB1293"/>
    <w:rsid w:val="00DB1C71"/>
    <w:rsid w:val="00DC0E0E"/>
    <w:rsid w:val="00DC14C1"/>
    <w:rsid w:val="00E0367E"/>
    <w:rsid w:val="00E16922"/>
    <w:rsid w:val="00ED51A4"/>
    <w:rsid w:val="00F479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09F38-0B74-461A-91A5-F2635E0A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C7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1C71"/>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DB1C71"/>
    <w:rPr>
      <w:rFonts w:eastAsiaTheme="minorEastAsia"/>
      <w:sz w:val="24"/>
      <w:szCs w:val="24"/>
      <w:lang w:val="es-ES_tradnl" w:eastAsia="es-ES"/>
    </w:rPr>
  </w:style>
  <w:style w:type="paragraph" w:styleId="Piedepgina">
    <w:name w:val="footer"/>
    <w:basedOn w:val="Normal"/>
    <w:link w:val="PiedepginaCar"/>
    <w:uiPriority w:val="99"/>
    <w:unhideWhenUsed/>
    <w:rsid w:val="00DB1C71"/>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DB1C71"/>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1C71"/>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B1C71"/>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DB1C71"/>
    <w:pPr>
      <w:spacing w:after="0" w:line="240" w:lineRule="auto"/>
    </w:pPr>
  </w:style>
  <w:style w:type="character" w:customStyle="1" w:styleId="SinespaciadoCar">
    <w:name w:val="Sin espaciado Car"/>
    <w:aliases w:val="Francesa Car,INAI Car"/>
    <w:link w:val="Sinespaciado"/>
    <w:uiPriority w:val="1"/>
    <w:locked/>
    <w:rsid w:val="00DB1C71"/>
  </w:style>
  <w:style w:type="character" w:styleId="Hipervnculo">
    <w:name w:val="Hyperlink"/>
    <w:aliases w:val="Hipervínculo1,Hipervínculo11,Hipervínculo12,Hipervínculo13,Hipervínculo14,Hipervínculo15"/>
    <w:basedOn w:val="Fuentedeprrafopredeter"/>
    <w:uiPriority w:val="99"/>
    <w:unhideWhenUsed/>
    <w:rsid w:val="00DB1C71"/>
    <w:rPr>
      <w:color w:val="0563C1" w:themeColor="hyperlink"/>
      <w:u w:val="single"/>
    </w:rPr>
  </w:style>
  <w:style w:type="paragraph" w:customStyle="1" w:styleId="INFOEM">
    <w:name w:val="INFOEM"/>
    <w:basedOn w:val="Normal"/>
    <w:qFormat/>
    <w:rsid w:val="00DB1C71"/>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DB1C71"/>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DB1C71"/>
    <w:rPr>
      <w:vertAlign w:val="superscript"/>
    </w:rPr>
  </w:style>
  <w:style w:type="paragraph" w:customStyle="1" w:styleId="infoemcitas">
    <w:name w:val="infoem citas"/>
    <w:basedOn w:val="Normal"/>
    <w:qFormat/>
    <w:rsid w:val="00DB1C71"/>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DB1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B1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DB1C71"/>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onsultas.ifai.org.mx/descargar.php?r=./pdf/resoluciones/2017/&amp;a=RRA%202536.pdf" TargetMode="External"/><Relationship Id="rId4" Type="http://schemas.openxmlformats.org/officeDocument/2006/relationships/webSettings" Target="webSettings.xml"/><Relationship Id="rId9" Type="http://schemas.openxmlformats.org/officeDocument/2006/relationships/hyperlink" Target="http://consultas.ifai.org.mx/descargar.php?r=./pdf/resoluciones/2017/&amp;a=RRA%2022.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24</Pages>
  <Words>4951</Words>
  <Characters>27231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11</cp:revision>
  <dcterms:created xsi:type="dcterms:W3CDTF">2025-01-28T17:20:00Z</dcterms:created>
  <dcterms:modified xsi:type="dcterms:W3CDTF">2025-02-17T23:00:00Z</dcterms:modified>
</cp:coreProperties>
</file>