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veinte de agosto dos mil veinticinco. </w:t>
      </w:r>
    </w:p>
    <w:p w:rsidR="00000000" w:rsidDel="00000000" w:rsidP="00000000" w:rsidRDefault="00000000" w:rsidRPr="00000000" w14:paraId="00000002">
      <w:pPr>
        <w:spacing w:line="360" w:lineRule="auto"/>
        <w:ind w:left="-14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06469/INFOEM/IP/RR/2025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 particular que no proporcionó nombre o seudónimo, </w:t>
      </w:r>
      <w:r w:rsidDel="00000000" w:rsidR="00000000" w:rsidRPr="00000000">
        <w:rPr>
          <w:rFonts w:ascii="Palatino Linotype" w:cs="Palatino Linotype" w:eastAsia="Palatino Linotype" w:hAnsi="Palatino Linotype"/>
          <w:sz w:val="22"/>
          <w:szCs w:val="22"/>
          <w:rtl w:val="0"/>
        </w:rPr>
        <w:t xml:space="preserve">en lo sucesivo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contra de la respuesta a su solicitud de información con número </w:t>
      </w:r>
      <w:r w:rsidDel="00000000" w:rsidR="00000000" w:rsidRPr="00000000">
        <w:rPr>
          <w:rFonts w:ascii="Palatino Linotype" w:cs="Palatino Linotype" w:eastAsia="Palatino Linotype" w:hAnsi="Palatino Linotype"/>
          <w:b w:val="1"/>
          <w:sz w:val="22"/>
          <w:szCs w:val="22"/>
          <w:rtl w:val="0"/>
        </w:rPr>
        <w:t xml:space="preserve">00679/IEEM/IP/2025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Instituto Electoral del Estado de México,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w:t>
      </w:r>
    </w:p>
    <w:p w:rsidR="00000000" w:rsidDel="00000000" w:rsidP="00000000" w:rsidRDefault="00000000" w:rsidRPr="00000000" w14:paraId="00000004">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2"/>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dos de mayo de dos mil veinticinco</w:t>
      </w:r>
      <w:r w:rsidDel="00000000" w:rsidR="00000000" w:rsidRPr="00000000">
        <w:rPr>
          <w:rFonts w:ascii="Palatino Linotype" w:cs="Palatino Linotype" w:eastAsia="Palatino Linotype" w:hAnsi="Palatino Linotype"/>
          <w:sz w:val="22"/>
          <w:szCs w:val="22"/>
          <w:rtl w:val="0"/>
        </w:rPr>
        <w:t xml:space="preserve">, la persona solicitante presentó, a través del Sistema de Acceso a la Información Mexiquense, en lo subsecuente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ante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solicitud de acceso a la información pública, mediante la cual requirió la información siguiente: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conformidad con el artículo 161 de la Ley de Transparencia y Acceso a la Información Pública del Estado de México y Municipios que señala que cuando la información requerida por el solicitante ya esté disponible al público en formatos electrónicos disponibles en Internet se le hará saber al solicitante en un plazo no mayor a CINCO DÍAS HÁBILES y debido a que la información que solicito es la relacionada con los Resultados del XXVII Certamen de Investigación y Ensayo Político, </w:t>
      </w:r>
      <w:r w:rsidDel="00000000" w:rsidR="00000000" w:rsidRPr="00000000">
        <w:rPr>
          <w:rFonts w:ascii="Palatino Linotype" w:cs="Palatino Linotype" w:eastAsia="Palatino Linotype" w:hAnsi="Palatino Linotype"/>
          <w:b w:val="1"/>
          <w:i w:val="1"/>
          <w:sz w:val="22"/>
          <w:szCs w:val="22"/>
          <w:u w:val="single"/>
          <w:rtl w:val="0"/>
        </w:rPr>
        <w:t xml:space="preserve">requiero los trabajos ganadores de cada categoría: Ensayo Político</w:t>
      </w:r>
      <w:r w:rsidDel="00000000" w:rsidR="00000000" w:rsidRPr="00000000">
        <w:rPr>
          <w:rFonts w:ascii="Palatino Linotype" w:cs="Palatino Linotype" w:eastAsia="Palatino Linotype" w:hAnsi="Palatino Linotype"/>
          <w:i w:val="1"/>
          <w:sz w:val="22"/>
          <w:szCs w:val="22"/>
          <w:rtl w:val="0"/>
        </w:rPr>
        <w:t xml:space="preserve">, Tesis de licenciatura y Tesis de posgrado. Reiterando se dé cumplimiento a lo mandatado en el artículo 161 de la Ley de Transparencia y Acceso a la Información Pública del Estado de México y Municipios, de entregar la información en un plazo no mayor a CINCO DÍAS HÁBILES y aunado a que el IEEM se encuentra en PROCESO ELECTORAL, sábados, domingos y días festivos, se consideran como DÍAS HÁBILES". (Sic) </w:t>
      </w:r>
    </w:p>
    <w:p w:rsidR="00000000" w:rsidDel="00000000" w:rsidP="00000000" w:rsidRDefault="00000000" w:rsidRPr="00000000" w14:paraId="0000000A">
      <w:pPr>
        <w:spacing w:line="276" w:lineRule="auto"/>
        <w:ind w:right="90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B">
      <w:pPr>
        <w:spacing w:line="360" w:lineRule="auto"/>
        <w:ind w:right="90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SAIMEX. </w:t>
      </w:r>
    </w:p>
    <w:p w:rsidR="00000000" w:rsidDel="00000000" w:rsidP="00000000" w:rsidRDefault="00000000" w:rsidRPr="00000000" w14:paraId="0000000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veintiséis de mayo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F">
      <w:pPr>
        <w:tabs>
          <w:tab w:val="left" w:leader="none" w:pos="7371"/>
        </w:tabs>
        <w:spacing w:line="360" w:lineRule="auto"/>
        <w:ind w:right="616"/>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10">
      <w:pPr>
        <w:tabs>
          <w:tab w:val="left" w:leader="none" w:pos="7371"/>
        </w:tabs>
        <w:spacing w:line="276" w:lineRule="auto"/>
        <w:ind w:left="567" w:right="616"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“Folio de la solicitud: 00679/IEEM/IP/2025</w:t>
      </w:r>
    </w:p>
    <w:p w:rsidR="00000000" w:rsidDel="00000000" w:rsidP="00000000" w:rsidRDefault="00000000" w:rsidRPr="00000000" w14:paraId="00000011">
      <w:pPr>
        <w:tabs>
          <w:tab w:val="left" w:leader="none" w:pos="7371"/>
        </w:tabs>
        <w:spacing w:line="276" w:lineRule="auto"/>
        <w:ind w:left="567" w:right="616" w:firstLine="0"/>
        <w:jc w:val="right"/>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2">
      <w:pPr>
        <w:tabs>
          <w:tab w:val="left" w:leader="none" w:pos="737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3">
      <w:pPr>
        <w:tabs>
          <w:tab w:val="left" w:leader="none" w:pos="737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adjunta respuesta a su solicitud de información.</w:t>
      </w:r>
    </w:p>
    <w:p w:rsidR="00000000" w:rsidDel="00000000" w:rsidP="00000000" w:rsidRDefault="00000000" w:rsidRPr="00000000" w14:paraId="00000014">
      <w:pPr>
        <w:tabs>
          <w:tab w:val="left" w:leader="none" w:pos="7371"/>
        </w:tabs>
        <w:spacing w:line="276" w:lineRule="auto"/>
        <w:ind w:left="567" w:right="616" w:firstLine="0"/>
        <w:jc w:val="right"/>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5">
      <w:pPr>
        <w:tabs>
          <w:tab w:val="left" w:leader="none" w:pos="7371"/>
        </w:tabs>
        <w:spacing w:line="276" w:lineRule="auto"/>
        <w:ind w:left="567" w:right="616"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6">
      <w:pPr>
        <w:tabs>
          <w:tab w:val="left" w:leader="none" w:pos="7371"/>
        </w:tabs>
        <w:spacing w:line="276" w:lineRule="auto"/>
        <w:ind w:left="567" w:right="616"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MAESTRA LILIBETH ÁLVAREZ RODRÍGUEZ”</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bookmarkStart w:colFirst="0" w:colLast="0" w:name="_heading=h.rz9yvbiuzjn1" w:id="1"/>
      <w:bookmarkEnd w:id="1"/>
      <w:r w:rsidDel="00000000" w:rsidR="00000000" w:rsidRPr="00000000">
        <w:rPr>
          <w:rFonts w:ascii="Palatino Linotype" w:cs="Palatino Linotype" w:eastAsia="Palatino Linotype" w:hAnsi="Palatino Linotype"/>
          <w:sz w:val="22"/>
          <w:szCs w:val="22"/>
          <w:rtl w:val="0"/>
        </w:rPr>
        <w:t xml:space="preserve">El Sujeto Obligado adjuntó a su respuesta los siguientes archivos electrónicos: </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IEEM-CG-CFDE-987-2025.pdf: </w:t>
      </w:r>
      <w:r w:rsidDel="00000000" w:rsidR="00000000" w:rsidRPr="00000000">
        <w:rPr>
          <w:rFonts w:ascii="Palatino Linotype" w:cs="Palatino Linotype" w:eastAsia="Palatino Linotype" w:hAnsi="Palatino Linotype"/>
          <w:sz w:val="22"/>
          <w:szCs w:val="22"/>
          <w:rtl w:val="0"/>
        </w:rPr>
        <w:t xml:space="preserve">Mismo que contienen el oficio número IEEM/CG/CFDE/987/2025, de fecha quince de mayo de dos mil veinticinco, signado por la Jefa del Centro de Formación y Documentación Electoral, mediante el cual señaló que de conformidad con el artículo 48 del Reglamento Interno del Instituto Electoral del Estado de México, en concordancia con el artículo 5 del Reglamento del Centro de Formación y Documentación Electoral, este es la unidad técnica, dependiente el Consejo General, encargada de contribuir al desarrollo y promoción de la cultura política democrática, la educación cívica y la participación. </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ese marco normativo, en 2024 el Comité Académico del Centro del IEEM, aprobó la convocatoria del XXVII Certamen de Investigación y Ensayo Político, cuyo objetivo fue reconocer y estimular la calidad académica y resaltar las aportaciones de la ciudadanía en torno al conocimiento y reflexión sobre temas político-electorales de interés y relevancia para el contexto actual. </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en dicha convocatoria se estableció entre otras, la base VII. LOS PREMIOS, que indica que los trabajos ganadores que a razón de las personas interesadas integrantes del jurado calificador cuenten con el rigor académico suficiente</w:t>
      </w:r>
      <w:r w:rsidDel="00000000" w:rsidR="00000000" w:rsidRPr="00000000">
        <w:rPr>
          <w:rFonts w:ascii="Palatino Linotype" w:cs="Palatino Linotype" w:eastAsia="Palatino Linotype" w:hAnsi="Palatino Linotype"/>
          <w:b w:val="1"/>
          <w:sz w:val="22"/>
          <w:szCs w:val="22"/>
          <w:u w:val="single"/>
          <w:rtl w:val="0"/>
        </w:rPr>
        <w:t xml:space="preserve">, podrán ser propuestos para su publicación en alguna de las líneas editoriales del Instituto, previa aprobación del Comité Editorial</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Comité Académico  al declarar a dichos trabajos como ganadores, mediante el Acuerdo IEEM/CG/CFDE/CA/9/2025 facultó a la Secretaria Técnica para que </w:t>
      </w:r>
      <w:r w:rsidDel="00000000" w:rsidR="00000000" w:rsidRPr="00000000">
        <w:rPr>
          <w:rFonts w:ascii="Palatino Linotype" w:cs="Palatino Linotype" w:eastAsia="Palatino Linotype" w:hAnsi="Palatino Linotype"/>
          <w:b w:val="1"/>
          <w:sz w:val="22"/>
          <w:szCs w:val="22"/>
          <w:rtl w:val="0"/>
        </w:rPr>
        <w:t xml:space="preserve">extienda una invitación </w:t>
      </w:r>
      <w:r w:rsidDel="00000000" w:rsidR="00000000" w:rsidRPr="00000000">
        <w:rPr>
          <w:rFonts w:ascii="Palatino Linotype" w:cs="Palatino Linotype" w:eastAsia="Palatino Linotype" w:hAnsi="Palatino Linotype"/>
          <w:sz w:val="22"/>
          <w:szCs w:val="22"/>
          <w:rtl w:val="0"/>
        </w:rPr>
        <w:t xml:space="preserve">a las personas autoras de los trabajos ganadores con el fin de que postulen sus trabajos ante el Comité Editorial, para su posible publicación a través del IEEM. </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dar más contexto respecto de la entrega de los trabajos al IEEM por parte de las personas autoras para concursar en el certamen y la posibilidad de éste de entregarlos a quien los solicita, se hace del conocimiento lo siguiente: </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conformidad con lo establecido en el Glosario de la Organización Mundial de la Propiedad Intelectual (OMPI) publicado en Ginebra, Suiza en 1980, autor (a) “Es la persona que crea una obra”, ahora, a las y los creadores de obras literaria, la Ley Federal del Derecho de Autor los ha reconocido diversos derechos, entre los que se encuentran los patrimoniales. </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derechos patrimoniales “… también llamados por la doctrina derechos económicos, le otorgan al autor o a sus causahabientes las facturas que le confieren exclusividad en el uso, explotación y comunicación de sus obras, así como el derecho de autorizar o prohibir a terceros la explotación o comunicación pública de éstas con fines de lucro directo o indirecto. </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 </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para que el IEEM entregue a una persona particular o haga pública una obra literaria es necesario que cuente con la autorización de quien la creó, que esta autorización sea por escrito y además haya expedido en favor del auto o autora un pago (por la transmisión de derechos patrimoniales y regalías). Es decir, el trabajo de investigación corresponde al ámbito privado de quien ostenta la autoría. </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que nos ocupa, es claro que quienes participaron en el XXVII Certamen de Investigación y Ensayo Político otorgaron su consentimiento tácito a las condiciones estipuladas en la convocatoria respectiva, pero también lo es que el IEEM, a través de dicha convocatoria, hizo el llamado a personas estudiantes, investigadoras, docentes y académicas a postular trabajos que contribuyen a la consolidación democrática y fomentaran el debate y la participación ciudadana en torno a los asuntos públicos, así como al fortalecimiento del sistema electoral y de las instituciones democráticas, pero no tuvo el objetivo de obtener los derechos patrimoniales de quienes ostentan la autoría de los trabajos ni concursantes ni ganadores, de ahí que las bases de la citada convocatoria no existe alguna que refiera que el IEEM será el titular de los derechos patrimoniales de los trabajos, ni que las y los participantes, por el solo hecho de entregar los trabajos, los transmiten. </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si la convocatoria no estableció la transmisión de los derechos patrimoniales, a decir de José Luis Caballero Leal, “… el autor no puede quedar obligado a la suscripción de un contrato de edición cuyas características no han quedado plenamente especificadas en la convocatoria o bases de participación publicadas para el concurso o certamen literario, habida cuenta de que, aun en el caso de los contratos verbales, es condición necesaria para establecerlas el que el consentimiento de las partes conste de manera fehaciente”</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Después de lo expuesto, es fable afirmar que el IEEM se encuentra impedido de entregar los trabajos concursantes y que resultaron ganadores a la persona que los solicita pues no cuenta, primero, con la transmisión por escrito de los derechos patrimoniales para que la obra sea divulgada, y, segundo, tampoco el IEEM ha otorgado un pago por dicha transmisión, toda vez que el premio otorgado a las y los ganadores con recursos públicos, ha sido como recompensa por la </w:t>
      </w:r>
      <w:r w:rsidDel="00000000" w:rsidR="00000000" w:rsidRPr="00000000">
        <w:rPr>
          <w:rFonts w:ascii="Palatino Linotype" w:cs="Palatino Linotype" w:eastAsia="Palatino Linotype" w:hAnsi="Palatino Linotype"/>
          <w:b w:val="1"/>
          <w:sz w:val="22"/>
          <w:szCs w:val="22"/>
          <w:rtl w:val="0"/>
        </w:rPr>
        <w:t xml:space="preserve">calidad de trabajo </w:t>
      </w:r>
      <w:r w:rsidDel="00000000" w:rsidR="00000000" w:rsidRPr="00000000">
        <w:rPr>
          <w:rFonts w:ascii="Palatino Linotype" w:cs="Palatino Linotype" w:eastAsia="Palatino Linotype" w:hAnsi="Palatino Linotype"/>
          <w:sz w:val="22"/>
          <w:szCs w:val="22"/>
          <w:rtl w:val="0"/>
        </w:rPr>
        <w:t xml:space="preserve">presentado respecto de las demás obras concursantes, </w:t>
      </w:r>
      <w:r w:rsidDel="00000000" w:rsidR="00000000" w:rsidRPr="00000000">
        <w:rPr>
          <w:rFonts w:ascii="Palatino Linotype" w:cs="Palatino Linotype" w:eastAsia="Palatino Linotype" w:hAnsi="Palatino Linotype"/>
          <w:b w:val="1"/>
          <w:sz w:val="22"/>
          <w:szCs w:val="22"/>
          <w:rtl w:val="0"/>
        </w:rPr>
        <w:t xml:space="preserve">para reconocerla y estimular la calidad académica, </w:t>
      </w:r>
      <w:r w:rsidDel="00000000" w:rsidR="00000000" w:rsidRPr="00000000">
        <w:rPr>
          <w:rFonts w:ascii="Palatino Linotype" w:cs="Palatino Linotype" w:eastAsia="Palatino Linotype" w:hAnsi="Palatino Linotype"/>
          <w:sz w:val="22"/>
          <w:szCs w:val="22"/>
          <w:rtl w:val="0"/>
        </w:rPr>
        <w:t xml:space="preserve">máxime que en la elaboración de los mismos no fueron utilizados recursos públicos y su difusión no abona a la transparencia ni a la rendición de cuentas…</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hyperlink r:id="rId7">
        <w:r w:rsidDel="00000000" w:rsidR="00000000" w:rsidRPr="00000000">
          <w:rPr>
            <w:rFonts w:ascii="Palatino Linotype" w:cs="Palatino Linotype" w:eastAsia="Palatino Linotype" w:hAnsi="Palatino Linotype"/>
            <w:b w:val="1"/>
            <w:color w:val="000000"/>
            <w:sz w:val="22"/>
            <w:szCs w:val="22"/>
            <w:u w:val="none"/>
            <w:rtl w:val="0"/>
          </w:rPr>
          <w:t xml:space="preserve">Acuerdo IEEM-CT-106-2025.pdf</w:t>
        </w:r>
      </w:hyperlink>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Acuerdo de clasificación como confidencial, para otorgar respuesta a la solicitud de acceso a la información pública 00679/IEEM/IP/2025, mediante el cual se precisa la imposibilidad para otorgar acceso a la información solicitada al corresponder a información confidencial. </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OFICIO RESPUESTA 679-2025 UT.pdf: </w:t>
      </w:r>
      <w:r w:rsidDel="00000000" w:rsidR="00000000" w:rsidRPr="00000000">
        <w:rPr>
          <w:rFonts w:ascii="Palatino Linotype" w:cs="Palatino Linotype" w:eastAsia="Palatino Linotype" w:hAnsi="Palatino Linotype"/>
          <w:sz w:val="22"/>
          <w:szCs w:val="22"/>
          <w:rtl w:val="0"/>
        </w:rPr>
        <w:t xml:space="preserve">Oficio número IEEM/UT/1483/2025 signado por la Titular de la Unidad de Transparencia, a través del cual refiere remitir el oficio emitido por la Servidora Pública Habilitado del Centro de Formación y Documentación Electoral. </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persona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solicitante interpuso recurso de revisión a través del Sistema de Acceso a la Información Mexiquense en fecha </w:t>
      </w:r>
      <w:r w:rsidDel="00000000" w:rsidR="00000000" w:rsidRPr="00000000">
        <w:rPr>
          <w:rFonts w:ascii="Palatino Linotype" w:cs="Palatino Linotype" w:eastAsia="Palatino Linotype" w:hAnsi="Palatino Linotype"/>
          <w:b w:val="1"/>
          <w:sz w:val="22"/>
          <w:szCs w:val="22"/>
          <w:rtl w:val="0"/>
        </w:rPr>
        <w:t xml:space="preserve">tres de junio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426"/>
        </w:tabs>
        <w:spacing w:line="360" w:lineRule="auto"/>
        <w:ind w:right="6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276" w:lineRule="auto"/>
        <w:ind w:left="567" w:right="693"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“No se entrega lo solicitado.” </w:t>
      </w:r>
    </w:p>
    <w:p w:rsidR="00000000" w:rsidDel="00000000" w:rsidP="00000000" w:rsidRDefault="00000000" w:rsidRPr="00000000" w14:paraId="00000039">
      <w:pPr>
        <w:spacing w:line="276" w:lineRule="auto"/>
        <w:ind w:left="567" w:right="693" w:firstLine="0"/>
        <w:rPr>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ind w:left="567" w:right="69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“No se entrega lo solicitado.”</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06469/INFOEM/IP/RR/2025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2"/>
      <w:bookmarkEnd w:id="2"/>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seis de junio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nueve de junio de dos mil veinticinco</w:t>
      </w:r>
      <w:r w:rsidDel="00000000" w:rsidR="00000000" w:rsidRPr="00000000">
        <w:rPr>
          <w:rFonts w:ascii="Palatino Linotype" w:cs="Palatino Linotype" w:eastAsia="Palatino Linotype" w:hAnsi="Palatino Linotype"/>
          <w:sz w:val="22"/>
          <w:szCs w:val="22"/>
          <w:rtl w:val="0"/>
        </w:rPr>
        <w:t xml:space="preserve">, el Sujeto Obligado rindió su informe justificado al tenor de lo siguiente: </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284"/>
        </w:tabs>
        <w:spacing w:line="360" w:lineRule="auto"/>
        <w:ind w:left="284" w:right="43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INFORME JUSTIFICADO RR 6469-2025.pdf y INFORME JUSTIFICADO RR 6469-2025 UT.docx: </w:t>
      </w:r>
      <w:r w:rsidDel="00000000" w:rsidR="00000000" w:rsidRPr="00000000">
        <w:rPr>
          <w:rFonts w:ascii="Palatino Linotype" w:cs="Palatino Linotype" w:eastAsia="Palatino Linotype" w:hAnsi="Palatino Linotype"/>
          <w:sz w:val="22"/>
          <w:szCs w:val="22"/>
          <w:rtl w:val="0"/>
        </w:rPr>
        <w:t xml:space="preserve">Mismos que contienen el oficio de fecha seis de mayo de dos mil veinticinco, signado por la Titular de la Unidad de Transparencia, mediante el cual se ratifica la respuesta inicialmente, no obstante, pone a disposición del ahora recurrente el acuerdo IEEM/CG/CFDE/CA/9//2025 emitido por el Comité Académico por el que se aprueba a las personas ganadoras del XXVII Certamen de Investigación y Ensayo Político, del que se puede advertir los resultados de dicho certamen por categoría, lugar y nombre. </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284"/>
        </w:tabs>
        <w:spacing w:line="360" w:lineRule="auto"/>
        <w:ind w:left="284" w:right="43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284"/>
        </w:tabs>
        <w:spacing w:line="360" w:lineRule="auto"/>
        <w:ind w:left="284" w:right="43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IEEM-CG-CFDE-CA-9-2025.pdf</w:t>
      </w:r>
      <w:r w:rsidDel="00000000" w:rsidR="00000000" w:rsidRPr="00000000">
        <w:rPr>
          <w:rFonts w:ascii="Palatino Linotype" w:cs="Palatino Linotype" w:eastAsia="Palatino Linotype" w:hAnsi="Palatino Linotype"/>
          <w:sz w:val="22"/>
          <w:szCs w:val="22"/>
          <w:rtl w:val="0"/>
        </w:rPr>
        <w:t xml:space="preserve">: Acuerdo emitido por el “Comité Académico” por el que se aprueba a las personas ganadoras del XXVII del Certamen de Investigación y Ensayo Político, en el que es posible apreciar los nombres de los ganadores, el título de los trabajados ganadores, y el proceso de selección.  </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284"/>
        </w:tabs>
        <w:spacing w:line="360" w:lineRule="auto"/>
        <w:ind w:left="284" w:right="437" w:firstLine="0"/>
        <w:jc w:val="both"/>
        <w:rPr>
          <w:rFonts w:ascii="Palatino Linotype" w:cs="Palatino Linotype" w:eastAsia="Palatino Linotype" w:hAnsi="Palatino Linotype"/>
          <w:sz w:val="8"/>
          <w:szCs w:val="8"/>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Documentos que se hicieron del conocimiento de la parte Recurrente el </w:t>
      </w:r>
      <w:r w:rsidDel="00000000" w:rsidR="00000000" w:rsidRPr="00000000">
        <w:rPr>
          <w:rFonts w:ascii="Palatino Linotype" w:cs="Palatino Linotype" w:eastAsia="Palatino Linotype" w:hAnsi="Palatino Linotype"/>
          <w:b w:val="1"/>
          <w:sz w:val="22"/>
          <w:szCs w:val="22"/>
          <w:rtl w:val="0"/>
        </w:rPr>
        <w:t xml:space="preserve">catorce de agosto de dos mil veinticinco. </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fue omisa en rendir manifestaciones. </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Ampliación de plazo.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catorce de agosto de dos mil veinticinco</w:t>
      </w:r>
      <w:r w:rsidDel="00000000" w:rsidR="00000000" w:rsidRPr="00000000">
        <w:rPr>
          <w:rFonts w:ascii="Palatino Linotype" w:cs="Palatino Linotype" w:eastAsia="Palatino Linotype" w:hAnsi="Palatino Linotype"/>
          <w:sz w:val="22"/>
          <w:szCs w:val="22"/>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4A">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4C">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4E">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50">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52">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54">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tabs>
          <w:tab w:val="left" w:leader="none" w:pos="709"/>
        </w:tabs>
        <w:spacing w:line="360" w:lineRule="auto"/>
        <w:ind w:left="36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56">
      <w:pPr>
        <w:tabs>
          <w:tab w:val="left" w:leader="none" w:pos="709"/>
        </w:tabs>
        <w:spacing w:line="360" w:lineRule="auto"/>
        <w:ind w:left="36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57">
      <w:pPr>
        <w:tabs>
          <w:tab w:val="left" w:leader="none" w:pos="851"/>
        </w:tabs>
        <w:spacing w:line="360" w:lineRule="auto"/>
        <w:ind w:left="36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58">
      <w:pPr>
        <w:tabs>
          <w:tab w:val="left" w:leader="none" w:pos="851"/>
        </w:tabs>
        <w:spacing w:line="360" w:lineRule="auto"/>
        <w:ind w:left="36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59">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5B">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5C">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5D">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5E">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5F">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61">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ind w:left="72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ind w:left="720"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ind w:left="720" w:right="560"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ind w:left="720" w:right="56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r w:rsidDel="00000000" w:rsidR="00000000" w:rsidRPr="00000000">
        <w:rPr>
          <w:rFonts w:ascii="Palatino Linotype" w:cs="Palatino Linotype" w:eastAsia="Palatino Linotype" w:hAnsi="Palatino Linotype"/>
          <w:sz w:val="18"/>
          <w:szCs w:val="18"/>
          <w:rtl w:val="0"/>
        </w:rPr>
        <w:t xml:space="preserve"> </w:t>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veinte de agosto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6F">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veintiséis de mayo de dos mil veinticinco</w:t>
      </w:r>
      <w:r w:rsidDel="00000000" w:rsidR="00000000" w:rsidRPr="00000000">
        <w:rPr>
          <w:rFonts w:ascii="Palatino Linotype" w:cs="Palatino Linotype" w:eastAsia="Palatino Linotype" w:hAnsi="Palatino Linotype"/>
          <w:sz w:val="22"/>
          <w:szCs w:val="22"/>
          <w:rtl w:val="0"/>
        </w:rPr>
        <w:t xml:space="preserve">, y la persona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tres de junio de dos mil veinticinco</w:t>
      </w:r>
      <w:r w:rsidDel="00000000" w:rsidR="00000000" w:rsidRPr="00000000">
        <w:rPr>
          <w:rFonts w:ascii="Palatino Linotype" w:cs="Palatino Linotype" w:eastAsia="Palatino Linotype" w:hAnsi="Palatino Linotype"/>
          <w:sz w:val="22"/>
          <w:szCs w:val="22"/>
          <w:rtl w:val="0"/>
        </w:rPr>
        <w:t xml:space="preserve">, por lo que, se tuvo por registrado al séptimo día hábil en que se tuvo conocimiento de la respuesta. </w:t>
      </w:r>
    </w:p>
    <w:p w:rsidR="00000000" w:rsidDel="00000000" w:rsidP="00000000" w:rsidRDefault="00000000" w:rsidRPr="00000000" w14:paraId="00000073">
      <w:pPr>
        <w:spacing w:line="276"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suma importancia mencionar que, si bien, la parte no proporcionó </w:t>
      </w:r>
      <w:r w:rsidDel="00000000" w:rsidR="00000000" w:rsidRPr="00000000">
        <w:rPr>
          <w:rFonts w:ascii="Palatino Linotype" w:cs="Palatino Linotype" w:eastAsia="Palatino Linotype" w:hAnsi="Palatino Linotype"/>
          <w:b w:val="1"/>
          <w:sz w:val="22"/>
          <w:szCs w:val="22"/>
          <w:rtl w:val="0"/>
        </w:rPr>
        <w:t xml:space="preserve">nombre </w:t>
      </w:r>
      <w:r w:rsidDel="00000000" w:rsidR="00000000" w:rsidRPr="00000000">
        <w:rPr>
          <w:rFonts w:ascii="Palatino Linotype" w:cs="Palatino Linotype" w:eastAsia="Palatino Linotype" w:hAnsi="Palatino Linotype"/>
          <w:sz w:val="22"/>
          <w:szCs w:val="22"/>
          <w:rtl w:val="0"/>
        </w:rPr>
        <w:t xml:space="preserve">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7"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Finalmente, resulta procedente la interposición del recurso, según lo aducido por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LA PARTE RECURRENTE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 sus razones o motivos de inconformidad, de acuerdo al artículo 179, fracción I de la Ley de Transparencia y Acceso a la Información Pública del Estado de México y Municipios; que a la letra dice:</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 w:right="10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179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recurso de revisión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y procederá en contra de las siguientes causas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 w:right="10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 w:right="10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La negativa a la información solicitada;”</w:t>
      </w: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e informe justificado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5">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86">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89">
      <w:pPr>
        <w:spacing w:line="360"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tabs>
          <w:tab w:val="left" w:leader="none" w:pos="6804"/>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B">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C">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8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90">
      <w:pPr>
        <w:spacing w:line="276" w:lineRule="auto"/>
        <w:ind w:right="8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92">
      <w:pPr>
        <w:spacing w:line="276" w:lineRule="auto"/>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9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9A">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B">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9C">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E">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A0">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A1">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A2">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A3">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A4">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tl w:val="0"/>
        </w:rPr>
      </w:r>
    </w:p>
    <w:p w:rsidR="00000000" w:rsidDel="00000000" w:rsidP="00000000" w:rsidRDefault="00000000" w:rsidRPr="00000000" w14:paraId="000000A6">
      <w:pPr>
        <w:spacing w:line="360" w:lineRule="auto"/>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Ahora bien, es de recordar que la parte Recurrente solicitó información, del resultado del XXVII Certamen de Investigación y Ensayo Político y los trabajos ganadores de cada categoría.</w:t>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a través del Centro de Formación y Documentación Electoral  informó que no era posible realizar la entrega de los trabajos académicos solicitados en razón de que, en 2024 el Comité Académico del Centro del IEEM, aprobó la convocatoria del XXVII Certamen de Investigación y Ensayo Político, cuyo objetivo fue reconocer y estimular la calidad académica y resaltar las aportaciones de la ciudadanía en torno al conocimiento y reflexión sobre temas político-electorales de interés y relevancia para el contexto actual. </w:t>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se precisó que el Comité Académico al declarar a dichos trabajos como ganadores, mediante el Acuerdo IEEM/CG/CFDE/CA/9/2025 facultó a la Secretaria Técnica para que extienda una invitación a las personas autoras de los trabajos ganadores con el fin de que postulen sus trabajos ante el Comité Editorial, para su posible publicación a través del IEEM.  </w: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se refirió que, es claro que quienes participaron en el XXVII Certamen de Investigación y Ensayo Político otorgaron su consentimiento tácito a las condiciones estipuladas en la convocatoria respectiva, pero también lo es que el IEEM, a través de dicha convocatoria, hizo el llamado a personas estudiantes, investigadoras, docentes y académicas a postular trabajos que contribuyen a la consolidación democrática y fomentaran el debate y la participación ciudadana en torno a los asuntos públicos, así como al fortalecimiento del sistema electoral y de las instituciones democráticas, pero no con el objetivo de obtener los derechos patrimoniales de quienes ostentan la autoría de los trabajos ni concursantes ni ganadores, de ahí que las bases de la citada convocatoria no existe alguna que refiera que el IEEM será el titular de los derechos patrimoniales de los trabajos, ni que las y los participantes, por el solo hecho de entregar los trabajos, los transmiten. </w:t>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conformidad con la respuesta otorgada se precisa que el IEEM se encuentra impedido de entregar los trabajos concursantes y que resultaron ganadores a la persona que los solicita pues no cuenta, primero, con la transmisión por escrito de los derechos patrimoniales para que la obra sea divulgada, y, segundo, tampoco el IEEM ha otorgado un pago por dicha transmisión, toda vez que el premio otorgado a las y los ganadores con recursos públicos, ha sido como recompensa por la calidad de trabajo presentado respecto de las demás obras concursantes, para reconocerla y estimular la calidad académica, máxime que en la elaboración de los mismos no fueron utilizados recursos públicos y su difusión no abona a la transparencia ni a la rendición de cuenta. </w:t>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que no se le proporciona la información solicitada. </w:t>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mediante informe justificado, el Sujeto Obligado en atención a este punto de la solicitud ratificó su respuesta inicial, no obstante, pone a disposición del ahora recurrente el acuerdo IEEM/CG/CFDE/CA/9//2025 emitido por el Comité Académico por el que se aprueba a las personas ganadoras del XXVII Certamen de Investigación y Ensayo Político, del que se puede advertir los resultados de dicho certamen por categoría, lugar y nombre.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Precisado lo anterior, y toda vez que este Órgano Garante de acceso a la información pública tiene la facultad y responsabilidad de verificar la procedencia y legalidad de la información que los sujetos obligados entregan en cumplimiento de las solicitudes de información pública es oportuno señalar que, de las constancias que obran en el Sistema de Acceso a la Información Mexiquense (SAIMEX), se advierte que el área que emitió la respuesta al requerimiento del particular es, en efecto, la unidad administrativa competente conforme al diseño orgánico del Instituto Electoral del Estado de México. Tal competencia se encuentra  prevista el Manual de Organización, en el cual se detallan las atribuciones específicas de dicha unidad, relativas a la organización del Certamen de Ensayo Político, como a continuación se observa: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567" w:right="100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 Centro de Formación y Documentación Electoral.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100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Objetivo: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Brindar servicios a las distintas áreas del Instituto, a los partidos políticos y a la ciudadanía, coadyuvando en la promoción de la cultura política democrática, mediante la oferta académica y de investigación, así como la edición y divulgación de documentos en materia político electoral, en apego al marco normativo que nos rige; a través de un Sistema de Gestión de la Calidad que promueva la mejora continua de sus procesos.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100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Coadyuvar en la promoción y desarrollo de la cultura política democrática mediante la oferta académica, producción, edición, divulgación y publicación de documentos y actividades en materia político electoral;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100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Ofrecer estudios de postgrado en áreas afines a la materia político electoral;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100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Realizar eventos académico-culturales sobre temas político electorales, en coordinación con instituciones públicas, privadas y sociales;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100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100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7.1.- Subdirección Académica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100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Objetivo: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Planear, coordinar y supervisar los procesos de selección, admisión, matrícula y registro de los alumnos de posgrado del Centro, así como instrumentar acciones orientadas a la evaluación de las actividades académicas que se desarrollen en el Centro, con el fin de mejorar los servicios educativos que se prestan.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567" w:right="100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Funciones: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567" w:right="100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100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Coadyuvar en la coordinación de actividades para la realización del Certamen Estatal de Investigación y Ensayo Político</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567" w:right="100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567" w:right="57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(Énfasis añadido)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Como puede observarse, dicho centro de formación tiene dentro de sus funciones la de coordinar y ejecutar las actividades de promoción y desarrollo de la cultura política democrática así como de la organización del Certamen de Investigación y Ensayo Político . Esta facultad, plasmada en el Manual de Organización en cita, implica que dicho Centro de Formación participa activamente en la organización del Certamen del cual se requiere información.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consecuencia es preciso verificar que, cuando una solicitud de acceso a la información se refiere a aspectos vinculados con la organización y consecución del Certamen Estatal de Investigación y Ensayo Político, este Centro, se configura como la fuente idónea para generar, custodiar y proporcionar la información solicitada.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ese desarrollo, es preciso establecer en un primer momento que el particular manifiesta inconformidad respecto a que no se le proporciona lo solicitado, por lo que en atención a las constancias que obran en el Sistema de Acceso a la Información mexiquense (SAIMEX) el Sujeto Obligado precisó mediate respuesta e informe justificado que se encontraba imposibilitado para otorgar la información solicitada en razón de que de conformidad con dicha convocatoria, específicamente, la base VIII. “Los Premios”, se indica que los trabajos ganadores que, a consideración de las personas integrantes del jurado calificador cuenten con el rigor académico suficiente,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podrán ser propuestos para su publicación en alguna de las líneas editoriales del Instituto previa aprobación del Comité Editorial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por lo que, como fue precisado en su momento oportuno a través de respuesta,  dicho comité declaró a dichos trabajos como ganadores mediante el acuerdo IEEM/CG/CFDE/CA/9/2025 y facultó a la Secretaría Técnica para que extendiera una invitación a las personas autoras de los trabajos ganadores con el fin de que postulen sus trabajos ante el Comité Editorial para su posible publicación.</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Precisando, que si bien, quienes participaron en el “XXVII Certamen de Investigación y Ensayo Político” otorgaron su consentimiento tácito a las condiciones estipuladas en la convocatoria respectiva, lo cierto es que, el IEEM a través de la misma, no tuvo por objeto obtener los derechos patrimoniales de quienes ostenten la autoría de los trabajos concursantes o ganadores, de ahí que, en las bases de dicha convocatoria no existe alguna que refiera que el IEEM será titular de los derechos patrimoniales de los trabajos, ni que las y los participantes, por el solo hecho de entregar los trabajos, los transmiten.</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se señaló que de conformidad con el Acuerdo IEEM/CT/106/2025 aprobado por el Comité de Transparencia de este Instituto, la información relativa a los trabajos de investigación cuya publicación no se autorice no debe difundirse, toda vez que dicha información corresponde al ámbito privado del autor del trabajo respectivo.</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ese sentido, y en seguimiento a lo que se pretende establecer el derecho de acceso a la información pública, consagrado en el artículo 6° constitucional, y regulado por la Ley General de Transparencia, así como la Ley de Transparencia del Estado de México y Municipios, tiene como finalidad garantizar a todas las personas la posibilidad de conocer, solicitar y recibir información generada, administrada o poseída por sujetos obligados.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obstante lo anterior, es oportuno precisar que, este derecho no es absoluto y encuentra límites legítimos en el marco de otros derechos fundamentales, entre ellos, los derechos de autor y propiedad intelectual, previstos en los artículos 28 de la Constitución y en las leyes especializadas, como la Ley Federal del Derecho de Autor.</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las obras académicas que, de manera enunciativa más no limitativa, pudieran ser  tesis, libros, investigaciones, ensayos y contenidos educativos, elaborados por académicos, investigadores o  docentes constituyen creaciones originales que están protegidas por el régimen de derechos de autor, ya que implican esfuerzo intelectual, estilo propio, contenido novedoso y aportaciones especializadas.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este respecto, estas creaciones intelectuales, al igual que cualquier otra obra artística o literaria, están protegidas por la legislación de derechos de autor, en específico la Ley Federal de Derechos de Autor la cual confiere a sus creadores una serie de derechos exclusivos los cuales pueden incluir, entre otros, el derecho de reproducción, el derecho de distribución, el derecho de comunicación pública y el derecho de transformación, como a continuación se observa: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567" w:right="579"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Artículo 19.-</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El derecho moral se considera unido al autor y es inalienable, imprescriptible, irrenunciable e inembargable.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Dicho dispositivo, precia la esencia y la fuerza de los derechos morales de los autores, declarándolos como una prerrogativa inquebrantable e indisoluble de su creador. Este artículo fundamental establece que "El derecho moral se considera unido al autor y es inalienable, imprescriptible, irrenunciable e inembargable". Cada una de estas características subraya la profunda conexión entre el autor y su obra, y la protección que la ley otorga a esa relación, así, en correlación con el diverso 20 del ordenamiento legal en cita, corresponde el ejercicio del derecho moral, al propio creador de la obra y a sus herederos.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y mientras que el Artículo 19 de la Ley Federal del Derecho de Autor protege la esencia inalienable del vínculo entre el autor y su obra (derechos morales), los Artículos 24 y 25 de la misma ley establecen otro aspecto vital: los derechos patrimoniales. Estos artículos confieren al autor la facultad exclusiva de explotar económicamente su obra o de autorizar a terceros para que lo hagan, siempre dentro de los límites legales y sin menoscabar la inviolabilidad de los derechos morales, como a continuación se observa: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567" w:right="57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 titular del derecho patrimonial el autor, heredero o el adquirente por cualquier título.”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567" w:right="57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autor es el titular originario del derecho patrimonial y sus herederos o causahabientes por cualquier título serán considerados titulares derivados.” (Sic)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es necesario apuntar que al solicitar una obra académica a través del ejercicio del  derecho de acceso a la información pública, la intención subyacente es obtener una copia o acceso al contenido de dicha obra. Si bien en un primer momento podría parecer un ejercicio de transparencia, el efecto práctico sería una reproducción y potencial distribución masiva de la obra sin el consentimiento del autor por lo que constituye una violación directa de los derechos de reproducción y distribución que le corresponden al creador, de conformidad con lo que precisa el artículo  27 fracción I: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567" w:right="57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titulares de los derechos patrimoniales podrán autorizar o prohibir:</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567" w:right="57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La reproducción, publicación, edición o fijación material de una obra en copias o ejemplares, efectuada por cualquier medio ya sea impreso, fonográfico, gráfico, plástico, audiovisual, electrónico, fotográfico u otro similar.</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567" w:right="57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la Ley Federal de Derechos de Autor establece claramente que es el autor quien tiene la potestad de decidir cómo y cuándo su obra será copiada y puesta a disposición del público por lo que este Órgano Garante advierte que, en efecto, y tal como fuere apuntado por el Sujeto Obligado, permitir que una entidad pública entregue indiscriminadamente estas obras anularía este control exclusivo inherente al autor.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Además, la entrega de obras académicas mediante este cauce podría afectar el derecho moral del autor a la integridad de su obra. Aunque en el contexto del acceso a la información la obra se entregaría tal cual, la falta de control sobre su difusión posterior o la posibilidad de que sea utilizada en contextos no autorizados podría menoscabar la reputación o la forma en que el autor desea que su trabajo sea percibido.</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no pasa desapercibido que el Instituto Electoral del Estado de México, señaló que, si bien quienes participaron en el “XXVII Certamen de Investigación y Ensayo Político” otorgaron su consentimiento tácito para la postulación de sus trabajos, no se tuvo el objetivo de obtener los derechos patrimoniales de quienes ostenten la autoría de los trabajos de los concursantes y  ganadores, de ahí que en las bases de la citada convocatoria no existe alguna que refiera que el IEEM será el titular de los derechos patrimoniales de los trabajos, ni que las y los participantes, por el solo hecho de entregar los trabajos los trasmiten y que por lo tanto se deban hacer públicos.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Precisándose que, el IEEM se encuentra impedido para entregar los trabajos concursantes y que resultaron ganadores ya que no cuenta, primero, con la transmisión por escrito de los derechos patrimoniales para que la obra sea divulgada, y, segundo, tampoco el IEEM ha otorgado un pago por dicha transmisión, toda vez que el  premio otorgado a las y los ganadores con recursos públicos, ha sido como recompensa por la calidad del trabajo presentado respecto de las demás obras concursantes.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ese desarrollo, es importante diferenciar entre la información pública generada por las instituciones como reportes, estadísticas o documentos administrativos y las obras académicas que, si bien pueden haber sido generadas en el seno de una institución, son primordialmente el fruto del intelecto individual de un autor o un grupo de autores, lo que implica que la institución puede ser depositaria de la investigación, pero no la titular originaria de los derechos patrimoniales sobre la obra, a menos que exista un contrato de cesión de derechos específico que así lo establezca y que, aun así, debe respetar los derechos morales del autor.</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lo procedente es confirmar la clasificación propuesta por el Comité de Transparencia del Sujeto Obligado, ya que existen elementos que permiten acreditar que la información solicitada de conformidad con la Ley de Transparencia del Estado  corresponde a información relacionada con el secreto intelectual, como a continuación se observa: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567" w:right="57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Tratándose de información, en posesión de los sujetos obligados, que se relacione con el secreto comercial, industrial, fiscal, bancario, fiduciario u otro considerado como tal por alguna otra disposición legal, se estará a lo que la legislación de la materia establezca.” (Sic)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el artículo en cita, establece una excepción al principio de máxima publicidad al señalar que, tratándose de información en posesión de los sujetos obligados que se relacione con secretos protegidos por disposiciones legales especiales como lo es la de Derechos de Autor se deberá aplicar lo dispuesto por la legislación correspondiente, </w:t>
      </w:r>
      <w:r w:rsidDel="00000000" w:rsidR="00000000" w:rsidRPr="00000000">
        <w:rPr>
          <w:rFonts w:ascii="Palatino Linotype" w:cs="Palatino Linotype" w:eastAsia="Palatino Linotype" w:hAnsi="Palatino Linotype"/>
          <w:sz w:val="22"/>
          <w:szCs w:val="22"/>
          <w:rtl w:val="0"/>
        </w:rPr>
        <w:t xml:space="preserve">mismo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que ya ha quedado apuntado, y enmarca que, si bien el acceso a la información pública es un derecho fundamental, existen materias en las que la divulgación de ciertos datos puede implicar riesgos legales, económicos o patrimoniales.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la finalidad del derecho de acceso a la información pública no es fungir como una base de datos para la distribución gratuita de material protegido por derechos de autor. Su propósito es asegurar que los ciudadanos puedan conocer el actuar de sus gobiernos, las decisiones que toman y el uso de los recursos públicos. Solicitar una tesis o un artículo académico a través de este medio desvirtúa su objetivo y lo convierte en un mecanismo para eludir los canales legítimos de acceso a estas obras, como la compra, la suscripción a revistas científicas, el acceso a bases de datos académicas o el uso de bibliotecas.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conclusión, la entrega de obras académicas a través del ejercicio del derecho de acceso a la información pública no solo no es posible, sino que es legalmente inviable debido a la clara vulneración de los derechos de autor que ello implicaría. Respetar los derechos de propiedad intelectual es esencial para mantener el equilibrio entre el acceso a la información y la protección de la creatividad y la innovación.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Ahora bien, del análisis de la solicitud de información que motivo el recurso de revisión que ahora se resuelve, se advierte que el Instituto Electoral del Estado de México, aporta información adicional y brinda acceso a los resultados del XXVII Certamen de Investigación y Ensayo Político, mediante el cual se dan a conocer las personas ganadoras del certamen, como se observa a continuación:</w:t>
      </w:r>
    </w:p>
    <w:p w:rsidR="00000000" w:rsidDel="00000000" w:rsidP="00000000" w:rsidRDefault="00000000" w:rsidRPr="00000000" w14:paraId="000000DE">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886090" cy="3466437"/>
            <wp:effectExtent b="0" l="0" r="0" t="0"/>
            <wp:docPr id="1274719343" name="image2.png"/>
            <a:graphic>
              <a:graphicData uri="http://schemas.openxmlformats.org/drawingml/2006/picture">
                <pic:pic>
                  <pic:nvPicPr>
                    <pic:cNvPr id="0" name="image2.png"/>
                    <pic:cNvPicPr preferRelativeResize="0"/>
                  </pic:nvPicPr>
                  <pic:blipFill>
                    <a:blip r:embed="rId8"/>
                    <a:srcRect b="0" l="796" r="1212" t="744"/>
                    <a:stretch>
                      <a:fillRect/>
                    </a:stretch>
                  </pic:blipFill>
                  <pic:spPr>
                    <a:xfrm>
                      <a:off x="0" y="0"/>
                      <a:ext cx="2886090" cy="3466437"/>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0">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216911" cy="5377560"/>
            <wp:effectExtent b="0" l="0" r="0" t="0"/>
            <wp:docPr id="1274719344" name="image3.png"/>
            <a:graphic>
              <a:graphicData uri="http://schemas.openxmlformats.org/drawingml/2006/picture">
                <pic:pic>
                  <pic:nvPicPr>
                    <pic:cNvPr id="0" name="image3.png"/>
                    <pic:cNvPicPr preferRelativeResize="0"/>
                  </pic:nvPicPr>
                  <pic:blipFill>
                    <a:blip r:embed="rId9"/>
                    <a:srcRect b="0" l="634" r="0" t="0"/>
                    <a:stretch>
                      <a:fillRect/>
                    </a:stretch>
                  </pic:blipFill>
                  <pic:spPr>
                    <a:xfrm>
                      <a:off x="0" y="0"/>
                      <a:ext cx="4216911" cy="53775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1931792</wp:posOffset>
                </wp:positionH>
                <wp:positionV relativeFrom="paragraph">
                  <wp:posOffset>417269</wp:posOffset>
                </wp:positionV>
                <wp:extent cx="2170430" cy="3051664"/>
                <wp:effectExtent b="0" l="0" r="0" t="0"/>
                <wp:wrapNone/>
                <wp:docPr id="1274719340" name=""/>
                <a:graphic>
                  <a:graphicData uri="http://schemas.microsoft.com/office/word/2010/wordprocessingShape">
                    <wps:wsp>
                      <wps:cNvSpPr/>
                      <wps:cNvPr id="2" name="Shape 2"/>
                      <wps:spPr>
                        <a:xfrm>
                          <a:off x="4265548" y="2258931"/>
                          <a:ext cx="2160905" cy="3042139"/>
                        </a:xfrm>
                        <a:prstGeom prst="rect">
                          <a:avLst/>
                        </a:prstGeom>
                        <a:noFill/>
                        <a:ln cap="flat" cmpd="sng" w="9525">
                          <a:solidFill>
                            <a:srgbClr val="EE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1931792</wp:posOffset>
                </wp:positionH>
                <wp:positionV relativeFrom="paragraph">
                  <wp:posOffset>417269</wp:posOffset>
                </wp:positionV>
                <wp:extent cx="2170430" cy="3051664"/>
                <wp:effectExtent b="0" l="0" r="0" t="0"/>
                <wp:wrapNone/>
                <wp:docPr id="127471934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170430" cy="3051664"/>
                        </a:xfrm>
                        <a:prstGeom prst="rect"/>
                        <a:ln/>
                      </pic:spPr>
                    </pic:pic>
                  </a:graphicData>
                </a:graphic>
              </wp:anchor>
            </w:drawing>
          </mc:Fallback>
        </mc:AlternateContent>
      </w:r>
    </w:p>
    <w:p w:rsidR="00000000" w:rsidDel="00000000" w:rsidP="00000000" w:rsidRDefault="00000000" w:rsidRPr="00000000" w14:paraId="000000E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de todo lo anterior, se actualiza la causal de sobreseimiento prevista en la fracción III del artículo 192 de la Ley de Transparencia y Acceso a la Información Pública del Estado de México y Municipios, que dispone lo siguiente:</w:t>
      </w:r>
    </w:p>
    <w:p w:rsidR="00000000" w:rsidDel="00000000" w:rsidP="00000000" w:rsidRDefault="00000000" w:rsidRPr="00000000" w14:paraId="000000E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 </w:t>
      </w:r>
      <w:r w:rsidDel="00000000" w:rsidR="00000000" w:rsidRPr="00000000">
        <w:rPr>
          <w:rFonts w:ascii="Palatino Linotype" w:cs="Palatino Linotype" w:eastAsia="Palatino Linotype" w:hAnsi="Palatino Linotype"/>
          <w:i w:val="1"/>
          <w:sz w:val="22"/>
          <w:szCs w:val="22"/>
          <w:rtl w:val="0"/>
        </w:rPr>
        <w:t xml:space="preserve">El recurso será sobreseído en todo o en parte cuando una vez admitido, se actualicen alguno de los siguientes supuestos:</w:t>
      </w:r>
    </w:p>
    <w:p w:rsidR="00000000" w:rsidDel="00000000" w:rsidP="00000000" w:rsidRDefault="00000000" w:rsidRPr="00000000" w14:paraId="000000E5">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E6">
      <w:pPr>
        <w:ind w:left="992" w:right="10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El sujeto obligado responsable del acto lo modifique o revoque de tal manera que el recurso de revisión quede sin materia…”. (Sic)</w:t>
      </w:r>
    </w:p>
    <w:p w:rsidR="00000000" w:rsidDel="00000000" w:rsidP="00000000" w:rsidRDefault="00000000" w:rsidRPr="00000000" w14:paraId="000000E7">
      <w:pPr>
        <w:spacing w:line="360" w:lineRule="auto"/>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E8">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establecido en el precepto legal citado se advierte que el sobreseimiento del recurso de revisión procede en los siguientes casos:</w:t>
      </w:r>
    </w:p>
    <w:p w:rsidR="00000000" w:rsidDel="00000000" w:rsidP="00000000" w:rsidRDefault="00000000" w:rsidRPr="00000000" w14:paraId="000000E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Cuando el sujeto obligado modifique el acto impugnado.</w:t>
      </w:r>
    </w:p>
    <w:p w:rsidR="00000000" w:rsidDel="00000000" w:rsidP="00000000" w:rsidRDefault="00000000" w:rsidRPr="00000000" w14:paraId="000000E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Cuando el sujeto obligado revoque el acto impugnado.</w:t>
      </w:r>
    </w:p>
    <w:p w:rsidR="00000000" w:rsidDel="00000000" w:rsidP="00000000" w:rsidRDefault="00000000" w:rsidRPr="00000000" w14:paraId="000000E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Quedando en ambos casos el acto combatido sin materia o sin efectos.</w:t>
      </w:r>
    </w:p>
    <w:p w:rsidR="00000000" w:rsidDel="00000000" w:rsidP="00000000" w:rsidRDefault="00000000" w:rsidRPr="00000000" w14:paraId="000000E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observa, un acto impugnado es modificado en aquellos casos en los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después de haber otorgado una respuesta, emite una diversa de manera posterior y en esta subsana las deficiencias que hubiera tenido, quedando satisfecho el derecho subjetivo accionado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ED">
      <w:pPr>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tenor, un acto impugnado queda sin efectos, cuando aun existiendo jurídicamente (esto es, que no se ha modificado, ni revocado) ya no genera ninguna consecuencia legal.</w:t>
      </w:r>
    </w:p>
    <w:p w:rsidR="00000000" w:rsidDel="00000000" w:rsidP="00000000" w:rsidRDefault="00000000" w:rsidRPr="00000000" w14:paraId="000000E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tanto, en el presente caso queda sin materia, toda vez que con el Informe Justificado,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modificó la respuesta al remitir los resultados del Certamen precisado, actualizándose entonces la causal prevista en la fracción III del artículo 192 de la Ley de la Materia vigente en la Entidad, antes transcrita. </w:t>
      </w:r>
    </w:p>
    <w:p w:rsidR="00000000" w:rsidDel="00000000" w:rsidP="00000000" w:rsidRDefault="00000000" w:rsidRPr="00000000" w14:paraId="000000E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el </w:t>
      </w:r>
      <w:r w:rsidDel="00000000" w:rsidR="00000000" w:rsidRPr="00000000">
        <w:rPr>
          <w:rFonts w:ascii="Palatino Linotype" w:cs="Palatino Linotype" w:eastAsia="Palatino Linotype" w:hAnsi="Palatino Linotype"/>
          <w:i w:val="1"/>
          <w:sz w:val="22"/>
          <w:szCs w:val="22"/>
          <w:rtl w:val="0"/>
        </w:rPr>
        <w:t xml:space="preserve">sobreseimiento</w:t>
      </w:r>
      <w:r w:rsidDel="00000000" w:rsidR="00000000" w:rsidRPr="00000000">
        <w:rPr>
          <w:rFonts w:ascii="Palatino Linotype" w:cs="Palatino Linotype" w:eastAsia="Palatino Linotype" w:hAnsi="Palatino Linotype"/>
          <w:sz w:val="22"/>
          <w:szCs w:val="22"/>
          <w:rtl w:val="0"/>
        </w:rPr>
        <w:t xml:space="preserve"> un acto que da por terminado el procedimiento administrativo de impugnación sin resolver el fondo de la cuestión planteada, por presentarse causas que impiden a la autoridad referirse a lo sustancial de lo planteado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los efectos del sobreseimiento son los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F0">
      <w:pPr>
        <w:spacing w:before="240" w:lineRule="auto"/>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w:t>
      </w:r>
      <w:r w:rsidDel="00000000" w:rsidR="00000000" w:rsidRPr="00000000">
        <w:rPr>
          <w:rtl w:val="0"/>
        </w:rPr>
      </w:r>
    </w:p>
    <w:p w:rsidR="00000000" w:rsidDel="00000000" w:rsidP="00000000" w:rsidRDefault="00000000" w:rsidRPr="00000000" w14:paraId="000000F1">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0F2">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0F3">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4">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destacar que la decisión de este órgano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F5">
      <w:pPr>
        <w:spacing w:before="24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DESECHAMIENTO O SOBRESEIMIENTO EN EL JUICIO DE AMPARO. NO IMPLICA DENEGACIÓN DE JUSTICIA NI GENERA INSEGURIDAD JURÍDICA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6">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0F7">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8">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F9">
      <w:pPr>
        <w:spacing w:before="240" w:line="360" w:lineRule="auto"/>
        <w:ind w:left="36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III.R E S U E L V E:</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SOBRESEE</w:t>
      </w:r>
      <w:r w:rsidDel="00000000" w:rsidR="00000000" w:rsidRPr="00000000">
        <w:rPr>
          <w:rFonts w:ascii="Palatino Linotype" w:cs="Palatino Linotype" w:eastAsia="Palatino Linotype" w:hAnsi="Palatino Linotype"/>
          <w:sz w:val="22"/>
          <w:szCs w:val="22"/>
          <w:rtl w:val="0"/>
        </w:rPr>
        <w:t xml:space="preserve"> el recurso de revisión número </w:t>
      </w:r>
      <w:r w:rsidDel="00000000" w:rsidR="00000000" w:rsidRPr="00000000">
        <w:rPr>
          <w:rFonts w:ascii="Palatino Linotype" w:cs="Palatino Linotype" w:eastAsia="Palatino Linotype" w:hAnsi="Palatino Linotype"/>
          <w:b w:val="1"/>
          <w:sz w:val="22"/>
          <w:szCs w:val="22"/>
          <w:rtl w:val="0"/>
        </w:rPr>
        <w:t xml:space="preserve">06469/INFOEM/IP/RR/2025,</w:t>
      </w:r>
      <w:r w:rsidDel="00000000" w:rsidR="00000000" w:rsidRPr="00000000">
        <w:rPr>
          <w:rFonts w:ascii="Palatino Linotype" w:cs="Palatino Linotype" w:eastAsia="Palatino Linotype" w:hAnsi="Palatino Linotype"/>
          <w:sz w:val="22"/>
          <w:szCs w:val="22"/>
          <w:rtl w:val="0"/>
        </w:rPr>
        <w:t xml:space="preserve"> porque al </w:t>
      </w:r>
      <w:r w:rsidDel="00000000" w:rsidR="00000000" w:rsidRPr="00000000">
        <w:rPr>
          <w:rFonts w:ascii="Palatino Linotype" w:cs="Palatino Linotype" w:eastAsia="Palatino Linotype" w:hAnsi="Palatino Linotype"/>
          <w:b w:val="1"/>
          <w:sz w:val="22"/>
          <w:szCs w:val="22"/>
          <w:rtl w:val="0"/>
        </w:rPr>
        <w:t xml:space="preserve">modificar la respuesta</w:t>
      </w:r>
      <w:r w:rsidDel="00000000" w:rsidR="00000000" w:rsidRPr="00000000">
        <w:rPr>
          <w:rFonts w:ascii="Palatino Linotype" w:cs="Palatino Linotype" w:eastAsia="Palatino Linotype" w:hAnsi="Palatino Linotype"/>
          <w:sz w:val="22"/>
          <w:szCs w:val="22"/>
          <w:rtl w:val="0"/>
        </w:rPr>
        <w:t xml:space="preserve"> se actualizó la causal prevista en el artículo 192, fracción III, de la Ley de Transparencia y Acceso a la Información Pública del Estado de México y Municipios, quedando sin materia en términos del considerando </w:t>
      </w:r>
      <w:r w:rsidDel="00000000" w:rsidR="00000000" w:rsidRPr="00000000">
        <w:rPr>
          <w:rFonts w:ascii="Palatino Linotype" w:cs="Palatino Linotype" w:eastAsia="Palatino Linotype" w:hAnsi="Palatino Linotype"/>
          <w:i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la presente Resolución.</w:t>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vía </w:t>
      </w:r>
      <w:r w:rsidDel="00000000" w:rsidR="00000000" w:rsidRPr="00000000">
        <w:rPr>
          <w:rFonts w:ascii="Palatino Linotype" w:cs="Palatino Linotype" w:eastAsia="Palatino Linotype" w:hAnsi="Palatino Linotype"/>
          <w:sz w:val="22"/>
          <w:szCs w:val="22"/>
          <w:rtl w:val="0"/>
        </w:rPr>
        <w:t xml:space="preserve">Sistema de Acceso a la Información Mexiquense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su conocimiento. </w:t>
      </w:r>
    </w:p>
    <w:p w:rsidR="00000000" w:rsidDel="00000000" w:rsidP="00000000" w:rsidRDefault="00000000" w:rsidRPr="00000000" w14:paraId="000000F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a través </w:t>
      </w:r>
      <w:r w:rsidDel="00000000" w:rsidR="00000000" w:rsidRPr="00000000">
        <w:rPr>
          <w:rFonts w:ascii="Palatino Linotype" w:cs="Palatino Linotype" w:eastAsia="Palatino Linotype" w:hAnsi="Palatino Linotype"/>
          <w:sz w:val="22"/>
          <w:szCs w:val="22"/>
          <w:rtl w:val="0"/>
        </w:rPr>
        <w:t xml:space="preserve">del Sistema de Acceso a la Información Mexiquense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000000" w:rsidDel="00000000" w:rsidP="00000000" w:rsidRDefault="00000000" w:rsidRPr="00000000" w14:paraId="000000FE">
      <w:pPr>
        <w:spacing w:after="240" w:before="240" w:line="360" w:lineRule="auto"/>
        <w:jc w:val="both"/>
        <w:rPr>
          <w:rFonts w:ascii="Palatino Linotype" w:cs="Palatino Linotype" w:eastAsia="Palatino Linotype" w:hAnsi="Palatino Linotype"/>
          <w:sz w:val="22"/>
          <w:szCs w:val="22"/>
        </w:rPr>
        <w:sectPr>
          <w:headerReference r:id="rId11" w:type="default"/>
          <w:headerReference r:id="rId12" w:type="first"/>
          <w:footerReference r:id="rId13" w:type="default"/>
          <w:footerReference r:id="rId14" w:type="first"/>
          <w:pgSz w:h="16840" w:w="11920" w:orient="portrait"/>
          <w:pgMar w:bottom="278" w:top="1599" w:left="1418" w:right="1134" w:header="720" w:footer="720"/>
          <w:pgNumType w:start="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(AUSENCIA JUSTIFICADA), MARÍA DEL ROSARIO MEJÍA AYALA, SHARON CRISTINA MORALES MARTÍNEZ, LUIS GUSTAVO PARRA NORIEGA Y GUADALUPE RAMÍREZ PEÑA; EN LA VIGÉSIMA NOVENA  SESIÓN ORDINARIA CELEBRADA EL VEINTE DE AGOSTO DE DOS MIL VEINTITRÉS, ANTE EL SECRETARIO TÉCNICO DEL PLENO ALEXIS TAPIA RAMÍREZ. </w:t>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type w:val="nextPage"/>
      <w:pgSz w:h="16840" w:w="1192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-870323</wp:posOffset>
          </wp:positionH>
          <wp:positionV relativeFrom="paragraph">
            <wp:posOffset>-411591</wp:posOffset>
          </wp:positionV>
          <wp:extent cx="7809876" cy="10165823"/>
          <wp:effectExtent b="0" l="0" r="0" t="0"/>
          <wp:wrapNone/>
          <wp:docPr id="127471934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0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0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06469/INFOEM/IP/RR/2025 </w:t>
          </w:r>
        </w:p>
      </w:tc>
    </w:tr>
    <w:tr>
      <w:trPr>
        <w:cantSplit w:val="0"/>
        <w:trHeight w:val="228" w:hRule="atLeast"/>
        <w:tblHeader w:val="0"/>
      </w:trPr>
      <w:tc>
        <w:tcPr>
          <w:vAlign w:val="center"/>
        </w:tcPr>
        <w:p w:rsidR="00000000" w:rsidDel="00000000" w:rsidP="00000000" w:rsidRDefault="00000000" w:rsidRPr="00000000" w14:paraId="0000010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04">
          <w:pPr>
            <w:tabs>
              <w:tab w:val="left" w:leader="none" w:pos="1263"/>
            </w:tabs>
            <w:ind w:right="30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Instituto Electoral del Estado de México </w:t>
          </w:r>
        </w:p>
      </w:tc>
    </w:tr>
    <w:tr>
      <w:trPr>
        <w:cantSplit w:val="0"/>
        <w:trHeight w:val="228" w:hRule="atLeast"/>
        <w:tblHeader w:val="0"/>
      </w:trPr>
      <w:tc>
        <w:tcPr>
          <w:vAlign w:val="center"/>
        </w:tcPr>
        <w:p w:rsidR="00000000" w:rsidDel="00000000" w:rsidP="00000000" w:rsidRDefault="00000000" w:rsidRPr="00000000" w14:paraId="00000105">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106">
          <w:pPr>
            <w:ind w:right="27"/>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08">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-692782</wp:posOffset>
          </wp:positionH>
          <wp:positionV relativeFrom="paragraph">
            <wp:posOffset>-198751</wp:posOffset>
          </wp:positionV>
          <wp:extent cx="7809876" cy="10165823"/>
          <wp:effectExtent b="0" l="0" r="0" t="0"/>
          <wp:wrapNone/>
          <wp:docPr id="127471934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0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0C">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05044/INFOEM/IP/RR/2023 </w:t>
          </w:r>
        </w:p>
      </w:tc>
    </w:tr>
    <w:tr>
      <w:trPr>
        <w:cantSplit w:val="0"/>
        <w:tblHeader w:val="0"/>
      </w:trPr>
      <w:tc>
        <w:tcPr>
          <w:vAlign w:val="center"/>
        </w:tcPr>
        <w:p w:rsidR="00000000" w:rsidDel="00000000" w:rsidP="00000000" w:rsidRDefault="00000000" w:rsidRPr="00000000" w14:paraId="0000010D">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0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ROGELIO ALMAZAN ACOSTA </w:t>
          </w:r>
        </w:p>
      </w:tc>
    </w:tr>
    <w:tr>
      <w:trPr>
        <w:cantSplit w:val="0"/>
        <w:trHeight w:val="228" w:hRule="atLeast"/>
        <w:tblHeader w:val="0"/>
      </w:trPr>
      <w:tc>
        <w:tcPr>
          <w:vAlign w:val="center"/>
        </w:tcPr>
        <w:p w:rsidR="00000000" w:rsidDel="00000000" w:rsidP="00000000" w:rsidRDefault="00000000" w:rsidRPr="00000000" w14:paraId="0000010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110">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11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Cuautitlán Izcalli </w:t>
          </w:r>
        </w:p>
      </w:tc>
    </w:tr>
    <w:tr>
      <w:trPr>
        <w:cantSplit w:val="0"/>
        <w:tblHeader w:val="0"/>
      </w:trPr>
      <w:tc>
        <w:tcPr>
          <w:vAlign w:val="center"/>
        </w:tcPr>
        <w:p w:rsidR="00000000" w:rsidDel="00000000" w:rsidP="00000000" w:rsidRDefault="00000000" w:rsidRPr="00000000" w14:paraId="0000011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13">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252"/>
        <w:tab w:val="right" w:leader="none" w:pos="8504"/>
        <w:tab w:val="left" w:leader="none" w:pos="6210"/>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2">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table" w:styleId="6" w:customStyle="1">
    <w:name w:val="6"/>
    <w:basedOn w:val="TableNormal1"/>
    <w:tblPr>
      <w:tblStyleRowBandSize w:val="1"/>
      <w:tblStyleColBandSize w:val="1"/>
      <w:tblCellMar>
        <w:left w:w="115.0" w:type="dxa"/>
        <w:right w:w="115.0" w:type="dxa"/>
      </w:tblCellMar>
    </w:tblPr>
  </w:style>
  <w:style w:type="table" w:styleId="5" w:customStyle="1">
    <w:name w:val="5"/>
    <w:basedOn w:val="TableNormal1"/>
    <w:tblPr>
      <w:tblStyleRowBandSize w:val="1"/>
      <w:tblStyleColBandSize w:val="1"/>
      <w:tblCellMar>
        <w:left w:w="115.0" w:type="dxa"/>
        <w:right w:w="115.0" w:type="dxa"/>
      </w:tblCellMar>
    </w:tblPr>
  </w:style>
  <w:style w:type="table" w:styleId="4" w:customStyle="1">
    <w:name w:val="4"/>
    <w:basedOn w:val="TableNormal1"/>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A972A9"/>
    <w:pPr>
      <w:tabs>
        <w:tab w:val="center" w:pos="4419"/>
        <w:tab w:val="right" w:pos="8838"/>
      </w:tabs>
    </w:pPr>
  </w:style>
  <w:style w:type="character" w:styleId="EncabezadoCar" w:customStyle="1">
    <w:name w:val="Encabezado Car"/>
    <w:basedOn w:val="Fuentedeprrafopredeter"/>
    <w:link w:val="Encabezado"/>
    <w:uiPriority w:val="99"/>
    <w:rsid w:val="00A972A9"/>
  </w:style>
  <w:style w:type="paragraph" w:styleId="Piedepgina">
    <w:name w:val="footer"/>
    <w:basedOn w:val="Normal"/>
    <w:link w:val="PiedepginaCar"/>
    <w:uiPriority w:val="99"/>
    <w:unhideWhenUsed w:val="1"/>
    <w:rsid w:val="00A972A9"/>
    <w:pPr>
      <w:tabs>
        <w:tab w:val="center" w:pos="4419"/>
        <w:tab w:val="right" w:pos="8838"/>
      </w:tabs>
    </w:pPr>
  </w:style>
  <w:style w:type="character" w:styleId="PiedepginaCar" w:customStyle="1">
    <w:name w:val="Pie de página Car"/>
    <w:basedOn w:val="Fuentedeprrafopredeter"/>
    <w:link w:val="Piedepgina"/>
    <w:uiPriority w:val="99"/>
    <w:rsid w:val="00A972A9"/>
  </w:style>
  <w:style w:type="paragraph" w:styleId="Sinespaciado">
    <w:name w:val="No Spacing"/>
    <w:aliases w:val="Francesa,INAI"/>
    <w:link w:val="SinespaciadoCar"/>
    <w:uiPriority w:val="1"/>
    <w:qFormat w:val="1"/>
    <w:rsid w:val="00D73018"/>
    <w:rPr>
      <w:lang w:eastAsia="es-ES"/>
    </w:rPr>
  </w:style>
  <w:style w:type="character" w:styleId="SinespaciadoCar" w:customStyle="1">
    <w:name w:val="Sin espaciado Car"/>
    <w:aliases w:val="Francesa Car,INAI Car"/>
    <w:link w:val="Sinespaciado"/>
    <w:uiPriority w:val="1"/>
    <w:locked w:val="1"/>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75FA3"/>
    <w:pPr>
      <w:spacing w:after="160" w:line="259" w:lineRule="auto"/>
      <w:ind w:left="720"/>
      <w:contextualSpacing w:val="1"/>
    </w:pPr>
    <w:rPr>
      <w:rFonts w:ascii="Calibri" w:cs="Calibri" w:eastAsia="Calibri" w:hAnsi="Calibri"/>
      <w:sz w:val="22"/>
      <w:szCs w:val="22"/>
      <w:lang w:val="es-MX"/>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C75FA3"/>
    <w:rPr>
      <w:rFonts w:ascii="Calibri" w:cs="Calibri" w:eastAsia="Calibri" w:hAnsi="Calibri"/>
      <w:sz w:val="22"/>
      <w:szCs w:val="22"/>
      <w:lang w:val="es-MX"/>
    </w:rPr>
  </w:style>
  <w:style w:type="table" w:styleId="Tablaconcuadrcula">
    <w:name w:val="Table Grid"/>
    <w:basedOn w:val="Tablanormal"/>
    <w:uiPriority w:val="39"/>
    <w:rsid w:val="0087779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 w:customStyle="1">
    <w:name w:val="3"/>
    <w:basedOn w:val="TableNormal1"/>
    <w:tblPr>
      <w:tblStyleRowBandSize w:val="1"/>
      <w:tblStyleColBandSize w:val="1"/>
      <w:tblCellMar>
        <w:left w:w="108.0" w:type="dxa"/>
        <w:right w:w="108.0" w:type="dxa"/>
      </w:tblCellMar>
    </w:tblPr>
  </w:style>
  <w:style w:type="table" w:styleId="2" w:customStyle="1">
    <w:name w:val="2"/>
    <w:basedOn w:val="TableNormal1"/>
    <w:tblPr>
      <w:tblStyleRowBandSize w:val="1"/>
      <w:tblStyleColBandSize w:val="1"/>
      <w:tblCellMar>
        <w:left w:w="115.0" w:type="dxa"/>
        <w:right w:w="115.0" w:type="dxa"/>
      </w:tblCellMar>
    </w:tblPr>
  </w:style>
  <w:style w:type="table" w:styleId="1" w:customStyle="1">
    <w:name w:val="1"/>
    <w:basedOn w:val="TableNormal1"/>
    <w:tblPr>
      <w:tblStyleRowBandSize w:val="1"/>
      <w:tblStyleColBandSize w:val="1"/>
      <w:tblCellMar>
        <w:left w:w="115.0" w:type="dxa"/>
        <w:right w:w="115.0" w:type="dxa"/>
      </w:tblCellMar>
    </w:tblPr>
  </w:style>
  <w:style w:type="paragraph" w:styleId="NormalWeb">
    <w:name w:val="Normal (Web)"/>
    <w:basedOn w:val="Normal"/>
    <w:uiPriority w:val="99"/>
    <w:unhideWhenUsed w:val="1"/>
    <w:rsid w:val="00825478"/>
    <w:pPr>
      <w:spacing w:after="100" w:afterAutospacing="1" w:before="100" w:beforeAutospacing="1"/>
    </w:pPr>
    <w:rPr>
      <w:lang w:val="es-MX"/>
    </w:rPr>
  </w:style>
  <w:style w:type="character" w:styleId="Hipervnculo">
    <w:name w:val="Hyperlink"/>
    <w:basedOn w:val="Fuentedeprrafopredeter"/>
    <w:uiPriority w:val="99"/>
    <w:unhideWhenUsed w:val="1"/>
    <w:rsid w:val="00B27686"/>
    <w:rPr>
      <w:color w:val="0000ff" w:themeColor="hyperlink"/>
      <w:u w:val="single"/>
    </w:rPr>
  </w:style>
  <w:style w:type="character" w:styleId="Mencinsinresolver1" w:customStyle="1">
    <w:name w:val="Mención sin resolver1"/>
    <w:basedOn w:val="Fuentedeprrafopredeter"/>
    <w:uiPriority w:val="99"/>
    <w:semiHidden w:val="1"/>
    <w:unhideWhenUsed w:val="1"/>
    <w:rsid w:val="00B27686"/>
    <w:rPr>
      <w:color w:val="605e5c"/>
      <w:shd w:color="auto" w:fill="e1dfdd" w:val="clear"/>
    </w:rPr>
  </w:style>
  <w:style w:type="character" w:styleId="Textoennegrita">
    <w:name w:val="Strong"/>
    <w:basedOn w:val="Fuentedeprrafopredeter"/>
    <w:uiPriority w:val="22"/>
    <w:qFormat w:val="1"/>
    <w:rsid w:val="00EE1B43"/>
    <w:rPr>
      <w:b w:val="1"/>
      <w:bCs w:val="1"/>
    </w:rPr>
  </w:style>
  <w:style w:type="character" w:styleId="Refdecomentario">
    <w:name w:val="annotation reference"/>
    <w:basedOn w:val="Fuentedeprrafopredeter"/>
    <w:uiPriority w:val="99"/>
    <w:semiHidden w:val="1"/>
    <w:unhideWhenUsed w:val="1"/>
    <w:rsid w:val="0021414E"/>
    <w:rPr>
      <w:sz w:val="16"/>
      <w:szCs w:val="16"/>
    </w:rPr>
  </w:style>
  <w:style w:type="paragraph" w:styleId="Textocomentario">
    <w:name w:val="annotation text"/>
    <w:basedOn w:val="Normal"/>
    <w:link w:val="TextocomentarioCar"/>
    <w:uiPriority w:val="99"/>
    <w:semiHidden w:val="1"/>
    <w:unhideWhenUsed w:val="1"/>
    <w:rsid w:val="0021414E"/>
    <w:rPr>
      <w:sz w:val="20"/>
      <w:szCs w:val="20"/>
    </w:rPr>
  </w:style>
  <w:style w:type="character" w:styleId="TextocomentarioCar" w:customStyle="1">
    <w:name w:val="Texto comentario Car"/>
    <w:basedOn w:val="Fuentedeprrafopredeter"/>
    <w:link w:val="Textocomentario"/>
    <w:uiPriority w:val="99"/>
    <w:semiHidden w:val="1"/>
    <w:rsid w:val="0021414E"/>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21414E"/>
    <w:rPr>
      <w:b w:val="1"/>
      <w:bCs w:val="1"/>
    </w:rPr>
  </w:style>
  <w:style w:type="character" w:styleId="AsuntodelcomentarioCar" w:customStyle="1">
    <w:name w:val="Asunto del comentario Car"/>
    <w:basedOn w:val="TextocomentarioCar"/>
    <w:link w:val="Asuntodelcomentario"/>
    <w:uiPriority w:val="99"/>
    <w:semiHidden w:val="1"/>
    <w:rsid w:val="0021414E"/>
    <w:rPr>
      <w:b w:val="1"/>
      <w:bCs w:val="1"/>
      <w:sz w:val="20"/>
      <w:szCs w:val="20"/>
    </w:rPr>
  </w:style>
  <w:style w:type="paragraph" w:styleId="Textonotapie">
    <w:name w:val="footnote text"/>
    <w:basedOn w:val="Normal"/>
    <w:link w:val="TextonotapieCar"/>
    <w:uiPriority w:val="99"/>
    <w:semiHidden w:val="1"/>
    <w:unhideWhenUsed w:val="1"/>
    <w:rsid w:val="00C309EF"/>
    <w:rPr>
      <w:sz w:val="20"/>
      <w:szCs w:val="20"/>
    </w:rPr>
  </w:style>
  <w:style w:type="character" w:styleId="TextonotapieCar" w:customStyle="1">
    <w:name w:val="Texto nota pie Car"/>
    <w:basedOn w:val="Fuentedeprrafopredeter"/>
    <w:link w:val="Textonotapie"/>
    <w:uiPriority w:val="99"/>
    <w:semiHidden w:val="1"/>
    <w:rsid w:val="00C309EF"/>
    <w:rPr>
      <w:sz w:val="20"/>
      <w:szCs w:val="20"/>
    </w:rPr>
  </w:style>
  <w:style w:type="character" w:styleId="Refdenotaalpie">
    <w:name w:val="footnote reference"/>
    <w:basedOn w:val="Fuentedeprrafopredeter"/>
    <w:uiPriority w:val="99"/>
    <w:semiHidden w:val="1"/>
    <w:unhideWhenUsed w:val="1"/>
    <w:rsid w:val="00C309EF"/>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4.xml"/><Relationship Id="rId14" Type="http://schemas.openxmlformats.org/officeDocument/2006/relationships/footer" Target="footer2.xml"/><Relationship Id="rId17" Type="http://schemas.openxmlformats.org/officeDocument/2006/relationships/header" Target="header3.xml"/><Relationship Id="rId16" Type="http://schemas.openxmlformats.org/officeDocument/2006/relationships/header" Target="header5.xml"/><Relationship Id="rId5" Type="http://schemas.openxmlformats.org/officeDocument/2006/relationships/styles" Target="styles.xml"/><Relationship Id="rId19" Type="http://schemas.openxmlformats.org/officeDocument/2006/relationships/footer" Target="footer5.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yperlink" Target="https://saimex.org.mx/saimex/solicitud/downloadAttach/2456658.page"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L2NBtwzU6G4KblGlSt6zjaePw==">CgMxLjAyCWguM3pueXNoNzIOaC5yejl5dmJpdXpqbjEyCGguZ2pkZ3hzMgloLjMwajB6bGw4AHIhMUF4bnVJUkxRb1pETGoxMGR3R0FVcmREdGxuZnhQeWdf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2025-09-04T23:29:00Z</dcterms:created>
  <dc:creator>USUARIO</dc:creator>
</cp:coreProperties>
</file>