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sz w:val="22"/>
          <w:szCs w:val="22"/>
          <w:rtl w:val="0"/>
        </w:rPr>
        <w:t xml:space="preserve">trece de agosto de dos mil veinticinco.</w:t>
      </w:r>
      <w:r w:rsidDel="00000000" w:rsidR="00000000" w:rsidRPr="00000000">
        <w:rPr>
          <w:rtl w:val="0"/>
        </w:rPr>
      </w:r>
    </w:p>
    <w:p w:rsidR="00000000" w:rsidDel="00000000" w:rsidP="00000000" w:rsidRDefault="00000000" w:rsidRPr="00000000" w14:paraId="0000000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05659/INFOEM/IP/RR/2025, </w:t>
      </w:r>
      <w:r w:rsidDel="00000000" w:rsidR="00000000" w:rsidRPr="00000000">
        <w:rPr>
          <w:rFonts w:ascii="Palatino Linotype" w:cs="Palatino Linotype" w:eastAsia="Palatino Linotype" w:hAnsi="Palatino Linotype"/>
          <w:sz w:val="22"/>
          <w:szCs w:val="22"/>
          <w:rtl w:val="0"/>
        </w:rPr>
        <w:t xml:space="preserve">interpuesto por </w:t>
      </w:r>
      <w:r w:rsidDel="00000000" w:rsidR="00000000" w:rsidRPr="00000000">
        <w:rPr>
          <w:rFonts w:ascii="Palatino Linotype" w:cs="Palatino Linotype" w:eastAsia="Palatino Linotype" w:hAnsi="Palatino Linotype"/>
          <w:b w:val="1"/>
          <w:color w:val="000000"/>
          <w:sz w:val="20"/>
          <w:szCs w:val="20"/>
          <w:rtl w:val="0"/>
        </w:rPr>
        <w:t xml:space="preserve">XXXXX XXXXX</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por parte del </w:t>
      </w:r>
      <w:r w:rsidDel="00000000" w:rsidR="00000000" w:rsidRPr="00000000">
        <w:rPr>
          <w:rFonts w:ascii="Palatino Linotype" w:cs="Palatino Linotype" w:eastAsia="Palatino Linotype" w:hAnsi="Palatino Linotype"/>
          <w:b w:val="1"/>
          <w:sz w:val="22"/>
          <w:szCs w:val="22"/>
          <w:rtl w:val="0"/>
        </w:rPr>
        <w:t xml:space="preserve">Organismo Público Descentralizado para la Prestación de Servicios de Agua Potable Alcantarillado y Saneamiento de Coacalco de Berriozábal</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w:t>
      </w:r>
    </w:p>
    <w:p w:rsidR="00000000" w:rsidDel="00000000" w:rsidP="00000000" w:rsidRDefault="00000000" w:rsidRPr="00000000" w14:paraId="00000004">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w:t>
        <w:tab/>
        <w:t xml:space="preserve">A N T E C E D E N T E S</w:t>
      </w:r>
    </w:p>
    <w:p w:rsidR="00000000" w:rsidDel="00000000" w:rsidP="00000000" w:rsidRDefault="00000000" w:rsidRPr="00000000" w14:paraId="0000000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Solicitud de Acceso a la Información. El veintidós de abril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la que requirió lo siguiente:</w:t>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426"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bookmarkStart w:colFirst="0" w:colLast="0" w:name="_heading=h.3znysh7" w:id="0"/>
      <w:bookmarkEnd w:id="0"/>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00006/OASCOACALC/IP/2025</w:t>
      </w:r>
    </w:p>
    <w:p w:rsidR="00000000" w:rsidDel="00000000" w:rsidP="00000000" w:rsidRDefault="00000000" w:rsidRPr="00000000" w14:paraId="00000009">
      <w:pPr>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ab/>
      </w:r>
      <w:r w:rsidDel="00000000" w:rsidR="00000000" w:rsidRPr="00000000">
        <w:rPr>
          <w:rFonts w:ascii="Palatino Linotype" w:cs="Palatino Linotype" w:eastAsia="Palatino Linotype" w:hAnsi="Palatino Linotype"/>
          <w:i w:val="1"/>
          <w:sz w:val="22"/>
          <w:szCs w:val="22"/>
          <w:rtl w:val="0"/>
        </w:rPr>
        <w:t xml:space="preserve">" Solicito todas la atribuciones del Subdirector de SAPASAC, Daniel Mendoza Hernández, así como su fundamentación en, manuales de organización, procedimientos o reglamento interno, también solicito sus horarios de trabajo, si si trabajo es en campo o en oficina y de ser así cuántos horas le dedica al trabajo de campo. También solicito una bitácora o cronograma de todas des actividades realizadas del 1 de enero de 2025 al día de la presente solicitud. De la misma manera solicito todas sus percepciones contrarias ya sean por sualdos salario y/o gratificaciónes, viáticos, gasolina, bonos especiales, en efectivo o en especie.”</w:t>
      </w:r>
    </w:p>
    <w:p w:rsidR="00000000" w:rsidDel="00000000" w:rsidP="00000000" w:rsidRDefault="00000000" w:rsidRPr="00000000" w14:paraId="0000000A">
      <w:pPr>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quince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mayo de dos mil veinticinco</w:t>
      </w:r>
      <w:r w:rsidDel="00000000" w:rsidR="00000000" w:rsidRPr="00000000">
        <w:rPr>
          <w:rFonts w:ascii="Palatino Linotype" w:cs="Palatino Linotype" w:eastAsia="Palatino Linotype" w:hAnsi="Palatino Linotype"/>
          <w:sz w:val="22"/>
          <w:szCs w:val="22"/>
          <w:rtl w:val="0"/>
        </w:rPr>
        <w:t xml:space="preserve">, el Sujeto Obligado dio respuesta a la solicitud en los siguientes términos:</w:t>
      </w:r>
    </w:p>
    <w:p w:rsidR="00000000" w:rsidDel="00000000" w:rsidP="00000000" w:rsidRDefault="00000000" w:rsidRPr="00000000" w14:paraId="0000000E">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widowControl w:val="0"/>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widowControl w:val="0"/>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Ciudadano solicitante por este medio y atendiendo a su solicitud me permito enviar archivo de respuesta</w:t>
      </w:r>
    </w:p>
    <w:p w:rsidR="00000000" w:rsidDel="00000000" w:rsidP="00000000" w:rsidRDefault="00000000" w:rsidRPr="00000000" w14:paraId="00000011">
      <w:pPr>
        <w:widowControl w:val="0"/>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2">
      <w:pPr>
        <w:widowControl w:val="0"/>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Sergio Mejía Zepeda”</w:t>
      </w:r>
    </w:p>
    <w:p w:rsidR="00000000" w:rsidDel="00000000" w:rsidP="00000000" w:rsidRDefault="00000000" w:rsidRPr="00000000" w14:paraId="00000013">
      <w:pPr>
        <w:widowControl w:val="0"/>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843"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Sujeto Obligado adjuntó el documento electrónico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Respuesta Solicitud 6.pdf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forma repetida, cuyo contenido será motivo de análisis en el Considerando correspondiente.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6" w:right="84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en </w:t>
      </w:r>
      <w:r w:rsidDel="00000000" w:rsidR="00000000" w:rsidRPr="00000000">
        <w:rPr>
          <w:rFonts w:ascii="Palatino Linotype" w:cs="Palatino Linotype" w:eastAsia="Palatino Linotype" w:hAnsi="Palatino Linotype"/>
          <w:b w:val="1"/>
          <w:sz w:val="22"/>
          <w:szCs w:val="22"/>
          <w:rtl w:val="0"/>
        </w:rPr>
        <w:t xml:space="preserve">veinte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mayo de dos mil veinticinco, LA PARTE RECURRENTE </w:t>
      </w:r>
      <w:r w:rsidDel="00000000" w:rsidR="00000000" w:rsidRPr="00000000">
        <w:rPr>
          <w:rFonts w:ascii="Palatino Linotype" w:cs="Palatino Linotype" w:eastAsia="Palatino Linotype" w:hAnsi="Palatino Linotype"/>
          <w:sz w:val="22"/>
          <w:szCs w:val="22"/>
          <w:rtl w:val="0"/>
        </w:rPr>
        <w:t xml:space="preserve">interpuso el recurso de revisión, mediante el cual y manifestó lo siguiente: </w:t>
      </w:r>
    </w:p>
    <w:p w:rsidR="00000000" w:rsidDel="00000000" w:rsidP="00000000" w:rsidRDefault="00000000" w:rsidRPr="00000000" w14:paraId="000000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Acto Impugnado: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“No sé da respuesta a ninguna de las solicitudes de información dan información ambiguoa y acuso que se viola , o derecho al acceso a la información pública, pues solo solicito información del encargo público del Subdirector de SAPASAC Daniel Mendoza Hernández, sin hacer incapié en su vida personal solo en la de interés público como lo señala el artículo cuarto de la LEY GENERAL DE TRANSPARENCIA Y ACCESO A LA INFORMACION PUBLICA”.</w:t>
      </w:r>
    </w:p>
    <w:p w:rsidR="00000000" w:rsidDel="00000000" w:rsidP="00000000" w:rsidRDefault="00000000" w:rsidRPr="00000000" w14:paraId="000000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Motivo de inconformidad:</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“No sé da respuesta a ninguna de las solicitudes de información dan información ambiguoa y acuso que se viola , o derecho al acceso a la información pública, pues solo solicito información del encargo público del Subdirector de SAPASAC Daniel Mendoza Hernández, sin hacer incapié en su vida personal solo en la de interés público como lo señala el artículo cuarto de la LEY GENERAL DE TRANSPARENCIA Y ACCESO A LA INFORMACION PUBLICA.”.</w:t>
      </w:r>
    </w:p>
    <w:p w:rsidR="00000000" w:rsidDel="00000000" w:rsidP="00000000" w:rsidRDefault="00000000" w:rsidRPr="00000000" w14:paraId="0000001A">
      <w:pPr>
        <w:spacing w:line="360" w:lineRule="auto"/>
        <w:ind w:left="142"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05659/INFOEM/IP/RR/2025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veintitrés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mayo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w:t>
      </w:r>
      <w:r w:rsidDel="00000000" w:rsidR="00000000" w:rsidRPr="00000000">
        <w:rPr>
          <w:rFonts w:ascii="Palatino Linotype" w:cs="Palatino Linotype" w:eastAsia="Palatino Linotype" w:hAnsi="Palatino Linotype"/>
          <w:b w:val="1"/>
          <w:sz w:val="22"/>
          <w:szCs w:val="22"/>
          <w:rtl w:val="0"/>
        </w:rPr>
        <w:t xml:space="preserve">.</w:t>
      </w:r>
    </w:p>
    <w:p w:rsidR="00000000" w:rsidDel="00000000" w:rsidP="00000000" w:rsidRDefault="00000000" w:rsidRPr="00000000" w14:paraId="0000001E">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advierte que tanto el Recurrente como el Sujeto Obligado fueron omisos en realizar manifestaciones y presentar el informe justificado correspondiente; se inserta imagen de referencia:</w:t>
      </w:r>
      <w:r w:rsidDel="00000000" w:rsidR="00000000" w:rsidRPr="00000000">
        <w:rPr>
          <w:rtl w:val="0"/>
        </w:rPr>
      </w:r>
    </w:p>
    <w:p w:rsidR="00000000" w:rsidDel="00000000" w:rsidP="00000000" w:rsidRDefault="00000000" w:rsidRPr="00000000" w14:paraId="00000020">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756275" cy="1597660"/>
            <wp:effectExtent b="0" l="0" r="0" t="0"/>
            <wp:docPr id="4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56275"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Cierre de instrucción</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cinco de agosto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 </w:t>
      </w:r>
    </w:p>
    <w:p w:rsidR="00000000" w:rsidDel="00000000" w:rsidP="00000000" w:rsidRDefault="00000000" w:rsidRPr="00000000" w14:paraId="0000002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Ampliación de plazo. El cinco de agosto de dos mil veinticinco</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2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2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0">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1">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32">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3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D">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Debido a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4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w:t>
        <w:tab/>
        <w:t xml:space="preserve">C O N S I D E R A N D O:</w:t>
      </w:r>
    </w:p>
    <w:p w:rsidR="00000000" w:rsidDel="00000000" w:rsidP="00000000" w:rsidRDefault="00000000" w:rsidRPr="00000000" w14:paraId="0000004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048">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4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 solicitud de información el día </w:t>
      </w:r>
      <w:r w:rsidDel="00000000" w:rsidR="00000000" w:rsidRPr="00000000">
        <w:rPr>
          <w:rFonts w:ascii="Palatino Linotype" w:cs="Palatino Linotype" w:eastAsia="Palatino Linotype" w:hAnsi="Palatino Linotype"/>
          <w:b w:val="1"/>
          <w:sz w:val="22"/>
          <w:szCs w:val="22"/>
          <w:rtl w:val="0"/>
        </w:rPr>
        <w:t xml:space="preserve">quince de mayo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sz w:val="22"/>
          <w:szCs w:val="22"/>
          <w:rtl w:val="0"/>
        </w:rPr>
        <w:t xml:space="preserve">veinte de mayo del año dos mil veinticinco</w:t>
      </w:r>
      <w:r w:rsidDel="00000000" w:rsidR="00000000" w:rsidRPr="00000000">
        <w:rPr>
          <w:rFonts w:ascii="Palatino Linotype" w:cs="Palatino Linotype" w:eastAsia="Palatino Linotype" w:hAnsi="Palatino Linotype"/>
          <w:sz w:val="22"/>
          <w:szCs w:val="22"/>
          <w:rtl w:val="0"/>
        </w:rPr>
        <w:t xml:space="preserve">; esto es, al </w:t>
      </w:r>
      <w:r w:rsidDel="00000000" w:rsidR="00000000" w:rsidRPr="00000000">
        <w:rPr>
          <w:rFonts w:ascii="Palatino Linotype" w:cs="Palatino Linotype" w:eastAsia="Palatino Linotype" w:hAnsi="Palatino Linotype"/>
          <w:b w:val="1"/>
          <w:sz w:val="22"/>
          <w:szCs w:val="22"/>
          <w:rtl w:val="0"/>
        </w:rPr>
        <w:t xml:space="preserve">tercer día hábil </w:t>
      </w:r>
      <w:r w:rsidDel="00000000" w:rsidR="00000000" w:rsidRPr="00000000">
        <w:rPr>
          <w:rFonts w:ascii="Palatino Linotype" w:cs="Palatino Linotype" w:eastAsia="Palatino Linotype" w:hAnsi="Palatino Linotype"/>
          <w:sz w:val="22"/>
          <w:szCs w:val="22"/>
          <w:rtl w:val="0"/>
        </w:rPr>
        <w:t xml:space="preserve">siguiente al que se tuvo conocimiento de la respuesta respectivamente.</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proporcionó su nombre completo</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como se advierte en el detalle de seguimiento del SAIMEX, no obstante el no proporcionar nombre</w:t>
      </w:r>
      <w:r w:rsidDel="00000000" w:rsidR="00000000" w:rsidRPr="00000000">
        <w:rPr>
          <w:rFonts w:ascii="Palatino Linotype" w:cs="Palatino Linotype" w:eastAsia="Palatino Linotype" w:hAnsi="Palatino Linotype"/>
          <w:strike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B">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w:t>
      </w:r>
      <w:r w:rsidDel="00000000" w:rsidR="00000000" w:rsidRPr="00000000">
        <w:rPr>
          <w:rFonts w:ascii="Palatino Linotype" w:cs="Palatino Linotype" w:eastAsia="Palatino Linotype" w:hAnsi="Palatino Linotype"/>
          <w:i w:val="1"/>
          <w:sz w:val="22"/>
          <w:szCs w:val="22"/>
          <w:rtl w:val="0"/>
        </w:rPr>
        <w:t xml:space="preserve">anónimas, con </w:t>
      </w:r>
      <w:r w:rsidDel="00000000" w:rsidR="00000000" w:rsidRPr="00000000">
        <w:rPr>
          <w:rFonts w:ascii="Palatino Linotype" w:cs="Palatino Linotype" w:eastAsia="Palatino Linotype" w:hAnsi="Palatino Linotype"/>
          <w:b w:val="1"/>
          <w:i w:val="1"/>
          <w:sz w:val="22"/>
          <w:szCs w:val="22"/>
          <w:rtl w:val="0"/>
        </w:rPr>
        <w:t xml:space="preserve">nombre incompleto o seudónimo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solicitante."(Sic)</w:t>
      </w:r>
    </w:p>
    <w:p w:rsidR="00000000" w:rsidDel="00000000" w:rsidP="00000000" w:rsidRDefault="00000000" w:rsidRPr="00000000" w14:paraId="0000004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4E">
      <w:pPr>
        <w:spacing w:line="360"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276" w:right="1041" w:hanging="425.99999999999994"/>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negativa de la información </w:t>
      </w:r>
    </w:p>
    <w:p w:rsidR="00000000" w:rsidDel="00000000" w:rsidP="00000000" w:rsidRDefault="00000000" w:rsidRPr="00000000" w14:paraId="00000050">
      <w:pPr>
        <w:spacing w:line="360"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principio, es conveniente analizar si la respuesta como el informe justificado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6">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7">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B">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C">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5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9">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D">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3">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4">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5">
      <w:pPr>
        <w:tabs>
          <w:tab w:val="left" w:leader="none" w:pos="8647"/>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76">
      <w:pPr>
        <w:spacing w:after="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Del análisis de la solicitud de información motivo del recurso de revisión que ahora se resuelve, se advierte que el particular requirió al </w:t>
      </w:r>
      <w:r w:rsidDel="00000000" w:rsidR="00000000" w:rsidRPr="00000000">
        <w:rPr>
          <w:rFonts w:ascii="Palatino Linotype" w:cs="Palatino Linotype" w:eastAsia="Palatino Linotype" w:hAnsi="Palatino Linotype"/>
          <w:b w:val="1"/>
          <w:sz w:val="22"/>
          <w:szCs w:val="22"/>
          <w:rtl w:val="0"/>
        </w:rPr>
        <w:t xml:space="preserve">Organismo Público Descentralizado para la Prestación de Servicios de Agua Potable Alcantarillado y Saneamiento de Coacalco de Berriozábal lo siguiente:</w:t>
      </w:r>
    </w:p>
    <w:p w:rsidR="00000000" w:rsidDel="00000000" w:rsidP="00000000" w:rsidRDefault="00000000" w:rsidRPr="00000000" w14:paraId="000000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843"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Del Servidor Público con cargo de Subdirector señalado en la solicitud: </w:t>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93" w:right="843"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Atribuciones fundamentadas en manuales de organización, procedimientos o reglamento interno;</w:t>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93" w:right="843"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Horarios de trabajo, </w:t>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93" w:right="843"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Si trabajo es en campo o en oficina </w:t>
      </w:r>
    </w:p>
    <w:p w:rsidR="00000000" w:rsidDel="00000000" w:rsidP="00000000" w:rsidRDefault="00000000" w:rsidRPr="00000000" w14:paraId="000000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93" w:right="843"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Número de horas de trabajo de campo. </w:t>
      </w:r>
    </w:p>
    <w:p w:rsidR="00000000" w:rsidDel="00000000" w:rsidP="00000000" w:rsidRDefault="00000000" w:rsidRPr="00000000" w14:paraId="000000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93" w:right="843"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Bitácora o cronograma de todas  las actividades realizadas del 1 de enero de 2025 al día de la presente solicitud. </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93" w:right="843"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percepciones contrarias ya sean por sueldos salario y/o gratificaciones, viáticos, gasolina, bonos especiales, en efectivo o en especie. </w:t>
      </w:r>
    </w:p>
    <w:p w:rsidR="00000000" w:rsidDel="00000000" w:rsidP="00000000" w:rsidRDefault="00000000" w:rsidRPr="00000000" w14:paraId="0000007E">
      <w:pPr>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F">
      <w:pPr>
        <w:spacing w:line="360" w:lineRule="auto"/>
        <w:ind w:right="84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Sujeto Obligado, a través de su respuesta emitió el oficio SAPASAC/GA/RH/085/2025 suscrito por el Jefe de Departamento de Recursos Humanos mediante el cual refirió:</w:t>
      </w:r>
    </w:p>
    <w:p w:rsidR="00000000" w:rsidDel="00000000" w:rsidP="00000000" w:rsidRDefault="00000000" w:rsidRPr="00000000" w14:paraId="00000080">
      <w:pPr>
        <w:ind w:right="84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843"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Respecto a las atribuciones del Servidor Público, que vía internet podrá realizar la búsqueda en la Gaceta de Gobierno del Municipio de Coacalco de la información solicitada.</w:t>
      </w:r>
    </w:p>
    <w:p w:rsidR="00000000" w:rsidDel="00000000" w:rsidP="00000000" w:rsidRDefault="00000000" w:rsidRPr="00000000" w14:paraId="00000082">
      <w:pPr>
        <w:spacing w:line="360" w:lineRule="auto"/>
        <w:ind w:right="84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843"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corresponde al resto de información, pertenece a su vida privada del Titular, ya que identifica a un individuo con su patrimonio y vida personal, el mal uso podría poner en riesgo su integridad física patrimonial y legal; máxime que de ella se desprenden el ejercicio de las atribuciones que tienen el titular como servidor público, o bien, la aplicación de recursos públicos, todo ello con fundamento en el artículo 143, fracción I de la Ley de Transparencia Local.</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84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necesario puntualizar que, quien se pronunció es Jefe de Departamento de Recursos Humanos, área que de acuerdo al Reglamento Interno tiene las siguientes atribuciones:</w:t>
      </w:r>
    </w:p>
    <w:p w:rsidR="00000000" w:rsidDel="00000000" w:rsidP="00000000" w:rsidRDefault="00000000" w:rsidRPr="00000000" w14:paraId="00000087">
      <w:pPr>
        <w:spacing w:line="360" w:lineRule="auto"/>
        <w:ind w:right="-7"/>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300274" cy="4894199"/>
            <wp:effectExtent b="0" l="0" r="0" t="0"/>
            <wp:docPr id="4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300274" cy="4894199"/>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Tal y como se aprecia, el Departamento de Recursos Humanos es la unidad administrativa encargada de regular las relaciones laborales de los servidores públicos y el Organismo de Agua, tiene la atribución de integrar los expedientes laborales, vigilar el cumplimiento de las disposiciones aplicables para el control de asistencia, y también, integrar quincenalmente la documentación referente a la nómina para generar los recibos correspondientes atribuciones que se relacionan directamente con la información peticionada por el particular.</w:t>
      </w:r>
    </w:p>
    <w:p w:rsidR="00000000" w:rsidDel="00000000" w:rsidP="00000000" w:rsidRDefault="00000000" w:rsidRPr="00000000" w14:paraId="00000089">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ese contexto, se tiene que el Titular de la Unidad de Transparencia al turnar la solicitud al Departamento de Recursos Humanos siguió con ello el procedimiento para la atención a las solicitudes de acceso a la información, establecido en los artículos 151, 160, 162, 163, 164, 165 y 166, de la Ley de Transparencia y Acceso a la Información Pública del Estado de México y Municipios: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08E">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08F">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090">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091">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092">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reitera que la Unidad de Transparencia turnó la solicitud a la unidad administrativa con atribuciones para generar, administrar y poseer la información requerida por el particular, por lo que, se tiene que se acreditó la correcta búsqueda exhaustiva y razonable de la información.</w:t>
      </w:r>
    </w:p>
    <w:p w:rsidR="00000000" w:rsidDel="00000000" w:rsidP="00000000" w:rsidRDefault="00000000" w:rsidRPr="00000000" w14:paraId="00000094">
      <w:pPr>
        <w:ind w:right="84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w:t>
      </w:r>
      <w:r w:rsidDel="00000000" w:rsidR="00000000" w:rsidRPr="00000000">
        <w:rPr>
          <w:rFonts w:ascii="Palatino Linotype" w:cs="Palatino Linotype" w:eastAsia="Palatino Linotype" w:hAnsi="Palatino Linotype"/>
          <w:b w:val="1"/>
          <w:sz w:val="22"/>
          <w:szCs w:val="22"/>
          <w:u w:val="single"/>
          <w:rtl w:val="0"/>
        </w:rPr>
        <w:t xml:space="preserve">especto al horario laboral</w:t>
      </w:r>
      <w:r w:rsidDel="00000000" w:rsidR="00000000" w:rsidRPr="00000000">
        <w:rPr>
          <w:rFonts w:ascii="Palatino Linotype" w:cs="Palatino Linotype" w:eastAsia="Palatino Linotype" w:hAnsi="Palatino Linotype"/>
          <w:sz w:val="22"/>
          <w:szCs w:val="22"/>
          <w:rtl w:val="0"/>
        </w:rPr>
        <w:t xml:space="preserve">, es necesario traer a contexto la Ley del Trabajo de los Servidores Públicos del Estado de México y Municipios en los artículos 45 y 48, los cuales disponen lo siguiente:</w:t>
      </w:r>
    </w:p>
    <w:p w:rsidR="00000000" w:rsidDel="00000000" w:rsidP="00000000" w:rsidRDefault="00000000" w:rsidRPr="00000000" w14:paraId="00000095">
      <w:pPr>
        <w:spacing w:line="360" w:lineRule="auto"/>
        <w:ind w:right="84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45.-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servidores públicos prestarán sus servicios mediante nombramiento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contrato o formato único de Movimientos de Personal expedidos por quien estuviere facultado legalmente para extenderlo.</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48. Para iniciar la prestación de los servicios se requiere: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Tener conferido el nombramiento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contrato respectivo o formato único de Movimientos de Personal;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Rendir la protesta de ley en caso de nombramiento; y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 Tomar posesión del cargo.</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lo anterior, se aprecia que, para iniciar la prestación de servicios en el servicio público, es necesario tener conferido un nombramiento, contrato o formato único de movimientos de personal. El artículo 49 de la citada ley indica los elementos que debe contener el nombramiento de los servidores públicos, siendo los siguientes:</w:t>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CAPITULO II</w:t>
      </w:r>
    </w:p>
    <w:p w:rsidR="00000000" w:rsidDel="00000000" w:rsidP="00000000" w:rsidRDefault="00000000" w:rsidRPr="00000000" w14:paraId="000000A0">
      <w:pPr>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Nombramientos</w:t>
      </w:r>
    </w:p>
    <w:p w:rsidR="00000000" w:rsidDel="00000000" w:rsidP="00000000" w:rsidRDefault="00000000" w:rsidRPr="00000000" w14:paraId="000000A1">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49.- Los nombramientos, contratos o formato único de Movimientos de Personal de los servidores públicos deberán contener:</w:t>
      </w:r>
    </w:p>
    <w:p w:rsidR="00000000" w:rsidDel="00000000" w:rsidP="00000000" w:rsidRDefault="00000000" w:rsidRPr="00000000" w14:paraId="000000A3">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w:t>
      </w:r>
      <w:r w:rsidDel="00000000" w:rsidR="00000000" w:rsidRPr="00000000">
        <w:rPr>
          <w:rFonts w:ascii="Palatino Linotype" w:cs="Palatino Linotype" w:eastAsia="Palatino Linotype" w:hAnsi="Palatino Linotype"/>
          <w:b w:val="1"/>
          <w:i w:val="1"/>
          <w:sz w:val="22"/>
          <w:szCs w:val="22"/>
          <w:rtl w:val="0"/>
        </w:rPr>
        <w:t xml:space="preserve">. Nombre completo del servidor público;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5">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Cargo para el que es designado, fecha de inicio de sus servicios y lugar de adscripción; </w:t>
      </w:r>
    </w:p>
    <w:p w:rsidR="00000000" w:rsidDel="00000000" w:rsidP="00000000" w:rsidRDefault="00000000" w:rsidRPr="00000000" w14:paraId="000000A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Carácter del nombramiento, ya sea de servidores públicos generales o de confianza, así como la temporalidad del mismo; </w:t>
      </w:r>
    </w:p>
    <w:p w:rsidR="00000000" w:rsidDel="00000000" w:rsidP="00000000" w:rsidRDefault="00000000" w:rsidRPr="00000000" w14:paraId="000000A7">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Remuneración correspondiente al puesto;</w:t>
      </w:r>
    </w:p>
    <w:p w:rsidR="00000000" w:rsidDel="00000000" w:rsidP="00000000" w:rsidRDefault="00000000" w:rsidRPr="00000000" w14:paraId="000000A8">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Jornada de trabajo; </w:t>
      </w:r>
    </w:p>
    <w:p w:rsidR="00000000" w:rsidDel="00000000" w:rsidP="00000000" w:rsidRDefault="00000000" w:rsidRPr="00000000" w14:paraId="000000A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Derogada;</w:t>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Entre los elementos que debe contener el nombramiento de los servidores públicos, se encuentra el nombre, cargo y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la jornada de trabajo, lugar de adscripción y percepciones o remuneraciones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por lo que corresponde a la jornada de trabajo se refiere a</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 periodo o espacio de tiempo por el cual el servidor público prestará su servicio al ente público del que se trate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lo que se robustece con lo establecido en los artículos 56 y 59 del mismo ordenamiento legal, que dispone lo siguiente: </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56</w:t>
      </w:r>
      <w:r w:rsidDel="00000000" w:rsidR="00000000" w:rsidRPr="00000000">
        <w:rPr>
          <w:rFonts w:ascii="Palatino Linotype" w:cs="Palatino Linotype" w:eastAsia="Palatino Linotype" w:hAnsi="Palatino Linotype"/>
          <w:i w:val="1"/>
          <w:sz w:val="22"/>
          <w:szCs w:val="22"/>
          <w:rtl w:val="0"/>
        </w:rPr>
        <w:t xml:space="preserve">. Las condiciones generales de trabajo, establecerán como mínimo:</w:t>
      </w:r>
    </w:p>
    <w:p w:rsidR="00000000" w:rsidDel="00000000" w:rsidP="00000000" w:rsidRDefault="00000000" w:rsidRPr="00000000" w14:paraId="000000AE">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Duración de la jornada de trabajo;</w:t>
      </w:r>
    </w:p>
    <w:p w:rsidR="00000000" w:rsidDel="00000000" w:rsidP="00000000" w:rsidRDefault="00000000" w:rsidRPr="00000000" w14:paraId="000000AF">
      <w:pPr>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B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Jornada de trabajo es el tiempo durante el cual el servidor público está a disposición de la institución pública para prestar sus servicios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El horario de trabajo será determinado conforme a las necesidades del servicio de la institución pública o dependencia</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 de acuerdo a lo estipulado en las condiciones generales de trabajo, sin que exceda los máximos legales”.</w:t>
      </w:r>
    </w:p>
    <w:p w:rsidR="00000000" w:rsidDel="00000000" w:rsidP="00000000" w:rsidRDefault="00000000" w:rsidRPr="00000000" w14:paraId="000000B1">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ese contexto, la duración de la jornada de trabajo puede ser de varias maneras, las cuales se encuentran establecidas en el artículo 60, 61, 62 y 63 de la mencionada Ley de Trabajo que literalmente señalan lo siguiente: </w:t>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60</w:t>
      </w:r>
      <w:r w:rsidDel="00000000" w:rsidR="00000000" w:rsidRPr="00000000">
        <w:rPr>
          <w:rFonts w:ascii="Palatino Linotype" w:cs="Palatino Linotype" w:eastAsia="Palatino Linotype" w:hAnsi="Palatino Linotype"/>
          <w:i w:val="1"/>
          <w:sz w:val="22"/>
          <w:szCs w:val="22"/>
          <w:rtl w:val="0"/>
        </w:rPr>
        <w:t xml:space="preserve">. La jornada de trabajo puede ser diurna, nocturna o mixta, conforme a lo siguiente: </w:t>
      </w:r>
    </w:p>
    <w:p w:rsidR="00000000" w:rsidDel="00000000" w:rsidP="00000000" w:rsidRDefault="00000000" w:rsidRPr="00000000" w14:paraId="000000B5">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Diurna, la comprendida entre las seis y las veinte horas; </w:t>
      </w:r>
    </w:p>
    <w:p w:rsidR="00000000" w:rsidDel="00000000" w:rsidP="00000000" w:rsidRDefault="00000000" w:rsidRPr="00000000" w14:paraId="000000B6">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Nocturna, la comprendida entre las veinte y las seis horas; y </w:t>
      </w:r>
    </w:p>
    <w:p w:rsidR="00000000" w:rsidDel="00000000" w:rsidP="00000000" w:rsidRDefault="00000000" w:rsidRPr="00000000" w14:paraId="000000B7">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Mixta, la que comprenda períodos de tiempo de las jornadas diurna y nocturna, siempre que el período nocturno sea menor de tres horas y media, pues en caso contrario, se considerará como jornada nocturna. </w:t>
      </w:r>
    </w:p>
    <w:p w:rsidR="00000000" w:rsidDel="00000000" w:rsidP="00000000" w:rsidRDefault="00000000" w:rsidRPr="00000000" w14:paraId="000000B8">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9">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61.</w:t>
      </w:r>
      <w:r w:rsidDel="00000000" w:rsidR="00000000" w:rsidRPr="00000000">
        <w:rPr>
          <w:rFonts w:ascii="Palatino Linotype" w:cs="Palatino Linotype" w:eastAsia="Palatino Linotype" w:hAnsi="Palatino Linotype"/>
          <w:i w:val="1"/>
          <w:sz w:val="22"/>
          <w:szCs w:val="22"/>
          <w:rtl w:val="0"/>
        </w:rPr>
        <w:t xml:space="preserve"> Cuando la naturaleza del trabajo así lo exija, la jornada se reducirá teniendo en cuenta el número de horas que pueda trabajar un individuo normal sin sufrir quebranto en su salud. </w:t>
      </w:r>
    </w:p>
    <w:p w:rsidR="00000000" w:rsidDel="00000000" w:rsidP="00000000" w:rsidRDefault="00000000" w:rsidRPr="00000000" w14:paraId="000000BA">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B">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62.</w:t>
      </w:r>
      <w:r w:rsidDel="00000000" w:rsidR="00000000" w:rsidRPr="00000000">
        <w:rPr>
          <w:rFonts w:ascii="Palatino Linotype" w:cs="Palatino Linotype" w:eastAsia="Palatino Linotype" w:hAnsi="Palatino Linotype"/>
          <w:i w:val="1"/>
          <w:sz w:val="22"/>
          <w:szCs w:val="22"/>
          <w:rtl w:val="0"/>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rsidR="00000000" w:rsidDel="00000000" w:rsidP="00000000" w:rsidRDefault="00000000" w:rsidRPr="00000000" w14:paraId="000000BC">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63.</w:t>
      </w:r>
      <w:r w:rsidDel="00000000" w:rsidR="00000000" w:rsidRPr="00000000">
        <w:rPr>
          <w:rFonts w:ascii="Palatino Linotype" w:cs="Palatino Linotype" w:eastAsia="Palatino Linotype" w:hAnsi="Palatino Linotype"/>
          <w:i w:val="1"/>
          <w:sz w:val="22"/>
          <w:szCs w:val="22"/>
          <w:rtl w:val="0"/>
        </w:rPr>
        <w:t xml:space="preserve">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rsidR="00000000" w:rsidDel="00000000" w:rsidP="00000000" w:rsidRDefault="00000000" w:rsidRPr="00000000" w14:paraId="000000B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1">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88.</w:t>
      </w:r>
      <w:r w:rsidDel="00000000" w:rsidR="00000000" w:rsidRPr="00000000">
        <w:rPr>
          <w:rFonts w:ascii="Palatino Linotype" w:cs="Palatino Linotype" w:eastAsia="Palatino Linotype" w:hAnsi="Palatino Linotype"/>
          <w:i w:val="1"/>
          <w:sz w:val="22"/>
          <w:szCs w:val="22"/>
          <w:rtl w:val="0"/>
        </w:rPr>
        <w:t xml:space="preserve"> Son obligaciones de los servidores públicos: </w:t>
      </w:r>
    </w:p>
    <w:p w:rsidR="00000000" w:rsidDel="00000000" w:rsidP="00000000" w:rsidRDefault="00000000" w:rsidRPr="00000000" w14:paraId="000000C2">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3">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rsidR="00000000" w:rsidDel="00000000" w:rsidP="00000000" w:rsidRDefault="00000000" w:rsidRPr="00000000" w14:paraId="000000C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5">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Cumplir con las obligaciones que señalan las condiciones generales de trabajo;”</w:t>
      </w:r>
    </w:p>
    <w:p w:rsidR="00000000" w:rsidDel="00000000" w:rsidP="00000000" w:rsidRDefault="00000000" w:rsidRPr="00000000" w14:paraId="000000C6">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Es así que, los servidores públicos tienen la obligación de cumplir con la jornada y horario laboral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que sea estipulado en su nombramiento, contrato o formato único de movimientos de personal, de lo contrario, puede ser motivo de recisión laboral, tal y como lo establece el artículo 93, en sus fracciones V, I y XVII de la Ley de Trabajo de los Servidores Públicos del Estado de México y Municipios:</w:t>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93.</w:t>
      </w:r>
      <w:r w:rsidDel="00000000" w:rsidR="00000000" w:rsidRPr="00000000">
        <w:rPr>
          <w:rFonts w:ascii="Palatino Linotype" w:cs="Palatino Linotype" w:eastAsia="Palatino Linotype" w:hAnsi="Palatino Linotype"/>
          <w:i w:val="1"/>
          <w:sz w:val="22"/>
          <w:szCs w:val="22"/>
          <w:rtl w:val="0"/>
        </w:rPr>
        <w:t xml:space="preserve"> Son causas de rescisión de la relación laboral, sin responsabilidad para las instituciones públicas:</w:t>
      </w:r>
    </w:p>
    <w:p w:rsidR="00000000" w:rsidDel="00000000" w:rsidP="00000000" w:rsidRDefault="00000000" w:rsidRPr="00000000" w14:paraId="000000CA">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B">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Incurrir en cuatro o más faltas de asistencia a sus labores sin causa justificada, dentro de un lapso de treinta días;</w:t>
      </w:r>
    </w:p>
    <w:p w:rsidR="00000000" w:rsidDel="00000000" w:rsidP="00000000" w:rsidRDefault="00000000" w:rsidRPr="00000000" w14:paraId="000000CC">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Abandonar las labores sin autorización previa o razón plenamente justificada, en contravención a lo establecido en las condiciones generales de trabajo;</w:t>
      </w:r>
    </w:p>
    <w:p w:rsidR="00000000" w:rsidDel="00000000" w:rsidP="00000000" w:rsidRDefault="00000000" w:rsidRPr="00000000" w14:paraId="000000C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E">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Sustraer tarjetas o listas de puntualidad y asistencia del lugar destinado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Entonces, al ser una obligación el cumplir con el horario laboral  debe contar con el documento donde conste la información solicitada.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importante mencionar que el horario laboral de los servidores públicos no debe considerarse información confidencial, ya que corresponde a un dato relacionado con el ejercicio de sus funciones en el marco de su relación laboral con una institución pública. Los servidores públicos están sujetos a un régimen menos restrictivo en comparación con los particulares, dado que su actividad está orientada al cumplimiento de fines de interés público. Además, el horario de trabajo es una información necesaria para el adecuado funcionamiento de la institución, el cual está sujeto a un reglamento interno o condiciones laborales, por lo que su publicidad refuerza la transparencia de la gestión pública. Por tanto, contrario a lo que refiere el Sujeto Obligado, no vulnera la esfera íntima del servidor público y es información que si puede ser proporcionada al particular.</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Ahora bien, por lo que hace al desglose solicitado por el particular relativo al número de horas en campo y en oficina, como se logra advertir del marco normativo no existe disposición que establezca la obligación de contar con el desglose solicitado, no obstante al no haber pronunciamiento en sentido negativo o afirmativo sobre la existencia o inexistencia de la información, por parte del Servidor Público habilitado se ordena la búsqueda a efecto de garantizar el derecho de acceso a la información pública del Recurrente , sin embargo en  el caso de que no se cuente con la información del número de horas de trabajo de campo, por no tener trabajo de campo, bastará con que así lo haga del conocimiento de la parte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manera clara y precisa, en términos del artículo 19, párrafo segundo de la Ley de Transparencia y Acceso a la Información pública del Estado de México y Municipios para tener por colmado el requerimiento de información.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lo que hace a las funciones o atribuciones de los servidores públicos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 necesario enfatizar que, la información requerida por el particular corresponde a información pública de oficio que deben publicar los Sujetos Obligados en sus portales electrónicos, conforme a lo dispuesto en el artículo 92 fracción II, de la Ley de Transparencia y Acceso a la Información Pública del Estado de México y Municipios: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Capítulo II</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 las Obligaciones de Transparencia Comunes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Su estructura orgánica completa, en un formato que permita vincular cada parte de la estructura,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las atribuciones y responsabilidades que le corresponden a cada servidor público, prestador de servicios profesionales o miembro de los sujetos obligados,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conformidad con las disposiciones jurídicas aplicables;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 así que el documento denominado estructura orgánica debe elaborarse de tal manera que permita vincular cada parte de la estructura, las atribuciones y responsabilidades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que le corresponden a cada servidor público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 consecuencia, se determina la existencia de fuente obligacional para que cada servidor público parte de la estructura orgánica cuente con funciones y atribuciones fijadas en un documento como fundamento legal, ya sea bando municipal, reglamento orgánico o manual de organización, en consecuencia, se determina que la información debe existir y ponerse a disposición del Recurrente.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Respecto a las  percepciones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como ya se analizó dicha información pudiera obrar de manera enunciativa más no limitativa en el nombramiento del Servidor Público como lo establece la Ley del Trabajo de los Servidores Públicos; sin embargo, dicha información es considerada como obligación de transparencia común contempladas en la Ley de Transparencia y Acceso a la Información Pública del Estado de México y Municipios; se inserta contenido:</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43"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Capítulo II</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43"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 las Obligaciones de Transparencia Comunes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43"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 así que, la información relativa a las remuneraciones brutas y netas de los servidores públicos, de tal manera que incluya todas las percepciones, como prestaciones, gratificaciones, primas, comisiones, dietas, bonos, estímulos y sistemas de compensación, lo anterior, es información que de manera precisa requiere el particular.</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efecto de robustecer lo relativo a las percepciones del Servidor Público, es que resulta conveniente traer a contexto la Ley del Trabajo de los Servidores Públicos del Estado y Municipios, en su artículo 220 K, establece los documentos que tiene la obligación de conservar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entre los que se encuentran los recibos de pagos: </w:t>
      </w:r>
    </w:p>
    <w:p w:rsidR="00000000" w:rsidDel="00000000" w:rsidP="00000000" w:rsidRDefault="00000000" w:rsidRPr="00000000" w14:paraId="000000EE">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220 K.-</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institución o dependencia pública tiene la obligación de conservar y exhibir en el proceso los documentos que a continuación se precisan:</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 Recibos de pagos de salarios o las constancias documentales del pago de salario cuando sea por depósito o mediante información electrónica; “</w:t>
      </w:r>
      <w:r w:rsidDel="00000000" w:rsidR="00000000" w:rsidRPr="00000000">
        <w:rPr>
          <w:rtl w:val="0"/>
        </w:rPr>
      </w:r>
    </w:p>
    <w:p w:rsidR="00000000" w:rsidDel="00000000" w:rsidP="00000000" w:rsidRDefault="00000000" w:rsidRPr="00000000" w14:paraId="000000F2">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Del anterior precepto legal, se advierte que toda entidad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rsidR="00000000" w:rsidDel="00000000" w:rsidP="00000000" w:rsidRDefault="00000000" w:rsidRPr="00000000" w14:paraId="000000F4">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Aunado a lo anterior, es necesario destacar que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rsidR="00000000" w:rsidDel="00000000" w:rsidP="00000000" w:rsidRDefault="00000000" w:rsidRPr="00000000" w14:paraId="000000F6">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342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r w:rsidDel="00000000" w:rsidR="00000000" w:rsidRPr="00000000">
        <w:rPr>
          <w:rtl w:val="0"/>
        </w:rPr>
      </w:r>
    </w:p>
    <w:p w:rsidR="00000000" w:rsidDel="00000000" w:rsidP="00000000" w:rsidRDefault="00000000" w:rsidRPr="00000000" w14:paraId="000000F9">
      <w:pPr>
        <w:ind w:left="567"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343.-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El sistema de contabilidad sobre base acumulativa total, se sustentará en las normas emitidas por el Consejo Nacional de Armonización Contable.</w:t>
      </w:r>
      <w:r w:rsidDel="00000000" w:rsidR="00000000" w:rsidRPr="00000000">
        <w:rPr>
          <w:rtl w:val="0"/>
        </w:rPr>
      </w:r>
    </w:p>
    <w:p w:rsidR="00000000" w:rsidDel="00000000" w:rsidP="00000000" w:rsidRDefault="00000000" w:rsidRPr="00000000" w14:paraId="000000FB">
      <w:pPr>
        <w:ind w:left="567"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344.-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Todo registro contable y presupuestal deberá estar soportado con los documentos de registro, justificativos y comprobatorios originales, 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Tratándose de documentos de carácter histórico, se estará a lo dispuesto por la legislación de la materia.</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F">
      <w:pPr>
        <w:ind w:left="567"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345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 </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plazo señalado en este artículo empezará a contar a partir de la publicación en el Periódico Oficial, del decreto correspondiente.”</w:t>
      </w:r>
      <w:r w:rsidDel="00000000" w:rsidR="00000000" w:rsidRPr="00000000">
        <w:rPr>
          <w:rtl w:val="0"/>
        </w:rPr>
      </w:r>
    </w:p>
    <w:p w:rsidR="00000000" w:rsidDel="00000000" w:rsidP="00000000" w:rsidRDefault="00000000" w:rsidRPr="00000000" w14:paraId="00000103">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una interpretación sistemática de los artículos transcritos se desprende primeramente, que el registro contable del efecto patrimonial y presupuestal de las operaciones financieras que realice el Municipio se hace conforme al sistema y a las disposiciones que se aprueben en materia de planeación, programación, presupuestación, evaluación y contabilidad gubernamental.</w:t>
      </w:r>
    </w:p>
    <w:p w:rsidR="00000000" w:rsidDel="00000000" w:rsidP="00000000" w:rsidRDefault="00000000" w:rsidRPr="00000000" w14:paraId="00000105">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Cabe destacar, que el ordenamiento legal en cita establece que todo registro contable y presupuestal deberá estar soportado con los documentos comprobatorios originales, los que deberán permanecer en custodia y conservación de las unidades administrativas competentes.</w:t>
      </w:r>
    </w:p>
    <w:p w:rsidR="00000000" w:rsidDel="00000000" w:rsidP="00000000" w:rsidRDefault="00000000" w:rsidRPr="00000000" w14:paraId="00000107">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También es importante señalar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000000" w:rsidDel="00000000" w:rsidP="00000000" w:rsidRDefault="00000000" w:rsidRPr="00000000" w14:paraId="00000109">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REGISTRO CONTABLE </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Asiento que se realiza en los libros de contabilidad de las actividades relacionadas con el ingreso y egresos de un ente económico.”</w:t>
      </w:r>
      <w:r w:rsidDel="00000000" w:rsidR="00000000" w:rsidRPr="00000000">
        <w:rPr>
          <w:rtl w:val="0"/>
        </w:rPr>
      </w:r>
    </w:p>
    <w:p w:rsidR="00000000" w:rsidDel="00000000" w:rsidP="00000000" w:rsidRDefault="00000000" w:rsidRPr="00000000" w14:paraId="0000010C">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REGISTRO PRESUPUESTARIO</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Asiento contable de las erogaciones realizadas por las dependencias y entidades con relación a la asignación, modificación y ejercicio de los recursos presupuestarios que se les hayan autorizado.”</w:t>
      </w:r>
      <w:r w:rsidDel="00000000" w:rsidR="00000000" w:rsidRPr="00000000">
        <w:rPr>
          <w:rtl w:val="0"/>
        </w:rPr>
      </w:r>
    </w:p>
    <w:p w:rsidR="00000000" w:rsidDel="00000000" w:rsidP="00000000" w:rsidRDefault="00000000" w:rsidRPr="00000000" w14:paraId="0000010F">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Aunado a lo establecido en el Código Financiero del Estado de México y Municipios, el treinta y uno de diciembre de dos mil ocho, se publicó  en el Diario Oficial de la Federación la Ley General de Contabilidad Gubernamental, la cual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w:t>
      </w:r>
    </w:p>
    <w:p w:rsidR="00000000" w:rsidDel="00000000" w:rsidP="00000000" w:rsidRDefault="00000000" w:rsidRPr="00000000" w14:paraId="00000111">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este sentido, de acuerdo a la naturaleza de la información solicitada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000000" w:rsidDel="00000000" w:rsidP="00000000" w:rsidRDefault="00000000" w:rsidRPr="00000000" w14:paraId="00000113">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22"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Criterio 01/2003.</w:t>
      </w:r>
      <w:r w:rsidDel="00000000" w:rsidR="00000000" w:rsidRPr="00000000">
        <w:rPr>
          <w:rtl w:val="0"/>
        </w:rPr>
      </w:r>
    </w:p>
    <w:p w:rsidR="00000000" w:rsidDel="00000000" w:rsidP="00000000" w:rsidRDefault="00000000" w:rsidRPr="00000000" w14:paraId="0000011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INGRESOS DE LOS SERVIDORES PÚBLICOS. CONSTITUYEN INFORMACIÓN PÚBLICA AÚN Y CUANDO SU DIFUSIÓN PUEDE AFECTAR LA VIDA O LA SEGURIDAD DE AQUELLOS.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8">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Criterio 02/2003.</w:t>
      </w:r>
      <w:r w:rsidDel="00000000" w:rsidR="00000000" w:rsidRPr="00000000">
        <w:rPr>
          <w:rtl w:val="0"/>
        </w:rPr>
      </w:r>
    </w:p>
    <w:p w:rsidR="00000000" w:rsidDel="00000000" w:rsidP="00000000" w:rsidRDefault="00000000" w:rsidRPr="00000000" w14:paraId="0000011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INGRESOS DE LOS SERVIDORES PÚBLICOS, SON INFORMACIÓN PÚBLICA AÚN Y CUANDO CONSTITUYEN DATOS PERSONALES QUE SE REFIEREN AL PATRIMONIO DE AQUÉLLOS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 anterior, demuestra la obligación de generar, administrar y poseer la información requerida por el Particular, respecto a las percepciones del Servidor Público; así como también se demuestra que constituye información pública, ya que demuestra el destino de recursos públicos, por tratarse del pago por la prestación de los servicios a una institución pública, por lo que, contrario a lo que refirió el Sujeto Obligado, es información susceptible de proporcionarse, por lo que se ORDENA entregar los documentos donde conste el total de percepciones que recibe el Servidor Público al veintidós de abril de dos mil veinticinco, de ser el caso en versión pública, para tal efecto, estará a lo dispuesto en el Considerando Quinto de la presente resolución.</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Finalmente por lo que corresponde a la bitácora o cronograma de todas  las actividades realizadas del uno de enero al veintidós de abril de dos mil veintidós por el Servidor Público referido en la solicitud</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 necesario mencionar que si bien, se tiene fuente obligacional para contar con las atribuciones como Subdirector, también lo es que no hay disposición normativa que faculte u obligue al Servidor Público de elaborar bitácora o cronograma con las actividades que realiza en el ejercicio de sus funciones, atribuciones y competencias; sin embargo, de la manifestación hecha por el Sujeto Obligado en sus respuesta, se ORDENA realizar una búsqueda exhaustiva y razonable a efecto de localizar y poner a disposición del Recurrente los documentos solicitados.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Ahora bien, si como resultado de la búsqueda exhaustiva y razonable de la información no se localiza la bitácora o cronograma de actividades, bastará con que así lo haga del conocimiento de la parte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manera clara y precisa, en términos del artículo 19, párrafo segundo de la Ley de Transparencia y Acceso a la Información pública del Estado de México y Municipios para tener por colmado el requerimiento de información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1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rsidR="00000000" w:rsidDel="00000000" w:rsidP="00000000" w:rsidRDefault="00000000" w:rsidRPr="00000000" w14:paraId="000001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dada la naturaleza de la información que se ordena, si bien tiene el carácter información pública en razón de que se trata de documentos que se encuentran en posesión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2"/>
          <w:szCs w:val="22"/>
          <w:rtl w:val="0"/>
        </w:rPr>
        <w:t xml:space="preserve">Registro Federal de Contribuyentes</w:t>
      </w:r>
      <w:r w:rsidDel="00000000" w:rsidR="00000000" w:rsidRPr="00000000">
        <w:rPr>
          <w:rFonts w:ascii="Palatino Linotype" w:cs="Palatino Linotype" w:eastAsia="Palatino Linotype" w:hAnsi="Palatino Linotype"/>
          <w:sz w:val="22"/>
          <w:szCs w:val="22"/>
          <w:rtl w:val="0"/>
        </w:rPr>
        <w:t xml:space="preserve"> (RFC), la </w:t>
      </w:r>
      <w:r w:rsidDel="00000000" w:rsidR="00000000" w:rsidRPr="00000000">
        <w:rPr>
          <w:rFonts w:ascii="Palatino Linotype" w:cs="Palatino Linotype" w:eastAsia="Palatino Linotype" w:hAnsi="Palatino Linotype"/>
          <w:b w:val="1"/>
          <w:sz w:val="22"/>
          <w:szCs w:val="22"/>
          <w:rtl w:val="0"/>
        </w:rPr>
        <w:t xml:space="preserve">Clave Única de Registro de Población</w:t>
      </w:r>
      <w:r w:rsidDel="00000000" w:rsidR="00000000" w:rsidRPr="00000000">
        <w:rPr>
          <w:rFonts w:ascii="Palatino Linotype" w:cs="Palatino Linotype" w:eastAsia="Palatino Linotype" w:hAnsi="Palatino Linotype"/>
          <w:sz w:val="22"/>
          <w:szCs w:val="22"/>
          <w:rtl w:val="0"/>
        </w:rPr>
        <w:t xml:space="preserve"> (CURP), la </w:t>
      </w:r>
      <w:r w:rsidDel="00000000" w:rsidR="00000000" w:rsidRPr="00000000">
        <w:rPr>
          <w:rFonts w:ascii="Palatino Linotype" w:cs="Palatino Linotype" w:eastAsia="Palatino Linotype" w:hAnsi="Palatino Linotype"/>
          <w:b w:val="1"/>
          <w:sz w:val="22"/>
          <w:szCs w:val="22"/>
          <w:rtl w:val="0"/>
        </w:rPr>
        <w:t xml:space="preserve">Clave de cualquier tipo de seguridad social</w:t>
      </w:r>
      <w:r w:rsidDel="00000000" w:rsidR="00000000" w:rsidRPr="00000000">
        <w:rPr>
          <w:rFonts w:ascii="Palatino Linotype" w:cs="Palatino Linotype" w:eastAsia="Palatino Linotype" w:hAnsi="Palatino Linotype"/>
          <w:sz w:val="22"/>
          <w:szCs w:val="22"/>
          <w:rtl w:val="0"/>
        </w:rPr>
        <w:t xml:space="preserve"> (ISSEMYM, u otros), los </w:t>
      </w:r>
      <w:r w:rsidDel="00000000" w:rsidR="00000000" w:rsidRPr="00000000">
        <w:rPr>
          <w:rFonts w:ascii="Palatino Linotype" w:cs="Palatino Linotype" w:eastAsia="Palatino Linotype" w:hAnsi="Palatino Linotype"/>
          <w:b w:val="1"/>
          <w:sz w:val="22"/>
          <w:szCs w:val="22"/>
          <w:rtl w:val="0"/>
        </w:rPr>
        <w:t xml:space="preserve">números de cuentas bancarias</w:t>
      </w:r>
      <w:r w:rsidDel="00000000" w:rsidR="00000000" w:rsidRPr="00000000">
        <w:rPr>
          <w:rFonts w:ascii="Palatino Linotype" w:cs="Palatino Linotype" w:eastAsia="Palatino Linotype" w:hAnsi="Palatino Linotype"/>
          <w:sz w:val="22"/>
          <w:szCs w:val="22"/>
          <w:rtl w:val="0"/>
        </w:rPr>
        <w:t xml:space="preserve">, claves estandarizadas – interbancarias - (CLABES) y de tarjetas, los </w:t>
      </w:r>
      <w:r w:rsidDel="00000000" w:rsidR="00000000" w:rsidRPr="00000000">
        <w:rPr>
          <w:rFonts w:ascii="Palatino Linotype" w:cs="Palatino Linotype" w:eastAsia="Palatino Linotype" w:hAnsi="Palatino Linotype"/>
          <w:b w:val="1"/>
          <w:sz w:val="22"/>
          <w:szCs w:val="22"/>
          <w:rtl w:val="0"/>
        </w:rPr>
        <w:t xml:space="preserve">préstamos o descuentos</w:t>
      </w:r>
      <w:r w:rsidDel="00000000" w:rsidR="00000000" w:rsidRPr="00000000">
        <w:rPr>
          <w:rFonts w:ascii="Palatino Linotype" w:cs="Palatino Linotype" w:eastAsia="Palatino Linotype" w:hAnsi="Palatino Linotype"/>
          <w:sz w:val="22"/>
          <w:szCs w:val="22"/>
          <w:rtl w:val="0"/>
        </w:rPr>
        <w:t xml:space="preserve"> que se le hagan a la persona y que no tengan relación con los impuestos o la cuota por seguridad social, el</w:t>
      </w:r>
      <w:r w:rsidDel="00000000" w:rsidR="00000000" w:rsidRPr="00000000">
        <w:rPr>
          <w:rFonts w:ascii="Palatino Linotype" w:cs="Palatino Linotype" w:eastAsia="Palatino Linotype" w:hAnsi="Palatino Linotype"/>
          <w:b w:val="1"/>
          <w:sz w:val="22"/>
          <w:szCs w:val="22"/>
          <w:rtl w:val="0"/>
        </w:rPr>
        <w:t xml:space="preserve"> número de empleado</w:t>
      </w:r>
      <w:r w:rsidDel="00000000" w:rsidR="00000000" w:rsidRPr="00000000">
        <w:rPr>
          <w:rFonts w:ascii="Palatino Linotype" w:cs="Palatino Linotype" w:eastAsia="Palatino Linotype" w:hAnsi="Palatino Linotype"/>
          <w:sz w:val="22"/>
          <w:szCs w:val="22"/>
          <w:rtl w:val="0"/>
        </w:rPr>
        <w:t xml:space="preserve"> y cualquier información de carácter fiscal, bajo las siguientes consideraciones. </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w:t>
      </w:r>
      <w:r w:rsidDel="00000000" w:rsidR="00000000" w:rsidRPr="00000000">
        <w:rPr>
          <w:rFonts w:ascii="Palatino Linotype" w:cs="Palatino Linotype" w:eastAsia="Palatino Linotype" w:hAnsi="Palatino Linotype"/>
          <w:b w:val="1"/>
          <w:sz w:val="22"/>
          <w:szCs w:val="22"/>
          <w:rtl w:val="0"/>
        </w:rPr>
        <w:t xml:space="preserve">Registro Federal de Contribuyentes, RFC</w:t>
      </w:r>
      <w:r w:rsidDel="00000000" w:rsidR="00000000" w:rsidRPr="00000000">
        <w:rPr>
          <w:rFonts w:ascii="Palatino Linotype" w:cs="Palatino Linotype" w:eastAsia="Palatino Linotype" w:hAnsi="Palatino Linotype"/>
          <w:sz w:val="22"/>
          <w:szCs w:val="22"/>
          <w:rtl w:val="0"/>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entonces Instituto Nacional de Transparencia, Acceso a la Información y Protección de Datos Personales, INAI, a través del Criterio 19/17, el cual es del tenor literal siguiente:</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360"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es compartido por el entonces Instituto Nacional de Transparencia, Acceso a la Información y Protección de Datos Personales, INAI, conforme al criterio 18/17, el cual refiere:</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360" w:lineRule="auto"/>
        <w:ind w:left="851" w:right="85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argumentado encuentra sustento en los criterios 10/17 y 11/17 emitidos por el entonces Instituto Nacional de Transparencia, Acceso a la Información y Protección de Datos Personales, INAI, que llevan por rubro y texto los siguientes:</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w:t>
      </w:r>
      <w:r w:rsidDel="00000000" w:rsidR="00000000" w:rsidRPr="00000000">
        <w:rPr>
          <w:rFonts w:ascii="Palatino Linotype" w:cs="Palatino Linotype" w:eastAsia="Palatino Linotype" w:hAnsi="Palatino Linotype"/>
          <w:b w:val="1"/>
          <w:sz w:val="22"/>
          <w:szCs w:val="22"/>
          <w:rtl w:val="0"/>
        </w:rPr>
        <w:t xml:space="preserve">préstamos o descuentos de carácter personal</w:t>
      </w:r>
      <w:r w:rsidDel="00000000" w:rsidR="00000000" w:rsidRPr="00000000">
        <w:rPr>
          <w:rFonts w:ascii="Palatino Linotype" w:cs="Palatino Linotype" w:eastAsia="Palatino Linotype" w:hAnsi="Palatino Linotype"/>
          <w:sz w:val="22"/>
          <w:szCs w:val="22"/>
          <w:rtl w:val="0"/>
        </w:rPr>
        <w:t xml:space="preserve">, en virtud de no tener relación con la prestación del servicio y al no involucrar instituciones públicas, se consideran datos confidenciales.</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Deudas contraídas con las instituciones públicas o dependencias por concepto de anticipos de sueldo, pagos hechos con exceso, errores o pérdidas debidamente comprobados;</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000000" w:rsidDel="00000000" w:rsidP="00000000" w:rsidRDefault="00000000" w:rsidRPr="00000000" w14:paraId="0000015C">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relación al </w:t>
      </w:r>
      <w:r w:rsidDel="00000000" w:rsidR="00000000" w:rsidRPr="00000000">
        <w:rPr>
          <w:rFonts w:ascii="Palatino Linotype" w:cs="Palatino Linotype" w:eastAsia="Palatino Linotype" w:hAnsi="Palatino Linotype"/>
          <w:b w:val="1"/>
          <w:sz w:val="22"/>
          <w:szCs w:val="22"/>
          <w:rtl w:val="0"/>
        </w:rPr>
        <w:t xml:space="preserve">número de empleado</w:t>
      </w:r>
      <w:r w:rsidDel="00000000" w:rsidR="00000000" w:rsidRPr="00000000">
        <w:rPr>
          <w:rFonts w:ascii="Palatino Linotype" w:cs="Palatino Linotype" w:eastAsia="Palatino Linotype" w:hAnsi="Palatino Linotype"/>
          <w:sz w:val="22"/>
          <w:szCs w:val="22"/>
          <w:rtl w:val="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orientador 06/19, que indica lo siguiente:</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ind w:left="993"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“Número de empleado. </w:t>
      </w:r>
      <w:r w:rsidDel="00000000" w:rsidR="00000000" w:rsidRPr="00000000">
        <w:rPr>
          <w:rFonts w:ascii="Palatino Linotype" w:cs="Palatino Linotype" w:eastAsia="Palatino Linotype" w:hAnsi="Palatino Linotype"/>
          <w:i w:val="1"/>
          <w:sz w:val="22"/>
          <w:szCs w:val="22"/>
          <w:rtl w:val="0"/>
        </w:rPr>
        <w:t xml:space="preserve">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000000" w:rsidDel="00000000" w:rsidP="00000000" w:rsidRDefault="00000000" w:rsidRPr="00000000" w14:paraId="00000164">
      <w:pPr>
        <w:pBdr>
          <w:top w:space="0" w:sz="0" w:val="nil"/>
          <w:left w:space="0" w:sz="0" w:val="nil"/>
          <w:bottom w:space="0" w:sz="0" w:val="nil"/>
          <w:right w:space="0" w:sz="0" w:val="nil"/>
          <w:between w:space="0" w:sz="0" w:val="nil"/>
        </w:pBdr>
        <w:ind w:left="993" w:right="99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000000" w:rsidDel="00000000" w:rsidP="00000000" w:rsidRDefault="00000000" w:rsidRPr="00000000" w14:paraId="000001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68">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6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6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16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6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6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7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72">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173">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174">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17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7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7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7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7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7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7C">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7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rsidR="00000000" w:rsidDel="00000000" w:rsidP="00000000" w:rsidRDefault="00000000" w:rsidRPr="00000000" w14:paraId="0000018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8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183">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84">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185">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186">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187">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8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89">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8A">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18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18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18D">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8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8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9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9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9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9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9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vigentes a la fecha de la solicitud de información establecen lo siguiente:</w:t>
      </w:r>
    </w:p>
    <w:p w:rsidR="00000000" w:rsidDel="00000000" w:rsidP="00000000" w:rsidRDefault="00000000" w:rsidRPr="00000000" w14:paraId="000001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9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9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9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9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9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9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A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A1">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A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y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240" w:before="240" w:line="360" w:lineRule="auto"/>
        <w:ind w:left="567"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A5">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sz w:val="22"/>
          <w:szCs w:val="22"/>
          <w:rtl w:val="0"/>
        </w:rPr>
        <w:t xml:space="preserve"> fundados </w:t>
      </w:r>
      <w:r w:rsidDel="00000000" w:rsidR="00000000" w:rsidRPr="00000000">
        <w:rPr>
          <w:rFonts w:ascii="Palatino Linotype" w:cs="Palatino Linotype" w:eastAsia="Palatino Linotype" w:hAnsi="Palatino Linotype"/>
          <w:sz w:val="22"/>
          <w:szCs w:val="22"/>
          <w:rtl w:val="0"/>
        </w:rPr>
        <w:t xml:space="preserve">los motivos de inconformidad hechos valer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el Recurso de Revisión</w:t>
      </w:r>
      <w:r w:rsidDel="00000000" w:rsidR="00000000" w:rsidRPr="00000000">
        <w:rPr>
          <w:rFonts w:ascii="Palatino Linotype" w:cs="Palatino Linotype" w:eastAsia="Palatino Linotype" w:hAnsi="Palatino Linotype"/>
          <w:b w:val="1"/>
          <w:sz w:val="22"/>
          <w:szCs w:val="22"/>
          <w:rtl w:val="0"/>
        </w:rPr>
        <w:t xml:space="preserve"> 05659/INFOEM/IP/RR/2025, </w:t>
      </w:r>
      <w:r w:rsidDel="00000000" w:rsidR="00000000" w:rsidRPr="00000000">
        <w:rPr>
          <w:rFonts w:ascii="Palatino Linotype" w:cs="Palatino Linotype" w:eastAsia="Palatino Linotype" w:hAnsi="Palatino Linotype"/>
          <w:sz w:val="22"/>
          <w:szCs w:val="22"/>
          <w:rtl w:val="0"/>
        </w:rPr>
        <w:t xml:space="preserve">por lo que</w:t>
      </w:r>
      <w:r w:rsidDel="00000000" w:rsidR="00000000" w:rsidRPr="00000000">
        <w:rPr>
          <w:rFonts w:ascii="Palatino Linotype" w:cs="Palatino Linotype" w:eastAsia="Palatino Linotype" w:hAnsi="Palatino Linotype"/>
          <w:b w:val="1"/>
          <w:sz w:val="22"/>
          <w:szCs w:val="22"/>
          <w:rtl w:val="0"/>
        </w:rPr>
        <w:t xml:space="preserve">, en términos del Considerando Cuarto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sz w:val="22"/>
          <w:szCs w:val="22"/>
          <w:rtl w:val="0"/>
        </w:rPr>
        <w:t xml:space="preserve">, se REVOCA l</w:t>
      </w:r>
      <w:r w:rsidDel="00000000" w:rsidR="00000000" w:rsidRPr="00000000">
        <w:rPr>
          <w:rFonts w:ascii="Palatino Linotype" w:cs="Palatino Linotype" w:eastAsia="Palatino Linotype" w:hAnsi="Palatino Linotype"/>
          <w:sz w:val="22"/>
          <w:szCs w:val="22"/>
          <w:rtl w:val="0"/>
        </w:rPr>
        <w:t xml:space="preserve">a respuesta del</w:t>
      </w:r>
      <w:r w:rsidDel="00000000" w:rsidR="00000000" w:rsidRPr="00000000">
        <w:rPr>
          <w:rFonts w:ascii="Palatino Linotype" w:cs="Palatino Linotype" w:eastAsia="Palatino Linotype" w:hAnsi="Palatino Linotype"/>
          <w:b w:val="1"/>
          <w:sz w:val="22"/>
          <w:szCs w:val="22"/>
          <w:rtl w:val="0"/>
        </w:rPr>
        <w:t xml:space="preserve"> Sujeto Obligado.</w:t>
      </w:r>
    </w:p>
    <w:p w:rsidR="00000000" w:rsidDel="00000000" w:rsidP="00000000" w:rsidRDefault="00000000" w:rsidRPr="00000000" w14:paraId="000001A6">
      <w:pPr>
        <w:spacing w:after="240" w:before="240" w:line="360" w:lineRule="auto"/>
        <w:jc w:val="both"/>
        <w:rPr>
          <w:rFonts w:ascii="Palatino Linotype" w:cs="Palatino Linotype" w:eastAsia="Palatino Linotype" w:hAnsi="Palatino Linotype"/>
          <w:b w:val="1"/>
          <w:sz w:val="22"/>
          <w:szCs w:val="22"/>
        </w:rPr>
      </w:pPr>
      <w:bookmarkStart w:colFirst="0" w:colLast="0" w:name="_heading=h.j3ppyxwlb1s2" w:id="1"/>
      <w:bookmarkEnd w:id="1"/>
      <w:r w:rsidDel="00000000" w:rsidR="00000000" w:rsidRPr="00000000">
        <w:rPr>
          <w:rFonts w:ascii="Palatino Linotype" w:cs="Palatino Linotype" w:eastAsia="Palatino Linotype" w:hAnsi="Palatino Linotype"/>
          <w:b w:val="1"/>
          <w:sz w:val="22"/>
          <w:szCs w:val="22"/>
          <w:rtl w:val="0"/>
        </w:rPr>
        <w:t xml:space="preserve">Segundo. Se Ordena al Sujeto Obligado </w:t>
      </w:r>
      <w:r w:rsidDel="00000000" w:rsidR="00000000" w:rsidRPr="00000000">
        <w:rPr>
          <w:rFonts w:ascii="Palatino Linotype" w:cs="Palatino Linotype" w:eastAsia="Palatino Linotype" w:hAnsi="Palatino Linotype"/>
          <w:sz w:val="22"/>
          <w:szCs w:val="22"/>
          <w:rtl w:val="0"/>
        </w:rPr>
        <w:t xml:space="preserve">que en términos de los</w:t>
      </w:r>
      <w:r w:rsidDel="00000000" w:rsidR="00000000" w:rsidRPr="00000000">
        <w:rPr>
          <w:rFonts w:ascii="Palatino Linotype" w:cs="Palatino Linotype" w:eastAsia="Palatino Linotype" w:hAnsi="Palatino Linotype"/>
          <w:b w:val="1"/>
          <w:sz w:val="22"/>
          <w:szCs w:val="22"/>
          <w:rtl w:val="0"/>
        </w:rPr>
        <w:t xml:space="preserve"> Considerandos Cuarto y Quinto </w:t>
      </w:r>
      <w:r w:rsidDel="00000000" w:rsidR="00000000" w:rsidRPr="00000000">
        <w:rPr>
          <w:rFonts w:ascii="Palatino Linotype" w:cs="Palatino Linotype" w:eastAsia="Palatino Linotype" w:hAnsi="Palatino Linotype"/>
          <w:sz w:val="22"/>
          <w:szCs w:val="22"/>
          <w:rtl w:val="0"/>
        </w:rPr>
        <w:t xml:space="preserve">de esta resolución, haga entrega a </w:t>
      </w:r>
      <w:r w:rsidDel="00000000" w:rsidR="00000000" w:rsidRPr="00000000">
        <w:rPr>
          <w:rFonts w:ascii="Palatino Linotype" w:cs="Palatino Linotype" w:eastAsia="Palatino Linotype" w:hAnsi="Palatino Linotype"/>
          <w:b w:val="1"/>
          <w:sz w:val="22"/>
          <w:szCs w:val="22"/>
          <w:rtl w:val="0"/>
        </w:rPr>
        <w:t xml:space="preserve">la parte Recurrente a través del SAIMEX, </w:t>
      </w:r>
      <w:r w:rsidDel="00000000" w:rsidR="00000000" w:rsidRPr="00000000">
        <w:rPr>
          <w:rFonts w:ascii="Palatino Linotype" w:cs="Palatino Linotype" w:eastAsia="Palatino Linotype" w:hAnsi="Palatino Linotype"/>
          <w:sz w:val="22"/>
          <w:szCs w:val="22"/>
          <w:rtl w:val="0"/>
        </w:rPr>
        <w:t xml:space="preserve">previa búsqueda exhaustiva y razonable, de ser el caso en versión pública, los documentos donde conste la siguiente información: </w:t>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843"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Del Servidor Público con cargo de Subdirector señalado en la solicitud;</w:t>
      </w:r>
    </w:p>
    <w:p w:rsidR="00000000" w:rsidDel="00000000" w:rsidP="00000000" w:rsidRDefault="00000000" w:rsidRPr="00000000" w14:paraId="000001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287" w:right="843"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Atribuciones al veintidós de abril de dos mil veinticinco;</w:t>
      </w:r>
    </w:p>
    <w:p w:rsidR="00000000" w:rsidDel="00000000" w:rsidP="00000000" w:rsidRDefault="00000000" w:rsidRPr="00000000" w14:paraId="000001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287" w:right="843"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Horario de trabajo al veintidós de abril de dos mil veinticinco; </w:t>
      </w:r>
    </w:p>
    <w:p w:rsidR="00000000" w:rsidDel="00000000" w:rsidP="00000000" w:rsidRDefault="00000000" w:rsidRPr="00000000" w14:paraId="000001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287" w:right="843"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Número de horas de trabajo de campo al veintidós de abril de dos mil veinticinco;</w:t>
      </w:r>
    </w:p>
    <w:p w:rsidR="00000000" w:rsidDel="00000000" w:rsidP="00000000" w:rsidRDefault="00000000" w:rsidRPr="00000000" w14:paraId="000001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287" w:right="843"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Bitácora o cronograma de todas las actividades realizadas del 1 de enero al veintidós de abril de dos mil veinticinco; </w:t>
      </w:r>
    </w:p>
    <w:p w:rsidR="00000000" w:rsidDel="00000000" w:rsidP="00000000" w:rsidRDefault="00000000" w:rsidRPr="00000000" w14:paraId="000001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287" w:right="843"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Percepciones brutas y netas vigentes al veintidós de abril de dos mil veinticinco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87" w:right="843"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ind w:left="284"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1AF">
      <w:pPr>
        <w:pBdr>
          <w:top w:space="0" w:sz="0" w:val="nil"/>
          <w:left w:space="0" w:sz="0" w:val="nil"/>
          <w:bottom w:space="0" w:sz="0" w:val="nil"/>
          <w:right w:space="0" w:sz="0" w:val="nil"/>
          <w:between w:space="0" w:sz="0" w:val="nil"/>
        </w:pBdr>
        <w:ind w:left="284"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0">
      <w:pPr>
        <w:spacing w:after="240" w:before="240" w:line="276" w:lineRule="auto"/>
        <w:ind w:left="284"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ser el caso de que no se cuente con la información que se ordena en el inciso c) y d), bastará con que así lo haga del conocimiento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B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B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B3">
      <w:pPr>
        <w:spacing w:line="360" w:lineRule="auto"/>
        <w:jc w:val="both"/>
        <w:rPr>
          <w:rFonts w:ascii="Palatino Linotype" w:cs="Palatino Linotype" w:eastAsia="Palatino Linotype" w:hAnsi="Palatino Linotype"/>
          <w:sz w:val="22"/>
          <w:szCs w:val="22"/>
        </w:rPr>
      </w:pPr>
      <w:bookmarkStart w:colFirst="0" w:colLast="0" w:name="_heading=h.tyjcwt" w:id="2"/>
      <w:bookmarkEnd w:id="2"/>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rsidR="00000000" w:rsidDel="00000000" w:rsidP="00000000" w:rsidRDefault="00000000" w:rsidRPr="00000000" w14:paraId="000001B4">
      <w:pPr>
        <w:spacing w:line="360" w:lineRule="auto"/>
        <w:ind w:right="-93"/>
        <w:jc w:val="both"/>
        <w:rPr>
          <w:rFonts w:ascii="Palatino Linotype" w:cs="Palatino Linotype" w:eastAsia="Palatino Linotype" w:hAnsi="Palatino Linotype"/>
          <w:b w:val="1"/>
          <w:sz w:val="22"/>
          <w:szCs w:val="22"/>
        </w:rPr>
      </w:pPr>
      <w:bookmarkStart w:colFirst="0" w:colLast="0" w:name="_heading=h.jl0dlasot4f" w:id="3"/>
      <w:bookmarkEnd w:id="3"/>
      <w:r w:rsidDel="00000000" w:rsidR="00000000" w:rsidRPr="00000000">
        <w:rPr>
          <w:rtl w:val="0"/>
        </w:rPr>
      </w:r>
    </w:p>
    <w:p w:rsidR="00000000" w:rsidDel="00000000" w:rsidP="00000000" w:rsidRDefault="00000000" w:rsidRPr="00000000" w14:paraId="000001B5">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DE AGOSTO DE DOS MIL VEINTICINCO, ANTE EL SECRETARIO TÉCNICO DEL PLENO ALEXIS TAPIA RAMÍREZ.</w:t>
      </w:r>
    </w:p>
    <w:p w:rsidR="00000000" w:rsidDel="00000000" w:rsidP="00000000" w:rsidRDefault="00000000" w:rsidRPr="00000000" w14:paraId="000001B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7">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9">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B">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C">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0">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1">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2">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4">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5">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7">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-401953</wp:posOffset>
          </wp:positionV>
          <wp:extent cx="7809876" cy="10165823"/>
          <wp:effectExtent b="0" l="0" r="0" t="0"/>
          <wp:wrapNone/>
          <wp:docPr id="4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Recurso de Revisión:</w:t>
          </w:r>
        </w:p>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tl w:val="0"/>
            </w:rPr>
          </w:r>
        </w:p>
      </w:tc>
      <w:tc>
        <w:tcPr>
          <w:vAlign w:val="center"/>
        </w:tcPr>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05659/INFOEM/IP/RR/2025</w:t>
          </w:r>
        </w:p>
      </w:tc>
    </w:tr>
    <w:tr>
      <w:trPr>
        <w:cantSplit w:val="0"/>
        <w:trHeight w:val="217" w:hRule="atLeast"/>
        <w:tblHeader w:val="0"/>
      </w:trPr>
      <w:tc>
        <w:tcPr>
          <w:vAlign w:val="center"/>
        </w:tcPr>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Sujeto obligado:</w:t>
          </w:r>
        </w:p>
      </w:tc>
      <w:tc>
        <w:tcPr>
          <w:vAlign w:val="center"/>
        </w:tcPr>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0"/>
              <w:szCs w:val="20"/>
              <w:rtl w:val="0"/>
            </w:rPr>
            <w:t xml:space="preserve">Organismo Público Descentralizado para la Prestación de Servicios de Agua Potable Alcantarillado y Saneamiento de Coacalco de Berriozábal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Comisionada ponente:</w:t>
          </w:r>
        </w:p>
      </w:tc>
      <w:tc>
        <w:tcPr>
          <w:vAlign w:val="center"/>
        </w:tcPr>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p>
      </w:tc>
    </w:tr>
  </w:tbl>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rPr>
        <w:rFonts w:ascii="Palatino Linotype" w:cs="Palatino Linotype" w:eastAsia="Palatino Linotype" w:hAnsi="Palatino Linotype"/>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-929004</wp:posOffset>
          </wp:positionH>
          <wp:positionV relativeFrom="paragraph">
            <wp:posOffset>-644524</wp:posOffset>
          </wp:positionV>
          <wp:extent cx="7809865" cy="10165715"/>
          <wp:effectExtent b="0" l="0" r="0" t="0"/>
          <wp:wrapNone/>
          <wp:docPr id="4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Recurso de Revisión:</w:t>
          </w:r>
        </w:p>
        <w:p w:rsidR="00000000" w:rsidDel="00000000" w:rsidP="00000000" w:rsidRDefault="00000000" w:rsidRPr="00000000" w14:paraId="000001D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2"/>
              <w:szCs w:val="22"/>
              <w:rtl w:val="0"/>
            </w:rPr>
            <w:t xml:space="preserve">05659/INFOEM/IP/RR/2025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Recurrente:</w:t>
          </w:r>
        </w:p>
      </w:tc>
      <w:tc>
        <w:tcPr>
          <w:vAlign w:val="center"/>
        </w:tcPr>
        <w:p w:rsidR="00000000" w:rsidDel="00000000" w:rsidP="00000000" w:rsidRDefault="00000000" w:rsidRPr="00000000" w14:paraId="000001D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XXXXX XXXXX </w:t>
          </w:r>
        </w:p>
      </w:tc>
    </w:tr>
    <w:tr>
      <w:trPr>
        <w:cantSplit w:val="0"/>
        <w:trHeight w:val="152" w:hRule="atLeast"/>
        <w:tblHeader w:val="0"/>
      </w:trPr>
      <w:tc>
        <w:tcPr>
          <w:vAlign w:val="center"/>
        </w:tcPr>
        <w:p w:rsidR="00000000" w:rsidDel="00000000" w:rsidP="00000000" w:rsidRDefault="00000000" w:rsidRPr="00000000" w14:paraId="000001D8">
          <w:pP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Sujeto obligado:</w:t>
          </w:r>
        </w:p>
        <w:p w:rsidR="00000000" w:rsidDel="00000000" w:rsidP="00000000" w:rsidRDefault="00000000" w:rsidRPr="00000000" w14:paraId="000001D9">
          <w:pP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1DA">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Organismo Público Descentralizado para la Prestación de Servicios de Agua Potable Alcantarillado y Saneamiento de Coacalco de Berriozábal</w:t>
          </w:r>
        </w:p>
      </w:tc>
    </w:tr>
    <w:tr>
      <w:trPr>
        <w:cantSplit w:val="0"/>
        <w:tblHeader w:val="0"/>
      </w:trPr>
      <w:tc>
        <w:tcPr>
          <w:vAlign w:val="center"/>
        </w:tcPr>
        <w:p w:rsidR="00000000" w:rsidDel="00000000" w:rsidP="00000000" w:rsidRDefault="00000000" w:rsidRPr="00000000" w14:paraId="000001DB">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Comisionada ponente:</w:t>
          </w:r>
        </w:p>
      </w:tc>
      <w:tc>
        <w:tcPr>
          <w:vAlign w:val="center"/>
        </w:tcPr>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Guadalupe Ramírez Peña</w:t>
          </w:r>
        </w:p>
      </w:tc>
    </w:tr>
  </w:tbl>
  <w:p w:rsidR="00000000" w:rsidDel="00000000" w:rsidP="00000000" w:rsidRDefault="00000000" w:rsidRPr="00000000" w14:paraId="000001DD">
    <w:pPr>
      <w:rPr>
        <w:color w:val="000000"/>
        <w:sz w:val="22"/>
        <w:szCs w:val="22"/>
      </w:rPr>
    </w:pPr>
    <w:r w:rsidDel="00000000" w:rsidR="00000000" w:rsidRPr="00000000">
      <w:rPr>
        <w:color w:val="000000"/>
        <w:sz w:val="22"/>
        <w:szCs w:val="22"/>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lowerLetter"/>
      <w:lvlText w:val="%1)"/>
      <w:lvlJc w:val="left"/>
      <w:pPr>
        <w:ind w:left="1287" w:hanging="360.0000000000001"/>
      </w:pPr>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left"/>
      <w:pPr>
        <w:ind w:left="1571" w:hanging="720"/>
      </w:pPr>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637" w:hanging="360"/>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aliases w:val="Hipervínculo1,Hipervínculo11,Hipervínculo12,Hipervínculo13,Hipervínculo14,Hipervínculo15"/>
    <w:basedOn w:val="Fuentedeprrafopredeter"/>
    <w:uiPriority w:val="99"/>
    <w:unhideWhenUsed w:val="1"/>
    <w:qFormat w:val="1"/>
    <w:rsid w:val="00CD74AE"/>
    <w:rPr>
      <w:color w:val="0563c1" w:themeColor="hyperlink"/>
      <w:u w:val="single"/>
    </w:rPr>
  </w:style>
  <w:style w:type="table" w:styleId="Tablaconcuadrcula">
    <w:name w:val="Table Grid"/>
    <w:basedOn w:val="Tablanormal"/>
    <w:uiPriority w:val="39"/>
    <w:rsid w:val="009C1D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pPr>
    <w:rPr>
      <w:rFonts w:ascii="Arial" w:cs="Arial" w:hAnsi="Arial"/>
      <w:color w:val="000000"/>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rPr>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table" w:styleId="9" w:customStyle="1">
    <w:name w:val="9"/>
    <w:basedOn w:val="TableNormal20"/>
    <w:tblPr>
      <w:tblStyleRowBandSize w:val="1"/>
      <w:tblStyleColBandSize w:val="1"/>
      <w:tblCellMar>
        <w:left w:w="108.0" w:type="dxa"/>
        <w:right w:w="108.0" w:type="dxa"/>
      </w:tblCellMar>
    </w:tblPr>
  </w:style>
  <w:style w:type="table" w:styleId="8" w:customStyle="1">
    <w:name w:val="8"/>
    <w:basedOn w:val="TableNormal20"/>
    <w:tblPr>
      <w:tblStyleRowBandSize w:val="1"/>
      <w:tblStyleColBandSize w:val="1"/>
      <w:tblCellMar>
        <w:top w:w="15.0" w:type="dxa"/>
        <w:left w:w="115.0" w:type="dxa"/>
        <w:bottom w:w="15.0" w:type="dxa"/>
        <w:right w:w="115.0" w:type="dxa"/>
      </w:tblCellMar>
    </w:tblPr>
  </w:style>
  <w:style w:type="table" w:styleId="7" w:customStyle="1">
    <w:name w:val="7"/>
    <w:basedOn w:val="TableNormal20"/>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91EC4"/>
    <w:rPr>
      <w:color w:val="605e5c"/>
      <w:shd w:color="auto" w:fill="e1dfdd" w:val="clear"/>
    </w:rPr>
  </w:style>
  <w:style w:type="character" w:styleId="Refdecomentario">
    <w:name w:val="annotation reference"/>
    <w:basedOn w:val="Fuentedeprrafopredeter"/>
    <w:uiPriority w:val="99"/>
    <w:semiHidden w:val="1"/>
    <w:unhideWhenUsed w:val="1"/>
    <w:rsid w:val="007266CA"/>
    <w:rPr>
      <w:sz w:val="16"/>
      <w:szCs w:val="16"/>
    </w:rPr>
  </w:style>
  <w:style w:type="paragraph" w:styleId="Textocomentario">
    <w:name w:val="annotation text"/>
    <w:basedOn w:val="Normal"/>
    <w:link w:val="TextocomentarioCar"/>
    <w:uiPriority w:val="99"/>
    <w:semiHidden w:val="1"/>
    <w:unhideWhenUsed w:val="1"/>
    <w:rsid w:val="007266CA"/>
    <w:rPr>
      <w:sz w:val="20"/>
      <w:szCs w:val="20"/>
    </w:rPr>
  </w:style>
  <w:style w:type="character" w:styleId="TextocomentarioCar" w:customStyle="1">
    <w:name w:val="Texto comentario Car"/>
    <w:basedOn w:val="Fuentedeprrafopredeter"/>
    <w:link w:val="Textocomentario"/>
    <w:uiPriority w:val="99"/>
    <w:semiHidden w:val="1"/>
    <w:rsid w:val="007266CA"/>
    <w:rPr>
      <w:rFonts w:cs="Times New Roman" w:eastAsia="Times New Roman"/>
      <w:sz w:val="20"/>
      <w:szCs w:val="20"/>
      <w:lang w:eastAsia="en-US"/>
    </w:rPr>
  </w:style>
  <w:style w:type="paragraph" w:styleId="Asuntodelcomentario">
    <w:name w:val="annotation subject"/>
    <w:basedOn w:val="Textocomentario"/>
    <w:next w:val="Textocomentario"/>
    <w:link w:val="AsuntodelcomentarioCar"/>
    <w:uiPriority w:val="99"/>
    <w:semiHidden w:val="1"/>
    <w:unhideWhenUsed w:val="1"/>
    <w:rsid w:val="007266CA"/>
    <w:rPr>
      <w:b w:val="1"/>
      <w:bCs w:val="1"/>
    </w:rPr>
  </w:style>
  <w:style w:type="character" w:styleId="AsuntodelcomentarioCar" w:customStyle="1">
    <w:name w:val="Asunto del comentario Car"/>
    <w:basedOn w:val="TextocomentarioCar"/>
    <w:link w:val="Asuntodelcomentario"/>
    <w:uiPriority w:val="99"/>
    <w:semiHidden w:val="1"/>
    <w:rsid w:val="007266CA"/>
    <w:rPr>
      <w:rFonts w:cs="Times New Roman" w:eastAsia="Times New Roman"/>
      <w:b w:val="1"/>
      <w:bCs w:val="1"/>
      <w:sz w:val="20"/>
      <w:szCs w:val="20"/>
      <w:lang w:eastAsia="en-US"/>
    </w:rPr>
  </w:style>
  <w:style w:type="character" w:styleId="Textodelmarcadordeposicin">
    <w:name w:val="Placeholder Text"/>
    <w:basedOn w:val="Fuentedeprrafopredeter"/>
    <w:uiPriority w:val="99"/>
    <w:semiHidden w:val="1"/>
    <w:rsid w:val="007266CA"/>
    <w:rPr>
      <w:color w:val="808080"/>
    </w:rPr>
  </w:style>
  <w:style w:type="character" w:styleId="Hipervnculovisitado">
    <w:name w:val="FollowedHyperlink"/>
    <w:basedOn w:val="Fuentedeprrafopredeter"/>
    <w:uiPriority w:val="99"/>
    <w:semiHidden w:val="1"/>
    <w:unhideWhenUsed w:val="1"/>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C1F2B"/>
    <w:rPr>
      <w:rFonts w:asciiTheme="minorHAnsi" w:cstheme="minorBidi" w:eastAsiaTheme="minorHAnsi" w:hAnsiTheme="minorHAnsi"/>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C1F2B"/>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FC1F2B"/>
    <w:rPr>
      <w:vertAlign w:val="superscript"/>
    </w:rPr>
  </w:style>
  <w:style w:type="character" w:styleId="PuestoCar" w:customStyle="1">
    <w:name w:val="Puesto Car"/>
    <w:aliases w:val="Cita textual Car"/>
    <w:basedOn w:val="Fuentedeprrafopredeter"/>
    <w:uiPriority w:val="10"/>
    <w:rsid w:val="00EC101D"/>
    <w:rPr>
      <w:rFonts w:cs="Times New Roman" w:eastAsia="Times New Roman"/>
      <w:b w:val="1"/>
      <w:sz w:val="72"/>
      <w:szCs w:val="72"/>
      <w:lang w:eastAsia="en-US"/>
    </w:rPr>
  </w:style>
  <w:style w:type="table" w:styleId="Tablanormal11" w:customStyle="1">
    <w:name w:val="Tabla normal 11"/>
    <w:basedOn w:val="Tablanormal"/>
    <w:uiPriority w:val="41"/>
    <w:rsid w:val="009A0A8D"/>
    <w:rPr>
      <w:rFonts w:asciiTheme="minorHAnsi" w:cstheme="minorBidi" w:eastAsiaTheme="minorHAnsi" w:hAnsiTheme="minorHAnsi"/>
      <w:lang w:eastAsia="en-US"/>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a" w:customStyle="1">
    <w:basedOn w:val="TableNormal3"/>
    <w:tblPr>
      <w:tblStyleRowBandSize w:val="1"/>
      <w:tblStyleColBandSize w:val="1"/>
      <w:tblCellMar>
        <w:left w:w="115.0" w:type="dxa"/>
        <w:right w:w="115.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table" w:styleId="a2" w:customStyle="1">
    <w:basedOn w:val="TableNormal3"/>
    <w:tblPr>
      <w:tblStyleRowBandSize w:val="1"/>
      <w:tblStyleColBandSize w:val="1"/>
      <w:tblCellMar>
        <w:left w:w="115.0" w:type="dxa"/>
        <w:right w:w="115.0" w:type="dxa"/>
      </w:tblCellMar>
    </w:tblPr>
  </w:style>
  <w:style w:type="table" w:styleId="a3" w:customStyle="1">
    <w:basedOn w:val="TableNormal3"/>
    <w:tblPr>
      <w:tblStyleRowBandSize w:val="1"/>
      <w:tblStyleColBandSize w:val="1"/>
      <w:tblCellMar>
        <w:top w:w="15.0" w:type="dxa"/>
        <w:left w:w="115.0" w:type="dxa"/>
        <w:bottom w:w="15.0" w:type="dxa"/>
        <w:right w:w="115.0" w:type="dxa"/>
      </w:tblCellMar>
    </w:tblPr>
  </w:style>
  <w:style w:type="table" w:styleId="a4" w:customStyle="1">
    <w:basedOn w:val="TableNormal3"/>
    <w:tblPr>
      <w:tblStyleRowBandSize w:val="1"/>
      <w:tblStyleColBandSize w:val="1"/>
      <w:tblCellMar>
        <w:top w:w="15.0" w:type="dxa"/>
        <w:left w:w="115.0" w:type="dxa"/>
        <w:bottom w:w="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2"/>
    <w:tblPr>
      <w:tblStyleRowBandSize w:val="1"/>
      <w:tblStyleColBandSize w:val="1"/>
      <w:tblCellMar>
        <w:left w:w="115.0" w:type="dxa"/>
        <w:right w:w="115.0" w:type="dxa"/>
      </w:tblCellMar>
    </w:tbl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2"/>
    <w:tblPr>
      <w:tblStyleRowBandSize w:val="1"/>
      <w:tblStyleColBandSize w:val="1"/>
      <w:tblCellMar>
        <w:top w:w="15.0" w:type="dxa"/>
        <w:left w:w="115.0" w:type="dxa"/>
        <w:bottom w:w="15.0" w:type="dxa"/>
        <w:right w:w="115.0" w:type="dxa"/>
      </w:tblCellMar>
    </w:tblPr>
  </w:style>
  <w:style w:type="table" w:styleId="aa" w:customStyle="1">
    <w:basedOn w:val="TableNormal2"/>
    <w:tblPr>
      <w:tblStyleRowBandSize w:val="1"/>
      <w:tblStyleColBandSize w:val="1"/>
      <w:tblCellMar>
        <w:top w:w="15.0" w:type="dxa"/>
        <w:left w:w="115.0" w:type="dxa"/>
        <w:bottom w:w="15.0" w:type="dxa"/>
        <w:right w:w="115.0" w:type="dxa"/>
      </w:tblCellMar>
    </w:tblPr>
  </w:style>
  <w:style w:type="table" w:styleId="ab" w:customStyle="1">
    <w:basedOn w:val="TableNormal1"/>
    <w:tblPr>
      <w:tblStyleRowBandSize w:val="1"/>
      <w:tblStyleColBandSize w:val="1"/>
      <w:tblCellMar>
        <w:left w:w="115.0" w:type="dxa"/>
        <w:right w:w="115.0" w:type="dxa"/>
      </w:tblCellMar>
    </w:tblPr>
  </w:style>
  <w:style w:type="table" w:styleId="ac" w:customStyle="1">
    <w:basedOn w:val="TableNormal1"/>
    <w:tblPr>
      <w:tblStyleRowBandSize w:val="1"/>
      <w:tblStyleColBandSize w:val="1"/>
      <w:tblCellMar>
        <w:left w:w="115.0" w:type="dxa"/>
        <w:right w:w="115.0" w:type="dxa"/>
      </w:tblCellMar>
    </w:tblPr>
  </w:style>
  <w:style w:type="table" w:styleId="ad" w:customStyle="1">
    <w:basedOn w:val="TableNormal1"/>
    <w:tblPr>
      <w:tblStyleRowBandSize w:val="1"/>
      <w:tblStyleColBandSize w:val="1"/>
      <w:tblCellMar>
        <w:left w:w="115.0" w:type="dxa"/>
        <w:right w:w="115.0" w:type="dxa"/>
      </w:tblCellMar>
    </w:tblPr>
  </w:style>
  <w:style w:type="table" w:styleId="ae" w:customStyle="1">
    <w:basedOn w:val="TableNormal1"/>
    <w:tblPr>
      <w:tblStyleRowBandSize w:val="1"/>
      <w:tblStyleColBandSize w:val="1"/>
      <w:tblCellMar>
        <w:left w:w="115.0" w:type="dxa"/>
        <w:right w:w="115.0" w:type="dxa"/>
      </w:tblCellMar>
    </w:tblPr>
  </w:style>
  <w:style w:type="table" w:styleId="af" w:customStyle="1">
    <w:basedOn w:val="TableNormal1"/>
    <w:tblPr>
      <w:tblStyleRowBandSize w:val="1"/>
      <w:tblStyleColBandSize w:val="1"/>
      <w:tblCellMar>
        <w:left w:w="108.0" w:type="dxa"/>
        <w:right w:w="108.0" w:type="dxa"/>
      </w:tblCellMar>
    </w:tblPr>
  </w:style>
  <w:style w:type="table" w:styleId="af0" w:customStyle="1">
    <w:basedOn w:val="TableNormal1"/>
    <w:tblPr>
      <w:tblStyleRowBandSize w:val="1"/>
      <w:tblStyleColBandSize w:val="1"/>
      <w:tblCellMar>
        <w:left w:w="108.0" w:type="dxa"/>
        <w:right w:w="108.0" w:type="dxa"/>
      </w:tblCellMar>
    </w:tblPr>
  </w:style>
  <w:style w:type="table" w:styleId="af1" w:customStyle="1">
    <w:basedOn w:val="TableNormal1"/>
    <w:tblPr>
      <w:tblStyleRowBandSize w:val="1"/>
      <w:tblStyleColBandSize w:val="1"/>
      <w:tblCellMar>
        <w:top w:w="15.0" w:type="dxa"/>
        <w:left w:w="115.0" w:type="dxa"/>
        <w:bottom w:w="15.0" w:type="dxa"/>
        <w:right w:w="115.0" w:type="dxa"/>
      </w:tblCellMar>
    </w:tblPr>
  </w:style>
  <w:style w:type="table" w:styleId="af2" w:customStyle="1">
    <w:basedOn w:val="TableNormal1"/>
    <w:tblPr>
      <w:tblStyleRowBandSize w:val="1"/>
      <w:tblStyleColBandSize w:val="1"/>
      <w:tblCellMar>
        <w:top w:w="15.0" w:type="dxa"/>
        <w:left w:w="115.0" w:type="dxa"/>
        <w:bottom w:w="15.0" w:type="dxa"/>
        <w:right w:w="115.0" w:type="dxa"/>
      </w:tblCellMar>
    </w:tblPr>
  </w:style>
  <w:style w:type="character" w:styleId="Textoennegrita">
    <w:name w:val="Strong"/>
    <w:basedOn w:val="Fuentedeprrafopredeter"/>
    <w:uiPriority w:val="22"/>
    <w:qFormat w:val="1"/>
    <w:rsid w:val="00AC6527"/>
    <w:rPr>
      <w:b w:val="1"/>
      <w:bCs w:val="1"/>
    </w:rPr>
  </w:style>
  <w:style w:type="character" w:styleId="apple-tab-span" w:customStyle="1">
    <w:name w:val="apple-tab-span"/>
    <w:basedOn w:val="Fuentedeprrafopredeter"/>
    <w:rsid w:val="00EB58F7"/>
  </w:style>
  <w:style w:type="paragraph" w:styleId="Listaconvietas3">
    <w:name w:val="List Bullet 3"/>
    <w:basedOn w:val="Normal"/>
    <w:uiPriority w:val="99"/>
    <w:unhideWhenUsed w:val="1"/>
    <w:rsid w:val="00AF720B"/>
    <w:pPr>
      <w:numPr>
        <w:numId w:val="5"/>
      </w:numPr>
      <w:contextualSpacing w:val="1"/>
    </w:p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top w:w="15.0" w:type="dxa"/>
        <w:left w:w="115.0" w:type="dxa"/>
        <w:bottom w:w="15.0" w:type="dxa"/>
        <w:right w:w="115.0" w:type="dxa"/>
      </w:tblCellMar>
    </w:tblPr>
  </w:style>
  <w:style w:type="table" w:styleId="af5"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iS1wTgzQtc8z5gm8Kpbxi9RrA==">CgMxLjAyCWguM3pueXNoNzIOaC5qM3BweXh3bGIxczIyCGgudHlqY3d0Mg1oLmpsMGRsYXNvdDRmOAByITE1OTA3QWxhaml1MGsyenFkazl0X1Vya1VXTjA0VEhaQQ==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2025-09-03T22:34:00Z</dcterms:created>
  <dc:creator>Cuenta Microsoft</dc:creator>
</cp:coreProperties>
</file>