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svbniqzeow0a"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tres de diciembre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sz w:val="22"/>
          <w:szCs w:val="22"/>
        </w:rPr>
      </w:pPr>
      <w:bookmarkStart w:colFirst="0" w:colLast="0" w:name="_heading=h.daj3j2xo6q66"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09704/INFOEM/IP/RR/2025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una persona que no proporcionó su nombre,</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04043/TOLUCA/IP/2025,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veinticuatro de julio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sin embargo, al corresponder con un día inhábil, se tuvo por presentada el </w:t>
      </w:r>
      <w:r w:rsidDel="00000000" w:rsidR="00000000" w:rsidRPr="00000000">
        <w:rPr>
          <w:rFonts w:ascii="Palatino Linotype" w:cs="Palatino Linotype" w:eastAsia="Palatino Linotype" w:hAnsi="Palatino Linotype"/>
          <w:b w:val="1"/>
          <w:bCs w:val="1"/>
          <w:sz w:val="22"/>
          <w:szCs w:val="22"/>
          <w:rtl w:val="0"/>
        </w:rPr>
        <w:t xml:space="preserve">cuatro de agosto de dos mil veinticinco</w:t>
      </w:r>
      <w:r w:rsidDel="00000000" w:rsidR="00000000" w:rsidRPr="00000000">
        <w:rPr>
          <w:rFonts w:ascii="Palatino Linotype" w:cs="Palatino Linotype" w:eastAsia="Palatino Linotype" w:hAnsi="Palatino Linotype"/>
          <w:sz w:val="22"/>
          <w:szCs w:val="22"/>
          <w:rtl w:val="0"/>
        </w:rPr>
        <w:t xml:space="preserve"> 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“Certificados de competencia de todos los directores de area obligados a certificarse, curriculum de cada uno de ellos y sueldo mensual</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w:t>
      </w:r>
      <w:r w:rsidDel="00000000" w:rsidR="00000000" w:rsidRPr="00000000">
        <w:rPr>
          <w:rFonts w:ascii="Palatino Linotype" w:cs="Palatino Linotype" w:eastAsia="Palatino Linotype" w:hAnsi="Palatino Linotype"/>
          <w:b w:val="1"/>
          <w:bCs w:val="1"/>
          <w:sz w:val="22"/>
          <w:szCs w:val="22"/>
          <w:rtl w:val="0"/>
        </w:rPr>
        <w:t xml:space="preserv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catorce de agosto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del SAIMEX, sustancialmente en los términos siguientes:   </w:t>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atención a la solicitud con folio 04043/TOLUCA/IP/2025, me permito adjuntar al presente la respuesta correspondiente, Sin más por el momento, reciba un saludo...” (sic)</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adjuntó lo siguiente:</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Oficio número </w:t>
      </w:r>
      <w:r w:rsidDel="00000000" w:rsidR="00000000" w:rsidRPr="00000000">
        <w:rPr>
          <w:sz w:val="22"/>
          <w:szCs w:val="22"/>
          <w:rtl w:val="0"/>
        </w:rPr>
        <w:t xml:space="preserve">206010000/4635/2025, mediante el cual la Directora General de Administración </w:t>
      </w:r>
      <w:r w:rsidDel="00000000" w:rsidR="00000000" w:rsidRPr="00000000">
        <w:rPr>
          <w:rFonts w:ascii="Palatino Linotype" w:cs="Palatino Linotype" w:eastAsia="Palatino Linotype" w:hAnsi="Palatino Linotype"/>
          <w:sz w:val="22"/>
          <w:szCs w:val="22"/>
          <w:rtl w:val="0"/>
        </w:rPr>
        <w:t xml:space="preserve">refirió adjuntar la respuesta proporcionada por la Dirección de Recursos Humanos en atención a la solicitud.</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Nota informativa número 859/2025, mediante el cual la Directora de Recursos Humanos refirió enviar en versión pública la información solicitada en medio magnética de los servidores públicos obligados a presentar la Certificación de Competencia Laboral, después de una búsqueda en los archivos del Departamento de Reclutamiento y Selección de Personal.</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indicó que la información relativa al curriculum y el sueldo, que podía ser consultada en el portal de Información Pública de Oficio Mexiquense, IPOMEX, y, para lo cual proporcionó dos direcciones electrónicas en formato cerrado, las cuales corresponden con la información curricular y las remuneraciones.  </w:t>
      </w:r>
    </w:p>
    <w:p w:rsidR="00000000" w:rsidDel="00000000" w:rsidP="00000000" w:rsidRDefault="00000000" w:rsidRPr="00000000" w14:paraId="0000000D">
      <w:pPr>
        <w:spacing w:after="240" w:before="240" w:line="360" w:lineRule="auto"/>
        <w:ind w:left="142"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Nueve Certificados de Competencia Laboral.</w:t>
      </w:r>
    </w:p>
    <w:p w:rsidR="00000000" w:rsidDel="00000000" w:rsidP="00000000" w:rsidRDefault="00000000" w:rsidRPr="00000000" w14:paraId="0000000E">
      <w:pPr>
        <w:spacing w:after="240" w:before="240" w:line="360" w:lineRule="auto"/>
        <w:ind w:left="142"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Una constancia de competencia en el proceso de certificación con base en el estándar "EC0025 Prestación de Servicio de Asistencia Social, íntegra.</w:t>
      </w:r>
    </w:p>
    <w:p w:rsidR="00000000" w:rsidDel="00000000" w:rsidP="00000000" w:rsidRDefault="00000000" w:rsidRPr="00000000" w14:paraId="0000000F">
      <w:pPr>
        <w:spacing w:after="240" w:before="240" w:line="360" w:lineRule="auto"/>
        <w:ind w:left="142"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Un Diploma correspondiente al Diplomado de Mejora Regulatoria, íntegro. </w:t>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diecinueve de agosto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sin embargo, al corresponder con un día inhábil, se tuvo por interpuesto el </w:t>
      </w:r>
      <w:r w:rsidDel="00000000" w:rsidR="00000000" w:rsidRPr="00000000">
        <w:rPr>
          <w:rFonts w:ascii="Palatino Linotype" w:cs="Palatino Linotype" w:eastAsia="Palatino Linotype" w:hAnsi="Palatino Linotype"/>
          <w:b w:val="1"/>
          <w:bCs w:val="1"/>
          <w:sz w:val="22"/>
          <w:szCs w:val="22"/>
          <w:rtl w:val="0"/>
        </w:rPr>
        <w:t xml:space="preserve">cuatro de agosto de dos mil veinticinco,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12">
      <w:pPr>
        <w:ind w:left="851" w:right="900" w:firstLine="0"/>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opacidad a todo en ese municipio no entrega la información solicitada se pide se entregue conforme a la ley se entregue la información”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bCs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4">
      <w:pPr>
        <w:tabs>
          <w:tab w:val="left" w:leader="none" w:pos="2745"/>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opacidad a todo en ese municipio no entrega la información solicitada se pide se entregue conforme a la ley se entregue la información” (sic)</w:t>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veintidós de agosto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dos y ocho de septiembre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a través del SAIMEX lo siguiente:</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Escrito mediante el cual el titular de la Unidad de Transparencia, por conducto de la Dirección General de Administración ratificó la respuesta proporcionada en primera instancia.</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Oficio número 206010000/5259/2025, mediante el cual la Directora General de Administración ratificó la respuesta proporcionada en primera instancia.</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analizada la información, se hizo del conocimiento de la persona solicitante a efecto de que manifestara lo que a su derecho estimara conveniente, siendo omisa en ejercer dicha prerrogativa.</w:t>
      </w:r>
    </w:p>
    <w:p w:rsidR="00000000" w:rsidDel="00000000" w:rsidP="00000000" w:rsidRDefault="00000000" w:rsidRPr="00000000" w14:paraId="0000001B">
      <w:pPr>
        <w:widowControl w:val="0"/>
        <w:spacing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bCs w:val="1"/>
          <w:sz w:val="22"/>
          <w:szCs w:val="22"/>
          <w:rtl w:val="0"/>
        </w:rPr>
        <w:t xml:space="preserve">veinticinco de noviembre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C">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veinticinco de noviembre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widowControl w:val="0"/>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catorce de agosto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día</w:t>
      </w:r>
      <w:r w:rsidDel="00000000" w:rsidR="00000000" w:rsidRPr="00000000">
        <w:rPr>
          <w:rFonts w:ascii="Palatino Linotype" w:cs="Palatino Linotype" w:eastAsia="Palatino Linotype" w:hAnsi="Palatino Linotype"/>
          <w:b w:val="1"/>
          <w:bCs w:val="1"/>
          <w:sz w:val="22"/>
          <w:szCs w:val="22"/>
          <w:rtl w:val="0"/>
        </w:rPr>
        <w:t xml:space="preserve"> diecinueve de dos mil veinticinco, </w:t>
      </w:r>
      <w:r w:rsidDel="00000000" w:rsidR="00000000" w:rsidRPr="00000000">
        <w:rPr>
          <w:rFonts w:ascii="Palatino Linotype" w:cs="Palatino Linotype" w:eastAsia="Palatino Linotype" w:hAnsi="Palatino Linotype"/>
          <w:sz w:val="22"/>
          <w:szCs w:val="22"/>
          <w:rtl w:val="0"/>
        </w:rPr>
        <w:t xml:space="preserve">esto es, al tercer día hábil posterior a aquel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4">
      <w:pPr>
        <w:tabs>
          <w:tab w:val="left" w:leader="none" w:pos="7938"/>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26">
      <w:pPr>
        <w:tabs>
          <w:tab w:val="left" w:leader="none" w:pos="7938"/>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7">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negativa a la información solicitada;”</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2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2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2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2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2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30">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32">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33">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4">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3E">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41">
      <w:pPr>
        <w:spacing w:after="240" w:before="240" w:line="360"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Certificados de competencia de todos los Directores de área obligados a certificarse.</w:t>
      </w:r>
    </w:p>
    <w:p w:rsidR="00000000" w:rsidDel="00000000" w:rsidP="00000000" w:rsidRDefault="00000000" w:rsidRPr="00000000" w14:paraId="00000042">
      <w:pPr>
        <w:spacing w:after="240" w:before="240" w:line="360"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Curriculum de cada uno de ellos.</w:t>
      </w:r>
    </w:p>
    <w:p w:rsidR="00000000" w:rsidDel="00000000" w:rsidP="00000000" w:rsidRDefault="00000000" w:rsidRPr="00000000" w14:paraId="00000043">
      <w:pPr>
        <w:spacing w:after="240" w:before="240" w:line="360"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Sueldo mensual</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46">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48">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particular, es de recordar que la Unidad de Transparencia turnó la solicitud a la Dirección General de Administración, como la dependencia competente para cotar con la información que es del interés de la persona solicitante.</w:t>
      </w:r>
    </w:p>
    <w:p w:rsidR="00000000" w:rsidDel="00000000" w:rsidP="00000000" w:rsidRDefault="00000000" w:rsidRPr="00000000" w14:paraId="00000049">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Dirección General de Administración, la cual, de conformidad con el artículo 3.32 del Código Reglamentario de Toluca vigente, se auxilia de diversas unidades administrativas, para el cumplimiento de sus atribuciones, entre las que se encuentra la Dirección de Recursos Humanos, cuyas responsabilidades se encuentran conferidas en el artículo 3.33 del Código Reglamentario,  así como en el Manual de Organización Dirección General de Administración, siendo de interés para el tema que nos ocupa las siguientes:</w:t>
      </w:r>
    </w:p>
    <w:p w:rsidR="00000000" w:rsidDel="00000000" w:rsidP="00000000" w:rsidRDefault="00000000" w:rsidRPr="00000000" w14:paraId="0000004A">
      <w:pPr>
        <w:spacing w:after="280" w:before="28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Vigilar que se cumplan las disposiciones en materia de trabajo, seguridad e higiene, igualdad laboral, así como las demás normas aplicables a la institución respecto de los derechos y obligaciones del personal;</w:t>
      </w:r>
    </w:p>
    <w:p w:rsidR="00000000" w:rsidDel="00000000" w:rsidP="00000000" w:rsidRDefault="00000000" w:rsidRPr="00000000" w14:paraId="0000004B">
      <w:pPr>
        <w:spacing w:after="280" w:before="28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Aplicar las disposiciones legales laborales que rigen al personal del Ayuntamiento;</w:t>
      </w:r>
    </w:p>
    <w:p w:rsidR="00000000" w:rsidDel="00000000" w:rsidP="00000000" w:rsidRDefault="00000000" w:rsidRPr="00000000" w14:paraId="0000004C">
      <w:pPr>
        <w:spacing w:after="280" w:before="28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 de los impuestos y la emisión de los CFDI correspondientes una vez realizado el pago;</w:t>
      </w:r>
    </w:p>
    <w:p w:rsidR="00000000" w:rsidDel="00000000" w:rsidP="00000000" w:rsidRDefault="00000000" w:rsidRPr="00000000" w14:paraId="0000004D">
      <w:pPr>
        <w:spacing w:after="280" w:before="28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Recibir, validar y resguardar la documentación que conforme a los requisitos establecidos por la normatividad deben cumplir las y los servidores públicos contratados, así mismo integrar su expediente personal y laboral, el cual se concentrará en los archivos de la Dirección de Recursos Humanos;</w:t>
      </w:r>
    </w:p>
    <w:p w:rsidR="00000000" w:rsidDel="00000000" w:rsidP="00000000" w:rsidRDefault="00000000" w:rsidRPr="00000000" w14:paraId="0000004E">
      <w:pPr>
        <w:spacing w:after="280" w:before="28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Regular las relaciones laborales de las y los servidores públicos y el Ayuntamiento, verificando que se cumpla con lo establecido por las leyes federales, estatales y la reglamentación municipal en la materia;</w:t>
      </w:r>
    </w:p>
    <w:p w:rsidR="00000000" w:rsidDel="00000000" w:rsidP="00000000" w:rsidRDefault="00000000" w:rsidRPr="00000000" w14:paraId="0000004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Cómo logra vislumbrarse, es la Dirección de Recursos Humanos la instancia competente para dar atención a la solicitud, al ser esta la facultada para registrar, controlar y dar seguimiento a los movimientos de personal como las altas; integrar el expediente de personal; así como de elaborar y distribuir de manera oportuna de la nómina para el pago al personal que labora en el Ayuntamiento por concepto de sueldos.</w:t>
      </w:r>
    </w:p>
    <w:p w:rsidR="00000000" w:rsidDel="00000000" w:rsidP="00000000" w:rsidRDefault="00000000" w:rsidRPr="00000000" w14:paraId="0000005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respuesta, el servidor público habilitado hizo entrega de nueve certificados de competencia laboral, una constancia de competencia en el proceso de certificación y un Diploma, asimismo, señaló que la información relativa al curriculum y el sueldo de dichos servidores públicos, que podía ser consultada en el portal de Información Pública de Oficio Mexiquense, IPOMEX, y, para lo cual proporcionó dos direcciones electrónicas en formato cerrado.</w:t>
      </w:r>
    </w:p>
    <w:p w:rsidR="00000000" w:rsidDel="00000000" w:rsidP="00000000" w:rsidRDefault="00000000" w:rsidRPr="00000000" w14:paraId="0000005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no estar conforme con los términos de la respuesta proporcionada,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el recurso de revisión que nos ocupa, donde señaló como motivo de inconformidad, que no le fue entregada la información solicitada.</w:t>
      </w:r>
    </w:p>
    <w:p w:rsidR="00000000" w:rsidDel="00000000" w:rsidP="00000000" w:rsidRDefault="00000000" w:rsidRPr="00000000" w14:paraId="0000005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En la etapa de manifestaciones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ratificó en lo sustancial la respuesta proporcionada en primera instancia, mientras que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establecidas las posturas de las partes, se procede al análisis del requerimiento de información combatido, así como la información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54">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atendiendo a la materia de la solicitud, es oportuno partir de lo establecido en el artículo 32 de la Ley Orgánica Municipal del Estado de México, que es del tenor literal siguiente:</w:t>
      </w:r>
    </w:p>
    <w:p w:rsidR="00000000" w:rsidDel="00000000" w:rsidP="00000000" w:rsidRDefault="00000000" w:rsidRPr="00000000" w14:paraId="00000055">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32.- </w:t>
      </w:r>
      <w:r w:rsidDel="00000000" w:rsidR="00000000" w:rsidRPr="00000000">
        <w:rPr>
          <w:rFonts w:ascii="Palatino Linotype" w:cs="Palatino Linotype" w:eastAsia="Palatino Linotype" w:hAnsi="Palatino Linotype"/>
          <w:i w:val="1"/>
          <w:iCs w:val="1"/>
          <w:sz w:val="22"/>
          <w:szCs w:val="22"/>
          <w:rtl w:val="0"/>
        </w:rPr>
        <w:t xml:space="preserve">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rsidR="00000000" w:rsidDel="00000000" w:rsidP="00000000" w:rsidRDefault="00000000" w:rsidRPr="00000000" w14:paraId="00000056">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7">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Contar con certificación de competencia laboral</w:t>
      </w:r>
      <w:r w:rsidDel="00000000" w:rsidR="00000000" w:rsidRPr="00000000">
        <w:rPr>
          <w:rFonts w:ascii="Palatino Linotype" w:cs="Palatino Linotype" w:eastAsia="Palatino Linotype" w:hAnsi="Palatino Linotype"/>
          <w:i w:val="1"/>
          <w:iCs w:val="1"/>
          <w:sz w:val="22"/>
          <w:szCs w:val="22"/>
          <w:rtl w:val="0"/>
        </w:rPr>
        <w:t xml:space="preserve"> en la materia del cargo que se desempeñará, expedida por institución con reconocimiento de validez oficial. </w:t>
      </w:r>
      <w:r w:rsidDel="00000000" w:rsidR="00000000" w:rsidRPr="00000000">
        <w:rPr>
          <w:rFonts w:ascii="Palatino Linotype" w:cs="Palatino Linotype" w:eastAsia="Palatino Linotype" w:hAnsi="Palatino Linotype"/>
          <w:b w:val="1"/>
          <w:bCs w:val="1"/>
          <w:i w:val="1"/>
          <w:iCs w:val="1"/>
          <w:sz w:val="22"/>
          <w:szCs w:val="22"/>
          <w:rtl w:val="0"/>
        </w:rPr>
        <w:t xml:space="preserve">Este requisito deberá acreditarse dentro de los seis meses siguientes a la fecha en que inicien sus 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8">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logra advertirse, el precepto en cita es claro al señalar como requisitos genéricos que, para ocupar las titularidades de las unidades administrativas del Municipio, se debe contar con certificación de competencia laboral.</w:t>
      </w:r>
    </w:p>
    <w:p w:rsidR="00000000" w:rsidDel="00000000" w:rsidP="00000000" w:rsidRDefault="00000000" w:rsidRPr="00000000" w14:paraId="00000059">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los artículos específicos de la Ley Orgánica Municipal señalan de manera precisa qué puestos dentro de la administración pública municipal son los que deben cumplir con la certificación en materia de competencia laboral, es decir, contemplan que para ocupar diversas titularidades, se deberán satisfacer diversos requisitos, entre ellos, el de contar con certificación de competencia laboral en la materia del cargo que se desempeñará, expedida por institución con reconocimiento de validez oficial, requisito que deberá acreditarse dentro de los seis meses siguientes a la fecha en que inicien sus funciones.</w:t>
      </w:r>
    </w:p>
    <w:p w:rsidR="00000000" w:rsidDel="00000000" w:rsidP="00000000" w:rsidRDefault="00000000" w:rsidRPr="00000000" w14:paraId="0000005A">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los cargos de la administración pública municipal que deben contar con certificación de competencia laboral, de conformidad con la Ley Orgánica Municipal, como se detalla a continuación:</w:t>
      </w:r>
    </w:p>
    <w:p w:rsidR="00000000" w:rsidDel="00000000" w:rsidP="00000000" w:rsidRDefault="00000000" w:rsidRPr="00000000" w14:paraId="0000005B">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tl w:val="0"/>
        </w:rPr>
      </w:r>
    </w:p>
    <w:tbl>
      <w:tblPr>
        <w:tblStyle w:val="Table1"/>
        <w:tblW w:w="8828.0" w:type="dxa"/>
        <w:jc w:val="left"/>
        <w:tblBorders>
          <w:top w:color="bfbfbf" w:space="0" w:sz="4" w:val="dashed"/>
          <w:left w:color="bfbfbf" w:space="0" w:sz="4" w:val="dashed"/>
          <w:bottom w:color="bfbfbf" w:space="0" w:sz="4" w:val="dashed"/>
          <w:right w:color="bfbfbf" w:space="0" w:sz="4" w:val="dashed"/>
          <w:insideH w:color="bfbfbf" w:space="0" w:sz="4" w:val="dashed"/>
          <w:insideV w:color="bfbfbf" w:space="0" w:sz="4" w:val="dashed"/>
        </w:tblBorders>
        <w:tblLayout w:type="fixed"/>
        <w:tblLook w:val="0400"/>
      </w:tblPr>
      <w:tblGrid>
        <w:gridCol w:w="1271"/>
        <w:gridCol w:w="2835"/>
        <w:gridCol w:w="3119"/>
        <w:gridCol w:w="1603"/>
        <w:tblGridChange w:id="0">
          <w:tblGrid>
            <w:gridCol w:w="1271"/>
            <w:gridCol w:w="2835"/>
            <w:gridCol w:w="3119"/>
            <w:gridCol w:w="1603"/>
          </w:tblGrid>
        </w:tblGridChange>
      </w:tblGrid>
      <w:tr>
        <w:trPr>
          <w:cantSplit w:val="0"/>
          <w:trHeight w:val="341" w:hRule="atLeast"/>
          <w:tblHeader w:val="0"/>
        </w:trPr>
        <w:tc>
          <w:tcPr>
            <w:shd w:fill="bfbfbf" w:val="clear"/>
          </w:tcPr>
          <w:p w:rsidR="00000000" w:rsidDel="00000000" w:rsidP="00000000" w:rsidRDefault="00000000" w:rsidRPr="00000000" w14:paraId="0000005D">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w:t>
            </w:r>
          </w:p>
        </w:tc>
        <w:tc>
          <w:tcPr>
            <w:shd w:fill="bfbfbf" w:val="clear"/>
          </w:tcPr>
          <w:p w:rsidR="00000000" w:rsidDel="00000000" w:rsidP="00000000" w:rsidRDefault="00000000" w:rsidRPr="00000000" w14:paraId="0000005E">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Cargo</w:t>
            </w:r>
          </w:p>
        </w:tc>
        <w:tc>
          <w:tcPr>
            <w:shd w:fill="bfbfbf" w:val="clear"/>
          </w:tcPr>
          <w:p w:rsidR="00000000" w:rsidDel="00000000" w:rsidP="00000000" w:rsidRDefault="00000000" w:rsidRPr="00000000" w14:paraId="0000005F">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Certificación</w:t>
            </w:r>
          </w:p>
        </w:tc>
        <w:tc>
          <w:tcPr>
            <w:shd w:fill="bfbfbf" w:val="clear"/>
          </w:tcPr>
          <w:p w:rsidR="00000000" w:rsidDel="00000000" w:rsidP="00000000" w:rsidRDefault="00000000" w:rsidRPr="00000000" w14:paraId="00000060">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Obligatorio</w:t>
            </w:r>
          </w:p>
        </w:tc>
      </w:tr>
      <w:tr>
        <w:trPr>
          <w:cantSplit w:val="0"/>
          <w:trHeight w:val="840" w:hRule="atLeast"/>
          <w:tblHeader w:val="0"/>
        </w:trPr>
        <w:tc>
          <w:tcPr/>
          <w:p w:rsidR="00000000" w:rsidDel="00000000" w:rsidP="00000000" w:rsidRDefault="00000000" w:rsidRPr="00000000" w14:paraId="00000061">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81 Bis</w:t>
            </w:r>
          </w:p>
        </w:tc>
        <w:tc>
          <w:tcPr/>
          <w:p w:rsidR="00000000" w:rsidDel="00000000" w:rsidP="00000000" w:rsidRDefault="00000000" w:rsidRPr="00000000" w14:paraId="0000006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Coordinación Municipal de Protección Civil</w:t>
            </w:r>
          </w:p>
        </w:tc>
        <w:tc>
          <w:tcPr/>
          <w:p w:rsidR="00000000" w:rsidDel="00000000" w:rsidP="00000000" w:rsidRDefault="00000000" w:rsidRPr="00000000" w14:paraId="00000063">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Certificado o cursos de capacitación en la materia, impartidos por la Coordinación General de Protección Civil del Estado de México</w:t>
            </w:r>
          </w:p>
        </w:tc>
        <w:tc>
          <w:tcPr/>
          <w:p w:rsidR="00000000" w:rsidDel="00000000" w:rsidP="00000000" w:rsidRDefault="00000000" w:rsidRPr="00000000" w14:paraId="00000064">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Opcional</w:t>
            </w:r>
          </w:p>
        </w:tc>
      </w:tr>
      <w:tr>
        <w:trPr>
          <w:cantSplit w:val="0"/>
          <w:trHeight w:val="711" w:hRule="atLeast"/>
          <w:tblHeader w:val="0"/>
        </w:trPr>
        <w:tc>
          <w:tcPr/>
          <w:p w:rsidR="00000000" w:rsidDel="00000000" w:rsidP="00000000" w:rsidRDefault="00000000" w:rsidRPr="00000000" w14:paraId="00000065">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85 Sexies</w:t>
            </w:r>
          </w:p>
        </w:tc>
        <w:tc>
          <w:tcPr/>
          <w:p w:rsidR="00000000" w:rsidDel="00000000" w:rsidP="00000000" w:rsidRDefault="00000000" w:rsidRPr="00000000" w14:paraId="00000066">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Coordinador General Municipal de Mejora Regulatoria</w:t>
            </w:r>
          </w:p>
        </w:tc>
        <w:tc>
          <w:tcPr/>
          <w:p w:rsidR="00000000" w:rsidDel="00000000" w:rsidP="00000000" w:rsidRDefault="00000000" w:rsidRPr="00000000" w14:paraId="00000067">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tc>
        <w:tc>
          <w:tcPr/>
          <w:p w:rsidR="00000000" w:rsidDel="00000000" w:rsidP="00000000" w:rsidRDefault="00000000" w:rsidRPr="00000000" w14:paraId="00000068">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Opcional</w:t>
            </w:r>
          </w:p>
          <w:p w:rsidR="00000000" w:rsidDel="00000000" w:rsidP="00000000" w:rsidRDefault="00000000" w:rsidRPr="00000000" w14:paraId="00000069">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certificación o un diplomado</w:t>
            </w:r>
          </w:p>
        </w:tc>
      </w:tr>
      <w:tr>
        <w:trPr>
          <w:cantSplit w:val="0"/>
          <w:trHeight w:val="711" w:hRule="atLeast"/>
          <w:tblHeader w:val="0"/>
        </w:trPr>
        <w:tc>
          <w:tcPr/>
          <w:p w:rsidR="00000000" w:rsidDel="00000000" w:rsidP="00000000" w:rsidRDefault="00000000" w:rsidRPr="00000000" w14:paraId="0000006A">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92</w:t>
            </w:r>
          </w:p>
        </w:tc>
        <w:tc>
          <w:tcPr/>
          <w:p w:rsidR="00000000" w:rsidDel="00000000" w:rsidP="00000000" w:rsidRDefault="00000000" w:rsidRPr="00000000" w14:paraId="0000006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Secretario del Ayuntamiento</w:t>
            </w:r>
          </w:p>
        </w:tc>
        <w:tc>
          <w:tcPr/>
          <w:p w:rsidR="00000000" w:rsidDel="00000000" w:rsidP="00000000" w:rsidRDefault="00000000" w:rsidRPr="00000000" w14:paraId="0000006C">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tc>
        <w:tc>
          <w:tcPr/>
          <w:p w:rsidR="00000000" w:rsidDel="00000000" w:rsidP="00000000" w:rsidRDefault="00000000" w:rsidRPr="00000000" w14:paraId="0000006D">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6E">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w:t>
            </w:r>
          </w:p>
        </w:tc>
        <w:tc>
          <w:tcPr/>
          <w:p w:rsidR="00000000" w:rsidDel="00000000" w:rsidP="00000000" w:rsidRDefault="00000000" w:rsidRPr="00000000" w14:paraId="0000006F">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Tesorero Municipal</w:t>
            </w:r>
          </w:p>
        </w:tc>
        <w:tc>
          <w:tcPr/>
          <w:p w:rsidR="00000000" w:rsidDel="00000000" w:rsidP="00000000" w:rsidRDefault="00000000" w:rsidRPr="00000000" w14:paraId="0000007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Certificación de competencia laboral expedida por el Instituto Hacendario del Estado de México o por alguna institución con reconocimiento de validez oficial, deberá acreditarse dentro de los seis meses siguientes a la fecha en que inicie funciones.</w:t>
            </w:r>
          </w:p>
        </w:tc>
        <w:tc>
          <w:tcPr/>
          <w:p w:rsidR="00000000" w:rsidDel="00000000" w:rsidP="00000000" w:rsidRDefault="00000000" w:rsidRPr="00000000" w14:paraId="00000071">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72">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Ter</w:t>
            </w:r>
          </w:p>
        </w:tc>
        <w:tc>
          <w:tcPr/>
          <w:p w:rsidR="00000000" w:rsidDel="00000000" w:rsidP="00000000" w:rsidRDefault="00000000" w:rsidRPr="00000000" w14:paraId="00000073">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 de Obras Públicas o Titular de la Unidad Administrativa equivalente</w:t>
            </w:r>
          </w:p>
        </w:tc>
        <w:tc>
          <w:tcPr/>
          <w:p w:rsidR="00000000" w:rsidDel="00000000" w:rsidP="00000000" w:rsidRDefault="00000000" w:rsidRPr="00000000" w14:paraId="0000007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p w:rsidR="00000000" w:rsidDel="00000000" w:rsidP="00000000" w:rsidRDefault="00000000" w:rsidRPr="00000000" w14:paraId="00000075">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76">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Quintus</w:t>
            </w:r>
          </w:p>
        </w:tc>
        <w:tc>
          <w:tcPr/>
          <w:p w:rsidR="00000000" w:rsidDel="00000000" w:rsidP="00000000" w:rsidRDefault="00000000" w:rsidRPr="00000000" w14:paraId="00000077">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Desarrollo Económico o Titular de la Unidad Administrativa equivalente</w:t>
            </w:r>
          </w:p>
        </w:tc>
        <w:tc>
          <w:tcPr/>
          <w:p w:rsidR="00000000" w:rsidDel="00000000" w:rsidP="00000000" w:rsidRDefault="00000000" w:rsidRPr="00000000" w14:paraId="0000007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p w:rsidR="00000000" w:rsidDel="00000000" w:rsidP="00000000" w:rsidRDefault="00000000" w:rsidRPr="00000000" w14:paraId="00000079">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7A">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Septies</w:t>
            </w:r>
          </w:p>
        </w:tc>
        <w:tc>
          <w:tcPr/>
          <w:p w:rsidR="00000000" w:rsidDel="00000000" w:rsidP="00000000" w:rsidRDefault="00000000" w:rsidRPr="00000000" w14:paraId="0000007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Desarrollo Urbano o el Titular de la Unidad Administrativa equivalente</w:t>
            </w:r>
          </w:p>
        </w:tc>
        <w:tc>
          <w:tcPr/>
          <w:p w:rsidR="00000000" w:rsidDel="00000000" w:rsidP="00000000" w:rsidRDefault="00000000" w:rsidRPr="00000000" w14:paraId="0000007C">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p w:rsidR="00000000" w:rsidDel="00000000" w:rsidP="00000000" w:rsidRDefault="00000000" w:rsidRPr="00000000" w14:paraId="0000007D">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7E">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Nonies</w:t>
            </w:r>
          </w:p>
        </w:tc>
        <w:tc>
          <w:tcPr/>
          <w:p w:rsidR="00000000" w:rsidDel="00000000" w:rsidP="00000000" w:rsidRDefault="00000000" w:rsidRPr="00000000" w14:paraId="0000007F">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Ecología o el Titular de la Unidad Administrativa equivalente</w:t>
            </w:r>
          </w:p>
        </w:tc>
        <w:tc>
          <w:tcPr/>
          <w:p w:rsidR="00000000" w:rsidDel="00000000" w:rsidP="00000000" w:rsidRDefault="00000000" w:rsidRPr="00000000" w14:paraId="0000008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p w:rsidR="00000000" w:rsidDel="00000000" w:rsidP="00000000" w:rsidRDefault="00000000" w:rsidRPr="00000000" w14:paraId="00000081">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82">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w:t>
            </w:r>
          </w:p>
          <w:p w:rsidR="00000000" w:rsidDel="00000000" w:rsidP="00000000" w:rsidRDefault="00000000" w:rsidRPr="00000000" w14:paraId="00000083">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Undecies</w:t>
            </w:r>
          </w:p>
        </w:tc>
        <w:tc>
          <w:tcPr/>
          <w:p w:rsidR="00000000" w:rsidDel="00000000" w:rsidP="00000000" w:rsidRDefault="00000000" w:rsidRPr="00000000" w14:paraId="0000008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Turismo</w:t>
            </w:r>
          </w:p>
        </w:tc>
        <w:tc>
          <w:tcPr/>
          <w:p w:rsidR="00000000" w:rsidDel="00000000" w:rsidP="00000000" w:rsidRDefault="00000000" w:rsidRPr="00000000" w14:paraId="00000085">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Requiere contar con título profesional en el área de turismo o afín.</w:t>
            </w:r>
          </w:p>
        </w:tc>
        <w:tc>
          <w:tcPr/>
          <w:p w:rsidR="00000000" w:rsidDel="00000000" w:rsidP="00000000" w:rsidRDefault="00000000" w:rsidRPr="00000000" w14:paraId="00000086">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p w:rsidR="00000000" w:rsidDel="00000000" w:rsidP="00000000" w:rsidRDefault="00000000" w:rsidRPr="00000000" w14:paraId="00000087">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Terdecies</w:t>
            </w:r>
          </w:p>
        </w:tc>
        <w:tc>
          <w:tcPr/>
          <w:p w:rsidR="00000000" w:rsidDel="00000000" w:rsidP="00000000" w:rsidRDefault="00000000" w:rsidRPr="00000000" w14:paraId="0000008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de Desarrollo Social o el Titular de la Unidad Administrativa equivalente</w:t>
            </w:r>
          </w:p>
        </w:tc>
        <w:tc>
          <w:tcPr/>
          <w:p w:rsidR="00000000" w:rsidDel="00000000" w:rsidP="00000000" w:rsidRDefault="00000000" w:rsidRPr="00000000" w14:paraId="00000089">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Requiere contar con título profesional en el área de Ciencias Sociales o a fin, o contar con una experiencia mínima de un año en la materia, con anterioridad a la fecha de su designación.</w:t>
            </w:r>
          </w:p>
        </w:tc>
        <w:tc>
          <w:tcPr/>
          <w:p w:rsidR="00000000" w:rsidDel="00000000" w:rsidP="00000000" w:rsidRDefault="00000000" w:rsidRPr="00000000" w14:paraId="0000008A">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p w:rsidR="00000000" w:rsidDel="00000000" w:rsidP="00000000" w:rsidRDefault="00000000" w:rsidRPr="00000000" w14:paraId="0000008B">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Quindecies</w:t>
            </w:r>
          </w:p>
        </w:tc>
        <w:tc>
          <w:tcPr/>
          <w:p w:rsidR="00000000" w:rsidDel="00000000" w:rsidP="00000000" w:rsidRDefault="00000000" w:rsidRPr="00000000" w14:paraId="0000008C">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Dirección de las Mujeres</w:t>
            </w:r>
          </w:p>
        </w:tc>
        <w:tc>
          <w:tcPr/>
          <w:p w:rsidR="00000000" w:rsidDel="00000000" w:rsidP="00000000" w:rsidRDefault="00000000" w:rsidRPr="00000000" w14:paraId="0000008D">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p w:rsidR="00000000" w:rsidDel="00000000" w:rsidP="00000000" w:rsidRDefault="00000000" w:rsidRPr="00000000" w14:paraId="0000008E">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8F">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96 Sexdecies </w:t>
            </w:r>
          </w:p>
        </w:tc>
        <w:tc>
          <w:tcPr/>
          <w:p w:rsidR="00000000" w:rsidDel="00000000" w:rsidP="00000000" w:rsidRDefault="00000000" w:rsidRPr="00000000" w14:paraId="0000009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Dirección del Campo o equivalente,</w:t>
            </w:r>
          </w:p>
        </w:tc>
        <w:tc>
          <w:tcPr/>
          <w:p w:rsidR="00000000" w:rsidDel="00000000" w:rsidP="00000000" w:rsidRDefault="00000000" w:rsidRPr="00000000" w14:paraId="0000009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Preferentemente contara con estudios de Ingeniería en agronomía.</w:t>
            </w:r>
          </w:p>
        </w:tc>
        <w:tc>
          <w:tcPr/>
          <w:p w:rsidR="00000000" w:rsidDel="00000000" w:rsidP="00000000" w:rsidRDefault="00000000" w:rsidRPr="00000000" w14:paraId="00000092">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p w:rsidR="00000000" w:rsidDel="00000000" w:rsidP="00000000" w:rsidRDefault="00000000" w:rsidRPr="00000000" w14:paraId="00000093">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113</w:t>
            </w:r>
          </w:p>
        </w:tc>
        <w:tc>
          <w:tcPr/>
          <w:p w:rsidR="00000000" w:rsidDel="00000000" w:rsidP="00000000" w:rsidRDefault="00000000" w:rsidRPr="00000000" w14:paraId="0000009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Contralor</w:t>
            </w:r>
          </w:p>
        </w:tc>
        <w:tc>
          <w:tcPr/>
          <w:p w:rsidR="00000000" w:rsidDel="00000000" w:rsidP="00000000" w:rsidRDefault="00000000" w:rsidRPr="00000000" w14:paraId="00000095">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Certificación de competencia laboral expedida por el Instituto Hacendario del Estado de México o por alguna institución con reconocimiento de validez oficial, deberá acreditarse dentro de los seis meses siguientes a la fecha en que inicie funciones.</w:t>
            </w:r>
          </w:p>
        </w:tc>
        <w:tc>
          <w:tcPr/>
          <w:p w:rsidR="00000000" w:rsidDel="00000000" w:rsidP="00000000" w:rsidRDefault="00000000" w:rsidRPr="00000000" w14:paraId="00000096">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97">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124 Quáter</w:t>
            </w:r>
          </w:p>
        </w:tc>
        <w:tc>
          <w:tcPr/>
          <w:p w:rsidR="00000000" w:rsidDel="00000000" w:rsidP="00000000" w:rsidRDefault="00000000" w:rsidRPr="00000000" w14:paraId="0000009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Unidad Municipal de Control y Bienestar Animal</w:t>
            </w:r>
          </w:p>
        </w:tc>
        <w:tc>
          <w:tcPr/>
          <w:p w:rsidR="00000000" w:rsidDel="00000000" w:rsidP="00000000" w:rsidRDefault="00000000" w:rsidRPr="00000000" w14:paraId="00000099">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Contar con Licenciatura y Cédula en Medicina Veterinaria, Zootecnista o profesión que se relacione con el conocimiento del cuidado y manejo de animales.</w:t>
            </w:r>
          </w:p>
        </w:tc>
        <w:tc>
          <w:tcPr/>
          <w:p w:rsidR="00000000" w:rsidDel="00000000" w:rsidP="00000000" w:rsidRDefault="00000000" w:rsidRPr="00000000" w14:paraId="0000009A">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p w:rsidR="00000000" w:rsidDel="00000000" w:rsidP="00000000" w:rsidRDefault="00000000" w:rsidRPr="00000000" w14:paraId="0000009B">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147 I</w:t>
            </w:r>
          </w:p>
        </w:tc>
        <w:tc>
          <w:tcPr/>
          <w:p w:rsidR="00000000" w:rsidDel="00000000" w:rsidP="00000000" w:rsidRDefault="00000000" w:rsidRPr="00000000" w14:paraId="0000009C">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Defensor Municipal de Derechos Humanos</w:t>
            </w:r>
          </w:p>
        </w:tc>
        <w:tc>
          <w:tcPr/>
          <w:p w:rsidR="00000000" w:rsidDel="00000000" w:rsidP="00000000" w:rsidRDefault="00000000" w:rsidRPr="00000000" w14:paraId="0000009D">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Certificación en materia de derechos humanos, que para tal efecto emita la Comisión de Derechos Humanos del Estado de México.</w:t>
            </w:r>
          </w:p>
        </w:tc>
        <w:tc>
          <w:tcPr/>
          <w:p w:rsidR="00000000" w:rsidDel="00000000" w:rsidP="00000000" w:rsidRDefault="00000000" w:rsidRPr="00000000" w14:paraId="0000009E">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Obligatorio</w:t>
            </w:r>
          </w:p>
        </w:tc>
      </w:tr>
      <w:tr>
        <w:trPr>
          <w:cantSplit w:val="0"/>
          <w:tblHeader w:val="0"/>
        </w:trPr>
        <w:tc>
          <w:tcPr/>
          <w:p w:rsidR="00000000" w:rsidDel="00000000" w:rsidP="00000000" w:rsidRDefault="00000000" w:rsidRPr="00000000" w14:paraId="0000009F">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 147 Q</w:t>
            </w:r>
          </w:p>
        </w:tc>
        <w:tc>
          <w:tcPr/>
          <w:p w:rsidR="00000000" w:rsidDel="00000000" w:rsidP="00000000" w:rsidRDefault="00000000" w:rsidRPr="00000000" w14:paraId="000000A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Cronista Municipal</w:t>
            </w:r>
          </w:p>
        </w:tc>
        <w:tc>
          <w:tcPr/>
          <w:p w:rsidR="00000000" w:rsidDel="00000000" w:rsidP="00000000" w:rsidRDefault="00000000" w:rsidRPr="00000000" w14:paraId="000000A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Contar preferentemente con título de Licenciado en Historia o disciplina a fin.</w:t>
            </w:r>
          </w:p>
        </w:tc>
        <w:tc>
          <w:tcPr/>
          <w:p w:rsidR="00000000" w:rsidDel="00000000" w:rsidP="00000000" w:rsidRDefault="00000000" w:rsidRPr="00000000" w14:paraId="000000A2">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bl>
    <w:p w:rsidR="00000000" w:rsidDel="00000000" w:rsidP="00000000" w:rsidRDefault="00000000" w:rsidRPr="00000000" w14:paraId="000000A3">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al artículo 57, fracción I de la Ley de Transparencia y Acceso a la Información Pública del Estado de México y Municipio, que es del tenor literal siguiente:</w:t>
      </w:r>
    </w:p>
    <w:p w:rsidR="00000000" w:rsidDel="00000000" w:rsidP="00000000" w:rsidRDefault="00000000" w:rsidRPr="00000000" w14:paraId="000000A4">
      <w:pPr>
        <w:tabs>
          <w:tab w:val="left" w:leader="none" w:pos="3544"/>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57</w:t>
      </w:r>
      <w:r w:rsidDel="00000000" w:rsidR="00000000" w:rsidRPr="00000000">
        <w:rPr>
          <w:rFonts w:ascii="Palatino Linotype" w:cs="Palatino Linotype" w:eastAsia="Palatino Linotype" w:hAnsi="Palatino Linotype"/>
          <w:i w:val="1"/>
          <w:iCs w:val="1"/>
          <w:sz w:val="22"/>
          <w:szCs w:val="22"/>
          <w:rtl w:val="0"/>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rsidR="00000000" w:rsidDel="00000000" w:rsidP="00000000" w:rsidRDefault="00000000" w:rsidRPr="00000000" w14:paraId="000000A5">
      <w:pPr>
        <w:tabs>
          <w:tab w:val="left" w:leader="none" w:pos="3544"/>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Contar con conocimiento o, tratándose de las entidades gubernamentales estatales y los municipios </w:t>
      </w:r>
      <w:r w:rsidDel="00000000" w:rsidR="00000000" w:rsidRPr="00000000">
        <w:rPr>
          <w:rFonts w:ascii="Palatino Linotype" w:cs="Palatino Linotype" w:eastAsia="Palatino Linotype" w:hAnsi="Palatino Linotype"/>
          <w:b w:val="1"/>
          <w:bCs w:val="1"/>
          <w:i w:val="1"/>
          <w:iCs w:val="1"/>
          <w:sz w:val="22"/>
          <w:szCs w:val="22"/>
          <w:rtl w:val="0"/>
        </w:rPr>
        <w:t xml:space="preserve">certificación en materia de acceso a la información, transparencia y protección de datos personales,</w:t>
      </w:r>
      <w:r w:rsidDel="00000000" w:rsidR="00000000" w:rsidRPr="00000000">
        <w:rPr>
          <w:rFonts w:ascii="Palatino Linotype" w:cs="Palatino Linotype" w:eastAsia="Palatino Linotype" w:hAnsi="Palatino Linotype"/>
          <w:i w:val="1"/>
          <w:iCs w:val="1"/>
          <w:sz w:val="22"/>
          <w:szCs w:val="22"/>
          <w:rtl w:val="0"/>
        </w:rPr>
        <w:t xml:space="preserve"> que para tal efecto emita el Instituto;”</w:t>
      </w:r>
    </w:p>
    <w:p w:rsidR="00000000" w:rsidDel="00000000" w:rsidP="00000000" w:rsidRDefault="00000000" w:rsidRPr="00000000" w14:paraId="000000A6">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Dispone que la persona titular de la Unidad de Transparencia de las entidades gubernamentales estatales y municipales, además de tener el perfil adecuado y los conocimientos necesarios, debe contar con certificación en materia de acceso a la información, transparencia y protección de datos personales, que emita este Instituto.</w:t>
      </w:r>
    </w:p>
    <w:p w:rsidR="00000000" w:rsidDel="00000000" w:rsidP="00000000" w:rsidRDefault="00000000" w:rsidRPr="00000000" w14:paraId="000000A7">
      <w:pPr>
        <w:tabs>
          <w:tab w:val="left" w:leader="none" w:pos="709"/>
        </w:tabs>
        <w:spacing w:after="240" w:before="240" w:line="36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2"/>
          <w:szCs w:val="22"/>
          <w:rtl w:val="0"/>
        </w:rPr>
        <w:t xml:space="preserve">Con base en lo anterior se colige que los titulares de la Dirección de Turismo o equivalente, la Dirección de Desarrollo Social o equivalente, la Dirección del Campo o equivalente, así como de la Unidad Municipal de Control y Bienestar Animal, y el Cronista Municipal, NO están obligados a contar con una certificación de competencia laboral para el desempeño de sus funciones, mientras que en el caso de los titulares de la Coordinación Municipal de Protección Civil y la Coordinación General Municipal de Mejora Regulatoria, la certificación de competencia laboral es opcional, pudiendo este último presentar certificación o un diplomado en materia de mejora regulatoria; no obstante en el caso de las personas titulares de la Secretaría del Ayuntamiento, la Tesorería Municipal, la Dirección de Obras Públicas o equivalente, la Dirección de Desarrollo Económico o equivalente, la Dirección de Desarrollo Urbano o equivalente, la Dirección de Ecología o equivalente, la Dirección de las Mujeres o equivalente, la Contraloría Municipal y la Defensoría Municipal de Derechos Humanos </w:t>
      </w:r>
      <w:r w:rsidDel="00000000" w:rsidR="00000000" w:rsidRPr="00000000">
        <w:rPr>
          <w:rFonts w:ascii="Palatino Linotype" w:cs="Palatino Linotype" w:eastAsia="Palatino Linotype" w:hAnsi="Palatino Linotype"/>
          <w:b w:val="1"/>
          <w:bCs w:val="1"/>
          <w:sz w:val="22"/>
          <w:szCs w:val="22"/>
          <w:rtl w:val="0"/>
        </w:rPr>
        <w:t xml:space="preserve">están obligados a cumplir con la certificación de competencia laboral para el desempeño del cargo.</w:t>
      </w:r>
      <w:r w:rsidDel="00000000" w:rsidR="00000000" w:rsidRPr="00000000">
        <w:rPr>
          <w:rtl w:val="0"/>
        </w:rPr>
      </w:r>
    </w:p>
    <w:p w:rsidR="00000000" w:rsidDel="00000000" w:rsidP="00000000" w:rsidRDefault="00000000" w:rsidRPr="00000000" w14:paraId="000000A8">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Atento a lo anterior, en el caso que nos ocupa, </w:t>
      </w:r>
      <w:r w:rsidDel="00000000" w:rsidR="00000000" w:rsidRPr="00000000">
        <w:rPr>
          <w:rFonts w:ascii="Palatino Linotype" w:cs="Palatino Linotype" w:eastAsia="Palatino Linotype" w:hAnsi="Palatino Linotype"/>
          <w:rtl w:val="0"/>
        </w:rPr>
        <w:t xml:space="preserve">la Dirección de Recursos Humanos hizo entrega de lo siguiente:</w:t>
      </w:r>
    </w:p>
    <w:tbl>
      <w:tblPr>
        <w:tblStyle w:val="Table2"/>
        <w:tblW w:w="8642.0" w:type="dxa"/>
        <w:jc w:val="center"/>
        <w:tblBorders>
          <w:top w:color="bfbfbf" w:space="0" w:sz="4" w:val="dashed"/>
          <w:left w:color="bfbfbf" w:space="0" w:sz="4" w:val="dashed"/>
          <w:bottom w:color="bfbfbf" w:space="0" w:sz="4" w:val="dashed"/>
          <w:right w:color="bfbfbf" w:space="0" w:sz="4" w:val="dashed"/>
          <w:insideH w:color="bfbfbf" w:space="0" w:sz="4" w:val="dashed"/>
          <w:insideV w:color="bfbfbf" w:space="0" w:sz="4" w:val="dashed"/>
        </w:tblBorders>
        <w:tblLayout w:type="fixed"/>
        <w:tblLook w:val="0400"/>
      </w:tblPr>
      <w:tblGrid>
        <w:gridCol w:w="2972"/>
        <w:gridCol w:w="2835"/>
        <w:gridCol w:w="2835"/>
        <w:tblGridChange w:id="0">
          <w:tblGrid>
            <w:gridCol w:w="2972"/>
            <w:gridCol w:w="2835"/>
            <w:gridCol w:w="2835"/>
          </w:tblGrid>
        </w:tblGridChange>
      </w:tblGrid>
      <w:tr>
        <w:trPr>
          <w:cantSplit w:val="0"/>
          <w:trHeight w:val="341" w:hRule="atLeast"/>
          <w:tblHeader w:val="0"/>
        </w:trPr>
        <w:tc>
          <w:tcPr>
            <w:shd w:fill="bfbfbf" w:val="clear"/>
          </w:tcPr>
          <w:p w:rsidR="00000000" w:rsidDel="00000000" w:rsidP="00000000" w:rsidRDefault="00000000" w:rsidRPr="00000000" w14:paraId="000000A9">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Servidor Púbico</w:t>
            </w:r>
          </w:p>
        </w:tc>
        <w:tc>
          <w:tcPr>
            <w:shd w:fill="bfbfbf" w:val="clear"/>
          </w:tcPr>
          <w:p w:rsidR="00000000" w:rsidDel="00000000" w:rsidP="00000000" w:rsidRDefault="00000000" w:rsidRPr="00000000" w14:paraId="000000AA">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Cargo</w:t>
            </w:r>
          </w:p>
        </w:tc>
        <w:tc>
          <w:tcPr>
            <w:shd w:fill="bfbfbf" w:val="clear"/>
          </w:tcPr>
          <w:p w:rsidR="00000000" w:rsidDel="00000000" w:rsidP="00000000" w:rsidRDefault="00000000" w:rsidRPr="00000000" w14:paraId="000000AB">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entrega certificado?</w:t>
            </w:r>
          </w:p>
        </w:tc>
      </w:tr>
      <w:tr>
        <w:trPr>
          <w:cantSplit w:val="0"/>
          <w:trHeight w:val="840" w:hRule="atLeast"/>
          <w:tblHeader w:val="0"/>
        </w:trPr>
        <w:tc>
          <w:tcPr/>
          <w:p w:rsidR="00000000" w:rsidDel="00000000" w:rsidP="00000000" w:rsidRDefault="00000000" w:rsidRPr="00000000" w14:paraId="000000AC">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Juan Carlos Yañez Rodríguez</w:t>
            </w:r>
          </w:p>
        </w:tc>
        <w:tc>
          <w:tcPr/>
          <w:p w:rsidR="00000000" w:rsidDel="00000000" w:rsidP="00000000" w:rsidRDefault="00000000" w:rsidRPr="00000000" w14:paraId="000000AD">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Coordinación Municipal de Protección Civil</w:t>
            </w:r>
          </w:p>
        </w:tc>
        <w:tc>
          <w:tcPr/>
          <w:p w:rsidR="00000000" w:rsidDel="00000000" w:rsidP="00000000" w:rsidRDefault="00000000" w:rsidRPr="00000000" w14:paraId="000000AE">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AF">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rHeight w:val="711" w:hRule="atLeast"/>
          <w:tblHeader w:val="0"/>
        </w:trPr>
        <w:tc>
          <w:tcPr/>
          <w:p w:rsidR="00000000" w:rsidDel="00000000" w:rsidP="00000000" w:rsidRDefault="00000000" w:rsidRPr="00000000" w14:paraId="000000B0">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José Juan Gómez Urbina</w:t>
            </w:r>
          </w:p>
        </w:tc>
        <w:tc>
          <w:tcPr/>
          <w:p w:rsidR="00000000" w:rsidDel="00000000" w:rsidP="00000000" w:rsidRDefault="00000000" w:rsidRPr="00000000" w14:paraId="000000B1">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Coordinador General Municipal de Mejora Regulatoria</w:t>
            </w:r>
          </w:p>
        </w:tc>
        <w:tc>
          <w:tcPr/>
          <w:p w:rsidR="00000000" w:rsidDel="00000000" w:rsidP="00000000" w:rsidRDefault="00000000" w:rsidRPr="00000000" w14:paraId="000000B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B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(Diploma)</w:t>
            </w:r>
          </w:p>
        </w:tc>
      </w:tr>
      <w:tr>
        <w:trPr>
          <w:cantSplit w:val="0"/>
          <w:trHeight w:val="711" w:hRule="atLeast"/>
          <w:tblHeader w:val="0"/>
        </w:trPr>
        <w:tc>
          <w:tcPr/>
          <w:p w:rsidR="00000000" w:rsidDel="00000000" w:rsidP="00000000" w:rsidRDefault="00000000" w:rsidRPr="00000000" w14:paraId="000000B4">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Justo Núñez Skinfill</w:t>
            </w:r>
          </w:p>
        </w:tc>
        <w:tc>
          <w:tcPr/>
          <w:p w:rsidR="00000000" w:rsidDel="00000000" w:rsidP="00000000" w:rsidRDefault="00000000" w:rsidRPr="00000000" w14:paraId="000000B5">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Secretario del Ayuntamiento</w:t>
            </w:r>
          </w:p>
        </w:tc>
        <w:tc>
          <w:tcPr/>
          <w:p w:rsidR="00000000" w:rsidDel="00000000" w:rsidP="00000000" w:rsidRDefault="00000000" w:rsidRPr="00000000" w14:paraId="000000B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w:t>
            </w:r>
          </w:p>
          <w:p w:rsidR="00000000" w:rsidDel="00000000" w:rsidP="00000000" w:rsidRDefault="00000000" w:rsidRPr="00000000" w14:paraId="000000B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blHeader w:val="0"/>
        </w:trPr>
        <w:tc>
          <w:tcPr/>
          <w:p w:rsidR="00000000" w:rsidDel="00000000" w:rsidP="00000000" w:rsidRDefault="00000000" w:rsidRPr="00000000" w14:paraId="000000B8">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Florencio Valladares Zambrano</w:t>
            </w:r>
          </w:p>
        </w:tc>
        <w:tc>
          <w:tcPr/>
          <w:p w:rsidR="00000000" w:rsidDel="00000000" w:rsidP="00000000" w:rsidRDefault="00000000" w:rsidRPr="00000000" w14:paraId="000000B9">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Tesorero Municipal</w:t>
            </w:r>
          </w:p>
        </w:tc>
        <w:tc>
          <w:tcPr/>
          <w:p w:rsidR="00000000" w:rsidDel="00000000" w:rsidP="00000000" w:rsidRDefault="00000000" w:rsidRPr="00000000" w14:paraId="000000BA">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BB">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blHeader w:val="0"/>
        </w:trPr>
        <w:tc>
          <w:tcPr/>
          <w:p w:rsidR="00000000" w:rsidDel="00000000" w:rsidP="00000000" w:rsidRDefault="00000000" w:rsidRPr="00000000" w14:paraId="000000BC">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Maximino Bueno Gutiérrez</w:t>
            </w:r>
          </w:p>
        </w:tc>
        <w:tc>
          <w:tcPr/>
          <w:p w:rsidR="00000000" w:rsidDel="00000000" w:rsidP="00000000" w:rsidRDefault="00000000" w:rsidRPr="00000000" w14:paraId="000000BD">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 General de Obras Públicas</w:t>
            </w:r>
          </w:p>
        </w:tc>
        <w:tc>
          <w:tcPr/>
          <w:p w:rsidR="00000000" w:rsidDel="00000000" w:rsidP="00000000" w:rsidRDefault="00000000" w:rsidRPr="00000000" w14:paraId="000000BE">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BF">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blHeader w:val="0"/>
        </w:trPr>
        <w:tc>
          <w:tcPr/>
          <w:p w:rsidR="00000000" w:rsidDel="00000000" w:rsidP="00000000" w:rsidRDefault="00000000" w:rsidRPr="00000000" w14:paraId="000000C0">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Ana Yolanda Esquivel Jaramillo</w:t>
            </w:r>
          </w:p>
        </w:tc>
        <w:tc>
          <w:tcPr/>
          <w:p w:rsidR="00000000" w:rsidDel="00000000" w:rsidP="00000000" w:rsidRDefault="00000000" w:rsidRPr="00000000" w14:paraId="000000C1">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Directora General de Desarrollo Económico</w:t>
            </w:r>
          </w:p>
        </w:tc>
        <w:tc>
          <w:tcPr/>
          <w:p w:rsidR="00000000" w:rsidDel="00000000" w:rsidP="00000000" w:rsidRDefault="00000000" w:rsidRPr="00000000" w14:paraId="000000C2">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p w:rsidR="00000000" w:rsidDel="00000000" w:rsidP="00000000" w:rsidRDefault="00000000" w:rsidRPr="00000000" w14:paraId="000000C3">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Eliud Gabriel Medina Peralta</w:t>
            </w:r>
          </w:p>
        </w:tc>
        <w:tc>
          <w:tcPr/>
          <w:p w:rsidR="00000000" w:rsidDel="00000000" w:rsidP="00000000" w:rsidRDefault="00000000" w:rsidRPr="00000000" w14:paraId="000000C4">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 General de Planeación, Gestión Urbana y Ciudad Inteligente</w:t>
            </w:r>
          </w:p>
        </w:tc>
        <w:tc>
          <w:tcPr/>
          <w:p w:rsidR="00000000" w:rsidDel="00000000" w:rsidP="00000000" w:rsidRDefault="00000000" w:rsidRPr="00000000" w14:paraId="000000C5">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C6">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blHeader w:val="0"/>
        </w:trPr>
        <w:tc>
          <w:tcPr/>
          <w:p w:rsidR="00000000" w:rsidDel="00000000" w:rsidP="00000000" w:rsidRDefault="00000000" w:rsidRPr="00000000" w14:paraId="000000C7">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Angélica Annel Neri Villavicencio</w:t>
            </w:r>
          </w:p>
        </w:tc>
        <w:tc>
          <w:tcPr/>
          <w:p w:rsidR="00000000" w:rsidDel="00000000" w:rsidP="00000000" w:rsidRDefault="00000000" w:rsidRPr="00000000" w14:paraId="000000C8">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Directora General Medio Ambiente</w:t>
            </w:r>
          </w:p>
        </w:tc>
        <w:tc>
          <w:tcPr/>
          <w:p w:rsidR="00000000" w:rsidDel="00000000" w:rsidP="00000000" w:rsidRDefault="00000000" w:rsidRPr="00000000" w14:paraId="000000C9">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CA">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blHeader w:val="0"/>
        </w:trPr>
        <w:tc>
          <w:tcPr/>
          <w:p w:rsidR="00000000" w:rsidDel="00000000" w:rsidP="00000000" w:rsidRDefault="00000000" w:rsidRPr="00000000" w14:paraId="000000CB">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Victoria Sánchez Gómez</w:t>
            </w:r>
          </w:p>
        </w:tc>
        <w:tc>
          <w:tcPr/>
          <w:p w:rsidR="00000000" w:rsidDel="00000000" w:rsidP="00000000" w:rsidRDefault="00000000" w:rsidRPr="00000000" w14:paraId="000000CC">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Directora General de Educación, Cultura y Turismo</w:t>
            </w:r>
          </w:p>
        </w:tc>
        <w:tc>
          <w:tcPr/>
          <w:p w:rsidR="00000000" w:rsidDel="00000000" w:rsidP="00000000" w:rsidRDefault="00000000" w:rsidRPr="00000000" w14:paraId="000000C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w:t>
            </w:r>
          </w:p>
          <w:p w:rsidR="00000000" w:rsidDel="00000000" w:rsidP="00000000" w:rsidRDefault="00000000" w:rsidRPr="00000000" w14:paraId="000000C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(Testada)</w:t>
            </w:r>
          </w:p>
        </w:tc>
      </w:tr>
      <w:tr>
        <w:trPr>
          <w:cantSplit w:val="0"/>
          <w:tblHeader w:val="0"/>
        </w:trPr>
        <w:tc>
          <w:tcPr/>
          <w:p w:rsidR="00000000" w:rsidDel="00000000" w:rsidP="00000000" w:rsidRDefault="00000000" w:rsidRPr="00000000" w14:paraId="000000CF">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Andrea Ma. del Rocío Merlos Nájera</w:t>
            </w:r>
          </w:p>
        </w:tc>
        <w:tc>
          <w:tcPr/>
          <w:p w:rsidR="00000000" w:rsidDel="00000000" w:rsidP="00000000" w:rsidRDefault="00000000" w:rsidRPr="00000000" w14:paraId="000000D0">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Directora General de Bienestar Social</w:t>
            </w:r>
          </w:p>
        </w:tc>
        <w:tc>
          <w:tcPr/>
          <w:p w:rsidR="00000000" w:rsidDel="00000000" w:rsidP="00000000" w:rsidRDefault="00000000" w:rsidRPr="00000000" w14:paraId="000000D1">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p w:rsidR="00000000" w:rsidDel="00000000" w:rsidP="00000000" w:rsidRDefault="00000000" w:rsidRPr="00000000" w14:paraId="000000D2">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(Constancia que acredita el resultado obtenido y que el proceso se encuentra en trámite de dictaminarían para la posterior emisión del certificado de competencia )</w:t>
            </w:r>
          </w:p>
        </w:tc>
      </w:tr>
      <w:tr>
        <w:trPr>
          <w:cantSplit w:val="0"/>
          <w:tblHeader w:val="0"/>
        </w:trPr>
        <w:tc>
          <w:tcPr/>
          <w:p w:rsidR="00000000" w:rsidDel="00000000" w:rsidP="00000000" w:rsidRDefault="00000000" w:rsidRPr="00000000" w14:paraId="000000D3">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Celfa Vázquez González</w:t>
            </w:r>
          </w:p>
        </w:tc>
        <w:tc>
          <w:tcPr/>
          <w:p w:rsidR="00000000" w:rsidDel="00000000" w:rsidP="00000000" w:rsidRDefault="00000000" w:rsidRPr="00000000" w14:paraId="000000D4">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Directora General del Instituto Municipal de la Mujer</w:t>
            </w:r>
          </w:p>
        </w:tc>
        <w:tc>
          <w:tcPr/>
          <w:p w:rsidR="00000000" w:rsidDel="00000000" w:rsidP="00000000" w:rsidRDefault="00000000" w:rsidRPr="00000000" w14:paraId="000000D5">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p w:rsidR="00000000" w:rsidDel="00000000" w:rsidP="00000000" w:rsidRDefault="00000000" w:rsidRPr="00000000" w14:paraId="000000D6">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Luis Jesús Cuenca Hernández </w:t>
            </w:r>
          </w:p>
        </w:tc>
        <w:tc>
          <w:tcPr/>
          <w:p w:rsidR="00000000" w:rsidDel="00000000" w:rsidP="00000000" w:rsidRDefault="00000000" w:rsidRPr="00000000" w14:paraId="000000D7">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del Órgano Interno de Control Municipal</w:t>
            </w:r>
          </w:p>
        </w:tc>
        <w:tc>
          <w:tcPr/>
          <w:p w:rsidR="00000000" w:rsidDel="00000000" w:rsidP="00000000" w:rsidRDefault="00000000" w:rsidRPr="00000000" w14:paraId="000000D8">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p w:rsidR="00000000" w:rsidDel="00000000" w:rsidP="00000000" w:rsidRDefault="00000000" w:rsidRPr="00000000" w14:paraId="000000D9">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Zulairam Janet Arreola Arreola</w:t>
            </w:r>
          </w:p>
        </w:tc>
        <w:tc>
          <w:tcPr/>
          <w:p w:rsidR="00000000" w:rsidDel="00000000" w:rsidP="00000000" w:rsidRDefault="00000000" w:rsidRPr="00000000" w14:paraId="000000DA">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Defensoría Municipal de Derechos Humanos</w:t>
            </w:r>
          </w:p>
        </w:tc>
        <w:tc>
          <w:tcPr/>
          <w:p w:rsidR="00000000" w:rsidDel="00000000" w:rsidP="00000000" w:rsidRDefault="00000000" w:rsidRPr="00000000" w14:paraId="000000DB">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p w:rsidR="00000000" w:rsidDel="00000000" w:rsidP="00000000" w:rsidRDefault="00000000" w:rsidRPr="00000000" w14:paraId="000000DC">
            <w:pPr>
              <w:spacing w:after="120" w:before="12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Nahum Miguel Mendoza Morales</w:t>
            </w:r>
          </w:p>
        </w:tc>
        <w:tc>
          <w:tcPr/>
          <w:p w:rsidR="00000000" w:rsidDel="00000000" w:rsidP="00000000" w:rsidRDefault="00000000" w:rsidRPr="00000000" w14:paraId="000000DD">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Unidad de Transparencia</w:t>
            </w:r>
          </w:p>
        </w:tc>
        <w:tc>
          <w:tcPr/>
          <w:p w:rsidR="00000000" w:rsidDel="00000000" w:rsidP="00000000" w:rsidRDefault="00000000" w:rsidRPr="00000000" w14:paraId="000000DE">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bl>
    <w:p w:rsidR="00000000" w:rsidDel="00000000" w:rsidP="00000000" w:rsidRDefault="00000000" w:rsidRPr="00000000" w14:paraId="000000DF">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la tabla anterior, se logra vislumbrar que la información proporcionada no satisface el requerimiento relativo a las certificaciones de competencia laboral, en virtud de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E0">
      <w:pPr>
        <w:tabs>
          <w:tab w:val="left" w:leader="none" w:pos="709"/>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Omitió hacer entrega del certificado de competencia laboral de los titulares del Órgano Interno de Control Municipal, la Defensoría Municipal de Derechos Humanos y de la Unidad de Transparencia.</w:t>
      </w:r>
    </w:p>
    <w:p w:rsidR="00000000" w:rsidDel="00000000" w:rsidP="00000000" w:rsidRDefault="00000000" w:rsidRPr="00000000" w14:paraId="000000E1">
      <w:pPr>
        <w:tabs>
          <w:tab w:val="left" w:leader="none" w:pos="709"/>
        </w:tabs>
        <w:spacing w:after="240" w:before="240" w:line="360" w:lineRule="auto"/>
        <w:ind w:left="284"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2"/>
          <w:szCs w:val="22"/>
          <w:rtl w:val="0"/>
        </w:rPr>
        <w:t xml:space="preserve">- En el certificado de competencia laboral de los titulares de la Coordinación Municipal de Protección Civil, la Secretaria del Ayuntamiento, la Tesorería Municipal, la Dirección General de Obras Públicas, la Dirección General de Planeación, Gestión Urbana y Ciudad Inteligente, la Dirección General Medio Ambiente, y la Dirección General de Educación, Cultura y Turismo, si bien se testó correctamente la Clave Única de Registro de Población, (CURP), dato que reviste el carácter de confidencial, en virtud de que se integra por datos personales que únicamente le conciernen a un particular como son su fecha de nacimiento, su nombre, sus apellidos y su lugar de nacimiento, no se hizo entrega del acta del Comité de Transparencia que sustentara la clasificación de dicho dato.</w:t>
      </w:r>
      <w:r w:rsidDel="00000000" w:rsidR="00000000" w:rsidRPr="00000000">
        <w:rPr>
          <w:rtl w:val="0"/>
        </w:rPr>
      </w:r>
    </w:p>
    <w:p w:rsidR="00000000" w:rsidDel="00000000" w:rsidP="00000000" w:rsidRDefault="00000000" w:rsidRPr="00000000" w14:paraId="000000E2">
      <w:pPr>
        <w:tabs>
          <w:tab w:val="left" w:leader="none" w:pos="709"/>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En el certificado de competencia laboral de los titulares de la Coordinación Municipal de Protección Civil, la Secretaria del Ayuntamiento, la Tesorería Municipal, la Dirección General de Obras Públicas, la Dirección General de Planeación, Gestión Urbana y Ciudad Inteligente, la Dirección General Medio Ambiente, y la Dirección General de Educación, Cultura y Turismo, se testó el código QR, dato que, al contener el nombre completo de la persona certificada, el nombre del estándar de competencia y la clave de la entidad certificadora, reviste el carácter de público.</w:t>
      </w:r>
    </w:p>
    <w:p w:rsidR="00000000" w:rsidDel="00000000" w:rsidP="00000000" w:rsidRDefault="00000000" w:rsidRPr="00000000" w14:paraId="000000E3">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a lo anterior, es oportuno mencionar que de acuerdo con las disposiciones emitidas por el Consejo Nacional de Normalización y Certificación de Competencias Laborales (CONOCER), los certificados de competencia laboral, deben contar con determinados elementos de seguridad que garantizan su autenticidad, entre ellos, la Clave Única de Registro de Población (CURP) del usuario y el código QR del Registro Nacional de Personas Certificadas (RENAP), como se muestra en seguida:</w:t>
      </w:r>
    </w:p>
    <w:p w:rsidR="00000000" w:rsidDel="00000000" w:rsidP="00000000" w:rsidRDefault="00000000" w:rsidRPr="00000000" w14:paraId="000000E4">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5615940"/>
            <wp:effectExtent b="0" l="0" r="0" t="0"/>
            <wp:docPr id="214013186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612130" cy="561594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línea de pensamiento, se estima que para tener por colmado el requerimiento de información, es necesario que previa búsqueda exhaustiva y razonable se haga entrega del certificado certificado de competencia laboral faltantes en versión pública de ser procedente, así como el certificado de competencia laboral de los titulares de la Coordinación Municipal de Protección Civil, la Secretaria del Ayuntamiento, la Tesorería Municipal, la Dirección General de Obras Públicas, la Dirección General de Planeación, Gestión Urbana y Ciudad Inteligente, la Dirección General Medio Ambiente, y la Dirección General de Educación, Cultura y Turismo, en versión pública correcta, la cual debe acompañarse del acuerdo del Comité de Transparencia en el que de manera fundada y motivada se expongan las razones por las cuales el dato que fue eliminado es susceptible de ser clasificado como confidencial.</w:t>
      </w:r>
    </w:p>
    <w:p w:rsidR="00000000" w:rsidDel="00000000" w:rsidP="00000000" w:rsidRDefault="00000000" w:rsidRPr="00000000" w14:paraId="000000E6">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 mencionar que de acuerdo con la información publicada en el portal IPOMEX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los servidores públicos que ostentan los cargos faltantes fueron dados de alta el uno de enero de dos mil veinticinco, por lo que, a la fecha de la solicitud, ya habían cumplido con el plazo de seis meses que establece la normatividad para cumplir con el requisito de la certificación de competencia laboral.</w:t>
      </w:r>
    </w:p>
    <w:p w:rsidR="00000000" w:rsidDel="00000000" w:rsidP="00000000" w:rsidRDefault="00000000" w:rsidRPr="00000000" w14:paraId="000000E7">
      <w:pPr>
        <w:tabs>
          <w:tab w:val="left" w:leader="none" w:pos="709"/>
        </w:tabs>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60000" cy="1643503"/>
            <wp:effectExtent b="0" l="0" r="0" t="0"/>
            <wp:docPr id="214013186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60000" cy="1643503"/>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tabs>
          <w:tab w:val="left" w:leader="none" w:pos="709"/>
        </w:tabs>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60000" cy="1617516"/>
            <wp:effectExtent b="0" l="0" r="0" t="0"/>
            <wp:docPr id="214013186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960000" cy="161751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tabs>
          <w:tab w:val="left" w:leader="none" w:pos="709"/>
        </w:tabs>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60000" cy="1644848"/>
            <wp:effectExtent b="0" l="0" r="0" t="0"/>
            <wp:docPr id="214013187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960000" cy="164484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para entender los requerimientos relativos al curriculum de los servidores públicos obligados a certificarse y su sueldo mensual, es de recordar que el servidor público habilitado hizo entrega de dos direcciones electrónicas para efectos de la consulta de dicha información en el portal de Información Pública de Oficio Mexiquense, IPOMEX, al tratarse de las obligaciones de transparencia previstas en el artículo 92, fracciones VIII y  XXI, de la Ley de Transparencia y Acceso a la Información Pública del Estado de México y Municipios, a saber:</w:t>
      </w:r>
    </w:p>
    <w:p w:rsidR="00000000" w:rsidDel="00000000" w:rsidP="00000000" w:rsidRDefault="00000000" w:rsidRPr="00000000" w14:paraId="000000EB">
      <w:pPr>
        <w:spacing w:after="280" w:before="28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C">
      <w:pPr>
        <w:spacing w:after="280" w:before="28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ED">
      <w:pPr>
        <w:spacing w:after="280" w:before="28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E">
      <w:pPr>
        <w:spacing w:after="280" w:before="28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w:t>
      </w:r>
      <w:r w:rsidDel="00000000" w:rsidR="00000000" w:rsidRPr="00000000">
        <w:rPr>
          <w:rFonts w:ascii="Palatino Linotype" w:cs="Palatino Linotype" w:eastAsia="Palatino Linotype" w:hAnsi="Palatino Linotype"/>
          <w:i w:val="1"/>
          <w:iCs w:val="1"/>
          <w:sz w:val="22"/>
          <w:szCs w:val="22"/>
          <w:rtl w:val="0"/>
        </w:rPr>
        <w:t xml:space="preserve"> La información curricular, desde el nivel de jefe de departamento o equivalente, hasta el titular del sujeto obligado, así como, en su caso, las sanciones administrativas de que haya sido objeto;”</w:t>
      </w:r>
    </w:p>
    <w:p w:rsidR="00000000" w:rsidDel="00000000" w:rsidP="00000000" w:rsidRDefault="00000000" w:rsidRPr="00000000" w14:paraId="000000EF">
      <w:pPr>
        <w:tabs>
          <w:tab w:val="left" w:leader="none" w:pos="709"/>
        </w:tabs>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Dicha información se debe publicar atendiendo a los criterios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 través de los formatos </w:t>
      </w:r>
      <w:r w:rsidDel="00000000" w:rsidR="00000000" w:rsidRPr="00000000">
        <w:rPr>
          <w:sz w:val="22"/>
          <w:szCs w:val="22"/>
          <w:rtl w:val="0"/>
        </w:rPr>
        <w:t xml:space="preserve">8a LGT_Art_70_Fr_VIII, y 17 LGT_Art_70_Fr_XVII:</w:t>
      </w:r>
    </w:p>
    <w:p w:rsidR="00000000" w:rsidDel="00000000" w:rsidP="00000000" w:rsidRDefault="00000000" w:rsidRPr="00000000" w14:paraId="000000F0">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675255"/>
            <wp:effectExtent b="0" l="0" r="0" t="0"/>
            <wp:docPr id="214013187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612130" cy="2675255"/>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5611495" cy="2305050"/>
            <wp:effectExtent b="0" l="0" r="0" t="0"/>
            <wp:docPr id="2140131874" name="image2.png"/>
            <a:graphic>
              <a:graphicData uri="http://schemas.openxmlformats.org/drawingml/2006/picture">
                <pic:pic>
                  <pic:nvPicPr>
                    <pic:cNvPr id="0" name="image2.png"/>
                    <pic:cNvPicPr preferRelativeResize="0"/>
                  </pic:nvPicPr>
                  <pic:blipFill>
                    <a:blip r:embed="rId13"/>
                    <a:srcRect b="65438" l="0" r="0" t="1"/>
                    <a:stretch>
                      <a:fillRect/>
                    </a:stretch>
                  </pic:blipFill>
                  <pic:spPr>
                    <a:xfrm>
                      <a:off x="0" y="0"/>
                      <a:ext cx="561149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4268387"/>
            <wp:effectExtent b="0" l="0" r="0" t="0"/>
            <wp:docPr id="2140131873" name="image2.png"/>
            <a:graphic>
              <a:graphicData uri="http://schemas.openxmlformats.org/drawingml/2006/picture">
                <pic:pic>
                  <pic:nvPicPr>
                    <pic:cNvPr id="0" name="image2.png"/>
                    <pic:cNvPicPr preferRelativeResize="0"/>
                  </pic:nvPicPr>
                  <pic:blipFill>
                    <a:blip r:embed="rId13"/>
                    <a:srcRect b="453" l="0" r="0" t="35558"/>
                    <a:stretch>
                      <a:fillRect/>
                    </a:stretch>
                  </pic:blipFill>
                  <pic:spPr>
                    <a:xfrm>
                      <a:off x="0" y="0"/>
                      <a:ext cx="5612130" cy="4268387"/>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5612130" cy="2049855"/>
            <wp:effectExtent b="0" l="0" r="0" t="0"/>
            <wp:docPr id="2140131877" name="image2.png"/>
            <a:graphic>
              <a:graphicData uri="http://schemas.openxmlformats.org/drawingml/2006/picture">
                <pic:pic>
                  <pic:nvPicPr>
                    <pic:cNvPr id="0" name="image2.png"/>
                    <pic:cNvPicPr preferRelativeResize="0"/>
                  </pic:nvPicPr>
                  <pic:blipFill>
                    <a:blip r:embed="rId13"/>
                    <a:srcRect b="0" l="0" r="0" t="69270"/>
                    <a:stretch>
                      <a:fillRect/>
                    </a:stretch>
                  </pic:blipFill>
                  <pic:spPr>
                    <a:xfrm>
                      <a:off x="0" y="0"/>
                      <a:ext cx="5612130" cy="204985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060065"/>
            <wp:effectExtent b="0" l="0" r="0" t="0"/>
            <wp:docPr id="214013187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612130" cy="306006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154464"/>
            <wp:effectExtent b="0" l="0" r="0" t="0"/>
            <wp:docPr id="2140131879" name="image5.png"/>
            <a:graphic>
              <a:graphicData uri="http://schemas.openxmlformats.org/drawingml/2006/picture">
                <pic:pic>
                  <pic:nvPicPr>
                    <pic:cNvPr id="0" name="image5.png"/>
                    <pic:cNvPicPr preferRelativeResize="0"/>
                  </pic:nvPicPr>
                  <pic:blipFill>
                    <a:blip r:embed="rId15"/>
                    <a:srcRect b="36701" l="0" r="0" t="0"/>
                    <a:stretch>
                      <a:fillRect/>
                    </a:stretch>
                  </pic:blipFill>
                  <pic:spPr>
                    <a:xfrm>
                      <a:off x="0" y="0"/>
                      <a:ext cx="5612130" cy="2154464"/>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175049"/>
            <wp:effectExtent b="0" l="0" r="0" t="0"/>
            <wp:docPr id="2140131878" name="image5.png"/>
            <a:graphic>
              <a:graphicData uri="http://schemas.openxmlformats.org/drawingml/2006/picture">
                <pic:pic>
                  <pic:nvPicPr>
                    <pic:cNvPr id="0" name="image5.png"/>
                    <pic:cNvPicPr preferRelativeResize="0"/>
                  </pic:nvPicPr>
                  <pic:blipFill>
                    <a:blip r:embed="rId15"/>
                    <a:srcRect b="0" l="0" r="0" t="65477"/>
                    <a:stretch>
                      <a:fillRect/>
                    </a:stretch>
                  </pic:blipFill>
                  <pic:spPr>
                    <a:xfrm>
                      <a:off x="0" y="0"/>
                      <a:ext cx="5612130" cy="1175049"/>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que si bien se relaciona con lo solicitado, es insuficiente para colmar los puntos en análisis, en virtud de que las ligas electrónicas para la consulta se proporcionaron a través de un documento digitalizado en formato cerrado que no permite editar, modificar o procesar su contenido, es decir, no permite la reutilización de la información o la interoperabilidad de la misma, por lo que se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w:t>
      </w:r>
      <w:r w:rsidDel="00000000" w:rsidR="00000000" w:rsidRPr="00000000">
        <w:rPr>
          <w:rFonts w:ascii="Palatino Linotype" w:cs="Palatino Linotype" w:eastAsia="Palatino Linotype" w:hAnsi="Palatino Linotype"/>
          <w:b w:val="1"/>
          <w:bCs w:val="1"/>
          <w:sz w:val="22"/>
          <w:szCs w:val="22"/>
          <w:u w:val="single"/>
          <w:rtl w:val="0"/>
        </w:rPr>
        <w:t xml:space="preserve">razón por la cual no pueden tenerse por válidas la direcciones electrónicas proporcionada.</w:t>
      </w:r>
      <w:r w:rsidDel="00000000" w:rsidR="00000000" w:rsidRPr="00000000">
        <w:rPr>
          <w:rtl w:val="0"/>
        </w:rPr>
      </w:r>
    </w:p>
    <w:p w:rsidR="00000000" w:rsidDel="00000000" w:rsidP="00000000" w:rsidRDefault="00000000" w:rsidRPr="00000000" w14:paraId="000000F6">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del área competente ha reconocido que cuenta con la información requerida en los puntos en análisis, se estima que para tener por satisfecho el Derecho de acceso,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deberá hacer entrega del o los documentos que den cuenta de la información curricular de las personas servidoras públicas que cuentan con una certificación de competencia laboral, así como el sueldo mensual bruto y neto vigente que perciben al cuatro de agosto de dos mil veinticinco, en versión pública de ser procedente.</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sz w:val="22"/>
          <w:szCs w:val="22"/>
        </w:rPr>
      </w:pPr>
      <w:bookmarkStart w:colFirst="0" w:colLast="0" w:name="_heading=h.e128ywxvyudv" w:id="8"/>
      <w:bookmarkEnd w:id="8"/>
      <w:r w:rsidDel="00000000" w:rsidR="00000000" w:rsidRPr="00000000">
        <w:rPr>
          <w:rFonts w:ascii="Palatino Linotype" w:cs="Palatino Linotype" w:eastAsia="Palatino Linotype" w:hAnsi="Palatino Linotype"/>
          <w:sz w:val="22"/>
          <w:szCs w:val="22"/>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devienen parcialmente fundados, siendo procedente </w:t>
      </w:r>
      <w:r w:rsidDel="00000000" w:rsidR="00000000" w:rsidRPr="00000000">
        <w:rPr>
          <w:rFonts w:ascii="Palatino Linotype" w:cs="Palatino Linotype" w:eastAsia="Palatino Linotype" w:hAnsi="Palatino Linotype"/>
          <w:i w:val="1"/>
          <w:iCs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w:t>
      </w:r>
      <w:r w:rsidDel="00000000" w:rsidR="00000000" w:rsidRPr="00000000">
        <w:rPr>
          <w:rFonts w:ascii="Palatino Linotype" w:cs="Palatino Linotype" w:eastAsia="Palatino Linotype" w:hAnsi="Palatino Linotype"/>
          <w:sz w:val="22"/>
          <w:szCs w:val="22"/>
          <w:rtl w:val="0"/>
        </w:rPr>
        <w:t xml:space="preserve"> 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menoscabo al derecho a la protección de los datos personales de terceros.</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0FB">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C">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FD">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0FE">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Información confidencial: </w:t>
      </w:r>
      <w:r w:rsidDel="00000000" w:rsidR="00000000" w:rsidRPr="00000000">
        <w:rPr>
          <w:rFonts w:ascii="Palatino Linotype" w:cs="Palatino Linotype" w:eastAsia="Palatino Linotype" w:hAnsi="Palatino Linotype"/>
          <w:i w:val="1"/>
          <w:iCs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F">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00">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0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103">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104">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 autoridad competente; o</w:t>
      </w:r>
    </w:p>
    <w:p w:rsidR="00000000" w:rsidDel="00000000" w:rsidP="00000000" w:rsidRDefault="00000000" w:rsidRPr="00000000" w14:paraId="00000105">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0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08">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0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A">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0C">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los </w:t>
      </w:r>
      <w:r w:rsidDel="00000000" w:rsidR="00000000" w:rsidRPr="00000000">
        <w:rPr>
          <w:rFonts w:ascii="Palatino Linotype" w:cs="Palatino Linotype" w:eastAsia="Palatino Linotype" w:hAnsi="Palatino Linotype"/>
          <w:b w:val="1"/>
          <w:bCs w:val="1"/>
          <w:sz w:val="22"/>
          <w:szCs w:val="22"/>
          <w:rtl w:val="0"/>
        </w:rPr>
        <w:t xml:space="preserve">números de cuentas bancarias</w:t>
      </w:r>
      <w:r w:rsidDel="00000000" w:rsidR="00000000" w:rsidRPr="00000000">
        <w:rPr>
          <w:rFonts w:ascii="Palatino Linotype" w:cs="Palatino Linotype" w:eastAsia="Palatino Linotype" w:hAnsi="Palatino Linotype"/>
          <w:sz w:val="22"/>
          <w:szCs w:val="22"/>
          <w:rtl w:val="0"/>
        </w:rPr>
        <w:t xml:space="preserve">, claves estandarizadas – interbancarias - (CLABES) y de tarjetas, los </w:t>
      </w:r>
      <w:r w:rsidDel="00000000" w:rsidR="00000000" w:rsidRPr="00000000">
        <w:rPr>
          <w:rFonts w:ascii="Palatino Linotype" w:cs="Palatino Linotype" w:eastAsia="Palatino Linotype" w:hAnsi="Palatino Linotype"/>
          <w:b w:val="1"/>
          <w:bCs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bCs w:val="1"/>
          <w:sz w:val="22"/>
          <w:szCs w:val="22"/>
          <w:rtl w:val="0"/>
        </w:rPr>
        <w:t xml:space="preserve"> número de empleado, </w:t>
      </w:r>
      <w:r w:rsidDel="00000000" w:rsidR="00000000" w:rsidRPr="00000000">
        <w:rPr>
          <w:rFonts w:ascii="Palatino Linotype" w:cs="Palatino Linotype" w:eastAsia="Palatino Linotype" w:hAnsi="Palatino Linotype"/>
          <w:sz w:val="22"/>
          <w:szCs w:val="22"/>
          <w:rtl w:val="0"/>
        </w:rPr>
        <w:t xml:space="preserve">y, de ser el caso, el </w:t>
      </w:r>
      <w:r w:rsidDel="00000000" w:rsidR="00000000" w:rsidRPr="00000000">
        <w:rPr>
          <w:rFonts w:ascii="Palatino Linotype" w:cs="Palatino Linotype" w:eastAsia="Palatino Linotype" w:hAnsi="Palatino Linotype"/>
          <w:b w:val="1"/>
          <w:bCs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bCs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bCs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cualquier información de carácter fiscal, domicilio particular, entre otros.</w:t>
      </w:r>
    </w:p>
    <w:p w:rsidR="00000000" w:rsidDel="00000000" w:rsidP="00000000" w:rsidRDefault="00000000" w:rsidRPr="00000000" w14:paraId="0000010E">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bCs w:val="1"/>
          <w:sz w:val="22"/>
          <w:szCs w:val="22"/>
          <w:rtl w:val="0"/>
        </w:rPr>
        <w:t xml:space="preserve">Registro Federal de Contribuyentes, RFC</w:t>
      </w:r>
      <w:r w:rsidDel="00000000" w:rsidR="00000000" w:rsidRPr="00000000">
        <w:rPr>
          <w:rFonts w:ascii="Palatino Linotype" w:cs="Palatino Linotype" w:eastAsia="Palatino Linotype" w:hAnsi="Palatino Linotype"/>
          <w:sz w:val="22"/>
          <w:szCs w:val="22"/>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12">
      <w:pPr>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iCs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w:t>
      </w:r>
      <w:r w:rsidDel="00000000" w:rsidR="00000000" w:rsidRPr="00000000">
        <w:rPr>
          <w:rFonts w:ascii="Palatino Linotype" w:cs="Palatino Linotype" w:eastAsia="Palatino Linotype" w:hAnsi="Palatino Linotype"/>
          <w:b w:val="1"/>
          <w:bCs w:val="1"/>
          <w:sz w:val="22"/>
          <w:szCs w:val="22"/>
          <w:rtl w:val="0"/>
        </w:rPr>
        <w:t xml:space="preserve">Clave Única de Registro de Población, CURP</w:t>
      </w:r>
      <w:r w:rsidDel="00000000" w:rsidR="00000000" w:rsidRPr="00000000">
        <w:rPr>
          <w:rFonts w:ascii="Palatino Linotype" w:cs="Palatino Linotype" w:eastAsia="Palatino Linotype" w:hAnsi="Palatino Linotype"/>
          <w:sz w:val="22"/>
          <w:szCs w:val="22"/>
          <w:rtl w:val="0"/>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Personales, INAI, conforme al criterio 18/17, el cual refiere:</w:t>
      </w:r>
    </w:p>
    <w:p w:rsidR="00000000" w:rsidDel="00000000" w:rsidP="00000000" w:rsidRDefault="00000000" w:rsidRPr="00000000" w14:paraId="00000116">
      <w:pPr>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“Clave Única de Registro de Población (CURP). </w:t>
      </w:r>
      <w:r w:rsidDel="00000000" w:rsidR="00000000" w:rsidRPr="00000000">
        <w:rPr>
          <w:rFonts w:ascii="Palatino Linotype" w:cs="Palatino Linotype" w:eastAsia="Palatino Linotype" w:hAnsi="Palatino Linotype"/>
          <w:i w:val="1"/>
          <w:iCs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w:t>
      </w:r>
      <w:r w:rsidDel="00000000" w:rsidR="00000000" w:rsidRPr="00000000">
        <w:rPr>
          <w:rFonts w:ascii="Palatino Linotype" w:cs="Palatino Linotype" w:eastAsia="Palatino Linotype" w:hAnsi="Palatino Linotype"/>
          <w:b w:val="1"/>
          <w:bCs w:val="1"/>
          <w:sz w:val="22"/>
          <w:szCs w:val="22"/>
          <w:rtl w:val="0"/>
        </w:rPr>
        <w:t xml:space="preserve">clave de seguridad social</w:t>
      </w:r>
      <w:r w:rsidDel="00000000" w:rsidR="00000000" w:rsidRPr="00000000">
        <w:rPr>
          <w:rFonts w:ascii="Palatino Linotype" w:cs="Palatino Linotype" w:eastAsia="Palatino Linotype" w:hAnsi="Palatino Linotype"/>
          <w:sz w:val="22"/>
          <w:szCs w:val="22"/>
          <w:rtl w:val="0"/>
        </w:rPr>
        <w:t xml:space="preserve">,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w:t>
      </w:r>
      <w:r w:rsidDel="00000000" w:rsidR="00000000" w:rsidRPr="00000000">
        <w:rPr>
          <w:rFonts w:ascii="Palatino Linotype" w:cs="Palatino Linotype" w:eastAsia="Palatino Linotype" w:hAnsi="Palatino Linotype"/>
          <w:b w:val="1"/>
          <w:bCs w:val="1"/>
          <w:sz w:val="22"/>
          <w:szCs w:val="22"/>
          <w:rtl w:val="0"/>
        </w:rPr>
        <w:t xml:space="preserve">números de cuentas bancari</w:t>
      </w:r>
      <w:r w:rsidDel="00000000" w:rsidR="00000000" w:rsidRPr="00000000">
        <w:rPr>
          <w:rFonts w:ascii="Palatino Linotype" w:cs="Palatino Linotype" w:eastAsia="Palatino Linotype" w:hAnsi="Palatino Linotype"/>
          <w:sz w:val="22"/>
          <w:szCs w:val="22"/>
          <w:rtl w:val="0"/>
        </w:rPr>
        <w:t xml:space="preserve">as, </w:t>
      </w:r>
      <w:r w:rsidDel="00000000" w:rsidR="00000000" w:rsidRPr="00000000">
        <w:rPr>
          <w:rFonts w:ascii="Palatino Linotype" w:cs="Palatino Linotype" w:eastAsia="Palatino Linotype" w:hAnsi="Palatino Linotype"/>
          <w:b w:val="1"/>
          <w:bCs w:val="1"/>
          <w:sz w:val="22"/>
          <w:szCs w:val="22"/>
          <w:rtl w:val="0"/>
        </w:rPr>
        <w:t xml:space="preserve">claves estandarizadas –interbancarias- (CLABES) y de tarjetas</w:t>
      </w:r>
      <w:r w:rsidDel="00000000" w:rsidR="00000000" w:rsidRPr="00000000">
        <w:rPr>
          <w:rFonts w:ascii="Palatino Linotype" w:cs="Palatino Linotype" w:eastAsia="Palatino Linotype" w:hAnsi="Palatino Linotype"/>
          <w:sz w:val="22"/>
          <w:szCs w:val="22"/>
          <w:rtl w:val="0"/>
        </w:rPr>
        <w:t xml:space="preserve">, el Pleno de este Instituto ha determinado que esa información debe clasificarse como confidencial, y elaborarse una versión pública en la que se teste la misma.</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1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orientadores con  Clave de control SO/010/2017 y SO/011/2017, emitidos por el entonces Instituto Nacional de Transparencia, Acceso a la Información y Protección de Datos Personales, INAI, que llevan por rubro y texto los siguientes:</w:t>
      </w:r>
    </w:p>
    <w:p w:rsidR="00000000" w:rsidDel="00000000" w:rsidP="00000000" w:rsidRDefault="00000000" w:rsidRPr="00000000" w14:paraId="0000011E">
      <w:pPr>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iCs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1F">
      <w:pPr>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iCs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2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w:t>
      </w:r>
      <w:r w:rsidDel="00000000" w:rsidR="00000000" w:rsidRPr="00000000">
        <w:rPr>
          <w:rFonts w:ascii="Palatino Linotype" w:cs="Palatino Linotype" w:eastAsia="Palatino Linotype" w:hAnsi="Palatino Linotype"/>
          <w:b w:val="1"/>
          <w:bCs w:val="1"/>
          <w:sz w:val="22"/>
          <w:szCs w:val="22"/>
          <w:rtl w:val="0"/>
        </w:rPr>
        <w:t xml:space="preserve">préstamos o descuentos de carácter personal</w:t>
      </w:r>
      <w:r w:rsidDel="00000000" w:rsidR="00000000" w:rsidRPr="00000000">
        <w:rPr>
          <w:rFonts w:ascii="Palatino Linotype" w:cs="Palatino Linotype" w:eastAsia="Palatino Linotype" w:hAnsi="Palatino Linotype"/>
          <w:sz w:val="22"/>
          <w:szCs w:val="22"/>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12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22">
      <w:pPr>
        <w:spacing w:after="120" w:before="120"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84. </w:t>
      </w:r>
      <w:r w:rsidDel="00000000" w:rsidR="00000000" w:rsidRPr="00000000">
        <w:rPr>
          <w:rFonts w:ascii="Palatino Linotype" w:cs="Palatino Linotype" w:eastAsia="Palatino Linotype" w:hAnsi="Palatino Linotype"/>
          <w:i w:val="1"/>
          <w:iCs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2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Gravámenes fiscales relacionados con el sueldo;</w:t>
      </w:r>
    </w:p>
    <w:p w:rsidR="00000000" w:rsidDel="00000000" w:rsidP="00000000" w:rsidRDefault="00000000" w:rsidRPr="00000000" w14:paraId="0000012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2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Cuotas sindicales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2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2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2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Obligaciones a cargo del servidor público con las que haya consentido, derivadas de la adquisición o del uso de habitaciones consideradas como de interés social;</w:t>
      </w:r>
    </w:p>
    <w:p w:rsidR="00000000" w:rsidDel="00000000" w:rsidP="00000000" w:rsidRDefault="00000000" w:rsidRPr="00000000" w14:paraId="0000012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Faltas de puntualidad o de asistencia injustificadas;</w:t>
      </w:r>
    </w:p>
    <w:p w:rsidR="00000000" w:rsidDel="00000000" w:rsidP="00000000" w:rsidRDefault="00000000" w:rsidRPr="00000000" w14:paraId="0000012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iCs w:val="1"/>
          <w:sz w:val="22"/>
          <w:szCs w:val="22"/>
          <w:rtl w:val="0"/>
        </w:rPr>
        <w:t xml:space="preserve"> o</w:t>
      </w:r>
    </w:p>
    <w:p w:rsidR="00000000" w:rsidDel="00000000" w:rsidP="00000000" w:rsidRDefault="00000000" w:rsidRPr="00000000" w14:paraId="0000012B">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Cualquier otro convenido con instituciones de servicios y aceptado por el servidor público.</w:t>
      </w:r>
    </w:p>
    <w:p w:rsidR="00000000" w:rsidDel="00000000" w:rsidP="00000000" w:rsidRDefault="00000000" w:rsidRPr="00000000" w14:paraId="0000012C">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los </w:t>
      </w:r>
      <w:r w:rsidDel="00000000" w:rsidR="00000000" w:rsidRPr="00000000">
        <w:rPr>
          <w:rFonts w:ascii="Palatino Linotype" w:cs="Palatino Linotype" w:eastAsia="Palatino Linotype" w:hAnsi="Palatino Linotype"/>
          <w:b w:val="1"/>
          <w:bCs w:val="1"/>
          <w:sz w:val="22"/>
          <w:szCs w:val="22"/>
          <w:rtl w:val="0"/>
        </w:rPr>
        <w:t xml:space="preserve">descuentos o deducciones por cuotas sindicales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pensiones alimenticias</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bCs w:val="1"/>
          <w:sz w:val="22"/>
          <w:szCs w:val="22"/>
          <w:rtl w:val="0"/>
        </w:rPr>
        <w:t xml:space="preserve">créditos adquiridos con instituciones privadas</w:t>
      </w:r>
      <w:r w:rsidDel="00000000" w:rsidR="00000000" w:rsidRPr="00000000">
        <w:rPr>
          <w:rFonts w:ascii="Palatino Linotype" w:cs="Palatino Linotype" w:eastAsia="Palatino Linotype" w:hAnsi="Palatino Linotype"/>
          <w:sz w:val="22"/>
          <w:szCs w:val="22"/>
          <w:rtl w:val="0"/>
        </w:rPr>
        <w:t xml:space="preserve">, entre otros que no se relacionen con el gasto público, al revelar parte de las decisiones que adopta una persona respecto del uso y destino de su remuneración salarial, lo cual incide en la manera en que se integra su patrimonio, </w:t>
      </w:r>
      <w:r w:rsidDel="00000000" w:rsidR="00000000" w:rsidRPr="00000000">
        <w:rPr>
          <w:rFonts w:ascii="Palatino Linotype" w:cs="Palatino Linotype" w:eastAsia="Palatino Linotype" w:hAnsi="Palatino Linotype"/>
          <w:b w:val="1"/>
          <w:bCs w:val="1"/>
          <w:sz w:val="22"/>
          <w:szCs w:val="22"/>
          <w:rtl w:val="0"/>
        </w:rPr>
        <w:t xml:space="preserve">es información que no es de carácter público, sino que constituye información confidencial</w:t>
      </w:r>
      <w:r w:rsidDel="00000000" w:rsidR="00000000" w:rsidRPr="00000000">
        <w:rPr>
          <w:rFonts w:ascii="Palatino Linotype" w:cs="Palatino Linotype" w:eastAsia="Palatino Linotype" w:hAnsi="Palatino Linotype"/>
          <w:sz w:val="22"/>
          <w:szCs w:val="22"/>
          <w:rtl w:val="0"/>
        </w:rPr>
        <w:t xml:space="preserve"> en virtud de que corresponde con decisiones personales, y por tanto, se debe clasificar.</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la información relacionada con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relación al </w:t>
      </w:r>
      <w:r w:rsidDel="00000000" w:rsidR="00000000" w:rsidRPr="00000000">
        <w:rPr>
          <w:rFonts w:ascii="Palatino Linotype" w:cs="Palatino Linotype" w:eastAsia="Palatino Linotype" w:hAnsi="Palatino Linotype"/>
          <w:b w:val="1"/>
          <w:bCs w:val="1"/>
          <w:sz w:val="22"/>
          <w:szCs w:val="22"/>
          <w:rtl w:val="0"/>
        </w:rPr>
        <w:t xml:space="preserve">número de empleado</w:t>
      </w:r>
      <w:r w:rsidDel="00000000" w:rsidR="00000000" w:rsidRPr="00000000">
        <w:rPr>
          <w:rFonts w:ascii="Palatino Linotype" w:cs="Palatino Linotype" w:eastAsia="Palatino Linotype" w:hAnsi="Palatino Linotype"/>
          <w:sz w:val="22"/>
          <w:szCs w:val="22"/>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con clave de control SO/006/2019, que indica lo siguiente:</w:t>
      </w:r>
    </w:p>
    <w:p w:rsidR="00000000" w:rsidDel="00000000" w:rsidP="00000000" w:rsidRDefault="00000000" w:rsidRPr="00000000" w14:paraId="00000133">
      <w:pPr>
        <w:tabs>
          <w:tab w:val="left" w:leader="none" w:pos="7655"/>
        </w:tabs>
        <w:spacing w:after="240" w:before="240" w:lineRule="auto"/>
        <w:ind w:left="993" w:right="99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“Número de empleado. </w:t>
      </w:r>
      <w:r w:rsidDel="00000000" w:rsidR="00000000" w:rsidRPr="00000000">
        <w:rPr>
          <w:rFonts w:ascii="Palatino Linotype" w:cs="Palatino Linotype" w:eastAsia="Palatino Linotype" w:hAnsi="Palatino Linotype"/>
          <w:i w:val="1"/>
          <w:iCs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información fiscal</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bCs w:val="1"/>
          <w:sz w:val="22"/>
          <w:szCs w:val="22"/>
          <w:rtl w:val="0"/>
        </w:rPr>
        <w:t xml:space="preserve">Cadena Original</w:t>
      </w:r>
      <w:r w:rsidDel="00000000" w:rsidR="00000000" w:rsidRPr="00000000">
        <w:rPr>
          <w:rFonts w:ascii="Palatino Linotype" w:cs="Palatino Linotype" w:eastAsia="Palatino Linotype" w:hAnsi="Palatino Linotype"/>
          <w:sz w:val="22"/>
          <w:szCs w:val="22"/>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3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w:t>
      </w:r>
      <w:r w:rsidDel="00000000" w:rsidR="00000000" w:rsidRPr="00000000">
        <w:rPr>
          <w:rFonts w:ascii="Palatino Linotype" w:cs="Palatino Linotype" w:eastAsia="Palatino Linotype" w:hAnsi="Palatino Linotype"/>
          <w:b w:val="1"/>
          <w:bCs w:val="1"/>
          <w:sz w:val="22"/>
          <w:szCs w:val="22"/>
          <w:rtl w:val="0"/>
        </w:rPr>
        <w:t xml:space="preserve">códigos bidimensionales</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bCs w:val="1"/>
          <w:sz w:val="22"/>
          <w:szCs w:val="22"/>
          <w:rtl w:val="0"/>
        </w:rPr>
        <w:t xml:space="preserve">códigos QR, </w:t>
      </w:r>
      <w:r w:rsidDel="00000000" w:rsidR="00000000" w:rsidRPr="00000000">
        <w:rPr>
          <w:rFonts w:ascii="Palatino Linotype" w:cs="Palatino Linotype" w:eastAsia="Palatino Linotype" w:hAnsi="Palatino Linotype"/>
          <w:sz w:val="22"/>
          <w:szCs w:val="22"/>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analizar dicha circunstancia con la finalidad de determinar si se actualiza algún supuesto de confidencialidad.</w:t>
      </w:r>
    </w:p>
    <w:p w:rsidR="00000000" w:rsidDel="00000000" w:rsidP="00000000" w:rsidRDefault="00000000" w:rsidRPr="00000000" w14:paraId="000001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si derivado del análisis efectuado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domicilio</w:t>
      </w:r>
      <w:r w:rsidDel="00000000" w:rsidR="00000000" w:rsidRPr="00000000">
        <w:rPr>
          <w:rFonts w:ascii="Palatino Linotype" w:cs="Palatino Linotype" w:eastAsia="Palatino Linotype" w:hAnsi="Palatino Linotype"/>
          <w:sz w:val="22"/>
          <w:szCs w:val="22"/>
          <w:rtl w:val="0"/>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el lugar donde residen habitualmente, el lugar del centro principal de sus negocios, donde residan o el lugar donde se encuentren.</w:t>
      </w:r>
      <w:r w:rsidDel="00000000" w:rsidR="00000000" w:rsidRPr="00000000">
        <w:rPr>
          <w:rtl w:val="0"/>
        </w:rPr>
      </w:r>
    </w:p>
    <w:p w:rsidR="00000000" w:rsidDel="00000000" w:rsidP="00000000" w:rsidRDefault="00000000" w:rsidRPr="00000000" w14:paraId="0000013B">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3C">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actualiza la clasificación del domicilio y su comprobante, de conformidad con la fracción I, del artículo 143 de la Ley de Transparencia y Acceso a la Información Pública del Estado de México y Municipios.</w:t>
      </w:r>
    </w:p>
    <w:p w:rsidR="00000000" w:rsidDel="00000000" w:rsidP="00000000" w:rsidRDefault="00000000" w:rsidRPr="00000000" w14:paraId="0000013D">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teléfono particular</w:t>
      </w:r>
      <w:r w:rsidDel="00000000" w:rsidR="00000000" w:rsidRPr="00000000">
        <w:rPr>
          <w:rFonts w:ascii="Palatino Linotype" w:cs="Palatino Linotype" w:eastAsia="Palatino Linotype" w:hAnsi="Palatino Linotype"/>
          <w:sz w:val="22"/>
          <w:szCs w:val="22"/>
          <w:rtl w:val="0"/>
        </w:rPr>
        <w:t xml:space="preserve">,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correo electrónico particular, </w:t>
      </w:r>
      <w:r w:rsidDel="00000000" w:rsidR="00000000" w:rsidRPr="00000000">
        <w:rPr>
          <w:rFonts w:ascii="Palatino Linotype" w:cs="Palatino Linotype" w:eastAsia="Palatino Linotype" w:hAnsi="Palatino Linotype"/>
          <w:sz w:val="22"/>
          <w:szCs w:val="22"/>
          <w:rtl w:val="0"/>
        </w:rPr>
        <w:t xml:space="preserve">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3F">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sentido, por cuanto hace a la </w:t>
      </w:r>
      <w:r w:rsidDel="00000000" w:rsidR="00000000" w:rsidRPr="00000000">
        <w:rPr>
          <w:rFonts w:ascii="Palatino Linotype" w:cs="Palatino Linotype" w:eastAsia="Palatino Linotype" w:hAnsi="Palatino Linotype"/>
          <w:b w:val="1"/>
          <w:bCs w:val="1"/>
          <w:sz w:val="22"/>
          <w:szCs w:val="22"/>
          <w:rtl w:val="0"/>
        </w:rPr>
        <w:t xml:space="preserve">fotografía </w:t>
      </w:r>
      <w:r w:rsidDel="00000000" w:rsidR="00000000" w:rsidRPr="00000000">
        <w:rPr>
          <w:rFonts w:ascii="Palatino Linotype" w:cs="Palatino Linotype" w:eastAsia="Palatino Linotype" w:hAnsi="Palatino Linotype"/>
          <w:sz w:val="22"/>
          <w:szCs w:val="22"/>
          <w:rtl w:val="0"/>
        </w:rPr>
        <w:t xml:space="preserve">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rsidR="00000000" w:rsidDel="00000000" w:rsidP="00000000" w:rsidRDefault="00000000" w:rsidRPr="00000000" w14:paraId="00000140">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141">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rsidR="00000000" w:rsidDel="00000000" w:rsidP="00000000" w:rsidRDefault="00000000" w:rsidRPr="00000000" w14:paraId="00000142">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rsidR="00000000" w:rsidDel="00000000" w:rsidP="00000000" w:rsidRDefault="00000000" w:rsidRPr="00000000" w14:paraId="0000014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45">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“Quincuagésimo. </w:t>
      </w:r>
      <w:r w:rsidDel="00000000" w:rsidR="00000000" w:rsidRPr="00000000">
        <w:rPr>
          <w:rFonts w:ascii="Palatino Linotype" w:cs="Palatino Linotype" w:eastAsia="Palatino Linotype" w:hAnsi="Palatino Linotype"/>
          <w:i w:val="1"/>
          <w:iCs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 </w:t>
      </w:r>
      <w:r w:rsidDel="00000000" w:rsidR="00000000" w:rsidRPr="00000000">
        <w:rPr>
          <w:rFonts w:ascii="Palatino Linotype" w:cs="Palatino Linotype" w:eastAsia="Palatino Linotype" w:hAnsi="Palatino Linotype"/>
          <w:i w:val="1"/>
          <w:iCs w:val="1"/>
          <w:sz w:val="22"/>
          <w:szCs w:val="22"/>
          <w:rtl w:val="0"/>
        </w:rPr>
        <w:t xml:space="preserve">Toda acta del Comité de Transparencia deberá contener: </w:t>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número de sesión y fecha; </w:t>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del área que solicitó la clasificación de información; </w:t>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fundamentación legal y motivación correspondiente; </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La resolución o resoluciones aprobadas; y </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rúbrica o firma digital de cada integrante del Comité de Transparencia. </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Los motivos y razonamientos que sustenten la confirmación o modificación de la prueba de daño;</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periodo por el que mantendrá su clasificación y fecha de expiración; y </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nombre del titular y área encargada de realizar la versión pública del documento, en su caso. </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53">
      <w:pPr>
        <w:tabs>
          <w:tab w:val="left" w:leader="none" w:pos="993"/>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54">
      <w:pPr>
        <w:tabs>
          <w:tab w:val="left" w:leader="none" w:pos="993"/>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55">
      <w:pPr>
        <w:tabs>
          <w:tab w:val="left" w:leader="none" w:pos="993"/>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56">
      <w:pPr>
        <w:tabs>
          <w:tab w:val="left" w:leader="none" w:pos="993"/>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57">
      <w:pPr>
        <w:tabs>
          <w:tab w:val="left" w:leader="none" w:pos="993"/>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Señalar las personas o instancias autorizadas a acceder a la información clasificada.</w:t>
      </w:r>
    </w:p>
    <w:p w:rsidR="00000000" w:rsidDel="00000000" w:rsidP="00000000" w:rsidRDefault="00000000" w:rsidRPr="00000000" w14:paraId="00000158">
      <w:pPr>
        <w:tabs>
          <w:tab w:val="left" w:leader="none" w:pos="993"/>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5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 </w:t>
      </w:r>
      <w:r w:rsidDel="00000000" w:rsidR="00000000" w:rsidRPr="00000000">
        <w:rPr>
          <w:rFonts w:ascii="Palatino Linotype" w:cs="Palatino Linotype" w:eastAsia="Palatino Linotype" w:hAnsi="Palatino Linotype"/>
          <w:i w:val="1"/>
          <w:iCs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5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 </w:t>
      </w:r>
      <w:r w:rsidDel="00000000" w:rsidR="00000000" w:rsidRPr="00000000">
        <w:rPr>
          <w:rFonts w:ascii="Palatino Linotype" w:cs="Palatino Linotype" w:eastAsia="Palatino Linotype" w:hAnsi="Palatino Linotype"/>
          <w:i w:val="1"/>
          <w:iCs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5C">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5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5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5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r w:rsidDel="00000000" w:rsidR="00000000" w:rsidRPr="00000000">
        <w:drawing>
          <wp:anchor allowOverlap="1" behindDoc="1" distB="0" distT="0" distL="0" distR="0" hidden="0" layoutInCell="1" locked="0" relativeHeight="0" simplePos="0">
            <wp:simplePos x="0" y="0"/>
            <wp:positionH relativeFrom="column">
              <wp:posOffset>-276223</wp:posOffset>
            </wp:positionH>
            <wp:positionV relativeFrom="paragraph">
              <wp:posOffset>417919</wp:posOffset>
            </wp:positionV>
            <wp:extent cx="7809865" cy="10165715"/>
            <wp:effectExtent b="0" l="0" r="0" t="0"/>
            <wp:wrapNone/>
            <wp:docPr id="214013187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809865" cy="10165715"/>
                    </a:xfrm>
                    <a:prstGeom prst="rect"/>
                    <a:ln/>
                  </pic:spPr>
                </pic:pic>
              </a:graphicData>
            </a:graphic>
          </wp:anchor>
        </w:drawing>
      </w:r>
    </w:p>
    <w:p w:rsidR="00000000" w:rsidDel="00000000" w:rsidP="00000000" w:rsidRDefault="00000000" w:rsidRPr="00000000" w14:paraId="0000016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6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6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w:t>
      </w:r>
      <w:r w:rsidDel="00000000" w:rsidR="00000000" w:rsidRPr="00000000">
        <w:rPr>
          <w:rFonts w:ascii="Palatino Linotype" w:cs="Palatino Linotype" w:eastAsia="Palatino Linotype" w:hAnsi="Palatino Linotype"/>
          <w:i w:val="1"/>
          <w:iCs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6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165">
      <w:pPr>
        <w:spacing w:after="240" w:before="240" w:line="360" w:lineRule="auto"/>
        <w:jc w:val="both"/>
        <w:rPr>
          <w:rFonts w:ascii="Palatino Linotype" w:cs="Palatino Linotype" w:eastAsia="Palatino Linotype" w:hAnsi="Palatino Linotype"/>
          <w:sz w:val="22"/>
          <w:szCs w:val="22"/>
        </w:rPr>
      </w:pPr>
      <w:bookmarkStart w:colFirst="0" w:colLast="0" w:name="_heading=h.26in1rg" w:id="9"/>
      <w:bookmarkEnd w:id="9"/>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09704/INFOEM/IP/RR/2025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bCs w:val="1"/>
          <w:sz w:val="22"/>
          <w:szCs w:val="22"/>
          <w:rtl w:val="0"/>
        </w:rPr>
        <w:t xml:space="preserve">Quinto </w:t>
      </w:r>
      <w:r w:rsidDel="00000000" w:rsidR="00000000" w:rsidRPr="00000000">
        <w:rPr>
          <w:rFonts w:ascii="Palatino Linotype" w:cs="Palatino Linotype" w:eastAsia="Palatino Linotype" w:hAnsi="Palatino Linotype"/>
          <w:sz w:val="22"/>
          <w:szCs w:val="22"/>
          <w:rtl w:val="0"/>
        </w:rPr>
        <w:t xml:space="preserve">de esta resolución, haga entrega, 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versión pública de ser procedente, de lo siguiente:</w:t>
      </w:r>
    </w:p>
    <w:p w:rsidR="00000000" w:rsidDel="00000000" w:rsidP="00000000" w:rsidRDefault="00000000" w:rsidRPr="00000000" w14:paraId="00000167">
      <w:pPr>
        <w:tabs>
          <w:tab w:val="left" w:leader="none" w:pos="5040"/>
        </w:tabs>
        <w:spacing w:after="240" w:before="240" w:line="360" w:lineRule="auto"/>
        <w:ind w:left="284" w:right="49"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1. Certificado de competencia laboral de los titulares del Órgano Interno de Control Municipal, la Defensoría Municipal de Derechos Humanos y la Unidad de Transparencia, en funciones al cuatro de agosto de dos mil veinticinco</w:t>
      </w:r>
      <w:r w:rsidDel="00000000" w:rsidR="00000000" w:rsidRPr="00000000">
        <w:rPr>
          <w:rFonts w:ascii="Palatino Linotype" w:cs="Palatino Linotype" w:eastAsia="Palatino Linotype" w:hAnsi="Palatino Linotype"/>
          <w:b w:val="1"/>
          <w:bCs w:val="1"/>
          <w:sz w:val="22"/>
          <w:szCs w:val="22"/>
          <w:rtl w:val="0"/>
        </w:rPr>
        <w:t xml:space="preserve">.</w:t>
      </w:r>
    </w:p>
    <w:p w:rsidR="00000000" w:rsidDel="00000000" w:rsidP="00000000" w:rsidRDefault="00000000" w:rsidRPr="00000000" w14:paraId="00000168">
      <w:pPr>
        <w:tabs>
          <w:tab w:val="left" w:leader="none" w:pos="5040"/>
        </w:tabs>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Certificado de competencia laboral de los titulares de la Coordinación Municipal de Protección Civil, la Secretaria del Ayuntamiento, la Tesorería Municipal, la Dirección General de Obras Públicas, la Dirección General de Planeación, Gestión Urbana y Ciudad Inteligente, la Dirección General Medio Ambiente, y la Dirección General de Educación, Cultura y Turismo, en versión pública correcta.</w:t>
      </w:r>
    </w:p>
    <w:p w:rsidR="00000000" w:rsidDel="00000000" w:rsidP="00000000" w:rsidRDefault="00000000" w:rsidRPr="00000000" w14:paraId="00000169">
      <w:pPr>
        <w:tabs>
          <w:tab w:val="left" w:leader="none" w:pos="5040"/>
        </w:tabs>
        <w:spacing w:after="240" w:before="240" w:line="360" w:lineRule="auto"/>
        <w:ind w:left="284" w:right="49"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3. Documento donde conste o que dé cuenta de la información curricular de los servidores públicos cuyo certificado de competencia laboral fue entregado en respuesta, y los referidos en el punto 1.</w:t>
      </w:r>
      <w:r w:rsidDel="00000000" w:rsidR="00000000" w:rsidRPr="00000000">
        <w:rPr>
          <w:rtl w:val="0"/>
        </w:rPr>
      </w:r>
    </w:p>
    <w:p w:rsidR="00000000" w:rsidDel="00000000" w:rsidP="00000000" w:rsidRDefault="00000000" w:rsidRPr="00000000" w14:paraId="0000016A">
      <w:pPr>
        <w:tabs>
          <w:tab w:val="left" w:leader="none" w:pos="5040"/>
        </w:tabs>
        <w:spacing w:after="240" w:before="240" w:line="360" w:lineRule="auto"/>
        <w:ind w:left="284" w:right="49" w:firstLine="0"/>
        <w:jc w:val="both"/>
        <w:rPr>
          <w:rFonts w:ascii="Palatino Linotype" w:cs="Palatino Linotype" w:eastAsia="Palatino Linotype" w:hAnsi="Palatino Linotype"/>
          <w:sz w:val="22"/>
          <w:szCs w:val="22"/>
        </w:rPr>
      </w:pPr>
      <w:bookmarkStart w:colFirst="0" w:colLast="0" w:name="_heading=h.p78ndpgv4zof" w:id="10"/>
      <w:bookmarkEnd w:id="10"/>
      <w:r w:rsidDel="00000000" w:rsidR="00000000" w:rsidRPr="00000000">
        <w:rPr>
          <w:rFonts w:ascii="Palatino Linotype" w:cs="Palatino Linotype" w:eastAsia="Palatino Linotype" w:hAnsi="Palatino Linotype"/>
          <w:sz w:val="22"/>
          <w:szCs w:val="22"/>
          <w:rtl w:val="0"/>
        </w:rPr>
        <w:t xml:space="preserve">4. El o los documentos que den cuenta del sueldo mensual bruto y neto vigente al cuatro de agosto de dos mil veinticinco, de los servidores públicos referidos en el punto 3.</w:t>
      </w:r>
    </w:p>
    <w:p w:rsidR="00000000" w:rsidDel="00000000" w:rsidP="00000000" w:rsidRDefault="00000000" w:rsidRPr="00000000" w14:paraId="0000016B">
      <w:pPr>
        <w:tabs>
          <w:tab w:val="left" w:leader="none" w:pos="851"/>
        </w:tabs>
        <w:spacing w:after="120" w:before="120" w:lineRule="auto"/>
        <w:ind w:left="284" w:right="49"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6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sz w:val="22"/>
          <w:szCs w:val="22"/>
        </w:rPr>
      </w:pPr>
      <w:bookmarkStart w:colFirst="0" w:colLast="0" w:name="_heading=h.17dp8vu" w:id="11"/>
      <w:bookmarkEnd w:id="11"/>
      <w:r w:rsidDel="00000000" w:rsidR="00000000" w:rsidRPr="00000000">
        <w:rPr>
          <w:rFonts w:ascii="Palatino Linotype" w:cs="Palatino Linotype" w:eastAsia="Palatino Linotype" w:hAnsi="Palatino Linotype"/>
          <w:b w:val="1"/>
          <w:bCs w:val="1"/>
          <w:sz w:val="22"/>
          <w:szCs w:val="22"/>
          <w:rtl w:val="0"/>
        </w:rPr>
        <w:t xml:space="preserve">Cuarto.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0">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tabs>
          <w:tab w:val="left" w:leader="none" w:pos="8647"/>
        </w:tabs>
        <w:spacing w:after="240" w:before="240" w:line="360" w:lineRule="auto"/>
        <w:ind w:right="51"/>
        <w:jc w:val="both"/>
        <w:rPr>
          <w:rFonts w:ascii="Palatino Linotype" w:cs="Palatino Linotype" w:eastAsia="Palatino Linotype" w:hAnsi="Palatino Linotype"/>
          <w:sz w:val="22"/>
          <w:szCs w:val="22"/>
        </w:rPr>
      </w:pPr>
      <w:bookmarkStart w:colFirst="0" w:colLast="0" w:name="_heading=h.lnxbz9" w:id="12"/>
      <w:bookmarkEnd w:id="12"/>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PARTICULAR; EN LA CUADRAGÉSIMA TERCERA SESIÓN ORDINARIA CELEBRADA EL TRES DE DICIEMBRE DE DOS MIL VEINTICINCO, ANTE EL SECRETARIO TÉCNICO DEL PLENO ALEXIS TAPIA RAMÍREZ.</w:t>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6">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right" w:leader="none"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Resolución RRA2431/17 del Instituto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-1104899</wp:posOffset>
          </wp:positionH>
          <wp:positionV relativeFrom="paragraph">
            <wp:posOffset>-543559</wp:posOffset>
          </wp:positionV>
          <wp:extent cx="7809865" cy="10165715"/>
          <wp:effectExtent b="0" l="0" r="0" t="0"/>
          <wp:wrapNone/>
          <wp:docPr id="214013186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89">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8A">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09704/INFOEM/IP/RR/2025</w:t>
          </w:r>
        </w:p>
      </w:tc>
    </w:tr>
    <w:tr>
      <w:trPr>
        <w:cantSplit w:val="0"/>
        <w:trHeight w:val="228" w:hRule="atLeast"/>
        <w:tblHeader w:val="0"/>
      </w:trPr>
      <w:tc>
        <w:tcPr>
          <w:vAlign w:val="center"/>
        </w:tcPr>
        <w:p w:rsidR="00000000" w:rsidDel="00000000" w:rsidP="00000000" w:rsidRDefault="00000000" w:rsidRPr="00000000" w14:paraId="0000018B">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8C">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8D">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8E">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8F">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-1079499</wp:posOffset>
          </wp:positionH>
          <wp:positionV relativeFrom="paragraph">
            <wp:posOffset>-312419</wp:posOffset>
          </wp:positionV>
          <wp:extent cx="7809865" cy="10165715"/>
          <wp:effectExtent b="0" l="0" r="0" t="0"/>
          <wp:wrapNone/>
          <wp:docPr id="214013187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91">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92">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09704/INFOEM/IP/RR/2025</w:t>
          </w:r>
        </w:p>
      </w:tc>
    </w:tr>
    <w:tr>
      <w:trPr>
        <w:cantSplit w:val="0"/>
        <w:tblHeader w:val="0"/>
      </w:trPr>
      <w:tc>
        <w:tcPr/>
        <w:p w:rsidR="00000000" w:rsidDel="00000000" w:rsidP="00000000" w:rsidRDefault="00000000" w:rsidRPr="00000000" w14:paraId="00000193">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194">
          <w:pPr>
            <w:ind w:right="175"/>
            <w:jc w:val="both"/>
            <w:rPr>
              <w:rFonts w:ascii="Palatino Linotype" w:cs="Palatino Linotype" w:eastAsia="Palatino Linotype" w:hAnsi="Palatino Linotype"/>
              <w:b w:val="1"/>
              <w:bCs w:val="1"/>
              <w:sz w:val="22"/>
              <w:szCs w:val="22"/>
              <w:highlight w:val="yellow"/>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9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96">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97">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98">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table" w:styleId="TableNormalf3" w:customStyle="1">
    <w:name w:val="Table Normal"/>
    <w:tblPr>
      <w:tblCellMar>
        <w:top w:w="0.0" w:type="dxa"/>
        <w:left w:w="0.0" w:type="dxa"/>
        <w:bottom w:w="0.0" w:type="dxa"/>
        <w:right w:w="0.0" w:type="dxa"/>
      </w:tblCellMar>
    </w:tblPr>
  </w:style>
  <w:style w:type="table" w:styleId="a" w:customStyle="1">
    <w:basedOn w:val="TableNormalf3"/>
    <w:tblPr>
      <w:tblStyleRowBandSize w:val="1"/>
      <w:tblStyleColBandSize w:val="1"/>
      <w:tblCellMar>
        <w:left w:w="115.0" w:type="dxa"/>
        <w:right w:w="115.0" w:type="dxa"/>
      </w:tblCellMar>
    </w:tblPr>
  </w:style>
  <w:style w:type="table" w:styleId="a0" w:customStyle="1">
    <w:basedOn w:val="TableNormalf3"/>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f3"/>
    <w:tblPr>
      <w:tblStyleRowBandSize w:val="1"/>
      <w:tblStyleColBandSize w:val="1"/>
      <w:tblCellMar>
        <w:left w:w="115.0" w:type="dxa"/>
        <w:right w:w="115.0" w:type="dxa"/>
      </w:tblCellMar>
    </w:tblPr>
  </w:style>
  <w:style w:type="table" w:styleId="a2" w:customStyle="1">
    <w:basedOn w:val="TableNormalf3"/>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f2"/>
    <w:tblPr>
      <w:tblStyleRowBandSize w:val="1"/>
      <w:tblStyleColBandSize w:val="1"/>
      <w:tblCellMar>
        <w:left w:w="115.0" w:type="dxa"/>
        <w:right w:w="115.0" w:type="dxa"/>
      </w:tblCellMar>
    </w:tblPr>
  </w:style>
  <w:style w:type="table" w:styleId="a4" w:customStyle="1">
    <w:basedOn w:val="TableNormalf2"/>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f1"/>
    <w:tblPr>
      <w:tblStyleRowBandSize w:val="1"/>
      <w:tblStyleColBandSize w:val="1"/>
      <w:tblCellMar>
        <w:left w:w="108.0" w:type="dxa"/>
        <w:right w:w="108.0" w:type="dxa"/>
      </w:tblCellMar>
    </w:tblPr>
  </w:style>
  <w:style w:type="table" w:styleId="a6" w:customStyle="1">
    <w:basedOn w:val="TableNormalf1"/>
    <w:tblPr>
      <w:tblStyleRowBandSize w:val="1"/>
      <w:tblStyleColBandSize w:val="1"/>
      <w:tblCellMar>
        <w:left w:w="108.0" w:type="dxa"/>
        <w:right w:w="108.0" w:type="dxa"/>
      </w:tblCellMar>
    </w:tblPr>
  </w:style>
  <w:style w:type="table" w:styleId="a7" w:customStyle="1">
    <w:basedOn w:val="TableNormalf1"/>
    <w:tblPr>
      <w:tblStyleRowBandSize w:val="1"/>
      <w:tblStyleColBandSize w:val="1"/>
      <w:tblCellMar>
        <w:left w:w="108.0" w:type="dxa"/>
        <w:right w:w="108.0" w:type="dxa"/>
      </w:tblCellMar>
    </w:tblPr>
  </w:style>
  <w:style w:type="table" w:styleId="a8" w:customStyle="1">
    <w:basedOn w:val="TableNormalf1"/>
    <w:tblPr>
      <w:tblStyleRowBandSize w:val="1"/>
      <w:tblStyleColBandSize w:val="1"/>
      <w:tblCellMar>
        <w:left w:w="108.0" w:type="dxa"/>
        <w:right w:w="108.0" w:type="dxa"/>
      </w:tblCellMar>
    </w:tblPr>
  </w:style>
  <w:style w:type="table" w:styleId="a9" w:customStyle="1">
    <w:basedOn w:val="TableNormalf1"/>
    <w:tblPr>
      <w:tblStyleRowBandSize w:val="1"/>
      <w:tblStyleColBandSize w:val="1"/>
      <w:tblCellMar>
        <w:left w:w="108.0" w:type="dxa"/>
        <w:right w:w="108.0" w:type="dxa"/>
      </w:tblCellMar>
    </w:tblPr>
  </w:style>
  <w:style w:type="table" w:styleId="aa" w:customStyle="1">
    <w:basedOn w:val="TableNormalf1"/>
    <w:tblPr>
      <w:tblStyleRowBandSize w:val="1"/>
      <w:tblStyleColBandSize w:val="1"/>
      <w:tblCellMar>
        <w:left w:w="115.0" w:type="dxa"/>
        <w:right w:w="115.0" w:type="dxa"/>
      </w:tblCellMar>
    </w:tblPr>
  </w:style>
  <w:style w:type="table" w:styleId="ab" w:customStyle="1">
    <w:basedOn w:val="TableNormalf1"/>
    <w:tblPr>
      <w:tblStyleRowBandSize w:val="1"/>
      <w:tblStyleColBandSize w:val="1"/>
      <w:tblCellMar>
        <w:left w:w="115.0" w:type="dxa"/>
        <w:right w:w="115.0" w:type="dxa"/>
      </w:tblCellMar>
    </w:tblPr>
  </w:style>
  <w:style w:type="table" w:styleId="ac" w:customStyle="1">
    <w:basedOn w:val="TableNormalf0"/>
    <w:tblPr>
      <w:tblStyleRowBandSize w:val="1"/>
      <w:tblStyleColBandSize w:val="1"/>
      <w:tblCellMar>
        <w:left w:w="108.0" w:type="dxa"/>
        <w:right w:w="108.0" w:type="dxa"/>
      </w:tblCellMar>
    </w:tblPr>
  </w:style>
  <w:style w:type="table" w:styleId="ad" w:customStyle="1">
    <w:basedOn w:val="TableNormalf0"/>
    <w:tblPr>
      <w:tblStyleRowBandSize w:val="1"/>
      <w:tblStyleColBandSize w:val="1"/>
      <w:tblCellMar>
        <w:left w:w="115.0" w:type="dxa"/>
        <w:right w:w="115.0" w:type="dxa"/>
      </w:tblCellMar>
    </w:tblPr>
  </w:style>
  <w:style w:type="table" w:styleId="ae" w:customStyle="1">
    <w:basedOn w:val="TableNormalf0"/>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left w:w="115.0" w:type="dxa"/>
        <w:right w:w="115.0" w:type="dxa"/>
      </w:tblCellMar>
    </w:tblPr>
  </w:style>
  <w:style w:type="table" w:styleId="af1" w:customStyle="1">
    <w:basedOn w:val="TableNormalf"/>
    <w:tblPr>
      <w:tblStyleRowBandSize w:val="1"/>
      <w:tblStyleColBandSize w:val="1"/>
      <w:tblCellMar>
        <w:left w:w="115.0" w:type="dxa"/>
        <w:right w:w="115.0" w:type="dxa"/>
      </w:tblCellMar>
    </w:tblPr>
  </w:style>
  <w:style w:type="table" w:styleId="af2" w:customStyle="1">
    <w:basedOn w:val="TableNormale"/>
    <w:tblPr>
      <w:tblStyleRowBandSize w:val="1"/>
      <w:tblStyleColBandSize w:val="1"/>
      <w:tblCellMar>
        <w:left w:w="115.0" w:type="dxa"/>
        <w:right w:w="115.0" w:type="dxa"/>
      </w:tblCellMar>
    </w:tblPr>
  </w:style>
  <w:style w:type="table" w:styleId="af3" w:customStyle="1">
    <w:basedOn w:val="TableNormale"/>
    <w:tblPr>
      <w:tblStyleRowBandSize w:val="1"/>
      <w:tblStyleColBandSize w:val="1"/>
      <w:tblCellMar>
        <w:left w:w="115.0" w:type="dxa"/>
        <w:right w:w="115.0" w:type="dxa"/>
      </w:tblCellMar>
    </w:tblPr>
  </w:style>
  <w:style w:type="table" w:styleId="af4" w:customStyle="1">
    <w:basedOn w:val="TableNormald"/>
    <w:tblPr>
      <w:tblStyleRowBandSize w:val="1"/>
      <w:tblStyleColBandSize w:val="1"/>
      <w:tblCellMar>
        <w:left w:w="115.0" w:type="dxa"/>
        <w:right w:w="115.0" w:type="dxa"/>
      </w:tblCellMar>
    </w:tblPr>
  </w:style>
  <w:style w:type="table" w:styleId="af5" w:customStyle="1">
    <w:basedOn w:val="TableNormald"/>
    <w:tblPr>
      <w:tblStyleRowBandSize w:val="1"/>
      <w:tblStyleColBandSize w:val="1"/>
      <w:tblCellMar>
        <w:left w:w="115.0" w:type="dxa"/>
        <w:right w:w="115.0" w:type="dxa"/>
      </w:tblCellMar>
    </w:tblPr>
  </w:style>
  <w:style w:type="table" w:styleId="af6" w:customStyle="1">
    <w:basedOn w:val="TableNormalc"/>
    <w:tblPr>
      <w:tblStyleRowBandSize w:val="1"/>
      <w:tblStyleColBandSize w:val="1"/>
      <w:tblCellMar>
        <w:left w:w="115.0" w:type="dxa"/>
        <w:right w:w="115.0" w:type="dxa"/>
      </w:tblCellMar>
    </w:tblPr>
  </w:style>
  <w:style w:type="table" w:styleId="af7" w:customStyle="1">
    <w:basedOn w:val="TableNormalc"/>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b"/>
    <w:tblPr>
      <w:tblStyleRowBandSize w:val="1"/>
      <w:tblStyleColBandSize w:val="1"/>
      <w:tblCellMar>
        <w:left w:w="115.0" w:type="dxa"/>
        <w:right w:w="115.0" w:type="dxa"/>
      </w:tblCellMar>
    </w:tblPr>
  </w:style>
  <w:style w:type="table" w:styleId="af9" w:customStyle="1">
    <w:basedOn w:val="TableNormalb"/>
    <w:tblPr>
      <w:tblStyleRowBandSize w:val="1"/>
      <w:tblStyleColBandSize w:val="1"/>
      <w:tblCellMar>
        <w:left w:w="115.0" w:type="dxa"/>
        <w:right w:w="115.0" w:type="dxa"/>
      </w:tblCellMar>
    </w:tblPr>
  </w:style>
  <w:style w:type="table" w:styleId="afa" w:customStyle="1">
    <w:basedOn w:val="TableNormala"/>
    <w:tblPr>
      <w:tblStyleRowBandSize w:val="1"/>
      <w:tblStyleColBandSize w:val="1"/>
      <w:tblCellMar>
        <w:left w:w="115.0" w:type="dxa"/>
        <w:right w:w="115.0" w:type="dxa"/>
      </w:tblCellMar>
    </w:tblPr>
  </w:style>
  <w:style w:type="table" w:styleId="afb" w:customStyle="1">
    <w:basedOn w:val="TableNormala"/>
    <w:tblPr>
      <w:tblStyleRowBandSize w:val="1"/>
      <w:tblStyleColBandSize w:val="1"/>
      <w:tblCellMar>
        <w:left w:w="115.0" w:type="dxa"/>
        <w:right w:w="115.0" w:type="dxa"/>
      </w:tblCellMar>
    </w:tblPr>
  </w:style>
  <w:style w:type="table" w:styleId="afc" w:customStyle="1">
    <w:basedOn w:val="TableNormal9"/>
    <w:tblPr>
      <w:tblStyleRowBandSize w:val="1"/>
      <w:tblStyleColBandSize w:val="1"/>
      <w:tblCellMar>
        <w:left w:w="115.0" w:type="dxa"/>
        <w:right w:w="115.0" w:type="dxa"/>
      </w:tblCellMar>
    </w:tblPr>
  </w:style>
  <w:style w:type="table" w:styleId="afd" w:customStyle="1">
    <w:basedOn w:val="TableNormal9"/>
    <w:tblPr>
      <w:tblStyleRowBandSize w:val="1"/>
      <w:tblStyleColBandSize w:val="1"/>
      <w:tblCellMar>
        <w:left w:w="115.0" w:type="dxa"/>
        <w:right w:w="115.0" w:type="dxa"/>
      </w:tblCellMar>
    </w:tblPr>
  </w:style>
  <w:style w:type="table" w:styleId="afe" w:customStyle="1">
    <w:basedOn w:val="TableNormal8"/>
    <w:tblPr>
      <w:tblStyleRowBandSize w:val="1"/>
      <w:tblStyleColBandSize w:val="1"/>
      <w:tblCellMar>
        <w:left w:w="115.0" w:type="dxa"/>
        <w:right w:w="115.0" w:type="dxa"/>
      </w:tblCellMar>
    </w:tblPr>
  </w:style>
  <w:style w:type="table" w:styleId="aff" w:customStyle="1">
    <w:basedOn w:val="TableNormal8"/>
    <w:tblPr>
      <w:tblStyleRowBandSize w:val="1"/>
      <w:tblStyleColBandSize w:val="1"/>
      <w:tblCellMar>
        <w:left w:w="115.0" w:type="dxa"/>
        <w:right w:w="115.0" w:type="dxa"/>
      </w:tblCellMar>
    </w:tblPr>
  </w:style>
  <w:style w:type="table" w:styleId="aff0" w:customStyle="1">
    <w:basedOn w:val="TableNormal7"/>
    <w:tblPr>
      <w:tblStyleRowBandSize w:val="1"/>
      <w:tblStyleColBandSize w:val="1"/>
      <w:tblCellMar>
        <w:left w:w="115.0" w:type="dxa"/>
        <w:right w:w="115.0" w:type="dxa"/>
      </w:tblCellMar>
    </w:tblPr>
  </w:style>
  <w:style w:type="table" w:styleId="aff1" w:customStyle="1">
    <w:basedOn w:val="TableNormal7"/>
    <w:tblPr>
      <w:tblStyleRowBandSize w:val="1"/>
      <w:tblStyleColBandSize w:val="1"/>
      <w:tblCellMar>
        <w:left w:w="115.0" w:type="dxa"/>
        <w:right w:w="115.0" w:type="dxa"/>
      </w:tblCellMar>
    </w:tblPr>
  </w:style>
  <w:style w:type="table" w:styleId="aff2" w:customStyle="1">
    <w:basedOn w:val="TableNormal6"/>
    <w:tblPr>
      <w:tblStyleRowBandSize w:val="1"/>
      <w:tblStyleColBandSize w:val="1"/>
      <w:tblCellMar>
        <w:left w:w="115.0" w:type="dxa"/>
        <w:right w:w="115.0" w:type="dxa"/>
      </w:tblCellMar>
    </w:tblPr>
  </w:style>
  <w:style w:type="table" w:styleId="aff3" w:customStyle="1">
    <w:basedOn w:val="TableNormal6"/>
    <w:tblPr>
      <w:tblStyleRowBandSize w:val="1"/>
      <w:tblStyleColBandSize w:val="1"/>
      <w:tblCellMar>
        <w:left w:w="115.0" w:type="dxa"/>
        <w:right w:w="115.0" w:type="dxa"/>
      </w:tblCellMar>
    </w:tblPr>
  </w:style>
  <w:style w:type="table" w:styleId="aff4" w:customStyle="1">
    <w:basedOn w:val="TableNormal5"/>
    <w:tblPr>
      <w:tblStyleRowBandSize w:val="1"/>
      <w:tblStyleColBandSize w:val="1"/>
      <w:tblCellMar>
        <w:left w:w="115.0" w:type="dxa"/>
        <w:right w:w="115.0" w:type="dxa"/>
      </w:tblCellMar>
    </w:tblPr>
  </w:style>
  <w:style w:type="table" w:styleId="aff5" w:customStyle="1">
    <w:basedOn w:val="TableNormal5"/>
    <w:tblPr>
      <w:tblStyleRowBandSize w:val="1"/>
      <w:tblStyleColBandSize w:val="1"/>
      <w:tblCellMar>
        <w:left w:w="115.0" w:type="dxa"/>
        <w:right w:w="115.0" w:type="dxa"/>
      </w:tblCellMar>
    </w:tblPr>
  </w:style>
  <w:style w:type="table" w:styleId="aff6" w:customStyle="1">
    <w:basedOn w:val="TableNormal4"/>
    <w:tblPr>
      <w:tblStyleRowBandSize w:val="1"/>
      <w:tblStyleColBandSize w:val="1"/>
      <w:tblCellMar>
        <w:left w:w="115.0" w:type="dxa"/>
        <w:right w:w="115.0" w:type="dxa"/>
      </w:tblCellMar>
    </w:tblPr>
  </w:style>
  <w:style w:type="table" w:styleId="aff7" w:customStyle="1">
    <w:basedOn w:val="TableNormal4"/>
    <w:tblPr>
      <w:tblStyleRowBandSize w:val="1"/>
      <w:tblStyleColBandSize w:val="1"/>
      <w:tblCellMar>
        <w:left w:w="115.0" w:type="dxa"/>
        <w:right w:w="115.0" w:type="dxa"/>
      </w:tblCellMar>
    </w:tblPr>
  </w:style>
  <w:style w:type="table" w:styleId="aff8" w:customStyle="1">
    <w:basedOn w:val="TableNormal3"/>
    <w:tblPr>
      <w:tblStyleRowBandSize w:val="1"/>
      <w:tblStyleColBandSize w:val="1"/>
      <w:tblCellMar>
        <w:left w:w="115.0" w:type="dxa"/>
        <w:right w:w="115.0" w:type="dxa"/>
      </w:tblCellMar>
    </w:tblPr>
  </w:style>
  <w:style w:type="table" w:styleId="aff9" w:customStyle="1">
    <w:basedOn w:val="TableNormal3"/>
    <w:tblPr>
      <w:tblStyleRowBandSize w:val="1"/>
      <w:tblStyleColBandSize w:val="1"/>
      <w:tblCellMar>
        <w:left w:w="115.0" w:type="dxa"/>
        <w:right w:w="115.0" w:type="dxa"/>
      </w:tblCellMar>
    </w:tblPr>
  </w:style>
  <w:style w:type="table" w:styleId="affa" w:customStyle="1">
    <w:basedOn w:val="TableNormal2"/>
    <w:tblPr>
      <w:tblStyleRowBandSize w:val="1"/>
      <w:tblStyleColBandSize w:val="1"/>
      <w:tblCellMar>
        <w:left w:w="115.0" w:type="dxa"/>
        <w:right w:w="115.0" w:type="dxa"/>
      </w:tblCellMar>
    </w:tblPr>
  </w:style>
  <w:style w:type="table" w:styleId="affb" w:customStyle="1">
    <w:basedOn w:val="TableNormal2"/>
    <w:tblPr>
      <w:tblStyleRowBandSize w:val="1"/>
      <w:tblStyleColBandSize w:val="1"/>
      <w:tblCellMar>
        <w:left w:w="115.0" w:type="dxa"/>
        <w:right w:w="115.0" w:type="dxa"/>
      </w:tblCellMar>
    </w:tbl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paragraph" w:styleId="Lista">
    <w:name w:val="List"/>
    <w:basedOn w:val="Normal"/>
    <w:uiPriority w:val="99"/>
    <w:unhideWhenUsed w:val="1"/>
    <w:rsid w:val="0076259D"/>
    <w:pPr>
      <w:ind w:left="283" w:hanging="283"/>
      <w:contextualSpacing w:val="1"/>
    </w:pPr>
  </w:style>
  <w:style w:type="paragraph" w:styleId="Lista2">
    <w:name w:val="List 2"/>
    <w:basedOn w:val="Normal"/>
    <w:uiPriority w:val="99"/>
    <w:unhideWhenUsed w:val="1"/>
    <w:rsid w:val="0076259D"/>
    <w:pPr>
      <w:ind w:left="566" w:hanging="283"/>
      <w:contextualSpacing w:val="1"/>
    </w:pPr>
  </w:style>
  <w:style w:type="paragraph" w:styleId="Lista3">
    <w:name w:val="List 3"/>
    <w:basedOn w:val="Normal"/>
    <w:uiPriority w:val="99"/>
    <w:unhideWhenUsed w:val="1"/>
    <w:rsid w:val="0076259D"/>
    <w:pPr>
      <w:ind w:left="849" w:hanging="283"/>
      <w:contextualSpacing w:val="1"/>
    </w:pPr>
  </w:style>
  <w:style w:type="paragraph" w:styleId="Lista4">
    <w:name w:val="List 4"/>
    <w:basedOn w:val="Normal"/>
    <w:uiPriority w:val="99"/>
    <w:unhideWhenUsed w:val="1"/>
    <w:rsid w:val="0076259D"/>
    <w:pPr>
      <w:ind w:left="1132" w:hanging="283"/>
      <w:contextualSpacing w:val="1"/>
    </w:pPr>
  </w:style>
  <w:style w:type="paragraph" w:styleId="Lista5">
    <w:name w:val="List 5"/>
    <w:basedOn w:val="Normal"/>
    <w:uiPriority w:val="99"/>
    <w:unhideWhenUsed w:val="1"/>
    <w:rsid w:val="0076259D"/>
    <w:pPr>
      <w:ind w:left="1415" w:hanging="283"/>
      <w:contextualSpacing w:val="1"/>
    </w:pPr>
  </w:style>
  <w:style w:type="paragraph" w:styleId="Saludo">
    <w:name w:val="Salutation"/>
    <w:basedOn w:val="Normal"/>
    <w:next w:val="Normal"/>
    <w:link w:val="SaludoCar"/>
    <w:uiPriority w:val="99"/>
    <w:unhideWhenUsed w:val="1"/>
    <w:rsid w:val="0076259D"/>
  </w:style>
  <w:style w:type="character" w:styleId="SaludoCar" w:customStyle="1">
    <w:name w:val="Saludo Car"/>
    <w:basedOn w:val="Fuentedeprrafopredeter"/>
    <w:link w:val="Saludo"/>
    <w:uiPriority w:val="99"/>
    <w:rsid w:val="0076259D"/>
  </w:style>
  <w:style w:type="paragraph" w:styleId="Listaconvietas">
    <w:name w:val="List Bullet"/>
    <w:basedOn w:val="Normal"/>
    <w:uiPriority w:val="99"/>
    <w:unhideWhenUsed w:val="1"/>
    <w:rsid w:val="0076259D"/>
    <w:pPr>
      <w:tabs>
        <w:tab w:val="num" w:pos="720"/>
      </w:tabs>
      <w:ind w:left="720" w:hanging="720"/>
      <w:contextualSpacing w:val="1"/>
    </w:pPr>
  </w:style>
  <w:style w:type="paragraph" w:styleId="Listaconvietas2">
    <w:name w:val="List Bullet 2"/>
    <w:basedOn w:val="Normal"/>
    <w:uiPriority w:val="99"/>
    <w:unhideWhenUsed w:val="1"/>
    <w:rsid w:val="0076259D"/>
    <w:pPr>
      <w:tabs>
        <w:tab w:val="num" w:pos="720"/>
      </w:tabs>
      <w:ind w:left="720" w:hanging="720"/>
      <w:contextualSpacing w:val="1"/>
    </w:pPr>
  </w:style>
  <w:style w:type="paragraph" w:styleId="Continuarlista">
    <w:name w:val="List Continue"/>
    <w:basedOn w:val="Normal"/>
    <w:uiPriority w:val="99"/>
    <w:unhideWhenUsed w:val="1"/>
    <w:rsid w:val="0076259D"/>
    <w:pPr>
      <w:spacing w:after="120"/>
      <w:ind w:left="283"/>
      <w:contextualSpacing w:val="1"/>
    </w:pPr>
  </w:style>
  <w:style w:type="paragraph" w:styleId="Textoindependiente">
    <w:name w:val="Body Text"/>
    <w:basedOn w:val="Normal"/>
    <w:link w:val="TextoindependienteCar"/>
    <w:uiPriority w:val="99"/>
    <w:unhideWhenUsed w:val="1"/>
    <w:rsid w:val="0076259D"/>
    <w:pPr>
      <w:spacing w:after="120"/>
    </w:pPr>
  </w:style>
  <w:style w:type="character" w:styleId="TextoindependienteCar" w:customStyle="1">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val="1"/>
    <w:rsid w:val="0076259D"/>
    <w:pPr>
      <w:spacing w:after="120"/>
      <w:ind w:left="283"/>
    </w:pPr>
  </w:style>
  <w:style w:type="character" w:styleId="SangradetextonormalCar" w:customStyle="1">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val="1"/>
    <w:rsid w:val="0076259D"/>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76259D"/>
  </w:style>
  <w:style w:type="character" w:styleId="Mencinsinresolver3" w:customStyle="1">
    <w:name w:val="Mención sin resolver3"/>
    <w:basedOn w:val="Fuentedeprrafopredeter"/>
    <w:uiPriority w:val="99"/>
    <w:semiHidden w:val="1"/>
    <w:unhideWhenUsed w:val="1"/>
    <w:rsid w:val="00C90819"/>
    <w:rPr>
      <w:color w:val="605e5c"/>
      <w:shd w:color="auto" w:fill="e1dfdd" w:val="clear"/>
    </w:rPr>
  </w:style>
  <w:style w:type="table" w:styleId="affe" w:customStyle="1">
    <w:basedOn w:val="TableNormal0"/>
    <w:tblPr>
      <w:tblStyleRowBandSize w:val="1"/>
      <w:tblStyleColBandSize w:val="1"/>
      <w:tblCellMar>
        <w:top w:w="0.0" w:type="dxa"/>
        <w:left w:w="115.0" w:type="dxa"/>
        <w:bottom w:w="0.0" w:type="dxa"/>
        <w:right w:w="115.0" w:type="dxa"/>
      </w:tblCellMar>
    </w:tblPr>
  </w:style>
  <w:style w:type="table" w:styleId="afff" w:customStyle="1">
    <w:basedOn w:val="TableNormal0"/>
    <w:tblPr>
      <w:tblStyleRowBandSize w:val="1"/>
      <w:tblStyleColBandSize w:val="1"/>
      <w:tblCellMar>
        <w:top w:w="0.0" w:type="dxa"/>
        <w:left w:w="115.0" w:type="dxa"/>
        <w:bottom w:w="0.0" w:type="dxa"/>
        <w:right w:w="115.0" w:type="dxa"/>
      </w:tblCellMar>
    </w:tblPr>
  </w:style>
  <w:style w:type="table" w:styleId="afff0" w:customStyle="1">
    <w:basedOn w:val="TableNormal0"/>
    <w:tblPr>
      <w:tblStyleRowBandSize w:val="1"/>
      <w:tblStyleColBandSize w:val="1"/>
      <w:tblCellMar>
        <w:top w:w="0.0" w:type="dxa"/>
        <w:left w:w="115.0" w:type="dxa"/>
        <w:bottom w:w="0.0" w:type="dxa"/>
        <w:right w:w="115.0" w:type="dxa"/>
      </w:tblCellMar>
    </w:tblPr>
  </w:style>
  <w:style w:type="table" w:styleId="afff1"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95+RzlR5Bcuji9YTTEO+WWqqg==">CgMxLjAyDmguc3ZibmlxemVvdzBhMg5oLmRhajNqMnhvNnE2NjIIaC5namRneHMyCWguM2R5NnZrbTIJaC4zMGowemxsMgloLjJzOGV5bzEyCGgudHlqY3d0MgloLjJldDkycDAyDmguZTEyOHl3eHZ5dWR2MgloLjI2aW4xcmcyDmgucDc4bmRwZ3Y0em9mMgloLjE3ZHA4dnUyCGgubG54Yno5OAByITFyd0xPdE1GSnhkcm9QTWZPVERVamJUdkZTNXJuNzg2bQ==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2026-01-14T18:41:00Z</dcterms:created>
  <dc:creator>USUARIO</dc:creator>
</cp:coreProperties>
</file>