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A01" w:rsidRPr="00316CA0" w:rsidRDefault="00A9456A" w:rsidP="004F19EF">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316CA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316CA0">
        <w:rPr>
          <w:rFonts w:ascii="Palatino Linotype" w:eastAsia="Palatino Linotype" w:hAnsi="Palatino Linotype" w:cs="Palatino Linotype"/>
          <w:b/>
          <w:color w:val="000000" w:themeColor="text1"/>
        </w:rPr>
        <w:t xml:space="preserve">de fecha </w:t>
      </w:r>
      <w:r w:rsidR="004F19EF" w:rsidRPr="00316CA0">
        <w:rPr>
          <w:rFonts w:ascii="Palatino Linotype" w:eastAsia="Palatino Linotype" w:hAnsi="Palatino Linotype" w:cs="Palatino Linotype"/>
          <w:b/>
          <w:color w:val="000000" w:themeColor="text1"/>
        </w:rPr>
        <w:t>diez</w:t>
      </w:r>
      <w:r w:rsidR="005015BD">
        <w:rPr>
          <w:rFonts w:ascii="Palatino Linotype" w:eastAsia="Palatino Linotype" w:hAnsi="Palatino Linotype" w:cs="Palatino Linotype"/>
          <w:b/>
          <w:color w:val="000000" w:themeColor="text1"/>
        </w:rPr>
        <w:t xml:space="preserve"> (10)</w:t>
      </w:r>
      <w:r w:rsidRPr="00316CA0">
        <w:rPr>
          <w:rFonts w:ascii="Palatino Linotype" w:eastAsia="Palatino Linotype" w:hAnsi="Palatino Linotype" w:cs="Palatino Linotype"/>
          <w:b/>
          <w:color w:val="000000" w:themeColor="text1"/>
        </w:rPr>
        <w:t xml:space="preserve"> de septiembre de dos mil veinticinco</w:t>
      </w:r>
      <w:r w:rsidRPr="00316CA0">
        <w:rPr>
          <w:rFonts w:ascii="Palatino Linotype" w:eastAsia="Palatino Linotype" w:hAnsi="Palatino Linotype" w:cs="Palatino Linotype"/>
          <w:color w:val="000000" w:themeColor="text1"/>
        </w:rPr>
        <w:t>.</w:t>
      </w:r>
    </w:p>
    <w:p w:rsidR="00BD0A01" w:rsidRPr="00316CA0" w:rsidRDefault="00BD0A01" w:rsidP="004F19EF">
      <w:pPr>
        <w:tabs>
          <w:tab w:val="left" w:pos="3465"/>
        </w:tabs>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spacing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color w:val="000000" w:themeColor="text1"/>
        </w:rPr>
        <w:t>VISTO</w:t>
      </w:r>
      <w:r w:rsidRPr="00316CA0">
        <w:rPr>
          <w:rFonts w:ascii="Palatino Linotype" w:eastAsia="Palatino Linotype" w:hAnsi="Palatino Linotype" w:cs="Palatino Linotype"/>
          <w:color w:val="000000" w:themeColor="text1"/>
        </w:rPr>
        <w:t xml:space="preserve"> el expediente electrónico formado con motivo del Recurso de Revisión </w:t>
      </w:r>
      <w:r w:rsidRPr="00316CA0">
        <w:rPr>
          <w:rFonts w:ascii="Palatino Linotype" w:eastAsia="Palatino Linotype" w:hAnsi="Palatino Linotype" w:cs="Palatino Linotype"/>
          <w:b/>
          <w:color w:val="000000" w:themeColor="text1"/>
        </w:rPr>
        <w:t xml:space="preserve">06158/INFOEM/IP/RR/2025, </w:t>
      </w:r>
      <w:r w:rsidRPr="00316CA0">
        <w:rPr>
          <w:rFonts w:ascii="Palatino Linotype" w:eastAsia="Palatino Linotype" w:hAnsi="Palatino Linotype" w:cs="Palatino Linotype"/>
          <w:color w:val="000000" w:themeColor="text1"/>
        </w:rPr>
        <w:t>promovido por</w:t>
      </w:r>
      <w:r w:rsidRPr="00316CA0">
        <w:rPr>
          <w:rFonts w:ascii="Palatino Linotype" w:eastAsia="Palatino Linotype" w:hAnsi="Palatino Linotype" w:cs="Palatino Linotype"/>
          <w:b/>
          <w:color w:val="000000" w:themeColor="text1"/>
        </w:rPr>
        <w:t xml:space="preserve"> </w:t>
      </w:r>
      <w:r w:rsidR="00450D22" w:rsidRPr="00450D22">
        <w:rPr>
          <w:rFonts w:ascii="Palatino Linotype" w:eastAsia="Palatino Linotype" w:hAnsi="Palatino Linotype" w:cs="Palatino Linotype"/>
          <w:b/>
          <w:color w:val="000000" w:themeColor="text1"/>
        </w:rPr>
        <w:t>XXXX</w:t>
      </w:r>
      <w:r w:rsidRPr="00316CA0">
        <w:rPr>
          <w:rFonts w:ascii="Palatino Linotype" w:eastAsia="Palatino Linotype" w:hAnsi="Palatino Linotype" w:cs="Palatino Linotype"/>
          <w:color w:val="000000" w:themeColor="text1"/>
        </w:rPr>
        <w:t xml:space="preserve">, a quien en lo sucesivo se le identificará como </w:t>
      </w:r>
      <w:r w:rsidRPr="00316CA0">
        <w:rPr>
          <w:rFonts w:ascii="Palatino Linotype" w:eastAsia="Palatino Linotype" w:hAnsi="Palatino Linotype" w:cs="Palatino Linotype"/>
          <w:b/>
          <w:color w:val="000000" w:themeColor="text1"/>
        </w:rPr>
        <w:t>EL RECURRENTE</w:t>
      </w:r>
      <w:r w:rsidRPr="00316CA0">
        <w:rPr>
          <w:rFonts w:ascii="Palatino Linotype" w:eastAsia="Palatino Linotype" w:hAnsi="Palatino Linotype" w:cs="Palatino Linotype"/>
          <w:color w:val="000000" w:themeColor="text1"/>
        </w:rPr>
        <w:t xml:space="preserve">, en contra de la respuesta del </w:t>
      </w:r>
      <w:r w:rsidRPr="00316CA0">
        <w:rPr>
          <w:rFonts w:ascii="Palatino Linotype" w:eastAsia="Palatino Linotype" w:hAnsi="Palatino Linotype" w:cs="Palatino Linotype"/>
          <w:b/>
          <w:color w:val="000000" w:themeColor="text1"/>
        </w:rPr>
        <w:t xml:space="preserve">Organismo Público Descentralizado Municipal para la Prestación de Los Servicios de Agua Potable Alcantarillado y Saneamiento de Cuautitlán Izcalli denominado OPERAGUA, O.P.D.M., </w:t>
      </w:r>
      <w:r w:rsidRPr="00316CA0">
        <w:rPr>
          <w:rFonts w:ascii="Palatino Linotype" w:eastAsia="Palatino Linotype" w:hAnsi="Palatino Linotype" w:cs="Palatino Linotype"/>
          <w:color w:val="000000" w:themeColor="text1"/>
        </w:rPr>
        <w:t>en adelante el</w:t>
      </w:r>
      <w:r w:rsidRPr="00316CA0">
        <w:rPr>
          <w:rFonts w:ascii="Palatino Linotype" w:eastAsia="Palatino Linotype" w:hAnsi="Palatino Linotype" w:cs="Palatino Linotype"/>
          <w:b/>
          <w:color w:val="000000" w:themeColor="text1"/>
        </w:rPr>
        <w:t xml:space="preserve"> SUJETO OBLIGADO</w:t>
      </w:r>
      <w:r w:rsidRPr="00316CA0">
        <w:rPr>
          <w:rFonts w:ascii="Palatino Linotype" w:eastAsia="Palatino Linotype" w:hAnsi="Palatino Linotype" w:cs="Palatino Linotype"/>
          <w:color w:val="000000" w:themeColor="text1"/>
        </w:rPr>
        <w:t>, se procede a dictar la presente Resolución, con base en los siguientes:</w:t>
      </w:r>
    </w:p>
    <w:p w:rsidR="00BD0A01" w:rsidRPr="00316CA0" w:rsidRDefault="00BD0A01" w:rsidP="004F19EF">
      <w:pPr>
        <w:spacing w:line="360" w:lineRule="auto"/>
        <w:jc w:val="both"/>
        <w:rPr>
          <w:rFonts w:ascii="Palatino Linotype" w:eastAsia="Palatino Linotype" w:hAnsi="Palatino Linotype" w:cs="Palatino Linotype"/>
          <w:b/>
          <w:color w:val="000000" w:themeColor="text1"/>
        </w:rPr>
      </w:pPr>
    </w:p>
    <w:p w:rsidR="00BD0A01" w:rsidRPr="00316CA0" w:rsidRDefault="00A9456A" w:rsidP="004F19EF">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316CA0">
        <w:rPr>
          <w:rFonts w:ascii="Palatino Linotype" w:eastAsia="Palatino Linotype" w:hAnsi="Palatino Linotype" w:cs="Palatino Linotype"/>
          <w:b/>
          <w:color w:val="000000" w:themeColor="text1"/>
          <w:sz w:val="24"/>
          <w:szCs w:val="24"/>
        </w:rPr>
        <w:t>A N T E C E D E N T E S</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El día</w:t>
      </w:r>
      <w:r w:rsidRPr="00316CA0">
        <w:rPr>
          <w:rFonts w:ascii="Palatino Linotype" w:eastAsia="Palatino Linotype" w:hAnsi="Palatino Linotype" w:cs="Palatino Linotype"/>
          <w:b/>
          <w:color w:val="000000" w:themeColor="text1"/>
        </w:rPr>
        <w:t xml:space="preserve"> veintitrés de abril dos mil veinticinco, </w:t>
      </w:r>
      <w:r w:rsidRPr="00316CA0">
        <w:rPr>
          <w:rFonts w:ascii="Palatino Linotype" w:eastAsia="Palatino Linotype" w:hAnsi="Palatino Linotype" w:cs="Palatino Linotype"/>
          <w:color w:val="000000" w:themeColor="text1"/>
        </w:rPr>
        <w:t xml:space="preserve">se presentó ante el </w:t>
      </w:r>
      <w:r w:rsidRPr="00316CA0">
        <w:rPr>
          <w:rFonts w:ascii="Palatino Linotype" w:eastAsia="Palatino Linotype" w:hAnsi="Palatino Linotype" w:cs="Palatino Linotype"/>
          <w:b/>
          <w:color w:val="000000" w:themeColor="text1"/>
        </w:rPr>
        <w:t>SUJETO OBLIGADO</w:t>
      </w:r>
      <w:r w:rsidRPr="00316CA0">
        <w:rPr>
          <w:rFonts w:ascii="Palatino Linotype" w:eastAsia="Palatino Linotype" w:hAnsi="Palatino Linotype" w:cs="Palatino Linotype"/>
          <w:color w:val="000000" w:themeColor="text1"/>
        </w:rPr>
        <w:t xml:space="preserve"> vía Sistema de Acceso a la Información Mexiquense (SAIMEX), la solicitud de información pública registrada con el número</w:t>
      </w:r>
      <w:r w:rsidRPr="00316CA0">
        <w:rPr>
          <w:rFonts w:ascii="Palatino Linotype" w:eastAsia="Palatino Linotype" w:hAnsi="Palatino Linotype" w:cs="Palatino Linotype"/>
          <w:b/>
          <w:color w:val="000000" w:themeColor="text1"/>
        </w:rPr>
        <w:t xml:space="preserve">  00100/OASCUATIZC/IP/2025; </w:t>
      </w:r>
      <w:r w:rsidRPr="00316CA0">
        <w:rPr>
          <w:rFonts w:ascii="Palatino Linotype" w:eastAsia="Palatino Linotype" w:hAnsi="Palatino Linotype" w:cs="Palatino Linotype"/>
          <w:color w:val="000000" w:themeColor="text1"/>
        </w:rPr>
        <w:t>en la que se solicitó la siguiente información:</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Default="00A9456A"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“SOLICITO LOS ESTADOS DE CUENTA DONDE SE REFLEJE LA DISPERSION DE LA NOMINA DE LA PRIMERA QUINCENA DE ABRIL DE 2025”</w:t>
      </w:r>
    </w:p>
    <w:p w:rsidR="00450D22" w:rsidRPr="00316CA0" w:rsidRDefault="00450D22"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BD0A01" w:rsidRPr="00316CA0" w:rsidRDefault="00A9456A" w:rsidP="005015B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color w:val="000000" w:themeColor="text1"/>
        </w:rPr>
        <w:lastRenderedPageBreak/>
        <w:t xml:space="preserve">Se eligió como modalidad de entrega: </w:t>
      </w:r>
      <w:r w:rsidRPr="00316CA0">
        <w:rPr>
          <w:rFonts w:ascii="Palatino Linotype" w:eastAsia="Palatino Linotype" w:hAnsi="Palatino Linotype" w:cs="Palatino Linotype"/>
          <w:b/>
          <w:color w:val="000000" w:themeColor="text1"/>
        </w:rPr>
        <w:t>SAIMEX</w:t>
      </w:r>
    </w:p>
    <w:p w:rsidR="00BD0A01" w:rsidRPr="00316CA0" w:rsidRDefault="00BD0A01" w:rsidP="004F19E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 fecha catorce de mayo de dos mil veinticinco el </w:t>
      </w:r>
      <w:r w:rsidRPr="00316CA0">
        <w:rPr>
          <w:rFonts w:ascii="Palatino Linotype" w:eastAsia="Palatino Linotype" w:hAnsi="Palatino Linotype" w:cs="Palatino Linotype"/>
          <w:b/>
          <w:color w:val="000000" w:themeColor="text1"/>
        </w:rPr>
        <w:t>SUJETO OBLIGADO,</w:t>
      </w:r>
      <w:r w:rsidRPr="00316CA0">
        <w:rPr>
          <w:rFonts w:ascii="Palatino Linotype" w:eastAsia="Palatino Linotype" w:hAnsi="Palatino Linotype" w:cs="Palatino Linotype"/>
          <w:color w:val="000000" w:themeColor="text1"/>
        </w:rPr>
        <w:t xml:space="preserve"> dio respuesta a la solicitud, a través de los siguientes archivos:</w:t>
      </w:r>
    </w:p>
    <w:p w:rsidR="00BD0A01" w:rsidRPr="00316CA0" w:rsidRDefault="00A9456A" w:rsidP="005015B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color w:val="000000" w:themeColor="text1"/>
        </w:rPr>
        <w:t xml:space="preserve">RESPUESTA A SOLICITANTE DE INFORMACIÓN.pdf, </w:t>
      </w:r>
      <w:r w:rsidRPr="00316CA0">
        <w:rPr>
          <w:rFonts w:ascii="Palatino Linotype" w:eastAsia="Palatino Linotype" w:hAnsi="Palatino Linotype" w:cs="Palatino Linotype"/>
          <w:color w:val="000000" w:themeColor="text1"/>
        </w:rPr>
        <w:t>que contiene un oficio suscrito por el Titular de la Unidad de Transparencia, mediante el cual informa de la respuesta emitida por el servidor público habilitado.</w:t>
      </w:r>
    </w:p>
    <w:p w:rsidR="00BD0A01" w:rsidRPr="00316CA0" w:rsidRDefault="00BD0A01" w:rsidP="005015B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BD0A01" w:rsidRPr="00316CA0" w:rsidRDefault="00A9456A" w:rsidP="005015BD">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b/>
          <w:color w:val="000000" w:themeColor="text1"/>
        </w:rPr>
        <w:t xml:space="preserve">RESPUESTA ADMNISTRACIÓN Y FINANZAS.pdf, </w:t>
      </w:r>
      <w:r w:rsidRPr="00316CA0">
        <w:rPr>
          <w:rFonts w:ascii="Palatino Linotype" w:eastAsia="Palatino Linotype" w:hAnsi="Palatino Linotype" w:cs="Palatino Linotype"/>
          <w:color w:val="000000" w:themeColor="text1"/>
        </w:rPr>
        <w:t xml:space="preserve">que contiene la contestación del Titular de la Coordinación de Finanzas de "OPERAGUA IZCALLI, O.P.D.M.", quien señala que lo solicitado puede ser consultado en el portal de IPOMEX, </w:t>
      </w:r>
      <w:r w:rsidR="00A555E3" w:rsidRPr="00316CA0">
        <w:rPr>
          <w:rFonts w:ascii="Palatino Linotype" w:eastAsia="Palatino Linotype" w:hAnsi="Palatino Linotype" w:cs="Palatino Linotype"/>
          <w:color w:val="000000" w:themeColor="text1"/>
        </w:rPr>
        <w:t>artículo</w:t>
      </w:r>
      <w:r w:rsidRPr="00316CA0">
        <w:rPr>
          <w:rFonts w:ascii="Palatino Linotype" w:eastAsia="Palatino Linotype" w:hAnsi="Palatino Linotype" w:cs="Palatino Linotype"/>
          <w:color w:val="000000" w:themeColor="text1"/>
        </w:rPr>
        <w:t xml:space="preserve"> 92 fracción VIIIA "Remuneraciones", adjuntando para tal efecto el enlace y los pasos a seguir.</w:t>
      </w:r>
    </w:p>
    <w:p w:rsidR="00BD0A01" w:rsidRPr="00316CA0" w:rsidRDefault="00BD0A01" w:rsidP="004F19E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Inconforme con la respuesta el </w:t>
      </w:r>
      <w:r w:rsidRPr="00316CA0">
        <w:rPr>
          <w:rFonts w:ascii="Palatino Linotype" w:eastAsia="Palatino Linotype" w:hAnsi="Palatino Linotype" w:cs="Palatino Linotype"/>
          <w:b/>
          <w:color w:val="000000" w:themeColor="text1"/>
        </w:rPr>
        <w:t>veintiocho de mayo del año en curso</w:t>
      </w:r>
      <w:r w:rsidRPr="00316CA0">
        <w:rPr>
          <w:rFonts w:ascii="Palatino Linotype" w:eastAsia="Palatino Linotype" w:hAnsi="Palatino Linotype" w:cs="Palatino Linotype"/>
          <w:color w:val="000000" w:themeColor="text1"/>
        </w:rPr>
        <w:t>, interpuso el recurso de revisión en contra de la respuesta, manifestando las siguientes razones o motivos de inconformidad:</w:t>
      </w:r>
    </w:p>
    <w:p w:rsidR="00BD0A01" w:rsidRPr="00316CA0" w:rsidRDefault="00BD0A01" w:rsidP="004F19E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BD0A01" w:rsidRPr="00316CA0" w:rsidRDefault="00A9456A" w:rsidP="005015B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bookmarkStart w:id="2" w:name="_heading=h.30j0zll" w:colFirst="0" w:colLast="0"/>
      <w:bookmarkEnd w:id="2"/>
      <w:r w:rsidRPr="00316CA0">
        <w:rPr>
          <w:rFonts w:ascii="Palatino Linotype" w:eastAsia="Palatino Linotype" w:hAnsi="Palatino Linotype" w:cs="Palatino Linotype"/>
          <w:b/>
          <w:color w:val="000000" w:themeColor="text1"/>
        </w:rPr>
        <w:t xml:space="preserve">Acto impugnado: </w:t>
      </w:r>
      <w:r w:rsidRPr="00316CA0">
        <w:rPr>
          <w:rFonts w:ascii="Palatino Linotype" w:eastAsia="Palatino Linotype" w:hAnsi="Palatino Linotype" w:cs="Palatino Linotype"/>
          <w:i/>
          <w:color w:val="000000" w:themeColor="text1"/>
        </w:rPr>
        <w:t>“no dieron cumplimiento”</w:t>
      </w:r>
    </w:p>
    <w:p w:rsidR="00BD0A01" w:rsidRPr="00316CA0" w:rsidRDefault="00BD0A01" w:rsidP="005015BD">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BD0A01" w:rsidRPr="00316CA0" w:rsidRDefault="00A9456A" w:rsidP="005015BD">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color w:val="000000" w:themeColor="text1"/>
        </w:rPr>
        <w:t>Razones o Motivos de Inconformidad:</w:t>
      </w:r>
      <w:r w:rsidRPr="00316CA0">
        <w:rPr>
          <w:rFonts w:ascii="Palatino Linotype" w:eastAsia="Palatino Linotype" w:hAnsi="Palatino Linotype" w:cs="Palatino Linotype"/>
          <w:i/>
          <w:color w:val="000000" w:themeColor="text1"/>
        </w:rPr>
        <w:t xml:space="preserve"> “remiten a ipomex en remuneraciones y lo que se pidió fue el estado de cuenta de la dispersion. se solicita el cumplimiento”</w:t>
      </w:r>
    </w:p>
    <w:p w:rsidR="00BD0A01" w:rsidRPr="00316CA0" w:rsidRDefault="00BD0A01" w:rsidP="004F19EF">
      <w:pPr>
        <w:spacing w:line="360" w:lineRule="auto"/>
        <w:jc w:val="both"/>
        <w:rPr>
          <w:rFonts w:ascii="Palatino Linotype" w:eastAsia="Palatino Linotype" w:hAnsi="Palatino Linotype" w:cs="Palatino Linotype"/>
          <w:b/>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La Comisionada Ponente con fundamento en lo dispuesto por el artículo 185 fracción II de la ley de la materia, a través del acuerdo de admisión de fecha veintinueve de mayo</w:t>
      </w:r>
      <w:r w:rsidRPr="00316CA0">
        <w:rPr>
          <w:rFonts w:ascii="Palatino Linotype" w:eastAsia="Palatino Linotype" w:hAnsi="Palatino Linotype" w:cs="Palatino Linotype"/>
          <w:b/>
          <w:color w:val="000000" w:themeColor="text1"/>
        </w:rPr>
        <w:t xml:space="preserve"> </w:t>
      </w:r>
      <w:r w:rsidRPr="00316CA0">
        <w:rPr>
          <w:rFonts w:ascii="Palatino Linotype" w:eastAsia="Palatino Linotype" w:hAnsi="Palatino Linotype" w:cs="Palatino Linotype"/>
          <w:color w:val="000000" w:themeColor="text1"/>
        </w:rPr>
        <w:t xml:space="preserve">de dos mil veinticinco, puso a disposición de las partes el expediente electrónico vía </w:t>
      </w:r>
      <w:r w:rsidRPr="00316CA0">
        <w:rPr>
          <w:rFonts w:ascii="Palatino Linotype" w:eastAsia="Palatino Linotype" w:hAnsi="Palatino Linotype" w:cs="Palatino Linotype"/>
          <w:b/>
          <w:color w:val="000000" w:themeColor="text1"/>
        </w:rPr>
        <w:t xml:space="preserve">SAIMEX </w:t>
      </w:r>
      <w:r w:rsidRPr="00316CA0">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316CA0">
        <w:rPr>
          <w:rFonts w:ascii="Palatino Linotype" w:eastAsia="Palatino Linotype" w:hAnsi="Palatino Linotype" w:cs="Palatino Linotype"/>
          <w:b/>
          <w:color w:val="000000" w:themeColor="text1"/>
        </w:rPr>
        <w:t>SUJETO OBLIGADO</w:t>
      </w:r>
      <w:r w:rsidRPr="00316CA0">
        <w:rPr>
          <w:rFonts w:ascii="Palatino Linotype" w:eastAsia="Palatino Linotype" w:hAnsi="Palatino Linotype" w:cs="Palatino Linotype"/>
          <w:color w:val="000000" w:themeColor="text1"/>
        </w:rPr>
        <w:t xml:space="preserve"> presentará el Informe Justificado procedente.</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De lo anterior, el </w:t>
      </w:r>
      <w:r w:rsidRPr="00316CA0">
        <w:rPr>
          <w:rFonts w:ascii="Palatino Linotype" w:eastAsia="Palatino Linotype" w:hAnsi="Palatino Linotype" w:cs="Palatino Linotype"/>
          <w:b/>
          <w:color w:val="000000" w:themeColor="text1"/>
        </w:rPr>
        <w:t xml:space="preserve">SUJETO OBLIGADO </w:t>
      </w:r>
      <w:r w:rsidRPr="00316CA0">
        <w:rPr>
          <w:rFonts w:ascii="Palatino Linotype" w:eastAsia="Palatino Linotype" w:hAnsi="Palatino Linotype" w:cs="Palatino Linotype"/>
          <w:color w:val="000000" w:themeColor="text1"/>
        </w:rPr>
        <w:t>en fecha</w:t>
      </w:r>
      <w:r w:rsidRPr="00316CA0">
        <w:rPr>
          <w:rFonts w:ascii="Palatino Linotype" w:eastAsia="Palatino Linotype" w:hAnsi="Palatino Linotype" w:cs="Palatino Linotype"/>
          <w:b/>
          <w:color w:val="000000" w:themeColor="text1"/>
        </w:rPr>
        <w:t xml:space="preserve"> </w:t>
      </w:r>
      <w:r w:rsidRPr="00316CA0">
        <w:rPr>
          <w:rFonts w:ascii="Palatino Linotype" w:eastAsia="Palatino Linotype" w:hAnsi="Palatino Linotype" w:cs="Palatino Linotype"/>
          <w:color w:val="000000" w:themeColor="text1"/>
        </w:rPr>
        <w:t>once de junio de dos mil veinticinco, rindió informe justificado a través del cual el servidor público habilitado de la Coordinación de Finanzas de "OPERAGUA IZCALLI, O.P.D.M., ratifica en todas y cada una de sus partes la respuesta inicial. Por su parte el solicitante fue omiso en realizar manifestaciones que a su derecho conviniera y asistiera.</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5015BD"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3" w:name="_heading=h.1fob9te" w:colFirst="0" w:colLast="0"/>
      <w:bookmarkEnd w:id="3"/>
      <w:r w:rsidRPr="00316CA0">
        <w:rPr>
          <w:rFonts w:ascii="Palatino Linotype" w:eastAsia="Palatino Linotype" w:hAnsi="Palatino Linotype" w:cs="Palatino Linotype"/>
          <w:color w:val="000000" w:themeColor="text1"/>
        </w:rPr>
        <w:t xml:space="preserve">Seguidamente, el día </w:t>
      </w:r>
      <w:r w:rsidRPr="00316CA0">
        <w:rPr>
          <w:rFonts w:ascii="Palatino Linotype" w:eastAsia="Palatino Linotype" w:hAnsi="Palatino Linotype" w:cs="Palatino Linotype"/>
          <w:b/>
          <w:color w:val="000000" w:themeColor="text1"/>
        </w:rPr>
        <w:t>dos de septiembre del año en curso</w:t>
      </w:r>
      <w:r w:rsidRPr="00316CA0">
        <w:rPr>
          <w:rFonts w:ascii="Palatino Linotype" w:eastAsia="Palatino Linotype" w:hAnsi="Palatino Linotype" w:cs="Palatino Linotype"/>
          <w:color w:val="000000" w:themeColor="text1"/>
        </w:rPr>
        <w:t xml:space="preserve"> se amplió el termino para resolver, finalmente al no existir pendiente o diligencia por desahogar mediante acuerdo de misma fecha se decretó el cierre de instrucción, por lo que no habiendo más que hacer constar, y-------------------------------------------------------------------------------</w:t>
      </w:r>
      <w:r w:rsidR="005015BD">
        <w:rPr>
          <w:rFonts w:ascii="Palatino Linotype" w:eastAsia="Palatino Linotype" w:hAnsi="Palatino Linotype" w:cs="Palatino Linotype"/>
          <w:color w:val="000000" w:themeColor="text1"/>
        </w:rPr>
        <w:t>-------------------------------------------</w:t>
      </w:r>
    </w:p>
    <w:p w:rsidR="005015BD" w:rsidRDefault="005015BD" w:rsidP="005015BD">
      <w:pPr>
        <w:pStyle w:val="Prrafodelista"/>
        <w:rPr>
          <w:rFonts w:ascii="Palatino Linotype" w:eastAsia="Palatino Linotype" w:hAnsi="Palatino Linotype" w:cs="Palatino Linotype"/>
          <w:b/>
          <w:color w:val="000000" w:themeColor="text1"/>
        </w:rPr>
      </w:pPr>
    </w:p>
    <w:p w:rsidR="005015BD" w:rsidRDefault="005015BD" w:rsidP="005015B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5015BD" w:rsidRDefault="005015BD" w:rsidP="005015B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5015BD" w:rsidRPr="00316CA0" w:rsidRDefault="005015BD" w:rsidP="005015B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BD0A01" w:rsidRPr="00316CA0" w:rsidRDefault="00A9456A" w:rsidP="004F19EF">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b/>
          <w:color w:val="000000" w:themeColor="text1"/>
        </w:rPr>
        <w:lastRenderedPageBreak/>
        <w:t>C O N S I D E R A N D O</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BD0A01" w:rsidRPr="00316CA0" w:rsidRDefault="00A9456A" w:rsidP="004F19EF">
      <w:pPr>
        <w:pStyle w:val="Ttulo2"/>
        <w:spacing w:before="0" w:line="360" w:lineRule="auto"/>
        <w:jc w:val="both"/>
        <w:rPr>
          <w:rFonts w:ascii="Palatino Linotype" w:eastAsia="Palatino Linotype" w:hAnsi="Palatino Linotype" w:cs="Palatino Linotype"/>
          <w:b/>
          <w:color w:val="000000" w:themeColor="text1"/>
          <w:sz w:val="24"/>
          <w:szCs w:val="24"/>
        </w:rPr>
      </w:pPr>
      <w:bookmarkStart w:id="4" w:name="_heading=h.3znysh7" w:colFirst="0" w:colLast="0"/>
      <w:bookmarkEnd w:id="4"/>
      <w:r w:rsidRPr="00316CA0">
        <w:rPr>
          <w:rFonts w:ascii="Palatino Linotype" w:eastAsia="Palatino Linotype" w:hAnsi="Palatino Linotype" w:cs="Palatino Linotype"/>
          <w:b/>
          <w:color w:val="000000" w:themeColor="text1"/>
          <w:sz w:val="24"/>
          <w:szCs w:val="24"/>
        </w:rPr>
        <w:t>PRIMERO. De la competencia</w:t>
      </w: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pStyle w:val="Ttulo2"/>
        <w:spacing w:before="0" w:line="360" w:lineRule="auto"/>
        <w:jc w:val="both"/>
        <w:rPr>
          <w:rFonts w:ascii="Palatino Linotype" w:eastAsia="Palatino Linotype" w:hAnsi="Palatino Linotype" w:cs="Palatino Linotype"/>
          <w:b/>
          <w:color w:val="000000" w:themeColor="text1"/>
          <w:sz w:val="24"/>
          <w:szCs w:val="24"/>
        </w:rPr>
      </w:pPr>
      <w:bookmarkStart w:id="5" w:name="_heading=h.2et92p0" w:colFirst="0" w:colLast="0"/>
      <w:bookmarkEnd w:id="5"/>
      <w:r w:rsidRPr="00316CA0">
        <w:rPr>
          <w:rFonts w:ascii="Palatino Linotype" w:eastAsia="Palatino Linotype" w:hAnsi="Palatino Linotype" w:cs="Palatino Linotype"/>
          <w:b/>
          <w:color w:val="000000" w:themeColor="text1"/>
          <w:sz w:val="24"/>
          <w:szCs w:val="24"/>
        </w:rPr>
        <w:t>SEGUNDO. De la oportunidad y procedencia.</w:t>
      </w: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Por otro lado, es de suma importancia señalar que la parte recurrente no proporciona un nombre o datos de identificación como se advierte en el detalle de seguimiento del SAIMEX, </w:t>
      </w:r>
      <w:r w:rsidRPr="00316CA0">
        <w:rPr>
          <w:rFonts w:ascii="Palatino Linotype" w:eastAsia="Palatino Linotype" w:hAnsi="Palatino Linotype" w:cs="Palatino Linotype"/>
          <w:color w:val="000000" w:themeColor="text1"/>
        </w:rPr>
        <w:lastRenderedPageBreak/>
        <w:t>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w:t>
      </w:r>
      <w:r w:rsidRPr="00316CA0">
        <w:rPr>
          <w:rFonts w:ascii="Palatino Linotype" w:eastAsia="Palatino Linotype" w:hAnsi="Palatino Linotype" w:cs="Palatino Linotype"/>
          <w:b/>
          <w:i/>
          <w:color w:val="000000" w:themeColor="text1"/>
        </w:rPr>
        <w:t>Las solicitudes anónimas</w:t>
      </w:r>
      <w:r w:rsidRPr="00316CA0">
        <w:rPr>
          <w:rFonts w:ascii="Palatino Linotype" w:eastAsia="Palatino Linotype" w:hAnsi="Palatino Linotype" w:cs="Palatino Linotype"/>
          <w:i/>
          <w:color w:val="000000" w:themeColor="text1"/>
        </w:rPr>
        <w:t xml:space="preserve">, con nombre incompleto o seudónimo </w:t>
      </w:r>
      <w:r w:rsidRPr="00316CA0">
        <w:rPr>
          <w:rFonts w:ascii="Palatino Linotype" w:eastAsia="Palatino Linotype" w:hAnsi="Palatino Linotype" w:cs="Palatino Linotype"/>
          <w:b/>
          <w:i/>
          <w:color w:val="000000" w:themeColor="text1"/>
        </w:rPr>
        <w:t>serán procedentes para su trámite por parte del sujeto obligado ante quien se presente</w:t>
      </w:r>
      <w:r w:rsidRPr="00316CA0">
        <w:rPr>
          <w:rFonts w:ascii="Palatino Linotype" w:eastAsia="Palatino Linotype" w:hAnsi="Palatino Linotype" w:cs="Palatino Linotype"/>
          <w:i/>
          <w:color w:val="000000" w:themeColor="text1"/>
        </w:rPr>
        <w:t>. No podrá requerirse información adicional con motivo del nombre proporcionado por el solicitante."</w:t>
      </w:r>
    </w:p>
    <w:p w:rsidR="00BD0A01" w:rsidRPr="00316CA0" w:rsidRDefault="00BD0A01" w:rsidP="004F19EF">
      <w:pPr>
        <w:spacing w:line="360" w:lineRule="auto"/>
        <w:jc w:val="both"/>
        <w:rPr>
          <w:rFonts w:ascii="Palatino Linotype" w:eastAsia="Palatino Linotype" w:hAnsi="Palatino Linotype" w:cs="Palatino Linotype"/>
          <w:i/>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Finalmente, el escrito contiene las formalidades previstas por el artículo 180 último párrafo de la citada Ley de la materia, por lo que es procedente que este Instituto conozca y resuelva el presente recurso.</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pStyle w:val="Ttulo1"/>
        <w:spacing w:before="0" w:line="360" w:lineRule="auto"/>
        <w:jc w:val="both"/>
        <w:rPr>
          <w:rFonts w:ascii="Palatino Linotype" w:eastAsia="Palatino Linotype" w:hAnsi="Palatino Linotype" w:cs="Palatino Linotype"/>
          <w:b/>
          <w:color w:val="000000" w:themeColor="text1"/>
          <w:sz w:val="24"/>
          <w:szCs w:val="24"/>
        </w:rPr>
      </w:pPr>
      <w:bookmarkStart w:id="6" w:name="_heading=h.tyjcwt" w:colFirst="0" w:colLast="0"/>
      <w:bookmarkEnd w:id="6"/>
      <w:r w:rsidRPr="00316CA0">
        <w:rPr>
          <w:rFonts w:ascii="Palatino Linotype" w:eastAsia="Palatino Linotype" w:hAnsi="Palatino Linotype" w:cs="Palatino Linotype"/>
          <w:b/>
          <w:color w:val="000000" w:themeColor="text1"/>
          <w:sz w:val="24"/>
          <w:szCs w:val="24"/>
        </w:rPr>
        <w:t xml:space="preserve">TERCERO. Del planteamiento de la </w:t>
      </w:r>
      <w:r w:rsidRPr="00316CA0">
        <w:rPr>
          <w:rFonts w:ascii="Palatino Linotype" w:eastAsia="Palatino Linotype" w:hAnsi="Palatino Linotype" w:cs="Palatino Linotype"/>
          <w:b/>
          <w:i/>
          <w:color w:val="000000" w:themeColor="text1"/>
          <w:sz w:val="24"/>
          <w:szCs w:val="24"/>
        </w:rPr>
        <w:t>Litis</w:t>
      </w:r>
      <w:r w:rsidRPr="00316CA0">
        <w:rPr>
          <w:rFonts w:ascii="Palatino Linotype" w:eastAsia="Palatino Linotype" w:hAnsi="Palatino Linotype" w:cs="Palatino Linotype"/>
          <w:b/>
          <w:color w:val="000000" w:themeColor="text1"/>
          <w:sz w:val="24"/>
          <w:szCs w:val="24"/>
        </w:rPr>
        <w:t>.</w:t>
      </w: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Se solicitó tener acceso, a la información que a continuación se desagrega:</w:t>
      </w:r>
    </w:p>
    <w:p w:rsidR="00BD0A01" w:rsidRPr="00316CA0" w:rsidRDefault="00A9456A" w:rsidP="005015BD">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b/>
          <w:color w:val="000000" w:themeColor="text1"/>
        </w:rPr>
        <w:t xml:space="preserve">El documento que refleje la </w:t>
      </w:r>
      <w:r w:rsidR="00A555E3" w:rsidRPr="00316CA0">
        <w:rPr>
          <w:rFonts w:ascii="Palatino Linotype" w:eastAsia="Palatino Linotype" w:hAnsi="Palatino Linotype" w:cs="Palatino Linotype"/>
          <w:b/>
          <w:color w:val="000000" w:themeColor="text1"/>
        </w:rPr>
        <w:t>dispersión</w:t>
      </w:r>
      <w:r w:rsidRPr="00316CA0">
        <w:rPr>
          <w:rFonts w:ascii="Palatino Linotype" w:eastAsia="Palatino Linotype" w:hAnsi="Palatino Linotype" w:cs="Palatino Linotype"/>
          <w:b/>
          <w:color w:val="000000" w:themeColor="text1"/>
        </w:rPr>
        <w:t xml:space="preserve"> de </w:t>
      </w:r>
      <w:r w:rsidR="00A555E3" w:rsidRPr="00316CA0">
        <w:rPr>
          <w:rFonts w:ascii="Palatino Linotype" w:eastAsia="Palatino Linotype" w:hAnsi="Palatino Linotype" w:cs="Palatino Linotype"/>
          <w:b/>
          <w:color w:val="000000" w:themeColor="text1"/>
        </w:rPr>
        <w:t>nómina</w:t>
      </w:r>
      <w:r w:rsidRPr="00316CA0">
        <w:rPr>
          <w:rFonts w:ascii="Palatino Linotype" w:eastAsia="Palatino Linotype" w:hAnsi="Palatino Linotype" w:cs="Palatino Linotype"/>
          <w:b/>
          <w:color w:val="000000" w:themeColor="text1"/>
        </w:rPr>
        <w:t xml:space="preserve"> correspondiente a la primera quincena de abril de 2025.</w:t>
      </w: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 xml:space="preserve">En respuesta, el </w:t>
      </w:r>
      <w:r w:rsidRPr="00316CA0">
        <w:rPr>
          <w:rFonts w:ascii="Palatino Linotype" w:eastAsia="Palatino Linotype" w:hAnsi="Palatino Linotype" w:cs="Palatino Linotype"/>
          <w:b/>
          <w:color w:val="000000" w:themeColor="text1"/>
        </w:rPr>
        <w:t xml:space="preserve">SUJETO OBLIGADO </w:t>
      </w:r>
      <w:r w:rsidRPr="00316CA0">
        <w:rPr>
          <w:rFonts w:ascii="Palatino Linotype" w:eastAsia="Palatino Linotype" w:hAnsi="Palatino Linotype" w:cs="Palatino Linotype"/>
          <w:color w:val="000000" w:themeColor="text1"/>
        </w:rPr>
        <w:t>remitió la información ya descrita en el párrafo 2. Inconforme con la misma, se interpuso recurso de revisión en contra de la entrega de información que no corresponde con la solicitada.</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 dichas condiciones se presume que el particular se duele de la negativa de la entrega de la información, por lo tanto la </w:t>
      </w:r>
      <w:r w:rsidRPr="00316CA0">
        <w:rPr>
          <w:rFonts w:ascii="Palatino Linotype" w:eastAsia="Palatino Linotype" w:hAnsi="Palatino Linotype" w:cs="Palatino Linotype"/>
          <w:i/>
          <w:color w:val="000000" w:themeColor="text1"/>
        </w:rPr>
        <w:t>Litis</w:t>
      </w:r>
      <w:r w:rsidRPr="00316CA0">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Pr="00316CA0">
        <w:rPr>
          <w:rFonts w:ascii="Palatino Linotype" w:eastAsia="Palatino Linotype" w:hAnsi="Palatino Linotype" w:cs="Palatino Linotype"/>
          <w:b/>
          <w:color w:val="000000" w:themeColor="text1"/>
        </w:rPr>
        <w:t xml:space="preserve">fracción VI </w:t>
      </w:r>
      <w:r w:rsidRPr="00316CA0">
        <w:rPr>
          <w:rFonts w:ascii="Palatino Linotype" w:eastAsia="Palatino Linotype" w:hAnsi="Palatino Linotype" w:cs="Palatino Linotype"/>
          <w:color w:val="000000" w:themeColor="text1"/>
        </w:rPr>
        <w:t xml:space="preserve">de la </w:t>
      </w:r>
      <w:r w:rsidRPr="00316CA0">
        <w:rPr>
          <w:rFonts w:ascii="Palatino Linotype" w:eastAsia="Palatino Linotype" w:hAnsi="Palatino Linotype" w:cs="Palatino Linotype"/>
          <w:b/>
          <w:color w:val="000000" w:themeColor="text1"/>
        </w:rPr>
        <w:t xml:space="preserve">Ley de </w:t>
      </w:r>
      <w:r w:rsidRPr="00316CA0">
        <w:rPr>
          <w:rFonts w:ascii="Palatino Linotype" w:eastAsia="Palatino Linotype" w:hAnsi="Palatino Linotype" w:cs="Palatino Linotype"/>
          <w:color w:val="000000" w:themeColor="text1"/>
        </w:rPr>
        <w:t>Transparencia</w:t>
      </w:r>
      <w:r w:rsidRPr="00316CA0">
        <w:rPr>
          <w:rFonts w:ascii="Palatino Linotype" w:eastAsia="Palatino Linotype" w:hAnsi="Palatino Linotype" w:cs="Palatino Linotype"/>
          <w:b/>
          <w:color w:val="000000" w:themeColor="text1"/>
        </w:rPr>
        <w:t xml:space="preserve"> y Acceso a la Información Pública del Estado de México y Municipios</w:t>
      </w:r>
      <w:r w:rsidRPr="00316CA0">
        <w:rPr>
          <w:rFonts w:ascii="Palatino Linotype" w:eastAsia="Palatino Linotype" w:hAnsi="Palatino Linotype" w:cs="Palatino Linotype"/>
          <w:color w:val="000000" w:themeColor="text1"/>
        </w:rPr>
        <w:t xml:space="preserve">; fracción que determina la hipótesis jurídica relativa a la entrega de información que no corresponda con lo solicitado; contexto del cual se dolió </w:t>
      </w:r>
      <w:r w:rsidRPr="00316CA0">
        <w:rPr>
          <w:rFonts w:ascii="Palatino Linotype" w:eastAsia="Palatino Linotype" w:hAnsi="Palatino Linotype" w:cs="Palatino Linotype"/>
          <w:b/>
          <w:color w:val="000000" w:themeColor="text1"/>
        </w:rPr>
        <w:t xml:space="preserve">LA RECURRENTE </w:t>
      </w:r>
      <w:r w:rsidRPr="00316CA0">
        <w:rPr>
          <w:rFonts w:ascii="Palatino Linotype" w:eastAsia="Palatino Linotype" w:hAnsi="Palatino Linotype" w:cs="Palatino Linotype"/>
          <w:color w:val="000000" w:themeColor="text1"/>
        </w:rPr>
        <w:t>al momento de interponer su inconformidad.</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De modo tal que el presente Recurso de Revisión se abocará en determinar si el </w:t>
      </w:r>
      <w:r w:rsidRPr="00316CA0">
        <w:rPr>
          <w:rFonts w:ascii="Palatino Linotype" w:eastAsia="Palatino Linotype" w:hAnsi="Palatino Linotype" w:cs="Palatino Linotype"/>
          <w:b/>
          <w:color w:val="000000" w:themeColor="text1"/>
        </w:rPr>
        <w:t>SUJETO</w:t>
      </w:r>
      <w:r w:rsidRPr="00316CA0">
        <w:rPr>
          <w:rFonts w:ascii="Palatino Linotype" w:eastAsia="Palatino Linotype" w:hAnsi="Palatino Linotype" w:cs="Palatino Linotype"/>
          <w:color w:val="000000" w:themeColor="text1"/>
        </w:rPr>
        <w:t xml:space="preserve"> </w:t>
      </w:r>
      <w:r w:rsidRPr="00316CA0">
        <w:rPr>
          <w:rFonts w:ascii="Palatino Linotype" w:eastAsia="Palatino Linotype" w:hAnsi="Palatino Linotype" w:cs="Palatino Linotype"/>
          <w:b/>
          <w:color w:val="000000" w:themeColor="text1"/>
        </w:rPr>
        <w:t>OBLIGADO</w:t>
      </w:r>
      <w:r w:rsidRPr="00316CA0">
        <w:rPr>
          <w:rFonts w:ascii="Palatino Linotype" w:eastAsia="Palatino Linotype" w:hAnsi="Palatino Linotype" w:cs="Palatino Linotype"/>
          <w:color w:val="000000" w:themeColor="text1"/>
        </w:rPr>
        <w:t xml:space="preserve"> con su respuesta ciertamente actualiza la causal de procedencia</w:t>
      </w:r>
      <w:r w:rsidRPr="00316CA0">
        <w:rPr>
          <w:rFonts w:ascii="Palatino Linotype" w:eastAsia="Palatino Linotype" w:hAnsi="Palatino Linotype" w:cs="Palatino Linotype"/>
          <w:b/>
          <w:color w:val="000000" w:themeColor="text1"/>
        </w:rPr>
        <w:t xml:space="preserve"> </w:t>
      </w:r>
      <w:r w:rsidRPr="00316CA0">
        <w:rPr>
          <w:rFonts w:ascii="Palatino Linotype" w:eastAsia="Palatino Linotype" w:hAnsi="Palatino Linotype" w:cs="Palatino Linotype"/>
          <w:color w:val="000000" w:themeColor="text1"/>
        </w:rPr>
        <w:t xml:space="preserve">antes señalada. </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pStyle w:val="Ttulo2"/>
        <w:spacing w:before="0" w:line="360" w:lineRule="auto"/>
        <w:jc w:val="both"/>
        <w:rPr>
          <w:rFonts w:ascii="Palatino Linotype" w:eastAsia="Palatino Linotype" w:hAnsi="Palatino Linotype" w:cs="Palatino Linotype"/>
          <w:b/>
          <w:color w:val="000000" w:themeColor="text1"/>
          <w:sz w:val="24"/>
          <w:szCs w:val="24"/>
        </w:rPr>
      </w:pPr>
      <w:bookmarkStart w:id="7" w:name="_heading=h.3dy6vkm" w:colFirst="0" w:colLast="0"/>
      <w:bookmarkEnd w:id="7"/>
      <w:r w:rsidRPr="00316CA0">
        <w:rPr>
          <w:rFonts w:ascii="Palatino Linotype" w:eastAsia="Palatino Linotype" w:hAnsi="Palatino Linotype" w:cs="Palatino Linotype"/>
          <w:b/>
          <w:color w:val="000000" w:themeColor="text1"/>
          <w:sz w:val="24"/>
          <w:szCs w:val="24"/>
        </w:rPr>
        <w:t>CUARTO. Del estudio y resolución del asunto.</w:t>
      </w: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w:t>
      </w:r>
      <w:r w:rsidRPr="00316CA0">
        <w:rPr>
          <w:rFonts w:ascii="Palatino Linotype" w:eastAsia="Palatino Linotype" w:hAnsi="Palatino Linotype" w:cs="Palatino Linotype"/>
          <w:color w:val="000000" w:themeColor="text1"/>
        </w:rPr>
        <w:lastRenderedPageBreak/>
        <w:t>documentar todo acto que derive del ejercicio de sus facultades, competencias o funciones desde su origen la eventual publicidad y reutilización de la información que generen.</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450D22" w:rsidRDefault="00450D22" w:rsidP="00450D22">
      <w:pPr>
        <w:pStyle w:val="Prrafodelista"/>
        <w:rPr>
          <w:rFonts w:ascii="Palatino Linotype" w:eastAsia="Palatino Linotype" w:hAnsi="Palatino Linotype" w:cs="Palatino Linotype"/>
          <w:color w:val="000000" w:themeColor="text1"/>
        </w:rPr>
      </w:pPr>
    </w:p>
    <w:p w:rsidR="00450D22" w:rsidRPr="00316CA0" w:rsidRDefault="00450D22" w:rsidP="00450D22">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 xml:space="preserve">Una vez sentado lo anterior, resulta oportuno recordar la respuesta que verso en la entrega de un enlace de Internet; contexto que si bien puede colmar una solicitud de información, </w:t>
      </w:r>
      <w:r w:rsidR="00A555E3" w:rsidRPr="00316CA0">
        <w:rPr>
          <w:rFonts w:ascii="Palatino Linotype" w:eastAsia="Palatino Linotype" w:hAnsi="Palatino Linotype" w:cs="Palatino Linotype"/>
          <w:color w:val="000000" w:themeColor="text1"/>
        </w:rPr>
        <w:t>también</w:t>
      </w:r>
      <w:r w:rsidRPr="00316CA0">
        <w:rPr>
          <w:rFonts w:ascii="Palatino Linotype" w:eastAsia="Palatino Linotype" w:hAnsi="Palatino Linotype" w:cs="Palatino Linotype"/>
          <w:color w:val="000000" w:themeColor="text1"/>
        </w:rPr>
        <w:t xml:space="preserve"> lo es que se omite el análisis al contenido del análisis por corresponder notoriamente a información que no corresponde con la solicitada.</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Lo anterior, en razón que como </w:t>
      </w:r>
      <w:r w:rsidR="004F19EF" w:rsidRPr="00316CA0">
        <w:rPr>
          <w:rFonts w:ascii="Palatino Linotype" w:eastAsia="Palatino Linotype" w:hAnsi="Palatino Linotype" w:cs="Palatino Linotype"/>
          <w:color w:val="000000" w:themeColor="text1"/>
        </w:rPr>
        <w:t>tuvo</w:t>
      </w:r>
      <w:r w:rsidRPr="00316CA0">
        <w:rPr>
          <w:rFonts w:ascii="Palatino Linotype" w:eastAsia="Palatino Linotype" w:hAnsi="Palatino Linotype" w:cs="Palatino Linotype"/>
          <w:color w:val="000000" w:themeColor="text1"/>
        </w:rPr>
        <w:t xml:space="preserve"> a bien manifestar el </w:t>
      </w:r>
      <w:r w:rsidRPr="00316CA0">
        <w:rPr>
          <w:rFonts w:ascii="Palatino Linotype" w:eastAsia="Palatino Linotype" w:hAnsi="Palatino Linotype" w:cs="Palatino Linotype"/>
          <w:b/>
          <w:color w:val="000000" w:themeColor="text1"/>
        </w:rPr>
        <w:t>SUJETO OBLIGADO</w:t>
      </w:r>
      <w:r w:rsidRPr="00316CA0">
        <w:rPr>
          <w:rFonts w:ascii="Palatino Linotype" w:eastAsia="Palatino Linotype" w:hAnsi="Palatino Linotype" w:cs="Palatino Linotype"/>
          <w:color w:val="000000" w:themeColor="text1"/>
        </w:rPr>
        <w:t xml:space="preserve"> corresponde a las remuneraciones brutas y netas de todos los servidores públicos de base o de confianza, de todas las percepciones, incluyendo sueldos, prestaciones, gratificaciones, primas, comisiones, dietas, bonos, estímulos, ingresos y sistemas de compensación, señalando la periodicidad de dicha remuneración; es decir a información pública de oficio, que corresponde aquella información que los sujetos obligados están compelidos a publicar y actualizar de manera proactiva, constante y visible en sus portales web y en el portal de Información </w:t>
      </w:r>
      <w:r w:rsidR="004F19EF" w:rsidRPr="00316CA0">
        <w:rPr>
          <w:rFonts w:ascii="Palatino Linotype" w:eastAsia="Palatino Linotype" w:hAnsi="Palatino Linotype" w:cs="Palatino Linotype"/>
          <w:color w:val="000000" w:themeColor="text1"/>
        </w:rPr>
        <w:t>Pública</w:t>
      </w:r>
      <w:r w:rsidRPr="00316CA0">
        <w:rPr>
          <w:rFonts w:ascii="Palatino Linotype" w:eastAsia="Palatino Linotype" w:hAnsi="Palatino Linotype" w:cs="Palatino Linotype"/>
          <w:color w:val="000000" w:themeColor="text1"/>
        </w:rPr>
        <w:t xml:space="preserve"> de Oficio Mexiquense (IPOMEX), sin la necesidad que los ciudadanos tengan que solicitarla.</w:t>
      </w:r>
    </w:p>
    <w:p w:rsidR="00BD0A01" w:rsidRPr="00316CA0" w:rsidRDefault="00BD0A01" w:rsidP="004F19EF">
      <w:pPr>
        <w:widowControl w:val="0"/>
        <w:spacing w:line="360" w:lineRule="auto"/>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Luego entonces, es que se determina con claridad que el enlace remitido no contiene la dispersión de nómina, que corresponde al proceso financiero y administrativo mediante el cual los entes </w:t>
      </w:r>
      <w:r w:rsidR="004F19EF" w:rsidRPr="00316CA0">
        <w:rPr>
          <w:rFonts w:ascii="Palatino Linotype" w:eastAsia="Palatino Linotype" w:hAnsi="Palatino Linotype" w:cs="Palatino Linotype"/>
          <w:color w:val="000000" w:themeColor="text1"/>
        </w:rPr>
        <w:t>públicos</w:t>
      </w:r>
      <w:r w:rsidRPr="00316CA0">
        <w:rPr>
          <w:rFonts w:ascii="Palatino Linotype" w:eastAsia="Palatino Linotype" w:hAnsi="Palatino Linotype" w:cs="Palatino Linotype"/>
          <w:color w:val="000000" w:themeColor="text1"/>
        </w:rPr>
        <w:t xml:space="preserve"> transfieren de manera automatizada los salarios y otras prestaciones desde su cuenta bancaria hacia las cuentas individuales de los servidores públicos.</w:t>
      </w:r>
    </w:p>
    <w:p w:rsidR="00BD0A01" w:rsidRPr="00316CA0" w:rsidRDefault="00BD0A01" w:rsidP="004F19EF">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Por lo tanto, al no existir un pronunciamiento puntual al respecto, se contraviene a los principios de congruencia y exhaustividad, como refuerzo de lo anterior, resulta crucial el </w:t>
      </w:r>
      <w:r w:rsidRPr="00316CA0">
        <w:rPr>
          <w:rFonts w:ascii="Palatino Linotype" w:eastAsia="Palatino Linotype" w:hAnsi="Palatino Linotype" w:cs="Palatino Linotype"/>
          <w:color w:val="000000" w:themeColor="text1"/>
        </w:rPr>
        <w:lastRenderedPageBreak/>
        <w:t>Criterio 02/17, emitido por el Pleno del</w:t>
      </w:r>
      <w:r w:rsidRPr="00316CA0">
        <w:rPr>
          <w:rFonts w:ascii="Palatino Linotype" w:eastAsia="Palatino Linotype" w:hAnsi="Palatino Linotype" w:cs="Palatino Linotype"/>
          <w:color w:val="000000" w:themeColor="text1"/>
          <w:u w:val="single"/>
        </w:rPr>
        <w:t xml:space="preserve"> </w:t>
      </w:r>
      <w:r w:rsidRPr="00316CA0">
        <w:rPr>
          <w:rFonts w:ascii="Palatino Linotype" w:eastAsia="Palatino Linotype" w:hAnsi="Palatino Linotype" w:cs="Palatino Linotype"/>
          <w:color w:val="000000" w:themeColor="text1"/>
        </w:rPr>
        <w:t>Instituto Nacional de Transparencia y Acceso a la Información y Protección de Datos Personales, de título y texto siguientes:</w:t>
      </w:r>
    </w:p>
    <w:p w:rsidR="00BD0A01" w:rsidRPr="00316CA0" w:rsidRDefault="00A9456A" w:rsidP="004F19EF">
      <w:pPr>
        <w:spacing w:after="240"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 xml:space="preserve">“Congruencia y exhaustividad. Sus alcances para garantizar el derecho de acceso a la información. </w:t>
      </w:r>
      <w:r w:rsidRPr="00316CA0">
        <w:rPr>
          <w:rFonts w:ascii="Palatino Linotype" w:eastAsia="Palatino Linotype" w:hAnsi="Palatino Linotype" w:cs="Palatino Linotype"/>
          <w:i/>
          <w:color w:val="000000" w:themeColor="text1"/>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16CA0">
        <w:rPr>
          <w:rFonts w:ascii="Palatino Linotype" w:eastAsia="Palatino Linotype" w:hAnsi="Palatino Linotype" w:cs="Palatino Linotype"/>
          <w:b/>
          <w:i/>
          <w:color w:val="000000" w:themeColor="text1"/>
        </w:rPr>
        <w:t>la congruencia implica que exista concordancia entre el requerimiento formulado por el particular y la respuesta proporcionada por el sujeto obligado</w:t>
      </w:r>
      <w:r w:rsidRPr="00316CA0">
        <w:rPr>
          <w:rFonts w:ascii="Palatino Linotype" w:eastAsia="Palatino Linotype" w:hAnsi="Palatino Linotype" w:cs="Palatino Linotype"/>
          <w:i/>
          <w:color w:val="000000" w:themeColor="text1"/>
        </w:rPr>
        <w:t xml:space="preserve">; mientras que </w:t>
      </w:r>
      <w:r w:rsidRPr="00316CA0">
        <w:rPr>
          <w:rFonts w:ascii="Palatino Linotype" w:eastAsia="Palatino Linotype" w:hAnsi="Palatino Linotype" w:cs="Palatino Linotype"/>
          <w:b/>
          <w:i/>
          <w:color w:val="000000" w:themeColor="text1"/>
        </w:rPr>
        <w:t>la exhaustividad significa que dicha respuesta se refiera expresamente a cada uno de los puntos solicitados</w:t>
      </w:r>
      <w:r w:rsidRPr="00316CA0">
        <w:rPr>
          <w:rFonts w:ascii="Palatino Linotype" w:eastAsia="Palatino Linotype" w:hAnsi="Palatino Linotype" w:cs="Palatino Linotype"/>
          <w:i/>
          <w:color w:val="000000" w:themeColor="text1"/>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 </w:t>
      </w:r>
    </w:p>
    <w:p w:rsidR="00BD0A01" w:rsidRPr="00316CA0" w:rsidRDefault="00A9456A" w:rsidP="004F19EF">
      <w:pPr>
        <w:spacing w:after="240"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(Énfasis añadido)</w:t>
      </w: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Dicho lo anterior, en lo que concierne a los comprobantes bancarios de la dispersión de la nómina, el artículo 32, párrafo segundo, de la Ley de Fiscalización Superior del Estado de México, establece que los Presidentes Municipales, presentarán a la Legislatura los informes mensuales, dentro de los veinte días posteriores al término del mes correspondiente.</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 ese orden de ideas, el diverso 8°, fracciones XI y XIV, de dicho ordenamiento jurídico, establece que el Órgano Superior de Fiscalización del Estado de México, será el encargado de </w:t>
      </w:r>
      <w:r w:rsidRPr="00316CA0">
        <w:rPr>
          <w:rFonts w:ascii="Palatino Linotype" w:eastAsia="Palatino Linotype" w:hAnsi="Palatino Linotype" w:cs="Palatino Linotype"/>
          <w:color w:val="000000" w:themeColor="text1"/>
        </w:rPr>
        <w:lastRenderedPageBreak/>
        <w:t>establecer los lineamientos necesarios para la elaboración de los informes mensuales; además que verificará que dichos informes hayan sido presentados conforme a la normatividad aplicable.</w:t>
      </w:r>
    </w:p>
    <w:p w:rsidR="00450D22" w:rsidRPr="00316CA0" w:rsidRDefault="00450D22" w:rsidP="00450D22">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color w:val="000000" w:themeColor="text1"/>
        </w:rPr>
        <w:t>Además,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 ese sentido, los Lineamientos para la Integración del Informe Trimestral de los Sujetos de Fiscalización Municipales, para los ejercicios fiscales dos mil veintidós y veintidós, se advierte que el </w:t>
      </w:r>
      <w:r w:rsidRPr="00316CA0">
        <w:rPr>
          <w:rFonts w:ascii="Palatino Linotype" w:eastAsia="Palatino Linotype" w:hAnsi="Palatino Linotype" w:cs="Palatino Linotype"/>
          <w:b/>
          <w:color w:val="000000" w:themeColor="text1"/>
        </w:rPr>
        <w:t>Módulo 4</w:t>
      </w:r>
      <w:r w:rsidRPr="00316CA0">
        <w:rPr>
          <w:rFonts w:ascii="Palatino Linotype" w:eastAsia="Palatino Linotype" w:hAnsi="Palatino Linotype" w:cs="Palatino Linotype"/>
          <w:color w:val="000000" w:themeColor="text1"/>
        </w:rPr>
        <w:t xml:space="preserve">, se integra por diversos documentos, entre los que se encuentra </w:t>
      </w:r>
      <w:r w:rsidRPr="00316CA0">
        <w:rPr>
          <w:rFonts w:ascii="Palatino Linotype" w:eastAsia="Palatino Linotype" w:hAnsi="Palatino Linotype" w:cs="Palatino Linotype"/>
          <w:b/>
          <w:color w:val="000000" w:themeColor="text1"/>
        </w:rPr>
        <w:t>el Comprobante Bancario de la Dispersión de la Nómina</w:t>
      </w:r>
      <w:r w:rsidRPr="00316CA0">
        <w:rPr>
          <w:rFonts w:ascii="Palatino Linotype" w:eastAsia="Palatino Linotype" w:hAnsi="Palatino Linotype" w:cs="Palatino Linotype"/>
          <w:color w:val="000000" w:themeColor="text1"/>
        </w:rPr>
        <w:t>, mismo que será entregado al Órgano Superior de Fiscalización del Estado de México, tal como se muestra a continuación:</w:t>
      </w:r>
    </w:p>
    <w:p w:rsidR="00BD0A01" w:rsidRPr="00316CA0" w:rsidRDefault="00A9456A" w:rsidP="004F19EF">
      <w:pPr>
        <w:spacing w:line="360" w:lineRule="auto"/>
        <w:jc w:val="center"/>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noProof/>
          <w:color w:val="000000" w:themeColor="text1"/>
          <w:lang w:val="es-MX"/>
        </w:rPr>
        <w:drawing>
          <wp:inline distT="0" distB="0" distL="0" distR="0">
            <wp:extent cx="5255684" cy="1155749"/>
            <wp:effectExtent l="0" t="0" r="0" b="0"/>
            <wp:docPr id="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9233"/>
                    <a:stretch>
                      <a:fillRect/>
                    </a:stretch>
                  </pic:blipFill>
                  <pic:spPr>
                    <a:xfrm>
                      <a:off x="0" y="0"/>
                      <a:ext cx="5255684" cy="1155749"/>
                    </a:xfrm>
                    <a:prstGeom prst="rect">
                      <a:avLst/>
                    </a:prstGeom>
                    <a:ln/>
                  </pic:spPr>
                </pic:pic>
              </a:graphicData>
            </a:graphic>
          </wp:inline>
        </w:drawing>
      </w:r>
    </w:p>
    <w:p w:rsidR="00BD0A01" w:rsidRPr="00316CA0" w:rsidRDefault="00A9456A" w:rsidP="004F19EF">
      <w:pPr>
        <w:spacing w:after="240" w:line="360" w:lineRule="auto"/>
        <w:jc w:val="center"/>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noProof/>
          <w:color w:val="000000" w:themeColor="text1"/>
          <w:lang w:val="es-MX"/>
        </w:rPr>
        <w:lastRenderedPageBreak/>
        <w:drawing>
          <wp:inline distT="0" distB="0" distL="0" distR="0">
            <wp:extent cx="5473675" cy="2846912"/>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40691" t="50568" r="26626" b="27820"/>
                    <a:stretch>
                      <a:fillRect/>
                    </a:stretch>
                  </pic:blipFill>
                  <pic:spPr>
                    <a:xfrm>
                      <a:off x="0" y="0"/>
                      <a:ext cx="5473675" cy="2846912"/>
                    </a:xfrm>
                    <a:prstGeom prst="rect">
                      <a:avLst/>
                    </a:prstGeom>
                    <a:ln/>
                  </pic:spPr>
                </pic:pic>
              </a:graphicData>
            </a:graphic>
          </wp:inline>
        </w:drawing>
      </w: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De lo anterior se concluye que la información al comprobante bancario de la dispersión de la nómina, obra  en los archivos del </w:t>
      </w:r>
      <w:r w:rsidRPr="00316CA0">
        <w:rPr>
          <w:rFonts w:ascii="Palatino Linotype" w:eastAsia="Palatino Linotype" w:hAnsi="Palatino Linotype" w:cs="Palatino Linotype"/>
          <w:b/>
          <w:color w:val="000000" w:themeColor="text1"/>
        </w:rPr>
        <w:t>SUJETO OBLIGADO</w:t>
      </w:r>
      <w:r w:rsidRPr="00316CA0">
        <w:rPr>
          <w:rFonts w:ascii="Palatino Linotype" w:eastAsia="Palatino Linotype" w:hAnsi="Palatino Linotype" w:cs="Palatino Linotype"/>
          <w:color w:val="000000" w:themeColor="text1"/>
        </w:rPr>
        <w:t xml:space="preserve">, por lo que no es necesario emitir algún pronunciamiento o generar un documento ad hoc; por consiguiente, se trata de un derecho de acceso a la información pública. </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Es por lo anterior que se acredita que el </w:t>
      </w:r>
      <w:r w:rsidRPr="00316CA0">
        <w:rPr>
          <w:rFonts w:ascii="Palatino Linotype" w:eastAsia="Palatino Linotype" w:hAnsi="Palatino Linotype" w:cs="Palatino Linotype"/>
          <w:b/>
          <w:color w:val="000000" w:themeColor="text1"/>
        </w:rPr>
        <w:t xml:space="preserve">SUJETO OBLIGADO </w:t>
      </w:r>
      <w:r w:rsidRPr="00316CA0">
        <w:rPr>
          <w:rFonts w:ascii="Palatino Linotype" w:eastAsia="Palatino Linotype" w:hAnsi="Palatino Linotype" w:cs="Palatino Linotype"/>
          <w:color w:val="000000" w:themeColor="text1"/>
        </w:rPr>
        <w:t xml:space="preserve">al </w:t>
      </w:r>
      <w:r w:rsidR="00A555E3" w:rsidRPr="00316CA0">
        <w:rPr>
          <w:rFonts w:ascii="Palatino Linotype" w:eastAsia="Palatino Linotype" w:hAnsi="Palatino Linotype" w:cs="Palatino Linotype"/>
          <w:b/>
          <w:color w:val="000000" w:themeColor="text1"/>
        </w:rPr>
        <w:t>veintitrés</w:t>
      </w:r>
      <w:r w:rsidRPr="00316CA0">
        <w:rPr>
          <w:rFonts w:ascii="Palatino Linotype" w:eastAsia="Palatino Linotype" w:hAnsi="Palatino Linotype" w:cs="Palatino Linotype"/>
          <w:b/>
          <w:color w:val="000000" w:themeColor="text1"/>
        </w:rPr>
        <w:t xml:space="preserve"> de abril de dos mil veinticinco</w:t>
      </w:r>
      <w:r w:rsidRPr="00316CA0">
        <w:rPr>
          <w:rFonts w:ascii="Palatino Linotype" w:eastAsia="Palatino Linotype" w:hAnsi="Palatino Linotype" w:cs="Palatino Linotype"/>
          <w:color w:val="000000" w:themeColor="text1"/>
        </w:rPr>
        <w:t xml:space="preserve">, generó, posee y administra el comprobante bancario de la dispersión de nómina de la </w:t>
      </w:r>
      <w:r w:rsidRPr="00316CA0">
        <w:rPr>
          <w:rFonts w:ascii="Palatino Linotype" w:eastAsia="Palatino Linotype" w:hAnsi="Palatino Linotype" w:cs="Palatino Linotype"/>
          <w:b/>
          <w:color w:val="000000" w:themeColor="text1"/>
        </w:rPr>
        <w:t>primera quincena de abril del ejercicio fiscal en curso</w:t>
      </w:r>
      <w:r w:rsidRPr="00316CA0">
        <w:rPr>
          <w:rFonts w:ascii="Palatino Linotype" w:eastAsia="Palatino Linotype" w:hAnsi="Palatino Linotype" w:cs="Palatino Linotype"/>
          <w:color w:val="000000" w:themeColor="text1"/>
        </w:rPr>
        <w:t xml:space="preserve">, que ha de entregar con posterioridad al Órgano Superior de Fiscalización del Estado de México, para el cumplimiento de sus obligaciones como entidad fiscalizable; razones por las cuales lo procedente es ordenar su entrega y en versión pública conforme a lo señalado en el Considerando Quinto de la presente Resolución. </w:t>
      </w: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No pasa desapercibido, que la información que se ordena, es de interés general y de alcance público, puesto que la ciudadanía tiene derecho a conocer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BD0A01" w:rsidRPr="00316CA0" w:rsidRDefault="00A9456A" w:rsidP="004F19EF">
      <w:pPr>
        <w:spacing w:line="360" w:lineRule="auto"/>
        <w:jc w:val="both"/>
        <w:rPr>
          <w:rFonts w:ascii="Palatino Linotype" w:eastAsia="Palatino Linotype" w:hAnsi="Palatino Linotype" w:cs="Palatino Linotype"/>
          <w:i/>
          <w:color w:val="000000" w:themeColor="text1"/>
          <w:u w:val="single"/>
        </w:rPr>
      </w:pPr>
      <w:r w:rsidRPr="00316CA0">
        <w:rPr>
          <w:rFonts w:ascii="Palatino Linotype" w:eastAsia="Palatino Linotype" w:hAnsi="Palatino Linotype" w:cs="Palatino Linotype"/>
          <w:b/>
          <w:i/>
          <w:color w:val="000000" w:themeColor="text1"/>
          <w:u w:val="single"/>
        </w:rPr>
        <w:t>“Artículo 7. El Estado de México garantizará el efectivo acceso de toda persona a la información en posesión de cualquier entidad,</w:t>
      </w:r>
      <w:r w:rsidRPr="00316CA0">
        <w:rPr>
          <w:rFonts w:ascii="Palatino Linotype" w:eastAsia="Palatino Linotype" w:hAnsi="Palatino Linotype" w:cs="Palatino Linotype"/>
          <w:i/>
          <w:color w:val="000000" w:themeColor="text1"/>
        </w:rPr>
        <w:t xml:space="preserve"> autoridad, órgano y organismo de los poderes Ejecutivo, Legislativo y Judicial, órganos autónomos, partidos políticos, fideicomisos y fondos públicos, así como de cualquier persona física, jurídico colectiva o sindicato </w:t>
      </w:r>
      <w:r w:rsidRPr="00316CA0">
        <w:rPr>
          <w:rFonts w:ascii="Palatino Linotype" w:eastAsia="Palatino Linotype" w:hAnsi="Palatino Linotype" w:cs="Palatino Linotype"/>
          <w:b/>
          <w:i/>
          <w:color w:val="000000" w:themeColor="text1"/>
          <w:u w:val="single"/>
        </w:rPr>
        <w:t>que reciba y ejerza recursos públicos</w:t>
      </w:r>
      <w:r w:rsidRPr="00316CA0">
        <w:rPr>
          <w:rFonts w:ascii="Palatino Linotype" w:eastAsia="Palatino Linotype" w:hAnsi="Palatino Linotype" w:cs="Palatino Linotype"/>
          <w:i/>
          <w:color w:val="000000" w:themeColor="text1"/>
        </w:rPr>
        <w:t xml:space="preserve"> o realice actos de autoridad </w:t>
      </w:r>
      <w:r w:rsidRPr="00316CA0">
        <w:rPr>
          <w:rFonts w:ascii="Palatino Linotype" w:eastAsia="Palatino Linotype" w:hAnsi="Palatino Linotype" w:cs="Palatino Linotype"/>
          <w:b/>
          <w:i/>
          <w:color w:val="000000" w:themeColor="text1"/>
          <w:u w:val="single"/>
        </w:rPr>
        <w:t>en el ámbito de competencia del Estado de México y sus municipios</w:t>
      </w:r>
      <w:r w:rsidRPr="00316CA0">
        <w:rPr>
          <w:rFonts w:ascii="Palatino Linotype" w:eastAsia="Palatino Linotype" w:hAnsi="Palatino Linotype" w:cs="Palatino Linotype"/>
          <w:i/>
          <w:color w:val="000000" w:themeColor="text1"/>
          <w:u w:val="single"/>
        </w:rPr>
        <w:t>.</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Artículo 23. Son sujetos obligados a transparentar y permitir el acceso a su información y proteger los datos personales que obren en su poder:</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w:t>
      </w:r>
    </w:p>
    <w:p w:rsidR="00BD0A01" w:rsidRPr="00316CA0" w:rsidRDefault="00A9456A" w:rsidP="004F19EF">
      <w:pPr>
        <w:spacing w:line="360" w:lineRule="auto"/>
        <w:jc w:val="both"/>
        <w:rPr>
          <w:rFonts w:ascii="Palatino Linotype" w:eastAsia="Palatino Linotype" w:hAnsi="Palatino Linotype" w:cs="Palatino Linotype"/>
          <w:b/>
          <w:i/>
          <w:color w:val="000000" w:themeColor="text1"/>
          <w:u w:val="single"/>
        </w:rPr>
      </w:pPr>
      <w:r w:rsidRPr="00316CA0">
        <w:rPr>
          <w:rFonts w:ascii="Palatino Linotype" w:eastAsia="Palatino Linotype" w:hAnsi="Palatino Linotype" w:cs="Palatino Linotype"/>
          <w:b/>
          <w:i/>
          <w:color w:val="000000" w:themeColor="text1"/>
          <w:u w:val="single"/>
        </w:rPr>
        <w:t>IV. Los ayuntamientos y las dependencias, organismos, órganos y entidades de la administración municipal;</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w:t>
      </w:r>
    </w:p>
    <w:p w:rsidR="00BD0A01" w:rsidRPr="00316CA0" w:rsidRDefault="00A9456A" w:rsidP="004F19EF">
      <w:pPr>
        <w:spacing w:line="360" w:lineRule="auto"/>
        <w:jc w:val="both"/>
        <w:rPr>
          <w:rFonts w:ascii="Palatino Linotype" w:eastAsia="Palatino Linotype" w:hAnsi="Palatino Linotype" w:cs="Palatino Linotype"/>
          <w:b/>
          <w:i/>
          <w:color w:val="000000" w:themeColor="text1"/>
          <w:u w:val="single"/>
        </w:rPr>
      </w:pPr>
      <w:r w:rsidRPr="00316CA0">
        <w:rPr>
          <w:rFonts w:ascii="Palatino Linotype" w:eastAsia="Palatino Linotype" w:hAnsi="Palatino Linotype" w:cs="Palatino Linotype"/>
          <w:b/>
          <w:i/>
          <w:color w:val="000000" w:themeColor="text1"/>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D0A01" w:rsidRPr="00316CA0" w:rsidRDefault="00A9456A" w:rsidP="004F19EF">
      <w:pPr>
        <w:spacing w:line="360" w:lineRule="auto"/>
        <w:jc w:val="both"/>
        <w:rPr>
          <w:rFonts w:ascii="Palatino Linotype" w:eastAsia="Palatino Linotype" w:hAnsi="Palatino Linotype" w:cs="Palatino Linotype"/>
          <w:b/>
          <w:i/>
          <w:color w:val="000000" w:themeColor="text1"/>
        </w:rPr>
      </w:pPr>
      <w:r w:rsidRPr="00316CA0">
        <w:rPr>
          <w:rFonts w:ascii="Palatino Linotype" w:eastAsia="Palatino Linotype" w:hAnsi="Palatino Linotype" w:cs="Palatino Linotype"/>
          <w:i/>
          <w:color w:val="000000" w:themeColor="text1"/>
        </w:rPr>
        <w:t>Los servidores públicos deberán transparentar sus acciones así como garantizar y respetar el derecho de acceso a la información pública.”</w:t>
      </w:r>
      <w:r w:rsidRPr="00316CA0">
        <w:rPr>
          <w:rFonts w:ascii="Palatino Linotype" w:eastAsia="Palatino Linotype" w:hAnsi="Palatino Linotype" w:cs="Palatino Linotype"/>
          <w:b/>
          <w:i/>
          <w:color w:val="000000" w:themeColor="text1"/>
        </w:rPr>
        <w:t xml:space="preserve"> </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Sirve de sustento por analogía, para justificar la publicidad sobre los datos relativos a los montos por concepto de pago de las remuneraciones, los Criterios </w:t>
      </w:r>
      <w:r w:rsidRPr="00316CA0">
        <w:rPr>
          <w:rFonts w:ascii="Palatino Linotype" w:eastAsia="Palatino Linotype" w:hAnsi="Palatino Linotype" w:cs="Palatino Linotype"/>
          <w:b/>
          <w:color w:val="000000" w:themeColor="text1"/>
        </w:rPr>
        <w:t>01/2003</w:t>
      </w:r>
      <w:r w:rsidRPr="00316CA0">
        <w:rPr>
          <w:rFonts w:ascii="Palatino Linotype" w:eastAsia="Palatino Linotype" w:hAnsi="Palatino Linotype" w:cs="Palatino Linotype"/>
          <w:color w:val="000000" w:themeColor="text1"/>
        </w:rPr>
        <w:t xml:space="preserve"> y </w:t>
      </w:r>
      <w:r w:rsidRPr="00316CA0">
        <w:rPr>
          <w:rFonts w:ascii="Palatino Linotype" w:eastAsia="Palatino Linotype" w:hAnsi="Palatino Linotype" w:cs="Palatino Linotype"/>
          <w:b/>
          <w:color w:val="000000" w:themeColor="text1"/>
        </w:rPr>
        <w:t>02/2003</w:t>
      </w:r>
      <w:r w:rsidRPr="00316CA0">
        <w:rPr>
          <w:rFonts w:ascii="Palatino Linotype" w:eastAsia="Palatino Linotype" w:hAnsi="Palatino Linotype" w:cs="Palatino Linotype"/>
          <w:color w:val="000000" w:themeColor="text1"/>
        </w:rPr>
        <w:t xml:space="preserve"> emitidos por el Comité de Acceso a la Información Pública y Protección de Datos Personales de la Suprema Corte de Justicia de la Nación que a continuación se citan: </w:t>
      </w:r>
    </w:p>
    <w:p w:rsidR="00BD0A01" w:rsidRPr="00316CA0" w:rsidRDefault="00A9456A" w:rsidP="004F19EF">
      <w:pPr>
        <w:spacing w:line="360" w:lineRule="auto"/>
        <w:rPr>
          <w:rFonts w:ascii="Palatino Linotype" w:eastAsia="Palatino Linotype" w:hAnsi="Palatino Linotype" w:cs="Palatino Linotype"/>
          <w:b/>
          <w:i/>
          <w:color w:val="000000" w:themeColor="text1"/>
        </w:rPr>
      </w:pPr>
      <w:r w:rsidRPr="00316CA0">
        <w:rPr>
          <w:rFonts w:ascii="Palatino Linotype" w:eastAsia="Palatino Linotype" w:hAnsi="Palatino Linotype" w:cs="Palatino Linotype"/>
          <w:b/>
          <w:i/>
          <w:color w:val="000000" w:themeColor="text1"/>
        </w:rPr>
        <w:t>“Criterio 01/2003.</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INGRESOS DE LOS SERVIDORES PÚBLICOS. CONSTITUYEN INFORMACIÓN PÚBLICA AÚN Y CUANDO SU DIFUSIÓN PUEDE AFECTAR LA VIDA O LA SEGURIDAD DE AQUELLOS.</w:t>
      </w:r>
      <w:r w:rsidRPr="00316CA0">
        <w:rPr>
          <w:rFonts w:ascii="Palatino Linotype" w:eastAsia="Palatino Linotype" w:hAnsi="Palatino Linotype" w:cs="Palatino Linotype"/>
          <w:i/>
          <w:color w:val="000000" w:themeColor="text1"/>
        </w:rPr>
        <w:t xml:space="preserve"> </w:t>
      </w:r>
    </w:p>
    <w:p w:rsidR="00BD0A01" w:rsidRPr="00316CA0" w:rsidRDefault="00A9456A" w:rsidP="004F19EF">
      <w:pPr>
        <w:spacing w:line="360" w:lineRule="auto"/>
        <w:jc w:val="both"/>
        <w:rPr>
          <w:rFonts w:ascii="Palatino Linotype" w:eastAsia="Palatino Linotype" w:hAnsi="Palatino Linotype" w:cs="Palatino Linotype"/>
          <w:i/>
          <w:color w:val="000000" w:themeColor="text1"/>
          <w:u w:val="single"/>
        </w:rPr>
      </w:pPr>
      <w:r w:rsidRPr="00316CA0">
        <w:rPr>
          <w:rFonts w:ascii="Palatino Linotype" w:eastAsia="Palatino Linotype" w:hAnsi="Palatino Linotype" w:cs="Palatino Linotype"/>
          <w:i/>
          <w:color w:val="000000" w:themeColor="text1"/>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16CA0">
        <w:rPr>
          <w:rFonts w:ascii="Palatino Linotype" w:eastAsia="Palatino Linotype" w:hAnsi="Palatino Linotype" w:cs="Palatino Linotype"/>
          <w:b/>
          <w:i/>
          <w:color w:val="000000" w:themeColor="text1"/>
          <w:u w:val="single"/>
        </w:rPr>
        <w:t xml:space="preserve">deben publicarse en medios remotos o locales de comunicación electrónica, lo que se sustenta en el hecho de que el monto de todos los ingresos que recibe un </w:t>
      </w:r>
      <w:r w:rsidRPr="00316CA0">
        <w:rPr>
          <w:rFonts w:ascii="Palatino Linotype" w:eastAsia="Palatino Linotype" w:hAnsi="Palatino Linotype" w:cs="Palatino Linotype"/>
          <w:b/>
          <w:i/>
          <w:color w:val="000000" w:themeColor="text1"/>
          <w:u w:val="single"/>
        </w:rPr>
        <w:lastRenderedPageBreak/>
        <w:t>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16CA0">
        <w:rPr>
          <w:rFonts w:ascii="Palatino Linotype" w:eastAsia="Palatino Linotype" w:hAnsi="Palatino Linotype" w:cs="Palatino Linotype"/>
          <w:i/>
          <w:color w:val="000000" w:themeColor="text1"/>
          <w:u w:val="single"/>
        </w:rPr>
        <w:t>…”</w:t>
      </w:r>
    </w:p>
    <w:p w:rsidR="00BD0A01" w:rsidRPr="00316CA0" w:rsidRDefault="00BD0A01" w:rsidP="004F19EF">
      <w:pPr>
        <w:spacing w:line="360" w:lineRule="auto"/>
        <w:jc w:val="both"/>
        <w:rPr>
          <w:rFonts w:ascii="Palatino Linotype" w:eastAsia="Palatino Linotype" w:hAnsi="Palatino Linotype" w:cs="Palatino Linotype"/>
          <w:i/>
          <w:color w:val="000000" w:themeColor="text1"/>
        </w:rPr>
      </w:pPr>
    </w:p>
    <w:p w:rsidR="00BD0A01" w:rsidRPr="00316CA0" w:rsidRDefault="00A9456A" w:rsidP="004F19EF">
      <w:pPr>
        <w:spacing w:line="360" w:lineRule="auto"/>
        <w:rPr>
          <w:rFonts w:ascii="Palatino Linotype" w:eastAsia="Palatino Linotype" w:hAnsi="Palatino Linotype" w:cs="Palatino Linotype"/>
          <w:b/>
          <w:i/>
          <w:color w:val="000000" w:themeColor="text1"/>
        </w:rPr>
      </w:pPr>
      <w:r w:rsidRPr="00316CA0">
        <w:rPr>
          <w:rFonts w:ascii="Palatino Linotype" w:eastAsia="Palatino Linotype" w:hAnsi="Palatino Linotype" w:cs="Palatino Linotype"/>
          <w:b/>
          <w:i/>
          <w:color w:val="000000" w:themeColor="text1"/>
        </w:rPr>
        <w:t>“Criterio 02/2003.</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INGRESOS DE LOS SERVIDORES PÚBLICOS, SON INFORMACIÓN PÚBLICA AÚN Y CUANDO CONSTITUYEN DATOS PERSONALES QUE SE REFIEREN AL PATRIMONIO DE AQUÉLLOS.</w:t>
      </w:r>
      <w:r w:rsidRPr="00316CA0">
        <w:rPr>
          <w:rFonts w:ascii="Palatino Linotype" w:eastAsia="Palatino Linotype" w:hAnsi="Palatino Linotype" w:cs="Palatino Linotype"/>
          <w:i/>
          <w:color w:val="000000" w:themeColor="text1"/>
        </w:rPr>
        <w:t xml:space="preserve"> </w:t>
      </w:r>
    </w:p>
    <w:p w:rsidR="00BD0A01" w:rsidRPr="00316CA0" w:rsidRDefault="00A9456A" w:rsidP="004F19EF">
      <w:pPr>
        <w:spacing w:line="360" w:lineRule="auto"/>
        <w:jc w:val="both"/>
        <w:rPr>
          <w:rFonts w:ascii="Palatino Linotype" w:eastAsia="Palatino Linotype" w:hAnsi="Palatino Linotype" w:cs="Palatino Linotype"/>
          <w:b/>
          <w:i/>
          <w:color w:val="000000" w:themeColor="text1"/>
        </w:rPr>
      </w:pPr>
      <w:r w:rsidRPr="00316CA0">
        <w:rPr>
          <w:rFonts w:ascii="Palatino Linotype" w:eastAsia="Palatino Linotype" w:hAnsi="Palatino Linotype" w:cs="Palatino Linotype"/>
          <w:i/>
          <w:color w:val="000000" w:themeColor="text1"/>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16CA0">
        <w:rPr>
          <w:rFonts w:ascii="Palatino Linotype" w:eastAsia="Palatino Linotype" w:hAnsi="Palatino Linotype" w:cs="Palatino Linotype"/>
          <w:b/>
          <w:i/>
          <w:color w:val="000000" w:themeColor="text1"/>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16CA0">
        <w:rPr>
          <w:rFonts w:ascii="Palatino Linotype" w:eastAsia="Palatino Linotype" w:hAnsi="Palatino Linotype" w:cs="Palatino Linotype"/>
          <w:i/>
          <w:color w:val="000000" w:themeColor="text1"/>
        </w:rPr>
        <w:t xml:space="preserve"> el sistema de compensación…” </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Luego entonces se reitera la procedencia de la entrega de la información previa búsqueda exhaustiva y razonable en sus </w:t>
      </w:r>
      <w:r w:rsidR="00A555E3" w:rsidRPr="00316CA0">
        <w:rPr>
          <w:rFonts w:ascii="Palatino Linotype" w:eastAsia="Palatino Linotype" w:hAnsi="Palatino Linotype" w:cs="Palatino Linotype"/>
          <w:color w:val="000000" w:themeColor="text1"/>
        </w:rPr>
        <w:t>áreas</w:t>
      </w:r>
      <w:r w:rsidRPr="00316CA0">
        <w:rPr>
          <w:rFonts w:ascii="Palatino Linotype" w:eastAsia="Palatino Linotype" w:hAnsi="Palatino Linotype" w:cs="Palatino Linotype"/>
          <w:color w:val="000000" w:themeColor="text1"/>
        </w:rPr>
        <w:t xml:space="preserve"> competentes, que de manera enunc</w:t>
      </w:r>
      <w:r w:rsidR="00A555E3" w:rsidRPr="00316CA0">
        <w:rPr>
          <w:rFonts w:ascii="Palatino Linotype" w:eastAsia="Palatino Linotype" w:hAnsi="Palatino Linotype" w:cs="Palatino Linotype"/>
          <w:color w:val="000000" w:themeColor="text1"/>
        </w:rPr>
        <w:t>iativa</w:t>
      </w:r>
      <w:r w:rsidRPr="00316CA0">
        <w:rPr>
          <w:rFonts w:ascii="Palatino Linotype" w:eastAsia="Palatino Linotype" w:hAnsi="Palatino Linotype" w:cs="Palatino Linotype"/>
          <w:color w:val="000000" w:themeColor="text1"/>
        </w:rPr>
        <w:t xml:space="preserve"> mas no limitativa, es la Dirección de Administración y Finanzas; en virtud que de su estructura se desprende el Departamento de Recursos Humanos, cuyas atribuciones al caso concreto son las </w:t>
      </w:r>
      <w:r w:rsidRPr="00316CA0">
        <w:rPr>
          <w:rFonts w:ascii="Palatino Linotype" w:eastAsia="Palatino Linotype" w:hAnsi="Palatino Linotype" w:cs="Palatino Linotype"/>
          <w:color w:val="000000" w:themeColor="text1"/>
        </w:rPr>
        <w:lastRenderedPageBreak/>
        <w:t>siguientes de conformidad al vigente Reglamento Interno del Organismo Público Descentralizado para la Prestación de los Servicios de Agua Potable, Alcantarilla y Saneamiento del Municipio de Cuautitlán Izcalli, denominado OPERAGUA Izcalli O.P.D.M:</w:t>
      </w:r>
    </w:p>
    <w:p w:rsidR="00BD0A01" w:rsidRDefault="00A9456A" w:rsidP="004F19EF">
      <w:pPr>
        <w:spacing w:line="360" w:lineRule="auto"/>
        <w:jc w:val="center"/>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noProof/>
          <w:color w:val="000000" w:themeColor="text1"/>
          <w:lang w:val="es-MX"/>
        </w:rPr>
        <w:drawing>
          <wp:inline distT="0" distB="0" distL="0" distR="0">
            <wp:extent cx="5031727" cy="5104414"/>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31727" cy="5104414"/>
                    </a:xfrm>
                    <a:prstGeom prst="rect">
                      <a:avLst/>
                    </a:prstGeom>
                    <a:ln/>
                  </pic:spPr>
                </pic:pic>
              </a:graphicData>
            </a:graphic>
          </wp:inline>
        </w:drawing>
      </w:r>
    </w:p>
    <w:p w:rsidR="005015BD" w:rsidRPr="00316CA0" w:rsidRDefault="005015BD" w:rsidP="004F19EF">
      <w:pPr>
        <w:spacing w:line="360" w:lineRule="auto"/>
        <w:jc w:val="center"/>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 xml:space="preserve">Con la determinación anterior quedará por colmado el derecho de acceso a la información del ahora </w:t>
      </w:r>
      <w:r w:rsidRPr="00316CA0">
        <w:rPr>
          <w:rFonts w:ascii="Palatino Linotype" w:eastAsia="Palatino Linotype" w:hAnsi="Palatino Linotype" w:cs="Palatino Linotype"/>
          <w:b/>
          <w:color w:val="000000" w:themeColor="text1"/>
        </w:rPr>
        <w:t>RECURRENTE</w:t>
      </w:r>
      <w:r w:rsidRPr="00316CA0">
        <w:rPr>
          <w:rFonts w:ascii="Palatino Linotype" w:eastAsia="Palatino Linotype" w:hAnsi="Palatino Linotype" w:cs="Palatino Linotype"/>
          <w:color w:val="000000" w:themeColor="text1"/>
        </w:rPr>
        <w:t xml:space="preserve">, toda vez que el derecho que tutela este Instituto corresponde a la  </w:t>
      </w:r>
      <w:r w:rsidRPr="00316CA0">
        <w:rPr>
          <w:rFonts w:ascii="Palatino Linotype" w:eastAsia="Palatino Linotype" w:hAnsi="Palatino Linotype" w:cs="Palatino Linotype"/>
          <w:i/>
          <w:color w:val="000000" w:themeColor="text1"/>
        </w:rPr>
        <w:t>igualdad de oportunidades para recibir, buscar e impartir información</w:t>
      </w:r>
      <w:r w:rsidRPr="00316CA0">
        <w:rPr>
          <w:rFonts w:ascii="Palatino Linotype" w:eastAsia="Palatino Linotype" w:hAnsi="Palatino Linotype" w:cs="Palatino Linotype"/>
          <w:i/>
          <w:color w:val="000000" w:themeColor="text1"/>
          <w:vertAlign w:val="superscript"/>
        </w:rPr>
        <w:footnoteReference w:id="1"/>
      </w:r>
      <w:r w:rsidRPr="00316CA0">
        <w:rPr>
          <w:rFonts w:ascii="Palatino Linotype" w:eastAsia="Palatino Linotype" w:hAnsi="Palatino Linotype" w:cs="Palatino Linotype"/>
          <w:i/>
          <w:color w:val="000000" w:themeColor="text1"/>
        </w:rPr>
        <w:t xml:space="preserve"> en posesión de cualquier autoridad, entidad, órgano y organismo de los </w:t>
      </w:r>
      <w:r w:rsidRPr="00316CA0">
        <w:rPr>
          <w:rFonts w:ascii="Palatino Linotype" w:eastAsia="Palatino Linotype" w:hAnsi="Palatino Linotype" w:cs="Palatino Linotype"/>
          <w:color w:val="000000" w:themeColor="text1"/>
        </w:rPr>
        <w:t>poderes</w:t>
      </w:r>
      <w:r w:rsidRPr="00316CA0">
        <w:rPr>
          <w:rFonts w:ascii="Palatino Linotype" w:eastAsia="Palatino Linotype" w:hAnsi="Palatino Linotype" w:cs="Palatino Linotype"/>
          <w:i/>
          <w:color w:val="000000" w:themeColor="text1"/>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16CA0">
        <w:rPr>
          <w:rFonts w:ascii="Palatino Linotype" w:eastAsia="Palatino Linotype" w:hAnsi="Palatino Linotype" w:cs="Palatino Linotype"/>
          <w:color w:val="000000" w:themeColor="text1"/>
          <w:vertAlign w:val="superscript"/>
        </w:rPr>
        <w:footnoteReference w:id="2"/>
      </w:r>
      <w:r w:rsidRPr="00316CA0">
        <w:rPr>
          <w:rFonts w:ascii="Palatino Linotype" w:eastAsia="Palatino Linotype" w:hAnsi="Palatino Linotype" w:cs="Palatino Linotype"/>
          <w:i/>
          <w:color w:val="000000" w:themeColor="text1"/>
        </w:rPr>
        <w:t xml:space="preserve"> </w:t>
      </w:r>
      <w:r w:rsidRPr="00316CA0">
        <w:rPr>
          <w:rFonts w:ascii="Palatino Linotype" w:eastAsia="Palatino Linotype" w:hAnsi="Palatino Linotype" w:cs="Palatino Linotype"/>
          <w:color w:val="000000" w:themeColor="text1"/>
        </w:rPr>
        <w:t xml:space="preserve">que se constituye como una herramienta fundamental para </w:t>
      </w:r>
      <w:r w:rsidRPr="00316CA0">
        <w:rPr>
          <w:rFonts w:ascii="Palatino Linotype" w:eastAsia="Palatino Linotype" w:hAnsi="Palatino Linotype" w:cs="Palatino Linotype"/>
          <w:i/>
          <w:color w:val="000000" w:themeColor="text1"/>
        </w:rPr>
        <w:t>ejercer control democrático de las gestiones estatales, de forma tal que puedan cuestionar, indagar y considerar si se está dando un adecuado cumplimiento de las funciones públicas,</w:t>
      </w:r>
      <w:r w:rsidRPr="00316CA0">
        <w:rPr>
          <w:rFonts w:ascii="Palatino Linotype" w:eastAsia="Palatino Linotype" w:hAnsi="Palatino Linotype" w:cs="Palatino Linotype"/>
          <w:i/>
          <w:color w:val="000000" w:themeColor="text1"/>
          <w:vertAlign w:val="superscript"/>
        </w:rPr>
        <w:footnoteReference w:id="3"/>
      </w:r>
      <w:r w:rsidRPr="00316CA0">
        <w:rPr>
          <w:rFonts w:ascii="Palatino Linotype" w:eastAsia="Palatino Linotype" w:hAnsi="Palatino Linotype" w:cs="Palatino Linotype"/>
          <w:color w:val="000000" w:themeColor="text1"/>
        </w:rPr>
        <w:t>fomentando</w:t>
      </w:r>
      <w:r w:rsidRPr="00316CA0">
        <w:rPr>
          <w:rFonts w:ascii="Palatino Linotype" w:eastAsia="Palatino Linotype" w:hAnsi="Palatino Linotype" w:cs="Palatino Linotype"/>
          <w:i/>
          <w:color w:val="000000" w:themeColor="text1"/>
        </w:rPr>
        <w:t xml:space="preserve"> la transparencia de las actividades estatales y</w:t>
      </w:r>
      <w:r w:rsidRPr="00316CA0">
        <w:rPr>
          <w:rFonts w:ascii="Palatino Linotype" w:eastAsia="Palatino Linotype" w:hAnsi="Palatino Linotype" w:cs="Palatino Linotype"/>
          <w:color w:val="000000" w:themeColor="text1"/>
        </w:rPr>
        <w:t xml:space="preserve"> promoviendo</w:t>
      </w:r>
      <w:r w:rsidRPr="00316CA0">
        <w:rPr>
          <w:rFonts w:ascii="Palatino Linotype" w:eastAsia="Palatino Linotype" w:hAnsi="Palatino Linotype" w:cs="Palatino Linotype"/>
          <w:i/>
          <w:color w:val="000000" w:themeColor="text1"/>
        </w:rPr>
        <w:t xml:space="preserve"> la responsabilidad de los funcionarios sobre su gestión pública</w:t>
      </w:r>
      <w:r w:rsidRPr="00316CA0">
        <w:rPr>
          <w:rFonts w:ascii="Palatino Linotype" w:eastAsia="Palatino Linotype" w:hAnsi="Palatino Linotype" w:cs="Palatino Linotype"/>
          <w:i/>
          <w:color w:val="000000" w:themeColor="text1"/>
          <w:vertAlign w:val="superscript"/>
        </w:rPr>
        <w:footnoteReference w:id="4"/>
      </w:r>
      <w:r w:rsidRPr="00316CA0">
        <w:rPr>
          <w:rFonts w:ascii="Palatino Linotype" w:eastAsia="Palatino Linotype" w:hAnsi="Palatino Linotype" w:cs="Palatino Linotype"/>
          <w:i/>
          <w:color w:val="000000" w:themeColor="text1"/>
        </w:rPr>
        <w:t xml:space="preserve"> </w:t>
      </w:r>
      <w:r w:rsidRPr="00316CA0">
        <w:rPr>
          <w:rFonts w:ascii="Palatino Linotype" w:eastAsia="Palatino Linotype" w:hAnsi="Palatino Linotype" w:cs="Palatino Linotype"/>
          <w:color w:val="000000" w:themeColor="text1"/>
        </w:rPr>
        <w:t>que permite</w:t>
      </w:r>
      <w:r w:rsidRPr="00316CA0">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r w:rsidRPr="00316CA0">
        <w:rPr>
          <w:rFonts w:ascii="Palatino Linotype" w:eastAsia="Palatino Linotype" w:hAnsi="Palatino Linotype" w:cs="Palatino Linotype"/>
          <w:i/>
          <w:color w:val="000000" w:themeColor="text1"/>
          <w:vertAlign w:val="superscript"/>
        </w:rPr>
        <w:footnoteReference w:id="5"/>
      </w:r>
      <w:r w:rsidRPr="00316CA0">
        <w:rPr>
          <w:rFonts w:ascii="Palatino Linotype" w:eastAsia="Palatino Linotype" w:hAnsi="Palatino Linotype" w:cs="Palatino Linotype"/>
          <w:color w:val="000000" w:themeColor="text1"/>
        </w:rPr>
        <w:t xml:space="preserve"> ” </w:t>
      </w:r>
    </w:p>
    <w:p w:rsidR="00BD0A01" w:rsidRPr="00316CA0" w:rsidRDefault="00BD0A01" w:rsidP="004F19E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Para entender los alcances de la información pública se considera importante citar el criterio de interpretación en el orden administrativo número 0002-11, emitido por Acuerdo del Pleno de este Instituto de Transparencia y Acceso a la Información Pública del Estado de </w:t>
      </w:r>
      <w:r w:rsidRPr="00316CA0">
        <w:rPr>
          <w:rFonts w:ascii="Palatino Linotype" w:eastAsia="Palatino Linotype" w:hAnsi="Palatino Linotype" w:cs="Palatino Linotype"/>
          <w:color w:val="000000" w:themeColor="text1"/>
        </w:rPr>
        <w:lastRenderedPageBreak/>
        <w:t>México y Municipios, publicado en el Periódico Oficial del Gobierno del Estado Libre y Soberano de México “Gaceta del Gobierno” el diecinueve de octubre de dos mil once, cuyo rubro y texto dispone:</w:t>
      </w:r>
    </w:p>
    <w:p w:rsidR="00BD0A01" w:rsidRPr="00316CA0" w:rsidRDefault="00A9456A" w:rsidP="004F19EF">
      <w:pPr>
        <w:spacing w:line="360" w:lineRule="auto"/>
        <w:jc w:val="both"/>
        <w:rPr>
          <w:rFonts w:ascii="Palatino Linotype" w:eastAsia="Palatino Linotype" w:hAnsi="Palatino Linotype" w:cs="Palatino Linotype"/>
          <w:b/>
          <w:i/>
          <w:color w:val="000000" w:themeColor="text1"/>
        </w:rPr>
      </w:pPr>
      <w:r w:rsidRPr="00316CA0">
        <w:rPr>
          <w:rFonts w:ascii="Palatino Linotype" w:eastAsia="Palatino Linotype" w:hAnsi="Palatino Linotype" w:cs="Palatino Linotype"/>
          <w:b/>
          <w:i/>
          <w:color w:val="000000" w:themeColor="text1"/>
        </w:rPr>
        <w:t>“CRITERIO 0002-11</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 4,11 Y 41.</w:t>
      </w:r>
      <w:r w:rsidRPr="00316CA0">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rsidR="00BD0A01" w:rsidRPr="00316CA0" w:rsidRDefault="00BD0A01" w:rsidP="004F19EF">
      <w:pPr>
        <w:spacing w:line="360" w:lineRule="auto"/>
        <w:jc w:val="both"/>
        <w:rPr>
          <w:rFonts w:ascii="Palatino Linotype" w:eastAsia="Palatino Linotype" w:hAnsi="Palatino Linotype" w:cs="Palatino Linotype"/>
          <w:i/>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lastRenderedPageBreak/>
        <w:t xml:space="preserve">XI. Documento: </w:t>
      </w:r>
      <w:r w:rsidRPr="00316CA0">
        <w:rPr>
          <w:rFonts w:ascii="Palatino Linotype" w:eastAsia="Palatino Linotype" w:hAnsi="Palatino Linotype" w:cs="Palatino Linotype"/>
          <w:i/>
          <w:color w:val="000000" w:themeColor="text1"/>
        </w:rPr>
        <w:t xml:space="preserve">Los expedientes, reportes, estudios, actas, resoluciones, oficios, correspondencia, acuerdos, directivas, directrices, circulares, contratos, convenios, instructivos, notas, memorandos, estadísticas o bien, </w:t>
      </w:r>
      <w:r w:rsidRPr="00316CA0">
        <w:rPr>
          <w:rFonts w:ascii="Palatino Linotype" w:eastAsia="Palatino Linotype" w:hAnsi="Palatino Linotype" w:cs="Palatino Linotype"/>
          <w:b/>
          <w:i/>
          <w:color w:val="000000" w:themeColor="text1"/>
        </w:rPr>
        <w:t>cualquier otro registro</w:t>
      </w:r>
      <w:r w:rsidRPr="00316CA0">
        <w:rPr>
          <w:rFonts w:ascii="Palatino Linotype" w:eastAsia="Palatino Linotype" w:hAnsi="Palatino Linotype" w:cs="Palatino Linotype"/>
          <w:i/>
          <w:color w:val="000000" w:themeColor="text1"/>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D0A01" w:rsidRPr="00316CA0" w:rsidRDefault="00BD0A01" w:rsidP="004F19EF">
      <w:pPr>
        <w:spacing w:line="360" w:lineRule="auto"/>
        <w:jc w:val="both"/>
        <w:rPr>
          <w:rFonts w:ascii="Palatino Linotype" w:eastAsia="Palatino Linotype" w:hAnsi="Palatino Linotype" w:cs="Palatino Linotype"/>
          <w:i/>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Es así que, todos los actos de autoridad que realicen los Sujetos Obligados </w:t>
      </w:r>
      <w:r w:rsidRPr="00316CA0">
        <w:rPr>
          <w:rFonts w:ascii="Palatino Linotype" w:eastAsia="Palatino Linotype" w:hAnsi="Palatino Linotype" w:cs="Palatino Linotype"/>
          <w:b/>
          <w:color w:val="000000" w:themeColor="text1"/>
        </w:rPr>
        <w:t xml:space="preserve">deben estar </w:t>
      </w:r>
      <w:r w:rsidRPr="00316CA0">
        <w:rPr>
          <w:rFonts w:ascii="Palatino Linotype" w:eastAsia="Palatino Linotype" w:hAnsi="Palatino Linotype" w:cs="Palatino Linotype"/>
          <w:color w:val="000000" w:themeColor="text1"/>
        </w:rPr>
        <w:t>documentados y, bajo el más alto estándar de transparencia deberán poner toda la información que se encuentre en su posesión, a disposición de los particulares que la soliciten.</w:t>
      </w:r>
    </w:p>
    <w:p w:rsidR="00BD0A01" w:rsidRPr="00316CA0" w:rsidRDefault="00BD0A01" w:rsidP="004F19E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Además, debemos tomar en cuenta los artículos 4 y 12 (antes transcrito), de la Ley de Transparencia y Acceso a la Información Pública del Estado de México y Municipios, los cuales establecen lo siguiente:</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 xml:space="preserve">“Artículo 4. </w:t>
      </w:r>
      <w:r w:rsidRPr="00316CA0">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Toda la información</w:t>
      </w:r>
      <w:r w:rsidRPr="00316CA0">
        <w:rPr>
          <w:rFonts w:ascii="Palatino Linotype" w:eastAsia="Palatino Linotype" w:hAnsi="Palatino Linotype" w:cs="Palatino Linotype"/>
          <w:i/>
          <w:color w:val="000000" w:themeColor="text1"/>
        </w:rPr>
        <w:t xml:space="preserve"> generada, obtenida, adquirida, transformada, administrada o </w:t>
      </w:r>
      <w:r w:rsidRPr="00316CA0">
        <w:rPr>
          <w:rFonts w:ascii="Palatino Linotype" w:eastAsia="Palatino Linotype" w:hAnsi="Palatino Linotype" w:cs="Palatino Linotype"/>
          <w:b/>
          <w:i/>
          <w:color w:val="000000" w:themeColor="text1"/>
        </w:rPr>
        <w:t>en posesión de los sujetos obligados es pública</w:t>
      </w:r>
      <w:r w:rsidRPr="00316CA0">
        <w:rPr>
          <w:rFonts w:ascii="Palatino Linotype" w:eastAsia="Palatino Linotype" w:hAnsi="Palatino Linotype" w:cs="Palatino Linotype"/>
          <w:i/>
          <w:color w:val="000000" w:themeColor="text1"/>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316CA0">
        <w:rPr>
          <w:rFonts w:ascii="Palatino Linotype" w:eastAsia="Palatino Linotype" w:hAnsi="Palatino Linotype" w:cs="Palatino Linotype"/>
          <w:i/>
          <w:color w:val="000000" w:themeColor="text1"/>
        </w:rPr>
        <w:lastRenderedPageBreak/>
        <w:t>temporalmente por razones de interés público, en los términos de las causas legítimas y estrictamente necesarias previstas por esta Ley.</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BD0A01" w:rsidRPr="00316CA0" w:rsidRDefault="00BD0A01" w:rsidP="004F19EF">
      <w:pPr>
        <w:spacing w:line="360" w:lineRule="auto"/>
        <w:jc w:val="both"/>
        <w:rPr>
          <w:rFonts w:ascii="Palatino Linotype" w:eastAsia="Palatino Linotype" w:hAnsi="Palatino Linotype" w:cs="Palatino Linotype"/>
          <w:i/>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16CA0">
        <w:rPr>
          <w:rFonts w:ascii="Palatino Linotype" w:eastAsia="Palatino Linotype" w:hAnsi="Palatino Linotype" w:cs="Palatino Linotype"/>
          <w:color w:val="000000" w:themeColor="text1"/>
          <w:vertAlign w:val="superscript"/>
        </w:rPr>
        <w:footnoteReference w:id="6"/>
      </w:r>
      <w:r w:rsidRPr="00316CA0">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316CA0">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w:t>
      </w:r>
      <w:r w:rsidRPr="00316CA0">
        <w:rPr>
          <w:rFonts w:ascii="Palatino Linotype" w:eastAsia="Palatino Linotype" w:hAnsi="Palatino Linotype" w:cs="Palatino Linotype"/>
          <w:i/>
          <w:color w:val="000000" w:themeColor="text1"/>
        </w:rPr>
        <w:lastRenderedPageBreak/>
        <w:t>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keepNext/>
        <w:keepLines/>
        <w:spacing w:line="360" w:lineRule="auto"/>
        <w:jc w:val="both"/>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b/>
          <w:color w:val="000000" w:themeColor="text1"/>
        </w:rPr>
        <w:t>QUINTO. De la versión pública.</w:t>
      </w: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lastRenderedPageBreak/>
        <w:t>Artículo 3.</w:t>
      </w:r>
      <w:r w:rsidRPr="00316CA0">
        <w:rPr>
          <w:rFonts w:ascii="Palatino Linotype" w:eastAsia="Palatino Linotype" w:hAnsi="Palatino Linotype" w:cs="Palatino Linotype"/>
          <w:i/>
          <w:color w:val="000000" w:themeColor="text1"/>
        </w:rPr>
        <w:t xml:space="preserve"> Para los efectos de la presente Ley se entenderá por:</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IX. Datos personales:</w:t>
      </w:r>
      <w:r w:rsidRPr="00316CA0">
        <w:rPr>
          <w:rFonts w:ascii="Palatino Linotype" w:eastAsia="Palatino Linotype" w:hAnsi="Palatino Linotype" w:cs="Palatino Linotype"/>
          <w:i/>
          <w:color w:val="000000" w:themeColor="text1"/>
        </w:rPr>
        <w:t xml:space="preserve"> La información concerniente a una persona, identificada o identificable según lo dispuesto por la Ley de Protección de Datos Personales del Estado de México; </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XX.</w:t>
      </w:r>
      <w:r w:rsidRPr="00316CA0">
        <w:rPr>
          <w:rFonts w:ascii="Palatino Linotype" w:eastAsia="Palatino Linotype" w:hAnsi="Palatino Linotype" w:cs="Palatino Linotype"/>
          <w:i/>
          <w:color w:val="000000" w:themeColor="text1"/>
        </w:rPr>
        <w:t xml:space="preserve"> </w:t>
      </w:r>
      <w:r w:rsidRPr="00316CA0">
        <w:rPr>
          <w:rFonts w:ascii="Palatino Linotype" w:eastAsia="Palatino Linotype" w:hAnsi="Palatino Linotype" w:cs="Palatino Linotype"/>
          <w:b/>
          <w:i/>
          <w:color w:val="000000" w:themeColor="text1"/>
        </w:rPr>
        <w:t>Información clasificada:</w:t>
      </w:r>
      <w:r w:rsidRPr="00316CA0">
        <w:rPr>
          <w:rFonts w:ascii="Palatino Linotype" w:eastAsia="Palatino Linotype" w:hAnsi="Palatino Linotype" w:cs="Palatino Linotype"/>
          <w:i/>
          <w:color w:val="000000" w:themeColor="text1"/>
        </w:rPr>
        <w:t xml:space="preserve"> Aquella considerada por la presente Ley como reservada o confidencial;</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XXI.</w:t>
      </w:r>
      <w:r w:rsidRPr="00316CA0">
        <w:rPr>
          <w:rFonts w:ascii="Palatino Linotype" w:eastAsia="Palatino Linotype" w:hAnsi="Palatino Linotype" w:cs="Palatino Linotype"/>
          <w:i/>
          <w:color w:val="000000" w:themeColor="text1"/>
        </w:rPr>
        <w:t xml:space="preserve"> </w:t>
      </w:r>
      <w:r w:rsidRPr="00316CA0">
        <w:rPr>
          <w:rFonts w:ascii="Palatino Linotype" w:eastAsia="Palatino Linotype" w:hAnsi="Palatino Linotype" w:cs="Palatino Linotype"/>
          <w:b/>
          <w:i/>
          <w:color w:val="000000" w:themeColor="text1"/>
        </w:rPr>
        <w:t>Información confidencial:</w:t>
      </w:r>
      <w:r w:rsidRPr="00316CA0">
        <w:rPr>
          <w:rFonts w:ascii="Palatino Linotype" w:eastAsia="Palatino Linotype" w:hAnsi="Palatino Linotype" w:cs="Palatino Linotype"/>
          <w:i/>
          <w:color w:val="000000" w:themeColor="text1"/>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XLV.</w:t>
      </w:r>
      <w:r w:rsidRPr="00316CA0">
        <w:rPr>
          <w:rFonts w:ascii="Palatino Linotype" w:eastAsia="Palatino Linotype" w:hAnsi="Palatino Linotype" w:cs="Palatino Linotype"/>
          <w:i/>
          <w:color w:val="000000" w:themeColor="text1"/>
        </w:rPr>
        <w:t xml:space="preserve"> </w:t>
      </w:r>
      <w:r w:rsidRPr="00316CA0">
        <w:rPr>
          <w:rFonts w:ascii="Palatino Linotype" w:eastAsia="Palatino Linotype" w:hAnsi="Palatino Linotype" w:cs="Palatino Linotype"/>
          <w:b/>
          <w:i/>
          <w:color w:val="000000" w:themeColor="text1"/>
        </w:rPr>
        <w:t>Versión pública:</w:t>
      </w:r>
      <w:r w:rsidRPr="00316CA0">
        <w:rPr>
          <w:rFonts w:ascii="Palatino Linotype" w:eastAsia="Palatino Linotype" w:hAnsi="Palatino Linotype" w:cs="Palatino Linotype"/>
          <w:i/>
          <w:color w:val="000000" w:themeColor="text1"/>
        </w:rPr>
        <w:t xml:space="preserve"> Documento en el que se elimine, suprime o borra la información clasificada como reservada o confidencial para permitir su acceso.</w:t>
      </w:r>
    </w:p>
    <w:p w:rsidR="00BD0A01" w:rsidRPr="00316CA0" w:rsidRDefault="00A9456A" w:rsidP="004F19EF">
      <w:pP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BD0A01" w:rsidRPr="00316CA0" w:rsidRDefault="00A9456A"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 xml:space="preserve">Artículo 91. </w:t>
      </w:r>
      <w:r w:rsidRPr="00316CA0">
        <w:rPr>
          <w:rFonts w:ascii="Palatino Linotype" w:eastAsia="Palatino Linotype" w:hAnsi="Palatino Linotype" w:cs="Palatino Linotype"/>
          <w:i/>
          <w:color w:val="000000" w:themeColor="text1"/>
        </w:rPr>
        <w:t>El acceso a la información pública será restringido excepcionalmente, cuando ésta sea clasificada como reservada o confidencial.</w:t>
      </w:r>
    </w:p>
    <w:p w:rsidR="00BD0A01" w:rsidRPr="00316CA0" w:rsidRDefault="00A9456A"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Artículo 132.</w:t>
      </w:r>
      <w:r w:rsidRPr="00316CA0">
        <w:rPr>
          <w:rFonts w:ascii="Palatino Linotype" w:eastAsia="Palatino Linotype" w:hAnsi="Palatino Linotype" w:cs="Palatino Linotype"/>
          <w:i/>
          <w:color w:val="000000" w:themeColor="text1"/>
        </w:rPr>
        <w:t xml:space="preserve"> </w:t>
      </w:r>
      <w:r w:rsidRPr="00316CA0">
        <w:rPr>
          <w:rFonts w:ascii="Palatino Linotype" w:eastAsia="Palatino Linotype" w:hAnsi="Palatino Linotype" w:cs="Palatino Linotype"/>
          <w:i/>
          <w:color w:val="000000" w:themeColor="text1"/>
          <w:u w:val="single"/>
        </w:rPr>
        <w:t>La clasificación de la información se llevará a cabo en el momento en que</w:t>
      </w:r>
      <w:r w:rsidRPr="00316CA0">
        <w:rPr>
          <w:rFonts w:ascii="Palatino Linotype" w:eastAsia="Palatino Linotype" w:hAnsi="Palatino Linotype" w:cs="Palatino Linotype"/>
          <w:i/>
          <w:color w:val="000000" w:themeColor="text1"/>
        </w:rPr>
        <w:t>:</w:t>
      </w:r>
    </w:p>
    <w:p w:rsidR="00BD0A01" w:rsidRPr="00316CA0" w:rsidRDefault="00A9456A"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I.</w:t>
      </w:r>
      <w:r w:rsidRPr="00316CA0">
        <w:rPr>
          <w:rFonts w:ascii="Palatino Linotype" w:eastAsia="Palatino Linotype" w:hAnsi="Palatino Linotype" w:cs="Palatino Linotype"/>
          <w:i/>
          <w:color w:val="000000" w:themeColor="text1"/>
        </w:rPr>
        <w:t xml:space="preserve"> Se reciba una solicitud de acceso a la información;</w:t>
      </w:r>
    </w:p>
    <w:p w:rsidR="00BD0A01" w:rsidRPr="00316CA0" w:rsidRDefault="00A9456A"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II.</w:t>
      </w:r>
      <w:r w:rsidRPr="00316CA0">
        <w:rPr>
          <w:rFonts w:ascii="Palatino Linotype" w:eastAsia="Palatino Linotype" w:hAnsi="Palatino Linotype" w:cs="Palatino Linotype"/>
          <w:i/>
          <w:color w:val="000000" w:themeColor="text1"/>
        </w:rPr>
        <w:t xml:space="preserve"> </w:t>
      </w:r>
      <w:r w:rsidRPr="00316CA0">
        <w:rPr>
          <w:rFonts w:ascii="Palatino Linotype" w:eastAsia="Palatino Linotype" w:hAnsi="Palatino Linotype" w:cs="Palatino Linotype"/>
          <w:i/>
          <w:color w:val="000000" w:themeColor="text1"/>
          <w:u w:val="single"/>
        </w:rPr>
        <w:t>Se determine mediante resolución de autoridad competente; o</w:t>
      </w:r>
    </w:p>
    <w:p w:rsidR="00BD0A01" w:rsidRPr="00316CA0" w:rsidRDefault="00A9456A"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u w:val="single"/>
        </w:rPr>
      </w:pPr>
      <w:r w:rsidRPr="00316CA0">
        <w:rPr>
          <w:rFonts w:ascii="Palatino Linotype" w:eastAsia="Palatino Linotype" w:hAnsi="Palatino Linotype" w:cs="Palatino Linotype"/>
          <w:b/>
          <w:i/>
          <w:color w:val="000000" w:themeColor="text1"/>
        </w:rPr>
        <w:t>III.</w:t>
      </w:r>
      <w:r w:rsidRPr="00316CA0">
        <w:rPr>
          <w:rFonts w:ascii="Palatino Linotype" w:eastAsia="Palatino Linotype" w:hAnsi="Palatino Linotype" w:cs="Palatino Linotype"/>
          <w:i/>
          <w:color w:val="000000" w:themeColor="text1"/>
        </w:rPr>
        <w:t xml:space="preserve"> </w:t>
      </w:r>
      <w:r w:rsidRPr="00316CA0">
        <w:rPr>
          <w:rFonts w:ascii="Palatino Linotype" w:eastAsia="Palatino Linotype" w:hAnsi="Palatino Linotype" w:cs="Palatino Linotype"/>
          <w:i/>
          <w:color w:val="000000" w:themeColor="text1"/>
          <w:u w:val="single"/>
        </w:rPr>
        <w:t>Se generen versiones públicas para dar cumplimiento a las obligaciones de transparencia previstas en esta Ley.</w:t>
      </w:r>
    </w:p>
    <w:p w:rsidR="00BD0A01" w:rsidRPr="00316CA0" w:rsidRDefault="00A9456A"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i/>
          <w:color w:val="000000" w:themeColor="text1"/>
        </w:rPr>
        <w:t>(…)</w:t>
      </w: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Conforme a lo anterior,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Por otro lado,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BD0A01" w:rsidRPr="00316CA0" w:rsidRDefault="00BD0A01" w:rsidP="004F19EF">
      <w:pPr>
        <w:shd w:val="clear" w:color="auto" w:fill="FFFFFF"/>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En términos de lo expuesto, la documentación y aquellos datos que se consideren confidenciales, serán una limitante del derecho de acceso a la información, siempre y cuando:</w:t>
      </w:r>
    </w:p>
    <w:p w:rsidR="00BD0A01" w:rsidRPr="00316CA0" w:rsidRDefault="00A9456A" w:rsidP="005015BD">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Se trate de datos personales o información privada; esto es, información concerniente a una persona física o jurídico colectiva y que esta sea identificada o identificable. </w:t>
      </w:r>
    </w:p>
    <w:p w:rsidR="00BD0A01" w:rsidRPr="00316CA0" w:rsidRDefault="00A9456A" w:rsidP="005015BD">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 xml:space="preserve">Para la difusión de los datos, se requiera el consentimiento del titular. </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316CA0">
        <w:rPr>
          <w:rFonts w:ascii="Palatino Linotype" w:eastAsia="Palatino Linotype" w:hAnsi="Palatino Linotype" w:cs="Palatino Linotype"/>
          <w:color w:val="000000" w:themeColor="text1"/>
        </w:rPr>
        <w:t xml:space="preserve">Al caso concreto de manera enunciativa </w:t>
      </w:r>
      <w:r w:rsidR="00446943" w:rsidRPr="00316CA0">
        <w:rPr>
          <w:rFonts w:ascii="Palatino Linotype" w:eastAsia="Palatino Linotype" w:hAnsi="Palatino Linotype" w:cs="Palatino Linotype"/>
          <w:color w:val="000000" w:themeColor="text1"/>
        </w:rPr>
        <w:t>más</w:t>
      </w:r>
      <w:r w:rsidRPr="00316CA0">
        <w:rPr>
          <w:rFonts w:ascii="Palatino Linotype" w:eastAsia="Palatino Linotype" w:hAnsi="Palatino Linotype" w:cs="Palatino Linotype"/>
          <w:color w:val="000000" w:themeColor="text1"/>
        </w:rPr>
        <w:t xml:space="preserve"> no limitativas, los números de cuentas bancarias de particulares en las versiones públicas que de las facturas se hagan, para ser entregadas.</w:t>
      </w:r>
    </w:p>
    <w:p w:rsidR="00446943" w:rsidRPr="00316CA0" w:rsidRDefault="00446943" w:rsidP="00446943">
      <w:pPr>
        <w:pBdr>
          <w:top w:val="nil"/>
          <w:left w:val="nil"/>
          <w:bottom w:val="nil"/>
          <w:right w:val="nil"/>
          <w:between w:val="nil"/>
        </w:pBdr>
        <w:spacing w:line="360" w:lineRule="auto"/>
        <w:jc w:val="both"/>
        <w:rPr>
          <w:rFonts w:ascii="Palatino Linotype" w:hAnsi="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316CA0">
        <w:rPr>
          <w:rFonts w:ascii="Palatino Linotype" w:eastAsia="Palatino Linotype" w:hAnsi="Palatino Linotype" w:cs="Palatino Linotype"/>
          <w:color w:val="000000" w:themeColor="text1"/>
        </w:rPr>
        <w:t>Lo anterior, no es así tratándose de las cuentas bancarias o claves interbancarias de los Sujetos Obligados ya que su publicidad cede a la rendición de cuentas al transparentar la forma en que son administrados los recursos públicos.</w:t>
      </w:r>
    </w:p>
    <w:p w:rsidR="00BD0A01" w:rsidRPr="00316CA0" w:rsidRDefault="00BD0A01" w:rsidP="004F19EF">
      <w:pPr>
        <w:pBdr>
          <w:top w:val="nil"/>
          <w:left w:val="nil"/>
          <w:bottom w:val="nil"/>
          <w:right w:val="nil"/>
          <w:between w:val="nil"/>
        </w:pBdr>
        <w:spacing w:line="360" w:lineRule="auto"/>
        <w:jc w:val="both"/>
        <w:rPr>
          <w:rFonts w:ascii="Palatino Linotype" w:hAnsi="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316CA0">
        <w:rPr>
          <w:rFonts w:ascii="Palatino Linotype" w:eastAsia="Palatino Linotype" w:hAnsi="Palatino Linotype" w:cs="Palatino Linotype"/>
          <w:color w:val="000000" w:themeColor="text1"/>
        </w:rPr>
        <w:t>Lo argumentado encuentra sustento en los criterios 10/17 y 11/17 emitidos por el Instituto Nacional de Transparencia, Acceso a la Información y Protección de Datos Personales, INAI, que llevan por rubro y texto los siguientes:</w:t>
      </w:r>
    </w:p>
    <w:p w:rsidR="00BD0A01" w:rsidRPr="00316CA0" w:rsidRDefault="00A9456A" w:rsidP="004F19EF">
      <w:pPr>
        <w:pBdr>
          <w:top w:val="nil"/>
          <w:left w:val="nil"/>
          <w:bottom w:val="nil"/>
          <w:right w:val="nil"/>
          <w:between w:val="nil"/>
        </w:pBdr>
        <w:spacing w:line="360" w:lineRule="auto"/>
        <w:jc w:val="both"/>
        <w:rPr>
          <w:rFonts w:ascii="Palatino Linotype" w:eastAsia="Times New Roman" w:hAnsi="Palatino Linotype" w:cs="Times New Roman"/>
          <w:color w:val="000000" w:themeColor="text1"/>
        </w:rPr>
      </w:pPr>
      <w:r w:rsidRPr="00316CA0">
        <w:rPr>
          <w:rFonts w:ascii="Palatino Linotype" w:eastAsia="Palatino Linotype" w:hAnsi="Palatino Linotype" w:cs="Palatino Linotype"/>
          <w:b/>
          <w:i/>
          <w:color w:val="000000" w:themeColor="text1"/>
        </w:rPr>
        <w:t>“Cuentas bancarias y/o CLABE interbancaria de personas físicas y morales privadas.</w:t>
      </w:r>
      <w:r w:rsidRPr="00316CA0">
        <w:rPr>
          <w:rFonts w:ascii="Palatino Linotype" w:eastAsia="Palatino Linotype" w:hAnsi="Palatino Linotype" w:cs="Palatino Linotype"/>
          <w:i/>
          <w:color w:val="000000" w:themeColor="text1"/>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BD0A01" w:rsidRPr="00316CA0" w:rsidRDefault="00A9456A" w:rsidP="004F19E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316CA0">
        <w:rPr>
          <w:rFonts w:ascii="Palatino Linotype" w:eastAsia="Palatino Linotype" w:hAnsi="Palatino Linotype" w:cs="Palatino Linotype"/>
          <w:b/>
          <w:i/>
          <w:color w:val="000000" w:themeColor="text1"/>
        </w:rPr>
        <w:t>Cuentas bancarias y/o CLABE interbancaria de sujetos obligados que reciben y/o transfieren recursos públicos, son información pública</w:t>
      </w:r>
      <w:r w:rsidRPr="00316CA0">
        <w:rPr>
          <w:rFonts w:ascii="Palatino Linotype" w:eastAsia="Palatino Linotype" w:hAnsi="Palatino Linotype" w:cs="Palatino Linotype"/>
          <w:i/>
          <w:color w:val="000000" w:themeColor="text1"/>
        </w:rPr>
        <w:t xml:space="preserve">. La difusión de las cuentas bancarias y claves </w:t>
      </w:r>
      <w:r w:rsidRPr="00316CA0">
        <w:rPr>
          <w:rFonts w:ascii="Palatino Linotype" w:eastAsia="Palatino Linotype" w:hAnsi="Palatino Linotype" w:cs="Palatino Linotype"/>
          <w:i/>
          <w:color w:val="000000" w:themeColor="text1"/>
        </w:rPr>
        <w:lastRenderedPageBreak/>
        <w:t>interbancarias pertenecientes a un sujeto obligado favorece la rendición de cuentas al transparentar la forma en que se administran los recursos públicos, razón por la cual no pueden considerarse como información clasificada.”</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8" w:name="_heading=h.bh54vx1cw21h" w:colFirst="0" w:colLast="0"/>
      <w:bookmarkEnd w:id="8"/>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16CA0">
        <w:rPr>
          <w:rFonts w:ascii="Palatino Linotype" w:eastAsia="Palatino Linotype" w:hAnsi="Palatino Linotype" w:cs="Palatino Linotype"/>
          <w:b/>
          <w:color w:val="000000" w:themeColor="text1"/>
        </w:rPr>
        <w:t>Sujeto Obligado</w:t>
      </w:r>
      <w:r w:rsidRPr="00316CA0">
        <w:rPr>
          <w:rFonts w:ascii="Palatino Linotype" w:eastAsia="Palatino Linotype" w:hAnsi="Palatino Linotype" w:cs="Palatino Linotype"/>
          <w:color w:val="000000" w:themeColor="text1"/>
        </w:rPr>
        <w:t xml:space="preserve"> a testar, suprimir o eliminar datos de dicho soporte documental</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450D22" w:rsidRPr="00316CA0" w:rsidRDefault="00450D22" w:rsidP="00450D2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Además, en el artículo 5° de dicho ordenamiento jurídico, establece que es la Ley aplicable para todo tratamiento de datos personales. En ese orden de ideas, los artículos 6°, 7°, </w:t>
      </w:r>
      <w:r w:rsidRPr="00316CA0">
        <w:rPr>
          <w:rFonts w:ascii="Palatino Linotype" w:eastAsia="Palatino Linotype" w:hAnsi="Palatino Linotype" w:cs="Palatino Linotype"/>
          <w:color w:val="000000" w:themeColor="text1"/>
        </w:rPr>
        <w:lastRenderedPageBreak/>
        <w:t>8° y 14 de la Ley de Protección de Datos Bajo ese contexto, se analizarán si los datos referidos, deben ser considerados confidenciales o públicos.</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Entonces, el </w:t>
      </w:r>
      <w:r w:rsidRPr="00316CA0">
        <w:rPr>
          <w:rFonts w:ascii="Palatino Linotype" w:eastAsia="Palatino Linotype" w:hAnsi="Palatino Linotype" w:cs="Palatino Linotype"/>
          <w:b/>
          <w:color w:val="000000" w:themeColor="text1"/>
        </w:rPr>
        <w:t>SUJETO OBLIGADO</w:t>
      </w:r>
      <w:r w:rsidRPr="00316CA0">
        <w:rPr>
          <w:rFonts w:ascii="Palatino Linotype" w:eastAsia="Palatino Linotype" w:hAnsi="Palatino Linotype" w:cs="Palatino Linotype"/>
          <w:color w:val="000000" w:themeColor="text1"/>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316CA0">
        <w:rPr>
          <w:rFonts w:ascii="Palatino Linotype" w:eastAsia="Palatino Linotype" w:hAnsi="Palatino Linotype" w:cs="Palatino Linotype"/>
          <w:i/>
          <w:color w:val="000000" w:themeColor="text1"/>
        </w:rPr>
        <w:t>.</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Cabe destacar que, para la realización de la clasificación de la información, se deben seguir una serie de pasos y procedimientos, por lo que es menester reiterar los mismos:</w:t>
      </w:r>
    </w:p>
    <w:p w:rsidR="00BD0A01" w:rsidRPr="00316CA0" w:rsidRDefault="00BD0A01" w:rsidP="004F19EF">
      <w:pPr>
        <w:tabs>
          <w:tab w:val="left" w:pos="284"/>
        </w:tabs>
        <w:spacing w:line="360" w:lineRule="auto"/>
        <w:jc w:val="both"/>
        <w:rPr>
          <w:rFonts w:ascii="Palatino Linotype" w:eastAsia="Palatino Linotype" w:hAnsi="Palatino Linotype" w:cs="Palatino Linotype"/>
          <w:color w:val="000000" w:themeColor="text1"/>
        </w:rPr>
      </w:pPr>
    </w:p>
    <w:tbl>
      <w:tblPr>
        <w:tblStyle w:val="a2"/>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14"/>
        <w:gridCol w:w="6804"/>
      </w:tblGrid>
      <w:tr w:rsidR="004F19EF" w:rsidRPr="00316CA0" w:rsidTr="00501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BD0A01" w:rsidRPr="00316CA0" w:rsidRDefault="00A9456A" w:rsidP="004F19EF">
            <w:pPr>
              <w:tabs>
                <w:tab w:val="left" w:pos="284"/>
              </w:tabs>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a) Requisitos previos.</w:t>
            </w:r>
          </w:p>
        </w:tc>
        <w:tc>
          <w:tcPr>
            <w:tcW w:w="6804" w:type="dxa"/>
          </w:tcPr>
          <w:p w:rsidR="00BD0A01" w:rsidRPr="00316CA0" w:rsidRDefault="00A9456A" w:rsidP="004F19EF">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val="0"/>
                <w:color w:val="000000" w:themeColor="text1"/>
              </w:rPr>
              <w:t>Los artículos 100 y 122 de la Ley Estatal y de la Ley General</w:t>
            </w:r>
            <w:r w:rsidRPr="00316CA0">
              <w:rPr>
                <w:rFonts w:ascii="Palatino Linotype" w:eastAsia="Palatino Linotype" w:hAnsi="Palatino Linotype" w:cs="Palatino Linotype"/>
                <w:color w:val="000000" w:themeColor="text1"/>
              </w:rPr>
              <w:t xml:space="preserve"> </w:t>
            </w:r>
            <w:r w:rsidRPr="00316CA0">
              <w:rPr>
                <w:rFonts w:ascii="Palatino Linotype" w:eastAsia="Palatino Linotype" w:hAnsi="Palatino Linotype" w:cs="Palatino Linotype"/>
                <w:b w:val="0"/>
                <w:color w:val="000000" w:themeColor="text1"/>
              </w:rPr>
              <w:t xml:space="preserve">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BD0A01" w:rsidRPr="00316CA0" w:rsidRDefault="00A9456A" w:rsidP="004F19EF">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val="0"/>
                <w:color w:val="000000" w:themeColor="text1"/>
              </w:rPr>
              <w:t>Al hacerlo tienen que precisar de qué información se trata, señalando el supuesto de clasificación (confidencialidad o reserva).</w:t>
            </w:r>
          </w:p>
          <w:p w:rsidR="00BD0A01" w:rsidRPr="00316CA0" w:rsidRDefault="00A9456A" w:rsidP="004F19EF">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val="0"/>
                <w:color w:val="000000" w:themeColor="text1"/>
              </w:rPr>
              <w:t>Además, se debe señalar el procedimiento, de los tres que establecen los artículos 132 y 106 de la Ley Estatal y General, respectivamente.</w:t>
            </w:r>
          </w:p>
          <w:p w:rsidR="00BD0A01" w:rsidRPr="00316CA0" w:rsidRDefault="00A9456A" w:rsidP="004F19EF">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val="0"/>
                <w:color w:val="000000" w:themeColor="text1"/>
              </w:rPr>
              <w:t xml:space="preserve">El último de estos requisitos previos consiste en que no se pueden emitir acuerdos de carácter general ni particular, esto es, </w:t>
            </w:r>
            <w:r w:rsidRPr="00316CA0">
              <w:rPr>
                <w:rFonts w:ascii="Palatino Linotype" w:eastAsia="Palatino Linotype" w:hAnsi="Palatino Linotype" w:cs="Palatino Linotype"/>
                <w:b w:val="0"/>
                <w:color w:val="000000" w:themeColor="text1"/>
                <w:u w:val="single"/>
              </w:rPr>
              <w:t>no se puede hacer un acuerdo para clasificar de manera general todos los documentos de un expediente o área, sin</w:t>
            </w:r>
            <w:r w:rsidRPr="00316CA0">
              <w:rPr>
                <w:rFonts w:ascii="Palatino Linotype" w:eastAsia="Palatino Linotype" w:hAnsi="Palatino Linotype" w:cs="Palatino Linotype"/>
                <w:b w:val="0"/>
                <w:color w:val="000000" w:themeColor="text1"/>
              </w:rPr>
              <w:t xml:space="preserve"> </w:t>
            </w:r>
            <w:r w:rsidRPr="00316CA0">
              <w:rPr>
                <w:rFonts w:ascii="Palatino Linotype" w:eastAsia="Palatino Linotype" w:hAnsi="Palatino Linotype" w:cs="Palatino Linotype"/>
                <w:b w:val="0"/>
                <w:color w:val="000000" w:themeColor="text1"/>
              </w:rPr>
              <w:lastRenderedPageBreak/>
              <w:t>individualizar su análisis y tampoco se puede hacer un acuerdo por cada dato que se vaya a clasificar dentro de un documento con diez datos, por ejemplo, susceptibles de ser clasificados.</w:t>
            </w:r>
          </w:p>
          <w:p w:rsidR="00BD0A01" w:rsidRPr="00316CA0" w:rsidRDefault="00BD0A01" w:rsidP="004F19EF">
            <w:pPr>
              <w:tabs>
                <w:tab w:val="left" w:pos="284"/>
              </w:tabs>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p>
        </w:tc>
      </w:tr>
      <w:tr w:rsidR="004F19EF" w:rsidRPr="00316CA0" w:rsidTr="0050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BD0A01" w:rsidRPr="00316CA0" w:rsidRDefault="00A9456A" w:rsidP="004F19EF">
            <w:pPr>
              <w:tabs>
                <w:tab w:val="left" w:pos="284"/>
              </w:tabs>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b) Supuestos de clasificación.</w:t>
            </w:r>
          </w:p>
        </w:tc>
        <w:tc>
          <w:tcPr>
            <w:tcW w:w="6804" w:type="dxa"/>
          </w:tcPr>
          <w:p w:rsidR="00BD0A01" w:rsidRPr="00316CA0" w:rsidRDefault="00A9456A"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BD0A01" w:rsidRPr="00316CA0" w:rsidRDefault="00A9456A"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BD0A01" w:rsidRPr="00316CA0" w:rsidRDefault="00A9456A"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El </w:t>
            </w:r>
            <w:r w:rsidRPr="00316CA0">
              <w:rPr>
                <w:rFonts w:ascii="Palatino Linotype" w:eastAsia="Palatino Linotype" w:hAnsi="Palatino Linotype" w:cs="Palatino Linotype"/>
                <w:b/>
                <w:color w:val="000000" w:themeColor="text1"/>
              </w:rPr>
              <w:t>Sujeto Obligado</w:t>
            </w:r>
            <w:r w:rsidRPr="00316CA0">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BD0A01" w:rsidRPr="00316CA0" w:rsidRDefault="00BD0A01"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p>
        </w:tc>
      </w:tr>
      <w:tr w:rsidR="004F19EF" w:rsidRPr="00316CA0" w:rsidTr="005015BD">
        <w:tc>
          <w:tcPr>
            <w:cnfStyle w:val="001000000000" w:firstRow="0" w:lastRow="0" w:firstColumn="1" w:lastColumn="0" w:oddVBand="0" w:evenVBand="0" w:oddHBand="0" w:evenHBand="0" w:firstRowFirstColumn="0" w:firstRowLastColumn="0" w:lastRowFirstColumn="0" w:lastRowLastColumn="0"/>
            <w:tcW w:w="3114" w:type="dxa"/>
          </w:tcPr>
          <w:p w:rsidR="00BD0A01" w:rsidRPr="00316CA0" w:rsidRDefault="00A9456A" w:rsidP="004F19EF">
            <w:pPr>
              <w:tabs>
                <w:tab w:val="left" w:pos="284"/>
              </w:tabs>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c) Formalidades para emitir el acuerdo de clasificación.</w:t>
            </w:r>
          </w:p>
        </w:tc>
        <w:tc>
          <w:tcPr>
            <w:tcW w:w="6804" w:type="dxa"/>
          </w:tcPr>
          <w:p w:rsidR="00BD0A01" w:rsidRPr="00316CA0" w:rsidRDefault="00A9456A" w:rsidP="004F19EF">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BD0A01" w:rsidRPr="00316CA0" w:rsidRDefault="00A9456A" w:rsidP="004F19EF">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Es necesario que </w:t>
            </w:r>
            <w:r w:rsidRPr="00316CA0">
              <w:rPr>
                <w:rFonts w:ascii="Palatino Linotype" w:eastAsia="Palatino Linotype" w:hAnsi="Palatino Linotype" w:cs="Palatino Linotype"/>
                <w:b/>
                <w:color w:val="000000" w:themeColor="text1"/>
                <w:u w:val="single"/>
              </w:rPr>
              <w:t>el acto reúna con los requisitos elementales</w:t>
            </w:r>
            <w:r w:rsidRPr="00316CA0">
              <w:rPr>
                <w:rFonts w:ascii="Palatino Linotype" w:eastAsia="Palatino Linotype" w:hAnsi="Palatino Linotype" w:cs="Palatino Linotype"/>
                <w:color w:val="000000" w:themeColor="text1"/>
              </w:rPr>
              <w:t>, entre ellos, que la autoridad que va a emitir el acto de autoridad sea la legalmente facultada para ello.</w:t>
            </w:r>
          </w:p>
          <w:p w:rsidR="00BD0A01" w:rsidRPr="00316CA0" w:rsidRDefault="00A9456A" w:rsidP="004F19EF">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w:t>
            </w:r>
            <w:r w:rsidRPr="00316CA0">
              <w:rPr>
                <w:rFonts w:ascii="Palatino Linotype" w:eastAsia="Palatino Linotype" w:hAnsi="Palatino Linotype" w:cs="Palatino Linotype"/>
                <w:color w:val="000000" w:themeColor="text1"/>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BD0A01" w:rsidRPr="00316CA0" w:rsidRDefault="00BD0A01" w:rsidP="004F19EF">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p>
        </w:tc>
      </w:tr>
      <w:tr w:rsidR="004F19EF" w:rsidRPr="00316CA0" w:rsidTr="0050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BD0A01" w:rsidRPr="00316CA0" w:rsidRDefault="00BD0A01" w:rsidP="004F19EF">
            <w:pPr>
              <w:tabs>
                <w:tab w:val="left" w:pos="284"/>
              </w:tabs>
              <w:jc w:val="both"/>
              <w:rPr>
                <w:rFonts w:ascii="Palatino Linotype" w:eastAsia="Palatino Linotype" w:hAnsi="Palatino Linotype" w:cs="Palatino Linotype"/>
                <w:color w:val="000000" w:themeColor="text1"/>
              </w:rPr>
            </w:pPr>
          </w:p>
          <w:p w:rsidR="00BD0A01" w:rsidRPr="00316CA0" w:rsidRDefault="00A9456A" w:rsidP="004F19EF">
            <w:pPr>
              <w:tabs>
                <w:tab w:val="left" w:pos="284"/>
              </w:tabs>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d) Requisitos de fondo del acuerdo de clasificación. </w:t>
            </w:r>
          </w:p>
        </w:tc>
        <w:tc>
          <w:tcPr>
            <w:tcW w:w="6804" w:type="dxa"/>
          </w:tcPr>
          <w:p w:rsidR="00BD0A01" w:rsidRPr="00316CA0" w:rsidRDefault="00A9456A"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16CA0">
              <w:rPr>
                <w:rFonts w:ascii="Palatino Linotype" w:eastAsia="Palatino Linotype" w:hAnsi="Palatino Linotype" w:cs="Palatino Linotype"/>
                <w:b/>
                <w:color w:val="000000" w:themeColor="text1"/>
              </w:rPr>
              <w:t>Sujetos Obligados</w:t>
            </w:r>
            <w:r w:rsidRPr="00316CA0">
              <w:rPr>
                <w:rFonts w:ascii="Palatino Linotype" w:eastAsia="Palatino Linotype" w:hAnsi="Palatino Linotype" w:cs="Palatino Linotype"/>
                <w:color w:val="000000" w:themeColor="text1"/>
              </w:rPr>
              <w:t xml:space="preserve">, por lo que deberán fundar y motivar debidamente la clasificación. </w:t>
            </w:r>
          </w:p>
          <w:p w:rsidR="00BD0A01" w:rsidRPr="00316CA0" w:rsidRDefault="00A9456A"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De lo anterior, se desprende que para una correcta </w:t>
            </w:r>
            <w:r w:rsidRPr="00316CA0">
              <w:rPr>
                <w:rFonts w:ascii="Palatino Linotype" w:eastAsia="Palatino Linotype" w:hAnsi="Palatino Linotype" w:cs="Palatino Linotype"/>
                <w:b/>
                <w:color w:val="000000" w:themeColor="text1"/>
              </w:rPr>
              <w:t>clasificación total o parcial</w:t>
            </w:r>
            <w:r w:rsidRPr="00316CA0">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D0A01" w:rsidRPr="00316CA0" w:rsidRDefault="00A9456A"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D0A01" w:rsidRPr="00316CA0" w:rsidRDefault="00A9456A"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la </w:t>
            </w:r>
            <w:r w:rsidRPr="00316CA0">
              <w:rPr>
                <w:rFonts w:ascii="Palatino Linotype" w:eastAsia="Palatino Linotype" w:hAnsi="Palatino Linotype" w:cs="Palatino Linotype"/>
                <w:color w:val="000000" w:themeColor="text1"/>
              </w:rPr>
              <w:lastRenderedPageBreak/>
              <w:t>clasificación se deben acreditar las circunstancias de tiempo, modo y lugar.</w:t>
            </w:r>
          </w:p>
          <w:p w:rsidR="00BD0A01" w:rsidRPr="00316CA0" w:rsidRDefault="00A9456A"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Ahora bien, </w:t>
            </w:r>
            <w:r w:rsidRPr="00316CA0">
              <w:rPr>
                <w:rFonts w:ascii="Palatino Linotype" w:eastAsia="Palatino Linotype" w:hAnsi="Palatino Linotype" w:cs="Palatino Linotype"/>
                <w:b/>
                <w:color w:val="000000" w:themeColor="text1"/>
                <w:u w:val="single"/>
              </w:rPr>
              <w:t>para cada caso además de fundar y motivar</w:t>
            </w:r>
            <w:r w:rsidRPr="00316CA0">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BD0A01" w:rsidRPr="00316CA0" w:rsidRDefault="00BD0A01" w:rsidP="004F19EF">
            <w:pPr>
              <w:tabs>
                <w:tab w:val="left" w:pos="284"/>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p>
        </w:tc>
      </w:tr>
      <w:tr w:rsidR="004F19EF" w:rsidRPr="00316CA0" w:rsidTr="005015BD">
        <w:tc>
          <w:tcPr>
            <w:cnfStyle w:val="001000000000" w:firstRow="0" w:lastRow="0" w:firstColumn="1" w:lastColumn="0" w:oddVBand="0" w:evenVBand="0" w:oddHBand="0" w:evenHBand="0" w:firstRowFirstColumn="0" w:firstRowLastColumn="0" w:lastRowFirstColumn="0" w:lastRowLastColumn="0"/>
            <w:tcW w:w="3114" w:type="dxa"/>
          </w:tcPr>
          <w:p w:rsidR="00BD0A01" w:rsidRPr="00316CA0" w:rsidRDefault="00A9456A" w:rsidP="004F19EF">
            <w:pPr>
              <w:tabs>
                <w:tab w:val="left" w:pos="284"/>
              </w:tabs>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804" w:type="dxa"/>
          </w:tcPr>
          <w:p w:rsidR="00BD0A01" w:rsidRPr="00316CA0" w:rsidRDefault="00A9456A" w:rsidP="004F19EF">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BD0A01" w:rsidRPr="00316CA0" w:rsidRDefault="00A9456A" w:rsidP="004F19EF">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D0A01" w:rsidRPr="00316CA0" w:rsidRDefault="00A9456A" w:rsidP="004F19EF">
            <w:pPr>
              <w:tabs>
                <w:tab w:val="left" w:pos="284"/>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50D22" w:rsidRDefault="00450D22" w:rsidP="00450D2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En mérito de lo expuesto en líneas anteriores, se consideran </w:t>
      </w:r>
      <w:r w:rsidRPr="00316CA0">
        <w:rPr>
          <w:rFonts w:ascii="Palatino Linotype" w:eastAsia="Palatino Linotype" w:hAnsi="Palatino Linotype" w:cs="Palatino Linotype"/>
          <w:b/>
          <w:color w:val="000000" w:themeColor="text1"/>
        </w:rPr>
        <w:t xml:space="preserve">fundados </w:t>
      </w:r>
      <w:r w:rsidRPr="00316CA0">
        <w:rPr>
          <w:rFonts w:ascii="Palatino Linotype" w:eastAsia="Palatino Linotype" w:hAnsi="Palatino Linotype" w:cs="Palatino Linotype"/>
          <w:color w:val="000000" w:themeColor="text1"/>
        </w:rPr>
        <w:t xml:space="preserve">los motivos de inconformidad vertidos por </w:t>
      </w:r>
      <w:r w:rsidRPr="00316CA0">
        <w:rPr>
          <w:rFonts w:ascii="Palatino Linotype" w:eastAsia="Palatino Linotype" w:hAnsi="Palatino Linotype" w:cs="Palatino Linotype"/>
          <w:b/>
          <w:color w:val="000000" w:themeColor="text1"/>
        </w:rPr>
        <w:t>El Recurrente,</w:t>
      </w:r>
      <w:r w:rsidRPr="00316CA0">
        <w:rPr>
          <w:rFonts w:ascii="Palatino Linotype" w:eastAsia="Palatino Linotype" w:hAnsi="Palatino Linotype" w:cs="Palatino Linotype"/>
          <w:color w:val="000000" w:themeColor="text1"/>
        </w:rPr>
        <w:t xml:space="preserve"> y</w:t>
      </w:r>
      <w:r w:rsidRPr="00316CA0">
        <w:rPr>
          <w:rFonts w:ascii="Palatino Linotype" w:eastAsia="Palatino Linotype" w:hAnsi="Palatino Linotype" w:cs="Palatino Linotype"/>
          <w:b/>
          <w:color w:val="000000" w:themeColor="text1"/>
        </w:rPr>
        <w:t xml:space="preserve"> </w:t>
      </w:r>
      <w:r w:rsidRPr="00316CA0">
        <w:rPr>
          <w:rFonts w:ascii="Palatino Linotype" w:eastAsia="Palatino Linotype" w:hAnsi="Palatino Linotype" w:cs="Palatino Linotype"/>
          <w:color w:val="000000" w:themeColor="text1"/>
        </w:rPr>
        <w:t xml:space="preserve">por ello con fundamento en el artículo 186 fracción III de la Ley de Transparencia y Acceso a la Información Pública del Estado de México </w:t>
      </w:r>
      <w:r w:rsidRPr="00316CA0">
        <w:rPr>
          <w:rFonts w:ascii="Palatino Linotype" w:eastAsia="Palatino Linotype" w:hAnsi="Palatino Linotype" w:cs="Palatino Linotype"/>
          <w:color w:val="000000" w:themeColor="text1"/>
        </w:rPr>
        <w:lastRenderedPageBreak/>
        <w:t>y Municipios, se</w:t>
      </w:r>
      <w:r w:rsidRPr="00316CA0">
        <w:rPr>
          <w:rFonts w:ascii="Palatino Linotype" w:eastAsia="Palatino Linotype" w:hAnsi="Palatino Linotype" w:cs="Palatino Linotype"/>
          <w:b/>
          <w:color w:val="000000" w:themeColor="text1"/>
        </w:rPr>
        <w:t xml:space="preserve"> REVOCA </w:t>
      </w:r>
      <w:r w:rsidRPr="00316CA0">
        <w:rPr>
          <w:rFonts w:ascii="Palatino Linotype" w:eastAsia="Palatino Linotype" w:hAnsi="Palatino Linotype" w:cs="Palatino Linotype"/>
          <w:color w:val="000000" w:themeColor="text1"/>
        </w:rPr>
        <w:t xml:space="preserve">la respuesta a la solicitud de información recaída en el Recurso de Revisión </w:t>
      </w:r>
      <w:r w:rsidRPr="00316CA0">
        <w:rPr>
          <w:rFonts w:ascii="Palatino Linotype" w:eastAsia="Palatino Linotype" w:hAnsi="Palatino Linotype" w:cs="Palatino Linotype"/>
          <w:b/>
          <w:color w:val="000000" w:themeColor="text1"/>
        </w:rPr>
        <w:t xml:space="preserve">06158/INFOEM/IP/RR/2025 </w:t>
      </w:r>
      <w:r w:rsidRPr="00316CA0">
        <w:rPr>
          <w:rFonts w:ascii="Palatino Linotype" w:eastAsia="Palatino Linotype" w:hAnsi="Palatino Linotype" w:cs="Palatino Linotype"/>
          <w:color w:val="000000" w:themeColor="text1"/>
        </w:rPr>
        <w:t>que ha sido materia del presente fallo emitiendo para tal efecto los siguientes:</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t xml:space="preserve">Por lo anteriormente expuesto y fundado, este </w:t>
      </w:r>
      <w:r w:rsidRPr="00316CA0">
        <w:rPr>
          <w:rFonts w:ascii="Palatino Linotype" w:eastAsia="Palatino Linotype" w:hAnsi="Palatino Linotype" w:cs="Palatino Linotype"/>
          <w:b/>
          <w:color w:val="000000" w:themeColor="text1"/>
        </w:rPr>
        <w:t>ÓRGANO GARANTE</w:t>
      </w:r>
      <w:r w:rsidRPr="00316CA0">
        <w:rPr>
          <w:rFonts w:ascii="Palatino Linotype" w:eastAsia="Palatino Linotype" w:hAnsi="Palatino Linotype" w:cs="Palatino Linotype"/>
          <w:color w:val="000000" w:themeColor="text1"/>
        </w:rPr>
        <w:t xml:space="preserve"> emite los siguientes: </w:t>
      </w:r>
    </w:p>
    <w:p w:rsidR="00BD0A01" w:rsidRPr="00316CA0" w:rsidRDefault="00BD0A01" w:rsidP="004F19E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keepNext/>
        <w:keepLines/>
        <w:spacing w:line="360" w:lineRule="auto"/>
        <w:jc w:val="center"/>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b/>
          <w:color w:val="000000" w:themeColor="text1"/>
        </w:rPr>
        <w:t>R E S O L U T I V O S</w:t>
      </w:r>
    </w:p>
    <w:p w:rsidR="00BD0A01" w:rsidRPr="00316CA0" w:rsidRDefault="00A9456A" w:rsidP="004F19EF">
      <w:pPr>
        <w:spacing w:line="360" w:lineRule="auto"/>
        <w:jc w:val="both"/>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b/>
          <w:color w:val="000000" w:themeColor="text1"/>
        </w:rPr>
        <w:tab/>
      </w:r>
    </w:p>
    <w:p w:rsidR="00BD0A01" w:rsidRPr="00316CA0" w:rsidRDefault="00A9456A" w:rsidP="004F19EF">
      <w:pPr>
        <w:spacing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color w:val="000000" w:themeColor="text1"/>
        </w:rPr>
        <w:t>PRIMERO</w:t>
      </w:r>
      <w:r w:rsidRPr="00316CA0">
        <w:rPr>
          <w:rFonts w:ascii="Palatino Linotype" w:eastAsia="Palatino Linotype" w:hAnsi="Palatino Linotype" w:cs="Palatino Linotype"/>
          <w:color w:val="000000" w:themeColor="text1"/>
        </w:rPr>
        <w:t xml:space="preserve">. Resultan fundadas las razones o motivos de inconformidad hechos valer en el Recurso de Revisión </w:t>
      </w:r>
      <w:r w:rsidRPr="00316CA0">
        <w:rPr>
          <w:rFonts w:ascii="Palatino Linotype" w:eastAsia="Palatino Linotype" w:hAnsi="Palatino Linotype" w:cs="Palatino Linotype"/>
          <w:b/>
          <w:color w:val="000000" w:themeColor="text1"/>
        </w:rPr>
        <w:t>06158/INFOEM/IP/RR/2025</w:t>
      </w:r>
      <w:r w:rsidRPr="00316CA0">
        <w:rPr>
          <w:rFonts w:ascii="Palatino Linotype" w:eastAsia="Palatino Linotype" w:hAnsi="Palatino Linotype" w:cs="Palatino Linotype"/>
          <w:color w:val="000000" w:themeColor="text1"/>
        </w:rPr>
        <w:t>,</w:t>
      </w:r>
      <w:r w:rsidRPr="00316CA0">
        <w:rPr>
          <w:rFonts w:ascii="Palatino Linotype" w:eastAsia="Palatino Linotype" w:hAnsi="Palatino Linotype" w:cs="Palatino Linotype"/>
          <w:b/>
          <w:color w:val="000000" w:themeColor="text1"/>
        </w:rPr>
        <w:t xml:space="preserve"> </w:t>
      </w:r>
      <w:r w:rsidRPr="00316CA0">
        <w:rPr>
          <w:rFonts w:ascii="Palatino Linotype" w:eastAsia="Palatino Linotype" w:hAnsi="Palatino Linotype" w:cs="Palatino Linotype"/>
          <w:color w:val="000000" w:themeColor="text1"/>
        </w:rPr>
        <w:t>en términos del Considerando Cuarto</w:t>
      </w:r>
      <w:r w:rsidRPr="00316CA0">
        <w:rPr>
          <w:rFonts w:ascii="Palatino Linotype" w:eastAsia="Palatino Linotype" w:hAnsi="Palatino Linotype" w:cs="Palatino Linotype"/>
          <w:b/>
          <w:color w:val="000000" w:themeColor="text1"/>
        </w:rPr>
        <w:t xml:space="preserve"> </w:t>
      </w:r>
      <w:r w:rsidRPr="00316CA0">
        <w:rPr>
          <w:rFonts w:ascii="Palatino Linotype" w:eastAsia="Palatino Linotype" w:hAnsi="Palatino Linotype" w:cs="Palatino Linotype"/>
          <w:color w:val="000000" w:themeColor="text1"/>
        </w:rPr>
        <w:t>y Quinto de la presente Resolución.</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pBdr>
          <w:top w:val="nil"/>
          <w:left w:val="nil"/>
          <w:bottom w:val="nil"/>
          <w:right w:val="nil"/>
          <w:between w:val="nil"/>
        </w:pBdr>
        <w:tabs>
          <w:tab w:val="left" w:pos="9639"/>
        </w:tabs>
        <w:spacing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color w:val="000000" w:themeColor="text1"/>
        </w:rPr>
        <w:t xml:space="preserve">SEGUNDO. </w:t>
      </w:r>
      <w:r w:rsidRPr="00316CA0">
        <w:rPr>
          <w:rFonts w:ascii="Palatino Linotype" w:eastAsia="Palatino Linotype" w:hAnsi="Palatino Linotype" w:cs="Palatino Linotype"/>
          <w:color w:val="000000" w:themeColor="text1"/>
        </w:rPr>
        <w:t xml:space="preserve">Se </w:t>
      </w:r>
      <w:r w:rsidRPr="00316CA0">
        <w:rPr>
          <w:rFonts w:ascii="Palatino Linotype" w:eastAsia="Palatino Linotype" w:hAnsi="Palatino Linotype" w:cs="Palatino Linotype"/>
          <w:b/>
          <w:color w:val="000000" w:themeColor="text1"/>
        </w:rPr>
        <w:t>REVOCA</w:t>
      </w:r>
      <w:r w:rsidRPr="00316CA0">
        <w:rPr>
          <w:rFonts w:ascii="Palatino Linotype" w:eastAsia="Palatino Linotype" w:hAnsi="Palatino Linotype" w:cs="Palatino Linotype"/>
          <w:color w:val="000000" w:themeColor="text1"/>
        </w:rPr>
        <w:t xml:space="preserve"> la respuesta a la Solicitud de Información </w:t>
      </w:r>
      <w:r w:rsidRPr="00316CA0">
        <w:rPr>
          <w:rFonts w:ascii="Palatino Linotype" w:eastAsia="Palatino Linotype" w:hAnsi="Palatino Linotype" w:cs="Palatino Linotype"/>
          <w:b/>
          <w:color w:val="000000" w:themeColor="text1"/>
        </w:rPr>
        <w:t xml:space="preserve">00100/OASCUATIZC/IP/2025 </w:t>
      </w:r>
      <w:r w:rsidRPr="00316CA0">
        <w:rPr>
          <w:rFonts w:ascii="Palatino Linotype" w:eastAsia="Palatino Linotype" w:hAnsi="Palatino Linotype" w:cs="Palatino Linotype"/>
          <w:color w:val="000000" w:themeColor="text1"/>
        </w:rPr>
        <w:t xml:space="preserve">y se </w:t>
      </w:r>
      <w:r w:rsidRPr="00316CA0">
        <w:rPr>
          <w:rFonts w:ascii="Palatino Linotype" w:eastAsia="Palatino Linotype" w:hAnsi="Palatino Linotype" w:cs="Palatino Linotype"/>
          <w:b/>
          <w:color w:val="000000" w:themeColor="text1"/>
        </w:rPr>
        <w:t xml:space="preserve">ORDENA </w:t>
      </w:r>
      <w:r w:rsidRPr="00316CA0">
        <w:rPr>
          <w:rFonts w:ascii="Palatino Linotype" w:eastAsia="Palatino Linotype" w:hAnsi="Palatino Linotype" w:cs="Palatino Linotype"/>
          <w:color w:val="000000" w:themeColor="text1"/>
        </w:rPr>
        <w:t xml:space="preserve">al </w:t>
      </w:r>
      <w:r w:rsidRPr="00316CA0">
        <w:rPr>
          <w:rFonts w:ascii="Palatino Linotype" w:eastAsia="Palatino Linotype" w:hAnsi="Palatino Linotype" w:cs="Palatino Linotype"/>
          <w:b/>
          <w:color w:val="000000" w:themeColor="text1"/>
        </w:rPr>
        <w:t xml:space="preserve">Organismo Público Descentralizado Municipal para la Prestación de Los Servicios de Agua Potable Alcantarillado y Saneamiento de Cuautitlán Izcalli denominado OPERAGUA, O.P.D.M. </w:t>
      </w:r>
      <w:r w:rsidRPr="00316CA0">
        <w:rPr>
          <w:rFonts w:ascii="Palatino Linotype" w:eastAsia="Palatino Linotype" w:hAnsi="Palatino Linotype" w:cs="Palatino Linotype"/>
          <w:color w:val="000000" w:themeColor="text1"/>
        </w:rPr>
        <w:t>entregar, vía Sistema de Acceso a la Información Mexiquense (SAIMEX),  en versión pública, la siguiente información:</w:t>
      </w:r>
    </w:p>
    <w:p w:rsidR="00BD0A01" w:rsidRPr="00316CA0" w:rsidRDefault="00A9456A" w:rsidP="005015BD">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16CA0">
        <w:rPr>
          <w:rFonts w:ascii="Palatino Linotype" w:eastAsia="Palatino Linotype" w:hAnsi="Palatino Linotype" w:cs="Palatino Linotype"/>
          <w:b/>
          <w:color w:val="000000" w:themeColor="text1"/>
        </w:rPr>
        <w:t>Comprobante bancario de la dispersión de nómina de la primera quincena de abril de 2025.</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tabs>
          <w:tab w:val="left" w:pos="8080"/>
        </w:tabs>
        <w:spacing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color w:val="000000" w:themeColor="text1"/>
        </w:rPr>
        <w:lastRenderedPageBreak/>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316CA0">
        <w:rPr>
          <w:rFonts w:ascii="Palatino Linotype" w:eastAsia="Palatino Linotype" w:hAnsi="Palatino Linotype" w:cs="Palatino Linotype"/>
          <w:b/>
          <w:color w:val="000000" w:themeColor="text1"/>
        </w:rPr>
        <w:t>RECURRENTE</w:t>
      </w:r>
      <w:r w:rsidRPr="00316CA0">
        <w:rPr>
          <w:rFonts w:ascii="Palatino Linotype" w:eastAsia="Palatino Linotype" w:hAnsi="Palatino Linotype" w:cs="Palatino Linotype"/>
          <w:color w:val="000000" w:themeColor="text1"/>
        </w:rPr>
        <w:t>.</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tabs>
          <w:tab w:val="left" w:pos="284"/>
          <w:tab w:val="left" w:pos="8080"/>
        </w:tabs>
        <w:spacing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color w:val="000000" w:themeColor="text1"/>
        </w:rPr>
        <w:t>TERCERO. NOTIFÍQUESE</w:t>
      </w:r>
      <w:r w:rsidRPr="00316CA0">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16CA0">
        <w:rPr>
          <w:rFonts w:ascii="Palatino Linotype" w:eastAsia="Palatino Linotype" w:hAnsi="Palatino Linotype" w:cs="Palatino Linotype"/>
          <w:b/>
          <w:color w:val="000000" w:themeColor="text1"/>
        </w:rPr>
        <w:t xml:space="preserve">dé cumplimiento a lo ordenado dentro del plazo de diez días hábiles, </w:t>
      </w:r>
      <w:r w:rsidRPr="00316CA0">
        <w:rPr>
          <w:rFonts w:ascii="Palatino Linotype" w:eastAsia="Palatino Linotype" w:hAnsi="Palatino Linotype" w:cs="Palatino Linotype"/>
          <w:color w:val="000000" w:themeColor="text1"/>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D0A01" w:rsidRPr="00316CA0" w:rsidRDefault="00BD0A01" w:rsidP="004F19EF">
      <w:pPr>
        <w:tabs>
          <w:tab w:val="left" w:pos="284"/>
          <w:tab w:val="left" w:pos="8080"/>
        </w:tabs>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color w:val="000000" w:themeColor="text1"/>
        </w:rPr>
        <w:t xml:space="preserve">CUARTO. Notifíquese </w:t>
      </w:r>
      <w:r w:rsidRPr="00316CA0">
        <w:rPr>
          <w:rFonts w:ascii="Palatino Linotype" w:eastAsia="Palatino Linotype" w:hAnsi="Palatino Linotype" w:cs="Palatino Linotype"/>
          <w:color w:val="000000" w:themeColor="text1"/>
        </w:rPr>
        <w:t xml:space="preserve">al </w:t>
      </w:r>
      <w:r w:rsidRPr="00316CA0">
        <w:rPr>
          <w:rFonts w:ascii="Palatino Linotype" w:eastAsia="Palatino Linotype" w:hAnsi="Palatino Linotype" w:cs="Palatino Linotype"/>
          <w:b/>
          <w:color w:val="000000" w:themeColor="text1"/>
        </w:rPr>
        <w:t xml:space="preserve">RECURRENTE </w:t>
      </w:r>
      <w:r w:rsidRPr="00316CA0">
        <w:rPr>
          <w:rFonts w:ascii="Palatino Linotype" w:eastAsia="Palatino Linotype" w:hAnsi="Palatino Linotype" w:cs="Palatino Linotype"/>
          <w:color w:val="000000" w:themeColor="text1"/>
        </w:rPr>
        <w:t>la presente Resolución a través del Sistema de Acceso a la Información Mexiquense (SAIMEX).</w:t>
      </w:r>
    </w:p>
    <w:p w:rsidR="00BD0A01" w:rsidRPr="00316CA0" w:rsidRDefault="00BD0A01" w:rsidP="004F19EF">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spacing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color w:val="000000" w:themeColor="text1"/>
        </w:rPr>
        <w:t xml:space="preserve">QUINTO. </w:t>
      </w:r>
      <w:r w:rsidRPr="00316CA0">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Sujeto </w:t>
      </w:r>
      <w:r w:rsidRPr="00316CA0">
        <w:rPr>
          <w:rFonts w:ascii="Palatino Linotype" w:eastAsia="Palatino Linotype" w:hAnsi="Palatino Linotype" w:cs="Palatino Linotype"/>
          <w:color w:val="000000" w:themeColor="text1"/>
        </w:rPr>
        <w:lastRenderedPageBreak/>
        <w:t>Obligado de manera fundada y motivada, podrá solicitar una ampliación de plazo para el cumplimiento de la presente Resolución.</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BD0A01" w:rsidRPr="00316CA0" w:rsidRDefault="00A9456A" w:rsidP="004F19EF">
      <w:pPr>
        <w:shd w:val="clear" w:color="auto" w:fill="FFFFFF"/>
        <w:spacing w:line="360" w:lineRule="auto"/>
        <w:jc w:val="both"/>
        <w:rPr>
          <w:rFonts w:ascii="Palatino Linotype" w:eastAsia="Palatino Linotype" w:hAnsi="Palatino Linotype" w:cs="Palatino Linotype"/>
          <w:color w:val="000000" w:themeColor="text1"/>
        </w:rPr>
      </w:pPr>
      <w:r w:rsidRPr="00316CA0">
        <w:rPr>
          <w:rFonts w:ascii="Palatino Linotype" w:eastAsia="Palatino Linotype" w:hAnsi="Palatino Linotype" w:cs="Palatino Linotype"/>
          <w:b/>
          <w:color w:val="000000" w:themeColor="text1"/>
        </w:rPr>
        <w:t>SEXTO.</w:t>
      </w:r>
      <w:r w:rsidRPr="00316CA0">
        <w:rPr>
          <w:rFonts w:ascii="Palatino Linotype" w:eastAsia="Palatino Linotype" w:hAnsi="Palatino Linotype" w:cs="Palatino Linotype"/>
          <w:color w:val="000000" w:themeColor="text1"/>
        </w:rPr>
        <w:t xml:space="preserve"> Se hace del conocimiento del </w:t>
      </w:r>
      <w:r w:rsidRPr="00316CA0">
        <w:rPr>
          <w:rFonts w:ascii="Palatino Linotype" w:eastAsia="Palatino Linotype" w:hAnsi="Palatino Linotype" w:cs="Palatino Linotype"/>
          <w:b/>
          <w:color w:val="000000" w:themeColor="text1"/>
        </w:rPr>
        <w:t>RECURRENTE</w:t>
      </w:r>
      <w:r w:rsidRPr="00316CA0">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BD0A01" w:rsidRPr="00316CA0" w:rsidRDefault="00BD0A01" w:rsidP="004F19EF">
      <w:pPr>
        <w:spacing w:line="360" w:lineRule="auto"/>
        <w:jc w:val="both"/>
        <w:rPr>
          <w:rFonts w:ascii="Palatino Linotype" w:eastAsia="Palatino Linotype" w:hAnsi="Palatino Linotype" w:cs="Palatino Linotype"/>
          <w:color w:val="000000" w:themeColor="text1"/>
        </w:rPr>
      </w:pPr>
    </w:p>
    <w:p w:rsidR="00446943" w:rsidRPr="00444783" w:rsidRDefault="00316CA0" w:rsidP="00446943">
      <w:pPr>
        <w:spacing w:line="360" w:lineRule="auto"/>
        <w:ind w:right="49"/>
        <w:jc w:val="both"/>
        <w:rPr>
          <w:rFonts w:ascii="Palatino Linotype" w:eastAsia="Palatino Linotype" w:hAnsi="Palatino Linotype" w:cs="Palatino Linotype"/>
        </w:rPr>
      </w:pPr>
      <w:r w:rsidRPr="00316CA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(10) DE SEPTIEMBRE DE DOS MIL VEINTICINCO, ANTE EL SECRETARIO TÉCNICO DEL PLENO ALEXIS TAPIA RAMÍREZ</w:t>
      </w:r>
      <w:r w:rsidR="00446943" w:rsidRPr="00316CA0">
        <w:rPr>
          <w:rFonts w:ascii="Palatino Linotype" w:eastAsia="Palatino Linotype" w:hAnsi="Palatino Linotype" w:cs="Palatino Linotype"/>
        </w:rPr>
        <w:t>.</w:t>
      </w: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p w:rsidR="00BD0A01" w:rsidRPr="004F19EF" w:rsidRDefault="00A9456A" w:rsidP="004F19EF">
      <w:pPr>
        <w:tabs>
          <w:tab w:val="left" w:pos="3374"/>
        </w:tabs>
        <w:spacing w:line="360" w:lineRule="auto"/>
        <w:jc w:val="both"/>
        <w:rPr>
          <w:rFonts w:ascii="Palatino Linotype" w:eastAsia="Palatino Linotype" w:hAnsi="Palatino Linotype" w:cs="Palatino Linotype"/>
          <w:color w:val="000000" w:themeColor="text1"/>
        </w:rPr>
      </w:pPr>
      <w:r w:rsidRPr="004F19EF">
        <w:rPr>
          <w:rFonts w:ascii="Palatino Linotype" w:eastAsia="Palatino Linotype" w:hAnsi="Palatino Linotype" w:cs="Palatino Linotype"/>
          <w:color w:val="000000" w:themeColor="text1"/>
        </w:rPr>
        <w:tab/>
      </w:r>
    </w:p>
    <w:p w:rsidR="00BD0A01" w:rsidRPr="004F19EF" w:rsidRDefault="00BD0A01" w:rsidP="004F19EF">
      <w:pPr>
        <w:tabs>
          <w:tab w:val="left" w:pos="3374"/>
        </w:tabs>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tabs>
          <w:tab w:val="left" w:pos="3374"/>
        </w:tabs>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tabs>
          <w:tab w:val="left" w:pos="3374"/>
        </w:tabs>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tabs>
          <w:tab w:val="left" w:pos="3374"/>
        </w:tabs>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tabs>
          <w:tab w:val="left" w:pos="3374"/>
        </w:tabs>
        <w:spacing w:line="360" w:lineRule="auto"/>
        <w:jc w:val="both"/>
        <w:rPr>
          <w:rFonts w:ascii="Palatino Linotype" w:eastAsia="Palatino Linotype" w:hAnsi="Palatino Linotype" w:cs="Palatino Linotype"/>
          <w:color w:val="000000" w:themeColor="text1"/>
        </w:rPr>
      </w:pPr>
    </w:p>
    <w:p w:rsidR="00BD0A01" w:rsidRPr="004F19EF" w:rsidRDefault="00BD0A01" w:rsidP="004F19EF">
      <w:pPr>
        <w:spacing w:line="360" w:lineRule="auto"/>
        <w:jc w:val="both"/>
        <w:rPr>
          <w:rFonts w:ascii="Palatino Linotype" w:eastAsia="Palatino Linotype" w:hAnsi="Palatino Linotype" w:cs="Palatino Linotype"/>
          <w:color w:val="000000" w:themeColor="text1"/>
        </w:rPr>
      </w:pPr>
    </w:p>
    <w:sectPr w:rsidR="00BD0A01" w:rsidRPr="004F19EF" w:rsidSect="005015BD">
      <w:headerReference w:type="even" r:id="rId11"/>
      <w:headerReference w:type="default" r:id="rId12"/>
      <w:footerReference w:type="default" r:id="rId13"/>
      <w:headerReference w:type="first" r:id="rId14"/>
      <w:footerReference w:type="first" r:id="rId15"/>
      <w:pgSz w:w="12240" w:h="15840"/>
      <w:pgMar w:top="2268" w:right="616" w:bottom="1843"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D74" w:rsidRDefault="00227D74">
      <w:r>
        <w:separator/>
      </w:r>
    </w:p>
  </w:endnote>
  <w:endnote w:type="continuationSeparator" w:id="0">
    <w:p w:rsidR="00227D74" w:rsidRDefault="00227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01" w:rsidRDefault="00A9456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50D22">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50D22">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rsidR="00BD0A01" w:rsidRDefault="00BD0A0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01" w:rsidRDefault="00A9456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50D22">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50D22">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rsidR="00BD0A01" w:rsidRDefault="00BD0A0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D74" w:rsidRDefault="00227D74">
      <w:r>
        <w:separator/>
      </w:r>
    </w:p>
  </w:footnote>
  <w:footnote w:type="continuationSeparator" w:id="0">
    <w:p w:rsidR="00227D74" w:rsidRDefault="00227D74">
      <w:r>
        <w:continuationSeparator/>
      </w:r>
    </w:p>
  </w:footnote>
  <w:footnote w:id="1">
    <w:p w:rsidR="00BD0A01" w:rsidRDefault="00A9456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BD0A01" w:rsidRDefault="00A9456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BD0A01" w:rsidRDefault="00A9456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BD0A01" w:rsidRDefault="00A9456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BD0A01" w:rsidRDefault="00A9456A">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BD0A01" w:rsidRDefault="00A9456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BD0A01" w:rsidRDefault="00A9456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BD0A01" w:rsidRDefault="00A9456A">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01" w:rsidRDefault="00227D74">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8221" w:type="dxa"/>
      <w:tblInd w:w="1985" w:type="dxa"/>
      <w:tblLayout w:type="fixed"/>
      <w:tblLook w:val="0400" w:firstRow="0" w:lastRow="0" w:firstColumn="0" w:lastColumn="0" w:noHBand="0" w:noVBand="1"/>
    </w:tblPr>
    <w:tblGrid>
      <w:gridCol w:w="2976"/>
      <w:gridCol w:w="5245"/>
    </w:tblGrid>
    <w:tr w:rsidR="00BD0A01" w:rsidTr="004F19EF">
      <w:trPr>
        <w:trHeight w:val="227"/>
      </w:trPr>
      <w:tc>
        <w:tcPr>
          <w:tcW w:w="2976" w:type="dxa"/>
          <w:vAlign w:val="center"/>
        </w:tcPr>
        <w:p w:rsidR="00BD0A01" w:rsidRPr="004F19EF" w:rsidRDefault="00A9456A" w:rsidP="004F19EF">
          <w:pPr>
            <w:ind w:right="34"/>
            <w:jc w:val="right"/>
            <w:rPr>
              <w:rFonts w:ascii="Palatino Linotype" w:eastAsia="Palatino Linotype" w:hAnsi="Palatino Linotype" w:cs="Palatino Linotype"/>
              <w:b/>
            </w:rPr>
          </w:pPr>
          <w:r w:rsidRPr="004F19EF">
            <w:rPr>
              <w:rFonts w:ascii="Palatino Linotype" w:eastAsia="Palatino Linotype" w:hAnsi="Palatino Linotype" w:cs="Palatino Linotype"/>
              <w:b/>
            </w:rPr>
            <w:t>Recurso de Revisión:</w:t>
          </w:r>
        </w:p>
      </w:tc>
      <w:tc>
        <w:tcPr>
          <w:tcW w:w="5245" w:type="dxa"/>
          <w:vAlign w:val="center"/>
        </w:tcPr>
        <w:p w:rsidR="00BD0A01" w:rsidRPr="004F19EF" w:rsidRDefault="00A9456A" w:rsidP="005015B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4F19EF">
            <w:rPr>
              <w:rFonts w:ascii="Palatino Linotype" w:eastAsia="Palatino Linotype" w:hAnsi="Palatino Linotype" w:cs="Palatino Linotype"/>
              <w:color w:val="000000"/>
            </w:rPr>
            <w:t>06158/INFOEM/IP/RR/2025</w:t>
          </w:r>
        </w:p>
      </w:tc>
    </w:tr>
    <w:tr w:rsidR="00BD0A01" w:rsidTr="004F19EF">
      <w:trPr>
        <w:trHeight w:val="242"/>
      </w:trPr>
      <w:tc>
        <w:tcPr>
          <w:tcW w:w="2976" w:type="dxa"/>
          <w:vAlign w:val="center"/>
        </w:tcPr>
        <w:p w:rsidR="00BD0A01" w:rsidRDefault="00A9456A" w:rsidP="004F19EF">
          <w:pPr>
            <w:ind w:right="34"/>
            <w:jc w:val="right"/>
            <w:rPr>
              <w:rFonts w:ascii="Palatino Linotype" w:eastAsia="Palatino Linotype" w:hAnsi="Palatino Linotype" w:cs="Palatino Linotype"/>
              <w:b/>
            </w:rPr>
          </w:pPr>
          <w:r w:rsidRPr="004F19EF">
            <w:rPr>
              <w:rFonts w:ascii="Palatino Linotype" w:eastAsia="Palatino Linotype" w:hAnsi="Palatino Linotype" w:cs="Palatino Linotype"/>
              <w:b/>
            </w:rPr>
            <w:t>Sujeto Obligado:</w:t>
          </w:r>
        </w:p>
        <w:p w:rsidR="004F19EF" w:rsidRDefault="004F19EF" w:rsidP="004F19EF">
          <w:pPr>
            <w:ind w:right="34"/>
            <w:jc w:val="right"/>
            <w:rPr>
              <w:rFonts w:ascii="Palatino Linotype" w:eastAsia="Palatino Linotype" w:hAnsi="Palatino Linotype" w:cs="Palatino Linotype"/>
              <w:b/>
            </w:rPr>
          </w:pPr>
        </w:p>
        <w:p w:rsidR="004F19EF" w:rsidRDefault="004F19EF" w:rsidP="004F19EF">
          <w:pPr>
            <w:ind w:right="34"/>
            <w:jc w:val="right"/>
            <w:rPr>
              <w:rFonts w:ascii="Palatino Linotype" w:eastAsia="Palatino Linotype" w:hAnsi="Palatino Linotype" w:cs="Palatino Linotype"/>
              <w:b/>
            </w:rPr>
          </w:pPr>
        </w:p>
        <w:p w:rsidR="004F19EF" w:rsidRDefault="004F19EF" w:rsidP="004F19EF">
          <w:pPr>
            <w:ind w:right="34"/>
            <w:jc w:val="right"/>
            <w:rPr>
              <w:rFonts w:ascii="Palatino Linotype" w:eastAsia="Palatino Linotype" w:hAnsi="Palatino Linotype" w:cs="Palatino Linotype"/>
              <w:b/>
            </w:rPr>
          </w:pPr>
        </w:p>
        <w:p w:rsidR="004F19EF" w:rsidRPr="004F19EF" w:rsidRDefault="004F19EF" w:rsidP="004F19EF">
          <w:pPr>
            <w:ind w:right="34"/>
            <w:jc w:val="right"/>
            <w:rPr>
              <w:rFonts w:ascii="Palatino Linotype" w:eastAsia="Palatino Linotype" w:hAnsi="Palatino Linotype" w:cs="Palatino Linotype"/>
              <w:b/>
            </w:rPr>
          </w:pPr>
        </w:p>
      </w:tc>
      <w:tc>
        <w:tcPr>
          <w:tcW w:w="5245" w:type="dxa"/>
          <w:vAlign w:val="center"/>
        </w:tcPr>
        <w:p w:rsidR="00BD0A01" w:rsidRPr="004F19EF" w:rsidRDefault="00A9456A" w:rsidP="005015B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4F19EF">
            <w:rPr>
              <w:rFonts w:ascii="Palatino Linotype" w:eastAsia="Palatino Linotype" w:hAnsi="Palatino Linotype" w:cs="Palatino Linotype"/>
              <w:color w:val="000000"/>
            </w:rPr>
            <w:t>Organismo Público Descentralizado Municipal para la Prestación de Los Servicios de Agua Potable Alcantarillado y Saneamiento de Cuautitlán Izcalli denominado OPERAGUA, O.P.D.M.</w:t>
          </w:r>
        </w:p>
      </w:tc>
    </w:tr>
    <w:tr w:rsidR="00BD0A01" w:rsidTr="004F19EF">
      <w:trPr>
        <w:trHeight w:val="342"/>
      </w:trPr>
      <w:tc>
        <w:tcPr>
          <w:tcW w:w="2976" w:type="dxa"/>
          <w:vAlign w:val="center"/>
        </w:tcPr>
        <w:p w:rsidR="00BD0A01" w:rsidRPr="004F19EF" w:rsidRDefault="00A9456A" w:rsidP="004F19EF">
          <w:pPr>
            <w:ind w:right="34"/>
            <w:jc w:val="right"/>
            <w:rPr>
              <w:rFonts w:ascii="Palatino Linotype" w:eastAsia="Palatino Linotype" w:hAnsi="Palatino Linotype" w:cs="Palatino Linotype"/>
              <w:b/>
            </w:rPr>
          </w:pPr>
          <w:r w:rsidRPr="004F19EF">
            <w:rPr>
              <w:rFonts w:ascii="Palatino Linotype" w:eastAsia="Palatino Linotype" w:hAnsi="Palatino Linotype" w:cs="Palatino Linotype"/>
              <w:b/>
            </w:rPr>
            <w:t>Comisionada Ponente:</w:t>
          </w:r>
        </w:p>
      </w:tc>
      <w:tc>
        <w:tcPr>
          <w:tcW w:w="5245" w:type="dxa"/>
          <w:vAlign w:val="center"/>
        </w:tcPr>
        <w:p w:rsidR="00BD0A01" w:rsidRPr="004F19EF" w:rsidRDefault="00A9456A" w:rsidP="005015B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4F19EF">
            <w:rPr>
              <w:rFonts w:ascii="Palatino Linotype" w:eastAsia="Palatino Linotype" w:hAnsi="Palatino Linotype" w:cs="Palatino Linotype"/>
              <w:color w:val="000000"/>
            </w:rPr>
            <w:t>María del Rosario Mejía Ayala</w:t>
          </w:r>
        </w:p>
      </w:tc>
    </w:tr>
  </w:tbl>
  <w:p w:rsidR="00BD0A01" w:rsidRDefault="00227D74">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9.6pt;margin-top:-159.7pt;width:609.4pt;height:793.75pt;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8221" w:type="dxa"/>
      <w:tblInd w:w="2127" w:type="dxa"/>
      <w:tblLayout w:type="fixed"/>
      <w:tblLook w:val="0400" w:firstRow="0" w:lastRow="0" w:firstColumn="0" w:lastColumn="0" w:noHBand="0" w:noVBand="1"/>
    </w:tblPr>
    <w:tblGrid>
      <w:gridCol w:w="2727"/>
      <w:gridCol w:w="5494"/>
    </w:tblGrid>
    <w:tr w:rsidR="00BD0A01" w:rsidTr="004F19EF">
      <w:trPr>
        <w:trHeight w:val="227"/>
      </w:trPr>
      <w:tc>
        <w:tcPr>
          <w:tcW w:w="2727" w:type="dxa"/>
          <w:vAlign w:val="center"/>
        </w:tcPr>
        <w:p w:rsidR="00BD0A01" w:rsidRPr="004F19EF" w:rsidRDefault="00A9456A" w:rsidP="004F19EF">
          <w:pPr>
            <w:jc w:val="right"/>
            <w:rPr>
              <w:rFonts w:ascii="Palatino Linotype" w:eastAsia="Palatino Linotype" w:hAnsi="Palatino Linotype" w:cs="Palatino Linotype"/>
              <w:b/>
              <w:color w:val="000000" w:themeColor="text1"/>
            </w:rPr>
          </w:pPr>
          <w:r w:rsidRPr="004F19EF">
            <w:rPr>
              <w:rFonts w:ascii="Palatino Linotype" w:eastAsia="Palatino Linotype" w:hAnsi="Palatino Linotype" w:cs="Palatino Linotype"/>
              <w:b/>
              <w:color w:val="000000" w:themeColor="text1"/>
            </w:rPr>
            <w:t>Recurso de Revisión:</w:t>
          </w:r>
        </w:p>
      </w:tc>
      <w:tc>
        <w:tcPr>
          <w:tcW w:w="5494" w:type="dxa"/>
          <w:vAlign w:val="center"/>
        </w:tcPr>
        <w:p w:rsidR="00BD0A01" w:rsidRPr="004F19EF" w:rsidRDefault="00A9456A" w:rsidP="005015B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4F19EF">
            <w:rPr>
              <w:rFonts w:ascii="Palatino Linotype" w:eastAsia="Palatino Linotype" w:hAnsi="Palatino Linotype" w:cs="Palatino Linotype"/>
              <w:color w:val="000000" w:themeColor="text1"/>
            </w:rPr>
            <w:t>06158/INFOEM/IP/RR/2025</w:t>
          </w:r>
        </w:p>
      </w:tc>
    </w:tr>
    <w:tr w:rsidR="00BD0A01" w:rsidTr="004F19EF">
      <w:trPr>
        <w:trHeight w:val="242"/>
      </w:trPr>
      <w:tc>
        <w:tcPr>
          <w:tcW w:w="2727" w:type="dxa"/>
          <w:vAlign w:val="center"/>
        </w:tcPr>
        <w:p w:rsidR="00BD0A01" w:rsidRPr="004F19EF" w:rsidRDefault="00A9456A" w:rsidP="004F19EF">
          <w:pPr>
            <w:jc w:val="right"/>
            <w:rPr>
              <w:rFonts w:ascii="Palatino Linotype" w:eastAsia="Palatino Linotype" w:hAnsi="Palatino Linotype" w:cs="Palatino Linotype"/>
              <w:b/>
              <w:color w:val="000000" w:themeColor="text1"/>
            </w:rPr>
          </w:pPr>
          <w:r w:rsidRPr="004F19EF">
            <w:rPr>
              <w:rFonts w:ascii="Palatino Linotype" w:eastAsia="Palatino Linotype" w:hAnsi="Palatino Linotype" w:cs="Palatino Linotype"/>
              <w:b/>
              <w:color w:val="000000" w:themeColor="text1"/>
            </w:rPr>
            <w:t>Recurrente:</w:t>
          </w:r>
        </w:p>
      </w:tc>
      <w:tc>
        <w:tcPr>
          <w:tcW w:w="5494" w:type="dxa"/>
        </w:tcPr>
        <w:p w:rsidR="00BD0A01" w:rsidRPr="004F19EF" w:rsidRDefault="00450D22" w:rsidP="005015BD">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themeColor="text1"/>
              <w:highlight w:val="green"/>
            </w:rPr>
          </w:pPr>
          <w:r>
            <w:rPr>
              <w:rFonts w:ascii="Palatino Linotype" w:eastAsia="Palatino Linotype" w:hAnsi="Palatino Linotype" w:cs="Palatino Linotype"/>
              <w:color w:val="000000" w:themeColor="text1"/>
            </w:rPr>
            <w:t>XXXX</w:t>
          </w:r>
        </w:p>
      </w:tc>
    </w:tr>
    <w:tr w:rsidR="00BD0A01" w:rsidTr="004F19EF">
      <w:trPr>
        <w:trHeight w:val="342"/>
      </w:trPr>
      <w:tc>
        <w:tcPr>
          <w:tcW w:w="2727" w:type="dxa"/>
          <w:vAlign w:val="center"/>
        </w:tcPr>
        <w:p w:rsidR="00BD0A01" w:rsidRDefault="00A9456A" w:rsidP="004F19EF">
          <w:pPr>
            <w:jc w:val="right"/>
            <w:rPr>
              <w:rFonts w:ascii="Palatino Linotype" w:eastAsia="Palatino Linotype" w:hAnsi="Palatino Linotype" w:cs="Palatino Linotype"/>
              <w:b/>
              <w:color w:val="000000" w:themeColor="text1"/>
            </w:rPr>
          </w:pPr>
          <w:r w:rsidRPr="004F19EF">
            <w:rPr>
              <w:rFonts w:ascii="Palatino Linotype" w:eastAsia="Palatino Linotype" w:hAnsi="Palatino Linotype" w:cs="Palatino Linotype"/>
              <w:b/>
              <w:color w:val="000000" w:themeColor="text1"/>
            </w:rPr>
            <w:t>Sujeto Obligado:</w:t>
          </w:r>
        </w:p>
        <w:p w:rsidR="004F19EF" w:rsidRDefault="004F19EF" w:rsidP="004F19EF">
          <w:pPr>
            <w:jc w:val="right"/>
            <w:rPr>
              <w:rFonts w:ascii="Palatino Linotype" w:eastAsia="Palatino Linotype" w:hAnsi="Palatino Linotype" w:cs="Palatino Linotype"/>
              <w:b/>
              <w:color w:val="000000" w:themeColor="text1"/>
            </w:rPr>
          </w:pPr>
        </w:p>
        <w:p w:rsidR="004F19EF" w:rsidRDefault="004F19EF" w:rsidP="004F19EF">
          <w:pPr>
            <w:jc w:val="right"/>
            <w:rPr>
              <w:rFonts w:ascii="Palatino Linotype" w:eastAsia="Palatino Linotype" w:hAnsi="Palatino Linotype" w:cs="Palatino Linotype"/>
              <w:b/>
              <w:color w:val="000000" w:themeColor="text1"/>
            </w:rPr>
          </w:pPr>
        </w:p>
        <w:p w:rsidR="004F19EF" w:rsidRDefault="004F19EF" w:rsidP="004F19EF">
          <w:pPr>
            <w:jc w:val="right"/>
            <w:rPr>
              <w:rFonts w:ascii="Palatino Linotype" w:eastAsia="Palatino Linotype" w:hAnsi="Palatino Linotype" w:cs="Palatino Linotype"/>
              <w:b/>
              <w:color w:val="000000" w:themeColor="text1"/>
            </w:rPr>
          </w:pPr>
        </w:p>
        <w:p w:rsidR="004F19EF" w:rsidRPr="004F19EF" w:rsidRDefault="004F19EF" w:rsidP="004F19EF">
          <w:pPr>
            <w:jc w:val="right"/>
            <w:rPr>
              <w:rFonts w:ascii="Palatino Linotype" w:eastAsia="Palatino Linotype" w:hAnsi="Palatino Linotype" w:cs="Palatino Linotype"/>
              <w:b/>
              <w:color w:val="000000" w:themeColor="text1"/>
            </w:rPr>
          </w:pPr>
        </w:p>
      </w:tc>
      <w:tc>
        <w:tcPr>
          <w:tcW w:w="5494" w:type="dxa"/>
          <w:vAlign w:val="center"/>
        </w:tcPr>
        <w:p w:rsidR="00BD0A01" w:rsidRPr="004F19EF" w:rsidRDefault="00A9456A" w:rsidP="005015B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4F19EF">
            <w:rPr>
              <w:rFonts w:ascii="Palatino Linotype" w:eastAsia="Palatino Linotype" w:hAnsi="Palatino Linotype" w:cs="Palatino Linotype"/>
              <w:color w:val="000000" w:themeColor="text1"/>
            </w:rPr>
            <w:t>Organismo Público Descentralizado Municipal para la Prestación de Los Servicios de Agua Potable Alcantarillado y Saneamiento de Cuautitlán Izcalli denominado OPERAGUA, O.P.D.M.</w:t>
          </w:r>
        </w:p>
      </w:tc>
    </w:tr>
    <w:tr w:rsidR="00BD0A01" w:rsidTr="004F19EF">
      <w:trPr>
        <w:trHeight w:val="342"/>
      </w:trPr>
      <w:tc>
        <w:tcPr>
          <w:tcW w:w="2727" w:type="dxa"/>
          <w:vAlign w:val="center"/>
        </w:tcPr>
        <w:p w:rsidR="00BD0A01" w:rsidRPr="004F19EF" w:rsidRDefault="00A9456A" w:rsidP="004F19EF">
          <w:pPr>
            <w:jc w:val="right"/>
            <w:rPr>
              <w:rFonts w:ascii="Palatino Linotype" w:eastAsia="Palatino Linotype" w:hAnsi="Palatino Linotype" w:cs="Palatino Linotype"/>
              <w:b/>
              <w:color w:val="000000" w:themeColor="text1"/>
            </w:rPr>
          </w:pPr>
          <w:r w:rsidRPr="004F19EF">
            <w:rPr>
              <w:rFonts w:ascii="Palatino Linotype" w:eastAsia="Palatino Linotype" w:hAnsi="Palatino Linotype" w:cs="Palatino Linotype"/>
              <w:b/>
              <w:color w:val="000000" w:themeColor="text1"/>
            </w:rPr>
            <w:t>Comisionada Ponente:</w:t>
          </w:r>
        </w:p>
      </w:tc>
      <w:tc>
        <w:tcPr>
          <w:tcW w:w="5494" w:type="dxa"/>
          <w:vAlign w:val="center"/>
        </w:tcPr>
        <w:p w:rsidR="00BD0A01" w:rsidRPr="004F19EF" w:rsidRDefault="00A9456A" w:rsidP="005015B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4F19EF">
            <w:rPr>
              <w:rFonts w:ascii="Palatino Linotype" w:eastAsia="Palatino Linotype" w:hAnsi="Palatino Linotype" w:cs="Palatino Linotype"/>
              <w:color w:val="000000" w:themeColor="text1"/>
            </w:rPr>
            <w:t>María del Rosario Mejía Ayala</w:t>
          </w:r>
        </w:p>
      </w:tc>
    </w:tr>
  </w:tbl>
  <w:p w:rsidR="00BD0A01" w:rsidRDefault="00227D74">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5.75pt;margin-top:-166.8pt;width:609.4pt;height:793.75pt;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6AF4"/>
    <w:multiLevelType w:val="multilevel"/>
    <w:tmpl w:val="D47E9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7C101D"/>
    <w:multiLevelType w:val="multilevel"/>
    <w:tmpl w:val="A120F768"/>
    <w:lvl w:ilvl="0">
      <w:start w:val="1"/>
      <w:numFmt w:val="bullet"/>
      <w:lvlText w:val="●"/>
      <w:lvlJc w:val="left"/>
      <w:pPr>
        <w:ind w:left="2444" w:hanging="360"/>
      </w:pPr>
      <w:rPr>
        <w:rFonts w:ascii="Noto Sans Symbols" w:eastAsia="Noto Sans Symbols" w:hAnsi="Noto Sans Symbols" w:cs="Noto Sans Symbols"/>
      </w:rPr>
    </w:lvl>
    <w:lvl w:ilvl="1">
      <w:start w:val="1"/>
      <w:numFmt w:val="bullet"/>
      <w:lvlText w:val="o"/>
      <w:lvlJc w:val="left"/>
      <w:pPr>
        <w:ind w:left="3164" w:hanging="360"/>
      </w:pPr>
      <w:rPr>
        <w:rFonts w:ascii="Courier New" w:eastAsia="Courier New" w:hAnsi="Courier New" w:cs="Courier New"/>
      </w:rPr>
    </w:lvl>
    <w:lvl w:ilvl="2">
      <w:start w:val="1"/>
      <w:numFmt w:val="bullet"/>
      <w:lvlText w:val="▪"/>
      <w:lvlJc w:val="left"/>
      <w:pPr>
        <w:ind w:left="3884" w:hanging="360"/>
      </w:pPr>
      <w:rPr>
        <w:rFonts w:ascii="Noto Sans Symbols" w:eastAsia="Noto Sans Symbols" w:hAnsi="Noto Sans Symbols" w:cs="Noto Sans Symbols"/>
      </w:rPr>
    </w:lvl>
    <w:lvl w:ilvl="3">
      <w:start w:val="1"/>
      <w:numFmt w:val="bullet"/>
      <w:lvlText w:val="●"/>
      <w:lvlJc w:val="left"/>
      <w:pPr>
        <w:ind w:left="4604" w:hanging="360"/>
      </w:pPr>
      <w:rPr>
        <w:rFonts w:ascii="Noto Sans Symbols" w:eastAsia="Noto Sans Symbols" w:hAnsi="Noto Sans Symbols" w:cs="Noto Sans Symbols"/>
      </w:rPr>
    </w:lvl>
    <w:lvl w:ilvl="4">
      <w:start w:val="1"/>
      <w:numFmt w:val="bullet"/>
      <w:lvlText w:val="o"/>
      <w:lvlJc w:val="left"/>
      <w:pPr>
        <w:ind w:left="5324" w:hanging="360"/>
      </w:pPr>
      <w:rPr>
        <w:rFonts w:ascii="Courier New" w:eastAsia="Courier New" w:hAnsi="Courier New" w:cs="Courier New"/>
      </w:rPr>
    </w:lvl>
    <w:lvl w:ilvl="5">
      <w:start w:val="1"/>
      <w:numFmt w:val="bullet"/>
      <w:lvlText w:val="▪"/>
      <w:lvlJc w:val="left"/>
      <w:pPr>
        <w:ind w:left="6044" w:hanging="360"/>
      </w:pPr>
      <w:rPr>
        <w:rFonts w:ascii="Noto Sans Symbols" w:eastAsia="Noto Sans Symbols" w:hAnsi="Noto Sans Symbols" w:cs="Noto Sans Symbols"/>
      </w:rPr>
    </w:lvl>
    <w:lvl w:ilvl="6">
      <w:start w:val="1"/>
      <w:numFmt w:val="bullet"/>
      <w:lvlText w:val="●"/>
      <w:lvlJc w:val="left"/>
      <w:pPr>
        <w:ind w:left="6764" w:hanging="360"/>
      </w:pPr>
      <w:rPr>
        <w:rFonts w:ascii="Noto Sans Symbols" w:eastAsia="Noto Sans Symbols" w:hAnsi="Noto Sans Symbols" w:cs="Noto Sans Symbols"/>
      </w:rPr>
    </w:lvl>
    <w:lvl w:ilvl="7">
      <w:start w:val="1"/>
      <w:numFmt w:val="bullet"/>
      <w:lvlText w:val="o"/>
      <w:lvlJc w:val="left"/>
      <w:pPr>
        <w:ind w:left="7484" w:hanging="360"/>
      </w:pPr>
      <w:rPr>
        <w:rFonts w:ascii="Courier New" w:eastAsia="Courier New" w:hAnsi="Courier New" w:cs="Courier New"/>
      </w:rPr>
    </w:lvl>
    <w:lvl w:ilvl="8">
      <w:start w:val="1"/>
      <w:numFmt w:val="bullet"/>
      <w:lvlText w:val="▪"/>
      <w:lvlJc w:val="left"/>
      <w:pPr>
        <w:ind w:left="8204" w:hanging="360"/>
      </w:pPr>
      <w:rPr>
        <w:rFonts w:ascii="Noto Sans Symbols" w:eastAsia="Noto Sans Symbols" w:hAnsi="Noto Sans Symbols" w:cs="Noto Sans Symbols"/>
      </w:rPr>
    </w:lvl>
  </w:abstractNum>
  <w:abstractNum w:abstractNumId="2" w15:restartNumberingAfterBreak="0">
    <w:nsid w:val="25F20187"/>
    <w:multiLevelType w:val="multilevel"/>
    <w:tmpl w:val="A2B6A88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38B81D61"/>
    <w:multiLevelType w:val="multilevel"/>
    <w:tmpl w:val="B7C0DD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8B6F4C"/>
    <w:multiLevelType w:val="multilevel"/>
    <w:tmpl w:val="ED22E5CC"/>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8D143C2"/>
    <w:multiLevelType w:val="multilevel"/>
    <w:tmpl w:val="458C6C94"/>
    <w:lvl w:ilvl="0">
      <w:start w:val="1"/>
      <w:numFmt w:val="lowerLetter"/>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01"/>
    <w:rsid w:val="00227D74"/>
    <w:rsid w:val="00316CA0"/>
    <w:rsid w:val="00446943"/>
    <w:rsid w:val="00450D22"/>
    <w:rsid w:val="004F19EF"/>
    <w:rsid w:val="005015BD"/>
    <w:rsid w:val="00826AFE"/>
    <w:rsid w:val="00A555E3"/>
    <w:rsid w:val="00A9456A"/>
    <w:rsid w:val="00BD0A01"/>
    <w:rsid w:val="00D7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6BD4E51-6F15-4B00-8A91-01CFF11A7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locked/>
    <w:rsid w:val="00293D4F"/>
    <w:rPr>
      <w:rFonts w:asciiTheme="minorHAnsi" w:eastAsiaTheme="minorHAnsi" w:hAnsiTheme="minorHAnsi" w:cstheme="minorBidi"/>
      <w:sz w:val="22"/>
      <w:szCs w:val="22"/>
      <w:lang w:val="es-MX" w:eastAsia="en-US"/>
    </w:rPr>
  </w:style>
  <w:style w:type="paragraph" w:customStyle="1" w:styleId="Citas">
    <w:name w:val="Citas"/>
    <w:basedOn w:val="Normal"/>
    <w:qFormat/>
    <w:rsid w:val="009C7DFA"/>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3">
    <w:name w:val="3"/>
    <w:basedOn w:val="Tablanormal"/>
    <w:rsid w:val="00CA5547"/>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rsid w:val="00B10424"/>
    <w:pPr>
      <w:spacing w:before="100" w:beforeAutospacing="1" w:after="100" w:afterAutospacing="1"/>
    </w:pPr>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z6i42vDL0mNDtb7pmupND1mqQ==">CgMxLjAyCGguZ2pkZ3hzMgloLjMwajB6bGwyCWguMWZvYjl0ZTIJaC4zem55c2g3MgloLjJldDkycDAyCGgudHlqY3d0MgloLjNkeTZ2a20yDmguYmg1NHZ4MWN3MjFoOAByITFQNERobm5Sd3N4TWswTGdnRWRidFlpcVNKRjNLbmYwTQ==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Pages>
  <Words>7105</Words>
  <Characters>39083</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cp:revision>
  <cp:lastPrinted>2025-09-11T17:44:00Z</cp:lastPrinted>
  <dcterms:created xsi:type="dcterms:W3CDTF">2025-08-27T19:57:00Z</dcterms:created>
  <dcterms:modified xsi:type="dcterms:W3CDTF">2025-09-25T17:25:00Z</dcterms:modified>
</cp:coreProperties>
</file>